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2661BD1C" w14:textId="77777777" w:rsidTr="002B29B2">
        <w:tc>
          <w:tcPr>
            <w:tcW w:w="8720" w:type="dxa"/>
          </w:tcPr>
          <w:p w14:paraId="126E23D7" w14:textId="354C2CD4" w:rsidR="00F401EF" w:rsidRPr="00215D48" w:rsidRDefault="00280DE8" w:rsidP="00572FCD">
            <w:pPr>
              <w:pStyle w:val="Title"/>
            </w:pPr>
            <w:r>
              <w:t xml:space="preserve">How the TGA </w:t>
            </w:r>
            <w:r w:rsidR="005F2DE6">
              <w:t>r</w:t>
            </w:r>
            <w:r>
              <w:t xml:space="preserve">egulates </w:t>
            </w:r>
            <w:r w:rsidR="005F2DE6">
              <w:t>s</w:t>
            </w:r>
            <w:r>
              <w:t>oftware</w:t>
            </w:r>
            <w:r w:rsidR="00D4641E">
              <w:t>-</w:t>
            </w:r>
            <w:r w:rsidR="00236083">
              <w:t xml:space="preserve">based </w:t>
            </w:r>
            <w:r w:rsidR="005F2DE6">
              <w:t>m</w:t>
            </w:r>
            <w:r w:rsidR="00236083">
              <w:t xml:space="preserve">edical </w:t>
            </w:r>
            <w:r w:rsidR="005F2DE6">
              <w:t>d</w:t>
            </w:r>
            <w:r w:rsidR="000378D5">
              <w:t>evices</w:t>
            </w:r>
          </w:p>
        </w:tc>
      </w:tr>
      <w:tr w:rsidR="002B29B2" w:rsidRPr="00215D48" w14:paraId="410EA228" w14:textId="77777777" w:rsidTr="002B29B2">
        <w:trPr>
          <w:trHeight w:val="1916"/>
        </w:trPr>
        <w:tc>
          <w:tcPr>
            <w:tcW w:w="8720" w:type="dxa"/>
          </w:tcPr>
          <w:p w14:paraId="0EA09206" w14:textId="77777777" w:rsidR="00F401EF" w:rsidRPr="00215D48" w:rsidRDefault="00F401EF" w:rsidP="002B29B2">
            <w:pPr>
              <w:pStyle w:val="Subtitle"/>
              <w:ind w:left="0"/>
            </w:pPr>
          </w:p>
        </w:tc>
      </w:tr>
      <w:tr w:rsidR="002B29B2" w:rsidRPr="00215D48" w14:paraId="7DFDCDF7" w14:textId="77777777" w:rsidTr="002B29B2">
        <w:tc>
          <w:tcPr>
            <w:tcW w:w="8720" w:type="dxa"/>
          </w:tcPr>
          <w:p w14:paraId="696FB84A" w14:textId="58E5E5C6" w:rsidR="002B29B2" w:rsidRPr="00215D48" w:rsidRDefault="004C2CB6" w:rsidP="00C373C4">
            <w:pPr>
              <w:pStyle w:val="Date"/>
            </w:pPr>
            <w:r>
              <w:t xml:space="preserve">Draft </w:t>
            </w:r>
            <w:r w:rsidR="002B29B2" w:rsidRPr="00215D48">
              <w:t xml:space="preserve">Version </w:t>
            </w:r>
            <w:r w:rsidR="00D74BD4">
              <w:t>1</w:t>
            </w:r>
            <w:r w:rsidR="002B29B2" w:rsidRPr="00215D48">
              <w:t>.</w:t>
            </w:r>
            <w:r w:rsidR="00C373C4">
              <w:t>1</w:t>
            </w:r>
            <w:r w:rsidR="002B29B2" w:rsidRPr="00215D48">
              <w:t xml:space="preserve">, </w:t>
            </w:r>
            <w:r w:rsidR="00C373C4">
              <w:t>February</w:t>
            </w:r>
            <w:r w:rsidR="00D763A8">
              <w:t xml:space="preserve"> </w:t>
            </w:r>
            <w:r w:rsidR="005039D7">
              <w:t>202</w:t>
            </w:r>
            <w:r w:rsidR="00E57B48">
              <w:t>1</w:t>
            </w:r>
          </w:p>
        </w:tc>
      </w:tr>
    </w:tbl>
    <w:p w14:paraId="0CD369D4"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258FAF7A" w14:textId="77777777" w:rsidR="005D1689" w:rsidRPr="00E1198B" w:rsidRDefault="005D1689" w:rsidP="00BA0DFC">
      <w:pPr>
        <w:pStyle w:val="LegalSubheading"/>
      </w:pPr>
      <w:r w:rsidRPr="00BA0DFC">
        <w:lastRenderedPageBreak/>
        <w:t>Copyright</w:t>
      </w:r>
    </w:p>
    <w:p w14:paraId="144B9D69" w14:textId="6AEFE8AC" w:rsidR="00F274A2" w:rsidRDefault="005D1689" w:rsidP="00E57B48">
      <w:pPr>
        <w:pStyle w:val="LegalCopy"/>
        <w:spacing w:after="480"/>
        <w:rPr>
          <w:rFonts w:cs="Arial"/>
        </w:rPr>
      </w:pPr>
      <w:r w:rsidRPr="00215D48">
        <w:rPr>
          <w:rFonts w:cs="Arial"/>
        </w:rPr>
        <w:t>© Commonwealth of Australia 20</w:t>
      </w:r>
      <w:r w:rsidR="00D4641E">
        <w:rPr>
          <w:rFonts w:cs="Arial"/>
        </w:rPr>
        <w:t>21</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p w14:paraId="033DB412" w14:textId="6138BD01" w:rsidR="009721B4" w:rsidRDefault="009721B4" w:rsidP="0029069E">
      <w:pPr>
        <w:pStyle w:val="LegalCopy"/>
        <w:rPr>
          <w:rFonts w:cs="Arial"/>
        </w:rPr>
      </w:pPr>
      <w:r w:rsidRPr="003B5ED2">
        <w:rPr>
          <w:rFonts w:cs="Arial"/>
          <w:noProof/>
          <w:lang w:eastAsia="en-AU"/>
        </w:rPr>
        <mc:AlternateContent>
          <mc:Choice Requires="wps">
            <w:drawing>
              <wp:anchor distT="0" distB="0" distL="114300" distR="114300" simplePos="0" relativeHeight="251685888" behindDoc="0" locked="0" layoutInCell="1" allowOverlap="1" wp14:anchorId="58B7C261" wp14:editId="1CA8D61D">
                <wp:simplePos x="0" y="0"/>
                <wp:positionH relativeFrom="column">
                  <wp:posOffset>0</wp:posOffset>
                </wp:positionH>
                <wp:positionV relativeFrom="paragraph">
                  <wp:posOffset>0</wp:posOffset>
                </wp:positionV>
                <wp:extent cx="5871990" cy="1403985"/>
                <wp:effectExtent l="0" t="0" r="1460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990" cy="1403985"/>
                        </a:xfrm>
                        <a:prstGeom prst="rect">
                          <a:avLst/>
                        </a:prstGeom>
                        <a:solidFill>
                          <a:srgbClr val="E5F5FF"/>
                        </a:solidFill>
                        <a:ln w="19050">
                          <a:solidFill>
                            <a:srgbClr val="000000"/>
                          </a:solidFill>
                          <a:miter lim="800000"/>
                          <a:headEnd/>
                          <a:tailEnd/>
                        </a:ln>
                      </wps:spPr>
                      <wps:txbx>
                        <w:txbxContent>
                          <w:p w14:paraId="1D11AB0D" w14:textId="77777777" w:rsidR="00E57B48" w:rsidRDefault="00E57B48" w:rsidP="009721B4">
                            <w:r>
                              <w:t>The purpose of this guidance is to help manufacturers and sponsors understand how the TGA interprets requirements, and thus indicate how manufacturers and sponsors can comply.</w:t>
                            </w:r>
                          </w:p>
                          <w:p w14:paraId="49DBCAE5" w14:textId="7D4BE5CD" w:rsidR="00E57B48" w:rsidRDefault="00E57B48" w:rsidP="009721B4">
                            <w:r>
                              <w:t>This is a guide only, and manufacturers and sponsors are encouraged to familiarise themselves with the legislative and regulatory requirements in Australia, and if necessary, to seek professional advice. It is the responsibility of each manufacturer or sponsor to understand and comply with these requirements.</w:t>
                            </w:r>
                          </w:p>
                          <w:p w14:paraId="10037D60" w14:textId="239276DD" w:rsidR="00E57B48" w:rsidRDefault="00E57B48" w:rsidP="009721B4">
                            <w:r>
                              <w:t xml:space="preserve">This document will evolve over time and updates and clarifications will be included as required. Feedback on the guidance is always welcome, please send any comments to </w:t>
                            </w:r>
                            <w:hyperlink r:id="rId13" w:history="1">
                              <w:r w:rsidRPr="00B46950">
                                <w:rPr>
                                  <w:rStyle w:val="Hyperlink"/>
                                </w:rPr>
                                <w:t>digital.devices@tga.gov.au</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B7C261" id="_x0000_t202" coordsize="21600,21600" o:spt="202" path="m,l,21600r21600,l21600,xe">
                <v:stroke joinstyle="miter"/>
                <v:path gradientshapeok="t" o:connecttype="rect"/>
              </v:shapetype>
              <v:shape id="Text Box 2" o:spid="_x0000_s1026" type="#_x0000_t202" style="position:absolute;margin-left:0;margin-top:0;width:462.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" fillcolor="#e5f5ff" strokeweight="1.5pt">
                <v:textbox style="mso-fit-shape-to-text:t">
                  <w:txbxContent>
                    <w:p w14:paraId="1D11AB0D" w14:textId="77777777" w:rsidR="00E57B48" w:rsidRDefault="00E57B48" w:rsidP="009721B4">
                      <w:r>
                        <w:t>The purpose of this guidance is to help manufacturers and sponsors understand how the TGA interprets requirements, and thus indicate how manufacturers and sponsors can comply.</w:t>
                      </w:r>
                    </w:p>
                    <w:p w14:paraId="49DBCAE5" w14:textId="7D4BE5CD" w:rsidR="00E57B48" w:rsidRDefault="00E57B48" w:rsidP="009721B4">
                      <w:r>
                        <w:t>This is a guide only, and manufacturers and sponsors are encouraged to familiarise themselves with the legislative and regulatory requirements in Australia, and if necessary, to seek professional advice. It is the responsibility of each manufacturer or sponsor to understand and comply with these requirements.</w:t>
                      </w:r>
                    </w:p>
                    <w:p w14:paraId="10037D60" w14:textId="239276DD" w:rsidR="00E57B48" w:rsidRDefault="00E57B48" w:rsidP="009721B4">
                      <w:r>
                        <w:t xml:space="preserve">This document will evolve over time and updates and clarifications will be included as required. Feedback on the guidance is always welcome, please send any comments to </w:t>
                      </w:r>
                      <w:hyperlink r:id="rId14" w:history="1">
                        <w:r w:rsidRPr="00B46950">
                          <w:rPr>
                            <w:rStyle w:val="Hyperlink"/>
                          </w:rPr>
                          <w:t>digital.devices@tga.gov.au</w:t>
                        </w:r>
                      </w:hyperlink>
                      <w:r>
                        <w:t>.</w:t>
                      </w:r>
                    </w:p>
                  </w:txbxContent>
                </v:textbox>
              </v:shape>
            </w:pict>
          </mc:Fallback>
        </mc:AlternateContent>
      </w:r>
    </w:p>
    <w:sdt>
      <w:sdtPr>
        <w:rPr>
          <w:rFonts w:ascii="Cambria" w:hAnsi="Cambria"/>
          <w:b w:val="0"/>
          <w:sz w:val="22"/>
        </w:rPr>
        <w:id w:val="21514769"/>
        <w:docPartObj>
          <w:docPartGallery w:val="Table of Contents"/>
          <w:docPartUnique/>
        </w:docPartObj>
      </w:sdtPr>
      <w:sdtEndPr/>
      <w:sdtContent>
        <w:p w14:paraId="33E28090" w14:textId="77777777" w:rsidR="00F401EF" w:rsidRPr="00215D48" w:rsidRDefault="00F401EF" w:rsidP="00735428">
          <w:pPr>
            <w:pStyle w:val="NonTOCheading2"/>
          </w:pPr>
          <w:r w:rsidRPr="00215D48">
            <w:t>Contents</w:t>
          </w:r>
        </w:p>
        <w:p w14:paraId="3F9B5A61" w14:textId="23FD7168" w:rsidR="00712FB1" w:rsidRDefault="00F859D2">
          <w:pPr>
            <w:pStyle w:val="TOC1"/>
            <w:rPr>
              <w:rFonts w:asciiTheme="minorHAnsi" w:eastAsiaTheme="minorEastAsia" w:hAnsiTheme="minorHAnsi" w:cstheme="minorBidi"/>
              <w:b w:val="0"/>
              <w:noProof/>
              <w:sz w:val="22"/>
              <w:szCs w:val="22"/>
              <w:lang w:eastAsia="en-AU"/>
            </w:rPr>
          </w:pPr>
          <w:r w:rsidRPr="00215D48">
            <w:fldChar w:fldCharType="begin"/>
          </w:r>
          <w:r w:rsidR="00F401EF" w:rsidRPr="00215D48">
            <w:instrText xml:space="preserve"> TOC \h \z \u \t "Heading 2,1,Heading 3,2,Heading 4,3" </w:instrText>
          </w:r>
          <w:r w:rsidRPr="00215D48">
            <w:fldChar w:fldCharType="separate"/>
          </w:r>
          <w:hyperlink w:anchor="_Toc58337126" w:history="1">
            <w:r w:rsidR="00712FB1" w:rsidRPr="00E631C3">
              <w:rPr>
                <w:rStyle w:val="Hyperlink"/>
                <w:noProof/>
              </w:rPr>
              <w:t>About this guidance</w:t>
            </w:r>
            <w:r w:rsidR="00712FB1">
              <w:rPr>
                <w:noProof/>
                <w:webHidden/>
              </w:rPr>
              <w:tab/>
            </w:r>
            <w:r w:rsidR="00712FB1">
              <w:rPr>
                <w:noProof/>
                <w:webHidden/>
              </w:rPr>
              <w:fldChar w:fldCharType="begin"/>
            </w:r>
            <w:r w:rsidR="00712FB1">
              <w:rPr>
                <w:noProof/>
                <w:webHidden/>
              </w:rPr>
              <w:instrText xml:space="preserve"> PAGEREF _Toc58337126 \h </w:instrText>
            </w:r>
            <w:r w:rsidR="00712FB1">
              <w:rPr>
                <w:noProof/>
                <w:webHidden/>
              </w:rPr>
            </w:r>
            <w:r w:rsidR="00712FB1">
              <w:rPr>
                <w:noProof/>
                <w:webHidden/>
              </w:rPr>
              <w:fldChar w:fldCharType="separate"/>
            </w:r>
            <w:r w:rsidR="00F037DB">
              <w:rPr>
                <w:noProof/>
                <w:webHidden/>
              </w:rPr>
              <w:t>5</w:t>
            </w:r>
            <w:r w:rsidR="00712FB1">
              <w:rPr>
                <w:noProof/>
                <w:webHidden/>
              </w:rPr>
              <w:fldChar w:fldCharType="end"/>
            </w:r>
          </w:hyperlink>
        </w:p>
        <w:p w14:paraId="45E7177A" w14:textId="4280FC03" w:rsidR="00712FB1" w:rsidRDefault="00712FB1">
          <w:pPr>
            <w:pStyle w:val="TOC1"/>
            <w:rPr>
              <w:rFonts w:asciiTheme="minorHAnsi" w:eastAsiaTheme="minorEastAsia" w:hAnsiTheme="minorHAnsi" w:cstheme="minorBidi"/>
              <w:b w:val="0"/>
              <w:noProof/>
              <w:sz w:val="22"/>
              <w:szCs w:val="22"/>
              <w:lang w:eastAsia="en-AU"/>
            </w:rPr>
          </w:pPr>
          <w:hyperlink w:anchor="_Toc58337127" w:history="1">
            <w:r w:rsidRPr="00E631C3">
              <w:rPr>
                <w:rStyle w:val="Hyperlink"/>
                <w:noProof/>
              </w:rPr>
              <w:t xml:space="preserve">TGA regulation of software products </w:t>
            </w:r>
            <w:r>
              <w:rPr>
                <w:noProof/>
                <w:webHidden/>
              </w:rPr>
              <w:tab/>
            </w:r>
            <w:r>
              <w:rPr>
                <w:noProof/>
                <w:webHidden/>
              </w:rPr>
              <w:fldChar w:fldCharType="begin"/>
            </w:r>
            <w:r>
              <w:rPr>
                <w:noProof/>
                <w:webHidden/>
              </w:rPr>
              <w:instrText xml:space="preserve"> PAGEREF _Toc58337127 \h </w:instrText>
            </w:r>
            <w:r>
              <w:rPr>
                <w:noProof/>
                <w:webHidden/>
              </w:rPr>
            </w:r>
            <w:r>
              <w:rPr>
                <w:noProof/>
                <w:webHidden/>
              </w:rPr>
              <w:fldChar w:fldCharType="separate"/>
            </w:r>
            <w:r w:rsidR="00F037DB">
              <w:rPr>
                <w:noProof/>
                <w:webHidden/>
              </w:rPr>
              <w:t>5</w:t>
            </w:r>
            <w:r>
              <w:rPr>
                <w:noProof/>
                <w:webHidden/>
              </w:rPr>
              <w:fldChar w:fldCharType="end"/>
            </w:r>
          </w:hyperlink>
        </w:p>
        <w:p w14:paraId="4D7C6DCC" w14:textId="3C1A9941" w:rsidR="00712FB1" w:rsidRDefault="00712FB1">
          <w:pPr>
            <w:pStyle w:val="TOC2"/>
            <w:rPr>
              <w:rFonts w:asciiTheme="minorHAnsi" w:eastAsiaTheme="minorEastAsia" w:hAnsiTheme="minorHAnsi" w:cstheme="minorBidi"/>
              <w:b w:val="0"/>
              <w:noProof/>
              <w:sz w:val="22"/>
              <w:szCs w:val="22"/>
              <w:lang w:eastAsia="en-AU"/>
            </w:rPr>
          </w:pPr>
          <w:hyperlink w:anchor="_Toc58337128" w:history="1">
            <w:r w:rsidRPr="00E631C3">
              <w:rPr>
                <w:rStyle w:val="Hyperlink"/>
                <w:noProof/>
              </w:rPr>
              <w:t>Software as a Medical Device</w:t>
            </w:r>
            <w:r>
              <w:rPr>
                <w:noProof/>
                <w:webHidden/>
              </w:rPr>
              <w:tab/>
            </w:r>
            <w:r>
              <w:rPr>
                <w:noProof/>
                <w:webHidden/>
              </w:rPr>
              <w:fldChar w:fldCharType="begin"/>
            </w:r>
            <w:r>
              <w:rPr>
                <w:noProof/>
                <w:webHidden/>
              </w:rPr>
              <w:instrText xml:space="preserve"> PAGEREF _Toc58337128 \h </w:instrText>
            </w:r>
            <w:r>
              <w:rPr>
                <w:noProof/>
                <w:webHidden/>
              </w:rPr>
            </w:r>
            <w:r>
              <w:rPr>
                <w:noProof/>
                <w:webHidden/>
              </w:rPr>
              <w:fldChar w:fldCharType="separate"/>
            </w:r>
            <w:r w:rsidR="00F037DB">
              <w:rPr>
                <w:noProof/>
                <w:webHidden/>
              </w:rPr>
              <w:t>6</w:t>
            </w:r>
            <w:r>
              <w:rPr>
                <w:noProof/>
                <w:webHidden/>
              </w:rPr>
              <w:fldChar w:fldCharType="end"/>
            </w:r>
          </w:hyperlink>
        </w:p>
        <w:p w14:paraId="398D1A14" w14:textId="0186D47C" w:rsidR="00712FB1" w:rsidRDefault="00712FB1">
          <w:pPr>
            <w:pStyle w:val="TOC2"/>
            <w:rPr>
              <w:rFonts w:asciiTheme="minorHAnsi" w:eastAsiaTheme="minorEastAsia" w:hAnsiTheme="minorHAnsi" w:cstheme="minorBidi"/>
              <w:b w:val="0"/>
              <w:noProof/>
              <w:sz w:val="22"/>
              <w:szCs w:val="22"/>
              <w:lang w:eastAsia="en-AU"/>
            </w:rPr>
          </w:pPr>
          <w:hyperlink w:anchor="_Toc58337129" w:history="1">
            <w:r w:rsidRPr="00E631C3">
              <w:rPr>
                <w:rStyle w:val="Hyperlink"/>
                <w:noProof/>
              </w:rPr>
              <w:t>Software that is part of a device</w:t>
            </w:r>
            <w:r>
              <w:rPr>
                <w:noProof/>
                <w:webHidden/>
              </w:rPr>
              <w:tab/>
            </w:r>
            <w:r>
              <w:rPr>
                <w:noProof/>
                <w:webHidden/>
              </w:rPr>
              <w:fldChar w:fldCharType="begin"/>
            </w:r>
            <w:r>
              <w:rPr>
                <w:noProof/>
                <w:webHidden/>
              </w:rPr>
              <w:instrText xml:space="preserve"> PAGEREF _Toc58337129 \h </w:instrText>
            </w:r>
            <w:r>
              <w:rPr>
                <w:noProof/>
                <w:webHidden/>
              </w:rPr>
            </w:r>
            <w:r>
              <w:rPr>
                <w:noProof/>
                <w:webHidden/>
              </w:rPr>
              <w:fldChar w:fldCharType="separate"/>
            </w:r>
            <w:r w:rsidR="00F037DB">
              <w:rPr>
                <w:noProof/>
                <w:webHidden/>
              </w:rPr>
              <w:t>7</w:t>
            </w:r>
            <w:r>
              <w:rPr>
                <w:noProof/>
                <w:webHidden/>
              </w:rPr>
              <w:fldChar w:fldCharType="end"/>
            </w:r>
          </w:hyperlink>
        </w:p>
        <w:p w14:paraId="752E4B7A" w14:textId="5617F531" w:rsidR="00712FB1" w:rsidRDefault="00712FB1">
          <w:pPr>
            <w:pStyle w:val="TOC2"/>
            <w:rPr>
              <w:rFonts w:asciiTheme="minorHAnsi" w:eastAsiaTheme="minorEastAsia" w:hAnsiTheme="minorHAnsi" w:cstheme="minorBidi"/>
              <w:b w:val="0"/>
              <w:noProof/>
              <w:sz w:val="22"/>
              <w:szCs w:val="22"/>
              <w:lang w:eastAsia="en-AU"/>
            </w:rPr>
          </w:pPr>
          <w:hyperlink w:anchor="_Toc58337130" w:history="1">
            <w:r w:rsidRPr="00E631C3">
              <w:rPr>
                <w:rStyle w:val="Hyperlink"/>
                <w:noProof/>
              </w:rPr>
              <w:t>Software that controls a medical device</w:t>
            </w:r>
            <w:r>
              <w:rPr>
                <w:noProof/>
                <w:webHidden/>
              </w:rPr>
              <w:tab/>
            </w:r>
            <w:r>
              <w:rPr>
                <w:noProof/>
                <w:webHidden/>
              </w:rPr>
              <w:fldChar w:fldCharType="begin"/>
            </w:r>
            <w:r>
              <w:rPr>
                <w:noProof/>
                <w:webHidden/>
              </w:rPr>
              <w:instrText xml:space="preserve"> PAGEREF _Toc58337130 \h </w:instrText>
            </w:r>
            <w:r>
              <w:rPr>
                <w:noProof/>
                <w:webHidden/>
              </w:rPr>
            </w:r>
            <w:r>
              <w:rPr>
                <w:noProof/>
                <w:webHidden/>
              </w:rPr>
              <w:fldChar w:fldCharType="separate"/>
            </w:r>
            <w:r w:rsidR="00F037DB">
              <w:rPr>
                <w:noProof/>
                <w:webHidden/>
              </w:rPr>
              <w:t>7</w:t>
            </w:r>
            <w:r>
              <w:rPr>
                <w:noProof/>
                <w:webHidden/>
              </w:rPr>
              <w:fldChar w:fldCharType="end"/>
            </w:r>
          </w:hyperlink>
        </w:p>
        <w:p w14:paraId="0C127BD6" w14:textId="0297B4C9" w:rsidR="00712FB1" w:rsidRDefault="00712FB1">
          <w:pPr>
            <w:pStyle w:val="TOC1"/>
            <w:rPr>
              <w:rFonts w:asciiTheme="minorHAnsi" w:eastAsiaTheme="minorEastAsia" w:hAnsiTheme="minorHAnsi" w:cstheme="minorBidi"/>
              <w:b w:val="0"/>
              <w:noProof/>
              <w:sz w:val="22"/>
              <w:szCs w:val="22"/>
              <w:lang w:eastAsia="en-AU"/>
            </w:rPr>
          </w:pPr>
          <w:hyperlink w:anchor="_Toc58337131" w:history="1">
            <w:r w:rsidRPr="00E631C3">
              <w:rPr>
                <w:rStyle w:val="Hyperlink"/>
                <w:noProof/>
              </w:rPr>
              <w:t>Key regulations</w:t>
            </w:r>
            <w:r>
              <w:rPr>
                <w:noProof/>
                <w:webHidden/>
              </w:rPr>
              <w:tab/>
            </w:r>
            <w:r>
              <w:rPr>
                <w:noProof/>
                <w:webHidden/>
              </w:rPr>
              <w:fldChar w:fldCharType="begin"/>
            </w:r>
            <w:r>
              <w:rPr>
                <w:noProof/>
                <w:webHidden/>
              </w:rPr>
              <w:instrText xml:space="preserve"> PAGEREF _Toc58337131 \h </w:instrText>
            </w:r>
            <w:r>
              <w:rPr>
                <w:noProof/>
                <w:webHidden/>
              </w:rPr>
            </w:r>
            <w:r>
              <w:rPr>
                <w:noProof/>
                <w:webHidden/>
              </w:rPr>
              <w:fldChar w:fldCharType="separate"/>
            </w:r>
            <w:r w:rsidR="00F037DB">
              <w:rPr>
                <w:noProof/>
                <w:webHidden/>
              </w:rPr>
              <w:t>7</w:t>
            </w:r>
            <w:r>
              <w:rPr>
                <w:noProof/>
                <w:webHidden/>
              </w:rPr>
              <w:fldChar w:fldCharType="end"/>
            </w:r>
          </w:hyperlink>
        </w:p>
        <w:p w14:paraId="3C25859A" w14:textId="5A561F15" w:rsidR="00712FB1" w:rsidRDefault="00712FB1">
          <w:pPr>
            <w:pStyle w:val="TOC2"/>
            <w:rPr>
              <w:rFonts w:asciiTheme="minorHAnsi" w:eastAsiaTheme="minorEastAsia" w:hAnsiTheme="minorHAnsi" w:cstheme="minorBidi"/>
              <w:b w:val="0"/>
              <w:noProof/>
              <w:sz w:val="22"/>
              <w:szCs w:val="22"/>
              <w:lang w:eastAsia="en-AU"/>
            </w:rPr>
          </w:pPr>
          <w:hyperlink w:anchor="_Toc58337132" w:history="1">
            <w:r w:rsidRPr="00E631C3">
              <w:rPr>
                <w:rStyle w:val="Hyperlink"/>
                <w:noProof/>
              </w:rPr>
              <w:t>Parties subject to regulation</w:t>
            </w:r>
            <w:r>
              <w:rPr>
                <w:noProof/>
                <w:webHidden/>
              </w:rPr>
              <w:tab/>
            </w:r>
            <w:r>
              <w:rPr>
                <w:noProof/>
                <w:webHidden/>
              </w:rPr>
              <w:fldChar w:fldCharType="begin"/>
            </w:r>
            <w:r>
              <w:rPr>
                <w:noProof/>
                <w:webHidden/>
              </w:rPr>
              <w:instrText xml:space="preserve"> PAGEREF _Toc58337132 \h </w:instrText>
            </w:r>
            <w:r>
              <w:rPr>
                <w:noProof/>
                <w:webHidden/>
              </w:rPr>
            </w:r>
            <w:r>
              <w:rPr>
                <w:noProof/>
                <w:webHidden/>
              </w:rPr>
              <w:fldChar w:fldCharType="separate"/>
            </w:r>
            <w:r w:rsidR="00F037DB">
              <w:rPr>
                <w:noProof/>
                <w:webHidden/>
              </w:rPr>
              <w:t>8</w:t>
            </w:r>
            <w:r>
              <w:rPr>
                <w:noProof/>
                <w:webHidden/>
              </w:rPr>
              <w:fldChar w:fldCharType="end"/>
            </w:r>
          </w:hyperlink>
        </w:p>
        <w:p w14:paraId="06833C04" w14:textId="115F0BB7" w:rsidR="00712FB1" w:rsidRDefault="00712FB1">
          <w:pPr>
            <w:pStyle w:val="TOC3"/>
            <w:rPr>
              <w:rFonts w:asciiTheme="minorHAnsi" w:eastAsiaTheme="minorEastAsia" w:hAnsiTheme="minorHAnsi" w:cstheme="minorBidi"/>
              <w:b w:val="0"/>
              <w:noProof/>
              <w:szCs w:val="22"/>
              <w:lang w:eastAsia="en-AU"/>
            </w:rPr>
          </w:pPr>
          <w:hyperlink w:anchor="_Toc58337133" w:history="1">
            <w:r w:rsidRPr="00E631C3">
              <w:rPr>
                <w:rStyle w:val="Hyperlink"/>
                <w:noProof/>
              </w:rPr>
              <w:t>Regulatory pathway</w:t>
            </w:r>
            <w:r>
              <w:rPr>
                <w:noProof/>
                <w:webHidden/>
              </w:rPr>
              <w:tab/>
            </w:r>
            <w:r>
              <w:rPr>
                <w:noProof/>
                <w:webHidden/>
              </w:rPr>
              <w:fldChar w:fldCharType="begin"/>
            </w:r>
            <w:r>
              <w:rPr>
                <w:noProof/>
                <w:webHidden/>
              </w:rPr>
              <w:instrText xml:space="preserve"> PAGEREF _Toc58337133 \h </w:instrText>
            </w:r>
            <w:r>
              <w:rPr>
                <w:noProof/>
                <w:webHidden/>
              </w:rPr>
            </w:r>
            <w:r>
              <w:rPr>
                <w:noProof/>
                <w:webHidden/>
              </w:rPr>
              <w:fldChar w:fldCharType="separate"/>
            </w:r>
            <w:r w:rsidR="00F037DB">
              <w:rPr>
                <w:noProof/>
                <w:webHidden/>
              </w:rPr>
              <w:t>8</w:t>
            </w:r>
            <w:r>
              <w:rPr>
                <w:noProof/>
                <w:webHidden/>
              </w:rPr>
              <w:fldChar w:fldCharType="end"/>
            </w:r>
          </w:hyperlink>
        </w:p>
        <w:p w14:paraId="73A21B79" w14:textId="5795A03F" w:rsidR="00712FB1" w:rsidRDefault="00712FB1">
          <w:pPr>
            <w:pStyle w:val="TOC2"/>
            <w:rPr>
              <w:rFonts w:asciiTheme="minorHAnsi" w:eastAsiaTheme="minorEastAsia" w:hAnsiTheme="minorHAnsi" w:cstheme="minorBidi"/>
              <w:b w:val="0"/>
              <w:noProof/>
              <w:sz w:val="22"/>
              <w:szCs w:val="22"/>
              <w:lang w:eastAsia="en-AU"/>
            </w:rPr>
          </w:pPr>
          <w:hyperlink w:anchor="_Toc58337134" w:history="1">
            <w:r w:rsidRPr="00E631C3">
              <w:rPr>
                <w:rStyle w:val="Hyperlink"/>
                <w:noProof/>
              </w:rPr>
              <w:t>The importance of intended purpose</w:t>
            </w:r>
            <w:r>
              <w:rPr>
                <w:noProof/>
                <w:webHidden/>
              </w:rPr>
              <w:tab/>
            </w:r>
            <w:r>
              <w:rPr>
                <w:noProof/>
                <w:webHidden/>
              </w:rPr>
              <w:fldChar w:fldCharType="begin"/>
            </w:r>
            <w:r>
              <w:rPr>
                <w:noProof/>
                <w:webHidden/>
              </w:rPr>
              <w:instrText xml:space="preserve"> PAGEREF _Toc58337134 \h </w:instrText>
            </w:r>
            <w:r>
              <w:rPr>
                <w:noProof/>
                <w:webHidden/>
              </w:rPr>
            </w:r>
            <w:r>
              <w:rPr>
                <w:noProof/>
                <w:webHidden/>
              </w:rPr>
              <w:fldChar w:fldCharType="separate"/>
            </w:r>
            <w:r w:rsidR="00F037DB">
              <w:rPr>
                <w:noProof/>
                <w:webHidden/>
              </w:rPr>
              <w:t>10</w:t>
            </w:r>
            <w:r>
              <w:rPr>
                <w:noProof/>
                <w:webHidden/>
              </w:rPr>
              <w:fldChar w:fldCharType="end"/>
            </w:r>
          </w:hyperlink>
        </w:p>
        <w:p w14:paraId="2D04EFBD" w14:textId="5D40DBC2" w:rsidR="00712FB1" w:rsidRDefault="00712FB1">
          <w:pPr>
            <w:pStyle w:val="TOC2"/>
            <w:rPr>
              <w:rFonts w:asciiTheme="minorHAnsi" w:eastAsiaTheme="minorEastAsia" w:hAnsiTheme="minorHAnsi" w:cstheme="minorBidi"/>
              <w:b w:val="0"/>
              <w:noProof/>
              <w:sz w:val="22"/>
              <w:szCs w:val="22"/>
              <w:lang w:eastAsia="en-AU"/>
            </w:rPr>
          </w:pPr>
          <w:hyperlink w:anchor="_Toc58337135" w:history="1">
            <w:r w:rsidRPr="00E631C3">
              <w:rPr>
                <w:rStyle w:val="Hyperlink"/>
                <w:noProof/>
              </w:rPr>
              <w:t>Classification Rules</w:t>
            </w:r>
            <w:r>
              <w:rPr>
                <w:noProof/>
                <w:webHidden/>
              </w:rPr>
              <w:tab/>
            </w:r>
            <w:r>
              <w:rPr>
                <w:noProof/>
                <w:webHidden/>
              </w:rPr>
              <w:fldChar w:fldCharType="begin"/>
            </w:r>
            <w:r>
              <w:rPr>
                <w:noProof/>
                <w:webHidden/>
              </w:rPr>
              <w:instrText xml:space="preserve"> PAGEREF _Toc58337135 \h </w:instrText>
            </w:r>
            <w:r>
              <w:rPr>
                <w:noProof/>
                <w:webHidden/>
              </w:rPr>
            </w:r>
            <w:r>
              <w:rPr>
                <w:noProof/>
                <w:webHidden/>
              </w:rPr>
              <w:fldChar w:fldCharType="separate"/>
            </w:r>
            <w:r w:rsidR="00F037DB">
              <w:rPr>
                <w:noProof/>
                <w:webHidden/>
              </w:rPr>
              <w:t>10</w:t>
            </w:r>
            <w:r>
              <w:rPr>
                <w:noProof/>
                <w:webHidden/>
              </w:rPr>
              <w:fldChar w:fldCharType="end"/>
            </w:r>
          </w:hyperlink>
        </w:p>
        <w:p w14:paraId="316DE606" w14:textId="6CA703A8" w:rsidR="00712FB1" w:rsidRDefault="00712FB1">
          <w:pPr>
            <w:pStyle w:val="TOC3"/>
            <w:rPr>
              <w:rFonts w:asciiTheme="minorHAnsi" w:eastAsiaTheme="minorEastAsia" w:hAnsiTheme="minorHAnsi" w:cstheme="minorBidi"/>
              <w:b w:val="0"/>
              <w:noProof/>
              <w:szCs w:val="22"/>
              <w:lang w:eastAsia="en-AU"/>
            </w:rPr>
          </w:pPr>
          <w:hyperlink w:anchor="_Toc58337136" w:history="1">
            <w:r w:rsidRPr="00E631C3">
              <w:rPr>
                <w:rStyle w:val="Hyperlink"/>
                <w:noProof/>
              </w:rPr>
              <w:t>New rules from 25 February 2021</w:t>
            </w:r>
            <w:r>
              <w:rPr>
                <w:noProof/>
                <w:webHidden/>
              </w:rPr>
              <w:tab/>
            </w:r>
            <w:r>
              <w:rPr>
                <w:noProof/>
                <w:webHidden/>
              </w:rPr>
              <w:fldChar w:fldCharType="begin"/>
            </w:r>
            <w:r>
              <w:rPr>
                <w:noProof/>
                <w:webHidden/>
              </w:rPr>
              <w:instrText xml:space="preserve"> PAGEREF _Toc58337136 \h </w:instrText>
            </w:r>
            <w:r>
              <w:rPr>
                <w:noProof/>
                <w:webHidden/>
              </w:rPr>
            </w:r>
            <w:r>
              <w:rPr>
                <w:noProof/>
                <w:webHidden/>
              </w:rPr>
              <w:fldChar w:fldCharType="separate"/>
            </w:r>
            <w:r w:rsidR="00F037DB">
              <w:rPr>
                <w:noProof/>
                <w:webHidden/>
              </w:rPr>
              <w:t>11</w:t>
            </w:r>
            <w:r>
              <w:rPr>
                <w:noProof/>
                <w:webHidden/>
              </w:rPr>
              <w:fldChar w:fldCharType="end"/>
            </w:r>
          </w:hyperlink>
        </w:p>
        <w:p w14:paraId="601E4F24" w14:textId="76DC42A6" w:rsidR="00712FB1" w:rsidRDefault="00712FB1">
          <w:pPr>
            <w:pStyle w:val="TOC3"/>
            <w:rPr>
              <w:rFonts w:asciiTheme="minorHAnsi" w:eastAsiaTheme="minorEastAsia" w:hAnsiTheme="minorHAnsi" w:cstheme="minorBidi"/>
              <w:b w:val="0"/>
              <w:noProof/>
              <w:szCs w:val="22"/>
              <w:lang w:eastAsia="en-AU"/>
            </w:rPr>
          </w:pPr>
          <w:hyperlink w:anchor="_Toc58337137" w:history="1">
            <w:r w:rsidRPr="00E631C3">
              <w:rPr>
                <w:rStyle w:val="Hyperlink"/>
                <w:noProof/>
              </w:rPr>
              <w:t>Summary of the new rules and examples</w:t>
            </w:r>
            <w:r>
              <w:rPr>
                <w:noProof/>
                <w:webHidden/>
              </w:rPr>
              <w:tab/>
            </w:r>
            <w:r>
              <w:rPr>
                <w:noProof/>
                <w:webHidden/>
              </w:rPr>
              <w:fldChar w:fldCharType="begin"/>
            </w:r>
            <w:r>
              <w:rPr>
                <w:noProof/>
                <w:webHidden/>
              </w:rPr>
              <w:instrText xml:space="preserve"> PAGEREF _Toc58337137 \h </w:instrText>
            </w:r>
            <w:r>
              <w:rPr>
                <w:noProof/>
                <w:webHidden/>
              </w:rPr>
            </w:r>
            <w:r>
              <w:rPr>
                <w:noProof/>
                <w:webHidden/>
              </w:rPr>
              <w:fldChar w:fldCharType="separate"/>
            </w:r>
            <w:r w:rsidR="00F037DB">
              <w:rPr>
                <w:noProof/>
                <w:webHidden/>
              </w:rPr>
              <w:t>12</w:t>
            </w:r>
            <w:r>
              <w:rPr>
                <w:noProof/>
                <w:webHidden/>
              </w:rPr>
              <w:fldChar w:fldCharType="end"/>
            </w:r>
          </w:hyperlink>
        </w:p>
        <w:p w14:paraId="05CF058D" w14:textId="39ABDFB1" w:rsidR="00712FB1" w:rsidRDefault="00712FB1">
          <w:pPr>
            <w:pStyle w:val="TOC2"/>
            <w:rPr>
              <w:rFonts w:asciiTheme="minorHAnsi" w:eastAsiaTheme="minorEastAsia" w:hAnsiTheme="minorHAnsi" w:cstheme="minorBidi"/>
              <w:b w:val="0"/>
              <w:noProof/>
              <w:sz w:val="22"/>
              <w:szCs w:val="22"/>
              <w:lang w:eastAsia="en-AU"/>
            </w:rPr>
          </w:pPr>
          <w:hyperlink w:anchor="_Toc58337138" w:history="1">
            <w:r w:rsidRPr="00E631C3">
              <w:rPr>
                <w:rStyle w:val="Hyperlink"/>
                <w:noProof/>
              </w:rPr>
              <w:t>Conformity Assessment Procedures</w:t>
            </w:r>
            <w:r>
              <w:rPr>
                <w:noProof/>
                <w:webHidden/>
              </w:rPr>
              <w:tab/>
            </w:r>
            <w:r>
              <w:rPr>
                <w:noProof/>
                <w:webHidden/>
              </w:rPr>
              <w:fldChar w:fldCharType="begin"/>
            </w:r>
            <w:r>
              <w:rPr>
                <w:noProof/>
                <w:webHidden/>
              </w:rPr>
              <w:instrText xml:space="preserve"> PAGEREF _Toc58337138 \h </w:instrText>
            </w:r>
            <w:r>
              <w:rPr>
                <w:noProof/>
                <w:webHidden/>
              </w:rPr>
            </w:r>
            <w:r>
              <w:rPr>
                <w:noProof/>
                <w:webHidden/>
              </w:rPr>
              <w:fldChar w:fldCharType="separate"/>
            </w:r>
            <w:r w:rsidR="00F037DB">
              <w:rPr>
                <w:noProof/>
                <w:webHidden/>
              </w:rPr>
              <w:t>15</w:t>
            </w:r>
            <w:r>
              <w:rPr>
                <w:noProof/>
                <w:webHidden/>
              </w:rPr>
              <w:fldChar w:fldCharType="end"/>
            </w:r>
          </w:hyperlink>
        </w:p>
        <w:p w14:paraId="7214B428" w14:textId="77E176FE" w:rsidR="00712FB1" w:rsidRDefault="00712FB1">
          <w:pPr>
            <w:pStyle w:val="TOC2"/>
            <w:rPr>
              <w:rFonts w:asciiTheme="minorHAnsi" w:eastAsiaTheme="minorEastAsia" w:hAnsiTheme="minorHAnsi" w:cstheme="minorBidi"/>
              <w:b w:val="0"/>
              <w:noProof/>
              <w:sz w:val="22"/>
              <w:szCs w:val="22"/>
              <w:lang w:eastAsia="en-AU"/>
            </w:rPr>
          </w:pPr>
          <w:hyperlink w:anchor="_Toc58337139" w:history="1">
            <w:r w:rsidRPr="00E631C3">
              <w:rPr>
                <w:rStyle w:val="Hyperlink"/>
                <w:noProof/>
              </w:rPr>
              <w:t>Changes to the Essential Principles</w:t>
            </w:r>
            <w:r>
              <w:rPr>
                <w:noProof/>
                <w:webHidden/>
              </w:rPr>
              <w:tab/>
            </w:r>
            <w:r>
              <w:rPr>
                <w:noProof/>
                <w:webHidden/>
              </w:rPr>
              <w:fldChar w:fldCharType="begin"/>
            </w:r>
            <w:r>
              <w:rPr>
                <w:noProof/>
                <w:webHidden/>
              </w:rPr>
              <w:instrText xml:space="preserve"> PAGEREF _Toc58337139 \h </w:instrText>
            </w:r>
            <w:r>
              <w:rPr>
                <w:noProof/>
                <w:webHidden/>
              </w:rPr>
            </w:r>
            <w:r>
              <w:rPr>
                <w:noProof/>
                <w:webHidden/>
              </w:rPr>
              <w:fldChar w:fldCharType="separate"/>
            </w:r>
            <w:r w:rsidR="00F037DB">
              <w:rPr>
                <w:noProof/>
                <w:webHidden/>
              </w:rPr>
              <w:t>15</w:t>
            </w:r>
            <w:r>
              <w:rPr>
                <w:noProof/>
                <w:webHidden/>
              </w:rPr>
              <w:fldChar w:fldCharType="end"/>
            </w:r>
          </w:hyperlink>
        </w:p>
        <w:p w14:paraId="1F505CBE" w14:textId="2182E1C9" w:rsidR="00712FB1" w:rsidRDefault="00712FB1">
          <w:pPr>
            <w:pStyle w:val="TOC3"/>
            <w:rPr>
              <w:rFonts w:asciiTheme="minorHAnsi" w:eastAsiaTheme="minorEastAsia" w:hAnsiTheme="minorHAnsi" w:cstheme="minorBidi"/>
              <w:b w:val="0"/>
              <w:noProof/>
              <w:szCs w:val="22"/>
              <w:lang w:eastAsia="en-AU"/>
            </w:rPr>
          </w:pPr>
          <w:hyperlink w:anchor="_Toc58337140" w:history="1">
            <w:r w:rsidRPr="00E631C3">
              <w:rPr>
                <w:rStyle w:val="Hyperlink"/>
                <w:noProof/>
              </w:rPr>
              <w:t>Changes from February 2021</w:t>
            </w:r>
            <w:r>
              <w:rPr>
                <w:noProof/>
                <w:webHidden/>
              </w:rPr>
              <w:tab/>
            </w:r>
            <w:r>
              <w:rPr>
                <w:noProof/>
                <w:webHidden/>
              </w:rPr>
              <w:fldChar w:fldCharType="begin"/>
            </w:r>
            <w:r>
              <w:rPr>
                <w:noProof/>
                <w:webHidden/>
              </w:rPr>
              <w:instrText xml:space="preserve"> PAGEREF _Toc58337140 \h </w:instrText>
            </w:r>
            <w:r>
              <w:rPr>
                <w:noProof/>
                <w:webHidden/>
              </w:rPr>
            </w:r>
            <w:r>
              <w:rPr>
                <w:noProof/>
                <w:webHidden/>
              </w:rPr>
              <w:fldChar w:fldCharType="separate"/>
            </w:r>
            <w:r w:rsidR="00F037DB">
              <w:rPr>
                <w:noProof/>
                <w:webHidden/>
              </w:rPr>
              <w:t>16</w:t>
            </w:r>
            <w:r>
              <w:rPr>
                <w:noProof/>
                <w:webHidden/>
              </w:rPr>
              <w:fldChar w:fldCharType="end"/>
            </w:r>
          </w:hyperlink>
        </w:p>
        <w:p w14:paraId="6902A263" w14:textId="5F009FCF" w:rsidR="00712FB1" w:rsidRDefault="00712FB1">
          <w:pPr>
            <w:pStyle w:val="TOC1"/>
            <w:rPr>
              <w:rFonts w:asciiTheme="minorHAnsi" w:eastAsiaTheme="minorEastAsia" w:hAnsiTheme="minorHAnsi" w:cstheme="minorBidi"/>
              <w:b w:val="0"/>
              <w:noProof/>
              <w:sz w:val="22"/>
              <w:szCs w:val="22"/>
              <w:lang w:eastAsia="en-AU"/>
            </w:rPr>
          </w:pPr>
          <w:hyperlink w:anchor="_Toc58337141" w:history="1">
            <w:r w:rsidRPr="00E631C3">
              <w:rPr>
                <w:rStyle w:val="Hyperlink"/>
                <w:noProof/>
              </w:rPr>
              <w:t>What to consider</w:t>
            </w:r>
            <w:r>
              <w:rPr>
                <w:noProof/>
                <w:webHidden/>
              </w:rPr>
              <w:tab/>
            </w:r>
            <w:r>
              <w:rPr>
                <w:noProof/>
                <w:webHidden/>
              </w:rPr>
              <w:fldChar w:fldCharType="begin"/>
            </w:r>
            <w:r>
              <w:rPr>
                <w:noProof/>
                <w:webHidden/>
              </w:rPr>
              <w:instrText xml:space="preserve"> PAGEREF _Toc58337141 \h </w:instrText>
            </w:r>
            <w:r>
              <w:rPr>
                <w:noProof/>
                <w:webHidden/>
              </w:rPr>
            </w:r>
            <w:r>
              <w:rPr>
                <w:noProof/>
                <w:webHidden/>
              </w:rPr>
              <w:fldChar w:fldCharType="separate"/>
            </w:r>
            <w:r w:rsidR="00F037DB">
              <w:rPr>
                <w:noProof/>
                <w:webHidden/>
              </w:rPr>
              <w:t>16</w:t>
            </w:r>
            <w:r>
              <w:rPr>
                <w:noProof/>
                <w:webHidden/>
              </w:rPr>
              <w:fldChar w:fldCharType="end"/>
            </w:r>
          </w:hyperlink>
        </w:p>
        <w:p w14:paraId="251CA71A" w14:textId="524445C7" w:rsidR="00712FB1" w:rsidRDefault="00712FB1">
          <w:pPr>
            <w:pStyle w:val="TOC2"/>
            <w:rPr>
              <w:rFonts w:asciiTheme="minorHAnsi" w:eastAsiaTheme="minorEastAsia" w:hAnsiTheme="minorHAnsi" w:cstheme="minorBidi"/>
              <w:b w:val="0"/>
              <w:noProof/>
              <w:sz w:val="22"/>
              <w:szCs w:val="22"/>
              <w:lang w:eastAsia="en-AU"/>
            </w:rPr>
          </w:pPr>
          <w:hyperlink w:anchor="_Toc58337142" w:history="1">
            <w:r w:rsidRPr="00E631C3">
              <w:rPr>
                <w:rStyle w:val="Hyperlink"/>
                <w:noProof/>
              </w:rPr>
              <w:t>Software developers</w:t>
            </w:r>
            <w:r>
              <w:rPr>
                <w:noProof/>
                <w:webHidden/>
              </w:rPr>
              <w:tab/>
            </w:r>
            <w:r>
              <w:rPr>
                <w:noProof/>
                <w:webHidden/>
              </w:rPr>
              <w:fldChar w:fldCharType="begin"/>
            </w:r>
            <w:r>
              <w:rPr>
                <w:noProof/>
                <w:webHidden/>
              </w:rPr>
              <w:instrText xml:space="preserve"> PAGEREF _Toc58337142 \h </w:instrText>
            </w:r>
            <w:r>
              <w:rPr>
                <w:noProof/>
                <w:webHidden/>
              </w:rPr>
            </w:r>
            <w:r>
              <w:rPr>
                <w:noProof/>
                <w:webHidden/>
              </w:rPr>
              <w:fldChar w:fldCharType="separate"/>
            </w:r>
            <w:r w:rsidR="00F037DB">
              <w:rPr>
                <w:noProof/>
                <w:webHidden/>
              </w:rPr>
              <w:t>16</w:t>
            </w:r>
            <w:r>
              <w:rPr>
                <w:noProof/>
                <w:webHidden/>
              </w:rPr>
              <w:fldChar w:fldCharType="end"/>
            </w:r>
          </w:hyperlink>
        </w:p>
        <w:p w14:paraId="574362F1" w14:textId="18BAD2C3" w:rsidR="00712FB1" w:rsidRDefault="00712FB1">
          <w:pPr>
            <w:pStyle w:val="TOC2"/>
            <w:rPr>
              <w:rFonts w:asciiTheme="minorHAnsi" w:eastAsiaTheme="minorEastAsia" w:hAnsiTheme="minorHAnsi" w:cstheme="minorBidi"/>
              <w:b w:val="0"/>
              <w:noProof/>
              <w:sz w:val="22"/>
              <w:szCs w:val="22"/>
              <w:lang w:eastAsia="en-AU"/>
            </w:rPr>
          </w:pPr>
          <w:hyperlink w:anchor="_Toc58337143" w:history="1">
            <w:r w:rsidRPr="00E631C3">
              <w:rPr>
                <w:rStyle w:val="Hyperlink"/>
                <w:noProof/>
              </w:rPr>
              <w:t>Supplier or reseller</w:t>
            </w:r>
            <w:r>
              <w:rPr>
                <w:noProof/>
                <w:webHidden/>
              </w:rPr>
              <w:tab/>
            </w:r>
            <w:r>
              <w:rPr>
                <w:noProof/>
                <w:webHidden/>
              </w:rPr>
              <w:fldChar w:fldCharType="begin"/>
            </w:r>
            <w:r>
              <w:rPr>
                <w:noProof/>
                <w:webHidden/>
              </w:rPr>
              <w:instrText xml:space="preserve"> PAGEREF _Toc58337143 \h </w:instrText>
            </w:r>
            <w:r>
              <w:rPr>
                <w:noProof/>
                <w:webHidden/>
              </w:rPr>
            </w:r>
            <w:r>
              <w:rPr>
                <w:noProof/>
                <w:webHidden/>
              </w:rPr>
              <w:fldChar w:fldCharType="separate"/>
            </w:r>
            <w:r w:rsidR="00F037DB">
              <w:rPr>
                <w:noProof/>
                <w:webHidden/>
              </w:rPr>
              <w:t>17</w:t>
            </w:r>
            <w:r>
              <w:rPr>
                <w:noProof/>
                <w:webHidden/>
              </w:rPr>
              <w:fldChar w:fldCharType="end"/>
            </w:r>
          </w:hyperlink>
        </w:p>
        <w:p w14:paraId="4F3790DD" w14:textId="60413F60" w:rsidR="00712FB1" w:rsidRDefault="00712FB1">
          <w:pPr>
            <w:pStyle w:val="TOC2"/>
            <w:rPr>
              <w:rFonts w:asciiTheme="minorHAnsi" w:eastAsiaTheme="minorEastAsia" w:hAnsiTheme="minorHAnsi" w:cstheme="minorBidi"/>
              <w:b w:val="0"/>
              <w:noProof/>
              <w:sz w:val="22"/>
              <w:szCs w:val="22"/>
              <w:lang w:eastAsia="en-AU"/>
            </w:rPr>
          </w:pPr>
          <w:hyperlink w:anchor="_Toc58337144" w:history="1">
            <w:r w:rsidRPr="00E631C3">
              <w:rPr>
                <w:rStyle w:val="Hyperlink"/>
                <w:noProof/>
              </w:rPr>
              <w:t>Sponsors</w:t>
            </w:r>
            <w:r>
              <w:rPr>
                <w:noProof/>
                <w:webHidden/>
              </w:rPr>
              <w:tab/>
            </w:r>
            <w:r>
              <w:rPr>
                <w:noProof/>
                <w:webHidden/>
              </w:rPr>
              <w:fldChar w:fldCharType="begin"/>
            </w:r>
            <w:r>
              <w:rPr>
                <w:noProof/>
                <w:webHidden/>
              </w:rPr>
              <w:instrText xml:space="preserve"> PAGEREF _Toc58337144 \h </w:instrText>
            </w:r>
            <w:r>
              <w:rPr>
                <w:noProof/>
                <w:webHidden/>
              </w:rPr>
            </w:r>
            <w:r>
              <w:rPr>
                <w:noProof/>
                <w:webHidden/>
              </w:rPr>
              <w:fldChar w:fldCharType="separate"/>
            </w:r>
            <w:r w:rsidR="00F037DB">
              <w:rPr>
                <w:noProof/>
                <w:webHidden/>
              </w:rPr>
              <w:t>17</w:t>
            </w:r>
            <w:r>
              <w:rPr>
                <w:noProof/>
                <w:webHidden/>
              </w:rPr>
              <w:fldChar w:fldCharType="end"/>
            </w:r>
          </w:hyperlink>
        </w:p>
        <w:p w14:paraId="21BD5BE8" w14:textId="2D6E58F9" w:rsidR="00712FB1" w:rsidRDefault="00712FB1">
          <w:pPr>
            <w:pStyle w:val="TOC3"/>
            <w:rPr>
              <w:rFonts w:asciiTheme="minorHAnsi" w:eastAsiaTheme="minorEastAsia" w:hAnsiTheme="minorHAnsi" w:cstheme="minorBidi"/>
              <w:b w:val="0"/>
              <w:noProof/>
              <w:szCs w:val="22"/>
              <w:lang w:eastAsia="en-AU"/>
            </w:rPr>
          </w:pPr>
          <w:hyperlink w:anchor="_Toc58337145" w:history="1">
            <w:r w:rsidRPr="00E631C3">
              <w:rPr>
                <w:rStyle w:val="Hyperlink"/>
                <w:noProof/>
              </w:rPr>
              <w:t>Sponsors of software-based medical devices already included in the ARTG</w:t>
            </w:r>
            <w:r>
              <w:rPr>
                <w:noProof/>
                <w:webHidden/>
              </w:rPr>
              <w:tab/>
            </w:r>
            <w:r>
              <w:rPr>
                <w:noProof/>
                <w:webHidden/>
              </w:rPr>
              <w:fldChar w:fldCharType="begin"/>
            </w:r>
            <w:r>
              <w:rPr>
                <w:noProof/>
                <w:webHidden/>
              </w:rPr>
              <w:instrText xml:space="preserve"> PAGEREF _Toc58337145 \h </w:instrText>
            </w:r>
            <w:r>
              <w:rPr>
                <w:noProof/>
                <w:webHidden/>
              </w:rPr>
            </w:r>
            <w:r>
              <w:rPr>
                <w:noProof/>
                <w:webHidden/>
              </w:rPr>
              <w:fldChar w:fldCharType="separate"/>
            </w:r>
            <w:r w:rsidR="00F037DB">
              <w:rPr>
                <w:noProof/>
                <w:webHidden/>
              </w:rPr>
              <w:t>17</w:t>
            </w:r>
            <w:r>
              <w:rPr>
                <w:noProof/>
                <w:webHidden/>
              </w:rPr>
              <w:fldChar w:fldCharType="end"/>
            </w:r>
          </w:hyperlink>
        </w:p>
        <w:p w14:paraId="787BA327" w14:textId="0393DD9C" w:rsidR="00712FB1" w:rsidRDefault="00712FB1">
          <w:pPr>
            <w:pStyle w:val="TOC2"/>
            <w:rPr>
              <w:rFonts w:asciiTheme="minorHAnsi" w:eastAsiaTheme="minorEastAsia" w:hAnsiTheme="minorHAnsi" w:cstheme="minorBidi"/>
              <w:b w:val="0"/>
              <w:noProof/>
              <w:sz w:val="22"/>
              <w:szCs w:val="22"/>
              <w:lang w:eastAsia="en-AU"/>
            </w:rPr>
          </w:pPr>
          <w:hyperlink w:anchor="_Toc58337146" w:history="1">
            <w:r w:rsidRPr="00E631C3">
              <w:rPr>
                <w:rStyle w:val="Hyperlink"/>
                <w:noProof/>
              </w:rPr>
              <w:t>Manufacturers</w:t>
            </w:r>
            <w:r>
              <w:rPr>
                <w:noProof/>
                <w:webHidden/>
              </w:rPr>
              <w:tab/>
            </w:r>
            <w:r>
              <w:rPr>
                <w:noProof/>
                <w:webHidden/>
              </w:rPr>
              <w:fldChar w:fldCharType="begin"/>
            </w:r>
            <w:r>
              <w:rPr>
                <w:noProof/>
                <w:webHidden/>
              </w:rPr>
              <w:instrText xml:space="preserve"> PAGEREF _Toc58337146 \h </w:instrText>
            </w:r>
            <w:r>
              <w:rPr>
                <w:noProof/>
                <w:webHidden/>
              </w:rPr>
            </w:r>
            <w:r>
              <w:rPr>
                <w:noProof/>
                <w:webHidden/>
              </w:rPr>
              <w:fldChar w:fldCharType="separate"/>
            </w:r>
            <w:r w:rsidR="00F037DB">
              <w:rPr>
                <w:noProof/>
                <w:webHidden/>
              </w:rPr>
              <w:t>17</w:t>
            </w:r>
            <w:r>
              <w:rPr>
                <w:noProof/>
                <w:webHidden/>
              </w:rPr>
              <w:fldChar w:fldCharType="end"/>
            </w:r>
          </w:hyperlink>
        </w:p>
        <w:p w14:paraId="3A2F0122" w14:textId="347F7B69" w:rsidR="00712FB1" w:rsidRDefault="00712FB1">
          <w:pPr>
            <w:pStyle w:val="TOC3"/>
            <w:rPr>
              <w:rFonts w:asciiTheme="minorHAnsi" w:eastAsiaTheme="minorEastAsia" w:hAnsiTheme="minorHAnsi" w:cstheme="minorBidi"/>
              <w:b w:val="0"/>
              <w:noProof/>
              <w:szCs w:val="22"/>
              <w:lang w:eastAsia="en-AU"/>
            </w:rPr>
          </w:pPr>
          <w:hyperlink w:anchor="_Toc58337147" w:history="1">
            <w:r w:rsidRPr="00E631C3">
              <w:rPr>
                <w:rStyle w:val="Hyperlink"/>
                <w:noProof/>
              </w:rPr>
              <w:t>Manufacturers of software-based devices already included in the ARTG</w:t>
            </w:r>
            <w:r>
              <w:rPr>
                <w:noProof/>
                <w:webHidden/>
              </w:rPr>
              <w:tab/>
            </w:r>
            <w:r>
              <w:rPr>
                <w:noProof/>
                <w:webHidden/>
              </w:rPr>
              <w:fldChar w:fldCharType="begin"/>
            </w:r>
            <w:r>
              <w:rPr>
                <w:noProof/>
                <w:webHidden/>
              </w:rPr>
              <w:instrText xml:space="preserve"> PAGEREF _Toc58337147 \h </w:instrText>
            </w:r>
            <w:r>
              <w:rPr>
                <w:noProof/>
                <w:webHidden/>
              </w:rPr>
            </w:r>
            <w:r>
              <w:rPr>
                <w:noProof/>
                <w:webHidden/>
              </w:rPr>
              <w:fldChar w:fldCharType="separate"/>
            </w:r>
            <w:r w:rsidR="00F037DB">
              <w:rPr>
                <w:noProof/>
                <w:webHidden/>
              </w:rPr>
              <w:t>18</w:t>
            </w:r>
            <w:r>
              <w:rPr>
                <w:noProof/>
                <w:webHidden/>
              </w:rPr>
              <w:fldChar w:fldCharType="end"/>
            </w:r>
          </w:hyperlink>
        </w:p>
        <w:p w14:paraId="384B59D5" w14:textId="5FA52232" w:rsidR="00712FB1" w:rsidRDefault="00712FB1">
          <w:pPr>
            <w:pStyle w:val="TOC2"/>
            <w:rPr>
              <w:rFonts w:asciiTheme="minorHAnsi" w:eastAsiaTheme="minorEastAsia" w:hAnsiTheme="minorHAnsi" w:cstheme="minorBidi"/>
              <w:b w:val="0"/>
              <w:noProof/>
              <w:sz w:val="22"/>
              <w:szCs w:val="22"/>
              <w:lang w:eastAsia="en-AU"/>
            </w:rPr>
          </w:pPr>
          <w:hyperlink w:anchor="_Toc58337148" w:history="1">
            <w:r w:rsidRPr="00E631C3">
              <w:rPr>
                <w:rStyle w:val="Hyperlink"/>
                <w:noProof/>
              </w:rPr>
              <w:t>Health professionals</w:t>
            </w:r>
            <w:r>
              <w:rPr>
                <w:noProof/>
                <w:webHidden/>
              </w:rPr>
              <w:tab/>
            </w:r>
            <w:r>
              <w:rPr>
                <w:noProof/>
                <w:webHidden/>
              </w:rPr>
              <w:fldChar w:fldCharType="begin"/>
            </w:r>
            <w:r>
              <w:rPr>
                <w:noProof/>
                <w:webHidden/>
              </w:rPr>
              <w:instrText xml:space="preserve"> PAGEREF _Toc58337148 \h </w:instrText>
            </w:r>
            <w:r>
              <w:rPr>
                <w:noProof/>
                <w:webHidden/>
              </w:rPr>
            </w:r>
            <w:r>
              <w:rPr>
                <w:noProof/>
                <w:webHidden/>
              </w:rPr>
              <w:fldChar w:fldCharType="separate"/>
            </w:r>
            <w:r w:rsidR="00F037DB">
              <w:rPr>
                <w:noProof/>
                <w:webHidden/>
              </w:rPr>
              <w:t>18</w:t>
            </w:r>
            <w:r>
              <w:rPr>
                <w:noProof/>
                <w:webHidden/>
              </w:rPr>
              <w:fldChar w:fldCharType="end"/>
            </w:r>
          </w:hyperlink>
        </w:p>
        <w:p w14:paraId="3DC20A1C" w14:textId="26885CF5" w:rsidR="00712FB1" w:rsidRDefault="00712FB1">
          <w:pPr>
            <w:pStyle w:val="TOC3"/>
            <w:rPr>
              <w:rFonts w:asciiTheme="minorHAnsi" w:eastAsiaTheme="minorEastAsia" w:hAnsiTheme="minorHAnsi" w:cstheme="minorBidi"/>
              <w:b w:val="0"/>
              <w:noProof/>
              <w:szCs w:val="22"/>
              <w:lang w:eastAsia="en-AU"/>
            </w:rPr>
          </w:pPr>
          <w:hyperlink w:anchor="_Toc58337149" w:history="1">
            <w:r w:rsidRPr="00E631C3">
              <w:rPr>
                <w:rStyle w:val="Hyperlink"/>
                <w:noProof/>
              </w:rPr>
              <w:t>Is the device on the ARTG?</w:t>
            </w:r>
            <w:r>
              <w:rPr>
                <w:noProof/>
                <w:webHidden/>
              </w:rPr>
              <w:tab/>
            </w:r>
            <w:r>
              <w:rPr>
                <w:noProof/>
                <w:webHidden/>
              </w:rPr>
              <w:fldChar w:fldCharType="begin"/>
            </w:r>
            <w:r>
              <w:rPr>
                <w:noProof/>
                <w:webHidden/>
              </w:rPr>
              <w:instrText xml:space="preserve"> PAGEREF _Toc58337149 \h </w:instrText>
            </w:r>
            <w:r>
              <w:rPr>
                <w:noProof/>
                <w:webHidden/>
              </w:rPr>
            </w:r>
            <w:r>
              <w:rPr>
                <w:noProof/>
                <w:webHidden/>
              </w:rPr>
              <w:fldChar w:fldCharType="separate"/>
            </w:r>
            <w:r w:rsidR="00F037DB">
              <w:rPr>
                <w:noProof/>
                <w:webHidden/>
              </w:rPr>
              <w:t>18</w:t>
            </w:r>
            <w:r>
              <w:rPr>
                <w:noProof/>
                <w:webHidden/>
              </w:rPr>
              <w:fldChar w:fldCharType="end"/>
            </w:r>
          </w:hyperlink>
        </w:p>
        <w:p w14:paraId="580AA3D2" w14:textId="2DDCFEE6" w:rsidR="00712FB1" w:rsidRDefault="00712FB1">
          <w:pPr>
            <w:pStyle w:val="TOC3"/>
            <w:rPr>
              <w:rFonts w:asciiTheme="minorHAnsi" w:eastAsiaTheme="minorEastAsia" w:hAnsiTheme="minorHAnsi" w:cstheme="minorBidi"/>
              <w:b w:val="0"/>
              <w:noProof/>
              <w:szCs w:val="22"/>
              <w:lang w:eastAsia="en-AU"/>
            </w:rPr>
          </w:pPr>
          <w:hyperlink w:anchor="_Toc58337150" w:history="1">
            <w:r w:rsidRPr="00E631C3">
              <w:rPr>
                <w:rStyle w:val="Hyperlink"/>
                <w:noProof/>
              </w:rPr>
              <w:t>How can I find more information on a device?</w:t>
            </w:r>
            <w:r>
              <w:rPr>
                <w:noProof/>
                <w:webHidden/>
              </w:rPr>
              <w:tab/>
            </w:r>
            <w:r>
              <w:rPr>
                <w:noProof/>
                <w:webHidden/>
              </w:rPr>
              <w:fldChar w:fldCharType="begin"/>
            </w:r>
            <w:r>
              <w:rPr>
                <w:noProof/>
                <w:webHidden/>
              </w:rPr>
              <w:instrText xml:space="preserve"> PAGEREF _Toc58337150 \h </w:instrText>
            </w:r>
            <w:r>
              <w:rPr>
                <w:noProof/>
                <w:webHidden/>
              </w:rPr>
            </w:r>
            <w:r>
              <w:rPr>
                <w:noProof/>
                <w:webHidden/>
              </w:rPr>
              <w:fldChar w:fldCharType="separate"/>
            </w:r>
            <w:r w:rsidR="00F037DB">
              <w:rPr>
                <w:noProof/>
                <w:webHidden/>
              </w:rPr>
              <w:t>18</w:t>
            </w:r>
            <w:r>
              <w:rPr>
                <w:noProof/>
                <w:webHidden/>
              </w:rPr>
              <w:fldChar w:fldCharType="end"/>
            </w:r>
          </w:hyperlink>
        </w:p>
        <w:p w14:paraId="2B3B8C5A" w14:textId="0DA2B54D" w:rsidR="00712FB1" w:rsidRDefault="00712FB1">
          <w:pPr>
            <w:pStyle w:val="TOC3"/>
            <w:rPr>
              <w:rFonts w:asciiTheme="minorHAnsi" w:eastAsiaTheme="minorEastAsia" w:hAnsiTheme="minorHAnsi" w:cstheme="minorBidi"/>
              <w:b w:val="0"/>
              <w:noProof/>
              <w:szCs w:val="22"/>
              <w:lang w:eastAsia="en-AU"/>
            </w:rPr>
          </w:pPr>
          <w:hyperlink w:anchor="_Toc58337151" w:history="1">
            <w:r w:rsidRPr="00E631C3">
              <w:rPr>
                <w:rStyle w:val="Hyperlink"/>
                <w:noProof/>
              </w:rPr>
              <w:t>How I can report if something goes wrong?</w:t>
            </w:r>
            <w:r>
              <w:rPr>
                <w:noProof/>
                <w:webHidden/>
              </w:rPr>
              <w:tab/>
            </w:r>
            <w:r>
              <w:rPr>
                <w:noProof/>
                <w:webHidden/>
              </w:rPr>
              <w:fldChar w:fldCharType="begin"/>
            </w:r>
            <w:r>
              <w:rPr>
                <w:noProof/>
                <w:webHidden/>
              </w:rPr>
              <w:instrText xml:space="preserve"> PAGEREF _Toc58337151 \h </w:instrText>
            </w:r>
            <w:r>
              <w:rPr>
                <w:noProof/>
                <w:webHidden/>
              </w:rPr>
            </w:r>
            <w:r>
              <w:rPr>
                <w:noProof/>
                <w:webHidden/>
              </w:rPr>
              <w:fldChar w:fldCharType="separate"/>
            </w:r>
            <w:r w:rsidR="00F037DB">
              <w:rPr>
                <w:noProof/>
                <w:webHidden/>
              </w:rPr>
              <w:t>19</w:t>
            </w:r>
            <w:r>
              <w:rPr>
                <w:noProof/>
                <w:webHidden/>
              </w:rPr>
              <w:fldChar w:fldCharType="end"/>
            </w:r>
          </w:hyperlink>
        </w:p>
        <w:p w14:paraId="2684231A" w14:textId="5A60A4D5" w:rsidR="00712FB1" w:rsidRDefault="00712FB1">
          <w:pPr>
            <w:pStyle w:val="TOC2"/>
            <w:rPr>
              <w:rFonts w:asciiTheme="minorHAnsi" w:eastAsiaTheme="minorEastAsia" w:hAnsiTheme="minorHAnsi" w:cstheme="minorBidi"/>
              <w:b w:val="0"/>
              <w:noProof/>
              <w:sz w:val="22"/>
              <w:szCs w:val="22"/>
              <w:lang w:eastAsia="en-AU"/>
            </w:rPr>
          </w:pPr>
          <w:hyperlink w:anchor="_Toc58337152" w:history="1">
            <w:r w:rsidRPr="00E631C3">
              <w:rPr>
                <w:rStyle w:val="Hyperlink"/>
                <w:noProof/>
              </w:rPr>
              <w:t>Consumers</w:t>
            </w:r>
            <w:r>
              <w:rPr>
                <w:noProof/>
                <w:webHidden/>
              </w:rPr>
              <w:tab/>
            </w:r>
            <w:r>
              <w:rPr>
                <w:noProof/>
                <w:webHidden/>
              </w:rPr>
              <w:fldChar w:fldCharType="begin"/>
            </w:r>
            <w:r>
              <w:rPr>
                <w:noProof/>
                <w:webHidden/>
              </w:rPr>
              <w:instrText xml:space="preserve"> PAGEREF _Toc58337152 \h </w:instrText>
            </w:r>
            <w:r>
              <w:rPr>
                <w:noProof/>
                <w:webHidden/>
              </w:rPr>
            </w:r>
            <w:r>
              <w:rPr>
                <w:noProof/>
                <w:webHidden/>
              </w:rPr>
              <w:fldChar w:fldCharType="separate"/>
            </w:r>
            <w:r w:rsidR="00F037DB">
              <w:rPr>
                <w:noProof/>
                <w:webHidden/>
              </w:rPr>
              <w:t>19</w:t>
            </w:r>
            <w:r>
              <w:rPr>
                <w:noProof/>
                <w:webHidden/>
              </w:rPr>
              <w:fldChar w:fldCharType="end"/>
            </w:r>
          </w:hyperlink>
        </w:p>
        <w:p w14:paraId="36435E15" w14:textId="6A2EB9F8" w:rsidR="00712FB1" w:rsidRDefault="00712FB1">
          <w:pPr>
            <w:pStyle w:val="TOC3"/>
            <w:rPr>
              <w:rFonts w:asciiTheme="minorHAnsi" w:eastAsiaTheme="minorEastAsia" w:hAnsiTheme="minorHAnsi" w:cstheme="minorBidi"/>
              <w:b w:val="0"/>
              <w:noProof/>
              <w:szCs w:val="22"/>
              <w:lang w:eastAsia="en-AU"/>
            </w:rPr>
          </w:pPr>
          <w:hyperlink w:anchor="_Toc58337153" w:history="1">
            <w:r w:rsidRPr="00E631C3">
              <w:rPr>
                <w:rStyle w:val="Hyperlink"/>
                <w:noProof/>
              </w:rPr>
              <w:t>Is the device on the ARTG?</w:t>
            </w:r>
            <w:r>
              <w:rPr>
                <w:noProof/>
                <w:webHidden/>
              </w:rPr>
              <w:tab/>
            </w:r>
            <w:r>
              <w:rPr>
                <w:noProof/>
                <w:webHidden/>
              </w:rPr>
              <w:fldChar w:fldCharType="begin"/>
            </w:r>
            <w:r>
              <w:rPr>
                <w:noProof/>
                <w:webHidden/>
              </w:rPr>
              <w:instrText xml:space="preserve"> PAGEREF _Toc58337153 \h </w:instrText>
            </w:r>
            <w:r>
              <w:rPr>
                <w:noProof/>
                <w:webHidden/>
              </w:rPr>
            </w:r>
            <w:r>
              <w:rPr>
                <w:noProof/>
                <w:webHidden/>
              </w:rPr>
              <w:fldChar w:fldCharType="separate"/>
            </w:r>
            <w:r w:rsidR="00F037DB">
              <w:rPr>
                <w:noProof/>
                <w:webHidden/>
              </w:rPr>
              <w:t>19</w:t>
            </w:r>
            <w:r>
              <w:rPr>
                <w:noProof/>
                <w:webHidden/>
              </w:rPr>
              <w:fldChar w:fldCharType="end"/>
            </w:r>
          </w:hyperlink>
        </w:p>
        <w:p w14:paraId="517D29F6" w14:textId="14267F1D" w:rsidR="00712FB1" w:rsidRDefault="00712FB1">
          <w:pPr>
            <w:pStyle w:val="TOC3"/>
            <w:rPr>
              <w:rFonts w:asciiTheme="minorHAnsi" w:eastAsiaTheme="minorEastAsia" w:hAnsiTheme="minorHAnsi" w:cstheme="minorBidi"/>
              <w:b w:val="0"/>
              <w:noProof/>
              <w:szCs w:val="22"/>
              <w:lang w:eastAsia="en-AU"/>
            </w:rPr>
          </w:pPr>
          <w:hyperlink w:anchor="_Toc58337154" w:history="1">
            <w:r w:rsidRPr="00E631C3">
              <w:rPr>
                <w:rStyle w:val="Hyperlink"/>
                <w:noProof/>
              </w:rPr>
              <w:t>How can I find more information on a device?</w:t>
            </w:r>
            <w:r>
              <w:rPr>
                <w:noProof/>
                <w:webHidden/>
              </w:rPr>
              <w:tab/>
            </w:r>
            <w:r>
              <w:rPr>
                <w:noProof/>
                <w:webHidden/>
              </w:rPr>
              <w:fldChar w:fldCharType="begin"/>
            </w:r>
            <w:r>
              <w:rPr>
                <w:noProof/>
                <w:webHidden/>
              </w:rPr>
              <w:instrText xml:space="preserve"> PAGEREF _Toc58337154 \h </w:instrText>
            </w:r>
            <w:r>
              <w:rPr>
                <w:noProof/>
                <w:webHidden/>
              </w:rPr>
            </w:r>
            <w:r>
              <w:rPr>
                <w:noProof/>
                <w:webHidden/>
              </w:rPr>
              <w:fldChar w:fldCharType="separate"/>
            </w:r>
            <w:r w:rsidR="00F037DB">
              <w:rPr>
                <w:noProof/>
                <w:webHidden/>
              </w:rPr>
              <w:t>19</w:t>
            </w:r>
            <w:r>
              <w:rPr>
                <w:noProof/>
                <w:webHidden/>
              </w:rPr>
              <w:fldChar w:fldCharType="end"/>
            </w:r>
          </w:hyperlink>
        </w:p>
        <w:p w14:paraId="49BFB681" w14:textId="0CC2C217" w:rsidR="00712FB1" w:rsidRDefault="00712FB1">
          <w:pPr>
            <w:pStyle w:val="TOC3"/>
            <w:rPr>
              <w:rFonts w:asciiTheme="minorHAnsi" w:eastAsiaTheme="minorEastAsia" w:hAnsiTheme="minorHAnsi" w:cstheme="minorBidi"/>
              <w:b w:val="0"/>
              <w:noProof/>
              <w:szCs w:val="22"/>
              <w:lang w:eastAsia="en-AU"/>
            </w:rPr>
          </w:pPr>
          <w:hyperlink w:anchor="_Toc58337155" w:history="1">
            <w:r w:rsidRPr="00E631C3">
              <w:rPr>
                <w:rStyle w:val="Hyperlink"/>
                <w:noProof/>
              </w:rPr>
              <w:t>How I can report if something goes wrong?</w:t>
            </w:r>
            <w:r>
              <w:rPr>
                <w:noProof/>
                <w:webHidden/>
              </w:rPr>
              <w:tab/>
            </w:r>
            <w:r>
              <w:rPr>
                <w:noProof/>
                <w:webHidden/>
              </w:rPr>
              <w:fldChar w:fldCharType="begin"/>
            </w:r>
            <w:r>
              <w:rPr>
                <w:noProof/>
                <w:webHidden/>
              </w:rPr>
              <w:instrText xml:space="preserve"> PAGEREF _Toc58337155 \h </w:instrText>
            </w:r>
            <w:r>
              <w:rPr>
                <w:noProof/>
                <w:webHidden/>
              </w:rPr>
            </w:r>
            <w:r>
              <w:rPr>
                <w:noProof/>
                <w:webHidden/>
              </w:rPr>
              <w:fldChar w:fldCharType="separate"/>
            </w:r>
            <w:r w:rsidR="00F037DB">
              <w:rPr>
                <w:noProof/>
                <w:webHidden/>
              </w:rPr>
              <w:t>19</w:t>
            </w:r>
            <w:r>
              <w:rPr>
                <w:noProof/>
                <w:webHidden/>
              </w:rPr>
              <w:fldChar w:fldCharType="end"/>
            </w:r>
          </w:hyperlink>
        </w:p>
        <w:p w14:paraId="5AC96188" w14:textId="453AA92E" w:rsidR="00712FB1" w:rsidRDefault="00712FB1">
          <w:pPr>
            <w:pStyle w:val="TOC1"/>
            <w:rPr>
              <w:rFonts w:asciiTheme="minorHAnsi" w:eastAsiaTheme="minorEastAsia" w:hAnsiTheme="minorHAnsi" w:cstheme="minorBidi"/>
              <w:b w:val="0"/>
              <w:noProof/>
              <w:sz w:val="22"/>
              <w:szCs w:val="22"/>
              <w:lang w:eastAsia="en-AU"/>
            </w:rPr>
          </w:pPr>
          <w:hyperlink w:anchor="_Toc58337156" w:history="1">
            <w:r w:rsidRPr="00E631C3">
              <w:rPr>
                <w:rStyle w:val="Hyperlink"/>
                <w:noProof/>
              </w:rPr>
              <w:t>Where to find more information</w:t>
            </w:r>
            <w:r>
              <w:rPr>
                <w:noProof/>
                <w:webHidden/>
              </w:rPr>
              <w:tab/>
            </w:r>
            <w:r>
              <w:rPr>
                <w:noProof/>
                <w:webHidden/>
              </w:rPr>
              <w:fldChar w:fldCharType="begin"/>
            </w:r>
            <w:r>
              <w:rPr>
                <w:noProof/>
                <w:webHidden/>
              </w:rPr>
              <w:instrText xml:space="preserve"> PAGEREF _Toc58337156 \h </w:instrText>
            </w:r>
            <w:r>
              <w:rPr>
                <w:noProof/>
                <w:webHidden/>
              </w:rPr>
            </w:r>
            <w:r>
              <w:rPr>
                <w:noProof/>
                <w:webHidden/>
              </w:rPr>
              <w:fldChar w:fldCharType="separate"/>
            </w:r>
            <w:r w:rsidR="00F037DB">
              <w:rPr>
                <w:noProof/>
                <w:webHidden/>
              </w:rPr>
              <w:t>20</w:t>
            </w:r>
            <w:r>
              <w:rPr>
                <w:noProof/>
                <w:webHidden/>
              </w:rPr>
              <w:fldChar w:fldCharType="end"/>
            </w:r>
          </w:hyperlink>
        </w:p>
        <w:p w14:paraId="7AAF831B" w14:textId="21747BEB" w:rsidR="00712FB1" w:rsidRDefault="00712FB1">
          <w:pPr>
            <w:pStyle w:val="TOC2"/>
            <w:rPr>
              <w:rFonts w:asciiTheme="minorHAnsi" w:eastAsiaTheme="minorEastAsia" w:hAnsiTheme="minorHAnsi" w:cstheme="minorBidi"/>
              <w:b w:val="0"/>
              <w:noProof/>
              <w:sz w:val="22"/>
              <w:szCs w:val="22"/>
              <w:lang w:eastAsia="en-AU"/>
            </w:rPr>
          </w:pPr>
          <w:hyperlink w:anchor="_Toc58337157" w:history="1">
            <w:r w:rsidRPr="00E631C3">
              <w:rPr>
                <w:rStyle w:val="Hyperlink"/>
                <w:noProof/>
              </w:rPr>
              <w:t>Contact us</w:t>
            </w:r>
            <w:r>
              <w:rPr>
                <w:noProof/>
                <w:webHidden/>
              </w:rPr>
              <w:tab/>
            </w:r>
            <w:r>
              <w:rPr>
                <w:noProof/>
                <w:webHidden/>
              </w:rPr>
              <w:fldChar w:fldCharType="begin"/>
            </w:r>
            <w:r>
              <w:rPr>
                <w:noProof/>
                <w:webHidden/>
              </w:rPr>
              <w:instrText xml:space="preserve"> PAGEREF _Toc58337157 \h </w:instrText>
            </w:r>
            <w:r>
              <w:rPr>
                <w:noProof/>
                <w:webHidden/>
              </w:rPr>
            </w:r>
            <w:r>
              <w:rPr>
                <w:noProof/>
                <w:webHidden/>
              </w:rPr>
              <w:fldChar w:fldCharType="separate"/>
            </w:r>
            <w:r w:rsidR="00F037DB">
              <w:rPr>
                <w:noProof/>
                <w:webHidden/>
              </w:rPr>
              <w:t>20</w:t>
            </w:r>
            <w:r>
              <w:rPr>
                <w:noProof/>
                <w:webHidden/>
              </w:rPr>
              <w:fldChar w:fldCharType="end"/>
            </w:r>
          </w:hyperlink>
        </w:p>
        <w:p w14:paraId="3A45A7CF" w14:textId="410A155E" w:rsidR="00712FB1" w:rsidRDefault="00712FB1">
          <w:pPr>
            <w:pStyle w:val="TOC1"/>
            <w:rPr>
              <w:rFonts w:asciiTheme="minorHAnsi" w:eastAsiaTheme="minorEastAsia" w:hAnsiTheme="minorHAnsi" w:cstheme="minorBidi"/>
              <w:b w:val="0"/>
              <w:noProof/>
              <w:sz w:val="22"/>
              <w:szCs w:val="22"/>
              <w:lang w:eastAsia="en-AU"/>
            </w:rPr>
          </w:pPr>
          <w:hyperlink w:anchor="_Toc58337158" w:history="1">
            <w:r w:rsidRPr="00E631C3">
              <w:rPr>
                <w:rStyle w:val="Hyperlink"/>
                <w:noProof/>
              </w:rPr>
              <w:t>Definitions</w:t>
            </w:r>
            <w:r>
              <w:rPr>
                <w:noProof/>
                <w:webHidden/>
              </w:rPr>
              <w:tab/>
            </w:r>
            <w:r>
              <w:rPr>
                <w:noProof/>
                <w:webHidden/>
              </w:rPr>
              <w:fldChar w:fldCharType="begin"/>
            </w:r>
            <w:r>
              <w:rPr>
                <w:noProof/>
                <w:webHidden/>
              </w:rPr>
              <w:instrText xml:space="preserve"> PAGEREF _Toc58337158 \h </w:instrText>
            </w:r>
            <w:r>
              <w:rPr>
                <w:noProof/>
                <w:webHidden/>
              </w:rPr>
            </w:r>
            <w:r>
              <w:rPr>
                <w:noProof/>
                <w:webHidden/>
              </w:rPr>
              <w:fldChar w:fldCharType="separate"/>
            </w:r>
            <w:r w:rsidR="00F037DB">
              <w:rPr>
                <w:noProof/>
                <w:webHidden/>
              </w:rPr>
              <w:t>20</w:t>
            </w:r>
            <w:r>
              <w:rPr>
                <w:noProof/>
                <w:webHidden/>
              </w:rPr>
              <w:fldChar w:fldCharType="end"/>
            </w:r>
          </w:hyperlink>
        </w:p>
        <w:p w14:paraId="1D437390" w14:textId="2BB8F005" w:rsidR="00712FB1" w:rsidRDefault="00712FB1">
          <w:pPr>
            <w:pStyle w:val="TOC1"/>
            <w:rPr>
              <w:rFonts w:asciiTheme="minorHAnsi" w:eastAsiaTheme="minorEastAsia" w:hAnsiTheme="minorHAnsi" w:cstheme="minorBidi"/>
              <w:b w:val="0"/>
              <w:noProof/>
              <w:sz w:val="22"/>
              <w:szCs w:val="22"/>
              <w:lang w:eastAsia="en-AU"/>
            </w:rPr>
          </w:pPr>
          <w:hyperlink w:anchor="_Toc58337159" w:history="1">
            <w:r w:rsidRPr="00E631C3">
              <w:rPr>
                <w:rStyle w:val="Hyperlink"/>
                <w:noProof/>
              </w:rPr>
              <w:t>Classification Rules</w:t>
            </w:r>
            <w:r>
              <w:rPr>
                <w:noProof/>
                <w:webHidden/>
              </w:rPr>
              <w:tab/>
            </w:r>
            <w:r>
              <w:rPr>
                <w:noProof/>
                <w:webHidden/>
              </w:rPr>
              <w:fldChar w:fldCharType="begin"/>
            </w:r>
            <w:r>
              <w:rPr>
                <w:noProof/>
                <w:webHidden/>
              </w:rPr>
              <w:instrText xml:space="preserve"> PAGEREF _Toc58337159 \h </w:instrText>
            </w:r>
            <w:r>
              <w:rPr>
                <w:noProof/>
                <w:webHidden/>
              </w:rPr>
            </w:r>
            <w:r>
              <w:rPr>
                <w:noProof/>
                <w:webHidden/>
              </w:rPr>
              <w:fldChar w:fldCharType="separate"/>
            </w:r>
            <w:r w:rsidR="00F037DB">
              <w:rPr>
                <w:noProof/>
                <w:webHidden/>
              </w:rPr>
              <w:t>21</w:t>
            </w:r>
            <w:r>
              <w:rPr>
                <w:noProof/>
                <w:webHidden/>
              </w:rPr>
              <w:fldChar w:fldCharType="end"/>
            </w:r>
          </w:hyperlink>
        </w:p>
        <w:p w14:paraId="3FB51A1A" w14:textId="7FC39E4B" w:rsidR="00712FB1" w:rsidRDefault="00712FB1">
          <w:pPr>
            <w:pStyle w:val="TOC1"/>
            <w:rPr>
              <w:rFonts w:asciiTheme="minorHAnsi" w:eastAsiaTheme="minorEastAsia" w:hAnsiTheme="minorHAnsi" w:cstheme="minorBidi"/>
              <w:b w:val="0"/>
              <w:noProof/>
              <w:sz w:val="22"/>
              <w:szCs w:val="22"/>
              <w:lang w:eastAsia="en-AU"/>
            </w:rPr>
          </w:pPr>
          <w:hyperlink w:anchor="_Toc58337160" w:history="1">
            <w:r w:rsidRPr="00E631C3">
              <w:rPr>
                <w:rStyle w:val="Hyperlink"/>
                <w:noProof/>
              </w:rPr>
              <w:t>Essential Principles</w:t>
            </w:r>
            <w:r>
              <w:rPr>
                <w:noProof/>
                <w:webHidden/>
              </w:rPr>
              <w:tab/>
            </w:r>
            <w:r>
              <w:rPr>
                <w:noProof/>
                <w:webHidden/>
              </w:rPr>
              <w:fldChar w:fldCharType="begin"/>
            </w:r>
            <w:r>
              <w:rPr>
                <w:noProof/>
                <w:webHidden/>
              </w:rPr>
              <w:instrText xml:space="preserve"> PAGEREF _Toc58337160 \h </w:instrText>
            </w:r>
            <w:r>
              <w:rPr>
                <w:noProof/>
                <w:webHidden/>
              </w:rPr>
            </w:r>
            <w:r>
              <w:rPr>
                <w:noProof/>
                <w:webHidden/>
              </w:rPr>
              <w:fldChar w:fldCharType="separate"/>
            </w:r>
            <w:r w:rsidR="00F037DB">
              <w:rPr>
                <w:noProof/>
                <w:webHidden/>
              </w:rPr>
              <w:t>23</w:t>
            </w:r>
            <w:r>
              <w:rPr>
                <w:noProof/>
                <w:webHidden/>
              </w:rPr>
              <w:fldChar w:fldCharType="end"/>
            </w:r>
          </w:hyperlink>
        </w:p>
        <w:p w14:paraId="21B73987" w14:textId="2387C1F4" w:rsidR="00712FB1" w:rsidRDefault="00712FB1">
          <w:pPr>
            <w:pStyle w:val="TOC1"/>
            <w:rPr>
              <w:rFonts w:asciiTheme="minorHAnsi" w:eastAsiaTheme="minorEastAsia" w:hAnsiTheme="minorHAnsi" w:cstheme="minorBidi"/>
              <w:b w:val="0"/>
              <w:noProof/>
              <w:sz w:val="22"/>
              <w:szCs w:val="22"/>
              <w:lang w:eastAsia="en-AU"/>
            </w:rPr>
          </w:pPr>
          <w:hyperlink w:anchor="_Toc58337161" w:history="1">
            <w:r w:rsidRPr="00E631C3">
              <w:rPr>
                <w:rStyle w:val="Hyperlink"/>
                <w:noProof/>
              </w:rPr>
              <w:t>Conformity Assessment Procedures</w:t>
            </w:r>
            <w:r>
              <w:rPr>
                <w:noProof/>
                <w:webHidden/>
              </w:rPr>
              <w:tab/>
            </w:r>
            <w:r>
              <w:rPr>
                <w:noProof/>
                <w:webHidden/>
              </w:rPr>
              <w:fldChar w:fldCharType="begin"/>
            </w:r>
            <w:r>
              <w:rPr>
                <w:noProof/>
                <w:webHidden/>
              </w:rPr>
              <w:instrText xml:space="preserve"> PAGEREF _Toc58337161 \h </w:instrText>
            </w:r>
            <w:r>
              <w:rPr>
                <w:noProof/>
                <w:webHidden/>
              </w:rPr>
            </w:r>
            <w:r>
              <w:rPr>
                <w:noProof/>
                <w:webHidden/>
              </w:rPr>
              <w:fldChar w:fldCharType="separate"/>
            </w:r>
            <w:r w:rsidR="00F037DB">
              <w:rPr>
                <w:noProof/>
                <w:webHidden/>
              </w:rPr>
              <w:t>26</w:t>
            </w:r>
            <w:r>
              <w:rPr>
                <w:noProof/>
                <w:webHidden/>
              </w:rPr>
              <w:fldChar w:fldCharType="end"/>
            </w:r>
          </w:hyperlink>
        </w:p>
        <w:p w14:paraId="37000E6D" w14:textId="7391E8C2" w:rsidR="00F401EF" w:rsidRPr="00215D48" w:rsidRDefault="00F859D2" w:rsidP="00F401EF">
          <w:r w:rsidRPr="00215D48">
            <w:fldChar w:fldCharType="end"/>
          </w:r>
        </w:p>
      </w:sdtContent>
    </w:sdt>
    <w:p w14:paraId="730D42A3" w14:textId="13C8E12B" w:rsidR="00280DE8" w:rsidRPr="00712FB1" w:rsidRDefault="001740BC" w:rsidP="00E57B48">
      <w:pPr>
        <w:pStyle w:val="Heading2"/>
        <w:pageBreakBefore/>
      </w:pPr>
      <w:bookmarkStart w:id="0" w:name="_Toc58337126"/>
      <w:bookmarkStart w:id="1" w:name="_Toc323739589"/>
      <w:bookmarkStart w:id="2" w:name="_Toc356305216"/>
      <w:r w:rsidRPr="00712FB1">
        <w:lastRenderedPageBreak/>
        <w:t>About this guidance</w:t>
      </w:r>
      <w:bookmarkEnd w:id="0"/>
    </w:p>
    <w:p w14:paraId="20B0B9C9" w14:textId="7EA08784" w:rsidR="00574ADF" w:rsidRDefault="001740BC" w:rsidP="00574ADF">
      <w:r>
        <w:t>This guidance</w:t>
      </w:r>
      <w:r w:rsidR="00574ADF">
        <w:t xml:space="preserve"> summarise</w:t>
      </w:r>
      <w:r>
        <w:t>s</w:t>
      </w:r>
      <w:r w:rsidR="00574ADF">
        <w:t xml:space="preserve"> the regulatory approach of the </w:t>
      </w:r>
      <w:r w:rsidR="00574ADF" w:rsidRPr="00FA3A0B">
        <w:t xml:space="preserve">Therapeutic Goods Administration </w:t>
      </w:r>
      <w:r w:rsidR="00574ADF">
        <w:t>(TGA) for software based medical devices</w:t>
      </w:r>
      <w:r>
        <w:t>.</w:t>
      </w:r>
    </w:p>
    <w:p w14:paraId="7F7D3CB2" w14:textId="079F3E56" w:rsidR="00C058B0" w:rsidRDefault="0022405E" w:rsidP="00574ADF">
      <w:r w:rsidRPr="00FA3A0B">
        <w:t>The TGA regulates medical devices in Australia</w:t>
      </w:r>
      <w:r>
        <w:t xml:space="preserve">, including </w:t>
      </w:r>
      <w:r w:rsidRPr="00FA3A0B">
        <w:t>software and mobile apps that meet the definition of a medical device.</w:t>
      </w:r>
      <w:r>
        <w:t xml:space="preserve"> </w:t>
      </w:r>
      <w:r w:rsidR="00D60D30" w:rsidRPr="00A0131D">
        <w:t xml:space="preserve">If </w:t>
      </w:r>
      <w:r w:rsidR="00D60D30">
        <w:t>a</w:t>
      </w:r>
      <w:r w:rsidR="00D60D30" w:rsidRPr="00A0131D">
        <w:t xml:space="preserve"> </w:t>
      </w:r>
      <w:r w:rsidR="00D60D30">
        <w:t xml:space="preserve">software </w:t>
      </w:r>
      <w:r w:rsidR="00D60D30" w:rsidRPr="00A0131D">
        <w:t xml:space="preserve">product is a medical device, it must be included in the </w:t>
      </w:r>
      <w:hyperlink r:id="rId15" w:history="1">
        <w:r w:rsidR="00D60D30" w:rsidRPr="003C344E">
          <w:rPr>
            <w:rStyle w:val="Hyperlink"/>
          </w:rPr>
          <w:t>Australian Register of Therapeutic Goods (ARTG)</w:t>
        </w:r>
      </w:hyperlink>
      <w:r w:rsidR="0033759A">
        <w:t>, unless it is exempt,</w:t>
      </w:r>
      <w:r w:rsidR="00D60D30" w:rsidRPr="00A0131D">
        <w:t xml:space="preserve"> before </w:t>
      </w:r>
      <w:r w:rsidR="00D60D30">
        <w:t>it</w:t>
      </w:r>
      <w:r w:rsidR="00D60D30" w:rsidRPr="00A0131D">
        <w:t xml:space="preserve"> can </w:t>
      </w:r>
      <w:r w:rsidR="00D60D30">
        <w:t>be legally</w:t>
      </w:r>
      <w:r w:rsidR="00D60D30" w:rsidRPr="00A0131D">
        <w:t xml:space="preserve"> suppl</w:t>
      </w:r>
      <w:r w:rsidR="00D60D30">
        <w:t>ied</w:t>
      </w:r>
      <w:r w:rsidR="00D60D30" w:rsidRPr="00A0131D">
        <w:t xml:space="preserve"> in Australia.</w:t>
      </w:r>
    </w:p>
    <w:p w14:paraId="3A8D48E4" w14:textId="77777777" w:rsidR="0022405E" w:rsidRPr="00712FB1" w:rsidRDefault="0022405E" w:rsidP="00712FB1">
      <w:pPr>
        <w:widowControl w:val="0"/>
        <w:rPr>
          <w:b/>
        </w:rPr>
      </w:pPr>
      <w:r>
        <w:t xml:space="preserve">The role of the TGA </w:t>
      </w:r>
      <w:r w:rsidR="00DE74F3">
        <w:t>spans</w:t>
      </w:r>
      <w:r>
        <w:t xml:space="preserve"> the entire </w:t>
      </w:r>
      <w:r w:rsidR="00DE74F3">
        <w:t xml:space="preserve">medical device </w:t>
      </w:r>
      <w:r>
        <w:t xml:space="preserve">lifecycle, from </w:t>
      </w:r>
      <w:r w:rsidR="00DE74F3">
        <w:t xml:space="preserve">market authorisation </w:t>
      </w:r>
      <w:r>
        <w:t>before it is supplied through to post-market monitoring and review of medical</w:t>
      </w:r>
      <w:r w:rsidR="00712FB1">
        <w:t xml:space="preserve"> devices already on the market </w:t>
      </w:r>
      <w:r w:rsidRPr="00712FB1">
        <w:t>to ensure these devices continue to meet regulatory requirements.</w:t>
      </w:r>
    </w:p>
    <w:p w14:paraId="22C9BE29" w14:textId="0E820AF9" w:rsidR="0022405E" w:rsidRDefault="0022405E" w:rsidP="0022405E">
      <w:pPr>
        <w:widowControl w:val="0"/>
      </w:pPr>
    </w:p>
    <w:p w14:paraId="3090F47A" w14:textId="77777777" w:rsidR="0022405E" w:rsidRDefault="0022405E" w:rsidP="0022405E">
      <w:pPr>
        <w:widowControl w:val="0"/>
      </w:pPr>
      <w:r>
        <w:rPr>
          <w:noProof/>
          <w:lang w:eastAsia="en-AU"/>
        </w:rPr>
        <w:drawing>
          <wp:inline distT="0" distB="0" distL="0" distR="0" wp14:anchorId="42C44E36" wp14:editId="5F954763">
            <wp:extent cx="5510150" cy="2624942"/>
            <wp:effectExtent l="0" t="0" r="0" b="4445"/>
            <wp:docPr id="23" name="Picture 23" title="Overview of the lifecycle of a medic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3942" cy="2631512"/>
                    </a:xfrm>
                    <a:prstGeom prst="rect">
                      <a:avLst/>
                    </a:prstGeom>
                    <a:noFill/>
                  </pic:spPr>
                </pic:pic>
              </a:graphicData>
            </a:graphic>
          </wp:inline>
        </w:drawing>
      </w:r>
    </w:p>
    <w:p w14:paraId="43FFAE08" w14:textId="6D3BECB7" w:rsidR="0022405E" w:rsidRDefault="0022405E" w:rsidP="00712FB1">
      <w:pPr>
        <w:pStyle w:val="Figuretitle"/>
      </w:pPr>
      <w:r w:rsidRPr="00A42B32">
        <w:t>Overview of the lifecycle of a medical device</w:t>
      </w:r>
    </w:p>
    <w:p w14:paraId="1A7FD885" w14:textId="77777777" w:rsidR="00DE60E5" w:rsidRDefault="00DE60E5" w:rsidP="00DE60E5">
      <w:pPr>
        <w:rPr>
          <w:color w:val="000000"/>
        </w:rPr>
      </w:pPr>
      <w:r>
        <w:t xml:space="preserve">The TGA is a member of the </w:t>
      </w:r>
      <w:hyperlink r:id="rId17" w:history="1">
        <w:r w:rsidRPr="007E695D">
          <w:rPr>
            <w:rStyle w:val="Hyperlink"/>
          </w:rPr>
          <w:t>International Medical Device Regulators Forum (IMDRF)</w:t>
        </w:r>
      </w:hyperlink>
      <w:r>
        <w:t xml:space="preserve">. </w:t>
      </w:r>
      <w:r>
        <w:rPr>
          <w:color w:val="000000"/>
        </w:rPr>
        <w:t>T</w:t>
      </w:r>
      <w:r w:rsidRPr="003D7768">
        <w:rPr>
          <w:color w:val="000000"/>
        </w:rPr>
        <w:t>he IMDRF</w:t>
      </w:r>
      <w:r>
        <w:rPr>
          <w:color w:val="000000"/>
        </w:rPr>
        <w:t xml:space="preserve"> </w:t>
      </w:r>
      <w:r w:rsidRPr="003D7768">
        <w:rPr>
          <w:color w:val="000000"/>
        </w:rPr>
        <w:t>is a voluntary group of medical device regulators from around the world who work collaboratively on convergence of regulatory approaches</w:t>
      </w:r>
      <w:r>
        <w:rPr>
          <w:color w:val="000000"/>
        </w:rPr>
        <w:t>,</w:t>
      </w:r>
      <w:r w:rsidRPr="003D7768">
        <w:rPr>
          <w:color w:val="000000"/>
        </w:rPr>
        <w:t xml:space="preserve"> </w:t>
      </w:r>
      <w:r>
        <w:rPr>
          <w:color w:val="000000"/>
        </w:rPr>
        <w:t>including</w:t>
      </w:r>
      <w:r w:rsidRPr="003D7768">
        <w:rPr>
          <w:color w:val="000000"/>
        </w:rPr>
        <w:t xml:space="preserve"> working together on emerging regulatory challenges. </w:t>
      </w:r>
      <w:r>
        <w:t>Australia’s approach to the regulation of software-based devices is based on the approach of the IMDRF and is aligned with other international regulators where possible.</w:t>
      </w:r>
    </w:p>
    <w:p w14:paraId="7D6F90AC" w14:textId="3A00934A" w:rsidR="00280DE8" w:rsidRPr="00712FB1" w:rsidRDefault="003C344E" w:rsidP="003C344E">
      <w:pPr>
        <w:pStyle w:val="Heading2"/>
      </w:pPr>
      <w:bookmarkStart w:id="3" w:name="_Toc58337127"/>
      <w:r>
        <w:t xml:space="preserve">TGA regulation of </w:t>
      </w:r>
      <w:r w:rsidR="00DF746F" w:rsidRPr="00712FB1">
        <w:t>software products</w:t>
      </w:r>
      <w:bookmarkEnd w:id="3"/>
    </w:p>
    <w:p w14:paraId="3C0E0933" w14:textId="48989047" w:rsidR="00FA3A0B" w:rsidRDefault="0026045A" w:rsidP="00280DE8">
      <w:r w:rsidRPr="00FA3A0B">
        <w:t>The TGA regulates medical devices in Australia</w:t>
      </w:r>
      <w:r w:rsidR="00D60B76">
        <w:t xml:space="preserve">, including </w:t>
      </w:r>
      <w:r w:rsidR="00FA3A0B" w:rsidRPr="00FA3A0B">
        <w:t>software and mobile apps that meet the definition of a medical device</w:t>
      </w:r>
      <w:r w:rsidR="00C2234F">
        <w:t>, unless otherwise excluded</w:t>
      </w:r>
      <w:r w:rsidR="00FA3A0B" w:rsidRPr="00FA3A0B">
        <w:t>.</w:t>
      </w:r>
    </w:p>
    <w:p w14:paraId="0183C6F8" w14:textId="1FE3D102" w:rsidR="0077375B" w:rsidRDefault="00DF746F" w:rsidP="00DF746F">
      <w:pPr>
        <w:spacing w:before="240" w:after="240" w:line="240" w:lineRule="auto"/>
      </w:pPr>
      <w:r w:rsidRPr="00DF746F">
        <w:t xml:space="preserve">A software product is a medical device if it </w:t>
      </w:r>
      <w:r w:rsidR="00D60B76">
        <w:t>falls within</w:t>
      </w:r>
      <w:r w:rsidRPr="00DF746F">
        <w:t xml:space="preserve"> the definition of a medical device </w:t>
      </w:r>
      <w:r w:rsidR="00844DE8">
        <w:t>under</w:t>
      </w:r>
      <w:r w:rsidRPr="00DF746F">
        <w:t xml:space="preserve"> section 41BD of the </w:t>
      </w:r>
      <w:hyperlink r:id="rId18" w:tgtFrame="_blank" w:tooltip="link to the FRL website" w:history="1">
        <w:r w:rsidRPr="002068E4">
          <w:rPr>
            <w:i/>
          </w:rPr>
          <w:t>Therapeutic Goods Act 1989</w:t>
        </w:r>
      </w:hyperlink>
      <w:r w:rsidRPr="002068E4">
        <w:t>.</w:t>
      </w:r>
      <w:r w:rsidR="00947917" w:rsidRPr="002068E4">
        <w:t xml:space="preserve"> It is the responsibility of the manufactu</w:t>
      </w:r>
      <w:r w:rsidR="002068E4" w:rsidRPr="002068E4">
        <w:t>r</w:t>
      </w:r>
      <w:r w:rsidR="00947917" w:rsidRPr="002068E4">
        <w:t>er to determine if their product is a medical device.</w:t>
      </w:r>
    </w:p>
    <w:p w14:paraId="2B9F8E6D" w14:textId="58B35345" w:rsidR="00802A26" w:rsidRDefault="003C344E" w:rsidP="00DF746F">
      <w:pPr>
        <w:spacing w:before="240" w:after="240" w:line="240" w:lineRule="auto"/>
      </w:pPr>
      <w:r>
        <w:t xml:space="preserve">For more information refer to </w:t>
      </w:r>
      <w:hyperlink r:id="rId19" w:history="1">
        <w:r w:rsidRPr="003C344E">
          <w:rPr>
            <w:rStyle w:val="Hyperlink"/>
          </w:rPr>
          <w:t>Overview of medical devices and IVD regulation</w:t>
        </w:r>
      </w:hyperlink>
      <w:r>
        <w:t>.</w:t>
      </w:r>
    </w:p>
    <w:p w14:paraId="073CC03D" w14:textId="171111E5" w:rsidR="00824EC7" w:rsidRDefault="00183528" w:rsidP="002A358D">
      <w:r>
        <w:t>These</w:t>
      </w:r>
      <w:r w:rsidR="007315B1">
        <w:t xml:space="preserve"> </w:t>
      </w:r>
      <w:r>
        <w:t>s</w:t>
      </w:r>
      <w:r w:rsidR="007315B1">
        <w:t xml:space="preserve">oftware products </w:t>
      </w:r>
      <w:r w:rsidR="00236083">
        <w:t>are also</w:t>
      </w:r>
      <w:r w:rsidR="002068E4">
        <w:t xml:space="preserve"> </w:t>
      </w:r>
      <w:r w:rsidR="006638E6">
        <w:t>increasingly known as</w:t>
      </w:r>
      <w:r w:rsidR="002068E4">
        <w:t xml:space="preserve"> ‘digital’ technologies; they </w:t>
      </w:r>
      <w:r w:rsidR="007315B1">
        <w:t>may function on either general computing platforms (such as computers, mobile phones or tablets), or require specialised hardware to perform their intended function.</w:t>
      </w:r>
    </w:p>
    <w:p w14:paraId="40A78CFF" w14:textId="5CC38ED9" w:rsidR="005039D7" w:rsidRDefault="005039D7" w:rsidP="00E57B48">
      <w:r>
        <w:lastRenderedPageBreak/>
        <w:t xml:space="preserve">The TGA also regulates </w:t>
      </w:r>
      <w:r w:rsidRPr="00712FB1">
        <w:t>in vitro</w:t>
      </w:r>
      <w:r>
        <w:t xml:space="preserve"> diagnostic (IVD) medical device software. IVD software is regulated differently to other medical device software and is not covered here. See </w:t>
      </w:r>
      <w:hyperlink r:id="rId20" w:history="1">
        <w:r w:rsidRPr="005039D7">
          <w:rPr>
            <w:rStyle w:val="Hyperlink"/>
          </w:rPr>
          <w:t>Software as in vitro diagnostic medical devices (IVDs)</w:t>
        </w:r>
      </w:hyperlink>
      <w:r>
        <w:t xml:space="preserve"> for more information.</w:t>
      </w:r>
    </w:p>
    <w:p w14:paraId="421B643D" w14:textId="77777777" w:rsidR="005C1FCB" w:rsidRDefault="005C1FCB" w:rsidP="00E57B48">
      <w:r w:rsidRPr="00023122">
        <w:t xml:space="preserve">Many </w:t>
      </w:r>
      <w:r>
        <w:t xml:space="preserve">software products, including some </w:t>
      </w:r>
      <w:r w:rsidRPr="00023122">
        <w:t>mobile apps</w:t>
      </w:r>
      <w:r>
        <w:t xml:space="preserve">, </w:t>
      </w:r>
      <w:r w:rsidRPr="00023122">
        <w:t>are simply sources of information or tools to manage a healthy lifestyle. The TGA does not regulate health and lifestyle apps</w:t>
      </w:r>
      <w:r>
        <w:t xml:space="preserve"> or</w:t>
      </w:r>
      <w:r w:rsidRPr="00023122">
        <w:t xml:space="preserve"> software that do</w:t>
      </w:r>
      <w:r>
        <w:t>es</w:t>
      </w:r>
      <w:r w:rsidRPr="00023122">
        <w:t xml:space="preserve"> not meet the definition of a medical device</w:t>
      </w:r>
      <w:r>
        <w:t>.</w:t>
      </w:r>
    </w:p>
    <w:p w14:paraId="49953215" w14:textId="77777777" w:rsidR="00C2234F" w:rsidRDefault="005C1FCB" w:rsidP="00E57B48">
      <w:r w:rsidRPr="00F90828">
        <w:t>Recent reforms have been implemented to clarify the boundary of regulated software products, including a number of exclusions</w:t>
      </w:r>
      <w:r w:rsidR="00C2234F">
        <w:t xml:space="preserve"> and an exemption</w:t>
      </w:r>
      <w:r w:rsidRPr="00F90828">
        <w:t xml:space="preserve"> for specific types of software products</w:t>
      </w:r>
      <w:r w:rsidR="00C2234F">
        <w:t>.</w:t>
      </w:r>
    </w:p>
    <w:p w14:paraId="6B00462C" w14:textId="77777777" w:rsidR="00C2234F" w:rsidRDefault="00C2234F">
      <w:pPr>
        <w:spacing w:before="0" w:after="0" w:line="240" w:lineRule="auto"/>
      </w:pPr>
      <w:r>
        <w:rPr>
          <w:rFonts w:cstheme="minorHAnsi"/>
          <w:noProof/>
          <w:sz w:val="24"/>
          <w:szCs w:val="24"/>
          <w:lang w:eastAsia="en-AU"/>
        </w:rPr>
        <w:drawing>
          <wp:inline distT="0" distB="0" distL="0" distR="0" wp14:anchorId="11A74E94" wp14:editId="5A7E476D">
            <wp:extent cx="5192585" cy="148232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7112" cy="1495031"/>
                    </a:xfrm>
                    <a:prstGeom prst="rect">
                      <a:avLst/>
                    </a:prstGeom>
                    <a:noFill/>
                  </pic:spPr>
                </pic:pic>
              </a:graphicData>
            </a:graphic>
          </wp:inline>
        </w:drawing>
      </w:r>
    </w:p>
    <w:p w14:paraId="76D8EC3F" w14:textId="028AB5B0" w:rsidR="005039D7" w:rsidRDefault="006324BE" w:rsidP="00E57B48">
      <w:pPr>
        <w:rPr>
          <w:rFonts w:ascii="Arial" w:eastAsia="Times New Roman" w:hAnsi="Arial"/>
          <w:b/>
          <w:bCs/>
          <w:sz w:val="32"/>
          <w:szCs w:val="32"/>
        </w:rPr>
      </w:pPr>
      <w:r>
        <w:t>S</w:t>
      </w:r>
      <w:r w:rsidR="005C1FCB" w:rsidRPr="00D74BD4">
        <w:t xml:space="preserve">ee </w:t>
      </w:r>
      <w:hyperlink r:id="rId22" w:history="1">
        <w:r w:rsidR="005C1FCB" w:rsidRPr="00E57B48">
          <w:rPr>
            <w:rStyle w:val="Hyperlink"/>
          </w:rPr>
          <w:t>Is my software regulated?</w:t>
        </w:r>
      </w:hyperlink>
      <w:r w:rsidR="00C373C4">
        <w:rPr>
          <w:rStyle w:val="Hyperlink"/>
        </w:rPr>
        <w:t>,</w:t>
      </w:r>
      <w:r w:rsidR="005C1FCB" w:rsidRPr="00D74BD4">
        <w:t xml:space="preserve"> </w:t>
      </w:r>
      <w:hyperlink r:id="rId23" w:history="1">
        <w:r w:rsidR="00193563" w:rsidRPr="00193563">
          <w:rPr>
            <w:rStyle w:val="Hyperlink"/>
          </w:rPr>
          <w:t>Examples of regulated and unregulated (excluded) software based medical devices</w:t>
        </w:r>
      </w:hyperlink>
      <w:r w:rsidR="00C373C4" w:rsidRPr="004810DF">
        <w:rPr>
          <w:rStyle w:val="Hyperlink"/>
          <w:color w:val="auto"/>
          <w:u w:val="none"/>
        </w:rPr>
        <w:t xml:space="preserve"> and </w:t>
      </w:r>
      <w:hyperlink r:id="rId24" w:history="1">
        <w:r w:rsidR="00C373C4" w:rsidRPr="00C92E6F">
          <w:rPr>
            <w:rStyle w:val="Hyperlink"/>
          </w:rPr>
          <w:t>Clinical Decision Support Software</w:t>
        </w:r>
      </w:hyperlink>
      <w:r w:rsidR="00193563" w:rsidRPr="00193563">
        <w:t xml:space="preserve"> </w:t>
      </w:r>
      <w:r w:rsidR="005C1FCB" w:rsidRPr="00D74BD4">
        <w:t>for further information on determining if your software is regulated.</w:t>
      </w:r>
    </w:p>
    <w:p w14:paraId="2ACCBED2" w14:textId="77777777" w:rsidR="0068449C" w:rsidRDefault="0068449C" w:rsidP="00E57B48">
      <w:pPr>
        <w:pStyle w:val="Heading3"/>
      </w:pPr>
      <w:bookmarkStart w:id="4" w:name="_Toc58337128"/>
      <w:r>
        <w:t>Software as a Medical Device</w:t>
      </w:r>
      <w:bookmarkEnd w:id="4"/>
    </w:p>
    <w:p w14:paraId="0BC143E7" w14:textId="77777777" w:rsidR="00572D68" w:rsidRDefault="0068449C" w:rsidP="0068449C">
      <w:r>
        <w:t xml:space="preserve">The term Software as a Medical Device (or SaMD) refers to software that </w:t>
      </w:r>
      <w:r w:rsidR="005039D7">
        <w:t xml:space="preserve">can </w:t>
      </w:r>
      <w:r>
        <w:t>function</w:t>
      </w:r>
      <w:r w:rsidR="005039D7">
        <w:t xml:space="preserve"> </w:t>
      </w:r>
      <w:r>
        <w:t>on</w:t>
      </w:r>
      <w:r w:rsidR="005039D7">
        <w:t xml:space="preserve">, for example, a </w:t>
      </w:r>
      <w:r>
        <w:t xml:space="preserve">laptop computer, smartphone or tablet, and </w:t>
      </w:r>
      <w:r w:rsidR="005039D7">
        <w:t xml:space="preserve">has </w:t>
      </w:r>
      <w:r>
        <w:t xml:space="preserve">an intended purpose consistent with the </w:t>
      </w:r>
      <w:r w:rsidR="00BC462B">
        <w:t>definition of a medical device. This could be any kind of software, including but not limited to: computer programs and applications, mobile apps, software as a service (cloud based), websites and browser delivered products.</w:t>
      </w:r>
    </w:p>
    <w:p w14:paraId="660E6D4E" w14:textId="300E7520" w:rsidR="00236271" w:rsidRPr="00236271" w:rsidRDefault="00001A35" w:rsidP="0068449C">
      <w:r>
        <w:t xml:space="preserve">Software </w:t>
      </w:r>
      <w:r w:rsidR="00355884">
        <w:t xml:space="preserve">would generally be a medical device if it is </w:t>
      </w:r>
      <w:r w:rsidR="00D317EB" w:rsidRPr="00236271">
        <w:t>intended to be used for</w:t>
      </w:r>
      <w:r w:rsidR="00236271" w:rsidRPr="00236271">
        <w:t>:</w:t>
      </w:r>
    </w:p>
    <w:p w14:paraId="5284257F" w14:textId="35B02BB6" w:rsidR="00236271" w:rsidRPr="00236271" w:rsidRDefault="00D317EB" w:rsidP="00712FB1">
      <w:pPr>
        <w:pStyle w:val="ListBullet"/>
      </w:pPr>
      <w:r w:rsidRPr="00236271">
        <w:t>diagnosis, prevention, monitoring,</w:t>
      </w:r>
      <w:r w:rsidR="00D60D30" w:rsidRPr="00D60D30">
        <w:rPr>
          <w:color w:val="000000"/>
          <w:szCs w:val="22"/>
          <w:shd w:val="clear" w:color="auto" w:fill="FFFFFF"/>
        </w:rPr>
        <w:t xml:space="preserve"> </w:t>
      </w:r>
      <w:r w:rsidR="00D60D30">
        <w:rPr>
          <w:color w:val="000000"/>
          <w:szCs w:val="22"/>
          <w:shd w:val="clear" w:color="auto" w:fill="FFFFFF"/>
        </w:rPr>
        <w:t>prediction, prognosis</w:t>
      </w:r>
      <w:r w:rsidRPr="00236271">
        <w:t xml:space="preserve"> </w:t>
      </w:r>
      <w:r w:rsidR="00236271" w:rsidRPr="00236271">
        <w:t xml:space="preserve">or </w:t>
      </w:r>
      <w:r w:rsidRPr="00236271">
        <w:t>treatment of a</w:t>
      </w:r>
      <w:r w:rsidR="00D60D30">
        <w:t xml:space="preserve"> disease, injury or disability</w:t>
      </w:r>
    </w:p>
    <w:p w14:paraId="329F6303" w14:textId="4289ABDA" w:rsidR="00236271" w:rsidRPr="00236271" w:rsidRDefault="00D317EB" w:rsidP="00712FB1">
      <w:pPr>
        <w:pStyle w:val="ListBullet"/>
      </w:pPr>
      <w:r w:rsidRPr="00236271">
        <w:t>compensation for an injury or disability</w:t>
      </w:r>
    </w:p>
    <w:p w14:paraId="27A636D1" w14:textId="36928FA8" w:rsidR="00236271" w:rsidRPr="00236271" w:rsidRDefault="00D317EB" w:rsidP="00712FB1">
      <w:pPr>
        <w:pStyle w:val="ListBullet"/>
      </w:pPr>
      <w:r w:rsidRPr="00236271">
        <w:t>investigation of the anatomy or of a ph</w:t>
      </w:r>
      <w:r w:rsidR="00D60D30">
        <w:t>ysiologic</w:t>
      </w:r>
      <w:r w:rsidR="00BF23A0">
        <w:t>al</w:t>
      </w:r>
      <w:r w:rsidR="00D60D30">
        <w:t xml:space="preserve"> process</w:t>
      </w:r>
    </w:p>
    <w:p w14:paraId="2E91C9C4" w14:textId="17E25264" w:rsidR="00D317EB" w:rsidRDefault="00236271" w:rsidP="00712FB1">
      <w:pPr>
        <w:pStyle w:val="ListBullet"/>
      </w:pPr>
      <w:r w:rsidRPr="00236271">
        <w:t xml:space="preserve">to </w:t>
      </w:r>
      <w:r w:rsidR="00D317EB" w:rsidRPr="00236271">
        <w:t>control conception</w:t>
      </w:r>
    </w:p>
    <w:p w14:paraId="7CDD9B63" w14:textId="1035E328" w:rsidR="00BF23A0" w:rsidRDefault="00506E40" w:rsidP="00927ECD">
      <w:r>
        <w:t xml:space="preserve">Note: Monitoring in this instance refers specifically to </w:t>
      </w:r>
      <w:r w:rsidR="006347E0">
        <w:t xml:space="preserve">the active, clinical </w:t>
      </w:r>
      <w:r w:rsidRPr="00506E40">
        <w:t xml:space="preserve">monitoring </w:t>
      </w:r>
      <w:r w:rsidR="006347E0">
        <w:t xml:space="preserve">of </w:t>
      </w:r>
      <w:r w:rsidR="0035450F">
        <w:t>a</w:t>
      </w:r>
      <w:r w:rsidRPr="00506E40">
        <w:t xml:space="preserve"> disease</w:t>
      </w:r>
      <w:r w:rsidR="0035450F">
        <w:t>,</w:t>
      </w:r>
      <w:r w:rsidRPr="00506E40">
        <w:t xml:space="preserve"> </w:t>
      </w:r>
      <w:r w:rsidR="0035450F">
        <w:t>injury or disability</w:t>
      </w:r>
      <w:r>
        <w:t xml:space="preserve">. </w:t>
      </w:r>
      <w:r w:rsidR="006347E0">
        <w:t>For example, this</w:t>
      </w:r>
      <w:r>
        <w:t xml:space="preserve"> definition does not include software for indirect monitoring activities such as</w:t>
      </w:r>
      <w:r w:rsidR="0035450F">
        <w:t xml:space="preserve"> </w:t>
      </w:r>
      <w:r>
        <w:t>r</w:t>
      </w:r>
      <w:r w:rsidR="0035450F">
        <w:t>egularly</w:t>
      </w:r>
      <w:r>
        <w:t xml:space="preserve"> review</w:t>
      </w:r>
      <w:r w:rsidR="0035450F">
        <w:t>ing</w:t>
      </w:r>
      <w:r>
        <w:t xml:space="preserve"> an individual’s health records to determine if they meet the criteria to participate in a screening program</w:t>
      </w:r>
      <w:r w:rsidR="0035450F">
        <w:t xml:space="preserve"> for a particular disease</w:t>
      </w:r>
      <w:r w:rsidR="006347E0">
        <w:t>, or they are due for a particular medical assessment</w:t>
      </w:r>
      <w:r w:rsidR="0035450F">
        <w:t>.</w:t>
      </w:r>
    </w:p>
    <w:p w14:paraId="7BD56B38" w14:textId="63261E71" w:rsidR="00927ECD" w:rsidRPr="00B945BF" w:rsidRDefault="0068449C" w:rsidP="00927ECD">
      <w:r w:rsidRPr="00236271">
        <w:t xml:space="preserve">Some SaMD </w:t>
      </w:r>
      <w:r w:rsidR="0033759A">
        <w:t>may</w:t>
      </w:r>
      <w:r w:rsidRPr="00236271">
        <w:t xml:space="preserve"> be </w:t>
      </w:r>
      <w:proofErr w:type="spellStart"/>
      <w:r w:rsidRPr="00236271">
        <w:t>a</w:t>
      </w:r>
      <w:proofErr w:type="spellEnd"/>
      <w:r w:rsidRPr="00236271">
        <w:t xml:space="preserve"> accessory to a medical device</w:t>
      </w:r>
      <w:r w:rsidR="001F5DA8">
        <w:t>. Accessories are regulated as separate medical devices</w:t>
      </w:r>
      <w:r w:rsidRPr="00236271">
        <w:t>.</w:t>
      </w:r>
    </w:p>
    <w:tbl>
      <w:tblPr>
        <w:tblW w:w="7762" w:type="dxa"/>
        <w:tblLayout w:type="fixed"/>
        <w:tblCellMar>
          <w:left w:w="0" w:type="dxa"/>
          <w:right w:w="0" w:type="dxa"/>
        </w:tblCellMar>
        <w:tblLook w:val="04A0" w:firstRow="1" w:lastRow="0" w:firstColumn="1" w:lastColumn="0" w:noHBand="0" w:noVBand="1"/>
      </w:tblPr>
      <w:tblGrid>
        <w:gridCol w:w="7762"/>
      </w:tblGrid>
      <w:tr w:rsidR="00927ECD" w:rsidRPr="00215D48" w14:paraId="00BA1627" w14:textId="77777777" w:rsidTr="001246BA">
        <w:tc>
          <w:tcPr>
            <w:tcW w:w="7762" w:type="dxa"/>
            <w:shd w:val="clear" w:color="auto" w:fill="D2EDFF" w:themeFill="text1" w:themeFillTint="1A"/>
            <w:tcMar>
              <w:top w:w="170" w:type="dxa"/>
              <w:left w:w="170" w:type="dxa"/>
              <w:bottom w:w="170" w:type="dxa"/>
              <w:right w:w="170" w:type="dxa"/>
            </w:tcMar>
            <w:vAlign w:val="center"/>
          </w:tcPr>
          <w:p w14:paraId="457F3995" w14:textId="2272AA8B" w:rsidR="00927ECD" w:rsidRPr="00D538E6" w:rsidRDefault="00516732" w:rsidP="00516732">
            <w:pPr>
              <w:pStyle w:val="ListBullet"/>
              <w:pageBreakBefore/>
              <w:numPr>
                <w:ilvl w:val="0"/>
                <w:numId w:val="0"/>
              </w:numPr>
              <w:ind w:left="357" w:hanging="357"/>
              <w:rPr>
                <w:b/>
              </w:rPr>
            </w:pPr>
            <w:r>
              <w:rPr>
                <w:b/>
              </w:rPr>
              <w:lastRenderedPageBreak/>
              <w:t>Examples:</w:t>
            </w:r>
          </w:p>
          <w:p w14:paraId="3CD0D4E2" w14:textId="005372F7" w:rsidR="00927ECD" w:rsidRPr="00D538E6" w:rsidRDefault="00927ECD" w:rsidP="00927ECD">
            <w:pPr>
              <w:pStyle w:val="ListBullet"/>
              <w:numPr>
                <w:ilvl w:val="0"/>
                <w:numId w:val="1"/>
              </w:numPr>
            </w:pPr>
            <w:r w:rsidRPr="00D538E6">
              <w:t>An example of SaMD is software that takes user input, such as a questionnaire, and uses this information to diagnose a p</w:t>
            </w:r>
            <w:r w:rsidR="00516732">
              <w:t>articular condition or disease.</w:t>
            </w:r>
          </w:p>
          <w:p w14:paraId="3283AE14" w14:textId="158740A0" w:rsidR="00927ECD" w:rsidRPr="00215D48" w:rsidRDefault="00927ECD" w:rsidP="00953EDD">
            <w:pPr>
              <w:pStyle w:val="ListBullet"/>
              <w:numPr>
                <w:ilvl w:val="0"/>
                <w:numId w:val="1"/>
              </w:numPr>
            </w:pPr>
            <w:r w:rsidRPr="00D538E6">
              <w:t>A mobile phone app that connects via Bluetooth to a blood pressure cuff to obtain readings used to track the blood pressure in the individual wearing the cuff. This is a medical device as it is intended to be used to monitor symptoms related to a disease (such as hypertension).</w:t>
            </w:r>
          </w:p>
        </w:tc>
      </w:tr>
    </w:tbl>
    <w:p w14:paraId="6F29368E" w14:textId="77777777" w:rsidR="00A7513B" w:rsidRDefault="00A7513B" w:rsidP="00516732">
      <w:pPr>
        <w:pStyle w:val="Heading3"/>
      </w:pPr>
      <w:bookmarkStart w:id="5" w:name="_Toc58337129"/>
      <w:r>
        <w:t>Software that is part of a device</w:t>
      </w:r>
      <w:bookmarkEnd w:id="5"/>
    </w:p>
    <w:p w14:paraId="1ACB894F" w14:textId="50E7FBF7" w:rsidR="00927ECD" w:rsidRPr="00B945BF" w:rsidRDefault="0068449C" w:rsidP="00927ECD">
      <w:r>
        <w:t xml:space="preserve">Software can be part of a device when it is integral to the </w:t>
      </w:r>
      <w:r w:rsidR="00D051AE">
        <w:t xml:space="preserve">functioning of that device. </w:t>
      </w:r>
      <w:r w:rsidR="00572FCD">
        <w:t>This software</w:t>
      </w:r>
      <w:r w:rsidR="0033759A">
        <w:t xml:space="preserve"> is</w:t>
      </w:r>
      <w:r w:rsidR="00572FCD">
        <w:t xml:space="preserve"> sometimes referred to as </w:t>
      </w:r>
      <w:proofErr w:type="spellStart"/>
      <w:r w:rsidR="00572FCD">
        <w:t>SiMD</w:t>
      </w:r>
      <w:proofErr w:type="spellEnd"/>
      <w:r w:rsidR="00572FCD">
        <w:t xml:space="preserve"> (software in a medical device) and is</w:t>
      </w:r>
      <w:r w:rsidR="00002EFE">
        <w:t xml:space="preserve"> usually</w:t>
      </w:r>
      <w:r w:rsidR="00572FCD">
        <w:t xml:space="preserve"> </w:t>
      </w:r>
      <w:r w:rsidR="009325F5">
        <w:t xml:space="preserve">supplied with the hardware device. The </w:t>
      </w:r>
      <w:r w:rsidR="00D051AE">
        <w:t xml:space="preserve">TGA regulates </w:t>
      </w:r>
      <w:r w:rsidR="005B7039">
        <w:t>this software as</w:t>
      </w:r>
      <w:r w:rsidR="00D051AE">
        <w:t xml:space="preserve"> part of that device.</w:t>
      </w:r>
    </w:p>
    <w:tbl>
      <w:tblPr>
        <w:tblW w:w="7762" w:type="dxa"/>
        <w:tblLayout w:type="fixed"/>
        <w:tblCellMar>
          <w:left w:w="0" w:type="dxa"/>
          <w:right w:w="0" w:type="dxa"/>
        </w:tblCellMar>
        <w:tblLook w:val="04A0" w:firstRow="1" w:lastRow="0" w:firstColumn="1" w:lastColumn="0" w:noHBand="0" w:noVBand="1"/>
      </w:tblPr>
      <w:tblGrid>
        <w:gridCol w:w="7762"/>
      </w:tblGrid>
      <w:tr w:rsidR="00927ECD" w:rsidRPr="00215D48" w14:paraId="5D48222B" w14:textId="77777777" w:rsidTr="001246BA">
        <w:tc>
          <w:tcPr>
            <w:tcW w:w="7762" w:type="dxa"/>
            <w:shd w:val="clear" w:color="auto" w:fill="D2EDFF" w:themeFill="text1" w:themeFillTint="1A"/>
            <w:tcMar>
              <w:top w:w="170" w:type="dxa"/>
              <w:left w:w="170" w:type="dxa"/>
              <w:bottom w:w="170" w:type="dxa"/>
              <w:right w:w="170" w:type="dxa"/>
            </w:tcMar>
            <w:vAlign w:val="center"/>
          </w:tcPr>
          <w:p w14:paraId="0D5F6522" w14:textId="77777777" w:rsidR="00927ECD" w:rsidRPr="00D538E6" w:rsidRDefault="00927ECD" w:rsidP="001246BA">
            <w:pPr>
              <w:rPr>
                <w:b/>
              </w:rPr>
            </w:pPr>
            <w:r w:rsidRPr="00D538E6">
              <w:rPr>
                <w:b/>
              </w:rPr>
              <w:t>Example:</w:t>
            </w:r>
          </w:p>
          <w:p w14:paraId="1FB77D21" w14:textId="77777777" w:rsidR="00927ECD" w:rsidRPr="00D538E6" w:rsidRDefault="00927ECD" w:rsidP="001246BA">
            <w:r w:rsidRPr="00D538E6">
              <w:t>The embedded software or firmware in a cardiac pacemaker is regulated as a component of that pacemaker, because it is supplied as part of the device and is necessary for the device to function.</w:t>
            </w:r>
          </w:p>
        </w:tc>
      </w:tr>
    </w:tbl>
    <w:p w14:paraId="36814F44" w14:textId="77777777" w:rsidR="00A7513B" w:rsidRPr="00335472" w:rsidRDefault="00D10385" w:rsidP="00335472">
      <w:pPr>
        <w:pStyle w:val="Heading3"/>
      </w:pPr>
      <w:bookmarkStart w:id="6" w:name="_Toc58337130"/>
      <w:r>
        <w:t>Software</w:t>
      </w:r>
      <w:r w:rsidR="00A7513B" w:rsidRPr="00335472">
        <w:t xml:space="preserve"> that control</w:t>
      </w:r>
      <w:r>
        <w:t>s</w:t>
      </w:r>
      <w:r w:rsidR="00A7513B" w:rsidRPr="00335472">
        <w:t xml:space="preserve"> a medical device</w:t>
      </w:r>
      <w:bookmarkEnd w:id="6"/>
    </w:p>
    <w:p w14:paraId="19CAB48E" w14:textId="152B9995" w:rsidR="009325F5" w:rsidRDefault="00A7513B" w:rsidP="00335472">
      <w:r>
        <w:t xml:space="preserve">Some </w:t>
      </w:r>
      <w:r w:rsidR="00D10385">
        <w:t xml:space="preserve">software, including </w:t>
      </w:r>
      <w:r>
        <w:t>mobile apps</w:t>
      </w:r>
      <w:r w:rsidR="00D10385">
        <w:t>,</w:t>
      </w:r>
      <w:r>
        <w:t xml:space="preserve"> can control or adjust a medical device through</w:t>
      </w:r>
      <w:r w:rsidR="00335472">
        <w:t xml:space="preserve"> a connection, either physical or utilising</w:t>
      </w:r>
      <w:r w:rsidR="009325F5">
        <w:t xml:space="preserve"> wireless technology such as</w:t>
      </w:r>
      <w:r w:rsidR="00516732">
        <w:t xml:space="preserve"> Bluetooth or </w:t>
      </w:r>
      <w:proofErr w:type="spellStart"/>
      <w:r w:rsidR="00516732">
        <w:t>WiFi</w:t>
      </w:r>
      <w:proofErr w:type="spellEnd"/>
      <w:r w:rsidR="00516732">
        <w:t xml:space="preserve"> features.</w:t>
      </w:r>
    </w:p>
    <w:p w14:paraId="107D5EB1" w14:textId="4E41C9A9" w:rsidR="00236271" w:rsidRDefault="00286451" w:rsidP="00280DE8">
      <w:r>
        <w:t>Where</w:t>
      </w:r>
      <w:r w:rsidR="00B15EE8">
        <w:t xml:space="preserve"> software </w:t>
      </w:r>
      <w:r w:rsidR="00B15EE8" w:rsidRPr="00B15EE8">
        <w:t>drive</w:t>
      </w:r>
      <w:r w:rsidR="00B15EE8">
        <w:t>s</w:t>
      </w:r>
      <w:r w:rsidR="00B15EE8" w:rsidRPr="00B15EE8">
        <w:t xml:space="preserve"> or influence</w:t>
      </w:r>
      <w:r w:rsidR="00B15EE8">
        <w:t xml:space="preserve">s a medical device, </w:t>
      </w:r>
      <w:r w:rsidR="00B15EE8" w:rsidRPr="00B15EE8">
        <w:t>the software has the same classification as the medical device.</w:t>
      </w:r>
    </w:p>
    <w:p w14:paraId="293F2643" w14:textId="00C704AF" w:rsidR="00D07C66" w:rsidRPr="00B945BF" w:rsidRDefault="00B15EE8" w:rsidP="00516732">
      <w:r>
        <w:t>Software or an accessory to a medical device is a medical device in its own right if it is supplied separately from the related device.</w:t>
      </w:r>
    </w:p>
    <w:tbl>
      <w:tblPr>
        <w:tblW w:w="7762" w:type="dxa"/>
        <w:tblLayout w:type="fixed"/>
        <w:tblCellMar>
          <w:left w:w="0" w:type="dxa"/>
          <w:right w:w="0" w:type="dxa"/>
        </w:tblCellMar>
        <w:tblLook w:val="04A0" w:firstRow="1" w:lastRow="0" w:firstColumn="1" w:lastColumn="0" w:noHBand="0" w:noVBand="1"/>
      </w:tblPr>
      <w:tblGrid>
        <w:gridCol w:w="7762"/>
      </w:tblGrid>
      <w:tr w:rsidR="00D07C66" w:rsidRPr="00215D48" w14:paraId="6B6D59B4" w14:textId="77777777" w:rsidTr="001246BA">
        <w:tc>
          <w:tcPr>
            <w:tcW w:w="7762" w:type="dxa"/>
            <w:shd w:val="clear" w:color="auto" w:fill="D2EDFF" w:themeFill="text1" w:themeFillTint="1A"/>
            <w:tcMar>
              <w:top w:w="170" w:type="dxa"/>
              <w:left w:w="170" w:type="dxa"/>
              <w:bottom w:w="170" w:type="dxa"/>
              <w:right w:w="170" w:type="dxa"/>
            </w:tcMar>
            <w:vAlign w:val="center"/>
          </w:tcPr>
          <w:p w14:paraId="76AB8FEF" w14:textId="77777777" w:rsidR="00D07C66" w:rsidRPr="00D51503" w:rsidRDefault="00D07C66" w:rsidP="001246BA">
            <w:pPr>
              <w:rPr>
                <w:b/>
              </w:rPr>
            </w:pPr>
            <w:r w:rsidRPr="00D51503">
              <w:rPr>
                <w:b/>
              </w:rPr>
              <w:t>Example:</w:t>
            </w:r>
          </w:p>
          <w:p w14:paraId="2EBDBB7C" w14:textId="77777777" w:rsidR="00D07C66" w:rsidRPr="00D51503" w:rsidRDefault="00D07C66" w:rsidP="00D07C66">
            <w:pPr>
              <w:pStyle w:val="ListBullet"/>
              <w:numPr>
                <w:ilvl w:val="0"/>
                <w:numId w:val="1"/>
              </w:numPr>
            </w:pPr>
            <w:r w:rsidRPr="00D51503">
              <w:t>Pacemaker programmer and controller software for use on a personal computer or laptop.</w:t>
            </w:r>
          </w:p>
          <w:p w14:paraId="3FCE6109" w14:textId="77777777" w:rsidR="00D07C66" w:rsidRPr="00D538E6" w:rsidRDefault="00D07C66" w:rsidP="00D07C66">
            <w:pPr>
              <w:pStyle w:val="ListBullet"/>
              <w:numPr>
                <w:ilvl w:val="0"/>
                <w:numId w:val="1"/>
              </w:numPr>
            </w:pPr>
            <w:r w:rsidRPr="00D51503">
              <w:t>An instance of cochlear implant configuration/optimisation software for use on a personal computer or laptop.</w:t>
            </w:r>
          </w:p>
        </w:tc>
      </w:tr>
    </w:tbl>
    <w:p w14:paraId="4982C214" w14:textId="440D331D" w:rsidR="008F37DB" w:rsidRPr="00712FB1" w:rsidRDefault="00D07C66">
      <w:pPr>
        <w:pStyle w:val="Heading2"/>
      </w:pPr>
      <w:bookmarkStart w:id="7" w:name="_Toc58337131"/>
      <w:r w:rsidRPr="00712FB1">
        <w:t>Key regulations</w:t>
      </w:r>
      <w:bookmarkEnd w:id="7"/>
    </w:p>
    <w:p w14:paraId="385C6517" w14:textId="77777777" w:rsidR="0038631C" w:rsidRPr="00AD2CCE" w:rsidRDefault="00137DA3" w:rsidP="0038631C">
      <w:r>
        <w:t xml:space="preserve">The TGA regulates software under the existing medical device framework. </w:t>
      </w:r>
      <w:r w:rsidR="0038631C" w:rsidRPr="00AD2CCE">
        <w:t xml:space="preserve">The </w:t>
      </w:r>
      <w:r w:rsidR="00193B36">
        <w:t>legislation forming the</w:t>
      </w:r>
      <w:r w:rsidR="0038631C" w:rsidRPr="00AD2CCE">
        <w:t xml:space="preserve"> basis for </w:t>
      </w:r>
      <w:r w:rsidR="00193B36">
        <w:t xml:space="preserve">the regulation of medical devices in </w:t>
      </w:r>
      <w:r w:rsidR="0038631C" w:rsidRPr="00AD2CCE">
        <w:t>Australia</w:t>
      </w:r>
      <w:r w:rsidR="00193B36">
        <w:t xml:space="preserve"> is</w:t>
      </w:r>
      <w:r w:rsidR="0038631C" w:rsidRPr="00AD2CCE">
        <w:t>:</w:t>
      </w:r>
    </w:p>
    <w:p w14:paraId="4B9EE571" w14:textId="466C354A" w:rsidR="0038631C" w:rsidRPr="004C00F4" w:rsidRDefault="0038631C" w:rsidP="0038631C">
      <w:pPr>
        <w:pStyle w:val="ListBullet"/>
        <w:rPr>
          <w:i/>
        </w:rPr>
      </w:pPr>
      <w:r w:rsidRPr="007B6C21">
        <w:t>the</w:t>
      </w:r>
      <w:r w:rsidRPr="007B6C21">
        <w:rPr>
          <w:i/>
        </w:rPr>
        <w:t xml:space="preserve"> </w:t>
      </w:r>
      <w:hyperlink r:id="rId25" w:history="1">
        <w:r w:rsidRPr="00EE67EC">
          <w:rPr>
            <w:rStyle w:val="Hyperlink"/>
            <w:i/>
          </w:rPr>
          <w:t>Therapeutic Goods Act 1989</w:t>
        </w:r>
      </w:hyperlink>
      <w:r w:rsidRPr="004C00F4">
        <w:rPr>
          <w:i/>
        </w:rPr>
        <w:t xml:space="preserve"> </w:t>
      </w:r>
      <w:r w:rsidRPr="004C00F4">
        <w:t>(the Act)</w:t>
      </w:r>
    </w:p>
    <w:p w14:paraId="29D501D5" w14:textId="485019A8" w:rsidR="0038631C" w:rsidRPr="004C00F4" w:rsidRDefault="0038631C" w:rsidP="0038631C">
      <w:pPr>
        <w:pStyle w:val="ListBullet"/>
      </w:pPr>
      <w:r w:rsidRPr="007B6C21">
        <w:lastRenderedPageBreak/>
        <w:t>the</w:t>
      </w:r>
      <w:r w:rsidRPr="004C00F4">
        <w:rPr>
          <w:i/>
        </w:rPr>
        <w:t xml:space="preserve"> </w:t>
      </w:r>
      <w:hyperlink r:id="rId26" w:history="1">
        <w:r w:rsidRPr="00EE67EC">
          <w:rPr>
            <w:rStyle w:val="Hyperlink"/>
            <w:i/>
          </w:rPr>
          <w:t>Therapeutic Goods (Medical Devices) Regulations 2002</w:t>
        </w:r>
      </w:hyperlink>
      <w:r w:rsidRPr="004C00F4">
        <w:rPr>
          <w:i/>
        </w:rPr>
        <w:t xml:space="preserve"> </w:t>
      </w:r>
      <w:r w:rsidRPr="004C00F4">
        <w:t>(the Regulations)</w:t>
      </w:r>
    </w:p>
    <w:p w14:paraId="6BB423CA" w14:textId="3949F25F" w:rsidR="0038631C" w:rsidRDefault="00B3306E" w:rsidP="00193B36">
      <w:r>
        <w:t>C</w:t>
      </w:r>
      <w:r w:rsidR="00193B36">
        <w:t>hapter 4 of the Act relates to medical devices and is intended to ensure the safety and satisfactory performance of medical devices</w:t>
      </w:r>
      <w:r>
        <w:t>.</w:t>
      </w:r>
    </w:p>
    <w:p w14:paraId="78CDED4C" w14:textId="1DDA1C6B" w:rsidR="00193B36" w:rsidRDefault="00E97A8B" w:rsidP="002E2DCB">
      <w:r>
        <w:t>T</w:t>
      </w:r>
      <w:r w:rsidR="00193B36">
        <w:t>he</w:t>
      </w:r>
      <w:r w:rsidR="00193B36" w:rsidRPr="002E2DCB">
        <w:rPr>
          <w:b/>
        </w:rPr>
        <w:t xml:space="preserve"> classification rules</w:t>
      </w:r>
      <w:r w:rsidR="00CC260A" w:rsidRPr="002E2DCB">
        <w:rPr>
          <w:b/>
        </w:rPr>
        <w:t>, essential principles</w:t>
      </w:r>
      <w:r w:rsidR="00193B36">
        <w:t xml:space="preserve"> and </w:t>
      </w:r>
      <w:r w:rsidR="00193B36" w:rsidRPr="002E2DCB">
        <w:rPr>
          <w:b/>
        </w:rPr>
        <w:t>conformity assessment</w:t>
      </w:r>
      <w:r w:rsidR="00193B36">
        <w:t xml:space="preserve"> </w:t>
      </w:r>
      <w:r w:rsidR="00C373C4" w:rsidRPr="00EB2592">
        <w:rPr>
          <w:b/>
        </w:rPr>
        <w:t>procedures</w:t>
      </w:r>
      <w:r w:rsidR="00193B36">
        <w:t>, are set out in the Regulations.</w:t>
      </w:r>
    </w:p>
    <w:p w14:paraId="0F1572A0" w14:textId="37D5E908" w:rsidR="007675ED" w:rsidRPr="00DE48B5" w:rsidRDefault="00D07C66" w:rsidP="007675ED">
      <w:pPr>
        <w:pStyle w:val="Heading3"/>
      </w:pPr>
      <w:bookmarkStart w:id="8" w:name="_Toc58337132"/>
      <w:bookmarkStart w:id="9" w:name="_Ref42599818"/>
      <w:r>
        <w:t>Parties</w:t>
      </w:r>
      <w:r w:rsidR="007675ED" w:rsidRPr="00DE48B5">
        <w:t xml:space="preserve"> subject to regulation</w:t>
      </w:r>
      <w:bookmarkEnd w:id="8"/>
      <w:bookmarkEnd w:id="9"/>
    </w:p>
    <w:p w14:paraId="44DB1AE6" w14:textId="5923A150" w:rsidR="00754935" w:rsidRDefault="007675ED" w:rsidP="00754935">
      <w:pPr>
        <w:widowControl w:val="0"/>
      </w:pPr>
      <w:r w:rsidRPr="00DE48B5">
        <w:t xml:space="preserve">There are typically two key parties involved in </w:t>
      </w:r>
      <w:r>
        <w:t>supplying medical devices in Australia</w:t>
      </w:r>
      <w:r w:rsidRPr="00DE48B5">
        <w:t xml:space="preserve">: </w:t>
      </w:r>
      <w:r w:rsidRPr="00712FB1">
        <w:t>manufacturers</w:t>
      </w:r>
      <w:r w:rsidRPr="00D07C66">
        <w:t xml:space="preserve"> and </w:t>
      </w:r>
      <w:r w:rsidRPr="00712FB1">
        <w:t>sponsors</w:t>
      </w:r>
      <w:r w:rsidRPr="00DE48B5">
        <w:t>.</w:t>
      </w:r>
    </w:p>
    <w:p w14:paraId="173A3670" w14:textId="0E495CAA" w:rsidR="006324BE" w:rsidRDefault="007675ED" w:rsidP="00754935">
      <w:pPr>
        <w:widowControl w:val="0"/>
      </w:pPr>
      <w:r w:rsidRPr="00DE48B5">
        <w:t xml:space="preserve">A </w:t>
      </w:r>
      <w:r w:rsidRPr="00712FB1">
        <w:rPr>
          <w:b/>
        </w:rPr>
        <w:t>manufacturer</w:t>
      </w:r>
      <w:r w:rsidRPr="00DE48B5">
        <w:t xml:space="preserve"> is </w:t>
      </w:r>
      <w:r w:rsidR="00754935">
        <w:t>the</w:t>
      </w:r>
      <w:r w:rsidRPr="00DE48B5">
        <w:t xml:space="preserve"> person or company taking legal responsibility for the manufacture of a medical device (the name on the label</w:t>
      </w:r>
      <w:r w:rsidR="005B123F">
        <w:t>, or the name under which the product is supplied</w:t>
      </w:r>
      <w:r w:rsidRPr="00DE48B5">
        <w:t>)</w:t>
      </w:r>
      <w:r w:rsidR="00754935">
        <w:t>. The manufacturer of a medical device is responsible for the design, production, packaging and labelling of the device, but does not necessarily need to perform these activities themselves</w:t>
      </w:r>
      <w:r w:rsidR="00516732">
        <w:t>.</w:t>
      </w:r>
    </w:p>
    <w:tbl>
      <w:tblPr>
        <w:tblW w:w="7762" w:type="dxa"/>
        <w:tblLayout w:type="fixed"/>
        <w:tblCellMar>
          <w:left w:w="0" w:type="dxa"/>
          <w:right w:w="0" w:type="dxa"/>
        </w:tblCellMar>
        <w:tblLook w:val="04A0" w:firstRow="1" w:lastRow="0" w:firstColumn="1" w:lastColumn="0" w:noHBand="0" w:noVBand="1"/>
      </w:tblPr>
      <w:tblGrid>
        <w:gridCol w:w="7762"/>
      </w:tblGrid>
      <w:tr w:rsidR="006324BE" w:rsidRPr="00215D48" w14:paraId="6AF2D933" w14:textId="77777777" w:rsidTr="007B219E">
        <w:tc>
          <w:tcPr>
            <w:tcW w:w="7762" w:type="dxa"/>
            <w:shd w:val="clear" w:color="auto" w:fill="D2EDFF" w:themeFill="text1" w:themeFillTint="1A"/>
            <w:tcMar>
              <w:top w:w="170" w:type="dxa"/>
              <w:left w:w="170" w:type="dxa"/>
              <w:bottom w:w="170" w:type="dxa"/>
              <w:right w:w="170" w:type="dxa"/>
            </w:tcMar>
            <w:vAlign w:val="center"/>
          </w:tcPr>
          <w:p w14:paraId="360192A6" w14:textId="77777777" w:rsidR="006324BE" w:rsidRPr="00D51503" w:rsidRDefault="006324BE" w:rsidP="007B219E">
            <w:pPr>
              <w:rPr>
                <w:b/>
              </w:rPr>
            </w:pPr>
            <w:r w:rsidRPr="00D51503">
              <w:rPr>
                <w:b/>
              </w:rPr>
              <w:t>Example:</w:t>
            </w:r>
          </w:p>
          <w:p w14:paraId="0E90FAD1" w14:textId="03128A00" w:rsidR="006324BE" w:rsidRPr="00D538E6" w:rsidRDefault="006324BE" w:rsidP="00D74BD4">
            <w:r>
              <w:t>A service provider wants to publish some software under their name, but outsource design and development of the software to a third party developer. In this case, the service provider maintains responsibility for these aspects, and publishes the software under their name. This makes the ser</w:t>
            </w:r>
            <w:r w:rsidR="00516732">
              <w:t>vice provider the manufacturer.</w:t>
            </w:r>
          </w:p>
        </w:tc>
      </w:tr>
    </w:tbl>
    <w:p w14:paraId="24A3BAEE" w14:textId="2459A0D0" w:rsidR="00754935" w:rsidRDefault="002A0EC4" w:rsidP="00754935">
      <w:pPr>
        <w:widowControl w:val="0"/>
      </w:pPr>
      <w:r>
        <w:t xml:space="preserve">The manufacturer is responsible for obtaining conformity assessment certification for </w:t>
      </w:r>
      <w:r w:rsidR="00B731B8">
        <w:t xml:space="preserve">the </w:t>
      </w:r>
      <w:r>
        <w:t>medical devices they manufacture (other than class I medical devices).</w:t>
      </w:r>
      <w:r w:rsidR="00E97A8B">
        <w:t xml:space="preserve"> Manufacturers may choose to obtain this from the TGA or from a comparable overseas regulator.</w:t>
      </w:r>
    </w:p>
    <w:p w14:paraId="3846F9FA" w14:textId="4C85F306" w:rsidR="00754935" w:rsidRDefault="00754935" w:rsidP="00754935">
      <w:pPr>
        <w:widowControl w:val="0"/>
      </w:pPr>
      <w:r>
        <w:t>A person or company is the manufacturer of a medical device if they supply a ready</w:t>
      </w:r>
      <w:r>
        <w:noBreakHyphen/>
        <w:t>made product under their name where they, for example, have assigned the device their own intended purpose, or repackaged the device.</w:t>
      </w:r>
    </w:p>
    <w:p w14:paraId="15F0CA88" w14:textId="2C2BBA7D" w:rsidR="00754935" w:rsidRDefault="00754935" w:rsidP="00236271">
      <w:pPr>
        <w:widowControl w:val="0"/>
      </w:pPr>
      <w:r>
        <w:t>A</w:t>
      </w:r>
      <w:r w:rsidR="007675ED" w:rsidRPr="00DE48B5">
        <w:t xml:space="preserve"> </w:t>
      </w:r>
      <w:r w:rsidR="007675ED" w:rsidRPr="00712FB1">
        <w:rPr>
          <w:b/>
        </w:rPr>
        <w:t>sponsor</w:t>
      </w:r>
      <w:r w:rsidR="007675ED" w:rsidRPr="002C7FA8">
        <w:t xml:space="preserve"> </w:t>
      </w:r>
      <w:r w:rsidR="007675ED" w:rsidRPr="00DE48B5">
        <w:t xml:space="preserve">is </w:t>
      </w:r>
      <w:r>
        <w:t>the</w:t>
      </w:r>
      <w:r w:rsidR="007675ED" w:rsidRPr="00DE48B5">
        <w:t xml:space="preserve"> person or company legally responsible for supplying devices in Australia</w:t>
      </w:r>
      <w:r>
        <w:t>, or exporting medical devices out of Australia</w:t>
      </w:r>
      <w:r w:rsidR="007675ED" w:rsidRPr="00DE48B5">
        <w:t>.</w:t>
      </w:r>
    </w:p>
    <w:p w14:paraId="17C56676" w14:textId="16D2A38D" w:rsidR="007675ED" w:rsidRDefault="007675ED" w:rsidP="00236271">
      <w:pPr>
        <w:widowControl w:val="0"/>
      </w:pPr>
      <w:r w:rsidRPr="00DE48B5">
        <w:t xml:space="preserve">The manufacturer–sponsor relationship is not </w:t>
      </w:r>
      <w:r w:rsidR="001F5DA8">
        <w:t xml:space="preserve">necessarily always </w:t>
      </w:r>
      <w:r w:rsidRPr="00DE48B5">
        <w:t>one-to-one. There may be many sponsors supplying the same model of device from one manufacturer, and the sponsor can also supply devices from multiple manufacturers at the same time.</w:t>
      </w:r>
    </w:p>
    <w:p w14:paraId="3D5698E0" w14:textId="2463B7BA" w:rsidR="00E97A8B" w:rsidRDefault="00E97A8B" w:rsidP="00E97A8B">
      <w:pPr>
        <w:pStyle w:val="Heading4"/>
      </w:pPr>
      <w:bookmarkStart w:id="10" w:name="_Toc58337133"/>
      <w:r>
        <w:t>Regulatory pathway</w:t>
      </w:r>
      <w:bookmarkEnd w:id="10"/>
    </w:p>
    <w:p w14:paraId="7CCAFD08" w14:textId="4A837AC2" w:rsidR="006E6A68" w:rsidRDefault="006E6A68" w:rsidP="006E6A68">
      <w:r w:rsidRPr="00067010">
        <w:t xml:space="preserve">Medical devices must be included in the </w:t>
      </w:r>
      <w:hyperlink r:id="rId27" w:history="1">
        <w:r w:rsidRPr="00067010">
          <w:rPr>
            <w:rStyle w:val="Hyperlink"/>
          </w:rPr>
          <w:t>Australian Register of Therapeutic Goods (ARTG)</w:t>
        </w:r>
      </w:hyperlink>
      <w:r w:rsidRPr="00067010">
        <w:t xml:space="preserve"> before being supplied in Australia—unless otherwise the subject of an exemption, approval, or authority under the Act. Information on the inclusion process is </w:t>
      </w:r>
      <w:hyperlink r:id="rId28" w:history="1">
        <w:r w:rsidRPr="00067010">
          <w:rPr>
            <w:rStyle w:val="Hyperlink"/>
          </w:rPr>
          <w:t xml:space="preserve">available </w:t>
        </w:r>
        <w:r>
          <w:rPr>
            <w:rStyle w:val="Hyperlink"/>
          </w:rPr>
          <w:t>here</w:t>
        </w:r>
      </w:hyperlink>
      <w:r>
        <w:t>.</w:t>
      </w:r>
    </w:p>
    <w:p w14:paraId="125A1824" w14:textId="59F82B91" w:rsidR="006E6A68" w:rsidRDefault="006E6A68" w:rsidP="006E6A68">
      <w:r w:rsidRPr="00067010">
        <w:t xml:space="preserve">As part of this process, the TGA </w:t>
      </w:r>
      <w:hyperlink r:id="rId29" w:history="1">
        <w:r w:rsidRPr="00067010">
          <w:rPr>
            <w:rStyle w:val="Hyperlink"/>
          </w:rPr>
          <w:t>may accept evidence from comparable overseas regulators</w:t>
        </w:r>
      </w:hyperlink>
      <w:r w:rsidRPr="00067010">
        <w:t>, such as certificates issued by notified bodies under European Union medical device regulatory frameworks.</w:t>
      </w:r>
      <w:r>
        <w:rPr>
          <w:lang w:val="en"/>
        </w:rPr>
        <w:t xml:space="preserve"> </w:t>
      </w:r>
      <w:r w:rsidRPr="00067010">
        <w:t xml:space="preserve">The process for including </w:t>
      </w:r>
      <w:r>
        <w:t>software based medical devices i</w:t>
      </w:r>
      <w:r w:rsidRPr="00067010">
        <w:t>n the ARTG is the same as for other medical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53EEE" w:rsidRPr="008610B9" w14:paraId="4DB2A7A2" w14:textId="77777777" w:rsidTr="00802A26">
        <w:tc>
          <w:tcPr>
            <w:tcW w:w="1276" w:type="dxa"/>
            <w:vAlign w:val="center"/>
          </w:tcPr>
          <w:p w14:paraId="0D19FAFF" w14:textId="77777777" w:rsidR="00F53EEE" w:rsidRPr="008610B9" w:rsidRDefault="00F53EEE" w:rsidP="00802A26">
            <w:pPr>
              <w:spacing w:before="0"/>
              <w:rPr>
                <w:color w:val="000000"/>
                <w:sz w:val="20"/>
              </w:rPr>
            </w:pPr>
            <w:r w:rsidRPr="008610B9">
              <w:rPr>
                <w:noProof/>
                <w:color w:val="000000"/>
                <w:sz w:val="20"/>
                <w:lang w:eastAsia="en-AU"/>
              </w:rPr>
              <w:lastRenderedPageBreak/>
              <w:drawing>
                <wp:inline distT="0" distB="0" distL="0" distR="0" wp14:anchorId="59D5C1CC" wp14:editId="7878A80A">
                  <wp:extent cx="487681" cy="487681"/>
                  <wp:effectExtent l="19050" t="0" r="7619"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8BEB30C" w14:textId="77777777" w:rsidR="00F53EEE" w:rsidRPr="005039D7" w:rsidRDefault="00F53EEE" w:rsidP="00802A26">
            <w:pPr>
              <w:rPr>
                <w:b/>
                <w:color w:val="000000"/>
                <w:szCs w:val="22"/>
              </w:rPr>
            </w:pPr>
            <w:r w:rsidRPr="005039D7">
              <w:rPr>
                <w:b/>
                <w:color w:val="000000"/>
                <w:szCs w:val="22"/>
              </w:rPr>
              <w:t>Please note</w:t>
            </w:r>
          </w:p>
          <w:p w14:paraId="7FD29BDF" w14:textId="29D91E82" w:rsidR="00F53EEE" w:rsidRPr="00F53EEE" w:rsidRDefault="00F53EEE" w:rsidP="00516732">
            <w:r>
              <w:t xml:space="preserve">Evidence of </w:t>
            </w:r>
            <w:r w:rsidR="00BF3D51">
              <w:t xml:space="preserve">manufacturer’s </w:t>
            </w:r>
            <w:r>
              <w:t xml:space="preserve">certification is not </w:t>
            </w:r>
            <w:r w:rsidR="00BF3D51">
              <w:t xml:space="preserve">necessarily </w:t>
            </w:r>
            <w:r>
              <w:t xml:space="preserve">required </w:t>
            </w:r>
            <w:r w:rsidR="00BF3D51">
              <w:t>for all Class I devices. However</w:t>
            </w:r>
            <w:r w:rsidR="0032451A">
              <w:t>,</w:t>
            </w:r>
            <w:r w:rsidR="00BF3D51">
              <w:t xml:space="preserve"> manufacturers will need to complete a declaration of conformity that their devices compl</w:t>
            </w:r>
            <w:r w:rsidR="001246BA">
              <w:t>y</w:t>
            </w:r>
            <w:r w:rsidR="00BF3D51">
              <w:t xml:space="preserve"> with the regulatory requirements</w:t>
            </w:r>
            <w:r>
              <w:t>.</w:t>
            </w:r>
          </w:p>
        </w:tc>
      </w:tr>
    </w:tbl>
    <w:p w14:paraId="22400B62" w14:textId="4237B93A" w:rsidR="00C775AA" w:rsidRDefault="00C775AA" w:rsidP="00516732">
      <w:r>
        <w:t>The TGA regulatory pathway to supply medical devices in Australia can be broadly divided into three steps:</w:t>
      </w:r>
    </w:p>
    <w:p w14:paraId="76005878" w14:textId="4F062133" w:rsidR="0077014B" w:rsidRDefault="0077014B" w:rsidP="00516732">
      <w:r>
        <w:t>Step 1</w:t>
      </w:r>
      <w:r w:rsidR="00286451" w:rsidRPr="0077014B">
        <w:t xml:space="preserve"> is for the manufacturer of the medical device to obtain certification f</w:t>
      </w:r>
      <w:r w:rsidR="005039D7" w:rsidRPr="0077014B">
        <w:t>r</w:t>
      </w:r>
      <w:r w:rsidR="00286451" w:rsidRPr="0077014B">
        <w:t>om the TGA or a comparable oversees regulator.</w:t>
      </w:r>
      <w:r w:rsidR="002A0EC4" w:rsidRPr="0077014B">
        <w:t xml:space="preserve"> This is not required for manufacturers of class I (non-sterile) medical devices.</w:t>
      </w:r>
    </w:p>
    <w:p w14:paraId="4539B13B" w14:textId="173CD190" w:rsidR="0077014B" w:rsidRDefault="00286451" w:rsidP="00712FB1">
      <w:r w:rsidRPr="0077014B">
        <w:t>Step 2 is the sponsor of the medical device to submit the manufacturer’s certificate to the TGA, in preparation</w:t>
      </w:r>
      <w:r w:rsidR="00516732">
        <w:t xml:space="preserve"> to submit an ARTG application.</w:t>
      </w:r>
    </w:p>
    <w:p w14:paraId="3DBC430C" w14:textId="1055DB12" w:rsidR="00286451" w:rsidRPr="0077014B" w:rsidRDefault="0077014B" w:rsidP="00712FB1">
      <w:r>
        <w:t xml:space="preserve">Step 3 </w:t>
      </w:r>
      <w:r w:rsidR="00286451" w:rsidRPr="0077014B">
        <w:t>is for the sponsor to submit the ARTG inclusion application. For applications supported by a TGA certification and for low risk devices, the application is relatively administrative</w:t>
      </w:r>
      <w:r w:rsidR="00BE4DC0" w:rsidRPr="0077014B">
        <w:t>.</w:t>
      </w:r>
    </w:p>
    <w:p w14:paraId="0E016FDE" w14:textId="719DA9D1" w:rsidR="00325635" w:rsidRDefault="002A0EC4" w:rsidP="00236271">
      <w:pPr>
        <w:widowControl w:val="0"/>
        <w:jc w:val="center"/>
      </w:pPr>
      <w:r>
        <w:rPr>
          <w:noProof/>
          <w:lang w:eastAsia="en-AU"/>
        </w:rPr>
        <w:drawing>
          <wp:inline distT="0" distB="0" distL="0" distR="0" wp14:anchorId="2F005081" wp14:editId="050107C9">
            <wp:extent cx="5628854" cy="2025163"/>
            <wp:effectExtent l="0" t="0" r="0" b="0"/>
            <wp:docPr id="8" name="Picture 8" descr="The first step is for the manufacturer of the medical device to obtain certification from the TGA or a comparable oversees regulator. This is not required for manufacturers of class I (non-sterile) medical devices. Step 2 is the sponsor of the medical device to submit the manufacturer’s certificate to the TGA, in preparation to submit an ARTG application. The final step is for the sponsor to submit the ARTG inclusion application. For applications supported by a TGA certification and for low risk devices, the application is relatively administrative." title="Overview of the TGA regulatory pathway for medic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1362" cy="2036859"/>
                    </a:xfrm>
                    <a:prstGeom prst="rect">
                      <a:avLst/>
                    </a:prstGeom>
                    <a:noFill/>
                  </pic:spPr>
                </pic:pic>
              </a:graphicData>
            </a:graphic>
          </wp:inline>
        </w:drawing>
      </w:r>
    </w:p>
    <w:p w14:paraId="2B22A9F9" w14:textId="454B55F0" w:rsidR="0077014B" w:rsidRDefault="00325635" w:rsidP="00712FB1">
      <w:pPr>
        <w:pStyle w:val="Figuretitle"/>
      </w:pPr>
      <w:r w:rsidRPr="00106325">
        <w:t>Overview of the TGA regulatory pathway for medical devices</w:t>
      </w:r>
    </w:p>
    <w:p w14:paraId="3B28DCEC" w14:textId="2BEA1EA4" w:rsidR="0077014B" w:rsidRDefault="002E2DCB" w:rsidP="00712FB1">
      <w:pPr>
        <w:pStyle w:val="Figuretitle"/>
      </w:pPr>
      <w:r w:rsidRPr="0077014B">
        <w:t>The manufacturer may obtain conformity assessment certification (step 1</w:t>
      </w:r>
      <w:r w:rsidR="00516732">
        <w:t xml:space="preserve">) </w:t>
      </w:r>
      <w:hyperlink r:id="rId32" w:history="1">
        <w:r w:rsidRPr="0077014B">
          <w:rPr>
            <w:rStyle w:val="Hyperlink"/>
          </w:rPr>
          <w:t>from a comparable overseas regulator</w:t>
        </w:r>
      </w:hyperlink>
      <w:r w:rsidRPr="0077014B">
        <w:t>, such as certificates issued by notified bodies under European Union medical device regulatory frameworks.</w:t>
      </w:r>
    </w:p>
    <w:p w14:paraId="2B5D7E55" w14:textId="291026BD" w:rsidR="00BF3D51" w:rsidRDefault="00325635" w:rsidP="00712FB1">
      <w:r>
        <w:t>The manufacturer’s evidence of conformity (step 2) can be used to support multiple ARTG inclusions:</w:t>
      </w:r>
    </w:p>
    <w:p w14:paraId="56296B4C" w14:textId="6965E582" w:rsidR="00BE4DC0" w:rsidRDefault="00325635" w:rsidP="00516732">
      <w:r>
        <w:rPr>
          <w:noProof/>
          <w:lang w:eastAsia="en-AU"/>
        </w:rPr>
        <w:drawing>
          <wp:inline distT="0" distB="0" distL="0" distR="0" wp14:anchorId="049C6FB1" wp14:editId="56F65A83">
            <wp:extent cx="3758222" cy="2154804"/>
            <wp:effectExtent l="0" t="0" r="0" b="0"/>
            <wp:docPr id="137" name="Picture 137" descr="A sponsor may use a single manufacturer's certificate to support several ARTG inclusions, as long as all the devices are covered by the scope of that certification." title="Using evidence of conformity to support multiple ARTG i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6023" cy="2182211"/>
                    </a:xfrm>
                    <a:prstGeom prst="rect">
                      <a:avLst/>
                    </a:prstGeom>
                    <a:noFill/>
                  </pic:spPr>
                </pic:pic>
              </a:graphicData>
            </a:graphic>
          </wp:inline>
        </w:drawing>
      </w:r>
    </w:p>
    <w:p w14:paraId="0E0638ED" w14:textId="27949BB7" w:rsidR="00755373" w:rsidRPr="002A0EC4" w:rsidRDefault="00A0179B" w:rsidP="00712FB1">
      <w:pPr>
        <w:pStyle w:val="Figuretitle"/>
      </w:pPr>
      <w:r>
        <w:t>Using evidence of conformity to support multiple ARTG inclusions</w:t>
      </w:r>
    </w:p>
    <w:p w14:paraId="7CE0501D" w14:textId="2CCBBBFD" w:rsidR="00BF3D51" w:rsidRDefault="00712FB1" w:rsidP="00516732">
      <w:pPr>
        <w:keepNext/>
      </w:pPr>
      <w:r>
        <w:lastRenderedPageBreak/>
        <w:t>C</w:t>
      </w:r>
      <w:r w:rsidR="009118AD">
        <w:t xml:space="preserve">onformity assessment </w:t>
      </w:r>
      <w:r w:rsidR="00802A26">
        <w:t>requirements</w:t>
      </w:r>
      <w:r w:rsidR="009118AD">
        <w:t xml:space="preserve"> </w:t>
      </w:r>
      <w:r>
        <w:t>are</w:t>
      </w:r>
      <w:r w:rsidR="009118AD">
        <w:t xml:space="preserve"> detailed </w:t>
      </w:r>
      <w:r>
        <w:t xml:space="preserve">further </w:t>
      </w:r>
      <w:r w:rsidR="009118AD">
        <w:t>below.</w:t>
      </w:r>
    </w:p>
    <w:p w14:paraId="2318665D" w14:textId="063C67A4" w:rsidR="008056E1" w:rsidRDefault="008056E1" w:rsidP="00516732">
      <w:pPr>
        <w:pStyle w:val="Heading3"/>
      </w:pPr>
      <w:bookmarkStart w:id="11" w:name="_Toc58337134"/>
      <w:r>
        <w:t>The importance of intended purpose</w:t>
      </w:r>
      <w:bookmarkEnd w:id="11"/>
    </w:p>
    <w:p w14:paraId="7A1BC770" w14:textId="77777777" w:rsidR="008056E1" w:rsidRDefault="008056E1" w:rsidP="00516732">
      <w:r>
        <w:t xml:space="preserve">The TGA </w:t>
      </w:r>
      <w:r w:rsidRPr="002A358D">
        <w:t>regulate</w:t>
      </w:r>
      <w:r>
        <w:t xml:space="preserve">s software </w:t>
      </w:r>
      <w:r w:rsidRPr="002A358D">
        <w:t xml:space="preserve">in different ways depending on the manufacturer's </w:t>
      </w:r>
      <w:r w:rsidRPr="002068E4">
        <w:rPr>
          <w:b/>
        </w:rPr>
        <w:t>intended purpose</w:t>
      </w:r>
      <w:r w:rsidRPr="002A358D">
        <w:t xml:space="preserve"> for the so</w:t>
      </w:r>
      <w:r>
        <w:t>ftware, and how it is supplied:</w:t>
      </w:r>
    </w:p>
    <w:p w14:paraId="2B6CF817" w14:textId="3E7DC98E" w:rsidR="00DE6AAA" w:rsidRDefault="008056E1" w:rsidP="00516732">
      <w:pPr>
        <w:pStyle w:val="ListBullet"/>
      </w:pPr>
      <w:r w:rsidRPr="00824EC7">
        <w:t xml:space="preserve">The manufacturer </w:t>
      </w:r>
      <w:r w:rsidR="00BF23A0">
        <w:t>specifies</w:t>
      </w:r>
      <w:r w:rsidR="00BF23A0" w:rsidRPr="00824EC7">
        <w:t xml:space="preserve"> </w:t>
      </w:r>
      <w:r w:rsidRPr="002068E4">
        <w:t>the intended purpose</w:t>
      </w:r>
      <w:r w:rsidRPr="00824EC7">
        <w:t xml:space="preserve"> of the medical device.</w:t>
      </w:r>
      <w:r w:rsidR="00DE6AAA">
        <w:t xml:space="preserve"> The manufacturer specifies how they </w:t>
      </w:r>
      <w:r w:rsidR="00DE6AAA" w:rsidRPr="00D74BD4">
        <w:rPr>
          <w:i/>
        </w:rPr>
        <w:t>intend</w:t>
      </w:r>
      <w:r w:rsidR="00DE6AAA">
        <w:t xml:space="preserve"> for the device to be used, not all possible ways it could potentially be used. For example, two apps with similar functionality could have different intended purposes:</w:t>
      </w:r>
    </w:p>
    <w:p w14:paraId="7197FE67" w14:textId="0487CBC7" w:rsidR="00DE6AAA" w:rsidRDefault="00DE6AAA" w:rsidP="00516732">
      <w:pPr>
        <w:pStyle w:val="ListBullet2"/>
      </w:pPr>
      <w:r>
        <w:t>An app intended by the manufacturer only to measure and display a person’s heart rate for fitness purposes</w:t>
      </w:r>
    </w:p>
    <w:p w14:paraId="16BF02BC" w14:textId="28DFF6A9" w:rsidR="008056E1" w:rsidRDefault="00DE6AAA" w:rsidP="00D74BD4">
      <w:pPr>
        <w:pStyle w:val="ListBullet2"/>
      </w:pPr>
      <w:r>
        <w:t>An app may be intended by the manufacturer to measure and display a person’s heart rate to detect bradycardia or tachycardia</w:t>
      </w:r>
    </w:p>
    <w:p w14:paraId="416F0C5E" w14:textId="4AE082DE" w:rsidR="00BF23A0" w:rsidRDefault="008056E1" w:rsidP="00712FB1">
      <w:pPr>
        <w:pStyle w:val="ListBullet"/>
      </w:pPr>
      <w:r w:rsidRPr="00824EC7">
        <w:t xml:space="preserve">The intended purpose is </w:t>
      </w:r>
      <w:r>
        <w:t xml:space="preserve">included </w:t>
      </w:r>
      <w:r w:rsidRPr="00824EC7">
        <w:t xml:space="preserve">in </w:t>
      </w:r>
      <w:r>
        <w:t>any documentation provided with the device</w:t>
      </w:r>
      <w:r w:rsidR="00BF23A0">
        <w:t>. This documentation can be hard copy or electronic, such as on a website and includes:</w:t>
      </w:r>
    </w:p>
    <w:p w14:paraId="63587DA5" w14:textId="336B1AD2" w:rsidR="00BF23A0" w:rsidRDefault="008056E1" w:rsidP="00D74BD4">
      <w:pPr>
        <w:pStyle w:val="ListBullet2"/>
      </w:pPr>
      <w:r w:rsidRPr="00824EC7">
        <w:t>instructions for use</w:t>
      </w:r>
      <w:r w:rsidR="00516732">
        <w:t>,</w:t>
      </w:r>
    </w:p>
    <w:p w14:paraId="692603E4" w14:textId="424BD5C0" w:rsidR="00BF23A0" w:rsidRDefault="008056E1" w:rsidP="00D74BD4">
      <w:pPr>
        <w:pStyle w:val="ListBullet2"/>
      </w:pPr>
      <w:r>
        <w:t>any advertising material</w:t>
      </w:r>
      <w:r w:rsidR="00516732">
        <w:t>,</w:t>
      </w:r>
    </w:p>
    <w:p w14:paraId="57DA01BB" w14:textId="0C543A7C" w:rsidR="00FE04EE" w:rsidRDefault="005B123F" w:rsidP="00D74BD4">
      <w:pPr>
        <w:pStyle w:val="ListBullet2"/>
      </w:pPr>
      <w:r w:rsidRPr="00824EC7">
        <w:t>labelling</w:t>
      </w:r>
      <w:r>
        <w:t xml:space="preserve"> </w:t>
      </w:r>
      <w:r w:rsidR="00BF23A0">
        <w:t>(</w:t>
      </w:r>
      <w:r>
        <w:t>if applicable</w:t>
      </w:r>
      <w:r w:rsidR="007B219E">
        <w:t>)</w:t>
      </w:r>
      <w:r w:rsidR="00FE04EE">
        <w:t>, and</w:t>
      </w:r>
    </w:p>
    <w:p w14:paraId="38D8A144" w14:textId="71F82A65" w:rsidR="008056E1" w:rsidRDefault="00FE04EE" w:rsidP="00D74BD4">
      <w:pPr>
        <w:pStyle w:val="ListBullet2"/>
      </w:pPr>
      <w:r>
        <w:t>technical documentation</w:t>
      </w:r>
      <w:r w:rsidR="00516732">
        <w:t>.</w:t>
      </w:r>
    </w:p>
    <w:p w14:paraId="69AF85AB" w14:textId="77777777" w:rsidR="008056E1" w:rsidRDefault="008056E1" w:rsidP="00712FB1">
      <w:pPr>
        <w:pStyle w:val="ListBullet"/>
      </w:pPr>
      <w:r w:rsidRPr="00824EC7">
        <w:t>For regulatory purposes, the intended purpose determine</w:t>
      </w:r>
      <w:r>
        <w:t>s</w:t>
      </w:r>
      <w:r w:rsidRPr="00824EC7">
        <w:t xml:space="preserve"> the </w:t>
      </w:r>
      <w:r w:rsidRPr="00026298">
        <w:rPr>
          <w:b/>
        </w:rPr>
        <w:t>classification</w:t>
      </w:r>
      <w:r w:rsidRPr="00824EC7">
        <w:t xml:space="preserve"> of the device and minimum </w:t>
      </w:r>
      <w:r w:rsidRPr="00026298">
        <w:rPr>
          <w:b/>
        </w:rPr>
        <w:t>conformity assessment</w:t>
      </w:r>
      <w:r w:rsidRPr="00824EC7">
        <w:t xml:space="preserve"> procedures</w:t>
      </w:r>
      <w:r>
        <w:t>.</w:t>
      </w:r>
    </w:p>
    <w:p w14:paraId="0DA7D468" w14:textId="45BDD20F" w:rsidR="008056E1" w:rsidRDefault="008056E1" w:rsidP="00712FB1">
      <w:pPr>
        <w:pStyle w:val="ListBullet"/>
      </w:pPr>
      <w:r>
        <w:t xml:space="preserve">The </w:t>
      </w:r>
      <w:r w:rsidRPr="00824EC7">
        <w:t xml:space="preserve">manufacturer must comply with </w:t>
      </w:r>
      <w:r>
        <w:t xml:space="preserve">these procedures </w:t>
      </w:r>
      <w:r w:rsidRPr="00824EC7">
        <w:t>for inclusion</w:t>
      </w:r>
      <w:r>
        <w:t xml:space="preserve"> of the device</w:t>
      </w:r>
      <w:r w:rsidRPr="00824EC7">
        <w:t xml:space="preserve"> in the </w:t>
      </w:r>
      <w:r w:rsidRPr="00802A26">
        <w:t>ARTG,</w:t>
      </w:r>
      <w:r w:rsidRPr="002068E4">
        <w:t xml:space="preserve"> which </w:t>
      </w:r>
      <w:r>
        <w:t>is the authorisation</w:t>
      </w:r>
      <w:r w:rsidRPr="002068E4">
        <w:t xml:space="preserve"> to supply the product in Australia.</w:t>
      </w:r>
    </w:p>
    <w:p w14:paraId="40EACBF3" w14:textId="3F0E69A8" w:rsidR="008F37DB" w:rsidRDefault="008F37DB" w:rsidP="0061475A">
      <w:pPr>
        <w:pStyle w:val="Heading3"/>
      </w:pPr>
      <w:bookmarkStart w:id="12" w:name="_Toc58337135"/>
      <w:r>
        <w:t xml:space="preserve">Classification </w:t>
      </w:r>
      <w:r w:rsidR="00075F66">
        <w:t>r</w:t>
      </w:r>
      <w:r>
        <w:t>ules</w:t>
      </w:r>
      <w:bookmarkEnd w:id="12"/>
    </w:p>
    <w:p w14:paraId="0A9EED3E" w14:textId="77777777" w:rsidR="00B5321D" w:rsidRDefault="00824EC7" w:rsidP="00075F66">
      <w:r>
        <w:t xml:space="preserve">There is a four-tier classification system for medical devices: </w:t>
      </w:r>
    </w:p>
    <w:p w14:paraId="0E000D56" w14:textId="228038D2" w:rsidR="00755373" w:rsidRDefault="00824EC7" w:rsidP="00712FB1">
      <w:pPr>
        <w:pStyle w:val="ListBullet"/>
      </w:pPr>
      <w:r>
        <w:t>Class I</w:t>
      </w:r>
      <w:r w:rsidR="00601E87">
        <w:t xml:space="preserve"> (lowest classification)</w:t>
      </w:r>
    </w:p>
    <w:p w14:paraId="330C5D5B" w14:textId="2C109646" w:rsidR="00755373" w:rsidRDefault="00601E87" w:rsidP="00712FB1">
      <w:pPr>
        <w:pStyle w:val="ListBullet"/>
      </w:pPr>
      <w:r>
        <w:t>Class </w:t>
      </w:r>
      <w:proofErr w:type="spellStart"/>
      <w:r w:rsidR="00824EC7">
        <w:t>IIa</w:t>
      </w:r>
      <w:proofErr w:type="spellEnd"/>
    </w:p>
    <w:p w14:paraId="7C663FFA" w14:textId="1361C7EF" w:rsidR="00755373" w:rsidRDefault="00824EC7" w:rsidP="00712FB1">
      <w:pPr>
        <w:pStyle w:val="ListBullet"/>
      </w:pPr>
      <w:r>
        <w:t xml:space="preserve">Class IIb </w:t>
      </w:r>
    </w:p>
    <w:p w14:paraId="79B14471" w14:textId="293FE0C3" w:rsidR="00755373" w:rsidRDefault="00824EC7" w:rsidP="00712FB1">
      <w:pPr>
        <w:pStyle w:val="ListBullet"/>
      </w:pPr>
      <w:r>
        <w:t>Class III (highest classification)</w:t>
      </w:r>
    </w:p>
    <w:p w14:paraId="209B8F2D" w14:textId="77777777" w:rsidR="00824EC7" w:rsidRDefault="00824EC7" w:rsidP="00735428">
      <w:r>
        <w:t>The higher the classification of the device</w:t>
      </w:r>
      <w:r w:rsidR="00601E87">
        <w:t>,</w:t>
      </w:r>
      <w:r>
        <w:t xml:space="preserve"> the higher the level of regulatory scrutiny.</w:t>
      </w:r>
    </w:p>
    <w:p w14:paraId="2EFCE5C7" w14:textId="5E8389DB" w:rsidR="001246BA" w:rsidRDefault="00023122" w:rsidP="00735428">
      <w:r w:rsidRPr="00023122">
        <w:t xml:space="preserve">The classification rules are specified </w:t>
      </w:r>
      <w:r w:rsidR="00406531">
        <w:t xml:space="preserve">in the </w:t>
      </w:r>
      <w:hyperlink r:id="rId34" w:history="1">
        <w:r w:rsidR="001246BA" w:rsidRPr="00EE67EC">
          <w:rPr>
            <w:rStyle w:val="Hyperlink"/>
            <w:i/>
          </w:rPr>
          <w:t>Therapeutic Goods (Medical Devices) Regulations 2002</w:t>
        </w:r>
      </w:hyperlink>
      <w:r w:rsidR="001246BA" w:rsidRPr="004C00F4">
        <w:rPr>
          <w:i/>
        </w:rPr>
        <w:t xml:space="preserve"> </w:t>
      </w:r>
      <w:r w:rsidR="00406531">
        <w:t xml:space="preserve"> </w:t>
      </w:r>
      <w:r w:rsidRPr="00023122">
        <w:t>and the principles for applying them are provided under Part 3, Division 3.1, Regulation 3.3—Principles for applying the classification rules</w:t>
      </w:r>
      <w:r w:rsidR="001246BA">
        <w:t>.</w:t>
      </w:r>
    </w:p>
    <w:p w14:paraId="0AD06906" w14:textId="774C6F58" w:rsidR="00B5321D" w:rsidRDefault="00623946" w:rsidP="00735428">
      <w:r>
        <w:t>The particular principles that need to be considered are the following</w:t>
      </w:r>
      <w:r w:rsidR="00A0179B">
        <w:t>:</w:t>
      </w:r>
    </w:p>
    <w:p w14:paraId="2CEADD33" w14:textId="4A588C89" w:rsidR="005A0096" w:rsidRDefault="005A0096" w:rsidP="00712FB1">
      <w:pPr>
        <w:pStyle w:val="ListBullet"/>
      </w:pPr>
      <w:r w:rsidRPr="005A0096">
        <w:t>If a medical device is designed to be used in combination with another medical device, each of the devices is classified separately.</w:t>
      </w:r>
    </w:p>
    <w:p w14:paraId="2D9887EB" w14:textId="4214507E" w:rsidR="005A0096" w:rsidRDefault="005A0096" w:rsidP="00712FB1">
      <w:pPr>
        <w:pStyle w:val="ListBullet"/>
      </w:pPr>
      <w:r w:rsidRPr="00335472">
        <w:t>An accessory to a medical device is classified separately from the medical device.</w:t>
      </w:r>
    </w:p>
    <w:p w14:paraId="7DF8E1A9" w14:textId="49C958A7" w:rsidR="005A0096" w:rsidRDefault="005A0096" w:rsidP="00712FB1">
      <w:pPr>
        <w:pStyle w:val="ListBullet"/>
      </w:pPr>
      <w:r w:rsidRPr="00335472">
        <w:lastRenderedPageBreak/>
        <w:t>If a medical device is driven, or influenced, by an item of software, the software has the same classification as the medical device.</w:t>
      </w:r>
    </w:p>
    <w:p w14:paraId="7859BD14" w14:textId="2060BAC1" w:rsidR="00023122" w:rsidRDefault="00BB412B" w:rsidP="00735428">
      <w:pPr>
        <w:rPr>
          <w:i/>
          <w:iCs/>
        </w:rPr>
      </w:pPr>
      <w:r>
        <w:t>There are a number of classification rules that may apply to software based medical devices.</w:t>
      </w:r>
      <w:r w:rsidR="00406531">
        <w:t xml:space="preserve"> They</w:t>
      </w:r>
      <w:r w:rsidR="002C5D92">
        <w:t xml:space="preserve"> can be found in </w:t>
      </w:r>
      <w:r w:rsidR="002A0EC4">
        <w:t xml:space="preserve">Schedule </w:t>
      </w:r>
      <w:r>
        <w:t>2</w:t>
      </w:r>
      <w:r w:rsidR="00406531">
        <w:t xml:space="preserve"> </w:t>
      </w:r>
      <w:r w:rsidR="00216B56">
        <w:t xml:space="preserve">of the </w:t>
      </w:r>
      <w:r w:rsidR="001246BA" w:rsidRPr="00712FB1">
        <w:t>Regulations</w:t>
      </w:r>
      <w:r w:rsidR="00406531">
        <w:t>, in particular Parts 4 and 5</w:t>
      </w:r>
      <w:r w:rsidR="00934C1B">
        <w:t xml:space="preserve">. </w:t>
      </w:r>
      <w:r>
        <w:t xml:space="preserve">For classification purposes all software </w:t>
      </w:r>
      <w:r w:rsidR="00406531">
        <w:t>is an active medical device.</w:t>
      </w:r>
      <w:r>
        <w:t xml:space="preserve"> </w:t>
      </w:r>
    </w:p>
    <w:p w14:paraId="25B7A76C" w14:textId="14F37D6A" w:rsidR="009962CC" w:rsidRPr="009962CC" w:rsidRDefault="005A0096" w:rsidP="009962CC">
      <w:pPr>
        <w:pStyle w:val="Heading4"/>
      </w:pPr>
      <w:bookmarkStart w:id="13" w:name="_Toc58337136"/>
      <w:r>
        <w:t xml:space="preserve">New rules </w:t>
      </w:r>
      <w:r w:rsidR="00DE5537">
        <w:t xml:space="preserve">from </w:t>
      </w:r>
      <w:r w:rsidR="006E6A68">
        <w:t>25 February 2021</w:t>
      </w:r>
      <w:bookmarkEnd w:id="13"/>
    </w:p>
    <w:p w14:paraId="4D7D7E46" w14:textId="1514121F" w:rsidR="006E6A68" w:rsidRDefault="00023122" w:rsidP="006E6A68">
      <w:r>
        <w:t xml:space="preserve">The Regulations were amended </w:t>
      </w:r>
      <w:r w:rsidR="00DE5537">
        <w:t xml:space="preserve">in December 2019 </w:t>
      </w:r>
      <w:r>
        <w:t>to include new</w:t>
      </w:r>
      <w:r w:rsidR="00735428" w:rsidRPr="008610B9">
        <w:rPr>
          <w:color w:val="000000"/>
        </w:rPr>
        <w:t xml:space="preserve"> classification rules for </w:t>
      </w:r>
      <w:r w:rsidR="00992879">
        <w:rPr>
          <w:color w:val="000000"/>
        </w:rPr>
        <w:t>software</w:t>
      </w:r>
      <w:r w:rsidR="00B5321D">
        <w:rPr>
          <w:color w:val="000000"/>
        </w:rPr>
        <w:t>-</w:t>
      </w:r>
      <w:r w:rsidR="00992879">
        <w:rPr>
          <w:color w:val="000000"/>
        </w:rPr>
        <w:t>based</w:t>
      </w:r>
      <w:r w:rsidR="00735428" w:rsidRPr="008610B9">
        <w:rPr>
          <w:color w:val="000000"/>
        </w:rPr>
        <w:t xml:space="preserve"> medical</w:t>
      </w:r>
      <w:r>
        <w:rPr>
          <w:color w:val="000000"/>
        </w:rPr>
        <w:t xml:space="preserve"> devices—referred to as “</w:t>
      </w:r>
      <w:r>
        <w:t>programmed, programmable, and software medical devices”</w:t>
      </w:r>
      <w:r w:rsidR="00B5321D">
        <w:t>, noting t</w:t>
      </w:r>
      <w:r w:rsidR="005039D7">
        <w:t xml:space="preserve">hese rules do not apply to IVDs. </w:t>
      </w:r>
      <w:r w:rsidR="00934C1B">
        <w:t xml:space="preserve">These rules come into effect on </w:t>
      </w:r>
      <w:r w:rsidR="00934C1B">
        <w:rPr>
          <w:b/>
        </w:rPr>
        <w:t>25 February 2021.</w:t>
      </w:r>
      <w:r w:rsidR="006E6A68" w:rsidRPr="006E6A68">
        <w:t xml:space="preserve"> </w:t>
      </w:r>
      <w:r w:rsidR="006E6A68">
        <w:t>T</w:t>
      </w:r>
      <w:r w:rsidR="006E6A68" w:rsidRPr="00CC260A">
        <w:t xml:space="preserve">ransitional arrangements </w:t>
      </w:r>
      <w:r w:rsidR="006E6A68">
        <w:t xml:space="preserve">are </w:t>
      </w:r>
      <w:r w:rsidR="006E6A68" w:rsidRPr="00CC260A">
        <w:t xml:space="preserve">in place for sponsors and manufacturers of medical devices that are included in the ARTG prior to </w:t>
      </w:r>
      <w:r w:rsidR="006E6A68" w:rsidRPr="00E03DAE">
        <w:rPr>
          <w:b/>
        </w:rPr>
        <w:t>25 February</w:t>
      </w:r>
      <w:r w:rsidR="006E6A68" w:rsidRPr="00116692">
        <w:rPr>
          <w:b/>
        </w:rPr>
        <w:t xml:space="preserve"> </w:t>
      </w:r>
      <w:r w:rsidR="006E6A68" w:rsidRPr="00E03DAE">
        <w:rPr>
          <w:b/>
        </w:rPr>
        <w:t>2021</w:t>
      </w:r>
      <w:r w:rsidR="006E6A68" w:rsidRPr="006E6A68">
        <w:t xml:space="preserve"> </w:t>
      </w:r>
      <w:r w:rsidR="005A0096" w:rsidRPr="00075F66">
        <w:t>(see ‘</w:t>
      </w:r>
      <w:hyperlink r:id="rId35" w:history="1">
        <w:r w:rsidR="005A0096" w:rsidRPr="00075F66">
          <w:rPr>
            <w:rStyle w:val="Hyperlink"/>
          </w:rPr>
          <w:t>Regulatory changes for software based medical devices</w:t>
        </w:r>
      </w:hyperlink>
      <w:r w:rsidR="005A0096" w:rsidRPr="00075F66">
        <w:t xml:space="preserve">’ </w:t>
      </w:r>
      <w:r w:rsidR="001F42E4" w:rsidRPr="00075F66">
        <w:t>f</w:t>
      </w:r>
      <w:r w:rsidR="006E6A68" w:rsidRPr="00075F66">
        <w:t>or further information).</w:t>
      </w:r>
    </w:p>
    <w:p w14:paraId="119E9727" w14:textId="797AC850" w:rsidR="00735428" w:rsidRDefault="00023122" w:rsidP="00735428">
      <w:pPr>
        <w:rPr>
          <w:color w:val="000000"/>
        </w:rPr>
      </w:pPr>
      <w:r>
        <w:t>The rules specifically c</w:t>
      </w:r>
      <w:r w:rsidR="00735428" w:rsidRPr="008610B9">
        <w:rPr>
          <w:color w:val="000000"/>
        </w:rPr>
        <w:t xml:space="preserve">onsider </w:t>
      </w:r>
      <w:r w:rsidR="00735428">
        <w:rPr>
          <w:color w:val="000000"/>
        </w:rPr>
        <w:t xml:space="preserve">potential </w:t>
      </w:r>
      <w:r w:rsidR="00735428" w:rsidRPr="008610B9">
        <w:rPr>
          <w:color w:val="000000"/>
        </w:rPr>
        <w:t xml:space="preserve">harm caused by </w:t>
      </w:r>
      <w:r w:rsidR="00735428">
        <w:rPr>
          <w:color w:val="000000"/>
        </w:rPr>
        <w:t>providing</w:t>
      </w:r>
      <w:r w:rsidR="00735428" w:rsidRPr="008610B9">
        <w:rPr>
          <w:color w:val="000000"/>
        </w:rPr>
        <w:t xml:space="preserve"> incorrect information</w:t>
      </w:r>
      <w:r w:rsidR="00735428">
        <w:rPr>
          <w:color w:val="000000"/>
        </w:rPr>
        <w:t xml:space="preserve"> to users of these medical devices</w:t>
      </w:r>
      <w:r w:rsidR="00735428" w:rsidRPr="008610B9">
        <w:rPr>
          <w:color w:val="000000"/>
        </w:rPr>
        <w:t>.</w:t>
      </w:r>
    </w:p>
    <w:p w14:paraId="0C19807F" w14:textId="2EE6A48F" w:rsidR="00735428" w:rsidRPr="008610B9" w:rsidRDefault="00735428" w:rsidP="00735428">
      <w:pPr>
        <w:rPr>
          <w:color w:val="000000"/>
        </w:rPr>
      </w:pPr>
      <w:r w:rsidRPr="008610B9">
        <w:rPr>
          <w:color w:val="000000"/>
        </w:rPr>
        <w:t>The new rules</w:t>
      </w:r>
      <w:r w:rsidR="00DE5537">
        <w:rPr>
          <w:color w:val="000000"/>
        </w:rPr>
        <w:t xml:space="preserve"> </w:t>
      </w:r>
      <w:r w:rsidR="00BF3D51">
        <w:rPr>
          <w:color w:val="000000"/>
        </w:rPr>
        <w:t>consider</w:t>
      </w:r>
      <w:r w:rsidRPr="008610B9">
        <w:rPr>
          <w:color w:val="000000"/>
        </w:rPr>
        <w:t xml:space="preserve"> medical devices intended for:</w:t>
      </w:r>
    </w:p>
    <w:p w14:paraId="49634CFF" w14:textId="39E954CE" w:rsidR="00735428" w:rsidRPr="00436B5F" w:rsidRDefault="00436B5F">
      <w:pPr>
        <w:pStyle w:val="ListBullet"/>
      </w:pPr>
      <w:r>
        <w:t>d</w:t>
      </w:r>
      <w:r w:rsidR="00735428" w:rsidRPr="00436B5F">
        <w:t xml:space="preserve">iagnosing </w:t>
      </w:r>
      <w:r w:rsidR="005A0096" w:rsidRPr="00436B5F">
        <w:t>or</w:t>
      </w:r>
      <w:r w:rsidR="00735428" w:rsidRPr="00436B5F">
        <w:t xml:space="preserve"> screening for a disease or condition</w:t>
      </w:r>
    </w:p>
    <w:p w14:paraId="018DA9B5" w14:textId="476742BE" w:rsidR="00735428" w:rsidRPr="00436B5F" w:rsidRDefault="00436B5F">
      <w:pPr>
        <w:pStyle w:val="ListBullet"/>
      </w:pPr>
      <w:r>
        <w:t>m</w:t>
      </w:r>
      <w:r w:rsidR="00735428" w:rsidRPr="00436B5F">
        <w:t>onitoring the state or progression of a disease, condition, etc.</w:t>
      </w:r>
    </w:p>
    <w:p w14:paraId="32B43AC7" w14:textId="5F78600B" w:rsidR="00735428" w:rsidRPr="00436B5F" w:rsidRDefault="00436B5F">
      <w:pPr>
        <w:pStyle w:val="ListBullet"/>
      </w:pPr>
      <w:r>
        <w:t>s</w:t>
      </w:r>
      <w:r w:rsidR="00735428" w:rsidRPr="00436B5F">
        <w:t>pecifying or recommending a treatment</w:t>
      </w:r>
      <w:r w:rsidR="005A0096" w:rsidRPr="00436B5F">
        <w:t xml:space="preserve"> or intervention</w:t>
      </w:r>
    </w:p>
    <w:p w14:paraId="473FBCB6" w14:textId="28096ADA" w:rsidR="00735428" w:rsidRPr="00436B5F" w:rsidRDefault="00436B5F">
      <w:pPr>
        <w:pStyle w:val="ListBullet"/>
      </w:pPr>
      <w:r>
        <w:t>p</w:t>
      </w:r>
      <w:r w:rsidR="00735428" w:rsidRPr="00436B5F">
        <w:t>roviding therapy (via provision of information)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35428" w:rsidRPr="008610B9" w14:paraId="4D13768E" w14:textId="77777777" w:rsidTr="00735428">
        <w:tc>
          <w:tcPr>
            <w:tcW w:w="1276" w:type="dxa"/>
            <w:vAlign w:val="center"/>
          </w:tcPr>
          <w:p w14:paraId="358C7CB7" w14:textId="77777777" w:rsidR="00735428" w:rsidRPr="008610B9" w:rsidRDefault="00735428" w:rsidP="00735428">
            <w:pPr>
              <w:spacing w:before="0"/>
              <w:rPr>
                <w:color w:val="000000"/>
                <w:sz w:val="20"/>
              </w:rPr>
            </w:pPr>
            <w:r w:rsidRPr="008610B9">
              <w:rPr>
                <w:noProof/>
                <w:color w:val="000000"/>
                <w:sz w:val="20"/>
                <w:lang w:eastAsia="en-AU"/>
              </w:rPr>
              <w:drawing>
                <wp:inline distT="0" distB="0" distL="0" distR="0" wp14:anchorId="55DFB45E" wp14:editId="02176EF7">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9994641" w14:textId="77777777" w:rsidR="00735428" w:rsidRPr="005039D7" w:rsidRDefault="00735428" w:rsidP="00735428">
            <w:pPr>
              <w:rPr>
                <w:b/>
                <w:color w:val="000000"/>
                <w:szCs w:val="22"/>
              </w:rPr>
            </w:pPr>
            <w:r w:rsidRPr="005039D7">
              <w:rPr>
                <w:b/>
                <w:color w:val="000000"/>
                <w:szCs w:val="22"/>
              </w:rPr>
              <w:t>Please note</w:t>
            </w:r>
          </w:p>
          <w:p w14:paraId="38291A48" w14:textId="7C17B8EF" w:rsidR="00735428" w:rsidRPr="005039D7" w:rsidRDefault="00735428" w:rsidP="00735428">
            <w:pPr>
              <w:rPr>
                <w:color w:val="000000"/>
                <w:szCs w:val="22"/>
              </w:rPr>
            </w:pPr>
            <w:r w:rsidRPr="005039D7">
              <w:rPr>
                <w:color w:val="000000"/>
                <w:szCs w:val="22"/>
              </w:rPr>
              <w:t xml:space="preserve">The new classification rules </w:t>
            </w:r>
            <w:r w:rsidRPr="005039D7">
              <w:rPr>
                <w:b/>
                <w:color w:val="000000"/>
                <w:szCs w:val="22"/>
              </w:rPr>
              <w:t>do not apply</w:t>
            </w:r>
            <w:r w:rsidR="00EE67EC" w:rsidRPr="005039D7">
              <w:rPr>
                <w:color w:val="000000"/>
                <w:szCs w:val="22"/>
              </w:rPr>
              <w:t xml:space="preserve"> to </w:t>
            </w:r>
            <w:hyperlink r:id="rId36" w:history="1">
              <w:r w:rsidR="00436B5F">
                <w:rPr>
                  <w:rStyle w:val="Hyperlink"/>
                  <w:szCs w:val="22"/>
                </w:rPr>
                <w:t>i</w:t>
              </w:r>
              <w:r w:rsidR="00EE67EC" w:rsidRPr="00712FB1">
                <w:rPr>
                  <w:rStyle w:val="Hyperlink"/>
                  <w:szCs w:val="22"/>
                </w:rPr>
                <w:t>n vitro</w:t>
              </w:r>
              <w:r w:rsidR="00EE67EC" w:rsidRPr="005039D7">
                <w:rPr>
                  <w:rStyle w:val="Hyperlink"/>
                  <w:i/>
                  <w:szCs w:val="22"/>
                </w:rPr>
                <w:t xml:space="preserve"> </w:t>
              </w:r>
              <w:r w:rsidR="00EE67EC" w:rsidRPr="005039D7">
                <w:rPr>
                  <w:rStyle w:val="Hyperlink"/>
                  <w:szCs w:val="22"/>
                </w:rPr>
                <w:t>diagnostic (I</w:t>
              </w:r>
              <w:r w:rsidRPr="005039D7">
                <w:rPr>
                  <w:rStyle w:val="Hyperlink"/>
                  <w:szCs w:val="22"/>
                </w:rPr>
                <w:t>VD medical devices.</w:t>
              </w:r>
            </w:hyperlink>
          </w:p>
          <w:p w14:paraId="1BE220DD" w14:textId="24B5A2B8" w:rsidR="00440AC2" w:rsidRPr="008610B9" w:rsidRDefault="00EE67EC" w:rsidP="00F53EEE">
            <w:pPr>
              <w:rPr>
                <w:color w:val="000000"/>
                <w:sz w:val="24"/>
              </w:rPr>
            </w:pPr>
            <w:r w:rsidRPr="005039D7">
              <w:rPr>
                <w:color w:val="000000"/>
                <w:szCs w:val="22"/>
              </w:rPr>
              <w:t>Specific classification rules apply to IVDs, which can be found in schedule 2A of the</w:t>
            </w:r>
            <w:r w:rsidR="00F53EEE">
              <w:rPr>
                <w:color w:val="000000"/>
                <w:szCs w:val="22"/>
              </w:rPr>
              <w:t xml:space="preserve"> Regulations.</w:t>
            </w:r>
          </w:p>
        </w:tc>
      </w:tr>
    </w:tbl>
    <w:p w14:paraId="7FB425C2" w14:textId="15B6AE25" w:rsidR="00C22F24" w:rsidRPr="00C22F24" w:rsidRDefault="00C22F24" w:rsidP="00075F66">
      <w:r>
        <w:t>The majority of medical devices are supplied in Australia on the basis of E</w:t>
      </w:r>
      <w:r w:rsidR="005A7497">
        <w:t>U</w:t>
      </w:r>
      <w:r>
        <w:t xml:space="preserve"> certification. </w:t>
      </w:r>
      <w:r w:rsidRPr="008610B9">
        <w:t xml:space="preserve">The Australian classification rules for </w:t>
      </w:r>
      <w:r>
        <w:t>software based</w:t>
      </w:r>
      <w:r w:rsidRPr="008610B9">
        <w:t xml:space="preserve"> medical devices are broadly aligned with the EU classification</w:t>
      </w:r>
      <w:r>
        <w:t>s. In most cases, the Australian classification will be the same or lower. If the classification of a device is higher in the EU, the certification can still be used to support an application for a lower risk device in Australia</w:t>
      </w:r>
      <w:r w:rsidRPr="009118AD">
        <w:t>.</w:t>
      </w:r>
    </w:p>
    <w:p w14:paraId="3D1972D2" w14:textId="663123DD" w:rsidR="00C22F24" w:rsidRDefault="00C22F24" w:rsidP="00C22F24">
      <w:pPr>
        <w:rPr>
          <w:color w:val="000000"/>
        </w:rPr>
      </w:pPr>
      <w:r>
        <w:rPr>
          <w:color w:val="000000"/>
        </w:rPr>
        <w:t>T</w:t>
      </w:r>
      <w:r w:rsidRPr="008610B9">
        <w:rPr>
          <w:color w:val="000000"/>
        </w:rPr>
        <w:t xml:space="preserve">he Australian </w:t>
      </w:r>
      <w:r>
        <w:rPr>
          <w:color w:val="000000"/>
        </w:rPr>
        <w:t xml:space="preserve">classification </w:t>
      </w:r>
      <w:r w:rsidRPr="008610B9">
        <w:rPr>
          <w:color w:val="000000"/>
        </w:rPr>
        <w:t xml:space="preserve">rules </w:t>
      </w:r>
      <w:r>
        <w:rPr>
          <w:color w:val="000000"/>
        </w:rPr>
        <w:t>differ from the EU in that they consider:</w:t>
      </w:r>
    </w:p>
    <w:p w14:paraId="1715AA7A" w14:textId="541DC21D" w:rsidR="00C22F24" w:rsidRDefault="00C22F24" w:rsidP="00075F66">
      <w:pPr>
        <w:pStyle w:val="ListBullet"/>
      </w:pPr>
      <w:r>
        <w:t>W</w:t>
      </w:r>
      <w:r w:rsidRPr="00DE60E5">
        <w:t xml:space="preserve">hether the software is intended to provide information to a </w:t>
      </w:r>
      <w:r w:rsidRPr="00DE60E5">
        <w:rPr>
          <w:i/>
        </w:rPr>
        <w:t>relevant healthcare professional</w:t>
      </w:r>
      <w:r w:rsidR="00411BC0">
        <w:t xml:space="preserve"> for diagnosing, s</w:t>
      </w:r>
      <w:r w:rsidR="005775B5">
        <w:t xml:space="preserve">creening </w:t>
      </w:r>
      <w:r w:rsidR="00411BC0" w:rsidRPr="00420745">
        <w:rPr>
          <w:rFonts w:asciiTheme="minorHAnsi" w:hAnsiTheme="minorHAnsi"/>
          <w:szCs w:val="22"/>
          <w:lang w:eastAsia="en-AU"/>
        </w:rPr>
        <w:t xml:space="preserve">or recommending </w:t>
      </w:r>
      <w:r w:rsidR="00411BC0">
        <w:rPr>
          <w:rFonts w:asciiTheme="minorHAnsi" w:hAnsiTheme="minorHAnsi"/>
          <w:szCs w:val="22"/>
          <w:lang w:eastAsia="en-AU"/>
        </w:rPr>
        <w:t xml:space="preserve">a </w:t>
      </w:r>
      <w:r w:rsidR="00411BC0" w:rsidRPr="00420745">
        <w:rPr>
          <w:rFonts w:asciiTheme="minorHAnsi" w:hAnsiTheme="minorHAnsi"/>
          <w:szCs w:val="22"/>
          <w:lang w:eastAsia="en-AU"/>
        </w:rPr>
        <w:t>treatment/intervention for a disease or condition</w:t>
      </w:r>
      <w:r w:rsidR="00411BC0">
        <w:t xml:space="preserve">. If software is intended for use by a relevant healthcare professional it will be a lower classification than if it was intended to be used by an individual (i.e., non-health professional). </w:t>
      </w:r>
      <w:r>
        <w:t>In most cases</w:t>
      </w:r>
      <w:r w:rsidR="00643A9B">
        <w:t xml:space="preserve">, this will result in </w:t>
      </w:r>
      <w:r>
        <w:t xml:space="preserve">such software </w:t>
      </w:r>
      <w:r w:rsidR="00643A9B">
        <w:t>being a</w:t>
      </w:r>
      <w:r>
        <w:t xml:space="preserve"> lower classification than </w:t>
      </w:r>
      <w:r w:rsidR="00643A9B">
        <w:t xml:space="preserve">what </w:t>
      </w:r>
      <w:r>
        <w:t>i</w:t>
      </w:r>
      <w:r w:rsidR="00643A9B">
        <w:t>t might be i</w:t>
      </w:r>
      <w:r>
        <w:t>n the EU.</w:t>
      </w:r>
    </w:p>
    <w:p w14:paraId="161F2823" w14:textId="6A7F2CD9" w:rsidR="00C22F24" w:rsidRDefault="00C22F24" w:rsidP="00712FB1">
      <w:pPr>
        <w:pStyle w:val="ListBullet"/>
        <w:numPr>
          <w:ilvl w:val="0"/>
          <w:numId w:val="0"/>
        </w:numPr>
        <w:ind w:left="360"/>
      </w:pPr>
      <w:r w:rsidRPr="00C22F24">
        <w:t xml:space="preserve">The term ‘relevant’ describes </w:t>
      </w:r>
      <w:r w:rsidR="00802A26">
        <w:t>a</w:t>
      </w:r>
      <w:r w:rsidRPr="00C22F24">
        <w:t xml:space="preserve"> health professional with the appropriate expertise </w:t>
      </w:r>
      <w:r w:rsidR="00802A26">
        <w:t>to understand and use</w:t>
      </w:r>
      <w:r w:rsidRPr="00C22F24">
        <w:t xml:space="preserve"> the provided information to assist them in making a diagnosis or formulating a treatment plan</w:t>
      </w:r>
      <w:r w:rsidR="00802A26">
        <w:t>.</w:t>
      </w:r>
      <w:r w:rsidRPr="00C22F24">
        <w:t xml:space="preserve"> For example, a relevant health professional for </w:t>
      </w:r>
      <w:r w:rsidR="00643A9B">
        <w:t xml:space="preserve">cancer </w:t>
      </w:r>
      <w:r w:rsidRPr="00C22F24">
        <w:t>diagnos</w:t>
      </w:r>
      <w:r w:rsidR="00643A9B">
        <w:t>is and treatment</w:t>
      </w:r>
      <w:r w:rsidRPr="00C22F24">
        <w:t xml:space="preserve"> would be an oncolo</w:t>
      </w:r>
      <w:r w:rsidR="00643A9B">
        <w:t>gist</w:t>
      </w:r>
      <w:r w:rsidRPr="00C22F24">
        <w:t>. However, a general practitioner could be a relevant health professional for diagnosing other sorts of diseases and conditions.</w:t>
      </w:r>
    </w:p>
    <w:p w14:paraId="6F0D314A" w14:textId="1DD057BF" w:rsidR="00C22F24" w:rsidRDefault="00C22F24" w:rsidP="00712FB1">
      <w:pPr>
        <w:pStyle w:val="ListBullet"/>
      </w:pPr>
      <w:r>
        <w:lastRenderedPageBreak/>
        <w:t>P</w:t>
      </w:r>
      <w:r w:rsidRPr="00C22F24">
        <w:t>ublic health risk. In most cases, the classification will be the same as the in the EU except where the risk to public health is higher than that to an individual.</w:t>
      </w:r>
    </w:p>
    <w:p w14:paraId="6E5AAA37" w14:textId="5B6F5896" w:rsidR="00C22F24" w:rsidRDefault="00436B5F" w:rsidP="00712FB1">
      <w:pPr>
        <w:pStyle w:val="ListBullet"/>
      </w:pPr>
      <w:r>
        <w:t>T</w:t>
      </w:r>
      <w:r w:rsidR="00C22F24" w:rsidRPr="00C22F24">
        <w:t xml:space="preserve">he risk of harm associated with devices intended to provide therapy through the provision of information. Depending on the intended purpose of the software, these devices may be Class I or higher in Australia. </w:t>
      </w:r>
    </w:p>
    <w:p w14:paraId="51158FC7" w14:textId="03D5EF41" w:rsidR="00C22F24" w:rsidRPr="009962CC" w:rsidRDefault="00C22F24" w:rsidP="00075F66">
      <w:pPr>
        <w:pStyle w:val="Heading4"/>
      </w:pPr>
      <w:bookmarkStart w:id="14" w:name="_Toc58337137"/>
      <w:r>
        <w:t>Summary of the new rules and examples</w:t>
      </w:r>
      <w:bookmarkEnd w:id="14"/>
    </w:p>
    <w:p w14:paraId="7EB80F3B" w14:textId="0428E703" w:rsidR="00B5321D" w:rsidRDefault="009118AD" w:rsidP="009118AD">
      <w:pPr>
        <w:rPr>
          <w:color w:val="000000"/>
        </w:rPr>
      </w:pPr>
      <w:r w:rsidRPr="009118AD">
        <w:rPr>
          <w:color w:val="000000"/>
        </w:rPr>
        <w:t xml:space="preserve">The </w:t>
      </w:r>
      <w:r w:rsidR="009D5E95">
        <w:rPr>
          <w:color w:val="000000"/>
        </w:rPr>
        <w:t xml:space="preserve">new </w:t>
      </w:r>
      <w:r w:rsidRPr="009118AD">
        <w:rPr>
          <w:color w:val="000000"/>
        </w:rPr>
        <w:t>Australian classification rules are summarised in Table 1</w:t>
      </w:r>
      <w:r w:rsidR="00DE5537">
        <w:rPr>
          <w:color w:val="000000"/>
        </w:rPr>
        <w:t xml:space="preserve"> below.</w:t>
      </w:r>
    </w:p>
    <w:p w14:paraId="57660463" w14:textId="4878C640" w:rsidR="00F53EEE" w:rsidRPr="00F53EEE" w:rsidRDefault="00A56162" w:rsidP="009118AD">
      <w:pPr>
        <w:rPr>
          <w:color w:val="000000"/>
        </w:rPr>
      </w:pPr>
      <w:r>
        <w:rPr>
          <w:color w:val="000000"/>
        </w:rPr>
        <w:t>For further information on the classification rules for software</w:t>
      </w:r>
      <w:r w:rsidR="005B123F">
        <w:rPr>
          <w:color w:val="000000"/>
        </w:rPr>
        <w:t xml:space="preserve"> and how they apply,</w:t>
      </w:r>
      <w:r>
        <w:rPr>
          <w:color w:val="000000"/>
        </w:rPr>
        <w:t xml:space="preserve"> see </w:t>
      </w:r>
      <w:hyperlink r:id="rId37" w:history="1">
        <w:r w:rsidR="008A5365">
          <w:rPr>
            <w:rStyle w:val="Hyperlink"/>
          </w:rPr>
          <w:t>Regulatory changes for software based medical devices</w:t>
        </w:r>
      </w:hyperlink>
      <w:r w:rsidR="008A5365">
        <w:rPr>
          <w:color w:val="000000"/>
        </w:rPr>
        <w:t>.</w:t>
      </w:r>
    </w:p>
    <w:p w14:paraId="433BD976" w14:textId="52485FA8" w:rsidR="00420745" w:rsidRPr="00420745" w:rsidRDefault="00420745" w:rsidP="00420745">
      <w:pPr>
        <w:rPr>
          <w:b/>
          <w:color w:val="000000"/>
        </w:rPr>
      </w:pPr>
      <w:r w:rsidRPr="00420745">
        <w:rPr>
          <w:b/>
          <w:color w:val="000000"/>
        </w:rPr>
        <w:t xml:space="preserve">Summary of </w:t>
      </w:r>
      <w:r w:rsidR="00BB412B">
        <w:rPr>
          <w:b/>
          <w:color w:val="000000"/>
        </w:rPr>
        <w:t xml:space="preserve">the new </w:t>
      </w:r>
      <w:r w:rsidRPr="00420745">
        <w:rPr>
          <w:b/>
          <w:color w:val="000000"/>
        </w:rPr>
        <w:t xml:space="preserve">classification rules for </w:t>
      </w:r>
      <w:r w:rsidR="00992879">
        <w:rPr>
          <w:b/>
          <w:color w:val="000000"/>
        </w:rPr>
        <w:t>software based</w:t>
      </w:r>
      <w:r w:rsidRPr="00420745">
        <w:rPr>
          <w:b/>
          <w:color w:val="000000"/>
        </w:rPr>
        <w:t xml:space="preserve"> medical devices</w:t>
      </w:r>
    </w:p>
    <w:tbl>
      <w:tblPr>
        <w:tblStyle w:val="TableTGAblue"/>
        <w:tblW w:w="9072" w:type="dxa"/>
        <w:tblLayout w:type="fixed"/>
        <w:tblLook w:val="04A0" w:firstRow="1" w:lastRow="0" w:firstColumn="1" w:lastColumn="0" w:noHBand="0" w:noVBand="1"/>
        <w:tblCaption w:val="Summary of the new classification rules for software based medical devices"/>
        <w:tblDescription w:val="First column describes the risk to individual or public health. Second and third columns describe the classification based on whether the device provides information to an individual or a health professional."/>
      </w:tblPr>
      <w:tblGrid>
        <w:gridCol w:w="567"/>
        <w:gridCol w:w="2694"/>
        <w:gridCol w:w="2976"/>
        <w:gridCol w:w="2835"/>
      </w:tblGrid>
      <w:tr w:rsidR="005A7497" w:rsidRPr="00022AB6" w14:paraId="503BE156" w14:textId="77777777" w:rsidTr="005A7497">
        <w:trPr>
          <w:cnfStyle w:val="100000000000" w:firstRow="1" w:lastRow="0" w:firstColumn="0" w:lastColumn="0" w:oddVBand="0" w:evenVBand="0" w:oddHBand="0" w:evenHBand="0" w:firstRowFirstColumn="0" w:firstRowLastColumn="0" w:lastRowFirstColumn="0" w:lastRowLastColumn="0"/>
          <w:cantSplit w:val="0"/>
          <w:trHeight w:val="557"/>
        </w:trPr>
        <w:tc>
          <w:tcPr>
            <w:cnfStyle w:val="001000000000" w:firstRow="0" w:lastRow="0" w:firstColumn="1" w:lastColumn="0" w:oddVBand="0" w:evenVBand="0" w:oddHBand="0" w:evenHBand="0" w:firstRowFirstColumn="0" w:firstRowLastColumn="0" w:lastRowFirstColumn="0" w:lastRowLastColumn="0"/>
            <w:tcW w:w="9072" w:type="dxa"/>
            <w:gridSpan w:val="4"/>
          </w:tcPr>
          <w:p w14:paraId="15CF63FF" w14:textId="11FFD784" w:rsidR="005A7497" w:rsidRPr="00420745" w:rsidRDefault="005A7497" w:rsidP="005A7497">
            <w:pPr>
              <w:rPr>
                <w:rFonts w:asciiTheme="minorHAnsi" w:hAnsiTheme="minorHAnsi"/>
                <w:szCs w:val="22"/>
                <w:lang w:eastAsia="en-AU"/>
              </w:rPr>
            </w:pPr>
            <w:r w:rsidRPr="005A7497">
              <w:rPr>
                <w:rFonts w:asciiTheme="minorHAnsi" w:hAnsiTheme="minorHAnsi"/>
                <w:color w:val="FFFFFF" w:themeColor="background1"/>
              </w:rPr>
              <w:t>Summary of the new classification rules for software based medical devices</w:t>
            </w:r>
          </w:p>
        </w:tc>
      </w:tr>
      <w:tr w:rsidR="0099363E" w:rsidRPr="00022AB6" w14:paraId="34395845" w14:textId="77777777" w:rsidTr="00075F66">
        <w:trPr>
          <w:cantSplit w:val="0"/>
          <w:trHeight w:val="557"/>
        </w:trPr>
        <w:tc>
          <w:tcPr>
            <w:cnfStyle w:val="001000000000" w:firstRow="0" w:lastRow="0" w:firstColumn="1" w:lastColumn="0" w:oddVBand="0" w:evenVBand="0" w:oddHBand="0" w:evenHBand="0" w:firstRowFirstColumn="0" w:firstRowLastColumn="0" w:lastRowFirstColumn="0" w:lastRowLastColumn="0"/>
            <w:tcW w:w="3261" w:type="dxa"/>
            <w:gridSpan w:val="2"/>
            <w:vMerge w:val="restart"/>
            <w:shd w:val="clear" w:color="auto" w:fill="C6D4E9"/>
          </w:tcPr>
          <w:p w14:paraId="6A125B75" w14:textId="77777777" w:rsidR="0099363E" w:rsidRPr="00420745" w:rsidRDefault="0099363E" w:rsidP="00735428">
            <w:pPr>
              <w:rPr>
                <w:rFonts w:asciiTheme="minorHAnsi" w:hAnsiTheme="minorHAnsi"/>
                <w:szCs w:val="22"/>
                <w:lang w:eastAsia="en-AU"/>
              </w:rPr>
            </w:pPr>
          </w:p>
        </w:tc>
        <w:tc>
          <w:tcPr>
            <w:tcW w:w="5811" w:type="dxa"/>
            <w:gridSpan w:val="2"/>
            <w:shd w:val="clear" w:color="auto" w:fill="C6D4E9"/>
          </w:tcPr>
          <w:p w14:paraId="5D4B7E4E" w14:textId="47ADE74A" w:rsidR="0099363E" w:rsidRPr="005A7497" w:rsidRDefault="0099363E" w:rsidP="005A74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5A7497">
              <w:rPr>
                <w:rFonts w:asciiTheme="minorHAnsi" w:hAnsiTheme="minorHAnsi"/>
                <w:b/>
                <w:color w:val="auto"/>
                <w:szCs w:val="22"/>
                <w:lang w:eastAsia="en-AU"/>
              </w:rPr>
              <w:t xml:space="preserve">Diagnosing </w:t>
            </w:r>
            <w:r w:rsidR="005A7497" w:rsidRPr="005A7497">
              <w:rPr>
                <w:rFonts w:asciiTheme="minorHAnsi" w:hAnsiTheme="minorHAnsi"/>
                <w:b/>
                <w:color w:val="auto"/>
                <w:szCs w:val="22"/>
                <w:lang w:eastAsia="en-AU"/>
              </w:rPr>
              <w:t>and/</w:t>
            </w:r>
            <w:r w:rsidRPr="005A7497">
              <w:rPr>
                <w:rFonts w:asciiTheme="minorHAnsi" w:hAnsiTheme="minorHAnsi"/>
                <w:b/>
                <w:color w:val="auto"/>
                <w:szCs w:val="22"/>
                <w:lang w:eastAsia="en-AU"/>
              </w:rPr>
              <w:t>or recommending treatment</w:t>
            </w:r>
            <w:r w:rsidR="005A7497" w:rsidRPr="005A7497">
              <w:rPr>
                <w:rFonts w:asciiTheme="minorHAnsi" w:hAnsiTheme="minorHAnsi"/>
                <w:b/>
                <w:color w:val="auto"/>
                <w:szCs w:val="22"/>
                <w:lang w:eastAsia="en-AU"/>
              </w:rPr>
              <w:t xml:space="preserve"> or </w:t>
            </w:r>
            <w:r w:rsidRPr="005A7497">
              <w:rPr>
                <w:rFonts w:asciiTheme="minorHAnsi" w:hAnsiTheme="minorHAnsi"/>
                <w:b/>
                <w:color w:val="auto"/>
                <w:szCs w:val="22"/>
                <w:lang w:eastAsia="en-AU"/>
              </w:rPr>
              <w:t>intervention for a disease or condition</w:t>
            </w:r>
          </w:p>
        </w:tc>
      </w:tr>
      <w:tr w:rsidR="0099363E" w:rsidRPr="00022AB6" w14:paraId="725BBA49" w14:textId="77777777" w:rsidTr="00075F66">
        <w:trPr>
          <w:cantSplit w:val="0"/>
          <w:trHeight w:val="250"/>
        </w:trPr>
        <w:tc>
          <w:tcPr>
            <w:cnfStyle w:val="001000000000" w:firstRow="0" w:lastRow="0" w:firstColumn="1" w:lastColumn="0" w:oddVBand="0" w:evenVBand="0" w:oddHBand="0" w:evenHBand="0" w:firstRowFirstColumn="0" w:firstRowLastColumn="0" w:lastRowFirstColumn="0" w:lastRowLastColumn="0"/>
            <w:tcW w:w="3261" w:type="dxa"/>
            <w:gridSpan w:val="2"/>
            <w:vMerge/>
            <w:shd w:val="clear" w:color="auto" w:fill="C6D4E9"/>
          </w:tcPr>
          <w:p w14:paraId="16FC120E" w14:textId="77777777" w:rsidR="0099363E" w:rsidRPr="00420745" w:rsidRDefault="0099363E" w:rsidP="00735428">
            <w:pPr>
              <w:rPr>
                <w:rFonts w:asciiTheme="minorHAnsi" w:hAnsiTheme="minorHAnsi"/>
                <w:b/>
                <w:szCs w:val="22"/>
                <w:lang w:eastAsia="en-AU"/>
              </w:rPr>
            </w:pPr>
          </w:p>
        </w:tc>
        <w:tc>
          <w:tcPr>
            <w:tcW w:w="2976" w:type="dxa"/>
            <w:shd w:val="clear" w:color="auto" w:fill="C6D4E9"/>
          </w:tcPr>
          <w:p w14:paraId="5F4D6565" w14:textId="77777777" w:rsidR="0099363E" w:rsidRPr="00420745" w:rsidRDefault="0099363E"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Provides information to an individual</w:t>
            </w:r>
          </w:p>
        </w:tc>
        <w:tc>
          <w:tcPr>
            <w:tcW w:w="2835" w:type="dxa"/>
            <w:shd w:val="clear" w:color="auto" w:fill="C6D4E9"/>
          </w:tcPr>
          <w:p w14:paraId="3737CA61" w14:textId="2170C99A" w:rsidR="0099363E" w:rsidRPr="00420745" w:rsidRDefault="0099363E"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Provides infor</w:t>
            </w:r>
            <w:r w:rsidR="00075F66">
              <w:rPr>
                <w:rFonts w:asciiTheme="minorHAnsi" w:hAnsiTheme="minorHAnsi"/>
                <w:b/>
                <w:szCs w:val="22"/>
                <w:lang w:eastAsia="en-AU"/>
              </w:rPr>
              <w:t>mation to a health professional</w:t>
            </w:r>
          </w:p>
        </w:tc>
      </w:tr>
      <w:tr w:rsidR="0099363E" w:rsidRPr="00022AB6" w14:paraId="75B71665" w14:textId="77777777" w:rsidTr="00075F66">
        <w:trPr>
          <w:trHeight w:val="1110"/>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C6D4E9"/>
            <w:textDirection w:val="btLr"/>
          </w:tcPr>
          <w:p w14:paraId="4406748F" w14:textId="77777777" w:rsidR="0099363E" w:rsidRPr="00420745" w:rsidRDefault="0099363E" w:rsidP="00735428">
            <w:pPr>
              <w:ind w:left="113" w:right="113"/>
              <w:jc w:val="center"/>
              <w:rPr>
                <w:rFonts w:asciiTheme="minorHAnsi" w:hAnsiTheme="minorHAnsi"/>
                <w:b/>
                <w:szCs w:val="22"/>
                <w:lang w:eastAsia="en-AU"/>
              </w:rPr>
            </w:pPr>
            <w:r w:rsidRPr="00420745">
              <w:rPr>
                <w:rFonts w:asciiTheme="minorHAnsi" w:hAnsiTheme="minorHAnsi"/>
                <w:b/>
                <w:szCs w:val="22"/>
                <w:lang w:eastAsia="en-AU"/>
              </w:rPr>
              <w:t>Risk to individual or public health</w:t>
            </w:r>
          </w:p>
        </w:tc>
        <w:tc>
          <w:tcPr>
            <w:tcW w:w="2694" w:type="dxa"/>
          </w:tcPr>
          <w:p w14:paraId="46B27D79" w14:textId="77777777" w:rsidR="0099363E" w:rsidRPr="00420745" w:rsidRDefault="0099363E" w:rsidP="00735428">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Death/severe deterioration/high public health risk</w:t>
            </w:r>
          </w:p>
        </w:tc>
        <w:tc>
          <w:tcPr>
            <w:tcW w:w="2976" w:type="dxa"/>
          </w:tcPr>
          <w:p w14:paraId="48845789"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0099363E" w:rsidRPr="00420745">
              <w:rPr>
                <w:rFonts w:asciiTheme="minorHAnsi" w:hAnsiTheme="minorHAnsi"/>
                <w:szCs w:val="22"/>
                <w:lang w:eastAsia="en-AU"/>
              </w:rPr>
              <w:t>III</w:t>
            </w:r>
          </w:p>
        </w:tc>
        <w:tc>
          <w:tcPr>
            <w:tcW w:w="2835" w:type="dxa"/>
          </w:tcPr>
          <w:p w14:paraId="181EEEAD"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0099363E" w:rsidRPr="00420745">
              <w:rPr>
                <w:rFonts w:asciiTheme="minorHAnsi" w:hAnsiTheme="minorHAnsi"/>
                <w:szCs w:val="22"/>
                <w:lang w:eastAsia="en-AU"/>
              </w:rPr>
              <w:t>IIb</w:t>
            </w:r>
          </w:p>
        </w:tc>
      </w:tr>
      <w:tr w:rsidR="0099363E" w:rsidRPr="00022AB6" w14:paraId="575D2707" w14:textId="77777777" w:rsidTr="00075F66">
        <w:trPr>
          <w:trHeight w:val="1396"/>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0BE31FB3" w14:textId="77777777" w:rsidR="0099363E" w:rsidRPr="00420745" w:rsidRDefault="0099363E" w:rsidP="00735428">
            <w:pPr>
              <w:rPr>
                <w:rFonts w:asciiTheme="minorHAnsi" w:hAnsiTheme="minorHAnsi"/>
                <w:szCs w:val="22"/>
                <w:lang w:eastAsia="en-AU"/>
              </w:rPr>
            </w:pPr>
          </w:p>
        </w:tc>
        <w:tc>
          <w:tcPr>
            <w:tcW w:w="2694" w:type="dxa"/>
          </w:tcPr>
          <w:p w14:paraId="2343C502" w14:textId="77777777" w:rsidR="0099363E" w:rsidRPr="00420745" w:rsidRDefault="0099363E" w:rsidP="00735428">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Serious disease or condition/otherwise harmful/moderate public health risk</w:t>
            </w:r>
          </w:p>
        </w:tc>
        <w:tc>
          <w:tcPr>
            <w:tcW w:w="2976" w:type="dxa"/>
          </w:tcPr>
          <w:p w14:paraId="79E9B34B"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0099363E" w:rsidRPr="00420745">
              <w:rPr>
                <w:rFonts w:asciiTheme="minorHAnsi" w:hAnsiTheme="minorHAnsi"/>
                <w:szCs w:val="22"/>
                <w:lang w:eastAsia="en-AU"/>
              </w:rPr>
              <w:t>IIb</w:t>
            </w:r>
          </w:p>
        </w:tc>
        <w:tc>
          <w:tcPr>
            <w:tcW w:w="2835" w:type="dxa"/>
          </w:tcPr>
          <w:p w14:paraId="15902EB9"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proofErr w:type="spellStart"/>
            <w:r w:rsidR="0099363E" w:rsidRPr="00420745">
              <w:rPr>
                <w:rFonts w:asciiTheme="minorHAnsi" w:hAnsiTheme="minorHAnsi"/>
                <w:szCs w:val="22"/>
                <w:lang w:eastAsia="en-AU"/>
              </w:rPr>
              <w:t>IIa</w:t>
            </w:r>
            <w:proofErr w:type="spellEnd"/>
          </w:p>
        </w:tc>
      </w:tr>
      <w:tr w:rsidR="0099363E" w:rsidRPr="00022AB6" w14:paraId="0D307D56" w14:textId="77777777" w:rsidTr="00075F66">
        <w:trPr>
          <w:trHeight w:val="693"/>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2BAF1DBF" w14:textId="77777777" w:rsidR="0099363E" w:rsidRPr="00420745" w:rsidRDefault="0099363E" w:rsidP="00735428">
            <w:pPr>
              <w:rPr>
                <w:rFonts w:asciiTheme="minorHAnsi" w:hAnsiTheme="minorHAnsi"/>
                <w:szCs w:val="22"/>
                <w:lang w:eastAsia="en-AU"/>
              </w:rPr>
            </w:pPr>
          </w:p>
        </w:tc>
        <w:tc>
          <w:tcPr>
            <w:tcW w:w="2694" w:type="dxa"/>
          </w:tcPr>
          <w:p w14:paraId="7814F8EE" w14:textId="77777777" w:rsidR="0099363E" w:rsidRPr="00420745" w:rsidRDefault="0099363E" w:rsidP="00735428">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Any other case</w:t>
            </w:r>
          </w:p>
        </w:tc>
        <w:tc>
          <w:tcPr>
            <w:tcW w:w="2976" w:type="dxa"/>
          </w:tcPr>
          <w:p w14:paraId="579ECCC7"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proofErr w:type="spellStart"/>
            <w:r w:rsidR="0099363E" w:rsidRPr="00420745">
              <w:rPr>
                <w:rFonts w:asciiTheme="minorHAnsi" w:hAnsiTheme="minorHAnsi"/>
                <w:szCs w:val="22"/>
                <w:lang w:eastAsia="en-AU"/>
              </w:rPr>
              <w:t>IIa</w:t>
            </w:r>
            <w:proofErr w:type="spellEnd"/>
          </w:p>
        </w:tc>
        <w:tc>
          <w:tcPr>
            <w:tcW w:w="2835" w:type="dxa"/>
          </w:tcPr>
          <w:p w14:paraId="0222D420" w14:textId="77777777" w:rsidR="0099363E" w:rsidRPr="00420745" w:rsidRDefault="005039D7" w:rsidP="0073542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0099363E" w:rsidRPr="00420745">
              <w:rPr>
                <w:rFonts w:asciiTheme="minorHAnsi" w:hAnsiTheme="minorHAnsi"/>
                <w:szCs w:val="22"/>
                <w:lang w:eastAsia="en-AU"/>
              </w:rPr>
              <w:t>I</w:t>
            </w:r>
          </w:p>
        </w:tc>
      </w:tr>
      <w:tr w:rsidR="005A7497" w:rsidRPr="00022AB6" w14:paraId="51EC9E12" w14:textId="77777777" w:rsidTr="00075F66">
        <w:trPr>
          <w:trHeight w:val="143"/>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6A7FA3B2" w14:textId="77777777" w:rsidR="005A7497" w:rsidRPr="00420745" w:rsidRDefault="005A7497" w:rsidP="005A7497">
            <w:pPr>
              <w:rPr>
                <w:rFonts w:asciiTheme="minorHAnsi" w:hAnsiTheme="minorHAnsi"/>
                <w:szCs w:val="22"/>
                <w:lang w:eastAsia="en-AU"/>
              </w:rPr>
            </w:pPr>
          </w:p>
        </w:tc>
        <w:tc>
          <w:tcPr>
            <w:tcW w:w="2694" w:type="dxa"/>
            <w:shd w:val="clear" w:color="auto" w:fill="C6D4E9"/>
          </w:tcPr>
          <w:p w14:paraId="3DB7D1CF"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p>
        </w:tc>
        <w:tc>
          <w:tcPr>
            <w:tcW w:w="5811" w:type="dxa"/>
            <w:gridSpan w:val="2"/>
            <w:shd w:val="clear" w:color="auto" w:fill="C6D4E9"/>
          </w:tcPr>
          <w:p w14:paraId="16C9AC88" w14:textId="626DF5B3" w:rsidR="005A7497"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sidRPr="005A7497">
              <w:rPr>
                <w:rFonts w:asciiTheme="minorHAnsi" w:hAnsiTheme="minorHAnsi"/>
                <w:b/>
                <w:szCs w:val="22"/>
                <w:lang w:eastAsia="en-AU"/>
              </w:rPr>
              <w:t xml:space="preserve">screening and/or specifying </w:t>
            </w:r>
            <w:r>
              <w:rPr>
                <w:rFonts w:asciiTheme="minorHAnsi" w:hAnsiTheme="minorHAnsi"/>
                <w:b/>
                <w:szCs w:val="22"/>
                <w:lang w:eastAsia="en-AU"/>
              </w:rPr>
              <w:t xml:space="preserve">a treatment or </w:t>
            </w:r>
            <w:r w:rsidRPr="005A7497">
              <w:rPr>
                <w:rFonts w:asciiTheme="minorHAnsi" w:hAnsiTheme="minorHAnsi"/>
                <w:b/>
                <w:szCs w:val="22"/>
                <w:lang w:eastAsia="en-AU"/>
              </w:rPr>
              <w:t>intervention for a disease or condition</w:t>
            </w:r>
          </w:p>
        </w:tc>
      </w:tr>
      <w:tr w:rsidR="005A7497" w:rsidRPr="00022AB6" w14:paraId="7FF477A7" w14:textId="77777777" w:rsidTr="00075F66">
        <w:trPr>
          <w:trHeight w:val="136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7D78E902" w14:textId="77777777" w:rsidR="005A7497" w:rsidRPr="00420745" w:rsidRDefault="005A7497" w:rsidP="005A7497">
            <w:pPr>
              <w:rPr>
                <w:rFonts w:asciiTheme="minorHAnsi" w:hAnsiTheme="minorHAnsi"/>
                <w:szCs w:val="22"/>
                <w:lang w:eastAsia="en-AU"/>
              </w:rPr>
            </w:pPr>
          </w:p>
        </w:tc>
        <w:tc>
          <w:tcPr>
            <w:tcW w:w="2694" w:type="dxa"/>
          </w:tcPr>
          <w:p w14:paraId="228FF514" w14:textId="01E87579"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Death/severe deterioration/high public health risk</w:t>
            </w:r>
          </w:p>
        </w:tc>
        <w:tc>
          <w:tcPr>
            <w:tcW w:w="5811" w:type="dxa"/>
            <w:gridSpan w:val="2"/>
          </w:tcPr>
          <w:p w14:paraId="7C987604" w14:textId="3DEC6CC1" w:rsidR="005A7497"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sz w:val="20"/>
              </w:rPr>
              <w:t>Class III</w:t>
            </w:r>
          </w:p>
        </w:tc>
      </w:tr>
      <w:tr w:rsidR="005A7497" w:rsidRPr="00022AB6" w14:paraId="60AB431B" w14:textId="77777777" w:rsidTr="00075F66">
        <w:trPr>
          <w:trHeight w:val="1536"/>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609F39C7" w14:textId="77777777" w:rsidR="005A7497" w:rsidRPr="00420745" w:rsidRDefault="005A7497" w:rsidP="005A7497">
            <w:pPr>
              <w:rPr>
                <w:rFonts w:asciiTheme="minorHAnsi" w:hAnsiTheme="minorHAnsi"/>
                <w:szCs w:val="22"/>
                <w:lang w:eastAsia="en-AU"/>
              </w:rPr>
            </w:pPr>
          </w:p>
        </w:tc>
        <w:tc>
          <w:tcPr>
            <w:tcW w:w="2694" w:type="dxa"/>
          </w:tcPr>
          <w:p w14:paraId="577867B9" w14:textId="4DEF548F"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Serious disease or condition/otherwise harmful/moderate public health risk</w:t>
            </w:r>
          </w:p>
        </w:tc>
        <w:tc>
          <w:tcPr>
            <w:tcW w:w="5811" w:type="dxa"/>
            <w:gridSpan w:val="2"/>
          </w:tcPr>
          <w:p w14:paraId="6DA150F2" w14:textId="321506D3" w:rsidR="005A7497"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sz w:val="20"/>
              </w:rPr>
              <w:t>Class IIb</w:t>
            </w:r>
          </w:p>
        </w:tc>
      </w:tr>
      <w:tr w:rsidR="005A7497" w:rsidRPr="00022AB6" w14:paraId="69199D79" w14:textId="77777777" w:rsidTr="00075F66">
        <w:trPr>
          <w:trHeight w:val="761"/>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66EAD525" w14:textId="77777777" w:rsidR="005A7497" w:rsidRPr="00420745" w:rsidRDefault="005A7497" w:rsidP="005A7497">
            <w:pPr>
              <w:rPr>
                <w:rFonts w:asciiTheme="minorHAnsi" w:hAnsiTheme="minorHAnsi"/>
                <w:szCs w:val="22"/>
                <w:lang w:eastAsia="en-AU"/>
              </w:rPr>
            </w:pPr>
          </w:p>
        </w:tc>
        <w:tc>
          <w:tcPr>
            <w:tcW w:w="2694" w:type="dxa"/>
          </w:tcPr>
          <w:p w14:paraId="59FFD304" w14:textId="718BD53B"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Any other case</w:t>
            </w:r>
          </w:p>
        </w:tc>
        <w:tc>
          <w:tcPr>
            <w:tcW w:w="5811" w:type="dxa"/>
            <w:gridSpan w:val="2"/>
          </w:tcPr>
          <w:p w14:paraId="6784B4D1" w14:textId="6BB396E7" w:rsidR="005A7497"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sz w:val="20"/>
              </w:rPr>
              <w:t xml:space="preserve">Class </w:t>
            </w:r>
            <w:proofErr w:type="spellStart"/>
            <w:r>
              <w:rPr>
                <w:sz w:val="20"/>
              </w:rPr>
              <w:t>IIa</w:t>
            </w:r>
            <w:proofErr w:type="spellEnd"/>
          </w:p>
        </w:tc>
      </w:tr>
      <w:tr w:rsidR="005A7497" w:rsidRPr="00022AB6" w14:paraId="7C3690B0" w14:textId="77777777" w:rsidTr="00075F66">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1844F815" w14:textId="77777777" w:rsidR="005A7497" w:rsidRPr="00420745" w:rsidRDefault="005A7497" w:rsidP="005A7497">
            <w:pPr>
              <w:rPr>
                <w:rFonts w:asciiTheme="minorHAnsi" w:hAnsiTheme="minorHAnsi"/>
                <w:b/>
                <w:szCs w:val="22"/>
                <w:lang w:eastAsia="en-AU"/>
              </w:rPr>
            </w:pPr>
          </w:p>
        </w:tc>
        <w:tc>
          <w:tcPr>
            <w:tcW w:w="2694" w:type="dxa"/>
            <w:shd w:val="clear" w:color="auto" w:fill="C6D4E9"/>
          </w:tcPr>
          <w:p w14:paraId="28EDEBB4"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p>
        </w:tc>
        <w:tc>
          <w:tcPr>
            <w:tcW w:w="5811" w:type="dxa"/>
            <w:gridSpan w:val="2"/>
            <w:shd w:val="clear" w:color="auto" w:fill="C6D4E9"/>
          </w:tcPr>
          <w:p w14:paraId="4A7817D1"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Monitoring the state/progression of a disease or condition</w:t>
            </w:r>
          </w:p>
        </w:tc>
      </w:tr>
      <w:tr w:rsidR="005A7497" w:rsidRPr="00022AB6" w14:paraId="402A8101" w14:textId="77777777" w:rsidTr="00075F66">
        <w:trPr>
          <w:trHeight w:val="818"/>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5459BDB3" w14:textId="77777777" w:rsidR="005A7497" w:rsidRPr="00420745" w:rsidRDefault="005A7497" w:rsidP="005A7497">
            <w:pPr>
              <w:rPr>
                <w:rFonts w:asciiTheme="minorHAnsi" w:hAnsiTheme="minorHAnsi"/>
                <w:szCs w:val="22"/>
                <w:lang w:eastAsia="en-AU"/>
              </w:rPr>
            </w:pPr>
          </w:p>
        </w:tc>
        <w:tc>
          <w:tcPr>
            <w:tcW w:w="2694" w:type="dxa"/>
          </w:tcPr>
          <w:p w14:paraId="11CF6F58"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Immediate danger to a person/high public health risk</w:t>
            </w:r>
          </w:p>
        </w:tc>
        <w:tc>
          <w:tcPr>
            <w:tcW w:w="5811" w:type="dxa"/>
            <w:gridSpan w:val="2"/>
          </w:tcPr>
          <w:p w14:paraId="5DEF4B59"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Pr="00420745">
              <w:rPr>
                <w:rFonts w:asciiTheme="minorHAnsi" w:hAnsiTheme="minorHAnsi"/>
                <w:szCs w:val="22"/>
                <w:lang w:eastAsia="en-AU"/>
              </w:rPr>
              <w:t>IIb</w:t>
            </w:r>
          </w:p>
        </w:tc>
      </w:tr>
      <w:tr w:rsidR="005A7497" w:rsidRPr="00022AB6" w14:paraId="5ABBFF70" w14:textId="77777777" w:rsidTr="00075F66">
        <w:trPr>
          <w:trHeight w:val="90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39A3DDE1" w14:textId="77777777" w:rsidR="005A7497" w:rsidRPr="00420745" w:rsidRDefault="005A7497" w:rsidP="005A7497">
            <w:pPr>
              <w:rPr>
                <w:rFonts w:asciiTheme="minorHAnsi" w:hAnsiTheme="minorHAnsi"/>
                <w:szCs w:val="22"/>
                <w:lang w:eastAsia="en-AU"/>
              </w:rPr>
            </w:pPr>
          </w:p>
        </w:tc>
        <w:tc>
          <w:tcPr>
            <w:tcW w:w="2694" w:type="dxa"/>
          </w:tcPr>
          <w:p w14:paraId="5E83C466"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Other danger to a person or another/moderate public health risk</w:t>
            </w:r>
          </w:p>
        </w:tc>
        <w:tc>
          <w:tcPr>
            <w:tcW w:w="5811" w:type="dxa"/>
            <w:gridSpan w:val="2"/>
          </w:tcPr>
          <w:p w14:paraId="001257B9"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proofErr w:type="spellStart"/>
            <w:r w:rsidRPr="00420745">
              <w:rPr>
                <w:rFonts w:asciiTheme="minorHAnsi" w:hAnsiTheme="minorHAnsi"/>
                <w:szCs w:val="22"/>
                <w:lang w:eastAsia="en-AU"/>
              </w:rPr>
              <w:t>IIa</w:t>
            </w:r>
            <w:proofErr w:type="spellEnd"/>
          </w:p>
        </w:tc>
      </w:tr>
      <w:tr w:rsidR="005A7497" w:rsidRPr="00022AB6" w14:paraId="1D439AF4" w14:textId="77777777" w:rsidTr="00075F66">
        <w:trPr>
          <w:trHeight w:val="263"/>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79436478" w14:textId="77777777" w:rsidR="005A7497" w:rsidRPr="00420745" w:rsidRDefault="005A7497" w:rsidP="005A7497">
            <w:pPr>
              <w:rPr>
                <w:rFonts w:asciiTheme="minorHAnsi" w:hAnsiTheme="minorHAnsi"/>
                <w:szCs w:val="22"/>
                <w:lang w:eastAsia="en-AU"/>
              </w:rPr>
            </w:pPr>
          </w:p>
        </w:tc>
        <w:tc>
          <w:tcPr>
            <w:tcW w:w="2694" w:type="dxa"/>
          </w:tcPr>
          <w:p w14:paraId="297255F1"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Any other case</w:t>
            </w:r>
          </w:p>
        </w:tc>
        <w:tc>
          <w:tcPr>
            <w:tcW w:w="5811" w:type="dxa"/>
            <w:gridSpan w:val="2"/>
          </w:tcPr>
          <w:p w14:paraId="2257CC41"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Pr="00420745">
              <w:rPr>
                <w:rFonts w:asciiTheme="minorHAnsi" w:hAnsiTheme="minorHAnsi"/>
                <w:szCs w:val="22"/>
                <w:lang w:eastAsia="en-AU"/>
              </w:rPr>
              <w:t>I</w:t>
            </w:r>
          </w:p>
        </w:tc>
      </w:tr>
      <w:tr w:rsidR="005A7497" w:rsidRPr="00022AB6" w14:paraId="52DA62BD" w14:textId="77777777" w:rsidTr="00075F66">
        <w:trPr>
          <w:trHeight w:val="808"/>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459C451A" w14:textId="77777777" w:rsidR="005A7497" w:rsidRPr="00420745" w:rsidRDefault="005A7497" w:rsidP="005A7497">
            <w:pPr>
              <w:rPr>
                <w:rFonts w:asciiTheme="minorHAnsi" w:hAnsiTheme="minorHAnsi"/>
                <w:b/>
                <w:szCs w:val="22"/>
                <w:lang w:eastAsia="en-AU"/>
              </w:rPr>
            </w:pPr>
          </w:p>
        </w:tc>
        <w:tc>
          <w:tcPr>
            <w:tcW w:w="2694" w:type="dxa"/>
            <w:shd w:val="clear" w:color="auto" w:fill="C6D4E9"/>
          </w:tcPr>
          <w:p w14:paraId="1713D4B5"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p>
        </w:tc>
        <w:tc>
          <w:tcPr>
            <w:tcW w:w="5811" w:type="dxa"/>
            <w:gridSpan w:val="2"/>
            <w:shd w:val="clear" w:color="auto" w:fill="C6D4E9"/>
          </w:tcPr>
          <w:p w14:paraId="6ED3EA8F"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For providing therapy through provision of information</w:t>
            </w:r>
          </w:p>
        </w:tc>
      </w:tr>
      <w:tr w:rsidR="005A7497" w:rsidRPr="00022AB6" w14:paraId="45B2F890" w14:textId="77777777" w:rsidTr="00075F66">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1F0AD0FE" w14:textId="77777777" w:rsidR="005A7497" w:rsidRPr="00420745" w:rsidRDefault="005A7497" w:rsidP="005A7497">
            <w:pPr>
              <w:rPr>
                <w:rFonts w:asciiTheme="minorHAnsi" w:hAnsiTheme="minorHAnsi"/>
                <w:szCs w:val="22"/>
                <w:lang w:eastAsia="en-AU"/>
              </w:rPr>
            </w:pPr>
          </w:p>
        </w:tc>
        <w:tc>
          <w:tcPr>
            <w:tcW w:w="2694" w:type="dxa"/>
          </w:tcPr>
          <w:p w14:paraId="7D005C10"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May result in death/ severe deterioration</w:t>
            </w:r>
          </w:p>
        </w:tc>
        <w:tc>
          <w:tcPr>
            <w:tcW w:w="5811" w:type="dxa"/>
            <w:gridSpan w:val="2"/>
          </w:tcPr>
          <w:p w14:paraId="11D8D012"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Pr="00420745">
              <w:rPr>
                <w:rFonts w:asciiTheme="minorHAnsi" w:hAnsiTheme="minorHAnsi"/>
                <w:szCs w:val="22"/>
                <w:lang w:eastAsia="en-AU"/>
              </w:rPr>
              <w:t>III</w:t>
            </w:r>
          </w:p>
        </w:tc>
      </w:tr>
      <w:tr w:rsidR="005A7497" w:rsidRPr="00022AB6" w14:paraId="0C4A3E75" w14:textId="77777777" w:rsidTr="00075F66">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7DF684B9" w14:textId="77777777" w:rsidR="005A7497" w:rsidRPr="00420745" w:rsidRDefault="005A7497" w:rsidP="005A7497">
            <w:pPr>
              <w:rPr>
                <w:rFonts w:asciiTheme="minorHAnsi" w:hAnsiTheme="minorHAnsi"/>
                <w:szCs w:val="22"/>
                <w:lang w:eastAsia="en-AU"/>
              </w:rPr>
            </w:pPr>
          </w:p>
        </w:tc>
        <w:tc>
          <w:tcPr>
            <w:tcW w:w="2694" w:type="dxa"/>
          </w:tcPr>
          <w:p w14:paraId="754EBA4B"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May cause serious harm</w:t>
            </w:r>
          </w:p>
        </w:tc>
        <w:tc>
          <w:tcPr>
            <w:tcW w:w="5811" w:type="dxa"/>
            <w:gridSpan w:val="2"/>
          </w:tcPr>
          <w:p w14:paraId="684DD0A5"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Pr="00420745">
              <w:rPr>
                <w:rFonts w:asciiTheme="minorHAnsi" w:hAnsiTheme="minorHAnsi"/>
                <w:szCs w:val="22"/>
                <w:lang w:eastAsia="en-AU"/>
              </w:rPr>
              <w:t>IIb</w:t>
            </w:r>
          </w:p>
        </w:tc>
      </w:tr>
      <w:tr w:rsidR="005A7497" w:rsidRPr="00022AB6" w14:paraId="51EC7C57" w14:textId="77777777" w:rsidTr="00075F66">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174AD34A" w14:textId="77777777" w:rsidR="005A7497" w:rsidRPr="00420745" w:rsidRDefault="005A7497" w:rsidP="005A7497">
            <w:pPr>
              <w:rPr>
                <w:rFonts w:asciiTheme="minorHAnsi" w:hAnsiTheme="minorHAnsi"/>
                <w:szCs w:val="22"/>
                <w:lang w:eastAsia="en-AU"/>
              </w:rPr>
            </w:pPr>
          </w:p>
        </w:tc>
        <w:tc>
          <w:tcPr>
            <w:tcW w:w="2694" w:type="dxa"/>
          </w:tcPr>
          <w:p w14:paraId="2C988DFC"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May cause harm</w:t>
            </w:r>
          </w:p>
        </w:tc>
        <w:tc>
          <w:tcPr>
            <w:tcW w:w="5811" w:type="dxa"/>
            <w:gridSpan w:val="2"/>
          </w:tcPr>
          <w:p w14:paraId="738BB6B0"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proofErr w:type="spellStart"/>
            <w:r w:rsidRPr="00420745">
              <w:rPr>
                <w:rFonts w:asciiTheme="minorHAnsi" w:hAnsiTheme="minorHAnsi"/>
                <w:szCs w:val="22"/>
                <w:lang w:eastAsia="en-AU"/>
              </w:rPr>
              <w:t>IIa</w:t>
            </w:r>
            <w:proofErr w:type="spellEnd"/>
          </w:p>
        </w:tc>
      </w:tr>
      <w:tr w:rsidR="005A7497" w:rsidRPr="00022AB6" w14:paraId="43E5A52D" w14:textId="77777777" w:rsidTr="00075F66">
        <w:trPr>
          <w:trHeight w:val="239"/>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C6D4E9"/>
          </w:tcPr>
          <w:p w14:paraId="786AFFED" w14:textId="77777777" w:rsidR="005A7497" w:rsidRPr="00420745" w:rsidRDefault="005A7497" w:rsidP="005A7497">
            <w:pPr>
              <w:rPr>
                <w:rFonts w:asciiTheme="minorHAnsi" w:hAnsiTheme="minorHAnsi"/>
                <w:szCs w:val="22"/>
                <w:lang w:eastAsia="en-AU"/>
              </w:rPr>
            </w:pPr>
          </w:p>
        </w:tc>
        <w:tc>
          <w:tcPr>
            <w:tcW w:w="2694" w:type="dxa"/>
          </w:tcPr>
          <w:p w14:paraId="3BE91DA3" w14:textId="77777777" w:rsidR="005A7497" w:rsidRPr="00420745" w:rsidRDefault="005A7497" w:rsidP="005A7497">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en-AU"/>
              </w:rPr>
            </w:pPr>
            <w:r w:rsidRPr="00420745">
              <w:rPr>
                <w:rFonts w:asciiTheme="minorHAnsi" w:hAnsiTheme="minorHAnsi"/>
                <w:b/>
                <w:szCs w:val="22"/>
                <w:lang w:eastAsia="en-AU"/>
              </w:rPr>
              <w:t>Any other case</w:t>
            </w:r>
          </w:p>
        </w:tc>
        <w:tc>
          <w:tcPr>
            <w:tcW w:w="5811" w:type="dxa"/>
            <w:gridSpan w:val="2"/>
          </w:tcPr>
          <w:p w14:paraId="7922B779" w14:textId="77777777" w:rsidR="005A7497" w:rsidRPr="00420745" w:rsidRDefault="005A7497" w:rsidP="005A74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en-AU"/>
              </w:rPr>
            </w:pPr>
            <w:r>
              <w:rPr>
                <w:rFonts w:asciiTheme="minorHAnsi" w:hAnsiTheme="minorHAnsi"/>
                <w:szCs w:val="22"/>
                <w:lang w:eastAsia="en-AU"/>
              </w:rPr>
              <w:t xml:space="preserve">Class </w:t>
            </w:r>
            <w:r w:rsidRPr="00420745">
              <w:rPr>
                <w:rFonts w:asciiTheme="minorHAnsi" w:hAnsiTheme="minorHAnsi"/>
                <w:szCs w:val="22"/>
                <w:lang w:eastAsia="en-AU"/>
              </w:rPr>
              <w:t>I</w:t>
            </w:r>
          </w:p>
        </w:tc>
      </w:tr>
    </w:tbl>
    <w:p w14:paraId="06271723" w14:textId="73A3D305" w:rsidR="00426042" w:rsidRDefault="00426042" w:rsidP="00075F66">
      <w:r w:rsidRPr="00426042">
        <w:t>For the rules in more detail, please refer to</w:t>
      </w:r>
      <w:r w:rsidR="000219BE">
        <w:t xml:space="preserve"> </w:t>
      </w:r>
      <w:hyperlink w:anchor="_Classification_Rules" w:history="1">
        <w:r w:rsidRPr="000219BE">
          <w:rPr>
            <w:rStyle w:val="Hyperlink"/>
          </w:rPr>
          <w:t>Classification Rules</w:t>
        </w:r>
      </w:hyperlink>
      <w:r w:rsidRPr="00426042">
        <w:t>.</w:t>
      </w:r>
      <w:r>
        <w:t xml:space="preserve"> The following are some examples of these classification rules applie</w:t>
      </w:r>
      <w:r w:rsidR="00075F66">
        <w:t>d.</w:t>
      </w:r>
    </w:p>
    <w:tbl>
      <w:tblPr>
        <w:tblW w:w="7762" w:type="dxa"/>
        <w:tblLayout w:type="fixed"/>
        <w:tblCellMar>
          <w:left w:w="0" w:type="dxa"/>
          <w:right w:w="0" w:type="dxa"/>
        </w:tblCellMar>
        <w:tblLook w:val="04A0" w:firstRow="1" w:lastRow="0" w:firstColumn="1" w:lastColumn="0" w:noHBand="0" w:noVBand="1"/>
      </w:tblPr>
      <w:tblGrid>
        <w:gridCol w:w="7762"/>
      </w:tblGrid>
      <w:tr w:rsidR="000219BE" w:rsidRPr="00215D48" w14:paraId="6DE10459" w14:textId="77777777" w:rsidTr="001246BA">
        <w:tc>
          <w:tcPr>
            <w:tcW w:w="7762" w:type="dxa"/>
            <w:shd w:val="clear" w:color="auto" w:fill="D2EDFF" w:themeFill="text1" w:themeFillTint="1A"/>
            <w:tcMar>
              <w:top w:w="170" w:type="dxa"/>
              <w:left w:w="170" w:type="dxa"/>
              <w:bottom w:w="170" w:type="dxa"/>
              <w:right w:w="170" w:type="dxa"/>
            </w:tcMar>
            <w:vAlign w:val="center"/>
          </w:tcPr>
          <w:p w14:paraId="3059D2F1" w14:textId="77777777" w:rsidR="000219BE" w:rsidRPr="00ED3D19" w:rsidRDefault="000219BE" w:rsidP="001246BA">
            <w:pPr>
              <w:rPr>
                <w:b/>
              </w:rPr>
            </w:pPr>
            <w:r w:rsidRPr="00ED3D19">
              <w:rPr>
                <w:b/>
              </w:rPr>
              <w:t>Example 1 – real-time recovery monitoring of shingles recovery</w:t>
            </w:r>
          </w:p>
          <w:p w14:paraId="00FE3ACD" w14:textId="77777777" w:rsidR="000219BE" w:rsidRPr="00ED3D19" w:rsidRDefault="000219BE" w:rsidP="001246BA">
            <w:r>
              <w:rPr>
                <w:noProof/>
                <w:lang w:eastAsia="en-AU"/>
              </w:rPr>
              <w:drawing>
                <wp:anchor distT="0" distB="0" distL="114300" distR="114300" simplePos="0" relativeHeight="251675648" behindDoc="0" locked="0" layoutInCell="1" allowOverlap="1" wp14:anchorId="6C70B75A" wp14:editId="394EAAA0">
                  <wp:simplePos x="0" y="0"/>
                  <wp:positionH relativeFrom="margin">
                    <wp:posOffset>3076575</wp:posOffset>
                  </wp:positionH>
                  <wp:positionV relativeFrom="margin">
                    <wp:posOffset>687705</wp:posOffset>
                  </wp:positionV>
                  <wp:extent cx="1515110" cy="1515110"/>
                  <wp:effectExtent l="0" t="0" r="8890" b="0"/>
                  <wp:wrapSquare wrapText="bothSides"/>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pic:spPr>
                      </pic:pic>
                    </a:graphicData>
                  </a:graphic>
                  <wp14:sizeRelH relativeFrom="page">
                    <wp14:pctWidth>0</wp14:pctWidth>
                  </wp14:sizeRelH>
                  <wp14:sizeRelV relativeFrom="page">
                    <wp14:pctHeight>0</wp14:pctHeight>
                  </wp14:sizeRelV>
                </wp:anchor>
              </w:drawing>
            </w:r>
            <w:r w:rsidRPr="00ED3D19">
              <w:t>A software developer has produced a cloud-based, deep learning neural network that monitors patient recovery from shingles (herpes zoster) using uploaded images of shingles rashes.</w:t>
            </w:r>
          </w:p>
          <w:p w14:paraId="34227662" w14:textId="77777777" w:rsidR="000219BE" w:rsidRPr="00ED3D19" w:rsidRDefault="000219BE" w:rsidP="001246BA">
            <w:r w:rsidRPr="00ED3D19">
              <w:t>The product can be accessed by health professionals or consumers – allowing real-time monitoring of recovery with or without oversight from a health professional.</w:t>
            </w:r>
          </w:p>
          <w:p w14:paraId="29245204" w14:textId="2C8124F5" w:rsidR="000219BE" w:rsidRPr="00ED3D19" w:rsidRDefault="000219BE" w:rsidP="001246BA">
            <w:r w:rsidRPr="00ED3D19">
              <w:t xml:space="preserve">In this instance the software-based medical device is a </w:t>
            </w:r>
            <w:r w:rsidRPr="00ED3D19">
              <w:rPr>
                <w:b/>
              </w:rPr>
              <w:t>Class I medical device</w:t>
            </w:r>
            <w:r w:rsidRPr="00ED3D19">
              <w:t xml:space="preserve"> (according to rule </w:t>
            </w:r>
            <w:hyperlink w:anchor="rule_46" w:history="1">
              <w:r w:rsidRPr="000219BE">
                <w:rPr>
                  <w:rStyle w:val="Hyperlink"/>
                  <w:rFonts w:asciiTheme="minorHAnsi" w:hAnsiTheme="minorHAnsi"/>
                </w:rPr>
                <w:t>4.6(c)</w:t>
              </w:r>
            </w:hyperlink>
            <w:r w:rsidRPr="00ED3D19">
              <w:t>) as:</w:t>
            </w:r>
          </w:p>
          <w:p w14:paraId="716B1C35" w14:textId="77777777" w:rsidR="000219BE" w:rsidRPr="00ED3D19" w:rsidRDefault="000219BE" w:rsidP="000219BE">
            <w:pPr>
              <w:pStyle w:val="ListBullet"/>
              <w:numPr>
                <w:ilvl w:val="0"/>
                <w:numId w:val="1"/>
              </w:numPr>
            </w:pPr>
            <w:r w:rsidRPr="00ED3D19">
              <w:t>it is intended to monitor the state or progression of a disease; and</w:t>
            </w:r>
          </w:p>
          <w:p w14:paraId="35262104" w14:textId="77777777" w:rsidR="000219BE" w:rsidRPr="00ED3D19" w:rsidRDefault="000219BE" w:rsidP="000219BE">
            <w:pPr>
              <w:pStyle w:val="ListBullet"/>
              <w:numPr>
                <w:ilvl w:val="0"/>
                <w:numId w:val="1"/>
              </w:numPr>
            </w:pPr>
            <w:r w:rsidRPr="00ED3D19">
              <w:t>the information provided does not indicate if an individual may be in danger; and</w:t>
            </w:r>
          </w:p>
          <w:p w14:paraId="12CD6D26" w14:textId="77777777" w:rsidR="000219BE" w:rsidRPr="00D538E6" w:rsidRDefault="000219BE" w:rsidP="000219BE">
            <w:pPr>
              <w:pStyle w:val="ListBullet"/>
              <w:numPr>
                <w:ilvl w:val="0"/>
                <w:numId w:val="1"/>
              </w:numPr>
            </w:pPr>
            <w:r w:rsidRPr="00ED3D19">
              <w:t>there is a low public health risk.</w:t>
            </w:r>
          </w:p>
        </w:tc>
      </w:tr>
    </w:tbl>
    <w:p w14:paraId="19508838" w14:textId="77777777" w:rsidR="00891DD9" w:rsidRPr="00B945BF" w:rsidRDefault="00891DD9" w:rsidP="005C372D">
      <w:pPr>
        <w:spacing w:before="0" w:after="0"/>
      </w:pPr>
    </w:p>
    <w:tbl>
      <w:tblPr>
        <w:tblW w:w="7762" w:type="dxa"/>
        <w:tblLayout w:type="fixed"/>
        <w:tblCellMar>
          <w:left w:w="0" w:type="dxa"/>
          <w:right w:w="0" w:type="dxa"/>
        </w:tblCellMar>
        <w:tblLook w:val="04A0" w:firstRow="1" w:lastRow="0" w:firstColumn="1" w:lastColumn="0" w:noHBand="0" w:noVBand="1"/>
      </w:tblPr>
      <w:tblGrid>
        <w:gridCol w:w="7762"/>
      </w:tblGrid>
      <w:tr w:rsidR="00891DD9" w:rsidRPr="00215D48" w14:paraId="2DEE5084" w14:textId="77777777" w:rsidTr="001246BA">
        <w:tc>
          <w:tcPr>
            <w:tcW w:w="7762" w:type="dxa"/>
            <w:shd w:val="clear" w:color="auto" w:fill="D2EDFF" w:themeFill="text1" w:themeFillTint="1A"/>
            <w:tcMar>
              <w:top w:w="170" w:type="dxa"/>
              <w:left w:w="170" w:type="dxa"/>
              <w:bottom w:w="170" w:type="dxa"/>
              <w:right w:w="170" w:type="dxa"/>
            </w:tcMar>
            <w:vAlign w:val="center"/>
          </w:tcPr>
          <w:p w14:paraId="41868DE8" w14:textId="77777777" w:rsidR="00891DD9" w:rsidRPr="00400574" w:rsidRDefault="00891DD9" w:rsidP="001246BA">
            <w:pPr>
              <w:pStyle w:val="ListBullet"/>
              <w:numPr>
                <w:ilvl w:val="0"/>
                <w:numId w:val="0"/>
              </w:numPr>
              <w:ind w:left="360" w:hanging="360"/>
              <w:rPr>
                <w:b/>
              </w:rPr>
            </w:pPr>
            <w:r w:rsidRPr="00400574">
              <w:rPr>
                <w:b/>
              </w:rPr>
              <w:t>Example 2 – diagnosis of aortic valve stenosis</w:t>
            </w:r>
          </w:p>
          <w:p w14:paraId="61FED4A5" w14:textId="77777777" w:rsidR="00891DD9" w:rsidRPr="00400574" w:rsidRDefault="00891DD9" w:rsidP="001246BA">
            <w:r w:rsidRPr="00400574">
              <w:t>A software developer has produced software that performs an analysis of a patient’s cardiac MRI, providing information intended to be used to make a diagnosis of aortic valve stenosis.</w:t>
            </w:r>
          </w:p>
          <w:p w14:paraId="0830B634" w14:textId="3696D693" w:rsidR="00891DD9" w:rsidRPr="00400574" w:rsidRDefault="00891DD9" w:rsidP="001246BA">
            <w:r w:rsidRPr="00400574">
              <w:rPr>
                <w:noProof/>
                <w:lang w:eastAsia="en-AU"/>
              </w:rPr>
              <w:drawing>
                <wp:anchor distT="0" distB="0" distL="114300" distR="114300" simplePos="0" relativeHeight="251677696" behindDoc="0" locked="0" layoutInCell="1" allowOverlap="1" wp14:anchorId="2A93A4D5" wp14:editId="1B70DDD8">
                  <wp:simplePos x="0" y="0"/>
                  <wp:positionH relativeFrom="column">
                    <wp:posOffset>4100195</wp:posOffset>
                  </wp:positionH>
                  <wp:positionV relativeFrom="paragraph">
                    <wp:posOffset>38100</wp:posOffset>
                  </wp:positionV>
                  <wp:extent cx="1466850" cy="1466850"/>
                  <wp:effectExtent l="0" t="0" r="0" b="0"/>
                  <wp:wrapSquare wrapText="bothSides"/>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ere\AppData\Local\Microsoft\Windows\INetCache\Content.Word\docto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574">
              <w:t xml:space="preserve">The software is intended to provide the diagnosis to a </w:t>
            </w:r>
            <w:r w:rsidRPr="00400574">
              <w:rPr>
                <w:b/>
              </w:rPr>
              <w:t>relevant health professional</w:t>
            </w:r>
            <w:r w:rsidR="00075F66">
              <w:t xml:space="preserve"> only. </w:t>
            </w:r>
            <w:r w:rsidRPr="00400574">
              <w:t>The instructions for use reflect the intended purpose and the software package is only sold to specialist healthcare facilities.</w:t>
            </w:r>
          </w:p>
          <w:p w14:paraId="4FCAB0D2" w14:textId="77777777" w:rsidR="00891DD9" w:rsidRPr="00D538E6" w:rsidRDefault="00891DD9" w:rsidP="001246BA">
            <w:r w:rsidRPr="00400574">
              <w:t xml:space="preserve">In this instance the software-based medical device is a </w:t>
            </w:r>
            <w:r w:rsidRPr="00400574">
              <w:rPr>
                <w:b/>
              </w:rPr>
              <w:t xml:space="preserve">Class </w:t>
            </w:r>
            <w:proofErr w:type="spellStart"/>
            <w:r w:rsidRPr="00400574">
              <w:rPr>
                <w:b/>
              </w:rPr>
              <w:t>IIa</w:t>
            </w:r>
            <w:proofErr w:type="spellEnd"/>
            <w:r w:rsidRPr="00400574">
              <w:rPr>
                <w:b/>
              </w:rPr>
              <w:t xml:space="preserve"> medical device</w:t>
            </w:r>
            <w:r w:rsidRPr="00400574">
              <w:t xml:space="preserve"> (according to rule </w:t>
            </w:r>
            <w:hyperlink w:anchor="rule_45" w:history="1">
              <w:r w:rsidRPr="00400574">
                <w:rPr>
                  <w:rStyle w:val="Hyperlink"/>
                </w:rPr>
                <w:t>4.5(2)(a)(</w:t>
              </w:r>
              <w:proofErr w:type="spellStart"/>
              <w:r w:rsidRPr="00400574">
                <w:rPr>
                  <w:rStyle w:val="Hyperlink"/>
                </w:rPr>
                <w:t>i</w:t>
              </w:r>
              <w:proofErr w:type="spellEnd"/>
              <w:r w:rsidRPr="00400574">
                <w:rPr>
                  <w:rStyle w:val="Hyperlink"/>
                </w:rPr>
                <w:t>)</w:t>
              </w:r>
            </w:hyperlink>
            <w:r w:rsidRPr="00400574">
              <w:t xml:space="preserve">) as the device provides information to a </w:t>
            </w:r>
            <w:r w:rsidRPr="00400574">
              <w:rPr>
                <w:b/>
              </w:rPr>
              <w:t>relevant health professional</w:t>
            </w:r>
            <w:r w:rsidRPr="00400574">
              <w:t xml:space="preserve"> so that they can diagnose a </w:t>
            </w:r>
            <w:r w:rsidRPr="00400574">
              <w:rPr>
                <w:b/>
              </w:rPr>
              <w:t>serious disease</w:t>
            </w:r>
            <w:r w:rsidRPr="00400574">
              <w:t>.</w:t>
            </w:r>
          </w:p>
        </w:tc>
      </w:tr>
    </w:tbl>
    <w:p w14:paraId="1501397B" w14:textId="77777777" w:rsidR="00891DD9" w:rsidRPr="00B945BF" w:rsidRDefault="00891DD9" w:rsidP="005C372D">
      <w:pPr>
        <w:spacing w:before="0" w:after="0"/>
      </w:pPr>
    </w:p>
    <w:tbl>
      <w:tblPr>
        <w:tblW w:w="7762" w:type="dxa"/>
        <w:tblLayout w:type="fixed"/>
        <w:tblCellMar>
          <w:left w:w="0" w:type="dxa"/>
          <w:right w:w="0" w:type="dxa"/>
        </w:tblCellMar>
        <w:tblLook w:val="04A0" w:firstRow="1" w:lastRow="0" w:firstColumn="1" w:lastColumn="0" w:noHBand="0" w:noVBand="1"/>
      </w:tblPr>
      <w:tblGrid>
        <w:gridCol w:w="7762"/>
      </w:tblGrid>
      <w:tr w:rsidR="00891DD9" w:rsidRPr="00215D48" w14:paraId="0A881E5F" w14:textId="77777777" w:rsidTr="001246BA">
        <w:tc>
          <w:tcPr>
            <w:tcW w:w="7762" w:type="dxa"/>
            <w:shd w:val="clear" w:color="auto" w:fill="D2EDFF" w:themeFill="text1" w:themeFillTint="1A"/>
            <w:tcMar>
              <w:top w:w="170" w:type="dxa"/>
              <w:left w:w="170" w:type="dxa"/>
              <w:bottom w:w="170" w:type="dxa"/>
              <w:right w:w="170" w:type="dxa"/>
            </w:tcMar>
            <w:vAlign w:val="center"/>
          </w:tcPr>
          <w:p w14:paraId="6B06F162" w14:textId="77777777" w:rsidR="00891DD9" w:rsidRPr="00400574" w:rsidRDefault="00891DD9" w:rsidP="001246BA">
            <w:pPr>
              <w:rPr>
                <w:b/>
              </w:rPr>
            </w:pPr>
            <w:r w:rsidRPr="00400574">
              <w:rPr>
                <w:b/>
                <w:noProof/>
                <w:lang w:eastAsia="en-AU"/>
              </w:rPr>
              <w:drawing>
                <wp:anchor distT="0" distB="0" distL="114300" distR="114300" simplePos="0" relativeHeight="251679744" behindDoc="0" locked="0" layoutInCell="1" allowOverlap="1" wp14:anchorId="2301E952" wp14:editId="69E2CF74">
                  <wp:simplePos x="0" y="0"/>
                  <wp:positionH relativeFrom="margin">
                    <wp:posOffset>4255770</wp:posOffset>
                  </wp:positionH>
                  <wp:positionV relativeFrom="margin">
                    <wp:posOffset>155575</wp:posOffset>
                  </wp:positionV>
                  <wp:extent cx="1271905" cy="1271905"/>
                  <wp:effectExtent l="0" t="0" r="4445" b="4445"/>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tor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pic:spPr>
                      </pic:pic>
                    </a:graphicData>
                  </a:graphic>
                  <wp14:sizeRelH relativeFrom="page">
                    <wp14:pctWidth>0</wp14:pctWidth>
                  </wp14:sizeRelH>
                  <wp14:sizeRelV relativeFrom="page">
                    <wp14:pctHeight>0</wp14:pctHeight>
                  </wp14:sizeRelV>
                </wp:anchor>
              </w:drawing>
            </w:r>
            <w:r w:rsidRPr="00400574">
              <w:rPr>
                <w:b/>
              </w:rPr>
              <w:t>Example 3 – diagnosis of acute arterial occlusion</w:t>
            </w:r>
          </w:p>
          <w:p w14:paraId="0467244E" w14:textId="77777777" w:rsidR="00891DD9" w:rsidRPr="00400574" w:rsidRDefault="00891DD9" w:rsidP="001246BA">
            <w:r w:rsidRPr="00400574">
              <w:t xml:space="preserve">A software developer has produced software that performs an analysis of a patient’s angiogram, providing information to a </w:t>
            </w:r>
            <w:r w:rsidRPr="00400574">
              <w:rPr>
                <w:b/>
              </w:rPr>
              <w:t>relevant health professional</w:t>
            </w:r>
            <w:r w:rsidRPr="00400574">
              <w:t xml:space="preserve"> (e.g. a vascular surgeon) so they can make a diagnosis of acute arterial occlusion.</w:t>
            </w:r>
          </w:p>
          <w:p w14:paraId="03E886CD" w14:textId="7BDBB77F" w:rsidR="00891DD9" w:rsidRPr="00400574" w:rsidRDefault="00891DD9" w:rsidP="001246BA">
            <w:r w:rsidRPr="00400574">
              <w:t xml:space="preserve">In this instance the software-based medical device is a </w:t>
            </w:r>
            <w:r w:rsidRPr="00400574">
              <w:rPr>
                <w:b/>
              </w:rPr>
              <w:t>Class IIb medical device</w:t>
            </w:r>
            <w:r w:rsidRPr="00400574">
              <w:t xml:space="preserve"> (according to rule </w:t>
            </w:r>
            <w:hyperlink w:anchor="rule_45" w:history="1">
              <w:r w:rsidRPr="00400574">
                <w:rPr>
                  <w:rStyle w:val="Hyperlink"/>
                </w:rPr>
                <w:t>4.5(2)(a)(</w:t>
              </w:r>
              <w:proofErr w:type="spellStart"/>
              <w:r w:rsidRPr="00400574">
                <w:rPr>
                  <w:rStyle w:val="Hyperlink"/>
                </w:rPr>
                <w:t>i</w:t>
              </w:r>
              <w:proofErr w:type="spellEnd"/>
              <w:r w:rsidRPr="00400574">
                <w:rPr>
                  <w:rStyle w:val="Hyperlink"/>
                </w:rPr>
                <w:t>)</w:t>
              </w:r>
            </w:hyperlink>
            <w:r w:rsidRPr="00400574">
              <w:t xml:space="preserve">) as the device </w:t>
            </w:r>
            <w:r w:rsidRPr="00400574">
              <w:rPr>
                <w:b/>
              </w:rPr>
              <w:t>provides information to a relevant health professional</w:t>
            </w:r>
            <w:r w:rsidRPr="00400574">
              <w:t xml:space="preserve"> so they can </w:t>
            </w:r>
            <w:r w:rsidRPr="00400574">
              <w:rPr>
                <w:b/>
              </w:rPr>
              <w:t>diagnose a disease</w:t>
            </w:r>
            <w:r w:rsidRPr="00400574">
              <w:t xml:space="preserve"> that </w:t>
            </w:r>
            <w:r w:rsidRPr="00400574">
              <w:rPr>
                <w:b/>
              </w:rPr>
              <w:t>may lead to the death</w:t>
            </w:r>
            <w:r w:rsidRPr="00400574">
              <w:t xml:space="preserve"> or a </w:t>
            </w:r>
            <w:r w:rsidRPr="00400574">
              <w:rPr>
                <w:b/>
              </w:rPr>
              <w:t>severe deterioration</w:t>
            </w:r>
            <w:r w:rsidRPr="00400574">
              <w:t xml:space="preserve"> in </w:t>
            </w:r>
            <w:r>
              <w:t xml:space="preserve">the </w:t>
            </w:r>
            <w:r w:rsidRPr="00400574">
              <w:t>health of an individual without urgent treatment.</w:t>
            </w:r>
          </w:p>
        </w:tc>
      </w:tr>
    </w:tbl>
    <w:p w14:paraId="437A003E" w14:textId="77777777" w:rsidR="006E7637" w:rsidRPr="00B945BF" w:rsidRDefault="006E7637" w:rsidP="005C372D">
      <w:pPr>
        <w:spacing w:before="0" w:after="0"/>
      </w:pPr>
    </w:p>
    <w:tbl>
      <w:tblPr>
        <w:tblW w:w="7762" w:type="dxa"/>
        <w:tblLayout w:type="fixed"/>
        <w:tblCellMar>
          <w:left w:w="0" w:type="dxa"/>
          <w:right w:w="0" w:type="dxa"/>
        </w:tblCellMar>
        <w:tblLook w:val="04A0" w:firstRow="1" w:lastRow="0" w:firstColumn="1" w:lastColumn="0" w:noHBand="0" w:noVBand="1"/>
      </w:tblPr>
      <w:tblGrid>
        <w:gridCol w:w="7762"/>
      </w:tblGrid>
      <w:tr w:rsidR="006E7637" w:rsidRPr="00215D48" w14:paraId="5064B170" w14:textId="77777777" w:rsidTr="001246BA">
        <w:tc>
          <w:tcPr>
            <w:tcW w:w="7762" w:type="dxa"/>
            <w:shd w:val="clear" w:color="auto" w:fill="D2EDFF" w:themeFill="text1" w:themeFillTint="1A"/>
            <w:tcMar>
              <w:top w:w="170" w:type="dxa"/>
              <w:left w:w="170" w:type="dxa"/>
              <w:bottom w:w="170" w:type="dxa"/>
              <w:right w:w="170" w:type="dxa"/>
            </w:tcMar>
            <w:vAlign w:val="center"/>
          </w:tcPr>
          <w:p w14:paraId="3A6815AD" w14:textId="77777777" w:rsidR="006E7637" w:rsidRPr="00BA6B47" w:rsidRDefault="006E7637" w:rsidP="001246BA">
            <w:pPr>
              <w:rPr>
                <w:b/>
              </w:rPr>
            </w:pPr>
            <w:r w:rsidRPr="00BA6B47">
              <w:rPr>
                <w:b/>
                <w:noProof/>
                <w:lang w:eastAsia="en-AU"/>
              </w:rPr>
              <w:drawing>
                <wp:anchor distT="0" distB="0" distL="114300" distR="114300" simplePos="0" relativeHeight="251681792" behindDoc="0" locked="0" layoutInCell="1" allowOverlap="1" wp14:anchorId="41F8070E" wp14:editId="6B527F9B">
                  <wp:simplePos x="0" y="0"/>
                  <wp:positionH relativeFrom="margin">
                    <wp:posOffset>3752850</wp:posOffset>
                  </wp:positionH>
                  <wp:positionV relativeFrom="margin">
                    <wp:posOffset>323850</wp:posOffset>
                  </wp:positionV>
                  <wp:extent cx="1838325" cy="1838325"/>
                  <wp:effectExtent l="0" t="0" r="9525" b="9525"/>
                  <wp:wrapSquare wrapText="bothSides"/>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pic:spPr>
                      </pic:pic>
                    </a:graphicData>
                  </a:graphic>
                  <wp14:sizeRelH relativeFrom="page">
                    <wp14:pctWidth>0</wp14:pctWidth>
                  </wp14:sizeRelH>
                  <wp14:sizeRelV relativeFrom="page">
                    <wp14:pctHeight>0</wp14:pctHeight>
                  </wp14:sizeRelV>
                </wp:anchor>
              </w:drawing>
            </w:r>
            <w:r w:rsidRPr="00BA6B47">
              <w:rPr>
                <w:b/>
              </w:rPr>
              <w:t>Example 4 – Specify surgical treatment</w:t>
            </w:r>
          </w:p>
          <w:p w14:paraId="46146ECE" w14:textId="77777777" w:rsidR="006E7637" w:rsidRPr="00BA6B47" w:rsidRDefault="006E7637" w:rsidP="001246BA">
            <w:r w:rsidRPr="00BA6B47">
              <w:t>A software developer produces software intended to perform an analysis of a patient’s coronary angiogram then, based on the results of the analysis, specifies coronary artery bypass grafting surgery as the appropriate treatment.</w:t>
            </w:r>
          </w:p>
          <w:p w14:paraId="18EBB053" w14:textId="36593987" w:rsidR="006E7637" w:rsidRPr="00BA6B47" w:rsidRDefault="006E7637" w:rsidP="001246BA">
            <w:r w:rsidRPr="00BA6B47">
              <w:t xml:space="preserve">This software is a </w:t>
            </w:r>
            <w:r w:rsidRPr="00BA6B47">
              <w:rPr>
                <w:b/>
              </w:rPr>
              <w:t>Class III</w:t>
            </w:r>
            <w:r w:rsidRPr="00BA6B47">
              <w:t xml:space="preserve"> medical device (according to rule </w:t>
            </w:r>
            <w:hyperlink w:anchor="rule_47" w:history="1">
              <w:r w:rsidRPr="00BA6B47">
                <w:rPr>
                  <w:rStyle w:val="Hyperlink"/>
                </w:rPr>
                <w:t>4.7(1)(a)(</w:t>
              </w:r>
              <w:proofErr w:type="spellStart"/>
              <w:r w:rsidRPr="00BA6B47">
                <w:rPr>
                  <w:rStyle w:val="Hyperlink"/>
                </w:rPr>
                <w:t>i</w:t>
              </w:r>
              <w:proofErr w:type="spellEnd"/>
              <w:r w:rsidRPr="00BA6B47">
                <w:rPr>
                  <w:rStyle w:val="Hyperlink"/>
                </w:rPr>
                <w:t>)</w:t>
              </w:r>
            </w:hyperlink>
            <w:r w:rsidRPr="00BA6B47">
              <w:t>) as:</w:t>
            </w:r>
          </w:p>
          <w:p w14:paraId="24D831AD" w14:textId="1800C7F0" w:rsidR="006E7637" w:rsidRPr="00BA6B47" w:rsidRDefault="006E7637" w:rsidP="006E7637">
            <w:pPr>
              <w:pStyle w:val="ListBullet"/>
              <w:numPr>
                <w:ilvl w:val="0"/>
                <w:numId w:val="1"/>
              </w:numPr>
            </w:pPr>
            <w:r>
              <w:t xml:space="preserve">it </w:t>
            </w:r>
            <w:r w:rsidRPr="00BA6B47">
              <w:t>is intended to specify a treatment or intervention</w:t>
            </w:r>
          </w:p>
          <w:p w14:paraId="14F6854E" w14:textId="14C4C593" w:rsidR="006E7637" w:rsidRPr="00400574" w:rsidRDefault="006E7637" w:rsidP="006E7637">
            <w:pPr>
              <w:pStyle w:val="ListBullet"/>
              <w:numPr>
                <w:ilvl w:val="0"/>
                <w:numId w:val="1"/>
              </w:numPr>
            </w:pPr>
            <w:r w:rsidRPr="00BA6B47">
              <w:t xml:space="preserve">the absence of this treatment, or the treatment itself, may lead to the death or a severe deterioration in </w:t>
            </w:r>
            <w:r w:rsidR="00B252C6">
              <w:t xml:space="preserve">the </w:t>
            </w:r>
            <w:r w:rsidRPr="00BA6B47">
              <w:t>health of an individual.</w:t>
            </w:r>
          </w:p>
        </w:tc>
      </w:tr>
    </w:tbl>
    <w:p w14:paraId="5ACAB75A" w14:textId="60480B68" w:rsidR="00BF3D51" w:rsidRDefault="00BF3D51" w:rsidP="00AB0219"/>
    <w:tbl>
      <w:tblPr>
        <w:tblW w:w="7762" w:type="dxa"/>
        <w:tblLayout w:type="fixed"/>
        <w:tblCellMar>
          <w:left w:w="0" w:type="dxa"/>
          <w:right w:w="0" w:type="dxa"/>
        </w:tblCellMar>
        <w:tblLook w:val="04A0" w:firstRow="1" w:lastRow="0" w:firstColumn="1" w:lastColumn="0" w:noHBand="0" w:noVBand="1"/>
      </w:tblPr>
      <w:tblGrid>
        <w:gridCol w:w="7762"/>
      </w:tblGrid>
      <w:tr w:rsidR="00B252C6" w:rsidRPr="00215D48" w14:paraId="0B86CDA7" w14:textId="77777777" w:rsidTr="001246BA">
        <w:tc>
          <w:tcPr>
            <w:tcW w:w="7762" w:type="dxa"/>
            <w:shd w:val="clear" w:color="auto" w:fill="D2EDFF" w:themeFill="text1" w:themeFillTint="1A"/>
            <w:tcMar>
              <w:top w:w="170" w:type="dxa"/>
              <w:left w:w="170" w:type="dxa"/>
              <w:bottom w:w="170" w:type="dxa"/>
              <w:right w:w="170" w:type="dxa"/>
            </w:tcMar>
            <w:vAlign w:val="center"/>
          </w:tcPr>
          <w:p w14:paraId="44A5ACEC" w14:textId="77777777" w:rsidR="00B252C6" w:rsidRPr="00F60565" w:rsidRDefault="00B252C6" w:rsidP="001246BA">
            <w:pPr>
              <w:rPr>
                <w:b/>
              </w:rPr>
            </w:pPr>
            <w:r w:rsidRPr="00F60565">
              <w:rPr>
                <w:b/>
                <w:noProof/>
                <w:lang w:eastAsia="en-AU"/>
              </w:rPr>
              <w:lastRenderedPageBreak/>
              <w:drawing>
                <wp:anchor distT="0" distB="0" distL="114300" distR="114300" simplePos="0" relativeHeight="251683840" behindDoc="0" locked="0" layoutInCell="1" allowOverlap="1" wp14:anchorId="4D8C3B89" wp14:editId="22088833">
                  <wp:simplePos x="0" y="0"/>
                  <wp:positionH relativeFrom="margin">
                    <wp:posOffset>4319402</wp:posOffset>
                  </wp:positionH>
                  <wp:positionV relativeFrom="margin">
                    <wp:posOffset>124918</wp:posOffset>
                  </wp:positionV>
                  <wp:extent cx="1206500" cy="1206500"/>
                  <wp:effectExtent l="0" t="0" r="0" b="0"/>
                  <wp:wrapSquare wrapText="bothSides"/>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r w:rsidRPr="00F60565">
              <w:rPr>
                <w:b/>
              </w:rPr>
              <w:t>Example 5 – screening for measles</w:t>
            </w:r>
          </w:p>
          <w:p w14:paraId="22E7AFE7" w14:textId="77777777" w:rsidR="00B252C6" w:rsidRPr="00F60565" w:rsidRDefault="00B252C6" w:rsidP="001246BA">
            <w:r w:rsidRPr="00F60565">
              <w:t>A software developer has produced an app that performs an analysis of images of a patient’s rash, providing information to the user for the purposes of screening for measles.</w:t>
            </w:r>
          </w:p>
          <w:p w14:paraId="2D54066A" w14:textId="77777777" w:rsidR="00B252C6" w:rsidRPr="00400574" w:rsidRDefault="00B252C6" w:rsidP="001246BA">
            <w:r w:rsidRPr="00F60565">
              <w:t xml:space="preserve">In this instance the software-based medical device is a </w:t>
            </w:r>
            <w:r w:rsidRPr="00F60565">
              <w:rPr>
                <w:b/>
              </w:rPr>
              <w:t>Class IIb medical device</w:t>
            </w:r>
            <w:r w:rsidRPr="00F60565">
              <w:t xml:space="preserve"> (according to rule </w:t>
            </w:r>
            <w:hyperlink w:anchor="rule_45" w:history="1">
              <w:r w:rsidRPr="00F60565">
                <w:rPr>
                  <w:rStyle w:val="Hyperlink"/>
                </w:rPr>
                <w:t>4.5(1)(d)</w:t>
              </w:r>
            </w:hyperlink>
            <w:r w:rsidRPr="00F60565">
              <w:t xml:space="preserve">) as the </w:t>
            </w:r>
            <w:r w:rsidRPr="00F60565">
              <w:rPr>
                <w:b/>
              </w:rPr>
              <w:t>software screens for a disease</w:t>
            </w:r>
            <w:r w:rsidRPr="00F60565">
              <w:t xml:space="preserve"> that </w:t>
            </w:r>
            <w:r w:rsidRPr="00F60565">
              <w:rPr>
                <w:b/>
              </w:rPr>
              <w:t>may pose a moderate risk to public health.</w:t>
            </w:r>
          </w:p>
        </w:tc>
      </w:tr>
    </w:tbl>
    <w:p w14:paraId="7BFA5716" w14:textId="48513DFE" w:rsidR="00592138" w:rsidRPr="00574ADF" w:rsidRDefault="005C372D" w:rsidP="0061475A">
      <w:pPr>
        <w:pStyle w:val="Heading3"/>
      </w:pPr>
      <w:bookmarkStart w:id="15" w:name="_Toc58337138"/>
      <w:r>
        <w:t>Conformity A</w:t>
      </w:r>
      <w:r w:rsidR="008F37DB" w:rsidRPr="00574ADF">
        <w:t xml:space="preserve">ssessment </w:t>
      </w:r>
      <w:r>
        <w:t>P</w:t>
      </w:r>
      <w:r w:rsidR="008F37DB" w:rsidRPr="00574ADF">
        <w:t>rocedures</w:t>
      </w:r>
      <w:bookmarkEnd w:id="15"/>
    </w:p>
    <w:p w14:paraId="4DEBE3D2" w14:textId="785C0157" w:rsidR="00DF4534" w:rsidRDefault="00F461F5" w:rsidP="00F461F5">
      <w:r>
        <w:rPr>
          <w:color w:val="000000"/>
          <w:szCs w:val="22"/>
        </w:rPr>
        <w:t xml:space="preserve">The conformity assessment procedures set out the regulatory requirements </w:t>
      </w:r>
      <w:r w:rsidR="00824EC7">
        <w:t>placed on the manufacturer of a medical device</w:t>
      </w:r>
      <w:r w:rsidR="00116692">
        <w:t>, and</w:t>
      </w:r>
      <w:r w:rsidR="00824EC7">
        <w:t xml:space="preserve"> include</w:t>
      </w:r>
      <w:r w:rsidR="00DF4534">
        <w:t>:</w:t>
      </w:r>
    </w:p>
    <w:p w14:paraId="6D8FE0CE" w14:textId="7102F822" w:rsidR="00DF4534" w:rsidRDefault="00824EC7" w:rsidP="00376EE4">
      <w:pPr>
        <w:pStyle w:val="ListBullet"/>
      </w:pPr>
      <w:r>
        <w:t>controls around manufacture (design and construction) of medical devices</w:t>
      </w:r>
    </w:p>
    <w:p w14:paraId="43B01FCB" w14:textId="19F6282A" w:rsidR="00DF4534" w:rsidRDefault="00824EC7" w:rsidP="00376EE4">
      <w:pPr>
        <w:pStyle w:val="ListBullet"/>
      </w:pPr>
      <w:r>
        <w:t>keeping and maintaining records</w:t>
      </w:r>
    </w:p>
    <w:p w14:paraId="56C08A62" w14:textId="485D1259" w:rsidR="00DF4534" w:rsidRDefault="00824EC7" w:rsidP="00376EE4">
      <w:pPr>
        <w:pStyle w:val="ListBullet"/>
      </w:pPr>
      <w:r>
        <w:t>m</w:t>
      </w:r>
      <w:r w:rsidR="00075F66">
        <w:t>anaging complaints and recalls.</w:t>
      </w:r>
    </w:p>
    <w:p w14:paraId="3389B110" w14:textId="77777777" w:rsidR="00824EC7" w:rsidRDefault="00824EC7" w:rsidP="00F461F5">
      <w:r>
        <w:t xml:space="preserve">The classification of the </w:t>
      </w:r>
      <w:r w:rsidR="00116692">
        <w:t xml:space="preserve">medical </w:t>
      </w:r>
      <w:r>
        <w:t xml:space="preserve">device determines the minimum conformity assessment procedures that </w:t>
      </w:r>
      <w:r w:rsidR="00992879">
        <w:t>must be applied (followed) by the manufacturer.</w:t>
      </w:r>
    </w:p>
    <w:p w14:paraId="445A7606" w14:textId="506B9652" w:rsidR="00824EC7" w:rsidRDefault="00824EC7" w:rsidP="00824EC7">
      <w:r>
        <w:t xml:space="preserve">The manufacturer follows the procedures in order to demonstrate conformity with safety and performance principles (the </w:t>
      </w:r>
      <w:r w:rsidR="00116692">
        <w:t>E</w:t>
      </w:r>
      <w:r>
        <w:t xml:space="preserve">ssential </w:t>
      </w:r>
      <w:r w:rsidR="00116692">
        <w:t>P</w:t>
      </w:r>
      <w:r>
        <w:t xml:space="preserve">rinciples). This principles-based approach provides flexibility </w:t>
      </w:r>
      <w:r w:rsidR="00DF4534">
        <w:t xml:space="preserve">for </w:t>
      </w:r>
      <w:r>
        <w:t xml:space="preserve">manufacturers </w:t>
      </w:r>
      <w:r w:rsidR="00DF4534">
        <w:t xml:space="preserve">in demonstrating </w:t>
      </w:r>
      <w:r>
        <w:t>compliance and supports different technologies and technological advances over time.</w:t>
      </w:r>
    </w:p>
    <w:p w14:paraId="5D6E9B65" w14:textId="4C2C85BA" w:rsidR="00824EC7" w:rsidRDefault="00824EC7" w:rsidP="00824EC7">
      <w:r>
        <w:t xml:space="preserve">The degree of </w:t>
      </w:r>
      <w:r w:rsidR="00116692">
        <w:t xml:space="preserve">regulatory authority </w:t>
      </w:r>
      <w:r>
        <w:t xml:space="preserve">oversight </w:t>
      </w:r>
      <w:r w:rsidR="00F461F5">
        <w:t xml:space="preserve">of a manufacturers’ compliance </w:t>
      </w:r>
      <w:r>
        <w:t xml:space="preserve">varies according to the classification of the </w:t>
      </w:r>
      <w:r w:rsidR="00116692">
        <w:t xml:space="preserve">medical </w:t>
      </w:r>
      <w:r>
        <w:t xml:space="preserve">device and the manufacturer’s intended purpose for the </w:t>
      </w:r>
      <w:r w:rsidR="00116692">
        <w:t xml:space="preserve">medical </w:t>
      </w:r>
      <w:r>
        <w:t xml:space="preserve">device. The higher the classification of the </w:t>
      </w:r>
      <w:r w:rsidR="00116692">
        <w:t xml:space="preserve">medical </w:t>
      </w:r>
      <w:r>
        <w:t xml:space="preserve">device the higher the level of regulatory scrutiny. Manufacturers of all medical devices, including </w:t>
      </w:r>
      <w:r w:rsidR="00992879">
        <w:t>software</w:t>
      </w:r>
      <w:r w:rsidR="00116692">
        <w:t>-</w:t>
      </w:r>
      <w:r w:rsidR="00992879">
        <w:t>based</w:t>
      </w:r>
      <w:r>
        <w:t xml:space="preserve"> medical devices, supplied in Australia must:</w:t>
      </w:r>
    </w:p>
    <w:p w14:paraId="774C5C03" w14:textId="136F97D2" w:rsidR="00824EC7" w:rsidRDefault="00824EC7" w:rsidP="00376EE4">
      <w:pPr>
        <w:pStyle w:val="ListBullet"/>
      </w:pPr>
      <w:r>
        <w:t>meet the minimum conformity assessment certification requirements appropriate to the level of classification of devices being manufactured</w:t>
      </w:r>
    </w:p>
    <w:p w14:paraId="4772D5A0" w14:textId="77777777" w:rsidR="00824EC7" w:rsidRDefault="00824EC7" w:rsidP="00376EE4">
      <w:pPr>
        <w:pStyle w:val="ListBullet"/>
      </w:pPr>
      <w:r>
        <w:t>have evidence that demonstrates compliance of their medical devices with the relevant essential principles.</w:t>
      </w:r>
    </w:p>
    <w:p w14:paraId="0A9814B4" w14:textId="4CCF0932" w:rsidR="00216B56" w:rsidRDefault="00824EC7" w:rsidP="00216B56">
      <w:r>
        <w:t>There are differ</w:t>
      </w:r>
      <w:r w:rsidR="00181303">
        <w:t>ent conformity assessment procedures</w:t>
      </w:r>
      <w:r>
        <w:t xml:space="preserve"> that correspond to the different levels of oversight required for each medical device classification</w:t>
      </w:r>
      <w:r w:rsidR="00181303">
        <w:t>.</w:t>
      </w:r>
      <w:r w:rsidR="00216B56">
        <w:t xml:space="preserve"> </w:t>
      </w:r>
      <w:hyperlink w:anchor="_Conformity_Assessment_Procedures_1" w:history="1">
        <w:r w:rsidR="00075F66">
          <w:rPr>
            <w:rStyle w:val="Hyperlink"/>
          </w:rPr>
          <w:t>Conformity a</w:t>
        </w:r>
        <w:r w:rsidR="00B252C6">
          <w:rPr>
            <w:rStyle w:val="Hyperlink"/>
          </w:rPr>
          <w:t xml:space="preserve">ssessment </w:t>
        </w:r>
        <w:r w:rsidR="00075F66">
          <w:rPr>
            <w:rStyle w:val="Hyperlink"/>
          </w:rPr>
          <w:t>p</w:t>
        </w:r>
        <w:r w:rsidR="00B252C6">
          <w:rPr>
            <w:rStyle w:val="Hyperlink"/>
          </w:rPr>
          <w:t>rocedures</w:t>
        </w:r>
      </w:hyperlink>
      <w:r w:rsidR="00216B56">
        <w:t xml:space="preserve"> provides a summary of the requirements for each of the conformity assessment procedures.</w:t>
      </w:r>
    </w:p>
    <w:p w14:paraId="18BEF5AE" w14:textId="7BE0EACE" w:rsidR="002A0EC4" w:rsidRPr="00075F66" w:rsidRDefault="002A0EC4" w:rsidP="00342E5E">
      <w:pPr>
        <w:rPr>
          <w:rStyle w:val="Hyperlink"/>
          <w:color w:val="auto"/>
        </w:rPr>
      </w:pPr>
      <w:r>
        <w:t>For more information on conformity assessment</w:t>
      </w:r>
      <w:r w:rsidR="00B731B8">
        <w:t>,</w:t>
      </w:r>
      <w:r>
        <w:t xml:space="preserve"> see the </w:t>
      </w:r>
      <w:hyperlink r:id="rId43" w:history="1">
        <w:r w:rsidRPr="002A0EC4">
          <w:rPr>
            <w:rStyle w:val="Hyperlink"/>
          </w:rPr>
          <w:t>Australian regulatory guidelines for medical devices (ARGMD)</w:t>
        </w:r>
        <w:r w:rsidRPr="00075F66">
          <w:rPr>
            <w:rStyle w:val="Hyperlink"/>
            <w:color w:val="auto"/>
            <w:u w:val="none"/>
          </w:rPr>
          <w:t>.</w:t>
        </w:r>
      </w:hyperlink>
    </w:p>
    <w:p w14:paraId="6345EAB1" w14:textId="57D8718E" w:rsidR="00F334CD" w:rsidRDefault="00F334CD" w:rsidP="00F334CD">
      <w:pPr>
        <w:pStyle w:val="Heading3"/>
      </w:pPr>
      <w:bookmarkStart w:id="16" w:name="_Toc58337139"/>
      <w:r>
        <w:t>Essential Principles</w:t>
      </w:r>
      <w:bookmarkEnd w:id="16"/>
    </w:p>
    <w:p w14:paraId="0C4969B6" w14:textId="7CC4C9A8" w:rsidR="00F334CD" w:rsidRDefault="00F334CD" w:rsidP="00075F66">
      <w:r>
        <w:t xml:space="preserve">To supply a </w:t>
      </w:r>
      <w:r w:rsidRPr="007C4138">
        <w:t>medical device</w:t>
      </w:r>
      <w:r>
        <w:t xml:space="preserve"> in Australia, the sponsor or manufacturer must be able to demonstrate their medical devices meet the relevant </w:t>
      </w:r>
      <w:r w:rsidRPr="007C4138">
        <w:t>Essential Principles</w:t>
      </w:r>
      <w:r w:rsidR="00075F66">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334CD" w14:paraId="02B4A21A" w14:textId="77777777" w:rsidTr="008056E1">
        <w:trPr>
          <w:trHeight w:val="976"/>
        </w:trPr>
        <w:tc>
          <w:tcPr>
            <w:tcW w:w="1276" w:type="dxa"/>
            <w:vAlign w:val="center"/>
          </w:tcPr>
          <w:p w14:paraId="776923AF" w14:textId="77777777" w:rsidR="00F334CD" w:rsidRDefault="00F334CD" w:rsidP="008056E1">
            <w:r>
              <w:rPr>
                <w:noProof/>
                <w:lang w:eastAsia="en-AU"/>
              </w:rPr>
              <w:lastRenderedPageBreak/>
              <w:drawing>
                <wp:inline distT="0" distB="0" distL="0" distR="0" wp14:anchorId="368D661A" wp14:editId="6992D1C7">
                  <wp:extent cx="487681" cy="487681"/>
                  <wp:effectExtent l="19050" t="0" r="7619"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178AF619" w14:textId="77777777" w:rsidR="00F334CD" w:rsidRDefault="00F334CD" w:rsidP="008056E1">
            <w:pPr>
              <w:rPr>
                <w:noProof/>
              </w:rPr>
            </w:pPr>
            <w:r w:rsidRPr="00F974E0">
              <w:rPr>
                <w:noProof/>
              </w:rPr>
              <w:t xml:space="preserve">From the </w:t>
            </w:r>
            <w:r w:rsidRPr="00F55B1E">
              <w:rPr>
                <w:i/>
                <w:noProof/>
              </w:rPr>
              <w:t>Therapeutic Goods Act 1989</w:t>
            </w:r>
          </w:p>
          <w:p w14:paraId="490FEAEF" w14:textId="77777777" w:rsidR="00F334CD" w:rsidRPr="008C1623" w:rsidRDefault="00F334CD" w:rsidP="008056E1">
            <w:r w:rsidRPr="00A75C9E">
              <w:rPr>
                <w:noProof/>
              </w:rPr>
              <w:t>41C</w:t>
            </w:r>
            <w:r>
              <w:rPr>
                <w:noProof/>
              </w:rPr>
              <w:t xml:space="preserve">  </w:t>
            </w:r>
            <w:r w:rsidRPr="00A75C9E">
              <w:rPr>
                <w:noProof/>
              </w:rPr>
              <w:t xml:space="preserve">The </w:t>
            </w:r>
            <w:r w:rsidRPr="007C4138">
              <w:rPr>
                <w:noProof/>
              </w:rPr>
              <w:t>Essential Principles</w:t>
            </w:r>
            <w:r w:rsidRPr="00A75C9E">
              <w:rPr>
                <w:noProof/>
              </w:rPr>
              <w:t xml:space="preserve"> set out the requirements relating to the</w:t>
            </w:r>
            <w:r>
              <w:rPr>
                <w:noProof/>
              </w:rPr>
              <w:t xml:space="preserve"> </w:t>
            </w:r>
            <w:r w:rsidRPr="00A75C9E">
              <w:rPr>
                <w:noProof/>
              </w:rPr>
              <w:t xml:space="preserve">safety and performance characteristics of </w:t>
            </w:r>
            <w:r w:rsidRPr="007C4138">
              <w:rPr>
                <w:noProof/>
              </w:rPr>
              <w:t>medical devices</w:t>
            </w:r>
            <w:r>
              <w:rPr>
                <w:noProof/>
              </w:rPr>
              <w:t>.</w:t>
            </w:r>
          </w:p>
        </w:tc>
      </w:tr>
    </w:tbl>
    <w:p w14:paraId="66BB79AA" w14:textId="77777777" w:rsidR="00F334CD" w:rsidRPr="00052226" w:rsidRDefault="00F334CD" w:rsidP="00F334CD">
      <w:r>
        <w:t xml:space="preserve">Schedule 1 of </w:t>
      </w:r>
      <w:r w:rsidRPr="00162B7E">
        <w:rPr>
          <w:noProof/>
        </w:rPr>
        <w:t xml:space="preserve">the </w:t>
      </w:r>
      <w:r w:rsidRPr="00052226">
        <w:rPr>
          <w:i/>
          <w:noProof/>
        </w:rPr>
        <w:t>Therapeutic Goods (Medical Devices) Regulations 2002</w:t>
      </w:r>
      <w:r>
        <w:rPr>
          <w:noProof/>
        </w:rPr>
        <w:t xml:space="preserve"> describes th</w:t>
      </w:r>
      <w:r>
        <w:t>e Essential Principles in full</w:t>
      </w:r>
      <w:r>
        <w:rPr>
          <w:noProof/>
        </w:rPr>
        <w:t>.</w:t>
      </w:r>
    </w:p>
    <w:p w14:paraId="41374DC5" w14:textId="25892B81" w:rsidR="00F334CD" w:rsidRDefault="00F334CD" w:rsidP="00F334CD">
      <w:r>
        <w:t xml:space="preserve">There are </w:t>
      </w:r>
      <w:r w:rsidR="00B252C6">
        <w:t>6</w:t>
      </w:r>
      <w:r>
        <w:t xml:space="preserve"> general </w:t>
      </w:r>
      <w:r w:rsidRPr="007C4138">
        <w:t>Essential Principles</w:t>
      </w:r>
      <w:r>
        <w:t xml:space="preserve"> that apply to all medical devices. There are a further nine </w:t>
      </w:r>
      <w:r w:rsidRPr="007C4138">
        <w:t>Essential Principles</w:t>
      </w:r>
      <w:r>
        <w:t xml:space="preserve"> about design and construction that apply to medical devices on a case-by-case basis.</w:t>
      </w:r>
    </w:p>
    <w:p w14:paraId="01AF5556" w14:textId="05251841" w:rsidR="00F334CD" w:rsidRDefault="00F334CD" w:rsidP="00F334CD">
      <w:pPr>
        <w:pStyle w:val="Heading4"/>
      </w:pPr>
      <w:bookmarkStart w:id="17" w:name="_Toc58337140"/>
      <w:r>
        <w:t xml:space="preserve">Changes from </w:t>
      </w:r>
      <w:r w:rsidR="008056E1">
        <w:t>February 2021</w:t>
      </w:r>
      <w:bookmarkEnd w:id="17"/>
    </w:p>
    <w:p w14:paraId="3E6984C2" w14:textId="3CC5969F" w:rsidR="00F334CD" w:rsidRDefault="00F334CD" w:rsidP="00F334CD">
      <w:r>
        <w:t xml:space="preserve">The </w:t>
      </w:r>
      <w:r w:rsidR="00B252C6" w:rsidRPr="00052226">
        <w:rPr>
          <w:i/>
          <w:noProof/>
        </w:rPr>
        <w:t>Therapeutic Goods (Medical Devices) Regulations 2002</w:t>
      </w:r>
      <w:r>
        <w:t xml:space="preserve"> were amended in December 2019 to improve the clarity of requirements. The changes come into effect on </w:t>
      </w:r>
      <w:r>
        <w:rPr>
          <w:b/>
        </w:rPr>
        <w:t>25 February 2021</w:t>
      </w:r>
      <w:r w:rsidR="00075F66">
        <w:t>:</w:t>
      </w:r>
    </w:p>
    <w:p w14:paraId="7116C903" w14:textId="77777777" w:rsidR="00F334CD" w:rsidRDefault="00F334CD" w:rsidP="00376EE4">
      <w:pPr>
        <w:pStyle w:val="ListBullet"/>
      </w:pPr>
      <w:r w:rsidRPr="00376EE4">
        <w:rPr>
          <w:b/>
        </w:rPr>
        <w:t>Essential Principle 12.1</w:t>
      </w:r>
      <w:r>
        <w:t xml:space="preserve"> was amended to clarify the requirements in more detail around applicable devices, including as relates to cyber security; the management of data and information; and requirements relating to development, production, and maintenance.</w:t>
      </w:r>
    </w:p>
    <w:p w14:paraId="122A7453" w14:textId="58FDCF42" w:rsidR="00F334CD" w:rsidRDefault="00F334CD" w:rsidP="00376EE4">
      <w:pPr>
        <w:pStyle w:val="ListBullet"/>
      </w:pPr>
      <w:r w:rsidRPr="00376EE4">
        <w:rPr>
          <w:b/>
        </w:rPr>
        <w:t xml:space="preserve">Essential Principle 13.2(3) </w:t>
      </w:r>
      <w:r>
        <w:t>was amended to allow information, where applicable, to be provided electronically rather than on a leaflet for software-based medical devices</w:t>
      </w:r>
      <w:r w:rsidR="00075F66">
        <w:t>.</w:t>
      </w:r>
    </w:p>
    <w:p w14:paraId="01BD4DED" w14:textId="032FEC25" w:rsidR="00F334CD" w:rsidRDefault="00F334CD" w:rsidP="00376EE4">
      <w:pPr>
        <w:pStyle w:val="ListBullet"/>
      </w:pPr>
      <w:r w:rsidRPr="00376EE4">
        <w:rPr>
          <w:b/>
        </w:rPr>
        <w:t>Essential Principle 13B</w:t>
      </w:r>
      <w:r>
        <w:t xml:space="preserve"> was introduced as a new requirement requiring the identification of current version and build number to be made accessible by and identifiable to, users of medical devices that are, or that incorporate, software. This information must appear in English, and can be displayed in any other language as well</w:t>
      </w:r>
      <w:r w:rsidR="00075F66">
        <w:t>.</w:t>
      </w:r>
    </w:p>
    <w:p w14:paraId="5663324C" w14:textId="1D5713D3" w:rsidR="00F334CD" w:rsidRDefault="00F334CD" w:rsidP="00F334CD">
      <w:bookmarkStart w:id="18" w:name="_Conformity_Assessment_Procedures"/>
      <w:bookmarkEnd w:id="18"/>
      <w:r>
        <w:t xml:space="preserve">See </w:t>
      </w:r>
      <w:hyperlink w:anchor="_Essential_Principles" w:history="1">
        <w:r w:rsidR="001246BA">
          <w:rPr>
            <w:rStyle w:val="Hyperlink"/>
          </w:rPr>
          <w:t>Essential Principles</w:t>
        </w:r>
      </w:hyperlink>
      <w:r>
        <w:t xml:space="preserve"> for the complete text of the amended and new essential principles.</w:t>
      </w:r>
    </w:p>
    <w:p w14:paraId="5B6C4A2F" w14:textId="77777777" w:rsidR="001246BA" w:rsidRDefault="00F334CD" w:rsidP="008056E1">
      <w:r>
        <w:t xml:space="preserve">Transition arrangements are available for medical </w:t>
      </w:r>
      <w:r>
        <w:rPr>
          <w:color w:val="000000"/>
        </w:rPr>
        <w:t xml:space="preserve">devices </w:t>
      </w:r>
      <w:r>
        <w:t>already included in the ARTG in order to meet the new requirements of Essential P</w:t>
      </w:r>
      <w:r w:rsidR="008056E1">
        <w:t>rinciple 13B</w:t>
      </w:r>
      <w:r w:rsidR="001246BA">
        <w:t>.</w:t>
      </w:r>
    </w:p>
    <w:p w14:paraId="17025ED7" w14:textId="34A883C0" w:rsidR="008056E1" w:rsidRDefault="001246BA" w:rsidP="008056E1">
      <w:r>
        <w:t xml:space="preserve">For more information refer to </w:t>
      </w:r>
      <w:hyperlink r:id="rId44" w:history="1">
        <w:r w:rsidR="008056E1" w:rsidRPr="00075F66">
          <w:rPr>
            <w:rStyle w:val="Hyperlink"/>
          </w:rPr>
          <w:t>Regulatory changes for software based medical devices</w:t>
        </w:r>
      </w:hyperlink>
      <w:r>
        <w:t>.</w:t>
      </w:r>
    </w:p>
    <w:p w14:paraId="5877BD8E" w14:textId="6CC01CDD" w:rsidR="00F334CD" w:rsidRDefault="00F334CD" w:rsidP="00F334CD">
      <w:pPr>
        <w:rPr>
          <w:b/>
        </w:rPr>
      </w:pPr>
      <w:r>
        <w:t xml:space="preserve">There are </w:t>
      </w:r>
      <w:r>
        <w:rPr>
          <w:b/>
        </w:rPr>
        <w:t>no transition arrangements available</w:t>
      </w:r>
      <w:r>
        <w:t xml:space="preserve"> for Essential Principles 12.1 and 13.2(3) as these changes are clarification of </w:t>
      </w:r>
      <w:r>
        <w:rPr>
          <w:b/>
        </w:rPr>
        <w:t>existing requirements</w:t>
      </w:r>
      <w:r>
        <w:t xml:space="preserve"> and not </w:t>
      </w:r>
      <w:r>
        <w:rPr>
          <w:b/>
        </w:rPr>
        <w:t>new requirements.</w:t>
      </w:r>
    </w:p>
    <w:p w14:paraId="75F53CDB" w14:textId="6E096237" w:rsidR="008F37DB" w:rsidRDefault="005A0986" w:rsidP="00075F66">
      <w:pPr>
        <w:pStyle w:val="Heading2"/>
      </w:pPr>
      <w:bookmarkStart w:id="19" w:name="_When_does_this"/>
      <w:bookmarkStart w:id="20" w:name="_Notifying_the_TGA"/>
      <w:bookmarkStart w:id="21" w:name="_Toc58337141"/>
      <w:bookmarkEnd w:id="19"/>
      <w:bookmarkEnd w:id="20"/>
      <w:r w:rsidRPr="00E96278">
        <w:t xml:space="preserve">What </w:t>
      </w:r>
      <w:r w:rsidR="008F37DB" w:rsidRPr="00E96278">
        <w:t xml:space="preserve">to </w:t>
      </w:r>
      <w:r w:rsidR="00C512F1">
        <w:t>consider</w:t>
      </w:r>
      <w:bookmarkEnd w:id="21"/>
    </w:p>
    <w:p w14:paraId="1C59FA95" w14:textId="7043AA36" w:rsidR="001246BA" w:rsidRPr="001246BA" w:rsidRDefault="001246BA" w:rsidP="00075F66">
      <w:pPr>
        <w:pStyle w:val="Heading3"/>
      </w:pPr>
      <w:bookmarkStart w:id="22" w:name="_Toc58337142"/>
      <w:r>
        <w:t>Software developers</w:t>
      </w:r>
      <w:bookmarkEnd w:id="22"/>
    </w:p>
    <w:p w14:paraId="11A819A3" w14:textId="1AEBBD69" w:rsidR="0081522A" w:rsidRDefault="0081522A" w:rsidP="00075F66">
      <w:r>
        <w:t xml:space="preserve">Software developers may not consider themselves to be manufacturers in the traditional sense. Developers of software </w:t>
      </w:r>
      <w:r w:rsidR="00D763A8">
        <w:t xml:space="preserve">will be a </w:t>
      </w:r>
      <w:r>
        <w:t xml:space="preserve">manufacturer for regulatory purposes, </w:t>
      </w:r>
      <w:r w:rsidR="00D763A8">
        <w:t>when</w:t>
      </w:r>
      <w:r>
        <w:t xml:space="preserve"> their products fall within the definition of a therapeutic good or medical device, and they meet the definition of manufacturer under the </w:t>
      </w:r>
      <w:r w:rsidR="009C2EF8" w:rsidRPr="00376EE4">
        <w:rPr>
          <w:i/>
        </w:rPr>
        <w:t>Therapeutic Goods Act 1989</w:t>
      </w:r>
      <w:r w:rsidR="001246BA">
        <w:rPr>
          <w:i/>
        </w:rPr>
        <w:t>.</w:t>
      </w:r>
    </w:p>
    <w:p w14:paraId="78EC3C22" w14:textId="427C0B36" w:rsidR="0081522A" w:rsidRDefault="0081522A" w:rsidP="0081522A">
      <w:r>
        <w:t xml:space="preserve">Manufacturers of software-based medical devices, including SaMD, are required to apply the relevant conformity assessment procedures, according to the classification of their medical devices, including implementing a quality management system (if applicable). This means that conformity assessment evidence from a recognised third party (such as the TGA or a comparable overseas regulator) will be required for all </w:t>
      </w:r>
      <w:r w:rsidR="00D94CC3">
        <w:t xml:space="preserve">medical </w:t>
      </w:r>
      <w:r>
        <w:t xml:space="preserve">devices, except Class I medical devices. The manufacturer will be required to apply for third-party certification and, once received, maintain </w:t>
      </w:r>
      <w:r>
        <w:lastRenderedPageBreak/>
        <w:t>its currency through complying with post-market requirements such as annual ins</w:t>
      </w:r>
      <w:r w:rsidR="00075F66">
        <w:t>pections by the issuing agency.</w:t>
      </w:r>
    </w:p>
    <w:p w14:paraId="19CBCDDA" w14:textId="18C3E8AA" w:rsidR="0081522A" w:rsidRDefault="0081522A" w:rsidP="0081522A">
      <w:r>
        <w:t>Australian manufacturers of software</w:t>
      </w:r>
      <w:r w:rsidR="00D94CC3">
        <w:t>-</w:t>
      </w:r>
      <w:r>
        <w:t xml:space="preserve">based </w:t>
      </w:r>
      <w:r w:rsidR="00D94CC3">
        <w:t xml:space="preserve">medical </w:t>
      </w:r>
      <w:r>
        <w:t>devices will also be required to include their medical devices in the ARTG and to comply with the requirements for ma</w:t>
      </w:r>
      <w:r w:rsidR="00075F66">
        <w:t>intaining the inclusion.</w:t>
      </w:r>
    </w:p>
    <w:p w14:paraId="6542817E" w14:textId="60CE1878" w:rsidR="0081522A" w:rsidRPr="005D26F1" w:rsidRDefault="0081522A" w:rsidP="0081522A">
      <w:r>
        <w:t>The majority of manufacturers of Class I medical devices are self-certified and applications for inclusion in the ARTG are processed with no</w:t>
      </w:r>
      <w:r w:rsidR="00555C7D">
        <w:t xml:space="preserve"> confirmatory</w:t>
      </w:r>
      <w:r>
        <w:t xml:space="preserve"> assessment undertaken by the TGA. Manufacturers of Class </w:t>
      </w:r>
      <w:proofErr w:type="spellStart"/>
      <w:r>
        <w:t>IIa</w:t>
      </w:r>
      <w:proofErr w:type="spellEnd"/>
      <w:r>
        <w:t>, Class IIb or Class III medical devices must obtain conformity assessment certification from an independent body (</w:t>
      </w:r>
      <w:r w:rsidR="009C2EF8">
        <w:t>for example</w:t>
      </w:r>
      <w:r>
        <w:t>, from a</w:t>
      </w:r>
      <w:r w:rsidR="00D763A8">
        <w:t>n EU</w:t>
      </w:r>
      <w:r>
        <w:t xml:space="preserve"> notified body </w:t>
      </w:r>
      <w:r w:rsidR="009D5E95">
        <w:t xml:space="preserve">or </w:t>
      </w:r>
      <w:r>
        <w:t>the</w:t>
      </w:r>
      <w:r w:rsidR="00934C1B">
        <w:t xml:space="preserve"> </w:t>
      </w:r>
      <w:r>
        <w:t>TGA) prior to an application for inclusion in the ARTG. Manufacturers of Class III medical devices are also required to have the design of their devices examined by the conformity assessment certification body.</w:t>
      </w:r>
    </w:p>
    <w:p w14:paraId="436EB4EF" w14:textId="1CE770EF" w:rsidR="008F37DB" w:rsidRDefault="0029215E" w:rsidP="008F37DB">
      <w:pPr>
        <w:pStyle w:val="Heading3"/>
      </w:pPr>
      <w:bookmarkStart w:id="23" w:name="_Toc58337143"/>
      <w:r>
        <w:t>S</w:t>
      </w:r>
      <w:r w:rsidR="008F37DB">
        <w:t>upplier</w:t>
      </w:r>
      <w:r w:rsidR="00DC2B8B">
        <w:t xml:space="preserve"> or </w:t>
      </w:r>
      <w:r w:rsidR="009C2EF8">
        <w:t>r</w:t>
      </w:r>
      <w:r w:rsidR="00DC2B8B">
        <w:t>eseller</w:t>
      </w:r>
      <w:bookmarkEnd w:id="23"/>
    </w:p>
    <w:p w14:paraId="09201FD3" w14:textId="48DA2F3E" w:rsidR="007115C9" w:rsidRDefault="007115C9" w:rsidP="00183528">
      <w:r>
        <w:t xml:space="preserve">If you supply </w:t>
      </w:r>
      <w:r w:rsidR="00992879">
        <w:t>software</w:t>
      </w:r>
      <w:r w:rsidR="00D94CC3">
        <w:t>-</w:t>
      </w:r>
      <w:r w:rsidR="00992879">
        <w:t>based</w:t>
      </w:r>
      <w:r>
        <w:t xml:space="preserve"> medical devices, you must determine whether you would be either the sponsor or manufacturer of the medical device</w:t>
      </w:r>
      <w:r w:rsidR="00E0463B">
        <w:t xml:space="preserve"> for the purposes of regulation – see </w:t>
      </w:r>
      <w:r w:rsidR="00E0463B" w:rsidRPr="00075F66">
        <w:rPr>
          <w:color w:val="0000FF"/>
          <w:u w:val="single"/>
        </w:rPr>
        <w:fldChar w:fldCharType="begin"/>
      </w:r>
      <w:r w:rsidR="00E0463B" w:rsidRPr="00075F66">
        <w:rPr>
          <w:color w:val="0000FF"/>
          <w:u w:val="single"/>
        </w:rPr>
        <w:instrText xml:space="preserve"> REF _Ref42599818 \h </w:instrText>
      </w:r>
      <w:r w:rsidR="00075F66">
        <w:rPr>
          <w:color w:val="0000FF"/>
          <w:u w:val="single"/>
        </w:rPr>
        <w:instrText xml:space="preserve"> \* MERGEFORMAT </w:instrText>
      </w:r>
      <w:r w:rsidR="00E0463B" w:rsidRPr="00075F66">
        <w:rPr>
          <w:color w:val="0000FF"/>
          <w:u w:val="single"/>
        </w:rPr>
      </w:r>
      <w:r w:rsidR="00E0463B" w:rsidRPr="00075F66">
        <w:rPr>
          <w:color w:val="0000FF"/>
          <w:u w:val="single"/>
        </w:rPr>
        <w:fldChar w:fldCharType="separate"/>
      </w:r>
      <w:r w:rsidR="00E0463B" w:rsidRPr="00075F66">
        <w:rPr>
          <w:color w:val="0000FF"/>
          <w:u w:val="single"/>
        </w:rPr>
        <w:t>Who is subject to regulation?</w:t>
      </w:r>
      <w:r w:rsidR="00E0463B" w:rsidRPr="00075F66">
        <w:rPr>
          <w:color w:val="0000FF"/>
          <w:u w:val="single"/>
        </w:rPr>
        <w:fldChar w:fldCharType="end"/>
      </w:r>
    </w:p>
    <w:p w14:paraId="3071A3D1" w14:textId="1C68FF56" w:rsidR="007115C9" w:rsidRDefault="007115C9" w:rsidP="007115C9">
      <w:pPr>
        <w:pStyle w:val="Heading3"/>
      </w:pPr>
      <w:bookmarkStart w:id="24" w:name="_Toc58337144"/>
      <w:r>
        <w:t>Sponsor</w:t>
      </w:r>
      <w:r w:rsidR="009C2EF8">
        <w:t>s</w:t>
      </w:r>
      <w:bookmarkEnd w:id="24"/>
    </w:p>
    <w:p w14:paraId="12A64B51" w14:textId="5299E09E" w:rsidR="00183528" w:rsidRDefault="00183528" w:rsidP="00183528">
      <w:r>
        <w:t xml:space="preserve">Sponsors of </w:t>
      </w:r>
      <w:r w:rsidR="0081522A">
        <w:t>software</w:t>
      </w:r>
      <w:r w:rsidR="00D94CC3">
        <w:t>-</w:t>
      </w:r>
      <w:r w:rsidR="0081522A">
        <w:t>based medical devices</w:t>
      </w:r>
      <w:r>
        <w:t xml:space="preserve"> will be required to include these medical devices in the ARTG, and to comply with the requirements for maintaining the inclusion. </w:t>
      </w:r>
    </w:p>
    <w:p w14:paraId="10A4135B" w14:textId="0306A10B" w:rsidR="00183528" w:rsidRDefault="0029215E" w:rsidP="00183528">
      <w:pPr>
        <w:pStyle w:val="Heading4"/>
      </w:pPr>
      <w:bookmarkStart w:id="25" w:name="_Toc58337145"/>
      <w:r>
        <w:t>S</w:t>
      </w:r>
      <w:r w:rsidR="00183528">
        <w:t xml:space="preserve">ponsors of </w:t>
      </w:r>
      <w:r w:rsidR="0081522A">
        <w:t>software</w:t>
      </w:r>
      <w:r w:rsidR="00D94CC3">
        <w:t>-</w:t>
      </w:r>
      <w:r w:rsidR="0081522A">
        <w:t xml:space="preserve">based </w:t>
      </w:r>
      <w:r w:rsidR="00D94CC3">
        <w:t xml:space="preserve">medical </w:t>
      </w:r>
      <w:r w:rsidR="0081522A">
        <w:t>devices</w:t>
      </w:r>
      <w:r w:rsidR="00E03DAE">
        <w:t xml:space="preserve"> </w:t>
      </w:r>
      <w:r w:rsidR="00183528">
        <w:t>already included in the ARTG</w:t>
      </w:r>
      <w:bookmarkEnd w:id="25"/>
    </w:p>
    <w:p w14:paraId="018754FE" w14:textId="5747ED07" w:rsidR="00D94CC3" w:rsidRDefault="00183528" w:rsidP="00183528">
      <w:r>
        <w:t xml:space="preserve">Sponsors of </w:t>
      </w:r>
      <w:r w:rsidR="0081522A">
        <w:t>software</w:t>
      </w:r>
      <w:r w:rsidR="00D94CC3">
        <w:t>-</w:t>
      </w:r>
      <w:r w:rsidR="0081522A">
        <w:t>based medical devices</w:t>
      </w:r>
      <w:r w:rsidR="00D94CC3">
        <w:t xml:space="preserve"> </w:t>
      </w:r>
      <w:r>
        <w:t>already included in the ARTG</w:t>
      </w:r>
      <w:r w:rsidR="00D94CC3">
        <w:t xml:space="preserve"> </w:t>
      </w:r>
      <w:r>
        <w:t xml:space="preserve">need to reassess the classification of their </w:t>
      </w:r>
      <w:r w:rsidR="00115B82">
        <w:t>device</w:t>
      </w:r>
      <w:r>
        <w:t>(s) according to the proposed new classification rule</w:t>
      </w:r>
      <w:r w:rsidR="0081522A">
        <w:t>s</w:t>
      </w:r>
      <w:r>
        <w:t xml:space="preserve">. This may result in some </w:t>
      </w:r>
      <w:r w:rsidR="00115B82">
        <w:t>device</w:t>
      </w:r>
      <w:r>
        <w:t xml:space="preserve">s being </w:t>
      </w:r>
      <w:r w:rsidR="008627AA">
        <w:t>re</w:t>
      </w:r>
      <w:r>
        <w:t>classified at a higher level.</w:t>
      </w:r>
    </w:p>
    <w:p w14:paraId="3FD439F6" w14:textId="66AD0C3A" w:rsidR="00183528" w:rsidRDefault="00183528" w:rsidP="00183528">
      <w:r>
        <w:t xml:space="preserve">In this case, sponsors </w:t>
      </w:r>
      <w:r w:rsidR="00D94CC3">
        <w:t>must</w:t>
      </w:r>
      <w:r>
        <w:t xml:space="preserve"> ensure the manufacturers of the </w:t>
      </w:r>
      <w:r w:rsidR="00115B82">
        <w:t>device</w:t>
      </w:r>
      <w:r>
        <w:t xml:space="preserve">s they represent hold conformity assessment evidence from a recognised third party (such as the TGA or a notified body) and, to lodge this evidence with the TGA. They </w:t>
      </w:r>
      <w:r w:rsidR="00D94CC3">
        <w:t>must also</w:t>
      </w:r>
      <w:r>
        <w:t xml:space="preserve"> submit new applications for inclusion in the ARTG according to the</w:t>
      </w:r>
      <w:r w:rsidR="008627AA">
        <w:t xml:space="preserve"> new</w:t>
      </w:r>
      <w:r>
        <w:t xml:space="preserve"> classification of the </w:t>
      </w:r>
      <w:r w:rsidR="00115B82">
        <w:t>device</w:t>
      </w:r>
      <w:r>
        <w:t>(s).</w:t>
      </w:r>
    </w:p>
    <w:p w14:paraId="4BC07A38" w14:textId="5597F387" w:rsidR="00183528" w:rsidRPr="00183528" w:rsidRDefault="007115C9" w:rsidP="00183528">
      <w:r>
        <w:t xml:space="preserve">Please also refer to the information on </w:t>
      </w:r>
      <w:r w:rsidR="00193563" w:rsidRPr="00193563">
        <w:t>transition arrangements</w:t>
      </w:r>
      <w:r w:rsidR="00193563">
        <w:rPr>
          <w:rStyle w:val="Hyperlink"/>
        </w:rPr>
        <w:t xml:space="preserve"> in </w:t>
      </w:r>
      <w:hyperlink r:id="rId45" w:history="1">
        <w:r w:rsidR="00193563" w:rsidRPr="00075F66">
          <w:rPr>
            <w:rStyle w:val="Hyperlink"/>
          </w:rPr>
          <w:t>Regulatory changes for software based medical devices</w:t>
        </w:r>
      </w:hyperlink>
      <w:r w:rsidR="0001303F">
        <w:t xml:space="preserve"> </w:t>
      </w:r>
      <w:r>
        <w:t>regarding the notification of existing ARTG inclusions.</w:t>
      </w:r>
    </w:p>
    <w:p w14:paraId="321D9235" w14:textId="73F1F8F2" w:rsidR="008F37DB" w:rsidRDefault="009C2EF8" w:rsidP="008F37DB">
      <w:pPr>
        <w:pStyle w:val="Heading3"/>
      </w:pPr>
      <w:bookmarkStart w:id="26" w:name="_Toc58337146"/>
      <w:r>
        <w:t>M</w:t>
      </w:r>
      <w:r w:rsidR="00183528">
        <w:t>anufacturer</w:t>
      </w:r>
      <w:r>
        <w:t>s</w:t>
      </w:r>
      <w:bookmarkEnd w:id="26"/>
    </w:p>
    <w:p w14:paraId="337EC941" w14:textId="001A488C" w:rsidR="00ED3419" w:rsidRDefault="00C775AA" w:rsidP="008F37DB">
      <w:r>
        <w:t>D</w:t>
      </w:r>
      <w:r w:rsidR="00ED3419">
        <w:t xml:space="preserve">evelopers of software </w:t>
      </w:r>
      <w:r w:rsidR="00D763A8">
        <w:t xml:space="preserve">will be </w:t>
      </w:r>
      <w:r w:rsidR="00ED3419">
        <w:t xml:space="preserve">a manufacturer for regulatory purposes, </w:t>
      </w:r>
      <w:r w:rsidR="00D763A8">
        <w:t>when</w:t>
      </w:r>
      <w:r w:rsidR="00ED3419">
        <w:t xml:space="preserve"> their products fall within the definition of a therapeutic good or medical device</w:t>
      </w:r>
      <w:r>
        <w:t xml:space="preserve">, and they meet the definition of manufacture under the </w:t>
      </w:r>
      <w:r w:rsidR="009C2EF8" w:rsidRPr="00376EE4">
        <w:rPr>
          <w:i/>
        </w:rPr>
        <w:t>Therapeutic Goods Act 1989</w:t>
      </w:r>
      <w:r w:rsidR="009C2EF8" w:rsidRPr="009C2EF8">
        <w:t>.</w:t>
      </w:r>
    </w:p>
    <w:p w14:paraId="21FB9FD4" w14:textId="0DA08794" w:rsidR="0081522A" w:rsidRDefault="0081522A" w:rsidP="0081522A">
      <w:r>
        <w:t xml:space="preserve">Manufacturers of software-based medical devices, including SaMD, </w:t>
      </w:r>
      <w:r w:rsidR="00D94CC3">
        <w:t xml:space="preserve">must </w:t>
      </w:r>
      <w:r>
        <w:t>apply the relevant conformity assessment procedures, according to the classification of their medical devices, including implementing a quality management system (if applicable). This means</w:t>
      </w:r>
      <w:r w:rsidR="00D94CC3">
        <w:t xml:space="preserve"> </w:t>
      </w:r>
      <w:r>
        <w:t>conformity assessment evidence from a recognised third party (such as the TGA or a comparable overseas regulator)</w:t>
      </w:r>
      <w:r w:rsidR="00D94CC3">
        <w:t xml:space="preserve"> is </w:t>
      </w:r>
      <w:r>
        <w:t xml:space="preserve">required for all devices, except Class I medical devices. The manufacturer </w:t>
      </w:r>
      <w:r w:rsidR="00D94CC3">
        <w:t>must</w:t>
      </w:r>
      <w:r>
        <w:t xml:space="preserve"> apply for third-party certification and, once received, maintain its currency through complying with post-market requirements such as annual ins</w:t>
      </w:r>
      <w:r w:rsidR="00075F66">
        <w:t>pections by the issuing agency.</w:t>
      </w:r>
    </w:p>
    <w:p w14:paraId="4D2F39FE" w14:textId="32277719" w:rsidR="0081522A" w:rsidRDefault="0081522A" w:rsidP="0081522A">
      <w:r>
        <w:lastRenderedPageBreak/>
        <w:t>Australian manufacturers of software</w:t>
      </w:r>
      <w:r w:rsidR="00D94CC3">
        <w:t>-</w:t>
      </w:r>
      <w:r>
        <w:t xml:space="preserve">based devices </w:t>
      </w:r>
      <w:r w:rsidR="00D94CC3">
        <w:t xml:space="preserve">must </w:t>
      </w:r>
      <w:r>
        <w:t>also include their medical devices in the ARTG</w:t>
      </w:r>
      <w:r w:rsidR="00D94CC3">
        <w:t>,</w:t>
      </w:r>
      <w:r>
        <w:t xml:space="preserve"> and comply with the requirements</w:t>
      </w:r>
      <w:r w:rsidR="00075F66">
        <w:t xml:space="preserve"> for maintaining the inclusion.</w:t>
      </w:r>
    </w:p>
    <w:p w14:paraId="0A5802FE" w14:textId="6CB93283" w:rsidR="00D94CC3" w:rsidRDefault="0081522A" w:rsidP="0081522A">
      <w:r>
        <w:t>The majority of manufacturers of Class I medical devices are self-certified and applications for inclusion in the ARTG are processed automatically with no as</w:t>
      </w:r>
      <w:r w:rsidR="00E03DAE">
        <w:t>sessment undertaken by the TGA.</w:t>
      </w:r>
    </w:p>
    <w:p w14:paraId="6D779101" w14:textId="0B5DD85D" w:rsidR="0081522A" w:rsidRPr="005D26F1" w:rsidRDefault="0081522A" w:rsidP="0081522A">
      <w:r>
        <w:t xml:space="preserve">Manufacturers of Class </w:t>
      </w:r>
      <w:proofErr w:type="spellStart"/>
      <w:r>
        <w:t>IIa</w:t>
      </w:r>
      <w:proofErr w:type="spellEnd"/>
      <w:r>
        <w:t>, Class IIb or Class III medical devices must obtain conformity assessment certification from an independent body (</w:t>
      </w:r>
      <w:r w:rsidR="009C2EF8">
        <w:t>for example</w:t>
      </w:r>
      <w:r>
        <w:t>, from a E</w:t>
      </w:r>
      <w:r w:rsidR="00D763A8">
        <w:t>U</w:t>
      </w:r>
      <w:r>
        <w:t xml:space="preserve"> notified body the TGA) prior to an application for inclusion in the ARTG. Manufacturers of Class III medical devices </w:t>
      </w:r>
      <w:r w:rsidR="00D94CC3">
        <w:t>must</w:t>
      </w:r>
      <w:r>
        <w:t xml:space="preserve"> also have the design of their devices examined by the conformity assessment certification body.</w:t>
      </w:r>
    </w:p>
    <w:p w14:paraId="1F02BF30" w14:textId="1EE57890" w:rsidR="00183528" w:rsidRDefault="0029215E" w:rsidP="00183528">
      <w:pPr>
        <w:pStyle w:val="Heading4"/>
      </w:pPr>
      <w:bookmarkStart w:id="27" w:name="_Toc58337147"/>
      <w:r>
        <w:t>M</w:t>
      </w:r>
      <w:r w:rsidR="00183528">
        <w:t xml:space="preserve">anufacturers of </w:t>
      </w:r>
      <w:r w:rsidR="0081522A">
        <w:t>software</w:t>
      </w:r>
      <w:r w:rsidR="00D94CC3">
        <w:t>-</w:t>
      </w:r>
      <w:r w:rsidR="0081522A">
        <w:t>based devices</w:t>
      </w:r>
      <w:r w:rsidR="00D94CC3">
        <w:t xml:space="preserve"> </w:t>
      </w:r>
      <w:r w:rsidR="00183528">
        <w:t>already included in the ARTG</w:t>
      </w:r>
      <w:bookmarkEnd w:id="27"/>
    </w:p>
    <w:p w14:paraId="476D5699" w14:textId="43568DD2" w:rsidR="00183528" w:rsidRDefault="00183528" w:rsidP="008F37DB">
      <w:r>
        <w:t xml:space="preserve">Manufacturers of </w:t>
      </w:r>
      <w:r w:rsidR="0081522A">
        <w:t>software</w:t>
      </w:r>
      <w:r w:rsidR="00D94CC3">
        <w:t>-</w:t>
      </w:r>
      <w:r w:rsidR="0081522A">
        <w:t xml:space="preserve">based medical devices </w:t>
      </w:r>
      <w:r>
        <w:t xml:space="preserve">already included in the ARTG </w:t>
      </w:r>
      <w:r w:rsidR="00D94CC3">
        <w:t xml:space="preserve">must </w:t>
      </w:r>
      <w:r>
        <w:t xml:space="preserve">reassess the classification of their </w:t>
      </w:r>
      <w:r w:rsidR="00115B82">
        <w:t>device</w:t>
      </w:r>
      <w:r>
        <w:t>(s) according to the new classification rule</w:t>
      </w:r>
      <w:r w:rsidR="0081522A">
        <w:t>s</w:t>
      </w:r>
      <w:r>
        <w:t xml:space="preserve">. This may result in some </w:t>
      </w:r>
      <w:r w:rsidR="00115B82">
        <w:t>devices</w:t>
      </w:r>
      <w:r w:rsidR="00115B82" w:rsidRPr="00981C56">
        <w:t xml:space="preserve"> </w:t>
      </w:r>
      <w:r>
        <w:t xml:space="preserve">being </w:t>
      </w:r>
      <w:r w:rsidR="008627AA">
        <w:t>re</w:t>
      </w:r>
      <w:r>
        <w:t xml:space="preserve">classified at a higher level, requiring the manufacturers to hold conformity assessment evidence from a recognised third party (such as the TGA or a notified body). Australian manufacturers </w:t>
      </w:r>
      <w:r w:rsidR="00D94CC3">
        <w:t xml:space="preserve">must </w:t>
      </w:r>
      <w:r>
        <w:t xml:space="preserve">also lodge any new third party conformity assessment evidence with the TGA and, submit new applications for inclusion in the ARTG according to the </w:t>
      </w:r>
      <w:r w:rsidR="008627AA">
        <w:t xml:space="preserve">new </w:t>
      </w:r>
      <w:r>
        <w:t xml:space="preserve">classification of the </w:t>
      </w:r>
      <w:r w:rsidR="00115B82">
        <w:t>device</w:t>
      </w:r>
      <w:r>
        <w:t>(s).</w:t>
      </w:r>
    </w:p>
    <w:p w14:paraId="48A01455" w14:textId="12101A0C" w:rsidR="00C36B16" w:rsidRPr="00183528" w:rsidRDefault="00C36B16" w:rsidP="00C36B16">
      <w:r>
        <w:t xml:space="preserve">Please also refer to the information on </w:t>
      </w:r>
      <w:r w:rsidR="00193563" w:rsidRPr="006D790E">
        <w:t>transition arrangements</w:t>
      </w:r>
      <w:r w:rsidR="00193563">
        <w:rPr>
          <w:rStyle w:val="Hyperlink"/>
        </w:rPr>
        <w:t xml:space="preserve"> in </w:t>
      </w:r>
      <w:hyperlink r:id="rId46" w:history="1">
        <w:r w:rsidR="00193563" w:rsidRPr="00075F66">
          <w:rPr>
            <w:rStyle w:val="Hyperlink"/>
          </w:rPr>
          <w:t>Regulatory changes for software based medical devices</w:t>
        </w:r>
      </w:hyperlink>
      <w:r w:rsidR="00193563">
        <w:rPr>
          <w:rStyle w:val="Hyperlink"/>
        </w:rPr>
        <w:t>.</w:t>
      </w:r>
    </w:p>
    <w:p w14:paraId="4038D82C" w14:textId="77777777" w:rsidR="00F57E62" w:rsidRDefault="00F57E62" w:rsidP="008F37DB">
      <w:r>
        <w:t xml:space="preserve">For more information about applying for TGA conformity assessment certification see </w:t>
      </w:r>
      <w:hyperlink r:id="rId47" w:history="1">
        <w:r w:rsidR="00143589" w:rsidRPr="00143589">
          <w:rPr>
            <w:rStyle w:val="Hyperlink"/>
          </w:rPr>
          <w:t>Conformity assessment</w:t>
        </w:r>
      </w:hyperlink>
      <w:r w:rsidR="00143589">
        <w:t>.</w:t>
      </w:r>
    </w:p>
    <w:p w14:paraId="5FC9DAE9" w14:textId="2A79934E" w:rsidR="008F37DB" w:rsidRDefault="009962CC" w:rsidP="008F37DB">
      <w:pPr>
        <w:pStyle w:val="Heading3"/>
      </w:pPr>
      <w:bookmarkStart w:id="28" w:name="_Toc58337148"/>
      <w:r>
        <w:t>H</w:t>
      </w:r>
      <w:r w:rsidR="00231D76">
        <w:t xml:space="preserve">ealth </w:t>
      </w:r>
      <w:r w:rsidR="009C2EF8">
        <w:t>p</w:t>
      </w:r>
      <w:r w:rsidR="00231D76">
        <w:t>rofessional</w:t>
      </w:r>
      <w:r w:rsidR="009C2EF8">
        <w:t>s</w:t>
      </w:r>
      <w:bookmarkEnd w:id="28"/>
    </w:p>
    <w:p w14:paraId="5DE00F0F" w14:textId="2E3C73B1" w:rsidR="008F37DB" w:rsidRPr="00981C56" w:rsidRDefault="009B6241" w:rsidP="008F37DB">
      <w:r w:rsidRPr="00981C56">
        <w:t xml:space="preserve">Health professionals using </w:t>
      </w:r>
      <w:r w:rsidR="00992879">
        <w:t>software</w:t>
      </w:r>
      <w:r w:rsidR="00D94CC3">
        <w:t>-</w:t>
      </w:r>
      <w:r w:rsidR="00992879">
        <w:t>based</w:t>
      </w:r>
      <w:r w:rsidRPr="00981C56">
        <w:t xml:space="preserve"> devices may w</w:t>
      </w:r>
      <w:r w:rsidR="008F37DB" w:rsidRPr="00981C56">
        <w:t>ant to consider</w:t>
      </w:r>
      <w:r w:rsidRPr="00981C56">
        <w:t xml:space="preserve"> the following</w:t>
      </w:r>
      <w:r w:rsidR="008F37DB" w:rsidRPr="00981C56">
        <w:t>:</w:t>
      </w:r>
    </w:p>
    <w:p w14:paraId="77AE9A4C" w14:textId="5C41E1E0" w:rsidR="008F37DB" w:rsidRPr="00981C56" w:rsidRDefault="008F37DB" w:rsidP="00981C56">
      <w:pPr>
        <w:pStyle w:val="Heading4"/>
      </w:pPr>
      <w:bookmarkStart w:id="29" w:name="_Toc58337149"/>
      <w:r w:rsidRPr="00981C56">
        <w:t>Is</w:t>
      </w:r>
      <w:r w:rsidR="0038631C" w:rsidRPr="00981C56">
        <w:t xml:space="preserve"> the </w:t>
      </w:r>
      <w:r w:rsidR="00115B82">
        <w:t>device</w:t>
      </w:r>
      <w:r w:rsidR="00115B82" w:rsidRPr="00981C56">
        <w:t xml:space="preserve"> </w:t>
      </w:r>
      <w:r w:rsidR="0038631C" w:rsidRPr="00981C56">
        <w:t xml:space="preserve">on the </w:t>
      </w:r>
      <w:r w:rsidR="009C2EF8">
        <w:t>ARTG</w:t>
      </w:r>
      <w:r w:rsidRPr="00981C56">
        <w:t>?</w:t>
      </w:r>
      <w:bookmarkEnd w:id="29"/>
    </w:p>
    <w:p w14:paraId="00624C60" w14:textId="21A0C8C2" w:rsidR="00981C56" w:rsidRPr="00981C56" w:rsidRDefault="00981C56" w:rsidP="00981C56">
      <w:r w:rsidRPr="00981C56">
        <w:t xml:space="preserve">It is a regulatory requirement that all medical devices be included in the </w:t>
      </w:r>
      <w:hyperlink r:id="rId48" w:history="1">
        <w:r w:rsidRPr="00981C56">
          <w:rPr>
            <w:rStyle w:val="Hyperlink"/>
          </w:rPr>
          <w:t>Australian Register of Therapeutic Goods (ARTG)</w:t>
        </w:r>
      </w:hyperlink>
      <w:r w:rsidRPr="00981C56">
        <w:t xml:space="preserve"> before being supplied in Australia—unless otherwise the subject of an exemption, approval, or authority under the </w:t>
      </w:r>
      <w:r w:rsidR="00224FBC" w:rsidRPr="00395A75">
        <w:rPr>
          <w:i/>
        </w:rPr>
        <w:t>Therapeutic Goods Act 1989</w:t>
      </w:r>
      <w:r w:rsidR="00075F66">
        <w:t>.</w:t>
      </w:r>
    </w:p>
    <w:p w14:paraId="5618AE9A" w14:textId="7E35A6F2" w:rsidR="00981C56" w:rsidRDefault="00981C56" w:rsidP="00981C56">
      <w:r w:rsidRPr="00981C56">
        <w:t xml:space="preserve">You can </w:t>
      </w:r>
      <w:hyperlink r:id="rId49" w:history="1">
        <w:r w:rsidRPr="00224FBC">
          <w:rPr>
            <w:rStyle w:val="Hyperlink"/>
          </w:rPr>
          <w:t>search the ARTG</w:t>
        </w:r>
      </w:hyperlink>
      <w:r w:rsidRPr="00981C56">
        <w:t xml:space="preserve"> </w:t>
      </w:r>
      <w:r w:rsidR="00224FBC">
        <w:t>for the device</w:t>
      </w:r>
      <w:r w:rsidRPr="00981C56">
        <w:t>.</w:t>
      </w:r>
    </w:p>
    <w:p w14:paraId="0BEF3ED7" w14:textId="3558D1E1" w:rsidR="00ED3419" w:rsidRPr="00981C56" w:rsidRDefault="00ED3419" w:rsidP="00981C56">
      <w:pPr>
        <w:pStyle w:val="Heading4"/>
      </w:pPr>
      <w:bookmarkStart w:id="30" w:name="_Toc58337150"/>
      <w:r w:rsidRPr="00981C56">
        <w:t xml:space="preserve">How can I find more information on a </w:t>
      </w:r>
      <w:r w:rsidR="00115B82">
        <w:t>device</w:t>
      </w:r>
      <w:r w:rsidRPr="00981C56">
        <w:t>?</w:t>
      </w:r>
      <w:bookmarkEnd w:id="30"/>
    </w:p>
    <w:p w14:paraId="744A6763" w14:textId="77777777" w:rsidR="009B6241" w:rsidRPr="00981C56" w:rsidRDefault="009B6241" w:rsidP="00693FA7">
      <w:r w:rsidRPr="00981C56">
        <w:t>It is a regulatory requirement that specific information be provided with a medical device</w:t>
      </w:r>
      <w:r w:rsidR="0001303F" w:rsidRPr="00981C56">
        <w:t xml:space="preserve"> (printed information supplied on or with the device or packaging, or electronically), including but not limited to information identifying:</w:t>
      </w:r>
    </w:p>
    <w:p w14:paraId="656D4463" w14:textId="77777777" w:rsidR="00693FA7" w:rsidRPr="00981C56" w:rsidRDefault="0001303F" w:rsidP="00376EE4">
      <w:pPr>
        <w:pStyle w:val="ListBullet"/>
      </w:pPr>
      <w:r w:rsidRPr="00981C56">
        <w:t>t</w:t>
      </w:r>
      <w:r w:rsidR="00693FA7" w:rsidRPr="00981C56">
        <w:t>he</w:t>
      </w:r>
      <w:r w:rsidRPr="00981C56">
        <w:t xml:space="preserve"> </w:t>
      </w:r>
      <w:r w:rsidR="00693FA7" w:rsidRPr="00981C56">
        <w:t>device</w:t>
      </w:r>
    </w:p>
    <w:p w14:paraId="2BE57AE2" w14:textId="77777777" w:rsidR="00693FA7" w:rsidRPr="00981C56" w:rsidRDefault="0001303F" w:rsidP="00376EE4">
      <w:pPr>
        <w:pStyle w:val="ListBullet"/>
      </w:pPr>
      <w:r w:rsidRPr="00981C56">
        <w:t>the  m</w:t>
      </w:r>
      <w:r w:rsidR="00693FA7" w:rsidRPr="00981C56">
        <w:t>anufacturer</w:t>
      </w:r>
      <w:r w:rsidR="00981C56" w:rsidRPr="00981C56">
        <w:t>’s name and address</w:t>
      </w:r>
    </w:p>
    <w:p w14:paraId="1DA7FFAE" w14:textId="77777777" w:rsidR="0001303F" w:rsidRPr="00981C56" w:rsidRDefault="0001303F" w:rsidP="00376EE4">
      <w:pPr>
        <w:pStyle w:val="ListBullet"/>
      </w:pPr>
      <w:r w:rsidRPr="00981C56">
        <w:t>the sponsor</w:t>
      </w:r>
      <w:r w:rsidR="00981C56" w:rsidRPr="00981C56">
        <w:t>’s name and address</w:t>
      </w:r>
    </w:p>
    <w:p w14:paraId="510865F1" w14:textId="77777777" w:rsidR="00693FA7" w:rsidRPr="00981C56" w:rsidRDefault="00693FA7" w:rsidP="00376EE4">
      <w:pPr>
        <w:pStyle w:val="ListBullet"/>
      </w:pPr>
      <w:r w:rsidRPr="00981C56">
        <w:t>explaining how to use the device safely</w:t>
      </w:r>
    </w:p>
    <w:p w14:paraId="4A3B9D13" w14:textId="7157DAA9" w:rsidR="009B6241" w:rsidRPr="00981C56" w:rsidRDefault="0001303F" w:rsidP="00376EE4">
      <w:pPr>
        <w:pStyle w:val="ListBullet"/>
      </w:pPr>
      <w:r w:rsidRPr="00981C56">
        <w:t>the intended purpose of the device</w:t>
      </w:r>
      <w:r w:rsidR="009C2EF8">
        <w:t>.</w:t>
      </w:r>
    </w:p>
    <w:p w14:paraId="6C05C987" w14:textId="77777777" w:rsidR="00981C56" w:rsidRPr="00981C56" w:rsidRDefault="00981C56" w:rsidP="00981C56">
      <w:r w:rsidRPr="00981C56">
        <w:t>If you require further information about a particular device, you should contact the sponsor or manufacturer in the first instance.</w:t>
      </w:r>
    </w:p>
    <w:p w14:paraId="351121E6" w14:textId="77777777" w:rsidR="009B6241" w:rsidRDefault="009B6241" w:rsidP="009B6241">
      <w:pPr>
        <w:pStyle w:val="Heading4"/>
      </w:pPr>
      <w:bookmarkStart w:id="31" w:name="_Toc58337151"/>
      <w:r w:rsidRPr="009B6241">
        <w:lastRenderedPageBreak/>
        <w:t>How I can report if something goes wrong?</w:t>
      </w:r>
      <w:bookmarkEnd w:id="31"/>
    </w:p>
    <w:p w14:paraId="6D4E5715" w14:textId="611A399E" w:rsidR="009B6241" w:rsidRDefault="009B6241" w:rsidP="009B6241">
      <w:pPr>
        <w:rPr>
          <w:lang w:eastAsia="en-AU"/>
        </w:rPr>
      </w:pPr>
      <w:r>
        <w:t>Sometimes there are unintended and</w:t>
      </w:r>
      <w:r w:rsidR="00D94CC3">
        <w:t xml:space="preserve"> </w:t>
      </w:r>
      <w:r>
        <w:t>harmful occurrences associated with the use of a medical device. These are referred to as ‘adverse events’, and include problems or incidents involving medical devices.</w:t>
      </w:r>
    </w:p>
    <w:p w14:paraId="716FBB5C" w14:textId="5DF57E78" w:rsidR="009B6241" w:rsidRDefault="009B6241" w:rsidP="009B6241">
      <w:r>
        <w:t xml:space="preserve">Examples of adverse events are any unfavourable and unintended sign, symptom or disease associated with the use of a medical device. An abnormal laboratory finding could be one example of an unfavourable and </w:t>
      </w:r>
      <w:r w:rsidR="00202B06">
        <w:t>un</w:t>
      </w:r>
      <w:r>
        <w:t>intended sign.</w:t>
      </w:r>
    </w:p>
    <w:p w14:paraId="6673A6A4" w14:textId="77777777" w:rsidR="009B6241" w:rsidRDefault="009B6241" w:rsidP="009B6241">
      <w:r>
        <w:t>In the case of medical devices, an adverse event can also be a problem or incident that has caused, or could cause, harm to patients, caregivers, health professionals or others. These can include 'near misses' – events that might have led to a death or serious injury. It may be that timely intervention from a health professional prevented an adverse event.</w:t>
      </w:r>
    </w:p>
    <w:p w14:paraId="69350AE6" w14:textId="214840B3" w:rsidR="00202B06" w:rsidRDefault="009B6241" w:rsidP="009B6241">
      <w:r>
        <w:t xml:space="preserve">If you have experienced </w:t>
      </w:r>
      <w:r w:rsidRPr="009B6241">
        <w:t>an adverse event, you can make a rep</w:t>
      </w:r>
      <w:r w:rsidR="00075F66">
        <w:t>ort to the TGA via the website.</w:t>
      </w:r>
    </w:p>
    <w:p w14:paraId="7DCCC2E8" w14:textId="43F9A474" w:rsidR="009B6241" w:rsidRPr="00E0463B" w:rsidRDefault="00202B06" w:rsidP="009B6241">
      <w:pPr>
        <w:rPr>
          <w:highlight w:val="yellow"/>
        </w:rPr>
      </w:pPr>
      <w:r>
        <w:t xml:space="preserve">For more information refer </w:t>
      </w:r>
      <w:r w:rsidR="0087185C">
        <w:t xml:space="preserve">to </w:t>
      </w:r>
      <w:hyperlink r:id="rId50" w:history="1">
        <w:r w:rsidR="009B6241" w:rsidRPr="009B6241">
          <w:rPr>
            <w:rStyle w:val="Hyperlink"/>
          </w:rPr>
          <w:t>Reporting adverse events</w:t>
        </w:r>
      </w:hyperlink>
      <w:r w:rsidR="009B6241" w:rsidRPr="009B6241">
        <w:t>.</w:t>
      </w:r>
    </w:p>
    <w:p w14:paraId="335E3C9D" w14:textId="2438EBB1" w:rsidR="00231D76" w:rsidRDefault="009962CC" w:rsidP="00231D76">
      <w:pPr>
        <w:pStyle w:val="Heading3"/>
      </w:pPr>
      <w:bookmarkStart w:id="32" w:name="_Toc58337152"/>
      <w:r>
        <w:t>C</w:t>
      </w:r>
      <w:r w:rsidR="00231D76">
        <w:t>onsumer</w:t>
      </w:r>
      <w:r w:rsidR="00202B06">
        <w:t>s</w:t>
      </w:r>
      <w:bookmarkEnd w:id="32"/>
    </w:p>
    <w:p w14:paraId="4148101A" w14:textId="7E0604CC" w:rsidR="00231D76" w:rsidRPr="00E0463B" w:rsidRDefault="00981C56" w:rsidP="00231D76">
      <w:pPr>
        <w:rPr>
          <w:highlight w:val="yellow"/>
        </w:rPr>
      </w:pPr>
      <w:r w:rsidRPr="00981C56">
        <w:t xml:space="preserve">Consumers using </w:t>
      </w:r>
      <w:r w:rsidR="00992879">
        <w:t>software</w:t>
      </w:r>
      <w:r w:rsidR="00D94CC3">
        <w:t>-</w:t>
      </w:r>
      <w:r w:rsidR="00992879">
        <w:t>based</w:t>
      </w:r>
      <w:r w:rsidRPr="00981C56">
        <w:t xml:space="preserve"> devices may want to consider the following:</w:t>
      </w:r>
    </w:p>
    <w:p w14:paraId="049E90B6" w14:textId="36B69E3F" w:rsidR="00981C56" w:rsidRPr="00981C56" w:rsidRDefault="00981C56" w:rsidP="00981C56">
      <w:pPr>
        <w:pStyle w:val="Heading4"/>
      </w:pPr>
      <w:bookmarkStart w:id="33" w:name="_Toc58337153"/>
      <w:r w:rsidRPr="00981C56">
        <w:t xml:space="preserve">Is the </w:t>
      </w:r>
      <w:r w:rsidR="00115B82">
        <w:t>device</w:t>
      </w:r>
      <w:r w:rsidR="00115B82" w:rsidRPr="00981C56">
        <w:t xml:space="preserve"> </w:t>
      </w:r>
      <w:r w:rsidRPr="00981C56">
        <w:t xml:space="preserve">on the </w:t>
      </w:r>
      <w:r w:rsidR="00202B06">
        <w:t>ARTG</w:t>
      </w:r>
      <w:r w:rsidRPr="00981C56">
        <w:t>?</w:t>
      </w:r>
      <w:bookmarkEnd w:id="33"/>
    </w:p>
    <w:p w14:paraId="522252BC" w14:textId="16E1B287" w:rsidR="00981C56" w:rsidRPr="00981C56" w:rsidRDefault="00981C56" w:rsidP="00981C56">
      <w:r w:rsidRPr="00981C56">
        <w:t xml:space="preserve">It is a regulatory requirement </w:t>
      </w:r>
      <w:r w:rsidR="00202B06">
        <w:t xml:space="preserve">that </w:t>
      </w:r>
      <w:r w:rsidRPr="00981C56">
        <w:t xml:space="preserve">all medical devices be included in the </w:t>
      </w:r>
      <w:hyperlink r:id="rId51" w:history="1">
        <w:r w:rsidRPr="00981C56">
          <w:rPr>
            <w:rStyle w:val="Hyperlink"/>
          </w:rPr>
          <w:t>Australian Register of Therapeutic Goods (ARTG)</w:t>
        </w:r>
      </w:hyperlink>
      <w:r w:rsidRPr="00981C56">
        <w:t xml:space="preserve"> before being supplied in Australia—unless otherwise the subject of an exemption, approval, or authority under the </w:t>
      </w:r>
      <w:r w:rsidR="00224FBC" w:rsidRPr="00395A75">
        <w:rPr>
          <w:i/>
        </w:rPr>
        <w:t>Therapeutic Goods Act 1989</w:t>
      </w:r>
      <w:r w:rsidRPr="00981C56">
        <w:t xml:space="preserve">. </w:t>
      </w:r>
    </w:p>
    <w:p w14:paraId="09CCCE1E" w14:textId="77777777" w:rsidR="00981C56" w:rsidRDefault="00981C56" w:rsidP="00981C56">
      <w:r w:rsidRPr="00981C56">
        <w:t xml:space="preserve">You can search the ARTG on the web </w:t>
      </w:r>
      <w:hyperlink r:id="rId52" w:history="1">
        <w:r w:rsidRPr="00981C56">
          <w:rPr>
            <w:rStyle w:val="Hyperlink"/>
          </w:rPr>
          <w:t>here</w:t>
        </w:r>
      </w:hyperlink>
      <w:r w:rsidRPr="00981C56">
        <w:t>.</w:t>
      </w:r>
    </w:p>
    <w:p w14:paraId="110C03E2" w14:textId="7B910CAD" w:rsidR="00981C56" w:rsidRPr="00981C56" w:rsidRDefault="00981C56" w:rsidP="00981C56">
      <w:pPr>
        <w:pStyle w:val="Heading4"/>
      </w:pPr>
      <w:bookmarkStart w:id="34" w:name="_Toc58337154"/>
      <w:r w:rsidRPr="00981C56">
        <w:t xml:space="preserve">How can I find more information on a </w:t>
      </w:r>
      <w:r w:rsidR="00115B82">
        <w:t>device</w:t>
      </w:r>
      <w:r w:rsidRPr="00981C56">
        <w:t>?</w:t>
      </w:r>
      <w:bookmarkEnd w:id="34"/>
    </w:p>
    <w:p w14:paraId="14FDA44F" w14:textId="77777777" w:rsidR="00981C56" w:rsidRPr="00981C56" w:rsidRDefault="00981C56" w:rsidP="00981C56">
      <w:r w:rsidRPr="00981C56">
        <w:t>It is a regulatory requirement that specific information be provided with a medical device (printed information supplied on or with the device or packaging, or electronically), including but not limited to information identifying:</w:t>
      </w:r>
    </w:p>
    <w:p w14:paraId="61952ECF" w14:textId="77777777" w:rsidR="00981C56" w:rsidRPr="00981C56" w:rsidRDefault="00981C56" w:rsidP="00376EE4">
      <w:pPr>
        <w:pStyle w:val="ListBullet"/>
      </w:pPr>
      <w:r w:rsidRPr="00981C56">
        <w:t>the device</w:t>
      </w:r>
    </w:p>
    <w:p w14:paraId="3331994F" w14:textId="77777777" w:rsidR="00981C56" w:rsidRPr="00981C56" w:rsidRDefault="00981C56" w:rsidP="00376EE4">
      <w:pPr>
        <w:pStyle w:val="ListBullet"/>
      </w:pPr>
      <w:r w:rsidRPr="00981C56">
        <w:t>the  manufacturer’s name and address</w:t>
      </w:r>
    </w:p>
    <w:p w14:paraId="10D34AF0" w14:textId="77777777" w:rsidR="00981C56" w:rsidRPr="00981C56" w:rsidRDefault="00981C56" w:rsidP="00376EE4">
      <w:pPr>
        <w:pStyle w:val="ListBullet"/>
      </w:pPr>
      <w:r w:rsidRPr="00981C56">
        <w:t>the sponsor’s name and address</w:t>
      </w:r>
    </w:p>
    <w:p w14:paraId="14EE877F" w14:textId="77777777" w:rsidR="00981C56" w:rsidRPr="00981C56" w:rsidRDefault="00981C56" w:rsidP="00376EE4">
      <w:pPr>
        <w:pStyle w:val="ListBullet"/>
      </w:pPr>
      <w:r w:rsidRPr="00981C56">
        <w:t>explaining how to use the device safely</w:t>
      </w:r>
    </w:p>
    <w:p w14:paraId="1DD0D05B" w14:textId="6E6EA156" w:rsidR="00981C56" w:rsidRPr="00981C56" w:rsidRDefault="00981C56" w:rsidP="00376EE4">
      <w:pPr>
        <w:pStyle w:val="ListBullet"/>
      </w:pPr>
      <w:r w:rsidRPr="00981C56">
        <w:t>the intended purpose of the device</w:t>
      </w:r>
      <w:r w:rsidR="00224FBC">
        <w:t>.</w:t>
      </w:r>
    </w:p>
    <w:p w14:paraId="6ED5F5E4" w14:textId="77777777" w:rsidR="00981C56" w:rsidRPr="00981C56" w:rsidRDefault="00981C56" w:rsidP="00981C56">
      <w:r w:rsidRPr="00981C56">
        <w:t>If you require further information about a particular device, you should contact the sponsor or manufacturer in the first instance.</w:t>
      </w:r>
    </w:p>
    <w:p w14:paraId="21472CEF" w14:textId="77777777" w:rsidR="009B6241" w:rsidRDefault="00FA1419" w:rsidP="009B6241">
      <w:pPr>
        <w:pStyle w:val="Heading4"/>
      </w:pPr>
      <w:bookmarkStart w:id="35" w:name="_Toc58337155"/>
      <w:r w:rsidRPr="009B6241">
        <w:t>How I can report if something goes wrong?</w:t>
      </w:r>
      <w:bookmarkEnd w:id="35"/>
    </w:p>
    <w:p w14:paraId="42937F1A" w14:textId="77777777" w:rsidR="0081522A" w:rsidRPr="0081522A" w:rsidRDefault="0081522A" w:rsidP="0081522A">
      <w:r w:rsidRPr="0081522A">
        <w:t>If you have any issues, problems or questions relating to your use of a medical device, you should seek advice from a health professional.</w:t>
      </w:r>
    </w:p>
    <w:p w14:paraId="2F7FDDB7" w14:textId="3FE18E4A" w:rsidR="009B6241" w:rsidRDefault="009B6241" w:rsidP="009B6241">
      <w:pPr>
        <w:rPr>
          <w:lang w:eastAsia="en-AU"/>
        </w:rPr>
      </w:pPr>
      <w:r>
        <w:t>Sometimes there are unintended and harmful occurrences associated with the use of a medical device. These are referred to as ‘adverse events’, and include problems or incidents involving medical devices.</w:t>
      </w:r>
    </w:p>
    <w:p w14:paraId="57698414" w14:textId="73707AC7" w:rsidR="009B6241" w:rsidRDefault="009B6241" w:rsidP="009B6241">
      <w:r>
        <w:lastRenderedPageBreak/>
        <w:t>Examples of adverse events are any unfavourable and unintended sign, symptom or disease associated with the use of a medical device.</w:t>
      </w:r>
    </w:p>
    <w:p w14:paraId="05FCE1DD" w14:textId="77777777" w:rsidR="009B6241" w:rsidRDefault="009B6241" w:rsidP="009B6241">
      <w:r>
        <w:t>In the case of medical devices, an adverse event can also be a problem or incident that has caused, or could cause, harm to patients, caregivers, health professionals or others. These can include 'near misses' – events that might have led to a death or serious injury. It may be that timely intervention from a health professional prevented an adverse event.</w:t>
      </w:r>
    </w:p>
    <w:p w14:paraId="3BFD3019" w14:textId="483A02E0" w:rsidR="00340B84" w:rsidRDefault="009B6241" w:rsidP="009B6241">
      <w:r>
        <w:t xml:space="preserve">If you have experienced </w:t>
      </w:r>
      <w:r w:rsidRPr="009B6241">
        <w:t>an adverse event, you can make a rep</w:t>
      </w:r>
      <w:r w:rsidR="00490A2E">
        <w:t>ort to the TGA via the website.</w:t>
      </w:r>
    </w:p>
    <w:p w14:paraId="517192A8" w14:textId="20077D47" w:rsidR="009B6241" w:rsidRPr="00E0463B" w:rsidRDefault="00340B84" w:rsidP="009B6241">
      <w:pPr>
        <w:rPr>
          <w:highlight w:val="yellow"/>
        </w:rPr>
      </w:pPr>
      <w:r>
        <w:t>For more information refer to</w:t>
      </w:r>
      <w:r w:rsidR="009B6241" w:rsidRPr="009B6241">
        <w:t xml:space="preserve"> </w:t>
      </w:r>
      <w:hyperlink r:id="rId53" w:history="1">
        <w:r w:rsidR="009B6241" w:rsidRPr="009B6241">
          <w:rPr>
            <w:rStyle w:val="Hyperlink"/>
          </w:rPr>
          <w:t>Reporting adverse events</w:t>
        </w:r>
      </w:hyperlink>
      <w:r>
        <w:t>.</w:t>
      </w:r>
    </w:p>
    <w:p w14:paraId="0D1419CA" w14:textId="5D54BE51" w:rsidR="00ED3419" w:rsidRPr="00376EE4" w:rsidRDefault="00ED3419" w:rsidP="006B60E6">
      <w:pPr>
        <w:pStyle w:val="Heading2"/>
      </w:pPr>
      <w:bookmarkStart w:id="36" w:name="_Toc58337156"/>
      <w:r w:rsidRPr="00376EE4">
        <w:t xml:space="preserve">Where </w:t>
      </w:r>
      <w:r w:rsidR="00340B84">
        <w:t>to</w:t>
      </w:r>
      <w:r w:rsidRPr="00376EE4">
        <w:t xml:space="preserve"> find more </w:t>
      </w:r>
      <w:r w:rsidR="00E90262" w:rsidRPr="00376EE4">
        <w:t>information</w:t>
      </w:r>
      <w:bookmarkEnd w:id="36"/>
    </w:p>
    <w:p w14:paraId="572E1D4B" w14:textId="56455A32" w:rsidR="00E90262" w:rsidRDefault="0087185C" w:rsidP="00E90262">
      <w:r>
        <w:t>For more</w:t>
      </w:r>
      <w:r w:rsidR="00E90262">
        <w:t xml:space="preserve"> information on the amendments to the </w:t>
      </w:r>
      <w:r w:rsidR="009962CC">
        <w:t xml:space="preserve">Regulations </w:t>
      </w:r>
      <w:r>
        <w:t xml:space="preserve">refer to </w:t>
      </w:r>
      <w:hyperlink r:id="rId54" w:history="1">
        <w:r w:rsidRPr="00490A2E">
          <w:rPr>
            <w:rStyle w:val="Hyperlink"/>
            <w:i/>
          </w:rPr>
          <w:t>Therapeutic Goods Legislation Amendment (2019 Measures No.1) Regulations 2019</w:t>
        </w:r>
      </w:hyperlink>
      <w:r>
        <w:t>.</w:t>
      </w:r>
    </w:p>
    <w:p w14:paraId="1F26A7F4" w14:textId="3D632A4D" w:rsidR="00E90262" w:rsidRPr="00ED5061" w:rsidRDefault="00E90262" w:rsidP="00E90262">
      <w:r>
        <w:t xml:space="preserve">Additional guidance on the amendments, including on the new classification rules, </w:t>
      </w:r>
      <w:r w:rsidR="0087185C">
        <w:t xml:space="preserve">may be found </w:t>
      </w:r>
      <w:r w:rsidR="00077429">
        <w:t>on the TGA website</w:t>
      </w:r>
      <w:r>
        <w:t>.</w:t>
      </w:r>
    </w:p>
    <w:p w14:paraId="57C71F60" w14:textId="77777777" w:rsidR="0087185C" w:rsidRDefault="0087185C" w:rsidP="00376EE4">
      <w:pPr>
        <w:pStyle w:val="Heading3"/>
      </w:pPr>
      <w:bookmarkStart w:id="37" w:name="_Toc58337157"/>
      <w:r>
        <w:t>Contact us</w:t>
      </w:r>
      <w:bookmarkEnd w:id="37"/>
    </w:p>
    <w:p w14:paraId="68A3EAAA" w14:textId="39DEF757" w:rsidR="00ED3419" w:rsidRDefault="0081522A" w:rsidP="00ED3419">
      <w:r>
        <w:t>You can c</w:t>
      </w:r>
      <w:r w:rsidR="00ED3419">
        <w:t>ontact the TGA</w:t>
      </w:r>
      <w:r w:rsidR="00D20498">
        <w:t xml:space="preserve"> via</w:t>
      </w:r>
      <w:r w:rsidR="00ED3419">
        <w:t xml:space="preserve"> </w:t>
      </w:r>
      <w:hyperlink r:id="rId55" w:history="1">
        <w:r w:rsidR="00052226" w:rsidRPr="00EB286D">
          <w:rPr>
            <w:rStyle w:val="Hyperlink"/>
          </w:rPr>
          <w:t>digital.devices@health.gov.au</w:t>
        </w:r>
      </w:hyperlink>
      <w:r w:rsidR="00490A2E" w:rsidRPr="00490A2E">
        <w:rPr>
          <w:rStyle w:val="Hyperlink"/>
          <w:color w:val="auto"/>
          <w:u w:val="none"/>
        </w:rPr>
        <w:t>.</w:t>
      </w:r>
    </w:p>
    <w:p w14:paraId="077EE581" w14:textId="7B1034A4" w:rsidR="00BF3D51" w:rsidRDefault="0081522A" w:rsidP="00376EE4">
      <w:hyperlink r:id="rId56" w:history="1">
        <w:r w:rsidRPr="00524301">
          <w:rPr>
            <w:rStyle w:val="Hyperlink"/>
          </w:rPr>
          <w:t>SME Assist</w:t>
        </w:r>
      </w:hyperlink>
      <w:r w:rsidRPr="00524301">
        <w:t xml:space="preserve"> is a dedicated service TGA offers to help small to medium enterprises (SMEs), researchers, start-ups and those unfamiliar with regulation to understand their regulatory and legislative obligations.</w:t>
      </w:r>
    </w:p>
    <w:p w14:paraId="2893C28D" w14:textId="37C0766F" w:rsidR="00236271" w:rsidRPr="00376EE4" w:rsidRDefault="0087185C" w:rsidP="006B60E6">
      <w:pPr>
        <w:pStyle w:val="Heading2"/>
      </w:pPr>
      <w:bookmarkStart w:id="38" w:name="_Toc58337158"/>
      <w:r w:rsidRPr="00376EE4">
        <w:t>Definitions</w:t>
      </w:r>
      <w:bookmarkEnd w:id="38"/>
    </w:p>
    <w:p w14:paraId="479B5AB0" w14:textId="70B8C413" w:rsidR="00236271" w:rsidRDefault="00236271" w:rsidP="00236271">
      <w:r>
        <w:t xml:space="preserve">There are a number of terms </w:t>
      </w:r>
      <w:r w:rsidR="00077429">
        <w:t xml:space="preserve">with </w:t>
      </w:r>
      <w:r>
        <w:t xml:space="preserve">specific meaning in the </w:t>
      </w:r>
      <w:r w:rsidRPr="005F6EC2">
        <w:rPr>
          <w:i/>
        </w:rPr>
        <w:t>Therapeutic Goods Act 1989</w:t>
      </w:r>
      <w:r>
        <w:rPr>
          <w:i/>
        </w:rPr>
        <w:t xml:space="preserve"> </w:t>
      </w:r>
      <w:r w:rsidRPr="005F6EC2">
        <w:t>for the purposes of regulation</w:t>
      </w:r>
      <w:r w:rsidR="00077429">
        <w:t xml:space="preserve"> used in this document</w:t>
      </w:r>
      <w:r w:rsidRPr="005F6EC2">
        <w:t>.</w:t>
      </w:r>
      <w:r>
        <w:t xml:space="preserve"> </w:t>
      </w:r>
      <w:r w:rsidRPr="00731F67">
        <w:t>Some other terms are used in the legislation that</w:t>
      </w:r>
      <w:r w:rsidR="00CB2E02" w:rsidRPr="00731F67">
        <w:t xml:space="preserve"> are not specifically</w:t>
      </w:r>
      <w:r w:rsidR="00E03DAE" w:rsidRPr="00731F67">
        <w:t xml:space="preserve"> defined</w:t>
      </w:r>
      <w:r w:rsidR="00E03DAE">
        <w:t>.</w:t>
      </w:r>
    </w:p>
    <w:p w14:paraId="62ECBD89" w14:textId="39A8AEBF" w:rsidR="002F7DAD" w:rsidRPr="002F7DAD" w:rsidRDefault="002F7DAD" w:rsidP="002F7DAD">
      <w:r w:rsidRPr="00376EE4">
        <w:rPr>
          <w:b/>
        </w:rPr>
        <w:t>Accessory</w:t>
      </w:r>
      <w:r w:rsidR="006B60E6">
        <w:rPr>
          <w:b/>
        </w:rPr>
        <w:t xml:space="preserve"> </w:t>
      </w:r>
      <w:r w:rsidR="006B60E6">
        <w:t xml:space="preserve">– </w:t>
      </w:r>
      <w:r w:rsidRPr="002F7DAD">
        <w:rPr>
          <w:rFonts w:asciiTheme="minorHAnsi" w:hAnsiTheme="minorHAnsi"/>
          <w:bCs/>
          <w:color w:val="000000"/>
          <w:szCs w:val="22"/>
        </w:rPr>
        <w:t xml:space="preserve">From section </w:t>
      </w:r>
      <w:r w:rsidRPr="002F7DAD">
        <w:rPr>
          <w:rFonts w:asciiTheme="minorHAnsi" w:hAnsiTheme="minorHAnsi"/>
          <w:bCs/>
          <w:iCs/>
          <w:color w:val="000000"/>
          <w:szCs w:val="22"/>
        </w:rPr>
        <w:t>3</w:t>
      </w:r>
      <w:r w:rsidRPr="002F7DAD">
        <w:rPr>
          <w:rFonts w:asciiTheme="minorHAnsi" w:hAnsiTheme="minorHAnsi"/>
          <w:bCs/>
          <w:color w:val="000000"/>
          <w:szCs w:val="22"/>
        </w:rPr>
        <w:t xml:space="preserve"> of the </w:t>
      </w:r>
      <w:r w:rsidRPr="002F7DAD">
        <w:rPr>
          <w:rFonts w:asciiTheme="minorHAnsi" w:hAnsiTheme="minorHAnsi"/>
          <w:bCs/>
          <w:i/>
          <w:iCs/>
          <w:color w:val="000000"/>
          <w:szCs w:val="22"/>
        </w:rPr>
        <w:t>Therapeutic Goods Act 1989</w:t>
      </w:r>
      <w:r w:rsidRPr="002F7DAD">
        <w:rPr>
          <w:rFonts w:asciiTheme="minorHAnsi" w:hAnsiTheme="minorHAnsi"/>
          <w:bCs/>
          <w:i/>
          <w:color w:val="000000"/>
          <w:szCs w:val="22"/>
        </w:rPr>
        <w:t>:</w:t>
      </w:r>
      <w:r w:rsidR="006B60E6">
        <w:rPr>
          <w:b/>
          <w:bCs/>
          <w:i/>
          <w:iCs/>
          <w:color w:val="000000"/>
          <w:szCs w:val="22"/>
          <w:shd w:val="clear" w:color="auto" w:fill="FFFFFF"/>
        </w:rPr>
        <w:t xml:space="preserve"> </w:t>
      </w:r>
      <w:r>
        <w:rPr>
          <w:b/>
          <w:bCs/>
          <w:i/>
          <w:iCs/>
          <w:color w:val="000000"/>
          <w:szCs w:val="22"/>
          <w:shd w:val="clear" w:color="auto" w:fill="FFFFFF"/>
        </w:rPr>
        <w:t>accessory</w:t>
      </w:r>
      <w:r>
        <w:rPr>
          <w:color w:val="000000"/>
          <w:szCs w:val="22"/>
          <w:shd w:val="clear" w:color="auto" w:fill="FFFFFF"/>
        </w:rPr>
        <w:t>, in relation to a medical device covered by paragraph 41BD(1)(a), (aa) or (ab), means a thing that the manufacturer of the thing specifically intended to be used together with the device to enable the device to be used as the manufacturer of the device intended.</w:t>
      </w:r>
    </w:p>
    <w:p w14:paraId="2F302EE0" w14:textId="3BECFD8C" w:rsidR="005275ED" w:rsidRPr="00FB486C" w:rsidRDefault="00A74D7C" w:rsidP="00376EE4">
      <w:r w:rsidRPr="00376EE4">
        <w:rPr>
          <w:b/>
        </w:rPr>
        <w:t>Australian Register of Therapeutic Goods</w:t>
      </w:r>
      <w:r w:rsidRPr="00FB486C">
        <w:t xml:space="preserve"> (</w:t>
      </w:r>
      <w:hyperlink r:id="rId57" w:anchor="id_928" w:history="1">
        <w:r w:rsidRPr="00376EE4">
          <w:rPr>
            <w:rStyle w:val="Hyperlink"/>
          </w:rPr>
          <w:t>ARTG or the Register</w:t>
        </w:r>
      </w:hyperlink>
      <w:r w:rsidRPr="00FB486C">
        <w:t>)</w:t>
      </w:r>
    </w:p>
    <w:p w14:paraId="47659FFB" w14:textId="0E954BBF" w:rsidR="00C642F9" w:rsidRPr="00376EE4" w:rsidRDefault="00EE67EC" w:rsidP="00376EE4">
      <w:pPr>
        <w:rPr>
          <w:b/>
        </w:rPr>
      </w:pPr>
      <w:bookmarkStart w:id="39" w:name="_In_vitro_diagnostic"/>
      <w:bookmarkEnd w:id="39"/>
      <w:r w:rsidRPr="00376EE4">
        <w:rPr>
          <w:b/>
        </w:rPr>
        <w:t>In vitro diagnostic (IVD) medical device</w:t>
      </w:r>
      <w:r w:rsidR="00FB486C">
        <w:rPr>
          <w:b/>
        </w:rPr>
        <w:t xml:space="preserve"> </w:t>
      </w:r>
      <w:r w:rsidR="00FB486C">
        <w:t>–</w:t>
      </w:r>
      <w:r w:rsidR="00FB486C" w:rsidRPr="00FB486C">
        <w:t xml:space="preserve"> </w:t>
      </w:r>
      <w:hyperlink r:id="rId58" w:anchor="ivd-md" w:history="1">
        <w:r w:rsidR="00C642F9" w:rsidRPr="00C642F9">
          <w:rPr>
            <w:rStyle w:val="Hyperlink"/>
          </w:rPr>
          <w:t>What is an IVD medical device?</w:t>
        </w:r>
      </w:hyperlink>
    </w:p>
    <w:p w14:paraId="5E7E3394" w14:textId="526E0AB1" w:rsidR="007A76A9" w:rsidRPr="007A76A9" w:rsidRDefault="00EE67EC" w:rsidP="007A76A9">
      <w:r w:rsidRPr="00376EE4">
        <w:rPr>
          <w:b/>
        </w:rPr>
        <w:t xml:space="preserve">Digital </w:t>
      </w:r>
      <w:r w:rsidR="00A1721C">
        <w:t xml:space="preserve">– </w:t>
      </w:r>
      <w:r w:rsidR="007A76A9">
        <w:t xml:space="preserve">For the purpose of this guidance, this term relates to the </w:t>
      </w:r>
      <w:r w:rsidR="007A76A9" w:rsidRPr="007A76A9">
        <w:t>use of computer technology</w:t>
      </w:r>
      <w:r w:rsidR="00490A2E">
        <w:t xml:space="preserve">. </w:t>
      </w:r>
      <w:r w:rsidR="007A76A9">
        <w:t xml:space="preserve">(See also </w:t>
      </w:r>
      <w:hyperlink r:id="rId59" w:history="1">
        <w:r w:rsidR="007A76A9" w:rsidRPr="007A76A9">
          <w:rPr>
            <w:rStyle w:val="Hyperlink"/>
          </w:rPr>
          <w:t>Macquarie Dictionary</w:t>
        </w:r>
      </w:hyperlink>
      <w:r w:rsidR="007A76A9">
        <w:t>)</w:t>
      </w:r>
      <w:r w:rsidR="009962CC">
        <w:t>.</w:t>
      </w:r>
    </w:p>
    <w:p w14:paraId="2A8DA409" w14:textId="21B6A3D2" w:rsidR="00236271" w:rsidRPr="00712FB1" w:rsidRDefault="00CB2E02" w:rsidP="00376EE4">
      <w:r w:rsidRPr="00376EE4">
        <w:rPr>
          <w:b/>
        </w:rPr>
        <w:t>Manufacturer</w:t>
      </w:r>
      <w:r w:rsidR="00ED346E">
        <w:rPr>
          <w:b/>
        </w:rPr>
        <w:t xml:space="preserve"> </w:t>
      </w:r>
      <w:r w:rsidR="00ED346E" w:rsidRPr="00712FB1">
        <w:t xml:space="preserve">– </w:t>
      </w:r>
      <w:hyperlink r:id="rId60" w:anchor="id_1129" w:history="1">
        <w:r w:rsidR="00ED346E" w:rsidRPr="00376EE4">
          <w:rPr>
            <w:rStyle w:val="Hyperlink"/>
          </w:rPr>
          <w:t>Manufacturer of a medical device</w:t>
        </w:r>
      </w:hyperlink>
    </w:p>
    <w:p w14:paraId="70598196" w14:textId="0B701AD3" w:rsidR="00CB2E02" w:rsidRPr="006D39C7" w:rsidRDefault="005275ED" w:rsidP="00376EE4">
      <w:pPr>
        <w:rPr>
          <w:rFonts w:asciiTheme="minorHAnsi" w:hAnsiTheme="minorHAnsi"/>
          <w:bCs/>
          <w:i/>
          <w:color w:val="000000"/>
          <w:szCs w:val="22"/>
        </w:rPr>
      </w:pPr>
      <w:r w:rsidRPr="00376EE4">
        <w:rPr>
          <w:b/>
        </w:rPr>
        <w:t>Medical device</w:t>
      </w:r>
      <w:r w:rsidR="00C642F9">
        <w:rPr>
          <w:b/>
        </w:rPr>
        <w:t xml:space="preserve"> </w:t>
      </w:r>
      <w:r w:rsidR="00C642F9" w:rsidRPr="00712FB1">
        <w:t>–</w:t>
      </w:r>
      <w:r w:rsidR="00C642F9">
        <w:rPr>
          <w:b/>
        </w:rPr>
        <w:t xml:space="preserve"> </w:t>
      </w:r>
      <w:hyperlink r:id="rId61" w:anchor="what" w:history="1">
        <w:r w:rsidR="00C642F9" w:rsidRPr="00C642F9">
          <w:rPr>
            <w:rStyle w:val="Hyperlink"/>
            <w:rFonts w:asciiTheme="minorHAnsi" w:hAnsiTheme="minorHAnsi"/>
            <w:bCs/>
            <w:szCs w:val="22"/>
          </w:rPr>
          <w:t>What is a medical device?</w:t>
        </w:r>
      </w:hyperlink>
    </w:p>
    <w:p w14:paraId="0F3B0324" w14:textId="4CD7F8C3" w:rsidR="005275ED" w:rsidRPr="005275ED" w:rsidRDefault="005275ED" w:rsidP="00376EE4">
      <w:pPr>
        <w:rPr>
          <w:szCs w:val="22"/>
        </w:rPr>
      </w:pPr>
      <w:r w:rsidRPr="00376EE4">
        <w:rPr>
          <w:b/>
          <w:shd w:val="clear" w:color="auto" w:fill="FFFFFF"/>
        </w:rPr>
        <w:t>Programmed or programmable medical device or software that is a medical device (</w:t>
      </w:r>
      <w:r w:rsidRPr="00376EE4">
        <w:rPr>
          <w:b/>
        </w:rPr>
        <w:t>PPSMD)</w:t>
      </w:r>
      <w:r w:rsidR="00ED346E">
        <w:rPr>
          <w:b/>
        </w:rPr>
        <w:t xml:space="preserve"> </w:t>
      </w:r>
      <w:r w:rsidR="00ED346E">
        <w:t xml:space="preserve">– </w:t>
      </w:r>
      <w:r>
        <w:rPr>
          <w:szCs w:val="22"/>
        </w:rPr>
        <w:t>This is the</w:t>
      </w:r>
      <w:r w:rsidRPr="005275ED">
        <w:rPr>
          <w:szCs w:val="22"/>
        </w:rPr>
        <w:t xml:space="preserve"> specific term used in the </w:t>
      </w:r>
      <w:r w:rsidR="00953EDD">
        <w:rPr>
          <w:szCs w:val="22"/>
        </w:rPr>
        <w:t>Regulations</w:t>
      </w:r>
      <w:r w:rsidRPr="005275ED">
        <w:rPr>
          <w:szCs w:val="22"/>
        </w:rPr>
        <w:t xml:space="preserve"> to refer to </w:t>
      </w:r>
      <w:r w:rsidR="002D1CD3">
        <w:rPr>
          <w:szCs w:val="22"/>
        </w:rPr>
        <w:t>any medical device</w:t>
      </w:r>
      <w:r w:rsidR="000843D4">
        <w:rPr>
          <w:szCs w:val="22"/>
        </w:rPr>
        <w:t xml:space="preserve"> </w:t>
      </w:r>
      <w:r w:rsidR="002D1CD3">
        <w:rPr>
          <w:szCs w:val="22"/>
        </w:rPr>
        <w:t xml:space="preserve">that is, or has the ability to be, programmed. It includes </w:t>
      </w:r>
      <w:r w:rsidR="00992879">
        <w:rPr>
          <w:szCs w:val="22"/>
        </w:rPr>
        <w:t>software based</w:t>
      </w:r>
      <w:r w:rsidR="002D1CD3" w:rsidRPr="005275ED">
        <w:rPr>
          <w:szCs w:val="22"/>
        </w:rPr>
        <w:t xml:space="preserve"> medical devices and programmable hardware.</w:t>
      </w:r>
    </w:p>
    <w:p w14:paraId="66522F6B" w14:textId="146F2237" w:rsidR="000843D4" w:rsidRDefault="005275ED" w:rsidP="00490A2E">
      <w:r w:rsidRPr="00376EE4">
        <w:rPr>
          <w:b/>
        </w:rPr>
        <w:lastRenderedPageBreak/>
        <w:t>SaMD</w:t>
      </w:r>
      <w:r w:rsidR="00ED346E">
        <w:rPr>
          <w:b/>
        </w:rPr>
        <w:t xml:space="preserve"> </w:t>
      </w:r>
      <w:r w:rsidR="00ED346E">
        <w:t xml:space="preserve">– </w:t>
      </w:r>
      <w:r w:rsidR="000843D4">
        <w:t xml:space="preserve">This is a term in general use globally; it typically means stand-alone software that has a therapeutic purpose. In Australia, </w:t>
      </w:r>
      <w:r w:rsidR="000843D4">
        <w:rPr>
          <w:szCs w:val="22"/>
        </w:rPr>
        <w:t>a</w:t>
      </w:r>
      <w:r w:rsidR="000843D4" w:rsidRPr="00D20498">
        <w:rPr>
          <w:szCs w:val="22"/>
        </w:rPr>
        <w:t xml:space="preserve"> software product is considered a medical device if it fits the definition of a medical device in section 41BD of the </w:t>
      </w:r>
      <w:r w:rsidR="000843D4" w:rsidRPr="00D20498">
        <w:rPr>
          <w:i/>
          <w:szCs w:val="22"/>
        </w:rPr>
        <w:t>Therapeutic Goods Act 1989.</w:t>
      </w:r>
      <w:r w:rsidR="000843D4">
        <w:rPr>
          <w:i/>
          <w:szCs w:val="22"/>
        </w:rPr>
        <w:t xml:space="preserve"> </w:t>
      </w:r>
      <w:r w:rsidR="000843D4">
        <w:t xml:space="preserve">The term is used by the following international regulators: </w:t>
      </w:r>
    </w:p>
    <w:p w14:paraId="79F1F6FB" w14:textId="6C302225" w:rsidR="00D20498" w:rsidRDefault="000843D4" w:rsidP="00490A2E">
      <w:r>
        <w:t>T</w:t>
      </w:r>
      <w:r w:rsidR="002D1CD3">
        <w:t xml:space="preserve">he IMDRF </w:t>
      </w:r>
      <w:hyperlink r:id="rId62" w:history="1">
        <w:r w:rsidR="002D1CD3" w:rsidRPr="002D1CD3">
          <w:rPr>
            <w:rStyle w:val="Hyperlink"/>
          </w:rPr>
          <w:t>define</w:t>
        </w:r>
      </w:hyperlink>
      <w:r>
        <w:rPr>
          <w:rStyle w:val="Hyperlink"/>
        </w:rPr>
        <w:t xml:space="preserve"> SaMD</w:t>
      </w:r>
      <w:r w:rsidR="002D1CD3">
        <w:t xml:space="preserve"> as “software intended to be used for one or more medical purposes that perform these purposes without being par</w:t>
      </w:r>
      <w:r w:rsidR="00490A2E">
        <w:t>t of a hardware medical device”.</w:t>
      </w:r>
    </w:p>
    <w:p w14:paraId="529CF697" w14:textId="1ED6A5C0" w:rsidR="002D1CD3" w:rsidRDefault="007A76A9" w:rsidP="002D1CD3">
      <w:r>
        <w:t xml:space="preserve">This term is used in some jurisdictions to refer to regulated </w:t>
      </w:r>
      <w:r w:rsidR="00992879">
        <w:t>software based</w:t>
      </w:r>
      <w:r>
        <w:t xml:space="preserve"> medical devices. For example, t</w:t>
      </w:r>
      <w:r w:rsidR="002D1CD3">
        <w:t xml:space="preserve">he </w:t>
      </w:r>
      <w:hyperlink r:id="rId63" w:history="1">
        <w:r w:rsidR="000843D4" w:rsidRPr="000843D4">
          <w:rPr>
            <w:rStyle w:val="Hyperlink"/>
          </w:rPr>
          <w:t xml:space="preserve">US </w:t>
        </w:r>
        <w:r w:rsidR="002D1CD3" w:rsidRPr="000843D4">
          <w:rPr>
            <w:rStyle w:val="Hyperlink"/>
          </w:rPr>
          <w:t>FDA</w:t>
        </w:r>
      </w:hyperlink>
      <w:r w:rsidR="002D1CD3">
        <w:t xml:space="preserve"> uses </w:t>
      </w:r>
      <w:r w:rsidR="000843D4">
        <w:t>SaMD</w:t>
      </w:r>
      <w:r w:rsidR="002D1CD3">
        <w:t xml:space="preserve"> </w:t>
      </w:r>
      <w:r>
        <w:t xml:space="preserve">to refer to </w:t>
      </w:r>
      <w:r w:rsidR="002D1CD3">
        <w:t xml:space="preserve">a subset of software </w:t>
      </w:r>
      <w:r>
        <w:t>they regulate</w:t>
      </w:r>
      <w:r w:rsidR="000843D4">
        <w:t xml:space="preserve">. Other terms are </w:t>
      </w:r>
      <w:r w:rsidR="002D1CD3" w:rsidRPr="002D1CD3">
        <w:t xml:space="preserve">software that is integral to a medical device (Software in a </w:t>
      </w:r>
      <w:r w:rsidR="000843D4">
        <w:t>M</w:t>
      </w:r>
      <w:r w:rsidR="002D1CD3" w:rsidRPr="002D1CD3">
        <w:t xml:space="preserve">edical </w:t>
      </w:r>
      <w:r w:rsidR="000843D4">
        <w:t>D</w:t>
      </w:r>
      <w:r w:rsidR="002D1CD3" w:rsidRPr="002D1CD3">
        <w:t>evice</w:t>
      </w:r>
      <w:r w:rsidR="000843D4">
        <w:t xml:space="preserve"> or </w:t>
      </w:r>
      <w:proofErr w:type="spellStart"/>
      <w:r w:rsidR="000843D4">
        <w:t>SiMD</w:t>
      </w:r>
      <w:proofErr w:type="spellEnd"/>
      <w:r w:rsidR="002D1CD3" w:rsidRPr="002D1CD3">
        <w:t>)</w:t>
      </w:r>
      <w:r w:rsidR="000843D4">
        <w:t>,</w:t>
      </w:r>
      <w:r w:rsidR="002D1CD3" w:rsidRPr="002D1CD3">
        <w:t xml:space="preserve"> and software used in the manufacture or </w:t>
      </w:r>
      <w:r>
        <w:t>maintenance of a medical device</w:t>
      </w:r>
      <w:r w:rsidR="002D1CD3">
        <w:t>.</w:t>
      </w:r>
    </w:p>
    <w:p w14:paraId="6AACDEFC" w14:textId="74D87E6A" w:rsidR="000843D4" w:rsidRDefault="000843D4" w:rsidP="002D1CD3">
      <w:r w:rsidRPr="000843D4">
        <w:t>The EU uses the term ‘Medical Device Software (MDSW)’ which it defines as “Medical device software is software that is intended to be used, alone or in combination, for a purpose as specified in the definition of a “medical device” in the medical devices regulation or in vitro diagnostic medical devices regulation</w:t>
      </w:r>
      <w:r>
        <w:t>”</w:t>
      </w:r>
      <w:r w:rsidR="00490A2E">
        <w:t>.</w:t>
      </w:r>
    </w:p>
    <w:p w14:paraId="096ED973" w14:textId="045CC7DA" w:rsidR="005275ED" w:rsidRDefault="00992879" w:rsidP="00D20498">
      <w:pPr>
        <w:rPr>
          <w:rFonts w:ascii="Times New Roman" w:eastAsia="Times New Roman" w:hAnsi="Times New Roman"/>
          <w:b/>
          <w:bCs/>
          <w:color w:val="000000"/>
          <w:sz w:val="24"/>
          <w:szCs w:val="24"/>
          <w:lang w:eastAsia="en-AU"/>
        </w:rPr>
      </w:pPr>
      <w:r w:rsidRPr="00376EE4">
        <w:rPr>
          <w:b/>
        </w:rPr>
        <w:t>Software based</w:t>
      </w:r>
      <w:r w:rsidR="005275ED" w:rsidRPr="00376EE4">
        <w:rPr>
          <w:b/>
        </w:rPr>
        <w:t xml:space="preserve"> devices</w:t>
      </w:r>
      <w:r w:rsidR="00ED346E">
        <w:rPr>
          <w:b/>
        </w:rPr>
        <w:t xml:space="preserve"> </w:t>
      </w:r>
      <w:r w:rsidR="00ED346E" w:rsidRPr="00712FB1">
        <w:t>–</w:t>
      </w:r>
      <w:r w:rsidR="00ED346E" w:rsidRPr="00376EE4">
        <w:t xml:space="preserve"> </w:t>
      </w:r>
      <w:r w:rsidR="00D20498">
        <w:t>This term is used in this guidance to refer to all medical devices that incorporate</w:t>
      </w:r>
      <w:r w:rsidR="00953EDD">
        <w:t xml:space="preserve"> or are</w:t>
      </w:r>
      <w:r w:rsidR="00D20498">
        <w:t xml:space="preserve"> software, </w:t>
      </w:r>
      <w:r w:rsidR="00953EDD">
        <w:t>including SaMD</w:t>
      </w:r>
      <w:r w:rsidR="00D20498">
        <w:t xml:space="preserve"> (Software as a Medical Device) or software that relies on particular hardware to function as intended.</w:t>
      </w:r>
    </w:p>
    <w:p w14:paraId="34E7951A" w14:textId="43EDAF85" w:rsidR="00C775AA" w:rsidRPr="00490A2E" w:rsidRDefault="00CB2E02">
      <w:pPr>
        <w:spacing w:before="0" w:after="0" w:line="240" w:lineRule="auto"/>
      </w:pPr>
      <w:r w:rsidRPr="00376EE4">
        <w:rPr>
          <w:b/>
          <w:lang w:eastAsia="en-AU"/>
        </w:rPr>
        <w:t>Sponsor</w:t>
      </w:r>
      <w:r w:rsidR="00ED346E">
        <w:rPr>
          <w:b/>
          <w:lang w:eastAsia="en-AU"/>
        </w:rPr>
        <w:t xml:space="preserve"> </w:t>
      </w:r>
      <w:r w:rsidR="00ED346E" w:rsidRPr="00712FB1">
        <w:rPr>
          <w:lang w:eastAsia="en-AU"/>
        </w:rPr>
        <w:t>–</w:t>
      </w:r>
      <w:r w:rsidR="00ED346E" w:rsidRPr="00376EE4">
        <w:rPr>
          <w:lang w:eastAsia="en-AU"/>
        </w:rPr>
        <w:t xml:space="preserve"> </w:t>
      </w:r>
      <w:hyperlink r:id="rId64" w:anchor="id_1291" w:history="1">
        <w:r w:rsidR="00ED346E" w:rsidRPr="00376EE4">
          <w:rPr>
            <w:rStyle w:val="Hyperlink"/>
            <w:lang w:eastAsia="en-AU"/>
          </w:rPr>
          <w:t>sponsor of therapeutic goods</w:t>
        </w:r>
      </w:hyperlink>
    </w:p>
    <w:p w14:paraId="334FCDDA" w14:textId="1E99290F" w:rsidR="00C775AA" w:rsidRPr="00376EE4" w:rsidRDefault="00C775AA" w:rsidP="00490A2E">
      <w:pPr>
        <w:pStyle w:val="Heading2"/>
      </w:pPr>
      <w:bookmarkStart w:id="40" w:name="_Classification_Rules"/>
      <w:bookmarkStart w:id="41" w:name="_Ref41575454"/>
      <w:bookmarkStart w:id="42" w:name="_Toc58337159"/>
      <w:bookmarkEnd w:id="40"/>
      <w:r w:rsidRPr="00376EE4">
        <w:t xml:space="preserve">Classification </w:t>
      </w:r>
      <w:r w:rsidR="005C372D">
        <w:t>R</w:t>
      </w:r>
      <w:bookmarkEnd w:id="41"/>
      <w:r w:rsidR="008968BB" w:rsidRPr="00376EE4">
        <w:t>ules</w:t>
      </w:r>
      <w:bookmarkEnd w:id="42"/>
    </w:p>
    <w:p w14:paraId="17990202" w14:textId="582E4B70" w:rsidR="00C775AA" w:rsidRDefault="00C775AA" w:rsidP="00C775AA">
      <w:r>
        <w:t xml:space="preserve">The classification rules can be found in full at schedules 2 and 2A of the </w:t>
      </w:r>
      <w:r w:rsidRPr="00C775AA">
        <w:rPr>
          <w:i/>
        </w:rPr>
        <w:t>Therapeutic Goods (Medical Devices) Regulations 2002</w:t>
      </w:r>
      <w:r w:rsidR="00D26B7B">
        <w:rPr>
          <w:i/>
        </w:rPr>
        <w:t>.</w:t>
      </w:r>
    </w:p>
    <w:p w14:paraId="63EECA16" w14:textId="77777777" w:rsidR="00C775AA" w:rsidRPr="00376EE4" w:rsidRDefault="00C775AA" w:rsidP="00376EE4">
      <w:pPr>
        <w:rPr>
          <w:b/>
        </w:rPr>
      </w:pPr>
      <w:bookmarkStart w:id="43" w:name="_Toc23752700"/>
      <w:bookmarkStart w:id="44" w:name="rule_45"/>
      <w:r w:rsidRPr="00712FB1">
        <w:rPr>
          <w:rStyle w:val="charsectno"/>
          <w:rFonts w:asciiTheme="minorHAnsi" w:hAnsiTheme="minorHAnsi"/>
          <w:b/>
          <w:bCs/>
          <w:color w:val="000000"/>
          <w:szCs w:val="22"/>
        </w:rPr>
        <w:t>4.5</w:t>
      </w:r>
      <w:r w:rsidRPr="00376EE4">
        <w:rPr>
          <w:b/>
        </w:rPr>
        <w:t> Programmed or programmable medical device or software that is a medical device for use in relation to diagnosing or screening for a disease or condition</w:t>
      </w:r>
      <w:bookmarkEnd w:id="43"/>
    </w:p>
    <w:bookmarkEnd w:id="44"/>
    <w:p w14:paraId="5ACB9325" w14:textId="38AAB320" w:rsidR="00C775AA" w:rsidRPr="00376EE4" w:rsidRDefault="00C775AA" w:rsidP="00376EE4">
      <w:pPr>
        <w:pStyle w:val="Numberbullet0"/>
      </w:pPr>
      <w:r w:rsidRPr="00376EE4">
        <w:t>A programmed or programmable medical device, or software that is a medical device, that is intended by the manufacturer to be used to:</w:t>
      </w:r>
    </w:p>
    <w:p w14:paraId="4ED8D486" w14:textId="1D36854E" w:rsidR="00C775AA" w:rsidRPr="00CC260A" w:rsidRDefault="00C775AA" w:rsidP="00920397">
      <w:pPr>
        <w:pStyle w:val="Numberbullet2"/>
      </w:pPr>
      <w:r w:rsidRPr="00CC260A">
        <w:t>provide a diagnosis of a disease or condition; or</w:t>
      </w:r>
    </w:p>
    <w:p w14:paraId="6F5DE99A" w14:textId="7FF53BFC" w:rsidR="00C775AA" w:rsidRPr="00CC260A" w:rsidRDefault="00C775AA" w:rsidP="00920397">
      <w:pPr>
        <w:pStyle w:val="Numberbullet2"/>
      </w:pPr>
      <w:r w:rsidRPr="00CC260A">
        <w:t>screen for a disease or condition;</w:t>
      </w:r>
    </w:p>
    <w:p w14:paraId="00D79962" w14:textId="77777777" w:rsidR="00C775AA" w:rsidRPr="00CC260A" w:rsidRDefault="00C775AA" w:rsidP="00376EE4">
      <w:r w:rsidRPr="00CC260A">
        <w:t>is classified as:</w:t>
      </w:r>
    </w:p>
    <w:p w14:paraId="6A23EF62" w14:textId="7E0B34B2" w:rsidR="00C775AA" w:rsidRPr="00CC260A" w:rsidRDefault="00C775AA" w:rsidP="00920397">
      <w:pPr>
        <w:pStyle w:val="Numberbullet2"/>
      </w:pPr>
      <w:r w:rsidRPr="00CC260A">
        <w:t>in the case of a disease or condition that:</w:t>
      </w:r>
    </w:p>
    <w:p w14:paraId="7FA377F0" w14:textId="5ECC9722" w:rsidR="00C775AA" w:rsidRPr="00CC260A" w:rsidRDefault="00C775AA" w:rsidP="00490A2E">
      <w:pPr>
        <w:pStyle w:val="Numberbullet3"/>
      </w:pPr>
      <w:r w:rsidRPr="00CC260A">
        <w:t>may lead to the death of a person, or a severe deterioration in the state of a person’s health, without urgent treatment; or</w:t>
      </w:r>
    </w:p>
    <w:p w14:paraId="3D3D28B9" w14:textId="41099B4A" w:rsidR="00C775AA" w:rsidRPr="00CC260A" w:rsidRDefault="00C775AA" w:rsidP="00490A2E">
      <w:pPr>
        <w:pStyle w:val="Numberbullet3"/>
      </w:pPr>
      <w:r w:rsidRPr="00CC260A">
        <w:t>may pose a high risk to public health;</w:t>
      </w:r>
    </w:p>
    <w:p w14:paraId="6E5028D5" w14:textId="28972A38" w:rsidR="00C775AA" w:rsidRPr="00CC260A" w:rsidRDefault="00C775AA" w:rsidP="00376EE4">
      <w:r w:rsidRPr="00CC260A">
        <w:t>Class III; or</w:t>
      </w:r>
    </w:p>
    <w:p w14:paraId="143B553D" w14:textId="4A3B72FF" w:rsidR="00C775AA" w:rsidRPr="00CC260A" w:rsidRDefault="00C775AA" w:rsidP="00920397">
      <w:pPr>
        <w:pStyle w:val="Numberbullet2"/>
      </w:pPr>
      <w:r w:rsidRPr="00CC260A">
        <w:t>in the case of a serious disease or serious condition or a disease or condition that may pose a moderate risk to public health, and where paragraph (c) does not apply—Class IIb; or</w:t>
      </w:r>
    </w:p>
    <w:p w14:paraId="4341C154" w14:textId="65B77381" w:rsidR="00C775AA" w:rsidRPr="00CC260A" w:rsidRDefault="00C775AA" w:rsidP="00920397">
      <w:pPr>
        <w:pStyle w:val="Numberbullet2"/>
      </w:pPr>
      <w:r w:rsidRPr="00CC260A">
        <w:t xml:space="preserve">in any other case—Class </w:t>
      </w:r>
      <w:proofErr w:type="spellStart"/>
      <w:r w:rsidRPr="00CC260A">
        <w:t>IIa</w:t>
      </w:r>
      <w:proofErr w:type="spellEnd"/>
      <w:r w:rsidRPr="00CC260A">
        <w:t>.</w:t>
      </w:r>
    </w:p>
    <w:p w14:paraId="4CA287E2" w14:textId="49D71805" w:rsidR="00C775AA" w:rsidRPr="00CC260A" w:rsidRDefault="00C775AA" w:rsidP="00376EE4">
      <w:pPr>
        <w:pStyle w:val="Numberbullet0"/>
      </w:pPr>
      <w:r w:rsidRPr="00CC260A">
        <w:t xml:space="preserve">A programmed or programmable medical device, or software that is a medical device, that is intended by the manufacturer to be used to provide information to a relevant </w:t>
      </w:r>
      <w:r w:rsidRPr="00CC260A">
        <w:lastRenderedPageBreak/>
        <w:t>health professional for the purposes of the health professional making a diagnosis of a disease or condition:</w:t>
      </w:r>
    </w:p>
    <w:p w14:paraId="1243D72D" w14:textId="5BC150D4" w:rsidR="00C775AA" w:rsidRPr="00CC260A" w:rsidRDefault="00C775AA" w:rsidP="00920397">
      <w:pPr>
        <w:pStyle w:val="Numberbullet2"/>
      </w:pPr>
      <w:r w:rsidRPr="00CC260A">
        <w:t>in the case of a disease or condition that:</w:t>
      </w:r>
    </w:p>
    <w:p w14:paraId="4FA2864E" w14:textId="2246CD21" w:rsidR="00C775AA" w:rsidRPr="00CC260A" w:rsidRDefault="00C775AA" w:rsidP="00816E2F">
      <w:pPr>
        <w:pStyle w:val="Numberbullet3"/>
        <w:numPr>
          <w:ilvl w:val="0"/>
          <w:numId w:val="59"/>
        </w:numPr>
        <w:ind w:left="1701" w:hanging="454"/>
      </w:pPr>
      <w:r w:rsidRPr="00CC260A">
        <w:t>may lead to the death of a person, or a severe deterioration in the state of a person’s health, without urgent treatment; or</w:t>
      </w:r>
    </w:p>
    <w:p w14:paraId="29073794" w14:textId="32C8CAE6" w:rsidR="00C775AA" w:rsidRPr="00CC260A" w:rsidRDefault="00C775AA" w:rsidP="00816E2F">
      <w:pPr>
        <w:pStyle w:val="Numberbullet3"/>
        <w:ind w:left="1701"/>
      </w:pPr>
      <w:r w:rsidRPr="00CC260A">
        <w:t>may pose a high risk to public health;</w:t>
      </w:r>
    </w:p>
    <w:p w14:paraId="14EBE90F" w14:textId="36703FF4" w:rsidR="00C775AA" w:rsidRPr="00CC260A" w:rsidRDefault="00C775AA" w:rsidP="00376EE4">
      <w:r w:rsidRPr="00CC260A">
        <w:t>is classified as Class IIb; or</w:t>
      </w:r>
    </w:p>
    <w:p w14:paraId="39589215" w14:textId="0B524A09" w:rsidR="00C775AA" w:rsidRPr="00CC260A" w:rsidRDefault="00C775AA" w:rsidP="00920397">
      <w:pPr>
        <w:pStyle w:val="Numberbullet2"/>
      </w:pPr>
      <w:r w:rsidRPr="00CC260A">
        <w:t xml:space="preserve">in the case of a serious disease or serious condition or a disease or condition that may pose a moderate risk to public health, and where paragraph (a) does not apply—is classified as Class </w:t>
      </w:r>
      <w:proofErr w:type="spellStart"/>
      <w:r w:rsidRPr="00CC260A">
        <w:t>IIa</w:t>
      </w:r>
      <w:proofErr w:type="spellEnd"/>
      <w:r w:rsidRPr="00CC260A">
        <w:t>; or</w:t>
      </w:r>
    </w:p>
    <w:p w14:paraId="15E8FADC" w14:textId="6EEEFF4D" w:rsidR="00C775AA" w:rsidRPr="00CC260A" w:rsidRDefault="00C775AA" w:rsidP="00920397">
      <w:pPr>
        <w:pStyle w:val="Numberbullet2"/>
      </w:pPr>
      <w:r w:rsidRPr="00CC260A">
        <w:t>in any other case—is classified as Class I.</w:t>
      </w:r>
    </w:p>
    <w:p w14:paraId="25EC8B7C" w14:textId="4611CBEA" w:rsidR="00C775AA" w:rsidRPr="00376EE4" w:rsidRDefault="00C775AA" w:rsidP="00376EE4">
      <w:pPr>
        <w:rPr>
          <w:b/>
        </w:rPr>
      </w:pPr>
      <w:bookmarkStart w:id="45" w:name="_Toc23752701"/>
      <w:bookmarkStart w:id="46" w:name="rule_46"/>
      <w:r w:rsidRPr="00712FB1">
        <w:rPr>
          <w:rStyle w:val="charsectno"/>
          <w:rFonts w:asciiTheme="minorHAnsi" w:hAnsiTheme="minorHAnsi"/>
          <w:b/>
          <w:bCs/>
          <w:color w:val="000000"/>
          <w:szCs w:val="22"/>
        </w:rPr>
        <w:t>4.6</w:t>
      </w:r>
      <w:bookmarkEnd w:id="45"/>
      <w:r w:rsidRPr="00376EE4">
        <w:rPr>
          <w:b/>
        </w:rPr>
        <w:t> Programmed or programmable medical device or software that is a medical device for use for monitoring the state or progression of a disease or condition etc.</w:t>
      </w:r>
    </w:p>
    <w:bookmarkEnd w:id="46"/>
    <w:p w14:paraId="7EAFEB69" w14:textId="0F8042D9" w:rsidR="00C775AA" w:rsidRPr="00CC260A" w:rsidRDefault="00C775AA" w:rsidP="00376EE4">
      <w:r w:rsidRPr="00CC260A">
        <w:t>A programmed or programmable medical device, or software that is a medical device, that is intended by the manufacturer to be used to provide information that is to be used for monitoring the state or progression of a disease or condition of a person or the parameters in relation to a person:</w:t>
      </w:r>
    </w:p>
    <w:p w14:paraId="3DE71368" w14:textId="3FAE3A03" w:rsidR="00C775AA" w:rsidRPr="00CC260A" w:rsidRDefault="00C775AA" w:rsidP="00920397">
      <w:pPr>
        <w:pStyle w:val="Numberbullet2"/>
        <w:numPr>
          <w:ilvl w:val="1"/>
          <w:numId w:val="60"/>
        </w:numPr>
      </w:pPr>
      <w:r w:rsidRPr="00CC260A">
        <w:t>in the case where the information to be provided could indicate that the person or another person may be in immediate danger or that there may be a high risk to public health—is classified as Class IIb; or</w:t>
      </w:r>
    </w:p>
    <w:p w14:paraId="64E044C9" w14:textId="19F46813" w:rsidR="00C775AA" w:rsidRPr="00CC260A" w:rsidRDefault="00C775AA" w:rsidP="00816E2F">
      <w:pPr>
        <w:pStyle w:val="Numberbullet2"/>
        <w:ind w:left="851"/>
      </w:pPr>
      <w:r w:rsidRPr="00CC260A">
        <w:t xml:space="preserve">in the case where the information to be provided could indicate that the person or another person may be in other danger or that there may be a moderate risk to public health—is classified as Class </w:t>
      </w:r>
      <w:proofErr w:type="spellStart"/>
      <w:r w:rsidRPr="00CC260A">
        <w:t>IIa</w:t>
      </w:r>
      <w:proofErr w:type="spellEnd"/>
      <w:r w:rsidRPr="00CC260A">
        <w:t>; or</w:t>
      </w:r>
    </w:p>
    <w:p w14:paraId="0ABBC237" w14:textId="5049525B" w:rsidR="00C775AA" w:rsidRPr="00CC260A" w:rsidRDefault="00C775AA" w:rsidP="00816E2F">
      <w:pPr>
        <w:pStyle w:val="Numberbullet2"/>
        <w:ind w:left="851"/>
      </w:pPr>
      <w:r w:rsidRPr="00CC260A">
        <w:t>in any other case—is classified as Class I.</w:t>
      </w:r>
    </w:p>
    <w:p w14:paraId="601680BC" w14:textId="27275943" w:rsidR="00C775AA" w:rsidRPr="00376EE4" w:rsidRDefault="00C775AA" w:rsidP="00376EE4">
      <w:pPr>
        <w:rPr>
          <w:b/>
        </w:rPr>
      </w:pPr>
      <w:bookmarkStart w:id="47" w:name="_Toc23752702"/>
      <w:bookmarkStart w:id="48" w:name="rule_47"/>
      <w:r w:rsidRPr="00712FB1">
        <w:rPr>
          <w:rStyle w:val="charsectno"/>
          <w:rFonts w:asciiTheme="minorHAnsi" w:hAnsiTheme="minorHAnsi"/>
          <w:b/>
          <w:bCs/>
          <w:color w:val="000000"/>
          <w:szCs w:val="22"/>
        </w:rPr>
        <w:t>4.7</w:t>
      </w:r>
      <w:r w:rsidR="00490A2E">
        <w:rPr>
          <w:b/>
        </w:rPr>
        <w:t> </w:t>
      </w:r>
      <w:r w:rsidRPr="00376EE4">
        <w:rPr>
          <w:b/>
        </w:rPr>
        <w:t>Programmed or programmable medical device or software that is a medical device for use in specifying or recommending treatment or intervention</w:t>
      </w:r>
      <w:bookmarkEnd w:id="47"/>
      <w:bookmarkEnd w:id="48"/>
    </w:p>
    <w:p w14:paraId="5A559472" w14:textId="27E94267" w:rsidR="00C775AA" w:rsidRPr="00CC260A" w:rsidRDefault="00C775AA" w:rsidP="00376EE4">
      <w:pPr>
        <w:pStyle w:val="Numberbullet0"/>
        <w:numPr>
          <w:ilvl w:val="0"/>
          <w:numId w:val="61"/>
        </w:numPr>
      </w:pPr>
      <w:r w:rsidRPr="00CC260A">
        <w:t>Subject to subclause (2), a programmed or programmable medical device, or software that is a medical device, that is intended by the manufacturer to be used to specify or recommend a treatment or intervention:</w:t>
      </w:r>
    </w:p>
    <w:p w14:paraId="202CC5B0" w14:textId="3AA53EFD" w:rsidR="00C775AA" w:rsidRPr="00CC260A" w:rsidRDefault="00C775AA" w:rsidP="00920397">
      <w:pPr>
        <w:pStyle w:val="Numberbullet2"/>
      </w:pPr>
      <w:r w:rsidRPr="00CC260A">
        <w:t>in the case where the absence of the treatment or intervention or where the treatment or intervention itself:</w:t>
      </w:r>
    </w:p>
    <w:p w14:paraId="70A8B678" w14:textId="4ECE81ED" w:rsidR="00C775AA" w:rsidRPr="00CC260A" w:rsidRDefault="00C775AA" w:rsidP="00EF7954">
      <w:pPr>
        <w:pStyle w:val="Numberbullet3"/>
        <w:numPr>
          <w:ilvl w:val="0"/>
          <w:numId w:val="62"/>
        </w:numPr>
        <w:ind w:left="1560" w:hanging="426"/>
      </w:pPr>
      <w:r w:rsidRPr="00CC260A">
        <w:t>may lead to the death of a person or a severe deterioration in the state of a person’s health; or</w:t>
      </w:r>
    </w:p>
    <w:p w14:paraId="136D0904" w14:textId="635B4054" w:rsidR="00C775AA" w:rsidRPr="00CC260A" w:rsidRDefault="00C775AA" w:rsidP="00EF7954">
      <w:pPr>
        <w:pStyle w:val="Numberbullet3"/>
        <w:ind w:left="1560" w:hanging="425"/>
      </w:pPr>
      <w:r w:rsidRPr="00CC260A">
        <w:t>may pose a high risk to public health;</w:t>
      </w:r>
    </w:p>
    <w:p w14:paraId="58FF95D3" w14:textId="3C873103" w:rsidR="00C775AA" w:rsidRPr="00CC260A" w:rsidRDefault="00C775AA" w:rsidP="00EF7954">
      <w:pPr>
        <w:ind w:left="1560"/>
      </w:pPr>
      <w:r w:rsidRPr="00CC260A">
        <w:t>is classified as Class III; or</w:t>
      </w:r>
    </w:p>
    <w:p w14:paraId="6023A268" w14:textId="3EBFD18C" w:rsidR="00C775AA" w:rsidRPr="00CC260A" w:rsidRDefault="00C775AA" w:rsidP="00920397">
      <w:pPr>
        <w:pStyle w:val="Numberbullet2"/>
      </w:pPr>
      <w:r w:rsidRPr="00CC260A">
        <w:t>in the case where the absence of the treatment or intervention or where the treatment or intervention itself:</w:t>
      </w:r>
    </w:p>
    <w:p w14:paraId="521A590E" w14:textId="5FD6CB70" w:rsidR="00C775AA" w:rsidRPr="00CC260A" w:rsidRDefault="00C775AA" w:rsidP="00EF7954">
      <w:pPr>
        <w:pStyle w:val="Numberbullet3"/>
        <w:numPr>
          <w:ilvl w:val="0"/>
          <w:numId w:val="63"/>
        </w:numPr>
        <w:ind w:left="1560" w:hanging="454"/>
      </w:pPr>
      <w:r w:rsidRPr="00CC260A">
        <w:t>may otherwise be harmful to a person; or</w:t>
      </w:r>
    </w:p>
    <w:p w14:paraId="57D74FCB" w14:textId="25C28F34" w:rsidR="00C775AA" w:rsidRPr="00CC260A" w:rsidRDefault="00C775AA" w:rsidP="00EF7954">
      <w:pPr>
        <w:pStyle w:val="Numberbullet3"/>
        <w:ind w:left="1560"/>
      </w:pPr>
      <w:r w:rsidRPr="00CC260A">
        <w:t>may pose a moderate risk to public health;</w:t>
      </w:r>
    </w:p>
    <w:p w14:paraId="7A1CF330" w14:textId="65714BBB" w:rsidR="00C775AA" w:rsidRPr="00CC260A" w:rsidRDefault="00C775AA" w:rsidP="00EF7954">
      <w:pPr>
        <w:ind w:left="1560"/>
      </w:pPr>
      <w:r w:rsidRPr="00CC260A">
        <w:t>is classified as Class IIb; or</w:t>
      </w:r>
    </w:p>
    <w:p w14:paraId="43AA6D7A" w14:textId="33FC9675" w:rsidR="00C775AA" w:rsidRPr="00CC260A" w:rsidRDefault="00C775AA" w:rsidP="00920397">
      <w:pPr>
        <w:pStyle w:val="Numberbullet2"/>
      </w:pPr>
      <w:r w:rsidRPr="00CC260A">
        <w:lastRenderedPageBreak/>
        <w:t xml:space="preserve">in any other case—is classified as Class </w:t>
      </w:r>
      <w:proofErr w:type="spellStart"/>
      <w:r w:rsidRPr="00CC260A">
        <w:t>IIa</w:t>
      </w:r>
      <w:proofErr w:type="spellEnd"/>
      <w:r w:rsidRPr="00CC260A">
        <w:t>.</w:t>
      </w:r>
    </w:p>
    <w:p w14:paraId="7C36B0AB" w14:textId="7C24D4CD" w:rsidR="00C775AA" w:rsidRPr="00CC260A" w:rsidRDefault="00C775AA" w:rsidP="00376EE4">
      <w:pPr>
        <w:pStyle w:val="Numberbullet0"/>
      </w:pPr>
      <w:r w:rsidRPr="00CC260A">
        <w:t>A programmed or programmable medical device, or software that is a medical device, that is intended by the manufacturer to be used to recommend a treatment or intervention (the </w:t>
      </w:r>
      <w:r w:rsidRPr="00CC260A">
        <w:rPr>
          <w:b/>
          <w:bCs/>
          <w:i/>
          <w:iCs/>
        </w:rPr>
        <w:t>recommended treatment or intervention</w:t>
      </w:r>
      <w:r w:rsidRPr="00CC260A">
        <w:t>) to a relevant health professional for the purposes of the health professional making a decision about the treatment or intervention:</w:t>
      </w:r>
    </w:p>
    <w:p w14:paraId="592477AC" w14:textId="2C04B58F" w:rsidR="00C775AA" w:rsidRPr="00CC260A" w:rsidRDefault="00C775AA" w:rsidP="00920397">
      <w:pPr>
        <w:pStyle w:val="Numberbullet2"/>
      </w:pPr>
      <w:r w:rsidRPr="00CC260A">
        <w:t>in the case where the absence of the recommended treatment or intervention or where the recommended treatment or intervention itself:</w:t>
      </w:r>
    </w:p>
    <w:p w14:paraId="670FDC85" w14:textId="4BB5F6CE" w:rsidR="00C775AA" w:rsidRPr="00CC260A" w:rsidRDefault="00C775AA" w:rsidP="00EF7954">
      <w:pPr>
        <w:pStyle w:val="Numberbullet3"/>
        <w:numPr>
          <w:ilvl w:val="0"/>
          <w:numId w:val="64"/>
        </w:numPr>
        <w:ind w:left="1701" w:hanging="454"/>
      </w:pPr>
      <w:r w:rsidRPr="00CC260A">
        <w:t>may lead to the death of a person or a severe deterioration in the state of a person’s health; or</w:t>
      </w:r>
    </w:p>
    <w:p w14:paraId="668BCEC1" w14:textId="4AF14FB7" w:rsidR="00C775AA" w:rsidRPr="00CC260A" w:rsidRDefault="00C775AA" w:rsidP="00EF7954">
      <w:pPr>
        <w:pStyle w:val="Numberbullet3"/>
        <w:ind w:left="1701"/>
      </w:pPr>
      <w:r w:rsidRPr="00CC260A">
        <w:t>may pose a high risk to public health;</w:t>
      </w:r>
    </w:p>
    <w:p w14:paraId="1C87A64B" w14:textId="4A706AD9" w:rsidR="00C775AA" w:rsidRPr="00CC260A" w:rsidRDefault="00C775AA" w:rsidP="00EF7954">
      <w:pPr>
        <w:ind w:left="1701"/>
      </w:pPr>
      <w:r w:rsidRPr="00CC260A">
        <w:t>is classified as Class IIb; or</w:t>
      </w:r>
    </w:p>
    <w:p w14:paraId="1B035F78" w14:textId="268C06E2" w:rsidR="00C775AA" w:rsidRPr="00CC260A" w:rsidRDefault="00C775AA" w:rsidP="00920397">
      <w:pPr>
        <w:pStyle w:val="Numberbullet2"/>
      </w:pPr>
      <w:r w:rsidRPr="00CC260A">
        <w:t>in the case where the absence of the recommended treatment or intervention or where the recommended treatment or intervention itself:</w:t>
      </w:r>
    </w:p>
    <w:p w14:paraId="6B72385C" w14:textId="64F0D90D" w:rsidR="00C775AA" w:rsidRPr="00CC260A" w:rsidRDefault="00C775AA" w:rsidP="00EF7954">
      <w:pPr>
        <w:pStyle w:val="Numberbullet3"/>
        <w:numPr>
          <w:ilvl w:val="0"/>
          <w:numId w:val="65"/>
        </w:numPr>
        <w:ind w:left="1701" w:hanging="454"/>
      </w:pPr>
      <w:r w:rsidRPr="00CC260A">
        <w:t>may otherwise be harmful to a person; or</w:t>
      </w:r>
    </w:p>
    <w:p w14:paraId="17E9235A" w14:textId="1D3BDEE8" w:rsidR="00C775AA" w:rsidRPr="00CC260A" w:rsidRDefault="00C775AA" w:rsidP="00EF7954">
      <w:pPr>
        <w:pStyle w:val="Numberbullet3"/>
        <w:ind w:left="1701"/>
      </w:pPr>
      <w:r w:rsidRPr="00CC260A">
        <w:t>may pose a moderate risk to public health;</w:t>
      </w:r>
    </w:p>
    <w:p w14:paraId="65FDE5F8" w14:textId="247BC9EA" w:rsidR="00C775AA" w:rsidRPr="00CC260A" w:rsidRDefault="00C775AA" w:rsidP="00EF7954">
      <w:pPr>
        <w:ind w:left="1701"/>
      </w:pPr>
      <w:r w:rsidRPr="00CC260A">
        <w:t xml:space="preserve">is classified as Class </w:t>
      </w:r>
      <w:proofErr w:type="spellStart"/>
      <w:r w:rsidRPr="00CC260A">
        <w:t>IIa</w:t>
      </w:r>
      <w:proofErr w:type="spellEnd"/>
      <w:r w:rsidRPr="00CC260A">
        <w:t>; or</w:t>
      </w:r>
    </w:p>
    <w:p w14:paraId="586C56B9" w14:textId="039547B0" w:rsidR="00C775AA" w:rsidRPr="00CC260A" w:rsidRDefault="00C775AA" w:rsidP="00920397">
      <w:pPr>
        <w:pStyle w:val="Numberbullet2"/>
      </w:pPr>
      <w:r w:rsidRPr="00CC260A">
        <w:t>in any other case—is classified as Class I.</w:t>
      </w:r>
    </w:p>
    <w:p w14:paraId="4F47EC2B" w14:textId="6FA33460" w:rsidR="00C775AA" w:rsidRPr="00376EE4" w:rsidRDefault="00C775AA" w:rsidP="00376EE4">
      <w:pPr>
        <w:rPr>
          <w:b/>
        </w:rPr>
      </w:pPr>
      <w:bookmarkStart w:id="49" w:name="_Toc23752703"/>
      <w:bookmarkStart w:id="50" w:name="rule_48"/>
      <w:r w:rsidRPr="00712FB1">
        <w:rPr>
          <w:rStyle w:val="charsectno"/>
          <w:rFonts w:asciiTheme="minorHAnsi" w:hAnsiTheme="minorHAnsi"/>
          <w:b/>
          <w:bCs/>
          <w:color w:val="000000"/>
          <w:szCs w:val="22"/>
        </w:rPr>
        <w:t>4.8</w:t>
      </w:r>
      <w:r w:rsidR="00920397">
        <w:rPr>
          <w:b/>
        </w:rPr>
        <w:t> </w:t>
      </w:r>
      <w:r w:rsidRPr="00376EE4">
        <w:rPr>
          <w:b/>
        </w:rPr>
        <w:t>Programmed or programmable medical device or software that is a medical device that is to provide therapy to a person through the provision of information</w:t>
      </w:r>
      <w:bookmarkEnd w:id="49"/>
      <w:bookmarkEnd w:id="50"/>
    </w:p>
    <w:p w14:paraId="153C1C38" w14:textId="50134BFC" w:rsidR="00C775AA" w:rsidRPr="00CC260A" w:rsidRDefault="00C775AA" w:rsidP="00376EE4">
      <w:r w:rsidRPr="00CC260A">
        <w:t>A programmed or programmable medical device, or software that is a medical device, that is intended by the manufacturer to provide therapy to a person through the provision of information to the person:</w:t>
      </w:r>
    </w:p>
    <w:p w14:paraId="3E1347B7" w14:textId="0F56DD37" w:rsidR="00C775AA" w:rsidRPr="00CC260A" w:rsidRDefault="00C775AA" w:rsidP="00920397">
      <w:pPr>
        <w:pStyle w:val="Numberbullet2"/>
        <w:numPr>
          <w:ilvl w:val="1"/>
          <w:numId w:val="66"/>
        </w:numPr>
      </w:pPr>
      <w:r w:rsidRPr="00CC260A">
        <w:t>in the case of therapy that may result in the death of the person or a severe deterioration in the state of the person’s health—is classified as Class III; or</w:t>
      </w:r>
    </w:p>
    <w:p w14:paraId="04B31A3D" w14:textId="12713238" w:rsidR="00C775AA" w:rsidRPr="00CC260A" w:rsidRDefault="00C775AA" w:rsidP="00EF7954">
      <w:pPr>
        <w:pStyle w:val="Numberbullet2"/>
        <w:ind w:left="851"/>
      </w:pPr>
      <w:r w:rsidRPr="00CC260A">
        <w:t>in the case of therapy that may cause serious harm to the person and where paragraph (a) does not apply—is classified as Class IIb; or</w:t>
      </w:r>
    </w:p>
    <w:p w14:paraId="66025912" w14:textId="1BA03A67" w:rsidR="00C775AA" w:rsidRPr="00CC260A" w:rsidRDefault="00C775AA" w:rsidP="00EF7954">
      <w:pPr>
        <w:pStyle w:val="Numberbullet2"/>
        <w:ind w:left="851"/>
      </w:pPr>
      <w:r w:rsidRPr="00CC260A">
        <w:t xml:space="preserve">in the case of therapy that may cause harm to the person and where neither paragraph (a) nor (b) applies—is classified as Class </w:t>
      </w:r>
      <w:proofErr w:type="spellStart"/>
      <w:r w:rsidRPr="00CC260A">
        <w:t>IIa</w:t>
      </w:r>
      <w:proofErr w:type="spellEnd"/>
      <w:r w:rsidRPr="00CC260A">
        <w:t>; or</w:t>
      </w:r>
    </w:p>
    <w:p w14:paraId="031FE940" w14:textId="6CED53C3" w:rsidR="00C775AA" w:rsidRPr="00CC260A" w:rsidRDefault="00C775AA" w:rsidP="00EF7954">
      <w:pPr>
        <w:pStyle w:val="Numberbullet2"/>
        <w:ind w:left="851"/>
      </w:pPr>
      <w:r w:rsidRPr="00CC260A">
        <w:t>in any other case—is classified as Class I.</w:t>
      </w:r>
    </w:p>
    <w:p w14:paraId="1A818D8F" w14:textId="654D90C7" w:rsidR="00A95FF7" w:rsidRPr="00376EE4" w:rsidRDefault="008968BB">
      <w:pPr>
        <w:pStyle w:val="Heading2"/>
      </w:pPr>
      <w:bookmarkStart w:id="51" w:name="_Essential_Principles"/>
      <w:bookmarkStart w:id="52" w:name="_Toc58337160"/>
      <w:bookmarkEnd w:id="51"/>
      <w:r w:rsidRPr="00376EE4">
        <w:t>Essential P</w:t>
      </w:r>
      <w:r w:rsidR="00C775AA" w:rsidRPr="00376EE4">
        <w:t>rinciples</w:t>
      </w:r>
      <w:bookmarkEnd w:id="52"/>
    </w:p>
    <w:p w14:paraId="772066DC" w14:textId="77A6457C" w:rsidR="00C775AA" w:rsidRPr="00C775AA" w:rsidRDefault="00C775AA" w:rsidP="00C775AA">
      <w:r>
        <w:t xml:space="preserve">The essential principles can be found in full at schedule 1 of the </w:t>
      </w:r>
      <w:r w:rsidRPr="00C775AA">
        <w:rPr>
          <w:i/>
        </w:rPr>
        <w:t>Therapeutic Goods (Medical Devices) Regulations 2002</w:t>
      </w:r>
      <w:r>
        <w:rPr>
          <w:i/>
        </w:rPr>
        <w:t>.</w:t>
      </w:r>
    </w:p>
    <w:p w14:paraId="311703CD" w14:textId="6BB7FF5A" w:rsidR="00097921" w:rsidRPr="00376EE4" w:rsidRDefault="00097921" w:rsidP="00376EE4">
      <w:pPr>
        <w:rPr>
          <w:b/>
        </w:rPr>
      </w:pPr>
      <w:bookmarkStart w:id="53" w:name="_Toc23752706"/>
      <w:r w:rsidRPr="00712FB1">
        <w:rPr>
          <w:rStyle w:val="charsectno"/>
          <w:rFonts w:asciiTheme="minorHAnsi" w:hAnsiTheme="minorHAnsi"/>
          <w:b/>
          <w:bCs/>
          <w:color w:val="000000"/>
          <w:szCs w:val="22"/>
        </w:rPr>
        <w:t>12.1</w:t>
      </w:r>
      <w:r w:rsidR="004300F4" w:rsidRPr="00712FB1">
        <w:rPr>
          <w:b/>
        </w:rPr>
        <w:t> Programmed</w:t>
      </w:r>
      <w:r w:rsidRPr="00376EE4">
        <w:rPr>
          <w:b/>
        </w:rPr>
        <w:t xml:space="preserve"> or programmable medical device or software that is a medical device</w:t>
      </w:r>
      <w:bookmarkEnd w:id="53"/>
    </w:p>
    <w:p w14:paraId="5AF9AF4E" w14:textId="0BA066F2" w:rsidR="00097921" w:rsidRPr="00CC260A" w:rsidRDefault="00097921" w:rsidP="00376EE4">
      <w:pPr>
        <w:pStyle w:val="Numberbullet0"/>
        <w:numPr>
          <w:ilvl w:val="0"/>
          <w:numId w:val="69"/>
        </w:numPr>
      </w:pPr>
      <w:r w:rsidRPr="00CC260A">
        <w:t>A programmed or programmable medical device, or software that is a medical device, that is intended to make use of either or both of data and information must be designed and produced in a way that ensures that:</w:t>
      </w:r>
    </w:p>
    <w:p w14:paraId="37C72964" w14:textId="239A10DB" w:rsidR="00097921" w:rsidRPr="00CC260A" w:rsidRDefault="00097921" w:rsidP="00920397">
      <w:pPr>
        <w:pStyle w:val="Numberbullet2"/>
        <w:numPr>
          <w:ilvl w:val="1"/>
          <w:numId w:val="67"/>
        </w:numPr>
      </w:pPr>
      <w:r w:rsidRPr="00CC260A">
        <w:t>the safety, performance, reliability, accuracy, precision, useability, security and repeatability of the device are appropriate for the intended purpose of the device; and</w:t>
      </w:r>
    </w:p>
    <w:p w14:paraId="6E8BA3F0" w14:textId="616EE5A9" w:rsidR="00097921" w:rsidRPr="00CC260A" w:rsidRDefault="00097921" w:rsidP="00920397">
      <w:pPr>
        <w:pStyle w:val="Numberbullet2"/>
      </w:pPr>
      <w:r w:rsidRPr="00CC260A">
        <w:lastRenderedPageBreak/>
        <w:t>any consequent risks, or impairment of performance, associated with one or more fault conditions is eliminated or appropriately reduced; and</w:t>
      </w:r>
    </w:p>
    <w:p w14:paraId="7E1D1A61" w14:textId="766D6593" w:rsidR="00097921" w:rsidRPr="00CC260A" w:rsidRDefault="00097921" w:rsidP="00920397">
      <w:pPr>
        <w:pStyle w:val="Numberbullet2"/>
      </w:pPr>
      <w:r w:rsidRPr="00CC260A">
        <w:t>the device is resilient with respect to interactions that could occur during the use of the device and that could result in unsafe performance of the device; and</w:t>
      </w:r>
    </w:p>
    <w:p w14:paraId="3D8A0688" w14:textId="2359019D" w:rsidR="00097921" w:rsidRPr="00CC260A" w:rsidRDefault="00097921" w:rsidP="00920397">
      <w:pPr>
        <w:pStyle w:val="Numberbullet2"/>
      </w:pPr>
      <w:r w:rsidRPr="00CC260A">
        <w:t>if relevant to the safety of a patient, or the safety and health of the user or any other person, the device provides suitable warnings in a timely manner:</w:t>
      </w:r>
    </w:p>
    <w:p w14:paraId="73295CA8" w14:textId="41FE5F45" w:rsidR="00097921" w:rsidRPr="00CC260A" w:rsidRDefault="00097921" w:rsidP="00920397">
      <w:pPr>
        <w:pStyle w:val="Numberbullet3"/>
        <w:numPr>
          <w:ilvl w:val="0"/>
          <w:numId w:val="68"/>
        </w:numPr>
        <w:ind w:left="1701" w:hanging="426"/>
      </w:pPr>
      <w:r w:rsidRPr="00CC260A">
        <w:t>following the disruption to services upon which the device is dependent for the device’s operation; and</w:t>
      </w:r>
    </w:p>
    <w:p w14:paraId="14D47D4A" w14:textId="5699A6A4" w:rsidR="00097921" w:rsidRPr="00CC260A" w:rsidRDefault="00097921" w:rsidP="00920397">
      <w:pPr>
        <w:pStyle w:val="Numberbullet3"/>
        <w:ind w:left="1701" w:hanging="426"/>
      </w:pPr>
      <w:r w:rsidRPr="00CC260A">
        <w:t>following the performance of the device being adversely affected; and</w:t>
      </w:r>
    </w:p>
    <w:p w14:paraId="36D734DC" w14:textId="51BDDF62" w:rsidR="00097921" w:rsidRPr="00CC260A" w:rsidRDefault="00097921" w:rsidP="00920397">
      <w:pPr>
        <w:pStyle w:val="Numberbullet2"/>
      </w:pPr>
      <w:r w:rsidRPr="00CC260A">
        <w:t>if relevant to the safety of a patient, or the safety and health of the user or any other person, the device provides a means by which the user can verify correct operation of the device; and</w:t>
      </w:r>
    </w:p>
    <w:p w14:paraId="79139F81" w14:textId="7C2F8B3D" w:rsidR="00097921" w:rsidRPr="00CC260A" w:rsidRDefault="00097921" w:rsidP="00920397">
      <w:pPr>
        <w:pStyle w:val="Numberbullet2"/>
      </w:pPr>
      <w:r w:rsidRPr="00CC260A">
        <w:t>if relevant to the safety of a patient, or the safety and health of the user or any other person, the integrity and quality of the data or information is maintained; and</w:t>
      </w:r>
    </w:p>
    <w:p w14:paraId="00DB11ED" w14:textId="46FD9ECB" w:rsidR="00097921" w:rsidRPr="00CC260A" w:rsidRDefault="00097921" w:rsidP="00920397">
      <w:pPr>
        <w:pStyle w:val="Numberbullet2"/>
      </w:pPr>
      <w:r w:rsidRPr="00CC260A">
        <w:t>if relevant, the privacy of the data or information is maintained.</w:t>
      </w:r>
    </w:p>
    <w:p w14:paraId="6F4B6086" w14:textId="4136FE4E" w:rsidR="00097921" w:rsidRPr="00CC260A" w:rsidRDefault="00097921" w:rsidP="00376EE4">
      <w:pPr>
        <w:pStyle w:val="Numberbullet0"/>
      </w:pPr>
      <w:r w:rsidRPr="00CC260A">
        <w:t>A programmed or programmable medical device, or software that is a medical device, must be developed, produced and maintained having regard to the generally acknowledged state of the art (including for design, development life cycle, development environment, version control, quality and risk management, security, verification and validation, change and configuration management and problem resolution).</w:t>
      </w:r>
    </w:p>
    <w:p w14:paraId="39C2F40F" w14:textId="75C6CBD3" w:rsidR="00097921" w:rsidRPr="00CC260A" w:rsidRDefault="00097921" w:rsidP="00376EE4">
      <w:pPr>
        <w:pStyle w:val="Numberbullet0"/>
      </w:pPr>
      <w:r w:rsidRPr="00CC260A">
        <w:t>A programmed or programmable medical device, or software that is a medical device, that is intended to be used in combination with computing platforms must be designed and developed taking into account the capability, resources and configuration of the platforms and the external factors (including information technology environments) related to the use of the platforms.</w:t>
      </w:r>
    </w:p>
    <w:p w14:paraId="0719C0BD" w14:textId="7092AD94" w:rsidR="00097921" w:rsidRPr="00CC260A" w:rsidRDefault="00097921" w:rsidP="00376EE4">
      <w:pPr>
        <w:pStyle w:val="Numberbullet0"/>
      </w:pPr>
      <w:r w:rsidRPr="00CC260A">
        <w:t>The manufacturer of a programmed or programmable medical device, or software that is a medical device, must provide instructions or information with the device that sets out requirements (including requirements about hardware, software, information technology environments and security measures) necessary to operate the device as intended.</w:t>
      </w:r>
    </w:p>
    <w:p w14:paraId="0203CB9C" w14:textId="4D3E3B8C" w:rsidR="00097921" w:rsidRPr="00CC260A" w:rsidRDefault="00097921" w:rsidP="00376EE4">
      <w:pPr>
        <w:pStyle w:val="Numberbullet0"/>
      </w:pPr>
      <w:r w:rsidRPr="00CC260A">
        <w:t>A programmed or programmable medical device, or software that is a medical device, must be designed, produced and maintained with regard to best practice in relation to software, security and engineering to provide cybersecurity of the device, including where appropriate the following:</w:t>
      </w:r>
    </w:p>
    <w:p w14:paraId="66A6D4F2" w14:textId="677F48B7" w:rsidR="00097921" w:rsidRPr="00CC260A" w:rsidRDefault="00097921" w:rsidP="00920397">
      <w:pPr>
        <w:pStyle w:val="Numberbullet2"/>
      </w:pPr>
      <w:r w:rsidRPr="00CC260A">
        <w:t>protection against unauthorised access, unauthorised influence or unauthorised manipulation;</w:t>
      </w:r>
    </w:p>
    <w:p w14:paraId="29442760" w14:textId="19159309" w:rsidR="00097921" w:rsidRPr="00CC260A" w:rsidRDefault="00097921" w:rsidP="00920397">
      <w:pPr>
        <w:pStyle w:val="Numberbullet2"/>
      </w:pPr>
      <w:r w:rsidRPr="00CC260A">
        <w:t>minimisation of risks associated with known cybersecurity vulnerabilities (including either or both of remediation of known vulnerabilities and application of compensating controls);</w:t>
      </w:r>
    </w:p>
    <w:p w14:paraId="36A76817" w14:textId="6BB69217" w:rsidR="00097921" w:rsidRPr="00CC260A" w:rsidRDefault="00097921" w:rsidP="00920397">
      <w:pPr>
        <w:pStyle w:val="Numberbullet2"/>
      </w:pPr>
      <w:r w:rsidRPr="00CC260A">
        <w:t>facilitation of the application of updates, patches, compensating controls and other improvements;</w:t>
      </w:r>
    </w:p>
    <w:p w14:paraId="4F510881" w14:textId="560F63AE" w:rsidR="00097921" w:rsidRPr="00CC260A" w:rsidRDefault="00097921" w:rsidP="00920397">
      <w:pPr>
        <w:pStyle w:val="Numberbullet2"/>
      </w:pPr>
      <w:r w:rsidRPr="00CC260A">
        <w:t>disclosure of known vulnerabilities in the device or its components and associated mitigations;</w:t>
      </w:r>
    </w:p>
    <w:p w14:paraId="72C02802" w14:textId="276FF6A2" w:rsidR="00097921" w:rsidRPr="00CC260A" w:rsidRDefault="00097921" w:rsidP="00920397">
      <w:pPr>
        <w:pStyle w:val="Numberbullet2"/>
      </w:pPr>
      <w:r w:rsidRPr="00CC260A">
        <w:lastRenderedPageBreak/>
        <w:t>making available sufficient information for a user to make decisions with respect to the safety of applying, or not applying, updates, patches, compensating controls and other improvements.</w:t>
      </w:r>
    </w:p>
    <w:p w14:paraId="50CBCB30" w14:textId="0D557853" w:rsidR="00097921" w:rsidRPr="00CC260A" w:rsidRDefault="00097921" w:rsidP="00376EE4">
      <w:pPr>
        <w:pStyle w:val="Numberbullet0"/>
      </w:pPr>
      <w:r w:rsidRPr="00CC260A">
        <w:t>The manufacturer of a programmed or programmable medical device, or software that is a medical device, having regard to the intended purpose of the device, the generally acknowledged state of the art and best practice, must ensure that the data that influences the performance of the device is:</w:t>
      </w:r>
    </w:p>
    <w:p w14:paraId="353ED105" w14:textId="22F5C8F8" w:rsidR="00097921" w:rsidRPr="00920397" w:rsidRDefault="00097921" w:rsidP="00920397">
      <w:pPr>
        <w:pStyle w:val="Numberbullet2"/>
      </w:pPr>
      <w:r w:rsidRPr="00CC260A">
        <w:t>re</w:t>
      </w:r>
      <w:r w:rsidRPr="00920397">
        <w:t>presentative; and</w:t>
      </w:r>
    </w:p>
    <w:p w14:paraId="45E58BD3" w14:textId="035F5BD3" w:rsidR="00097921" w:rsidRPr="00920397" w:rsidRDefault="00097921" w:rsidP="00920397">
      <w:pPr>
        <w:pStyle w:val="Numberbullet2"/>
      </w:pPr>
      <w:r w:rsidRPr="00920397">
        <w:t>of sufficient quality; and</w:t>
      </w:r>
    </w:p>
    <w:p w14:paraId="123203C8" w14:textId="01E603D3" w:rsidR="00097921" w:rsidRPr="00920397" w:rsidRDefault="00097921" w:rsidP="00920397">
      <w:pPr>
        <w:pStyle w:val="Numberbullet2"/>
      </w:pPr>
      <w:r w:rsidRPr="00920397">
        <w:t>maintained to ensure integrity; and</w:t>
      </w:r>
    </w:p>
    <w:p w14:paraId="23C7D93D" w14:textId="195AA656" w:rsidR="00097921" w:rsidRPr="00CC260A" w:rsidRDefault="00097921" w:rsidP="00920397">
      <w:pPr>
        <w:pStyle w:val="Numberbullet2"/>
      </w:pPr>
      <w:r w:rsidRPr="00920397">
        <w:t>managed to reduce bi</w:t>
      </w:r>
      <w:r w:rsidRPr="00CC260A">
        <w:t>as.</w:t>
      </w:r>
    </w:p>
    <w:p w14:paraId="3C3EE251" w14:textId="77777777" w:rsidR="00097921" w:rsidRPr="00CC260A" w:rsidRDefault="00097921" w:rsidP="00097921">
      <w:pPr>
        <w:rPr>
          <w:rFonts w:asciiTheme="minorHAnsi" w:hAnsiTheme="minorHAnsi"/>
          <w:szCs w:val="22"/>
        </w:rPr>
      </w:pPr>
      <w:r w:rsidRPr="00CC260A">
        <w:rPr>
          <w:rFonts w:asciiTheme="minorHAnsi" w:hAnsiTheme="minorHAnsi"/>
          <w:szCs w:val="22"/>
        </w:rPr>
        <w:t xml:space="preserve">There are particular requirements for information to be provided with </w:t>
      </w:r>
      <w:r w:rsidR="00992879" w:rsidRPr="00CC260A">
        <w:rPr>
          <w:rFonts w:asciiTheme="minorHAnsi" w:hAnsiTheme="minorHAnsi"/>
          <w:szCs w:val="22"/>
        </w:rPr>
        <w:t>software based</w:t>
      </w:r>
      <w:r w:rsidRPr="00CC260A">
        <w:rPr>
          <w:rFonts w:asciiTheme="minorHAnsi" w:hAnsiTheme="minorHAnsi"/>
          <w:szCs w:val="22"/>
        </w:rPr>
        <w:t xml:space="preserve"> products included in essential principle 13:</w:t>
      </w:r>
    </w:p>
    <w:p w14:paraId="415E39CE" w14:textId="006308CA" w:rsidR="00726237" w:rsidRPr="00726237" w:rsidRDefault="00C775AA" w:rsidP="00726237">
      <w:pPr>
        <w:pStyle w:val="ListParagraph"/>
        <w:numPr>
          <w:ilvl w:val="1"/>
          <w:numId w:val="75"/>
        </w:numPr>
        <w:rPr>
          <w:rFonts w:asciiTheme="minorHAnsi" w:hAnsiTheme="minorHAnsi"/>
          <w:b/>
          <w:bCs/>
          <w:color w:val="000000"/>
          <w:szCs w:val="22"/>
        </w:rPr>
      </w:pPr>
      <w:bookmarkStart w:id="54" w:name="_Toc32223917"/>
      <w:bookmarkStart w:id="55" w:name="_Toc23752707"/>
      <w:r w:rsidRPr="00726237">
        <w:rPr>
          <w:b/>
          <w:shd w:val="clear" w:color="auto" w:fill="FFFFFF"/>
        </w:rPr>
        <w:t>Information to be provided with medical devices—location</w:t>
      </w:r>
      <w:bookmarkEnd w:id="54"/>
    </w:p>
    <w:p w14:paraId="7E85794E" w14:textId="3597B221" w:rsidR="00C775AA" w:rsidRPr="00CC260A" w:rsidRDefault="00726237" w:rsidP="00726237">
      <w:pPr>
        <w:pStyle w:val="Numberbullet0"/>
        <w:numPr>
          <w:ilvl w:val="0"/>
          <w:numId w:val="0"/>
        </w:numPr>
        <w:ind w:left="709" w:hanging="425"/>
      </w:pPr>
      <w:r>
        <w:t>3.</w:t>
      </w:r>
      <w:r>
        <w:tab/>
      </w:r>
      <w:r w:rsidR="00C775AA" w:rsidRPr="00CC260A">
        <w:t xml:space="preserve">If it is not practicable to comply with subclause (1) or (2) in relation to the provision of the information required under </w:t>
      </w:r>
      <w:proofErr w:type="spellStart"/>
      <w:r w:rsidR="00C775AA" w:rsidRPr="00CC260A">
        <w:t>subregulation</w:t>
      </w:r>
      <w:proofErr w:type="spellEnd"/>
      <w:r w:rsidR="00C775AA" w:rsidRPr="00CC260A">
        <w:t> 10.2(1) or clause 13.3:</w:t>
      </w:r>
    </w:p>
    <w:p w14:paraId="618BACE1" w14:textId="72380D0F" w:rsidR="00C775AA" w:rsidRPr="00CC260A" w:rsidRDefault="00C775AA" w:rsidP="00C82121">
      <w:pPr>
        <w:pStyle w:val="Numberbullet2"/>
        <w:numPr>
          <w:ilvl w:val="1"/>
          <w:numId w:val="76"/>
        </w:numPr>
        <w:ind w:left="1134"/>
      </w:pPr>
      <w:r w:rsidRPr="00CC260A">
        <w:t>for a medical device that is not software—the information must be provided on a leaflet supplied with the device; or</w:t>
      </w:r>
    </w:p>
    <w:p w14:paraId="46742435" w14:textId="6B59F49A" w:rsidR="00C775AA" w:rsidRPr="00CC260A" w:rsidRDefault="00C775AA" w:rsidP="00920397">
      <w:pPr>
        <w:pStyle w:val="Numberbullet2"/>
      </w:pPr>
      <w:r w:rsidRPr="00CC260A">
        <w:t>for a medical device that is software—the information must be provided on a leaflet supplied with the device or the information must be provided electronically.</w:t>
      </w:r>
    </w:p>
    <w:p w14:paraId="709DD161" w14:textId="77777777" w:rsidR="00097921" w:rsidRPr="00376EE4" w:rsidRDefault="00097921" w:rsidP="00376EE4">
      <w:pPr>
        <w:rPr>
          <w:b/>
        </w:rPr>
      </w:pPr>
      <w:r w:rsidRPr="00712FB1">
        <w:rPr>
          <w:rStyle w:val="charsectno"/>
          <w:rFonts w:asciiTheme="minorHAnsi" w:hAnsiTheme="minorHAnsi"/>
          <w:b/>
          <w:bCs/>
          <w:color w:val="000000"/>
          <w:szCs w:val="22"/>
        </w:rPr>
        <w:t>13B</w:t>
      </w:r>
      <w:r w:rsidRPr="00376EE4">
        <w:rPr>
          <w:b/>
        </w:rPr>
        <w:t>  Software—version numbers and build numbers</w:t>
      </w:r>
      <w:bookmarkEnd w:id="55"/>
    </w:p>
    <w:p w14:paraId="7176650E" w14:textId="7509B765" w:rsidR="00097921" w:rsidRPr="00CC260A" w:rsidRDefault="00097921" w:rsidP="00376EE4">
      <w:pPr>
        <w:pStyle w:val="Numberbullet0"/>
        <w:numPr>
          <w:ilvl w:val="0"/>
          <w:numId w:val="70"/>
        </w:numPr>
      </w:pPr>
      <w:r w:rsidRPr="00CC260A">
        <w:t>For a medical device that is software, or that incorporates software, the current version number and current build number of the software must be accessible by, and identifiable to, users of the device.</w:t>
      </w:r>
    </w:p>
    <w:p w14:paraId="660FBCCD" w14:textId="3B06EDC0" w:rsidR="00097921" w:rsidRPr="00CC260A" w:rsidRDefault="00097921" w:rsidP="00376EE4">
      <w:pPr>
        <w:pStyle w:val="Numberbullet0"/>
      </w:pPr>
      <w:r w:rsidRPr="00CC260A">
        <w:t>The current version number and current build number of the software:</w:t>
      </w:r>
    </w:p>
    <w:p w14:paraId="04CAE1EA" w14:textId="13DBAC14" w:rsidR="00097921" w:rsidRPr="00376EE4" w:rsidRDefault="00097921" w:rsidP="00920397">
      <w:pPr>
        <w:pStyle w:val="Numberbullet2"/>
      </w:pPr>
      <w:r w:rsidRPr="00376EE4">
        <w:t>must be in English; and</w:t>
      </w:r>
    </w:p>
    <w:p w14:paraId="06111CF9" w14:textId="71740417" w:rsidR="00D20498" w:rsidRPr="00376EE4" w:rsidRDefault="00097921" w:rsidP="00920397">
      <w:pPr>
        <w:pStyle w:val="Numberbullet2"/>
      </w:pPr>
      <w:r w:rsidRPr="00376EE4">
        <w:t>may also be in any other language</w:t>
      </w:r>
      <w:bookmarkStart w:id="56" w:name="_Ref41575318"/>
    </w:p>
    <w:p w14:paraId="59913FAB" w14:textId="35B55410" w:rsidR="00BE02E8" w:rsidRPr="00376EE4" w:rsidRDefault="005A1629" w:rsidP="00920397">
      <w:pPr>
        <w:pStyle w:val="Heading2"/>
        <w:pageBreakBefore/>
      </w:pPr>
      <w:bookmarkStart w:id="57" w:name="_Conformity_Assessment_Procedures_1"/>
      <w:bookmarkStart w:id="58" w:name="_Toc58337161"/>
      <w:bookmarkEnd w:id="57"/>
      <w:r w:rsidRPr="00376EE4">
        <w:lastRenderedPageBreak/>
        <w:t xml:space="preserve">Conformity </w:t>
      </w:r>
      <w:r w:rsidR="005C372D">
        <w:t>A</w:t>
      </w:r>
      <w:r w:rsidR="00C775AA" w:rsidRPr="00376EE4">
        <w:t>ssessment Procedures</w:t>
      </w:r>
      <w:bookmarkEnd w:id="56"/>
      <w:bookmarkEnd w:id="58"/>
    </w:p>
    <w:p w14:paraId="34445A57" w14:textId="77777777" w:rsidR="00BE02E8" w:rsidRPr="00C775AA" w:rsidRDefault="00C775AA" w:rsidP="00BE02E8">
      <w:r>
        <w:t xml:space="preserve">The conformity assessment procedures can be found in full at schedule 3 of the </w:t>
      </w:r>
      <w:r w:rsidRPr="00C775AA">
        <w:rPr>
          <w:i/>
        </w:rPr>
        <w:t>Therapeutic Goods (Medical Devices) Regulations 2002</w:t>
      </w:r>
      <w:r>
        <w:t xml:space="preserve"> and are summarised below:</w:t>
      </w:r>
    </w:p>
    <w:p w14:paraId="4B6C05A7" w14:textId="0CA681BE" w:rsidR="00F360FA" w:rsidRDefault="00F360FA" w:rsidP="00F360FA">
      <w:pPr>
        <w:pStyle w:val="Tabletitle"/>
      </w:pPr>
      <w:r>
        <w:t>Conformity assessment procedures, requirements and applicable classifications</w:t>
      </w:r>
    </w:p>
    <w:tbl>
      <w:tblPr>
        <w:tblStyle w:val="TableTGAblue"/>
        <w:tblW w:w="0" w:type="auto"/>
        <w:tblLook w:val="04A0" w:firstRow="1" w:lastRow="0" w:firstColumn="1" w:lastColumn="0" w:noHBand="0" w:noVBand="1"/>
        <w:tblCaption w:val="Conformity assessment procedures, requirements and applicable classifications"/>
        <w:tblDescription w:val="Column one describes the conformity assessment procedures. Column 2 describes the requirements. Column 3 describes the applicable classifications."/>
      </w:tblPr>
      <w:tblGrid>
        <w:gridCol w:w="3025"/>
        <w:gridCol w:w="4195"/>
        <w:gridCol w:w="1830"/>
      </w:tblGrid>
      <w:tr w:rsidR="00F360FA" w:rsidRPr="00215D48" w14:paraId="76E345A0" w14:textId="77777777" w:rsidTr="00712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0A21C42B" w14:textId="77777777" w:rsidR="00F360FA" w:rsidRPr="00215D48" w:rsidRDefault="00F360FA" w:rsidP="00712FB1">
            <w:bookmarkStart w:id="59" w:name="ColumnTitle_3"/>
            <w:r w:rsidRPr="00475417">
              <w:t>CA procedure</w:t>
            </w:r>
          </w:p>
        </w:tc>
        <w:tc>
          <w:tcPr>
            <w:tcW w:w="4195" w:type="dxa"/>
          </w:tcPr>
          <w:p w14:paraId="4C6F59B2" w14:textId="77777777" w:rsidR="00F360FA" w:rsidRPr="00215D48" w:rsidRDefault="00F360FA" w:rsidP="00712FB1">
            <w:pPr>
              <w:cnfStyle w:val="100000000000" w:firstRow="1" w:lastRow="0" w:firstColumn="0" w:lastColumn="0" w:oddVBand="0" w:evenVBand="0" w:oddHBand="0" w:evenHBand="0" w:firstRowFirstColumn="0" w:firstRowLastColumn="0" w:lastRowFirstColumn="0" w:lastRowLastColumn="0"/>
            </w:pPr>
            <w:r w:rsidRPr="00475417">
              <w:t>Requirements</w:t>
            </w:r>
          </w:p>
        </w:tc>
        <w:tc>
          <w:tcPr>
            <w:tcW w:w="1830" w:type="dxa"/>
          </w:tcPr>
          <w:p w14:paraId="66D0E4B8" w14:textId="77777777" w:rsidR="00F360FA" w:rsidRPr="00215D48" w:rsidRDefault="00F360FA" w:rsidP="00712FB1">
            <w:pPr>
              <w:cnfStyle w:val="100000000000" w:firstRow="1" w:lastRow="0" w:firstColumn="0" w:lastColumn="0" w:oddVBand="0" w:evenVBand="0" w:oddHBand="0" w:evenHBand="0" w:firstRowFirstColumn="0" w:firstRowLastColumn="0" w:lastRowFirstColumn="0" w:lastRowLastColumn="0"/>
            </w:pPr>
            <w:r w:rsidRPr="00475417">
              <w:t>Applicable classifications</w:t>
            </w:r>
          </w:p>
        </w:tc>
      </w:tr>
      <w:bookmarkEnd w:id="59"/>
      <w:tr w:rsidR="00F360FA" w:rsidRPr="00215D48" w14:paraId="741511AF"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07F302B7" w14:textId="77777777" w:rsidR="00F360FA" w:rsidRPr="00BE02E8" w:rsidRDefault="00F360FA" w:rsidP="00712FB1">
            <w:pPr>
              <w:rPr>
                <w:rFonts w:asciiTheme="minorHAnsi" w:hAnsiTheme="minorHAnsi"/>
              </w:rPr>
            </w:pPr>
            <w:r w:rsidRPr="00E03DAE">
              <w:rPr>
                <w:rFonts w:asciiTheme="minorHAnsi" w:hAnsiTheme="minorHAnsi"/>
                <w:b/>
              </w:rPr>
              <w:t>Part 1</w:t>
            </w:r>
            <w:r w:rsidRPr="00BE02E8">
              <w:rPr>
                <w:rFonts w:asciiTheme="minorHAnsi" w:hAnsiTheme="minorHAnsi"/>
              </w:rPr>
              <w:t>, Full quality assurance procedure</w:t>
            </w:r>
          </w:p>
          <w:p w14:paraId="10BBD610" w14:textId="77777777" w:rsidR="00F360FA" w:rsidRPr="00BE02E8" w:rsidRDefault="00F360FA" w:rsidP="00712FB1">
            <w:pPr>
              <w:rPr>
                <w:rFonts w:asciiTheme="minorHAnsi" w:hAnsiTheme="minorHAnsi"/>
              </w:rPr>
            </w:pPr>
            <w:r w:rsidRPr="00BE02E8">
              <w:rPr>
                <w:rFonts w:asciiTheme="minorHAnsi" w:hAnsiTheme="minorHAnsi"/>
              </w:rPr>
              <w:t>Encompasses design, production, packaging, labelling, and final inspection of a medical device</w:t>
            </w:r>
          </w:p>
        </w:tc>
        <w:tc>
          <w:tcPr>
            <w:tcW w:w="4195" w:type="dxa"/>
          </w:tcPr>
          <w:p w14:paraId="110FE467"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Manufacturer must implement a full quality management system (that is, all clauses of ISO 13485 including clauses 7.3 and 7.5.2) and arrange for the quality management system to be audited by the TGA or EU Notified Body.</w:t>
            </w:r>
          </w:p>
          <w:p w14:paraId="29BA0CED"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 also assesses the manufacturer’s technical documentation for the medical devices, including clinical evidence.</w:t>
            </w:r>
          </w:p>
        </w:tc>
        <w:tc>
          <w:tcPr>
            <w:tcW w:w="1830" w:type="dxa"/>
          </w:tcPr>
          <w:p w14:paraId="618E9AD7"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All</w:t>
            </w:r>
          </w:p>
          <w:p w14:paraId="36D71388"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Please note: for class III, clause 1.6 must also be applied</w:t>
            </w:r>
          </w:p>
        </w:tc>
      </w:tr>
      <w:tr w:rsidR="00F360FA" w:rsidRPr="00215D48" w14:paraId="22E97B49"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67545923" w14:textId="77777777" w:rsidR="00F360FA" w:rsidRPr="00BE02E8" w:rsidRDefault="00F360FA" w:rsidP="00712FB1">
            <w:pPr>
              <w:rPr>
                <w:rFonts w:asciiTheme="minorHAnsi" w:hAnsiTheme="minorHAnsi"/>
              </w:rPr>
            </w:pPr>
            <w:r w:rsidRPr="00E03DAE">
              <w:rPr>
                <w:rFonts w:asciiTheme="minorHAnsi" w:hAnsiTheme="minorHAnsi"/>
                <w:b/>
              </w:rPr>
              <w:t>Part 1, Clause 1.6,</w:t>
            </w:r>
            <w:r w:rsidRPr="00BE02E8">
              <w:rPr>
                <w:rFonts w:asciiTheme="minorHAnsi" w:hAnsiTheme="minorHAnsi"/>
              </w:rPr>
              <w:t xml:space="preserve"> Examination of Design</w:t>
            </w:r>
          </w:p>
          <w:p w14:paraId="29EC8994" w14:textId="77777777" w:rsidR="00F360FA" w:rsidRPr="00BE02E8" w:rsidRDefault="00F360FA" w:rsidP="00712FB1">
            <w:pPr>
              <w:rPr>
                <w:rFonts w:asciiTheme="minorHAnsi" w:hAnsiTheme="minorHAnsi"/>
              </w:rPr>
            </w:pPr>
            <w:r w:rsidRPr="00BE02E8">
              <w:rPr>
                <w:rFonts w:asciiTheme="minorHAnsi" w:hAnsiTheme="minorHAnsi"/>
              </w:rPr>
              <w:t>Involves an examination of the design dossier for medical devices to which the manufacturer has applied a Part 1 conformity assessment procedure</w:t>
            </w:r>
          </w:p>
        </w:tc>
        <w:tc>
          <w:tcPr>
            <w:tcW w:w="4195" w:type="dxa"/>
          </w:tcPr>
          <w:p w14:paraId="7266C1E3"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technical documentation for the Class III device (also referred to as a design dossier) must be submitted for examination to assess the compliance of the device with the Essential Principles.</w:t>
            </w:r>
          </w:p>
        </w:tc>
        <w:tc>
          <w:tcPr>
            <w:tcW w:w="1830" w:type="dxa"/>
          </w:tcPr>
          <w:p w14:paraId="6B291A79"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III</w:t>
            </w:r>
          </w:p>
        </w:tc>
      </w:tr>
      <w:tr w:rsidR="00F360FA" w:rsidRPr="00215D48" w14:paraId="22DD21F6"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722B6593" w14:textId="77777777" w:rsidR="00F360FA" w:rsidRPr="00BE02E8" w:rsidRDefault="00F360FA" w:rsidP="00712FB1">
            <w:pPr>
              <w:rPr>
                <w:rFonts w:asciiTheme="minorHAnsi" w:hAnsiTheme="minorHAnsi"/>
              </w:rPr>
            </w:pPr>
            <w:r w:rsidRPr="00E03DAE">
              <w:rPr>
                <w:rFonts w:asciiTheme="minorHAnsi" w:hAnsiTheme="minorHAnsi"/>
                <w:b/>
              </w:rPr>
              <w:t>Part 2,</w:t>
            </w:r>
            <w:r w:rsidRPr="00BE02E8">
              <w:rPr>
                <w:rFonts w:asciiTheme="minorHAnsi" w:hAnsiTheme="minorHAnsi"/>
              </w:rPr>
              <w:t xml:space="preserve"> Type examination</w:t>
            </w:r>
          </w:p>
          <w:p w14:paraId="05E4B23D" w14:textId="77777777" w:rsidR="00F360FA" w:rsidRPr="00BE02E8" w:rsidRDefault="00F360FA" w:rsidP="00712FB1">
            <w:pPr>
              <w:rPr>
                <w:rFonts w:asciiTheme="minorHAnsi" w:hAnsiTheme="minorHAnsi"/>
              </w:rPr>
            </w:pPr>
            <w:r w:rsidRPr="00BE02E8">
              <w:rPr>
                <w:rFonts w:asciiTheme="minorHAnsi" w:hAnsiTheme="minorHAnsi"/>
              </w:rPr>
              <w:t>Involves an examination of a representative sample of a medical device</w:t>
            </w:r>
          </w:p>
        </w:tc>
        <w:tc>
          <w:tcPr>
            <w:tcW w:w="4195" w:type="dxa"/>
          </w:tcPr>
          <w:p w14:paraId="31968F20"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Testing can be conducted by the TGA or EU Notified Body, OR</w:t>
            </w:r>
          </w:p>
          <w:p w14:paraId="77FD849B"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w:t>
            </w:r>
            <w:r w:rsidRPr="00BE02E8" w:rsidDel="00EB1384">
              <w:rPr>
                <w:rFonts w:asciiTheme="minorHAnsi" w:hAnsiTheme="minorHAnsi"/>
              </w:rPr>
              <w:t xml:space="preserve"> </w:t>
            </w:r>
            <w:r w:rsidRPr="00BE02E8">
              <w:rPr>
                <w:rFonts w:asciiTheme="minorHAnsi" w:hAnsiTheme="minorHAnsi"/>
              </w:rPr>
              <w:t>can conduct tests on the device at the manufacturer’s site and supervise or review the testing, OR</w:t>
            </w:r>
          </w:p>
          <w:p w14:paraId="53D5212C"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w:t>
            </w:r>
            <w:r w:rsidRPr="00BE02E8" w:rsidDel="00EB1384">
              <w:rPr>
                <w:rFonts w:asciiTheme="minorHAnsi" w:hAnsiTheme="minorHAnsi"/>
              </w:rPr>
              <w:t xml:space="preserve"> </w:t>
            </w:r>
            <w:r w:rsidRPr="00BE02E8">
              <w:rPr>
                <w:rFonts w:asciiTheme="minorHAnsi" w:hAnsiTheme="minorHAnsi"/>
              </w:rPr>
              <w:t>will subcontract the testing to an accredited test laboratory (either in Australia or overseas).</w:t>
            </w:r>
          </w:p>
        </w:tc>
        <w:tc>
          <w:tcPr>
            <w:tcW w:w="1830" w:type="dxa"/>
          </w:tcPr>
          <w:p w14:paraId="3266805C" w14:textId="49C9918B" w:rsidR="00F360FA" w:rsidRPr="00BE02E8" w:rsidRDefault="00920397"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Class IIb,</w:t>
            </w:r>
          </w:p>
          <w:p w14:paraId="21570810"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III</w:t>
            </w:r>
          </w:p>
        </w:tc>
      </w:tr>
      <w:tr w:rsidR="00F360FA" w:rsidRPr="00215D48" w14:paraId="3B1063D1"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186C8D2C" w14:textId="77777777" w:rsidR="00F360FA" w:rsidRPr="00BE02E8" w:rsidRDefault="00F360FA" w:rsidP="00712FB1">
            <w:pPr>
              <w:rPr>
                <w:rFonts w:asciiTheme="minorHAnsi" w:hAnsiTheme="minorHAnsi"/>
              </w:rPr>
            </w:pPr>
            <w:r w:rsidRPr="00E03DAE">
              <w:rPr>
                <w:rFonts w:asciiTheme="minorHAnsi" w:hAnsiTheme="minorHAnsi"/>
                <w:b/>
              </w:rPr>
              <w:lastRenderedPageBreak/>
              <w:t>Part 3,</w:t>
            </w:r>
            <w:r w:rsidRPr="00BE02E8">
              <w:rPr>
                <w:rFonts w:asciiTheme="minorHAnsi" w:hAnsiTheme="minorHAnsi"/>
              </w:rPr>
              <w:t xml:space="preserve"> Verification Procedures</w:t>
            </w:r>
          </w:p>
          <w:p w14:paraId="17708A4F" w14:textId="77777777" w:rsidR="00F360FA" w:rsidRPr="00BE02E8" w:rsidRDefault="00F360FA" w:rsidP="00712FB1">
            <w:pPr>
              <w:rPr>
                <w:rFonts w:asciiTheme="minorHAnsi" w:hAnsiTheme="minorHAnsi"/>
              </w:rPr>
            </w:pPr>
            <w:r w:rsidRPr="00BE02E8">
              <w:rPr>
                <w:rFonts w:asciiTheme="minorHAnsi" w:hAnsiTheme="minorHAnsi"/>
              </w:rPr>
              <w:t>Involves an examination (including testing) of the medical device(s) prior to release for supply</w:t>
            </w:r>
          </w:p>
        </w:tc>
        <w:tc>
          <w:tcPr>
            <w:tcW w:w="4195" w:type="dxa"/>
          </w:tcPr>
          <w:p w14:paraId="5376AA73"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 will need to assess production records for each device (either on a statistical basis or a 100% sampling rate) and authorise release of the product or batch of products for supply.</w:t>
            </w:r>
          </w:p>
        </w:tc>
        <w:tc>
          <w:tcPr>
            <w:tcW w:w="1830" w:type="dxa"/>
          </w:tcPr>
          <w:p w14:paraId="0A75EEFF" w14:textId="62A63C56"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Class I (measuring), Class </w:t>
            </w:r>
            <w:proofErr w:type="spellStart"/>
            <w:r w:rsidRPr="00BE02E8">
              <w:rPr>
                <w:rFonts w:asciiTheme="minorHAnsi" w:hAnsiTheme="minorHAnsi"/>
              </w:rPr>
              <w:t>IIa</w:t>
            </w:r>
            <w:proofErr w:type="spellEnd"/>
            <w:r w:rsidRPr="00BE02E8">
              <w:rPr>
                <w:rFonts w:asciiTheme="minorHAnsi" w:hAnsiTheme="minorHAnsi"/>
              </w:rPr>
              <w:t>,</w:t>
            </w:r>
          </w:p>
          <w:p w14:paraId="695E71B8" w14:textId="2F060C29"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IIb,</w:t>
            </w:r>
          </w:p>
          <w:p w14:paraId="673D8BD0" w14:textId="5B80B4B9"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Class </w:t>
            </w:r>
            <w:r w:rsidR="00920397">
              <w:rPr>
                <w:rFonts w:asciiTheme="minorHAnsi" w:hAnsiTheme="minorHAnsi"/>
              </w:rPr>
              <w:t>III,</w:t>
            </w:r>
          </w:p>
          <w:p w14:paraId="3F29A0F3"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Please note: </w:t>
            </w:r>
            <w:proofErr w:type="spellStart"/>
            <w:r w:rsidRPr="00BE02E8">
              <w:rPr>
                <w:rFonts w:asciiTheme="minorHAnsi" w:hAnsiTheme="minorHAnsi"/>
              </w:rPr>
              <w:t>can not</w:t>
            </w:r>
            <w:proofErr w:type="spellEnd"/>
            <w:r w:rsidRPr="00BE02E8">
              <w:rPr>
                <w:rFonts w:asciiTheme="minorHAnsi" w:hAnsiTheme="minorHAnsi"/>
              </w:rPr>
              <w:t xml:space="preserve"> be used for sterile devices</w:t>
            </w:r>
          </w:p>
        </w:tc>
      </w:tr>
      <w:tr w:rsidR="00F360FA" w:rsidRPr="00215D48" w14:paraId="3E009594"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7ED22516" w14:textId="77777777" w:rsidR="00F360FA" w:rsidRPr="00BE02E8" w:rsidRDefault="00F360FA" w:rsidP="00712FB1">
            <w:pPr>
              <w:rPr>
                <w:rFonts w:asciiTheme="minorHAnsi" w:hAnsiTheme="minorHAnsi"/>
              </w:rPr>
            </w:pPr>
            <w:r w:rsidRPr="00E03DAE">
              <w:rPr>
                <w:rFonts w:asciiTheme="minorHAnsi" w:hAnsiTheme="minorHAnsi"/>
                <w:b/>
              </w:rPr>
              <w:t>Part 4,</w:t>
            </w:r>
            <w:r w:rsidRPr="00BE02E8">
              <w:rPr>
                <w:rFonts w:asciiTheme="minorHAnsi" w:hAnsiTheme="minorHAnsi"/>
              </w:rPr>
              <w:t xml:space="preserve"> Production quality assurance</w:t>
            </w:r>
          </w:p>
          <w:p w14:paraId="5EE5A6DD" w14:textId="77777777" w:rsidR="00F360FA" w:rsidRPr="00BE02E8" w:rsidRDefault="00F360FA" w:rsidP="00712FB1">
            <w:pPr>
              <w:rPr>
                <w:rFonts w:asciiTheme="minorHAnsi" w:hAnsiTheme="minorHAnsi"/>
              </w:rPr>
            </w:pPr>
            <w:r w:rsidRPr="00BE02E8">
              <w:rPr>
                <w:rFonts w:asciiTheme="minorHAnsi" w:hAnsiTheme="minorHAnsi"/>
              </w:rPr>
              <w:t>A quality management system encompassing the production and final inspection of a medical device</w:t>
            </w:r>
          </w:p>
        </w:tc>
        <w:tc>
          <w:tcPr>
            <w:tcW w:w="4195" w:type="dxa"/>
          </w:tcPr>
          <w:p w14:paraId="2B3F5F74"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Manufacturer must implement a quality management system (i.e. all clauses of ISO 13485 excluding clause 7.3 but including clause 7.5.2) and arrange for the quality management system to be audited by the TGA or an EU Notified Body.</w:t>
            </w:r>
          </w:p>
          <w:p w14:paraId="393D9F96"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 also reviews a sample of the manufacturer’s technical documentation for the devices.</w:t>
            </w:r>
          </w:p>
        </w:tc>
        <w:tc>
          <w:tcPr>
            <w:tcW w:w="1830" w:type="dxa"/>
          </w:tcPr>
          <w:p w14:paraId="0C200B0C" w14:textId="043D73DC"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w:t>
            </w:r>
            <w:r w:rsidR="00920397">
              <w:rPr>
                <w:rFonts w:asciiTheme="minorHAnsi" w:hAnsiTheme="minorHAnsi"/>
              </w:rPr>
              <w:t>s I (measuring and/or sterile),</w:t>
            </w:r>
          </w:p>
          <w:p w14:paraId="44547EC3"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Class </w:t>
            </w:r>
            <w:proofErr w:type="spellStart"/>
            <w:r w:rsidRPr="00BE02E8">
              <w:rPr>
                <w:rFonts w:asciiTheme="minorHAnsi" w:hAnsiTheme="minorHAnsi"/>
              </w:rPr>
              <w:t>IIa</w:t>
            </w:r>
            <w:proofErr w:type="spellEnd"/>
            <w:r w:rsidRPr="00BE02E8">
              <w:rPr>
                <w:rFonts w:asciiTheme="minorHAnsi" w:hAnsiTheme="minorHAnsi"/>
              </w:rPr>
              <w:t>,</w:t>
            </w:r>
          </w:p>
          <w:p w14:paraId="788FC98A"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IIb,</w:t>
            </w:r>
          </w:p>
          <w:p w14:paraId="3F33B702"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III,</w:t>
            </w:r>
          </w:p>
        </w:tc>
      </w:tr>
      <w:tr w:rsidR="00F360FA" w:rsidRPr="00215D48" w14:paraId="5BE3ABFB"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37771E0A" w14:textId="77777777" w:rsidR="00F360FA" w:rsidRPr="00BE02E8" w:rsidRDefault="00F360FA" w:rsidP="00712FB1">
            <w:pPr>
              <w:rPr>
                <w:rFonts w:asciiTheme="minorHAnsi" w:hAnsiTheme="minorHAnsi"/>
              </w:rPr>
            </w:pPr>
            <w:r w:rsidRPr="00E03DAE">
              <w:rPr>
                <w:rFonts w:asciiTheme="minorHAnsi" w:hAnsiTheme="minorHAnsi"/>
                <w:b/>
              </w:rPr>
              <w:t>Part 5</w:t>
            </w:r>
            <w:r w:rsidRPr="00BE02E8">
              <w:rPr>
                <w:rFonts w:asciiTheme="minorHAnsi" w:hAnsiTheme="minorHAnsi"/>
              </w:rPr>
              <w:t>, Product quality management system</w:t>
            </w:r>
          </w:p>
          <w:p w14:paraId="6FC84636" w14:textId="77777777" w:rsidR="00F360FA" w:rsidRPr="00BE02E8" w:rsidRDefault="00F360FA" w:rsidP="00712FB1">
            <w:pPr>
              <w:rPr>
                <w:rFonts w:asciiTheme="minorHAnsi" w:hAnsiTheme="minorHAnsi"/>
              </w:rPr>
            </w:pPr>
            <w:r w:rsidRPr="00BE02E8">
              <w:rPr>
                <w:rFonts w:asciiTheme="minorHAnsi" w:hAnsiTheme="minorHAnsi"/>
              </w:rPr>
              <w:t>A system encompassing the final inspection and testing of a medical device</w:t>
            </w:r>
          </w:p>
        </w:tc>
        <w:tc>
          <w:tcPr>
            <w:tcW w:w="4195" w:type="dxa"/>
          </w:tcPr>
          <w:p w14:paraId="713A8AFD"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Manufacturer must implement a quality management system (that is, ISO 13485 excluding clauses 7.3 and 7.5.2) and arrange for the quality management system to be audited by the TGA or a EU Notified Body.</w:t>
            </w:r>
          </w:p>
          <w:p w14:paraId="6DF2F209"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TGA or EU Notified Body also reviews a sample of the manufacturer’s technical documentation for the devices.</w:t>
            </w:r>
          </w:p>
        </w:tc>
        <w:tc>
          <w:tcPr>
            <w:tcW w:w="1830" w:type="dxa"/>
          </w:tcPr>
          <w:p w14:paraId="1C3C334A" w14:textId="79C297EB" w:rsidR="00F360FA" w:rsidRPr="00BE02E8" w:rsidRDefault="00920397"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Class I (measuring),</w:t>
            </w:r>
          </w:p>
          <w:p w14:paraId="4C8866A3" w14:textId="721537D6" w:rsidR="00F360FA" w:rsidRPr="00BE02E8" w:rsidRDefault="00920397"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Class </w:t>
            </w:r>
            <w:proofErr w:type="spellStart"/>
            <w:r>
              <w:rPr>
                <w:rFonts w:asciiTheme="minorHAnsi" w:hAnsiTheme="minorHAnsi"/>
              </w:rPr>
              <w:t>IIa</w:t>
            </w:r>
            <w:proofErr w:type="spellEnd"/>
            <w:r>
              <w:rPr>
                <w:rFonts w:asciiTheme="minorHAnsi" w:hAnsiTheme="minorHAnsi"/>
              </w:rPr>
              <w:t>,</w:t>
            </w:r>
          </w:p>
          <w:p w14:paraId="27D6635E"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Class IIb</w:t>
            </w:r>
          </w:p>
          <w:p w14:paraId="66AED30E"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Please note: </w:t>
            </w:r>
            <w:proofErr w:type="spellStart"/>
            <w:r w:rsidRPr="00BE02E8">
              <w:rPr>
                <w:rFonts w:asciiTheme="minorHAnsi" w:hAnsiTheme="minorHAnsi"/>
              </w:rPr>
              <w:t>can not</w:t>
            </w:r>
            <w:proofErr w:type="spellEnd"/>
            <w:r w:rsidRPr="00BE02E8">
              <w:rPr>
                <w:rFonts w:asciiTheme="minorHAnsi" w:hAnsiTheme="minorHAnsi"/>
              </w:rPr>
              <w:t xml:space="preserve"> be used for sterile devices</w:t>
            </w:r>
          </w:p>
        </w:tc>
      </w:tr>
      <w:tr w:rsidR="00F360FA" w:rsidRPr="00215D48" w14:paraId="355DBB51"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4849AB9A" w14:textId="77777777" w:rsidR="00F360FA" w:rsidRPr="00BE02E8" w:rsidRDefault="00F360FA" w:rsidP="00712FB1">
            <w:pPr>
              <w:rPr>
                <w:rFonts w:asciiTheme="minorHAnsi" w:hAnsiTheme="minorHAnsi"/>
              </w:rPr>
            </w:pPr>
            <w:r w:rsidRPr="00E03DAE">
              <w:rPr>
                <w:rFonts w:asciiTheme="minorHAnsi" w:hAnsiTheme="minorHAnsi"/>
                <w:b/>
              </w:rPr>
              <w:t>Part 6</w:t>
            </w:r>
            <w:r w:rsidRPr="00BE02E8">
              <w:rPr>
                <w:rFonts w:asciiTheme="minorHAnsi" w:hAnsiTheme="minorHAnsi"/>
              </w:rPr>
              <w:t>, Declaration of Conformity (not requiring assessment by Secretary)</w:t>
            </w:r>
          </w:p>
          <w:p w14:paraId="4D49109B" w14:textId="77777777" w:rsidR="00F360FA" w:rsidRPr="00BE02E8" w:rsidRDefault="00F360FA" w:rsidP="00712FB1">
            <w:pPr>
              <w:rPr>
                <w:rFonts w:asciiTheme="minorHAnsi" w:hAnsiTheme="minorHAnsi"/>
              </w:rPr>
            </w:pPr>
            <w:r w:rsidRPr="00BE02E8">
              <w:rPr>
                <w:rFonts w:asciiTheme="minorHAnsi" w:hAnsiTheme="minorHAnsi"/>
              </w:rPr>
              <w:t>Preparing technical documentation for a medical device and establish a post-market monitoring system</w:t>
            </w:r>
          </w:p>
        </w:tc>
        <w:tc>
          <w:tcPr>
            <w:tcW w:w="4195" w:type="dxa"/>
          </w:tcPr>
          <w:p w14:paraId="070EE619"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Manufacturer ensures that the device(s) comply with the Essential Principles and prepares documentation that demonstrates conformity.</w:t>
            </w:r>
          </w:p>
        </w:tc>
        <w:tc>
          <w:tcPr>
            <w:tcW w:w="1830" w:type="dxa"/>
          </w:tcPr>
          <w:p w14:paraId="619E141D" w14:textId="2FBB6053" w:rsidR="00F360FA" w:rsidRPr="00BE02E8" w:rsidRDefault="00920397"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Class I,</w:t>
            </w:r>
          </w:p>
          <w:p w14:paraId="08767DDF" w14:textId="4DB1279D"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Clas</w:t>
            </w:r>
            <w:r w:rsidR="00920397">
              <w:rPr>
                <w:rFonts w:asciiTheme="minorHAnsi" w:hAnsiTheme="minorHAnsi"/>
              </w:rPr>
              <w:t>s I (measuring and/or sterile),</w:t>
            </w:r>
          </w:p>
          <w:p w14:paraId="44C7859D"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 xml:space="preserve">Class </w:t>
            </w:r>
            <w:proofErr w:type="spellStart"/>
            <w:r w:rsidRPr="00BE02E8">
              <w:rPr>
                <w:rFonts w:asciiTheme="minorHAnsi" w:hAnsiTheme="minorHAnsi"/>
              </w:rPr>
              <w:t>IIa</w:t>
            </w:r>
            <w:proofErr w:type="spellEnd"/>
          </w:p>
        </w:tc>
      </w:tr>
      <w:tr w:rsidR="00F360FA" w:rsidRPr="00215D48" w14:paraId="7C4F0F96"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67E7DFC0" w14:textId="77777777" w:rsidR="00F360FA" w:rsidRPr="00BE02E8" w:rsidRDefault="00F360FA" w:rsidP="00712FB1">
            <w:pPr>
              <w:rPr>
                <w:rFonts w:asciiTheme="minorHAnsi" w:hAnsiTheme="minorHAnsi"/>
              </w:rPr>
            </w:pPr>
            <w:r w:rsidRPr="00E03DAE">
              <w:rPr>
                <w:rFonts w:asciiTheme="minorHAnsi" w:hAnsiTheme="minorHAnsi"/>
                <w:b/>
              </w:rPr>
              <w:t>Part 7</w:t>
            </w:r>
            <w:r w:rsidRPr="00BE02E8">
              <w:rPr>
                <w:rFonts w:asciiTheme="minorHAnsi" w:hAnsiTheme="minorHAnsi"/>
              </w:rPr>
              <w:t>, Conformity Assessment Procedures for devices used for a Special Purpose</w:t>
            </w:r>
          </w:p>
        </w:tc>
        <w:tc>
          <w:tcPr>
            <w:tcW w:w="4195" w:type="dxa"/>
          </w:tcPr>
          <w:p w14:paraId="457FB3F9"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Applies to custom-made</w:t>
            </w:r>
            <w:r w:rsidRPr="00BE02E8">
              <w:rPr>
                <w:rFonts w:asciiTheme="minorHAnsi" w:hAnsiTheme="minorHAnsi"/>
                <w:smallCaps/>
              </w:rPr>
              <w:t xml:space="preserve"> </w:t>
            </w:r>
            <w:r w:rsidRPr="00BE02E8">
              <w:rPr>
                <w:rFonts w:asciiTheme="minorHAnsi" w:hAnsiTheme="minorHAnsi"/>
              </w:rPr>
              <w:t>medical devices, systems and procedure packs</w:t>
            </w:r>
          </w:p>
        </w:tc>
        <w:tc>
          <w:tcPr>
            <w:tcW w:w="1830" w:type="dxa"/>
          </w:tcPr>
          <w:p w14:paraId="4F282E86"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All</w:t>
            </w:r>
          </w:p>
          <w:p w14:paraId="538DA711"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i/>
                <w:iCs/>
              </w:rPr>
              <w:t>Please note: sterile systems and procedure packs also require Part 4 certification</w:t>
            </w:r>
          </w:p>
        </w:tc>
      </w:tr>
      <w:tr w:rsidR="00F360FA" w:rsidRPr="00215D48" w14:paraId="5F904A7B" w14:textId="77777777" w:rsidTr="00712FB1">
        <w:tc>
          <w:tcPr>
            <w:cnfStyle w:val="001000000000" w:firstRow="0" w:lastRow="0" w:firstColumn="1" w:lastColumn="0" w:oddVBand="0" w:evenVBand="0" w:oddHBand="0" w:evenHBand="0" w:firstRowFirstColumn="0" w:firstRowLastColumn="0" w:lastRowFirstColumn="0" w:lastRowLastColumn="0"/>
            <w:tcW w:w="3025" w:type="dxa"/>
          </w:tcPr>
          <w:p w14:paraId="0015FA96" w14:textId="77777777" w:rsidR="00F360FA" w:rsidRPr="00BE02E8" w:rsidRDefault="00F360FA" w:rsidP="00712FB1">
            <w:pPr>
              <w:rPr>
                <w:rFonts w:asciiTheme="minorHAnsi" w:hAnsiTheme="minorHAnsi"/>
              </w:rPr>
            </w:pPr>
            <w:r w:rsidRPr="00E03DAE">
              <w:rPr>
                <w:rFonts w:asciiTheme="minorHAnsi" w:hAnsiTheme="minorHAnsi"/>
                <w:b/>
              </w:rPr>
              <w:lastRenderedPageBreak/>
              <w:t>Part 8</w:t>
            </w:r>
            <w:r w:rsidRPr="00BE02E8">
              <w:rPr>
                <w:rFonts w:asciiTheme="minorHAnsi" w:hAnsiTheme="minorHAnsi"/>
              </w:rPr>
              <w:t>, Clinical Evaluation procedures</w:t>
            </w:r>
          </w:p>
        </w:tc>
        <w:tc>
          <w:tcPr>
            <w:tcW w:w="4195" w:type="dxa"/>
          </w:tcPr>
          <w:p w14:paraId="663B012A"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The conformity assessment procedures the manufacturer must follow for obtaining and evaluating clinical data.</w:t>
            </w:r>
          </w:p>
        </w:tc>
        <w:tc>
          <w:tcPr>
            <w:tcW w:w="1830" w:type="dxa"/>
          </w:tcPr>
          <w:p w14:paraId="00A89CB4" w14:textId="77777777" w:rsidR="00F360FA" w:rsidRPr="00BE02E8" w:rsidRDefault="00F360FA" w:rsidP="00712FB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E02E8">
              <w:rPr>
                <w:rFonts w:asciiTheme="minorHAnsi" w:hAnsiTheme="minorHAnsi"/>
              </w:rPr>
              <w:t>All</w:t>
            </w:r>
          </w:p>
        </w:tc>
      </w:tr>
    </w:tbl>
    <w:bookmarkEnd w:id="1"/>
    <w:bookmarkEnd w:id="2"/>
    <w:p w14:paraId="04ACE4C4" w14:textId="77777777"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2CBD1A1E" w14:textId="77777777" w:rsidTr="007354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7D0D8F7" w14:textId="77777777" w:rsidR="001A3190" w:rsidRPr="00215D48" w:rsidRDefault="001A3190" w:rsidP="00735428">
            <w:bookmarkStart w:id="60" w:name="ColumnTitle_4"/>
            <w:r w:rsidRPr="00215D48">
              <w:t>Version</w:t>
            </w:r>
          </w:p>
        </w:tc>
        <w:tc>
          <w:tcPr>
            <w:tcW w:w="3242" w:type="dxa"/>
          </w:tcPr>
          <w:p w14:paraId="22206A8D" w14:textId="77777777" w:rsidR="001A3190" w:rsidRPr="00215D48" w:rsidRDefault="001A3190" w:rsidP="00735428">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50A46F93" w14:textId="77777777" w:rsidR="001A3190" w:rsidRPr="00215D48" w:rsidRDefault="001A3190" w:rsidP="00735428">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4F5937C3" w14:textId="77777777" w:rsidR="001A3190" w:rsidRPr="00215D48" w:rsidRDefault="001A3190" w:rsidP="00735428">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60"/>
      <w:tr w:rsidR="001A3190" w:rsidRPr="00215D48" w14:paraId="79473399" w14:textId="77777777" w:rsidTr="00735428">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D9FC86A" w14:textId="73C812A8" w:rsidR="001A3190" w:rsidRPr="00215D48" w:rsidRDefault="00D74BD4" w:rsidP="00735428">
            <w:r>
              <w:t xml:space="preserve">Draft </w:t>
            </w:r>
            <w:r w:rsidR="001A3190" w:rsidRPr="00215D48">
              <w:t>V1.0</w:t>
            </w:r>
          </w:p>
        </w:tc>
        <w:tc>
          <w:tcPr>
            <w:tcW w:w="3242" w:type="dxa"/>
          </w:tcPr>
          <w:p w14:paraId="25D86A58" w14:textId="275C904F" w:rsidR="001A3190" w:rsidRPr="00215D48" w:rsidRDefault="001A3190" w:rsidP="005D6545">
            <w:pPr>
              <w:cnfStyle w:val="000000000000" w:firstRow="0" w:lastRow="0" w:firstColumn="0" w:lastColumn="0" w:oddVBand="0" w:evenVBand="0" w:oddHBand="0" w:evenHBand="0" w:firstRowFirstColumn="0" w:firstRowLastColumn="0" w:lastRowFirstColumn="0" w:lastRowLastColumn="0"/>
            </w:pPr>
            <w:r w:rsidRPr="00215D48">
              <w:t xml:space="preserve">Original </w:t>
            </w:r>
            <w:r w:rsidR="005D6545">
              <w:t>draft</w:t>
            </w:r>
          </w:p>
        </w:tc>
        <w:tc>
          <w:tcPr>
            <w:tcW w:w="2712" w:type="dxa"/>
          </w:tcPr>
          <w:p w14:paraId="7A7471BB" w14:textId="77777777" w:rsidR="001A3190" w:rsidRPr="00215D48" w:rsidRDefault="00FA3A0B" w:rsidP="00735428">
            <w:pPr>
              <w:cnfStyle w:val="000000000000" w:firstRow="0" w:lastRow="0" w:firstColumn="0" w:lastColumn="0" w:oddVBand="0" w:evenVBand="0" w:oddHBand="0" w:evenHBand="0" w:firstRowFirstColumn="0" w:firstRowLastColumn="0" w:lastRowFirstColumn="0" w:lastRowLastColumn="0"/>
            </w:pPr>
            <w:r>
              <w:t>Devices Emerging Technology &amp; Diagnostics</w:t>
            </w:r>
          </w:p>
        </w:tc>
        <w:tc>
          <w:tcPr>
            <w:tcW w:w="1808" w:type="dxa"/>
          </w:tcPr>
          <w:p w14:paraId="603C02E0" w14:textId="3B5AD544" w:rsidR="001A3190" w:rsidRPr="00215D48" w:rsidRDefault="00920397" w:rsidP="00920397">
            <w:pPr>
              <w:cnfStyle w:val="000000000000" w:firstRow="0" w:lastRow="0" w:firstColumn="0" w:lastColumn="0" w:oddVBand="0" w:evenVBand="0" w:oddHBand="0" w:evenHBand="0" w:firstRowFirstColumn="0" w:firstRowLastColumn="0" w:lastRowFirstColumn="0" w:lastRowLastColumn="0"/>
            </w:pPr>
            <w:r>
              <w:t>January</w:t>
            </w:r>
            <w:r w:rsidR="00D74BD4">
              <w:t xml:space="preserve"> </w:t>
            </w:r>
            <w:r w:rsidR="00FA3A0B">
              <w:t>202</w:t>
            </w:r>
            <w:r>
              <w:t>1</w:t>
            </w:r>
          </w:p>
        </w:tc>
      </w:tr>
      <w:tr w:rsidR="00C373C4" w:rsidRPr="00215D48" w14:paraId="4353049C" w14:textId="77777777" w:rsidTr="00735428">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8464E4F" w14:textId="76F75E36" w:rsidR="00C373C4" w:rsidRDefault="00C373C4" w:rsidP="00C373C4">
            <w:r>
              <w:t>Draft V1.1</w:t>
            </w:r>
          </w:p>
        </w:tc>
        <w:tc>
          <w:tcPr>
            <w:tcW w:w="3242" w:type="dxa"/>
          </w:tcPr>
          <w:p w14:paraId="1C37099D" w14:textId="451EC25F" w:rsidR="00C373C4" w:rsidRPr="00215D48" w:rsidRDefault="00C373C4" w:rsidP="00C373C4">
            <w:pPr>
              <w:cnfStyle w:val="000000000000" w:firstRow="0" w:lastRow="0" w:firstColumn="0" w:lastColumn="0" w:oddVBand="0" w:evenVBand="0" w:oddHBand="0" w:evenHBand="0" w:firstRowFirstColumn="0" w:firstRowLastColumn="0" w:lastRowFirstColumn="0" w:lastRowLastColumn="0"/>
            </w:pPr>
            <w:r>
              <w:t>Added link to clinical decision support software guidance</w:t>
            </w:r>
          </w:p>
        </w:tc>
        <w:tc>
          <w:tcPr>
            <w:tcW w:w="2712" w:type="dxa"/>
          </w:tcPr>
          <w:p w14:paraId="06788882" w14:textId="4B1FF8FF" w:rsidR="00C373C4" w:rsidRDefault="00C373C4" w:rsidP="00C373C4">
            <w:pPr>
              <w:cnfStyle w:val="000000000000" w:firstRow="0" w:lastRow="0" w:firstColumn="0" w:lastColumn="0" w:oddVBand="0" w:evenVBand="0" w:oddHBand="0" w:evenHBand="0" w:firstRowFirstColumn="0" w:firstRowLastColumn="0" w:lastRowFirstColumn="0" w:lastRowLastColumn="0"/>
            </w:pPr>
            <w:r>
              <w:t>Devices Emerging Technology &amp; Diagnostics</w:t>
            </w:r>
          </w:p>
        </w:tc>
        <w:tc>
          <w:tcPr>
            <w:tcW w:w="1808" w:type="dxa"/>
          </w:tcPr>
          <w:p w14:paraId="591986BE" w14:textId="4ADAEF87" w:rsidR="00C373C4" w:rsidRDefault="00C373C4" w:rsidP="00C373C4">
            <w:pPr>
              <w:cnfStyle w:val="000000000000" w:firstRow="0" w:lastRow="0" w:firstColumn="0" w:lastColumn="0" w:oddVBand="0" w:evenVBand="0" w:oddHBand="0" w:evenHBand="0" w:firstRowFirstColumn="0" w:firstRowLastColumn="0" w:lastRowFirstColumn="0" w:lastRowLastColumn="0"/>
            </w:pPr>
            <w:r>
              <w:t>February 2021</w:t>
            </w:r>
          </w:p>
        </w:tc>
      </w:tr>
    </w:tbl>
    <w:p w14:paraId="3B9367D3" w14:textId="77777777" w:rsidR="00F401EF" w:rsidRPr="00215D48" w:rsidRDefault="00F401EF" w:rsidP="00706634">
      <w:pPr>
        <w:spacing w:before="0" w:after="0" w:line="240" w:lineRule="auto"/>
        <w:rPr>
          <w:sz w:val="20"/>
        </w:rPr>
        <w:sectPr w:rsidR="00F401EF" w:rsidRPr="00215D48" w:rsidSect="0029069E">
          <w:headerReference w:type="default" r:id="rId65"/>
          <w:footerReference w:type="default" r:id="rId6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033AD45A" w14:textId="77777777" w:rsidTr="00735428">
        <w:trPr>
          <w:trHeight w:hRule="exact" w:val="565"/>
          <w:jc w:val="center"/>
        </w:trPr>
        <w:tc>
          <w:tcPr>
            <w:tcW w:w="9145" w:type="dxa"/>
          </w:tcPr>
          <w:p w14:paraId="2102CB38" w14:textId="77777777" w:rsidR="00C50E5C" w:rsidRPr="00215D48" w:rsidRDefault="00C50E5C" w:rsidP="00735428">
            <w:pPr>
              <w:pStyle w:val="TGASignoff"/>
            </w:pPr>
            <w:r w:rsidRPr="00215D48">
              <w:lastRenderedPageBreak/>
              <w:t>Therapeutic Goods Administration</w:t>
            </w:r>
          </w:p>
        </w:tc>
      </w:tr>
      <w:tr w:rsidR="00C50E5C" w:rsidRPr="00215D48" w14:paraId="0BC2B569" w14:textId="77777777" w:rsidTr="00735428">
        <w:trPr>
          <w:trHeight w:val="963"/>
          <w:jc w:val="center"/>
        </w:trPr>
        <w:tc>
          <w:tcPr>
            <w:tcW w:w="9145" w:type="dxa"/>
            <w:tcMar>
              <w:top w:w="28" w:type="dxa"/>
            </w:tcMar>
          </w:tcPr>
          <w:p w14:paraId="02F12C3C" w14:textId="77777777" w:rsidR="00C50E5C" w:rsidRPr="00215D48" w:rsidRDefault="00C50E5C" w:rsidP="00EB5622">
            <w:pPr>
              <w:pStyle w:val="Address"/>
              <w:jc w:val="center"/>
            </w:pPr>
            <w:r w:rsidRPr="00215D48">
              <w:t>PO Box 100 Woden ACT 2606 Australia</w:t>
            </w:r>
          </w:p>
          <w:p w14:paraId="793A9B5D" w14:textId="77777777" w:rsidR="001A3190" w:rsidRDefault="00C50E5C">
            <w:pPr>
              <w:pStyle w:val="Address"/>
              <w:jc w:val="center"/>
              <w:rPr>
                <w:sz w:val="22"/>
                <w:szCs w:val="22"/>
              </w:rPr>
            </w:pPr>
            <w:r w:rsidRPr="00215D48">
              <w:t xml:space="preserve">Email: </w:t>
            </w:r>
            <w:hyperlink r:id="rId67" w:history="1">
              <w:r w:rsidRPr="00215D48">
                <w:rPr>
                  <w:rStyle w:val="Hyperlink"/>
                </w:rPr>
                <w:t>info@tga.gov.au</w:t>
              </w:r>
            </w:hyperlink>
            <w:r w:rsidRPr="00215D48">
              <w:t xml:space="preserve">  Phone: 1800 020 653  Fax: </w:t>
            </w:r>
            <w:r w:rsidR="001A3190" w:rsidRPr="00BA0DFC">
              <w:t>02 6203 1605</w:t>
            </w:r>
          </w:p>
          <w:p w14:paraId="58673E02" w14:textId="77777777" w:rsidR="00C50E5C" w:rsidRPr="00215D48" w:rsidRDefault="00215D48">
            <w:pPr>
              <w:pStyle w:val="Address"/>
              <w:jc w:val="center"/>
              <w:rPr>
                <w:rStyle w:val="Hyperlink"/>
                <w:b/>
                <w:color w:val="auto"/>
                <w:sz w:val="22"/>
                <w:u w:val="none"/>
              </w:rPr>
            </w:pPr>
            <w:hyperlink r:id="rId68" w:history="1">
              <w:r w:rsidRPr="00C4721A">
                <w:rPr>
                  <w:rStyle w:val="Hyperlink"/>
                  <w:b/>
                </w:rPr>
                <w:t>https://www.tga.gov.au</w:t>
              </w:r>
            </w:hyperlink>
          </w:p>
        </w:tc>
      </w:tr>
      <w:tr w:rsidR="00C50E5C" w:rsidRPr="00215D48" w14:paraId="34B8E6D2" w14:textId="77777777" w:rsidTr="00735428">
        <w:trPr>
          <w:trHeight w:val="251"/>
          <w:jc w:val="center"/>
        </w:trPr>
        <w:tc>
          <w:tcPr>
            <w:tcW w:w="9145" w:type="dxa"/>
            <w:tcMar>
              <w:top w:w="28" w:type="dxa"/>
            </w:tcMar>
          </w:tcPr>
          <w:p w14:paraId="47B63916" w14:textId="77777777" w:rsidR="00C50E5C" w:rsidRPr="00215D48" w:rsidRDefault="00143589" w:rsidP="00EB5622">
            <w:pPr>
              <w:pStyle w:val="Address"/>
              <w:jc w:val="center"/>
            </w:pPr>
            <w:hyperlink r:id="rId69" w:history="1">
              <w:r>
                <w:rPr>
                  <w:rStyle w:val="Hyperlink"/>
                </w:rPr>
                <w:t>D20-753279</w:t>
              </w:r>
            </w:hyperlink>
            <w:r w:rsidR="00C50E5C" w:rsidRPr="00215D48">
              <w:t>/Publication #</w:t>
            </w:r>
          </w:p>
        </w:tc>
      </w:tr>
    </w:tbl>
    <w:p w14:paraId="347BDA5C" w14:textId="77777777" w:rsidR="00706634" w:rsidRPr="00215D48" w:rsidRDefault="00706634" w:rsidP="004A3084">
      <w:pPr>
        <w:rPr>
          <w:sz w:val="20"/>
        </w:rPr>
      </w:pPr>
    </w:p>
    <w:sectPr w:rsidR="00706634" w:rsidRPr="00215D48" w:rsidSect="0029069E">
      <w:headerReference w:type="first" r:id="rId70"/>
      <w:footerReference w:type="first" r:id="rId7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9C3C3" w14:textId="77777777" w:rsidR="00E57B48" w:rsidRDefault="00E57B48" w:rsidP="00C40A36">
      <w:pPr>
        <w:spacing w:after="0"/>
      </w:pPr>
      <w:r>
        <w:separator/>
      </w:r>
    </w:p>
  </w:endnote>
  <w:endnote w:type="continuationSeparator" w:id="0">
    <w:p w14:paraId="2E289A8D" w14:textId="77777777" w:rsidR="00E57B48" w:rsidRDefault="00E57B4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57B48" w:rsidRPr="00257138" w14:paraId="396314A3" w14:textId="77777777" w:rsidTr="000B30E5">
      <w:trPr>
        <w:trHeight w:val="423"/>
      </w:trPr>
      <w:tc>
        <w:tcPr>
          <w:tcW w:w="4360" w:type="dxa"/>
          <w:tcBorders>
            <w:top w:val="single" w:sz="4" w:space="0" w:color="auto"/>
          </w:tcBorders>
        </w:tcPr>
        <w:p w14:paraId="3332BAD9" w14:textId="77777777" w:rsidR="00E57B48" w:rsidRDefault="00E57B48" w:rsidP="000B30E5">
          <w:pPr>
            <w:pStyle w:val="Footer"/>
          </w:pPr>
        </w:p>
        <w:p w14:paraId="3C36F2C5" w14:textId="77777777" w:rsidR="00E57B48" w:rsidRPr="00257138" w:rsidRDefault="00E57B48"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230C448A" w14:textId="77777777" w:rsidR="00E57B48" w:rsidRDefault="00E57B48" w:rsidP="000B30E5">
              <w:pPr>
                <w:pStyle w:val="Footer"/>
                <w:jc w:val="right"/>
              </w:pPr>
            </w:p>
            <w:p w14:paraId="28AE14DC" w14:textId="77777777" w:rsidR="00E57B48" w:rsidRPr="00257138" w:rsidRDefault="00E57B48"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4810DF">
                <w:fldChar w:fldCharType="begin"/>
              </w:r>
              <w:r w:rsidR="004810DF">
                <w:instrText xml:space="preserve"> NUMPAGES  </w:instrText>
              </w:r>
              <w:r w:rsidR="004810DF">
                <w:fldChar w:fldCharType="separate"/>
              </w:r>
              <w:r>
                <w:rPr>
                  <w:noProof/>
                </w:rPr>
                <w:t>6</w:t>
              </w:r>
              <w:r w:rsidR="004810DF">
                <w:rPr>
                  <w:noProof/>
                </w:rPr>
                <w:fldChar w:fldCharType="end"/>
              </w:r>
            </w:p>
          </w:sdtContent>
        </w:sdt>
      </w:tc>
    </w:tr>
    <w:tr w:rsidR="00E57B48" w:rsidRPr="00257138" w14:paraId="405D4D5E" w14:textId="77777777" w:rsidTr="000B30E5">
      <w:trPr>
        <w:trHeight w:val="263"/>
      </w:trPr>
      <w:tc>
        <w:tcPr>
          <w:tcW w:w="4360" w:type="dxa"/>
        </w:tcPr>
        <w:p w14:paraId="291B8D74" w14:textId="77777777" w:rsidR="00E57B48" w:rsidRPr="00257138" w:rsidRDefault="00E57B48" w:rsidP="000B30E5">
          <w:pPr>
            <w:pStyle w:val="Footer"/>
          </w:pPr>
          <w:r w:rsidRPr="00257138">
            <w:t xml:space="preserve">V1.0 </w:t>
          </w:r>
          <w:r>
            <w:t>Month</w:t>
          </w:r>
          <w:r w:rsidRPr="00257138">
            <w:t xml:space="preserve"> 201</w:t>
          </w:r>
          <w:r>
            <w:t>2</w:t>
          </w:r>
        </w:p>
      </w:tc>
      <w:tc>
        <w:tcPr>
          <w:tcW w:w="4360" w:type="dxa"/>
        </w:tcPr>
        <w:p w14:paraId="210E659F" w14:textId="77777777" w:rsidR="00E57B48" w:rsidRPr="00257138" w:rsidRDefault="00E57B48" w:rsidP="000B30E5">
          <w:pPr>
            <w:pStyle w:val="Footer"/>
            <w:jc w:val="right"/>
          </w:pPr>
        </w:p>
      </w:tc>
    </w:tr>
  </w:tbl>
  <w:p w14:paraId="566DE95C" w14:textId="77777777" w:rsidR="00E57B48" w:rsidRPr="00826007" w:rsidRDefault="00E57B48"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19B9" w14:textId="77777777" w:rsidR="00E57B48" w:rsidRDefault="00E57B48"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E57B48" w:rsidRPr="004A3084" w14:paraId="418BDA39" w14:textId="77777777" w:rsidTr="00231E8D">
      <w:trPr>
        <w:trHeight w:val="423"/>
      </w:trPr>
      <w:tc>
        <w:tcPr>
          <w:tcW w:w="7338" w:type="dxa"/>
          <w:tcBorders>
            <w:top w:val="single" w:sz="4" w:space="0" w:color="auto"/>
          </w:tcBorders>
        </w:tcPr>
        <w:p w14:paraId="075F2888" w14:textId="53314917" w:rsidR="00E57B48" w:rsidRPr="004A3084" w:rsidRDefault="00D4641E" w:rsidP="00EB2592">
          <w:pPr>
            <w:pStyle w:val="Footer"/>
          </w:pPr>
          <w:r>
            <w:t>How the TGA regulates software-</w:t>
          </w:r>
          <w:r w:rsidR="00E57B48">
            <w:t>based products</w:t>
          </w:r>
          <w:r w:rsidR="00E57B48">
            <w:br/>
            <w:t>Draft V</w:t>
          </w:r>
          <w:r w:rsidR="00EB2592">
            <w:t>1.1 February</w:t>
          </w:r>
          <w:r w:rsidR="00E57B48">
            <w:t xml:space="preserve"> 2021</w:t>
          </w:r>
        </w:p>
      </w:tc>
      <w:tc>
        <w:tcPr>
          <w:tcW w:w="1382" w:type="dxa"/>
          <w:tcBorders>
            <w:top w:val="single" w:sz="4" w:space="0" w:color="auto"/>
          </w:tcBorders>
        </w:tcPr>
        <w:sdt>
          <w:sdtPr>
            <w:id w:val="11571659"/>
            <w:docPartObj>
              <w:docPartGallery w:val="Page Numbers (Top of Page)"/>
              <w:docPartUnique/>
            </w:docPartObj>
          </w:sdtPr>
          <w:sdtEndPr/>
          <w:sdtContent>
            <w:p w14:paraId="68A29DC7" w14:textId="1B794DF4" w:rsidR="00E57B48" w:rsidRPr="004A3084" w:rsidRDefault="00E57B48" w:rsidP="00231E8D">
              <w:pPr>
                <w:pStyle w:val="Footer"/>
                <w:jc w:val="right"/>
              </w:pPr>
              <w:r w:rsidRPr="004A3084">
                <w:t xml:space="preserve">Page </w:t>
              </w:r>
              <w:r>
                <w:fldChar w:fldCharType="begin"/>
              </w:r>
              <w:r>
                <w:instrText xml:space="preserve"> PAGE </w:instrText>
              </w:r>
              <w:r>
                <w:fldChar w:fldCharType="separate"/>
              </w:r>
              <w:r w:rsidR="004810DF">
                <w:rPr>
                  <w:noProof/>
                </w:rPr>
                <w:t>9</w:t>
              </w:r>
              <w:r>
                <w:rPr>
                  <w:noProof/>
                </w:rPr>
                <w:fldChar w:fldCharType="end"/>
              </w:r>
              <w:r w:rsidRPr="004A3084">
                <w:t xml:space="preserve"> of </w:t>
              </w:r>
              <w:r w:rsidR="004810DF">
                <w:fldChar w:fldCharType="begin"/>
              </w:r>
              <w:r w:rsidR="004810DF">
                <w:instrText xml:space="preserve"> NUMPAGES  </w:instrText>
              </w:r>
              <w:r w:rsidR="004810DF">
                <w:fldChar w:fldCharType="separate"/>
              </w:r>
              <w:r w:rsidR="004810DF">
                <w:rPr>
                  <w:noProof/>
                </w:rPr>
                <w:t>30</w:t>
              </w:r>
              <w:r w:rsidR="004810DF">
                <w:rPr>
                  <w:noProof/>
                </w:rPr>
                <w:fldChar w:fldCharType="end"/>
              </w:r>
            </w:p>
          </w:sdtContent>
        </w:sdt>
      </w:tc>
    </w:tr>
  </w:tbl>
  <w:p w14:paraId="2D3F8B02" w14:textId="77777777" w:rsidR="00E57B48" w:rsidRPr="00826007" w:rsidRDefault="00E57B48"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DC0A" w14:textId="77777777" w:rsidR="00E57B48" w:rsidRPr="008E3C43" w:rsidRDefault="00E57B4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8FC79" w14:textId="77777777" w:rsidR="00E57B48" w:rsidRDefault="00E57B48" w:rsidP="00C40A36">
      <w:pPr>
        <w:spacing w:after="0"/>
      </w:pPr>
      <w:r>
        <w:separator/>
      </w:r>
    </w:p>
  </w:footnote>
  <w:footnote w:type="continuationSeparator" w:id="0">
    <w:p w14:paraId="43B91AEC" w14:textId="77777777" w:rsidR="00E57B48" w:rsidRDefault="00E57B48"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6637" w14:textId="51924422" w:rsidR="00E57B48" w:rsidRDefault="00E57B48"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E57B48" w:rsidRPr="002B29B2" w14:paraId="595D018E" w14:textId="77777777" w:rsidTr="00F71E1E">
      <w:trPr>
        <w:trHeight w:hRule="exact" w:val="8845"/>
      </w:trPr>
      <w:tc>
        <w:tcPr>
          <w:tcW w:w="11964" w:type="dxa"/>
          <w:vAlign w:val="center"/>
        </w:tcPr>
        <w:p w14:paraId="444655F9" w14:textId="77777777" w:rsidR="00E57B48" w:rsidRPr="002B29B2" w:rsidRDefault="00D754A4" w:rsidP="006A2426">
          <w:pPr>
            <w:ind w:left="-57"/>
            <w:rPr>
              <w:noProof/>
            </w:rPr>
          </w:pPr>
          <w:sdt>
            <w:sdtPr>
              <w:rPr>
                <w:noProof/>
                <w:lang w:eastAsia="en-AU"/>
              </w:rPr>
              <w:id w:val="1926993388"/>
              <w:picture/>
            </w:sdtPr>
            <w:sdtEndPr/>
            <w:sdtContent>
              <w:r w:rsidR="00E57B48" w:rsidRPr="00F71E1E">
                <w:rPr>
                  <w:noProof/>
                  <w:lang w:eastAsia="en-AU"/>
                </w:rPr>
                <w:drawing>
                  <wp:inline distT="0" distB="0" distL="0" distR="0" wp14:anchorId="753E9883" wp14:editId="226C25B0">
                    <wp:extent cx="8385399" cy="558976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91114" cy="5593576"/>
                            </a:xfrm>
                            <a:prstGeom prst="rect">
                              <a:avLst/>
                            </a:prstGeom>
                            <a:noFill/>
                            <a:ln w="9525">
                              <a:noFill/>
                              <a:miter lim="800000"/>
                              <a:headEnd/>
                              <a:tailEnd/>
                            </a:ln>
                          </pic:spPr>
                        </pic:pic>
                      </a:graphicData>
                    </a:graphic>
                  </wp:inline>
                </w:drawing>
              </w:r>
            </w:sdtContent>
          </w:sdt>
        </w:p>
      </w:tc>
    </w:tr>
  </w:tbl>
  <w:p w14:paraId="60118518" w14:textId="77777777" w:rsidR="00E57B48" w:rsidRDefault="00E57B48" w:rsidP="006D03E5">
    <w:pPr>
      <w:rPr>
        <w:noProof/>
      </w:rPr>
    </w:pPr>
    <w:r>
      <w:rPr>
        <w:noProof/>
        <w:lang w:eastAsia="en-AU"/>
      </w:rPr>
      <w:drawing>
        <wp:anchor distT="0" distB="0" distL="114300" distR="114300" simplePos="0" relativeHeight="251657728" behindDoc="0" locked="0" layoutInCell="1" allowOverlap="1" wp14:anchorId="76A2DC98" wp14:editId="60F5BD9C">
          <wp:simplePos x="0" y="0"/>
          <wp:positionH relativeFrom="column">
            <wp:posOffset>-186055</wp:posOffset>
          </wp:positionH>
          <wp:positionV relativeFrom="paragraph">
            <wp:posOffset>-58420</wp:posOffset>
          </wp:positionV>
          <wp:extent cx="3524250" cy="1209675"/>
          <wp:effectExtent l="19050" t="0" r="0" b="0"/>
          <wp:wrapTopAndBottom/>
          <wp:docPr id="141"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56704" behindDoc="0" locked="0" layoutInCell="0" allowOverlap="1" wp14:anchorId="4E77F664" wp14:editId="6B3449AB">
          <wp:simplePos x="0" y="0"/>
          <wp:positionH relativeFrom="page">
            <wp:posOffset>0</wp:posOffset>
          </wp:positionH>
          <wp:positionV relativeFrom="page">
            <wp:posOffset>4152900</wp:posOffset>
          </wp:positionV>
          <wp:extent cx="7581900" cy="2447925"/>
          <wp:effectExtent l="19050" t="0" r="0" b="0"/>
          <wp:wrapNone/>
          <wp:docPr id="142" name="Picture 142"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409B" w14:textId="488CE90B" w:rsidR="00E57B48" w:rsidRDefault="00D754A4" w:rsidP="00C3408D">
    <w:pPr>
      <w:pStyle w:val="Header"/>
    </w:pPr>
    <w:sdt>
      <w:sdtPr>
        <w:id w:val="-1045833796"/>
        <w:docPartObj>
          <w:docPartGallery w:val="Watermarks"/>
          <w:docPartUnique/>
        </w:docPartObj>
      </w:sdtPr>
      <w:sdtEndPr/>
      <w:sdtContent>
        <w:r>
          <w:rPr>
            <w:noProof/>
            <w:lang w:val="en-US"/>
          </w:rPr>
          <w:pict w14:anchorId="0676A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4"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57B48"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69A3" w14:textId="77777777" w:rsidR="00E57B48" w:rsidRPr="00FE501F" w:rsidRDefault="00E57B4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952E3E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5A8CF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C6BC5"/>
    <w:multiLevelType w:val="hybridMultilevel"/>
    <w:tmpl w:val="56626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C0AAE"/>
    <w:multiLevelType w:val="multilevel"/>
    <w:tmpl w:val="AB7069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574C69"/>
    <w:multiLevelType w:val="multilevel"/>
    <w:tmpl w:val="56DA53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A03B17"/>
    <w:multiLevelType w:val="multilevel"/>
    <w:tmpl w:val="6A1E8AD6"/>
    <w:lvl w:ilvl="0">
      <w:start w:val="1"/>
      <w:numFmt w:val="lowerRoman"/>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F7479A"/>
    <w:multiLevelType w:val="hybridMultilevel"/>
    <w:tmpl w:val="5F6660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0053F11"/>
    <w:multiLevelType w:val="multilevel"/>
    <w:tmpl w:val="A7923D4E"/>
    <w:styleLink w:val="NumberBullet"/>
    <w:lvl w:ilvl="0">
      <w:start w:val="1"/>
      <w:numFmt w:val="decimal"/>
      <w:pStyle w:val="Numberbullet0"/>
      <w:lvlText w:val="%1."/>
      <w:lvlJc w:val="left"/>
      <w:pPr>
        <w:ind w:left="709"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3747DF2"/>
    <w:multiLevelType w:val="hybridMultilevel"/>
    <w:tmpl w:val="260ABD2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9" w15:restartNumberingAfterBreak="0">
    <w:nsid w:val="14D31A7E"/>
    <w:multiLevelType w:val="hybridMultilevel"/>
    <w:tmpl w:val="30FC92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9127A5D"/>
    <w:multiLevelType w:val="hybridMultilevel"/>
    <w:tmpl w:val="284A0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B27DA0"/>
    <w:multiLevelType w:val="hybridMultilevel"/>
    <w:tmpl w:val="C5141D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26483B"/>
    <w:multiLevelType w:val="multilevel"/>
    <w:tmpl w:val="C624CF1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53D40A6"/>
    <w:multiLevelType w:val="hybridMultilevel"/>
    <w:tmpl w:val="DD00E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605C7"/>
    <w:multiLevelType w:val="hybridMultilevel"/>
    <w:tmpl w:val="82740E86"/>
    <w:lvl w:ilvl="0" w:tplc="AF4EC5E0">
      <w:start w:val="5"/>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B84539"/>
    <w:multiLevelType w:val="multilevel"/>
    <w:tmpl w:val="218A0958"/>
    <w:lvl w:ilvl="0">
      <w:start w:val="1"/>
      <w:numFmt w:val="lowerRoman"/>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B8428BE"/>
    <w:multiLevelType w:val="multilevel"/>
    <w:tmpl w:val="77E04F40"/>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1860EEE"/>
    <w:multiLevelType w:val="hybridMultilevel"/>
    <w:tmpl w:val="C9B0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0C0BFA"/>
    <w:multiLevelType w:val="hybridMultilevel"/>
    <w:tmpl w:val="ACF60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A617FF"/>
    <w:multiLevelType w:val="multilevel"/>
    <w:tmpl w:val="0DB2AE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ED06FB7"/>
    <w:multiLevelType w:val="hybridMultilevel"/>
    <w:tmpl w:val="11787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612DF8"/>
    <w:multiLevelType w:val="multilevel"/>
    <w:tmpl w:val="919EE7C6"/>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4AF21E1"/>
    <w:multiLevelType w:val="hybridMultilevel"/>
    <w:tmpl w:val="5D723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01613F"/>
    <w:multiLevelType w:val="multilevel"/>
    <w:tmpl w:val="218A0958"/>
    <w:lvl w:ilvl="0">
      <w:start w:val="1"/>
      <w:numFmt w:val="lowerRoman"/>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7706202"/>
    <w:multiLevelType w:val="hybridMultilevel"/>
    <w:tmpl w:val="AF4EDAF8"/>
    <w:lvl w:ilvl="0" w:tplc="AF4EC5E0">
      <w:start w:val="5"/>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521FBB"/>
    <w:multiLevelType w:val="hybridMultilevel"/>
    <w:tmpl w:val="EF88C4C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15:restartNumberingAfterBreak="0">
    <w:nsid w:val="4EA674F6"/>
    <w:multiLevelType w:val="hybridMultilevel"/>
    <w:tmpl w:val="AE9AE130"/>
    <w:lvl w:ilvl="0" w:tplc="0C09000F">
      <w:start w:val="1"/>
      <w:numFmt w:val="decimal"/>
      <w:lvlText w:val="%1."/>
      <w:lvlJc w:val="left"/>
      <w:pPr>
        <w:ind w:left="720" w:hanging="360"/>
      </w:pPr>
    </w:lvl>
    <w:lvl w:ilvl="1" w:tplc="0C09001B">
      <w:start w:val="1"/>
      <w:numFmt w:val="lowerRoman"/>
      <w:lvlText w:val="%2."/>
      <w:lvlJc w:val="right"/>
      <w:pPr>
        <w:ind w:left="1080" w:firstLine="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336B0D"/>
    <w:multiLevelType w:val="hybridMultilevel"/>
    <w:tmpl w:val="6DFE2C6A"/>
    <w:lvl w:ilvl="0" w:tplc="56988ED6">
      <w:start w:val="1"/>
      <w:numFmt w:val="lowerRoman"/>
      <w:pStyle w:val="Numberbullet3"/>
      <w:lvlText w:val="%1."/>
      <w:lvlJc w:val="right"/>
      <w:pPr>
        <w:ind w:left="1324" w:hanging="360"/>
      </w:p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30" w15:restartNumberingAfterBreak="0">
    <w:nsid w:val="528C0469"/>
    <w:multiLevelType w:val="multilevel"/>
    <w:tmpl w:val="1E5643AC"/>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4DD6DEC"/>
    <w:multiLevelType w:val="hybridMultilevel"/>
    <w:tmpl w:val="C1C8A89E"/>
    <w:lvl w:ilvl="0" w:tplc="3DB6BEC6">
      <w:start w:val="1"/>
      <w:numFmt w:val="bullet"/>
      <w:lvlText w:val=""/>
      <w:lvlJc w:val="left"/>
      <w:pPr>
        <w:ind w:left="765" w:hanging="360"/>
      </w:pPr>
      <w:rPr>
        <w:rFonts w:ascii="Symbol" w:hAnsi="Symbol"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560D05A9"/>
    <w:multiLevelType w:val="multilevel"/>
    <w:tmpl w:val="9D0C47AC"/>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73C5704"/>
    <w:multiLevelType w:val="hybridMultilevel"/>
    <w:tmpl w:val="05FCF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35" w15:restartNumberingAfterBreak="0">
    <w:nsid w:val="5B2D0AE0"/>
    <w:multiLevelType w:val="hybridMultilevel"/>
    <w:tmpl w:val="CFFCA65A"/>
    <w:lvl w:ilvl="0" w:tplc="E09A2DEA">
      <w:start w:val="9"/>
      <w:numFmt w:val="lowerLetter"/>
      <w:lvlText w:val="(%1)"/>
      <w:lvlJc w:val="left"/>
      <w:pPr>
        <w:ind w:left="36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0F713D"/>
    <w:multiLevelType w:val="hybridMultilevel"/>
    <w:tmpl w:val="0888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5CB021F8"/>
    <w:multiLevelType w:val="hybridMultilevel"/>
    <w:tmpl w:val="AB22B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FF44EE"/>
    <w:multiLevelType w:val="multilevel"/>
    <w:tmpl w:val="919EE7C6"/>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918156E"/>
    <w:multiLevelType w:val="multilevel"/>
    <w:tmpl w:val="6A1E8AD6"/>
    <w:lvl w:ilvl="0">
      <w:start w:val="1"/>
      <w:numFmt w:val="lowerRoman"/>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B741F5C"/>
    <w:multiLevelType w:val="multilevel"/>
    <w:tmpl w:val="9A3C695C"/>
    <w:lvl w:ilvl="0">
      <w:start w:val="3"/>
      <w:numFmt w:val="decimal"/>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1" w15:restartNumberingAfterBreak="0">
    <w:nsid w:val="6E01629D"/>
    <w:multiLevelType w:val="multilevel"/>
    <w:tmpl w:val="174AEF9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E213A71"/>
    <w:multiLevelType w:val="hybridMultilevel"/>
    <w:tmpl w:val="A5DA1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B26DDD"/>
    <w:multiLevelType w:val="hybridMultilevel"/>
    <w:tmpl w:val="3A88C08E"/>
    <w:lvl w:ilvl="0" w:tplc="0C09000F">
      <w:start w:val="1"/>
      <w:numFmt w:val="decimal"/>
      <w:lvlText w:val="%1."/>
      <w:lvlJc w:val="left"/>
      <w:pPr>
        <w:ind w:left="720" w:hanging="360"/>
      </w:pPr>
    </w:lvl>
    <w:lvl w:ilvl="1" w:tplc="B61CC6EA">
      <w:start w:val="1"/>
      <w:numFmt w:val="lowerRoman"/>
      <w:lvlText w:val="(%2)"/>
      <w:lvlJc w:val="left"/>
      <w:pPr>
        <w:ind w:left="1080" w:firstLine="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ED106D4"/>
    <w:multiLevelType w:val="hybridMultilevel"/>
    <w:tmpl w:val="26004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A83890"/>
    <w:multiLevelType w:val="multilevel"/>
    <w:tmpl w:val="644C3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533AA7"/>
    <w:multiLevelType w:val="multilevel"/>
    <w:tmpl w:val="C99C17A8"/>
    <w:lvl w:ilvl="0">
      <w:start w:val="13"/>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7C45FB7"/>
    <w:multiLevelType w:val="hybridMultilevel"/>
    <w:tmpl w:val="4DBEE9C0"/>
    <w:lvl w:ilvl="0" w:tplc="0C090001">
      <w:start w:val="1"/>
      <w:numFmt w:val="bullet"/>
      <w:lvlText w:val=""/>
      <w:lvlJc w:val="left"/>
      <w:pPr>
        <w:ind w:left="2595" w:hanging="360"/>
      </w:pPr>
      <w:rPr>
        <w:rFonts w:ascii="Symbol" w:hAnsi="Symbol" w:hint="default"/>
      </w:rPr>
    </w:lvl>
    <w:lvl w:ilvl="1" w:tplc="0C090003" w:tentative="1">
      <w:start w:val="1"/>
      <w:numFmt w:val="bullet"/>
      <w:lvlText w:val="o"/>
      <w:lvlJc w:val="left"/>
      <w:pPr>
        <w:ind w:left="3315" w:hanging="360"/>
      </w:pPr>
      <w:rPr>
        <w:rFonts w:ascii="Courier New" w:hAnsi="Courier New" w:cs="Courier New" w:hint="default"/>
      </w:rPr>
    </w:lvl>
    <w:lvl w:ilvl="2" w:tplc="0C090005" w:tentative="1">
      <w:start w:val="1"/>
      <w:numFmt w:val="bullet"/>
      <w:lvlText w:val=""/>
      <w:lvlJc w:val="left"/>
      <w:pPr>
        <w:ind w:left="4035" w:hanging="360"/>
      </w:pPr>
      <w:rPr>
        <w:rFonts w:ascii="Wingdings" w:hAnsi="Wingdings" w:hint="default"/>
      </w:rPr>
    </w:lvl>
    <w:lvl w:ilvl="3" w:tplc="0C090001" w:tentative="1">
      <w:start w:val="1"/>
      <w:numFmt w:val="bullet"/>
      <w:lvlText w:val=""/>
      <w:lvlJc w:val="left"/>
      <w:pPr>
        <w:ind w:left="4755" w:hanging="360"/>
      </w:pPr>
      <w:rPr>
        <w:rFonts w:ascii="Symbol" w:hAnsi="Symbol" w:hint="default"/>
      </w:rPr>
    </w:lvl>
    <w:lvl w:ilvl="4" w:tplc="0C090003" w:tentative="1">
      <w:start w:val="1"/>
      <w:numFmt w:val="bullet"/>
      <w:lvlText w:val="o"/>
      <w:lvlJc w:val="left"/>
      <w:pPr>
        <w:ind w:left="5475" w:hanging="360"/>
      </w:pPr>
      <w:rPr>
        <w:rFonts w:ascii="Courier New" w:hAnsi="Courier New" w:cs="Courier New" w:hint="default"/>
      </w:rPr>
    </w:lvl>
    <w:lvl w:ilvl="5" w:tplc="0C090005" w:tentative="1">
      <w:start w:val="1"/>
      <w:numFmt w:val="bullet"/>
      <w:lvlText w:val=""/>
      <w:lvlJc w:val="left"/>
      <w:pPr>
        <w:ind w:left="6195" w:hanging="360"/>
      </w:pPr>
      <w:rPr>
        <w:rFonts w:ascii="Wingdings" w:hAnsi="Wingdings" w:hint="default"/>
      </w:rPr>
    </w:lvl>
    <w:lvl w:ilvl="6" w:tplc="0C090001" w:tentative="1">
      <w:start w:val="1"/>
      <w:numFmt w:val="bullet"/>
      <w:lvlText w:val=""/>
      <w:lvlJc w:val="left"/>
      <w:pPr>
        <w:ind w:left="6915" w:hanging="360"/>
      </w:pPr>
      <w:rPr>
        <w:rFonts w:ascii="Symbol" w:hAnsi="Symbol" w:hint="default"/>
      </w:rPr>
    </w:lvl>
    <w:lvl w:ilvl="7" w:tplc="0C090003" w:tentative="1">
      <w:start w:val="1"/>
      <w:numFmt w:val="bullet"/>
      <w:lvlText w:val="o"/>
      <w:lvlJc w:val="left"/>
      <w:pPr>
        <w:ind w:left="7635" w:hanging="360"/>
      </w:pPr>
      <w:rPr>
        <w:rFonts w:ascii="Courier New" w:hAnsi="Courier New" w:cs="Courier New" w:hint="default"/>
      </w:rPr>
    </w:lvl>
    <w:lvl w:ilvl="8" w:tplc="0C090005" w:tentative="1">
      <w:start w:val="1"/>
      <w:numFmt w:val="bullet"/>
      <w:lvlText w:val=""/>
      <w:lvlJc w:val="left"/>
      <w:pPr>
        <w:ind w:left="8355" w:hanging="360"/>
      </w:pPr>
      <w:rPr>
        <w:rFonts w:ascii="Wingdings" w:hAnsi="Wingdings" w:hint="default"/>
      </w:rPr>
    </w:lvl>
  </w:abstractNum>
  <w:abstractNum w:abstractNumId="48" w15:restartNumberingAfterBreak="0">
    <w:nsid w:val="7A4321D1"/>
    <w:multiLevelType w:val="hybridMultilevel"/>
    <w:tmpl w:val="28640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ED619D"/>
    <w:multiLevelType w:val="hybridMultilevel"/>
    <w:tmpl w:val="2C9019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0" w15:restartNumberingAfterBreak="0">
    <w:nsid w:val="7FDD1AF9"/>
    <w:multiLevelType w:val="multilevel"/>
    <w:tmpl w:val="D6564D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463425976">
    <w:abstractNumId w:val="11"/>
  </w:num>
  <w:num w:numId="2" w16cid:durableId="826480364">
    <w:abstractNumId w:val="7"/>
  </w:num>
  <w:num w:numId="3" w16cid:durableId="1616598540">
    <w:abstractNumId w:val="11"/>
  </w:num>
  <w:num w:numId="4" w16cid:durableId="1089741941">
    <w:abstractNumId w:val="7"/>
  </w:num>
  <w:num w:numId="5" w16cid:durableId="1528525118">
    <w:abstractNumId w:val="10"/>
  </w:num>
  <w:num w:numId="6" w16cid:durableId="1523930574">
    <w:abstractNumId w:val="29"/>
  </w:num>
  <w:num w:numId="7" w16cid:durableId="1563711713">
    <w:abstractNumId w:val="18"/>
  </w:num>
  <w:num w:numId="8" w16cid:durableId="1774276809">
    <w:abstractNumId w:val="40"/>
  </w:num>
  <w:num w:numId="9" w16cid:durableId="1882664959">
    <w:abstractNumId w:val="26"/>
  </w:num>
  <w:num w:numId="10" w16cid:durableId="616833447">
    <w:abstractNumId w:val="16"/>
  </w:num>
  <w:num w:numId="11" w16cid:durableId="202906946">
    <w:abstractNumId w:val="34"/>
  </w:num>
  <w:num w:numId="12" w16cid:durableId="690910071">
    <w:abstractNumId w:val="20"/>
  </w:num>
  <w:num w:numId="13" w16cid:durableId="1558469458">
    <w:abstractNumId w:val="21"/>
  </w:num>
  <w:num w:numId="14" w16cid:durableId="544680756">
    <w:abstractNumId w:val="48"/>
  </w:num>
  <w:num w:numId="15" w16cid:durableId="616760488">
    <w:abstractNumId w:val="49"/>
  </w:num>
  <w:num w:numId="16" w16cid:durableId="291792720">
    <w:abstractNumId w:val="47"/>
  </w:num>
  <w:num w:numId="17" w16cid:durableId="1600483410">
    <w:abstractNumId w:val="30"/>
  </w:num>
  <w:num w:numId="18" w16cid:durableId="1993750456">
    <w:abstractNumId w:val="13"/>
  </w:num>
  <w:num w:numId="19" w16cid:durableId="57629300">
    <w:abstractNumId w:val="14"/>
  </w:num>
  <w:num w:numId="20" w16cid:durableId="910307193">
    <w:abstractNumId w:val="33"/>
  </w:num>
  <w:num w:numId="21" w16cid:durableId="721059177">
    <w:abstractNumId w:val="27"/>
  </w:num>
  <w:num w:numId="22" w16cid:durableId="1574388138">
    <w:abstractNumId w:val="8"/>
  </w:num>
  <w:num w:numId="23" w16cid:durableId="1484393007">
    <w:abstractNumId w:val="2"/>
  </w:num>
  <w:num w:numId="24" w16cid:durableId="229735857">
    <w:abstractNumId w:val="9"/>
  </w:num>
  <w:num w:numId="25" w16cid:durableId="1213035605">
    <w:abstractNumId w:val="50"/>
  </w:num>
  <w:num w:numId="26" w16cid:durableId="665287103">
    <w:abstractNumId w:val="3"/>
  </w:num>
  <w:num w:numId="27" w16cid:durableId="782572957">
    <w:abstractNumId w:val="45"/>
  </w:num>
  <w:num w:numId="28" w16cid:durableId="35395182">
    <w:abstractNumId w:val="4"/>
  </w:num>
  <w:num w:numId="29" w16cid:durableId="1090811746">
    <w:abstractNumId w:val="39"/>
  </w:num>
  <w:num w:numId="30" w16cid:durableId="1496415688">
    <w:abstractNumId w:val="25"/>
  </w:num>
  <w:num w:numId="31" w16cid:durableId="810294977">
    <w:abstractNumId w:val="19"/>
  </w:num>
  <w:num w:numId="32" w16cid:durableId="1322730002">
    <w:abstractNumId w:val="44"/>
  </w:num>
  <w:num w:numId="33" w16cid:durableId="1012102473">
    <w:abstractNumId w:val="43"/>
  </w:num>
  <w:num w:numId="34" w16cid:durableId="272984918">
    <w:abstractNumId w:val="35"/>
  </w:num>
  <w:num w:numId="35" w16cid:durableId="1633637166">
    <w:abstractNumId w:val="41"/>
  </w:num>
  <w:num w:numId="36" w16cid:durableId="1860897623">
    <w:abstractNumId w:val="6"/>
  </w:num>
  <w:num w:numId="37" w16cid:durableId="671566693">
    <w:abstractNumId w:val="5"/>
  </w:num>
  <w:num w:numId="38" w16cid:durableId="529994175">
    <w:abstractNumId w:val="32"/>
  </w:num>
  <w:num w:numId="39" w16cid:durableId="1303581366">
    <w:abstractNumId w:val="23"/>
  </w:num>
  <w:num w:numId="40" w16cid:durableId="872111114">
    <w:abstractNumId w:val="28"/>
  </w:num>
  <w:num w:numId="41" w16cid:durableId="150369484">
    <w:abstractNumId w:val="38"/>
  </w:num>
  <w:num w:numId="42" w16cid:durableId="526068719">
    <w:abstractNumId w:val="37"/>
  </w:num>
  <w:num w:numId="43" w16cid:durableId="825587933">
    <w:abstractNumId w:val="22"/>
  </w:num>
  <w:num w:numId="44" w16cid:durableId="145439698">
    <w:abstractNumId w:val="15"/>
  </w:num>
  <w:num w:numId="45" w16cid:durableId="2082361740">
    <w:abstractNumId w:val="42"/>
  </w:num>
  <w:num w:numId="46" w16cid:durableId="2118793064">
    <w:abstractNumId w:val="17"/>
  </w:num>
  <w:num w:numId="47" w16cid:durableId="930041921">
    <w:abstractNumId w:val="31"/>
  </w:num>
  <w:num w:numId="48" w16cid:durableId="1023284249">
    <w:abstractNumId w:val="36"/>
  </w:num>
  <w:num w:numId="49" w16cid:durableId="1701784987">
    <w:abstractNumId w:val="12"/>
  </w:num>
  <w:num w:numId="50" w16cid:durableId="1032270798">
    <w:abstractNumId w:val="24"/>
  </w:num>
  <w:num w:numId="51" w16cid:durableId="1865899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6302057">
    <w:abstractNumId w:val="29"/>
    <w:lvlOverride w:ilvl="0">
      <w:startOverride w:val="1"/>
    </w:lvlOverride>
  </w:num>
  <w:num w:numId="53" w16cid:durableId="1123298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88521484">
    <w:abstractNumId w:val="29"/>
    <w:lvlOverride w:ilvl="0">
      <w:startOverride w:val="1"/>
    </w:lvlOverride>
  </w:num>
  <w:num w:numId="55" w16cid:durableId="2656252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135720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32343307">
    <w:abstractNumId w:val="29"/>
    <w:lvlOverride w:ilvl="0">
      <w:startOverride w:val="1"/>
    </w:lvlOverride>
  </w:num>
  <w:num w:numId="58" w16cid:durableId="16781915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31599234">
    <w:abstractNumId w:val="29"/>
    <w:lvlOverride w:ilvl="0">
      <w:startOverride w:val="1"/>
    </w:lvlOverride>
  </w:num>
  <w:num w:numId="60" w16cid:durableId="1027758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3221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92563979">
    <w:abstractNumId w:val="29"/>
    <w:lvlOverride w:ilvl="0">
      <w:startOverride w:val="1"/>
    </w:lvlOverride>
  </w:num>
  <w:num w:numId="63" w16cid:durableId="1096897862">
    <w:abstractNumId w:val="29"/>
    <w:lvlOverride w:ilvl="0">
      <w:startOverride w:val="1"/>
    </w:lvlOverride>
  </w:num>
  <w:num w:numId="64" w16cid:durableId="185605741">
    <w:abstractNumId w:val="29"/>
    <w:lvlOverride w:ilvl="0">
      <w:startOverride w:val="1"/>
    </w:lvlOverride>
  </w:num>
  <w:num w:numId="65" w16cid:durableId="907114186">
    <w:abstractNumId w:val="29"/>
    <w:lvlOverride w:ilvl="0">
      <w:startOverride w:val="1"/>
    </w:lvlOverride>
  </w:num>
  <w:num w:numId="66" w16cid:durableId="4536459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798018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22331300">
    <w:abstractNumId w:val="29"/>
    <w:lvlOverride w:ilvl="0">
      <w:startOverride w:val="1"/>
    </w:lvlOverride>
  </w:num>
  <w:num w:numId="69" w16cid:durableId="1354501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847808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75473608">
    <w:abstractNumId w:val="1"/>
  </w:num>
  <w:num w:numId="72" w16cid:durableId="1083449610">
    <w:abstractNumId w:val="0"/>
  </w:num>
  <w:num w:numId="73" w16cid:durableId="1801876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424254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66641316">
    <w:abstractNumId w:val="46"/>
  </w:num>
  <w:num w:numId="76" w16cid:durableId="19595992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5"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DE8"/>
    <w:rsid w:val="00001A35"/>
    <w:rsid w:val="00002031"/>
    <w:rsid w:val="00002EFE"/>
    <w:rsid w:val="000040BA"/>
    <w:rsid w:val="00004734"/>
    <w:rsid w:val="00006B22"/>
    <w:rsid w:val="00007593"/>
    <w:rsid w:val="00010829"/>
    <w:rsid w:val="00010E4D"/>
    <w:rsid w:val="00012020"/>
    <w:rsid w:val="0001276A"/>
    <w:rsid w:val="0001303F"/>
    <w:rsid w:val="00013B3A"/>
    <w:rsid w:val="00016BEB"/>
    <w:rsid w:val="000219BE"/>
    <w:rsid w:val="00023122"/>
    <w:rsid w:val="000246AE"/>
    <w:rsid w:val="00025C67"/>
    <w:rsid w:val="00026298"/>
    <w:rsid w:val="0003059E"/>
    <w:rsid w:val="00032FFB"/>
    <w:rsid w:val="000378D5"/>
    <w:rsid w:val="00041296"/>
    <w:rsid w:val="00052226"/>
    <w:rsid w:val="0005559E"/>
    <w:rsid w:val="00056B18"/>
    <w:rsid w:val="00067010"/>
    <w:rsid w:val="000703AB"/>
    <w:rsid w:val="00075477"/>
    <w:rsid w:val="00075F66"/>
    <w:rsid w:val="00077429"/>
    <w:rsid w:val="00077775"/>
    <w:rsid w:val="000843D4"/>
    <w:rsid w:val="00084C86"/>
    <w:rsid w:val="00090471"/>
    <w:rsid w:val="000934A6"/>
    <w:rsid w:val="00097921"/>
    <w:rsid w:val="000A18EA"/>
    <w:rsid w:val="000A3543"/>
    <w:rsid w:val="000A4371"/>
    <w:rsid w:val="000B2853"/>
    <w:rsid w:val="000B30E5"/>
    <w:rsid w:val="000B3532"/>
    <w:rsid w:val="000B3A75"/>
    <w:rsid w:val="000B574E"/>
    <w:rsid w:val="000B5E4E"/>
    <w:rsid w:val="000B6CAE"/>
    <w:rsid w:val="000B7084"/>
    <w:rsid w:val="000C5075"/>
    <w:rsid w:val="000C7D42"/>
    <w:rsid w:val="000D0851"/>
    <w:rsid w:val="000D157F"/>
    <w:rsid w:val="000D391B"/>
    <w:rsid w:val="000D3D6D"/>
    <w:rsid w:val="000D4FC7"/>
    <w:rsid w:val="000F0241"/>
    <w:rsid w:val="000F1380"/>
    <w:rsid w:val="000F1C73"/>
    <w:rsid w:val="000F1D3F"/>
    <w:rsid w:val="000F33B3"/>
    <w:rsid w:val="000F4869"/>
    <w:rsid w:val="000F5176"/>
    <w:rsid w:val="000F5978"/>
    <w:rsid w:val="000F5B42"/>
    <w:rsid w:val="000F6E6F"/>
    <w:rsid w:val="001003F2"/>
    <w:rsid w:val="00102BDA"/>
    <w:rsid w:val="0010601F"/>
    <w:rsid w:val="00106E41"/>
    <w:rsid w:val="00110EA5"/>
    <w:rsid w:val="00115240"/>
    <w:rsid w:val="00115508"/>
    <w:rsid w:val="00115B82"/>
    <w:rsid w:val="00116692"/>
    <w:rsid w:val="001210F1"/>
    <w:rsid w:val="001216ED"/>
    <w:rsid w:val="001246BA"/>
    <w:rsid w:val="00125091"/>
    <w:rsid w:val="00125318"/>
    <w:rsid w:val="001305A2"/>
    <w:rsid w:val="00133238"/>
    <w:rsid w:val="00133C26"/>
    <w:rsid w:val="001369D6"/>
    <w:rsid w:val="00137DA3"/>
    <w:rsid w:val="00140FE3"/>
    <w:rsid w:val="0014197B"/>
    <w:rsid w:val="0014247A"/>
    <w:rsid w:val="00143589"/>
    <w:rsid w:val="001447CD"/>
    <w:rsid w:val="001500F7"/>
    <w:rsid w:val="001516B1"/>
    <w:rsid w:val="001525B4"/>
    <w:rsid w:val="00155ED5"/>
    <w:rsid w:val="00156316"/>
    <w:rsid w:val="001616A1"/>
    <w:rsid w:val="00165389"/>
    <w:rsid w:val="00165DC3"/>
    <w:rsid w:val="001713A3"/>
    <w:rsid w:val="00172A15"/>
    <w:rsid w:val="00173CFB"/>
    <w:rsid w:val="001740BC"/>
    <w:rsid w:val="0017693F"/>
    <w:rsid w:val="0018110E"/>
    <w:rsid w:val="00181303"/>
    <w:rsid w:val="00181684"/>
    <w:rsid w:val="00183528"/>
    <w:rsid w:val="001843C6"/>
    <w:rsid w:val="001850E0"/>
    <w:rsid w:val="0018660B"/>
    <w:rsid w:val="00186B5E"/>
    <w:rsid w:val="00192AAA"/>
    <w:rsid w:val="00192AC7"/>
    <w:rsid w:val="00193563"/>
    <w:rsid w:val="00193B36"/>
    <w:rsid w:val="001A3190"/>
    <w:rsid w:val="001A525F"/>
    <w:rsid w:val="001B09F9"/>
    <w:rsid w:val="001B6448"/>
    <w:rsid w:val="001C3A9E"/>
    <w:rsid w:val="001C5041"/>
    <w:rsid w:val="001D7224"/>
    <w:rsid w:val="001E07CF"/>
    <w:rsid w:val="001E275A"/>
    <w:rsid w:val="001E59F1"/>
    <w:rsid w:val="001F124F"/>
    <w:rsid w:val="001F20F9"/>
    <w:rsid w:val="001F42E4"/>
    <w:rsid w:val="001F49EB"/>
    <w:rsid w:val="001F5DA8"/>
    <w:rsid w:val="001F6CBA"/>
    <w:rsid w:val="00201D4E"/>
    <w:rsid w:val="00202B06"/>
    <w:rsid w:val="002068E4"/>
    <w:rsid w:val="00211899"/>
    <w:rsid w:val="0021352F"/>
    <w:rsid w:val="00215D48"/>
    <w:rsid w:val="00216B56"/>
    <w:rsid w:val="00217091"/>
    <w:rsid w:val="00220B8A"/>
    <w:rsid w:val="0022405E"/>
    <w:rsid w:val="00224FBC"/>
    <w:rsid w:val="002257F3"/>
    <w:rsid w:val="00226226"/>
    <w:rsid w:val="00230CC4"/>
    <w:rsid w:val="00231D76"/>
    <w:rsid w:val="00231E8D"/>
    <w:rsid w:val="00232532"/>
    <w:rsid w:val="00233456"/>
    <w:rsid w:val="002339A5"/>
    <w:rsid w:val="00234FF5"/>
    <w:rsid w:val="00236083"/>
    <w:rsid w:val="00236271"/>
    <w:rsid w:val="00237691"/>
    <w:rsid w:val="00247FB9"/>
    <w:rsid w:val="00250EF4"/>
    <w:rsid w:val="00254607"/>
    <w:rsid w:val="00257138"/>
    <w:rsid w:val="00257848"/>
    <w:rsid w:val="00260025"/>
    <w:rsid w:val="0026045A"/>
    <w:rsid w:val="0027084A"/>
    <w:rsid w:val="00280DE8"/>
    <w:rsid w:val="00284062"/>
    <w:rsid w:val="00284C19"/>
    <w:rsid w:val="00286434"/>
    <w:rsid w:val="00286451"/>
    <w:rsid w:val="00286C59"/>
    <w:rsid w:val="0029069E"/>
    <w:rsid w:val="00290795"/>
    <w:rsid w:val="0029215E"/>
    <w:rsid w:val="002942D1"/>
    <w:rsid w:val="002A0556"/>
    <w:rsid w:val="002A0EC4"/>
    <w:rsid w:val="002A358D"/>
    <w:rsid w:val="002A592C"/>
    <w:rsid w:val="002A5B3A"/>
    <w:rsid w:val="002B1638"/>
    <w:rsid w:val="002B25CB"/>
    <w:rsid w:val="002B29B2"/>
    <w:rsid w:val="002C376C"/>
    <w:rsid w:val="002C5D92"/>
    <w:rsid w:val="002C6E9C"/>
    <w:rsid w:val="002C7FA8"/>
    <w:rsid w:val="002D02ED"/>
    <w:rsid w:val="002D0412"/>
    <w:rsid w:val="002D1CD3"/>
    <w:rsid w:val="002D38DE"/>
    <w:rsid w:val="002D4EF8"/>
    <w:rsid w:val="002E193A"/>
    <w:rsid w:val="002E2DCB"/>
    <w:rsid w:val="002E364F"/>
    <w:rsid w:val="002E4C9A"/>
    <w:rsid w:val="002F11F8"/>
    <w:rsid w:val="002F260A"/>
    <w:rsid w:val="002F3F56"/>
    <w:rsid w:val="002F44B5"/>
    <w:rsid w:val="002F7DAD"/>
    <w:rsid w:val="00300350"/>
    <w:rsid w:val="00300659"/>
    <w:rsid w:val="00301FA3"/>
    <w:rsid w:val="00311AC0"/>
    <w:rsid w:val="003234C9"/>
    <w:rsid w:val="00323F14"/>
    <w:rsid w:val="0032451A"/>
    <w:rsid w:val="003252DE"/>
    <w:rsid w:val="00325635"/>
    <w:rsid w:val="0033048E"/>
    <w:rsid w:val="00331DBB"/>
    <w:rsid w:val="00335472"/>
    <w:rsid w:val="00335C3B"/>
    <w:rsid w:val="003361D1"/>
    <w:rsid w:val="00337495"/>
    <w:rsid w:val="0033759A"/>
    <w:rsid w:val="0034064A"/>
    <w:rsid w:val="00340B84"/>
    <w:rsid w:val="00342BCE"/>
    <w:rsid w:val="00342E5E"/>
    <w:rsid w:val="00350236"/>
    <w:rsid w:val="0035146C"/>
    <w:rsid w:val="003521E8"/>
    <w:rsid w:val="0035450F"/>
    <w:rsid w:val="00355884"/>
    <w:rsid w:val="00357700"/>
    <w:rsid w:val="0036361E"/>
    <w:rsid w:val="003664BF"/>
    <w:rsid w:val="003728F3"/>
    <w:rsid w:val="00374E0B"/>
    <w:rsid w:val="00376793"/>
    <w:rsid w:val="00376EE4"/>
    <w:rsid w:val="00381FBA"/>
    <w:rsid w:val="003843F6"/>
    <w:rsid w:val="0038631C"/>
    <w:rsid w:val="00387AE8"/>
    <w:rsid w:val="00390900"/>
    <w:rsid w:val="00393398"/>
    <w:rsid w:val="003A2DDF"/>
    <w:rsid w:val="003B362C"/>
    <w:rsid w:val="003B7E39"/>
    <w:rsid w:val="003C344E"/>
    <w:rsid w:val="003C58DC"/>
    <w:rsid w:val="003D30AF"/>
    <w:rsid w:val="003D3B63"/>
    <w:rsid w:val="003D6B56"/>
    <w:rsid w:val="003E0A89"/>
    <w:rsid w:val="003E1D0B"/>
    <w:rsid w:val="003E3208"/>
    <w:rsid w:val="003F0B04"/>
    <w:rsid w:val="003F2E95"/>
    <w:rsid w:val="003F3FA5"/>
    <w:rsid w:val="0040134E"/>
    <w:rsid w:val="00404B57"/>
    <w:rsid w:val="00406531"/>
    <w:rsid w:val="00406DB9"/>
    <w:rsid w:val="004103D4"/>
    <w:rsid w:val="00411BC0"/>
    <w:rsid w:val="00416BCB"/>
    <w:rsid w:val="00420745"/>
    <w:rsid w:val="00424DAB"/>
    <w:rsid w:val="00426042"/>
    <w:rsid w:val="004300F4"/>
    <w:rsid w:val="00434677"/>
    <w:rsid w:val="00435B57"/>
    <w:rsid w:val="00436B5F"/>
    <w:rsid w:val="00440A2D"/>
    <w:rsid w:val="00440AC2"/>
    <w:rsid w:val="00442DA9"/>
    <w:rsid w:val="0045040C"/>
    <w:rsid w:val="00452F2A"/>
    <w:rsid w:val="004564A7"/>
    <w:rsid w:val="004617BF"/>
    <w:rsid w:val="00470478"/>
    <w:rsid w:val="00473864"/>
    <w:rsid w:val="004810DF"/>
    <w:rsid w:val="004815AE"/>
    <w:rsid w:val="00483D37"/>
    <w:rsid w:val="00486FD1"/>
    <w:rsid w:val="00490A2E"/>
    <w:rsid w:val="004923FF"/>
    <w:rsid w:val="004927EC"/>
    <w:rsid w:val="00494CA4"/>
    <w:rsid w:val="00494E60"/>
    <w:rsid w:val="0049734C"/>
    <w:rsid w:val="004A3084"/>
    <w:rsid w:val="004B7B76"/>
    <w:rsid w:val="004C0070"/>
    <w:rsid w:val="004C100A"/>
    <w:rsid w:val="004C1950"/>
    <w:rsid w:val="004C2CB6"/>
    <w:rsid w:val="004C3F05"/>
    <w:rsid w:val="004C4096"/>
    <w:rsid w:val="004C6E9B"/>
    <w:rsid w:val="004D1A8C"/>
    <w:rsid w:val="004D51A6"/>
    <w:rsid w:val="004F0F38"/>
    <w:rsid w:val="004F1240"/>
    <w:rsid w:val="004F3EA6"/>
    <w:rsid w:val="004F40D8"/>
    <w:rsid w:val="004F484B"/>
    <w:rsid w:val="00501921"/>
    <w:rsid w:val="005039D7"/>
    <w:rsid w:val="00503E97"/>
    <w:rsid w:val="00505BFE"/>
    <w:rsid w:val="00506E40"/>
    <w:rsid w:val="00516732"/>
    <w:rsid w:val="00520224"/>
    <w:rsid w:val="005231B7"/>
    <w:rsid w:val="00523FB1"/>
    <w:rsid w:val="005244BE"/>
    <w:rsid w:val="005268FB"/>
    <w:rsid w:val="005275ED"/>
    <w:rsid w:val="00530354"/>
    <w:rsid w:val="00530B23"/>
    <w:rsid w:val="00531108"/>
    <w:rsid w:val="0053449A"/>
    <w:rsid w:val="00535D83"/>
    <w:rsid w:val="0054053C"/>
    <w:rsid w:val="00541FD8"/>
    <w:rsid w:val="005423EF"/>
    <w:rsid w:val="005434C6"/>
    <w:rsid w:val="00543B39"/>
    <w:rsid w:val="00547FB5"/>
    <w:rsid w:val="00550096"/>
    <w:rsid w:val="00552ECC"/>
    <w:rsid w:val="00555C7D"/>
    <w:rsid w:val="0055653F"/>
    <w:rsid w:val="005578BB"/>
    <w:rsid w:val="00557FF9"/>
    <w:rsid w:val="00560037"/>
    <w:rsid w:val="00567A2E"/>
    <w:rsid w:val="00572797"/>
    <w:rsid w:val="00572D68"/>
    <w:rsid w:val="00572FCD"/>
    <w:rsid w:val="00574ADF"/>
    <w:rsid w:val="0057564C"/>
    <w:rsid w:val="00576378"/>
    <w:rsid w:val="005775B5"/>
    <w:rsid w:val="00577E38"/>
    <w:rsid w:val="00584285"/>
    <w:rsid w:val="00585322"/>
    <w:rsid w:val="0058670A"/>
    <w:rsid w:val="00591167"/>
    <w:rsid w:val="00592138"/>
    <w:rsid w:val="0059345B"/>
    <w:rsid w:val="00593AD1"/>
    <w:rsid w:val="005A0096"/>
    <w:rsid w:val="005A0986"/>
    <w:rsid w:val="005A1131"/>
    <w:rsid w:val="005A1629"/>
    <w:rsid w:val="005A7497"/>
    <w:rsid w:val="005A7B34"/>
    <w:rsid w:val="005B123F"/>
    <w:rsid w:val="005B7039"/>
    <w:rsid w:val="005C1FCB"/>
    <w:rsid w:val="005C372D"/>
    <w:rsid w:val="005C5570"/>
    <w:rsid w:val="005C5FD4"/>
    <w:rsid w:val="005C79A4"/>
    <w:rsid w:val="005D1689"/>
    <w:rsid w:val="005D248B"/>
    <w:rsid w:val="005D26F1"/>
    <w:rsid w:val="005D5442"/>
    <w:rsid w:val="005D55A3"/>
    <w:rsid w:val="005D6545"/>
    <w:rsid w:val="005D7D85"/>
    <w:rsid w:val="005E5568"/>
    <w:rsid w:val="005F2DE6"/>
    <w:rsid w:val="005F31C6"/>
    <w:rsid w:val="005F458A"/>
    <w:rsid w:val="005F545F"/>
    <w:rsid w:val="005F5830"/>
    <w:rsid w:val="005F5D48"/>
    <w:rsid w:val="005F6EC2"/>
    <w:rsid w:val="00600E1E"/>
    <w:rsid w:val="00601E87"/>
    <w:rsid w:val="00610D73"/>
    <w:rsid w:val="0061475A"/>
    <w:rsid w:val="00623946"/>
    <w:rsid w:val="00625015"/>
    <w:rsid w:val="006324BE"/>
    <w:rsid w:val="006333E1"/>
    <w:rsid w:val="006347E0"/>
    <w:rsid w:val="00640FC3"/>
    <w:rsid w:val="00642020"/>
    <w:rsid w:val="00643A9B"/>
    <w:rsid w:val="0065200D"/>
    <w:rsid w:val="0065337B"/>
    <w:rsid w:val="0065419D"/>
    <w:rsid w:val="00656644"/>
    <w:rsid w:val="006604D8"/>
    <w:rsid w:val="006638E6"/>
    <w:rsid w:val="00664A5B"/>
    <w:rsid w:val="00667942"/>
    <w:rsid w:val="00680C08"/>
    <w:rsid w:val="0068449C"/>
    <w:rsid w:val="0068741A"/>
    <w:rsid w:val="006931B1"/>
    <w:rsid w:val="00693FA7"/>
    <w:rsid w:val="00697B15"/>
    <w:rsid w:val="006A0C9B"/>
    <w:rsid w:val="006A15C0"/>
    <w:rsid w:val="006A2426"/>
    <w:rsid w:val="006A2A31"/>
    <w:rsid w:val="006A38E4"/>
    <w:rsid w:val="006A39A3"/>
    <w:rsid w:val="006B480F"/>
    <w:rsid w:val="006B60E6"/>
    <w:rsid w:val="006C1F3B"/>
    <w:rsid w:val="006C3E2A"/>
    <w:rsid w:val="006C43B5"/>
    <w:rsid w:val="006C6341"/>
    <w:rsid w:val="006C642F"/>
    <w:rsid w:val="006D03E5"/>
    <w:rsid w:val="006D39C7"/>
    <w:rsid w:val="006D5D3E"/>
    <w:rsid w:val="006E08B3"/>
    <w:rsid w:val="006E4E00"/>
    <w:rsid w:val="006E6A68"/>
    <w:rsid w:val="006E7637"/>
    <w:rsid w:val="006E7982"/>
    <w:rsid w:val="006F1604"/>
    <w:rsid w:val="006F3339"/>
    <w:rsid w:val="006F46EA"/>
    <w:rsid w:val="006F572E"/>
    <w:rsid w:val="006F6284"/>
    <w:rsid w:val="006F652C"/>
    <w:rsid w:val="006F6C81"/>
    <w:rsid w:val="00701D67"/>
    <w:rsid w:val="007046D6"/>
    <w:rsid w:val="00705B2E"/>
    <w:rsid w:val="00705DB0"/>
    <w:rsid w:val="007060CD"/>
    <w:rsid w:val="00706634"/>
    <w:rsid w:val="00706AFE"/>
    <w:rsid w:val="007115C9"/>
    <w:rsid w:val="00712FB1"/>
    <w:rsid w:val="00712FE3"/>
    <w:rsid w:val="00723BF8"/>
    <w:rsid w:val="00724E0E"/>
    <w:rsid w:val="00726237"/>
    <w:rsid w:val="00730597"/>
    <w:rsid w:val="007315B1"/>
    <w:rsid w:val="00731F67"/>
    <w:rsid w:val="00732FEE"/>
    <w:rsid w:val="00735428"/>
    <w:rsid w:val="0074253D"/>
    <w:rsid w:val="0074429B"/>
    <w:rsid w:val="007477F8"/>
    <w:rsid w:val="00751EBD"/>
    <w:rsid w:val="00753687"/>
    <w:rsid w:val="00753A56"/>
    <w:rsid w:val="00754935"/>
    <w:rsid w:val="0075524A"/>
    <w:rsid w:val="00755373"/>
    <w:rsid w:val="007615BC"/>
    <w:rsid w:val="007622D7"/>
    <w:rsid w:val="00762F05"/>
    <w:rsid w:val="00763968"/>
    <w:rsid w:val="00764FC4"/>
    <w:rsid w:val="007652FF"/>
    <w:rsid w:val="007675ED"/>
    <w:rsid w:val="0077014B"/>
    <w:rsid w:val="00771329"/>
    <w:rsid w:val="0077375B"/>
    <w:rsid w:val="00773EF7"/>
    <w:rsid w:val="00774E1D"/>
    <w:rsid w:val="0077675A"/>
    <w:rsid w:val="00780355"/>
    <w:rsid w:val="00780A87"/>
    <w:rsid w:val="00785721"/>
    <w:rsid w:val="00793A59"/>
    <w:rsid w:val="00793D4E"/>
    <w:rsid w:val="00795DC5"/>
    <w:rsid w:val="007972CF"/>
    <w:rsid w:val="007A2162"/>
    <w:rsid w:val="007A76A9"/>
    <w:rsid w:val="007B045C"/>
    <w:rsid w:val="007B219E"/>
    <w:rsid w:val="007B3C16"/>
    <w:rsid w:val="007C0F3D"/>
    <w:rsid w:val="007C1AF7"/>
    <w:rsid w:val="007C2493"/>
    <w:rsid w:val="007D0461"/>
    <w:rsid w:val="007D2AAF"/>
    <w:rsid w:val="007D6D9D"/>
    <w:rsid w:val="007E175B"/>
    <w:rsid w:val="007E695D"/>
    <w:rsid w:val="007F17AF"/>
    <w:rsid w:val="007F2054"/>
    <w:rsid w:val="00802A26"/>
    <w:rsid w:val="008056E1"/>
    <w:rsid w:val="0081522A"/>
    <w:rsid w:val="00816164"/>
    <w:rsid w:val="00816E2F"/>
    <w:rsid w:val="00821776"/>
    <w:rsid w:val="00824EC7"/>
    <w:rsid w:val="00826007"/>
    <w:rsid w:val="0082761B"/>
    <w:rsid w:val="00831039"/>
    <w:rsid w:val="00831548"/>
    <w:rsid w:val="008320C3"/>
    <w:rsid w:val="008321F5"/>
    <w:rsid w:val="00832369"/>
    <w:rsid w:val="00833A3D"/>
    <w:rsid w:val="00834660"/>
    <w:rsid w:val="00836BC2"/>
    <w:rsid w:val="00844DE8"/>
    <w:rsid w:val="00846BBD"/>
    <w:rsid w:val="00854117"/>
    <w:rsid w:val="0085641B"/>
    <w:rsid w:val="00856D61"/>
    <w:rsid w:val="00857136"/>
    <w:rsid w:val="00857BC0"/>
    <w:rsid w:val="008627AA"/>
    <w:rsid w:val="0087185C"/>
    <w:rsid w:val="008778FE"/>
    <w:rsid w:val="00891DD9"/>
    <w:rsid w:val="00892F0C"/>
    <w:rsid w:val="008930FB"/>
    <w:rsid w:val="00896018"/>
    <w:rsid w:val="008968BB"/>
    <w:rsid w:val="008A0C0B"/>
    <w:rsid w:val="008A1FF7"/>
    <w:rsid w:val="008A2703"/>
    <w:rsid w:val="008A2B9D"/>
    <w:rsid w:val="008A5365"/>
    <w:rsid w:val="008A5E0B"/>
    <w:rsid w:val="008A6D59"/>
    <w:rsid w:val="008A7095"/>
    <w:rsid w:val="008B1A25"/>
    <w:rsid w:val="008B35A3"/>
    <w:rsid w:val="008B4B03"/>
    <w:rsid w:val="008B553E"/>
    <w:rsid w:val="008B596F"/>
    <w:rsid w:val="008B674A"/>
    <w:rsid w:val="008C159F"/>
    <w:rsid w:val="008C1623"/>
    <w:rsid w:val="008C51A9"/>
    <w:rsid w:val="008C63C5"/>
    <w:rsid w:val="008C7541"/>
    <w:rsid w:val="008D2046"/>
    <w:rsid w:val="008D46C2"/>
    <w:rsid w:val="008D7BCC"/>
    <w:rsid w:val="008E3C43"/>
    <w:rsid w:val="008E3FF2"/>
    <w:rsid w:val="008E6A5D"/>
    <w:rsid w:val="008F1CCC"/>
    <w:rsid w:val="008F2967"/>
    <w:rsid w:val="008F37DB"/>
    <w:rsid w:val="008F61FA"/>
    <w:rsid w:val="008F6EF7"/>
    <w:rsid w:val="00906FD4"/>
    <w:rsid w:val="009074DB"/>
    <w:rsid w:val="00911535"/>
    <w:rsid w:val="009118AD"/>
    <w:rsid w:val="00920330"/>
    <w:rsid w:val="00920397"/>
    <w:rsid w:val="00920FF4"/>
    <w:rsid w:val="009219D7"/>
    <w:rsid w:val="00922D53"/>
    <w:rsid w:val="00923B70"/>
    <w:rsid w:val="0092600B"/>
    <w:rsid w:val="009268CD"/>
    <w:rsid w:val="00926B0E"/>
    <w:rsid w:val="00927ECD"/>
    <w:rsid w:val="00930237"/>
    <w:rsid w:val="009325F5"/>
    <w:rsid w:val="00932BBB"/>
    <w:rsid w:val="00934C1B"/>
    <w:rsid w:val="00947917"/>
    <w:rsid w:val="00947BE9"/>
    <w:rsid w:val="00953EDD"/>
    <w:rsid w:val="0096319D"/>
    <w:rsid w:val="00963C08"/>
    <w:rsid w:val="00964DDB"/>
    <w:rsid w:val="00964F68"/>
    <w:rsid w:val="009707B8"/>
    <w:rsid w:val="009721B4"/>
    <w:rsid w:val="00974DBB"/>
    <w:rsid w:val="00975FB3"/>
    <w:rsid w:val="00981C56"/>
    <w:rsid w:val="00982839"/>
    <w:rsid w:val="00990936"/>
    <w:rsid w:val="0099110E"/>
    <w:rsid w:val="00992879"/>
    <w:rsid w:val="0099363E"/>
    <w:rsid w:val="00994189"/>
    <w:rsid w:val="009962CC"/>
    <w:rsid w:val="009A0133"/>
    <w:rsid w:val="009A1341"/>
    <w:rsid w:val="009A1ED5"/>
    <w:rsid w:val="009A4CED"/>
    <w:rsid w:val="009A4E9D"/>
    <w:rsid w:val="009A5BC7"/>
    <w:rsid w:val="009B1D12"/>
    <w:rsid w:val="009B3475"/>
    <w:rsid w:val="009B416B"/>
    <w:rsid w:val="009B4BBC"/>
    <w:rsid w:val="009B6241"/>
    <w:rsid w:val="009B68A6"/>
    <w:rsid w:val="009C2EF8"/>
    <w:rsid w:val="009C4BD5"/>
    <w:rsid w:val="009D059A"/>
    <w:rsid w:val="009D10EF"/>
    <w:rsid w:val="009D2E04"/>
    <w:rsid w:val="009D5E95"/>
    <w:rsid w:val="009D7B77"/>
    <w:rsid w:val="009E0BB0"/>
    <w:rsid w:val="009E3FBB"/>
    <w:rsid w:val="009E45E7"/>
    <w:rsid w:val="009E6862"/>
    <w:rsid w:val="009F018D"/>
    <w:rsid w:val="009F0B33"/>
    <w:rsid w:val="00A0179B"/>
    <w:rsid w:val="00A024D5"/>
    <w:rsid w:val="00A1235B"/>
    <w:rsid w:val="00A13FE0"/>
    <w:rsid w:val="00A14DF7"/>
    <w:rsid w:val="00A1721C"/>
    <w:rsid w:val="00A26E24"/>
    <w:rsid w:val="00A3246D"/>
    <w:rsid w:val="00A36FA7"/>
    <w:rsid w:val="00A37C6A"/>
    <w:rsid w:val="00A40680"/>
    <w:rsid w:val="00A4235C"/>
    <w:rsid w:val="00A475B7"/>
    <w:rsid w:val="00A47AF7"/>
    <w:rsid w:val="00A47C3E"/>
    <w:rsid w:val="00A50226"/>
    <w:rsid w:val="00A56162"/>
    <w:rsid w:val="00A60BAD"/>
    <w:rsid w:val="00A644D1"/>
    <w:rsid w:val="00A65D99"/>
    <w:rsid w:val="00A702E8"/>
    <w:rsid w:val="00A73A8D"/>
    <w:rsid w:val="00A74D7C"/>
    <w:rsid w:val="00A7513B"/>
    <w:rsid w:val="00A77452"/>
    <w:rsid w:val="00A87334"/>
    <w:rsid w:val="00A91118"/>
    <w:rsid w:val="00A95FF7"/>
    <w:rsid w:val="00AA3EB9"/>
    <w:rsid w:val="00AB0219"/>
    <w:rsid w:val="00AB3455"/>
    <w:rsid w:val="00AC2B40"/>
    <w:rsid w:val="00AC2BB2"/>
    <w:rsid w:val="00AC2C3C"/>
    <w:rsid w:val="00AC3BD9"/>
    <w:rsid w:val="00AC3D45"/>
    <w:rsid w:val="00AD5831"/>
    <w:rsid w:val="00AE003F"/>
    <w:rsid w:val="00AE5AB2"/>
    <w:rsid w:val="00AE65EB"/>
    <w:rsid w:val="00AF1D94"/>
    <w:rsid w:val="00AF60C5"/>
    <w:rsid w:val="00AF69CB"/>
    <w:rsid w:val="00B009C6"/>
    <w:rsid w:val="00B00ACB"/>
    <w:rsid w:val="00B01548"/>
    <w:rsid w:val="00B01551"/>
    <w:rsid w:val="00B147DA"/>
    <w:rsid w:val="00B15D0C"/>
    <w:rsid w:val="00B15EE8"/>
    <w:rsid w:val="00B21D29"/>
    <w:rsid w:val="00B21FC5"/>
    <w:rsid w:val="00B23323"/>
    <w:rsid w:val="00B24FF5"/>
    <w:rsid w:val="00B25034"/>
    <w:rsid w:val="00B252C6"/>
    <w:rsid w:val="00B3306E"/>
    <w:rsid w:val="00B33863"/>
    <w:rsid w:val="00B37D17"/>
    <w:rsid w:val="00B4175E"/>
    <w:rsid w:val="00B510E1"/>
    <w:rsid w:val="00B5321D"/>
    <w:rsid w:val="00B54C25"/>
    <w:rsid w:val="00B72E2E"/>
    <w:rsid w:val="00B731B8"/>
    <w:rsid w:val="00B76B91"/>
    <w:rsid w:val="00B77EF8"/>
    <w:rsid w:val="00B87BB7"/>
    <w:rsid w:val="00B946A9"/>
    <w:rsid w:val="00B9484C"/>
    <w:rsid w:val="00B94A36"/>
    <w:rsid w:val="00B94CFB"/>
    <w:rsid w:val="00BA0DFC"/>
    <w:rsid w:val="00BB412B"/>
    <w:rsid w:val="00BC1CAB"/>
    <w:rsid w:val="00BC2477"/>
    <w:rsid w:val="00BC462B"/>
    <w:rsid w:val="00BC622A"/>
    <w:rsid w:val="00BD0B28"/>
    <w:rsid w:val="00BE02E8"/>
    <w:rsid w:val="00BE0A78"/>
    <w:rsid w:val="00BE1B6B"/>
    <w:rsid w:val="00BE243C"/>
    <w:rsid w:val="00BE4DC0"/>
    <w:rsid w:val="00BE50AF"/>
    <w:rsid w:val="00BE79F0"/>
    <w:rsid w:val="00BF046D"/>
    <w:rsid w:val="00BF1210"/>
    <w:rsid w:val="00BF23A0"/>
    <w:rsid w:val="00BF3D51"/>
    <w:rsid w:val="00BF43F2"/>
    <w:rsid w:val="00BF5D04"/>
    <w:rsid w:val="00BF6E84"/>
    <w:rsid w:val="00C058B0"/>
    <w:rsid w:val="00C13563"/>
    <w:rsid w:val="00C14835"/>
    <w:rsid w:val="00C1617C"/>
    <w:rsid w:val="00C2234F"/>
    <w:rsid w:val="00C22F24"/>
    <w:rsid w:val="00C23477"/>
    <w:rsid w:val="00C24FC6"/>
    <w:rsid w:val="00C3408D"/>
    <w:rsid w:val="00C36B16"/>
    <w:rsid w:val="00C373C4"/>
    <w:rsid w:val="00C404A6"/>
    <w:rsid w:val="00C40A36"/>
    <w:rsid w:val="00C44419"/>
    <w:rsid w:val="00C45E7B"/>
    <w:rsid w:val="00C471B1"/>
    <w:rsid w:val="00C4743E"/>
    <w:rsid w:val="00C50E5C"/>
    <w:rsid w:val="00C512F1"/>
    <w:rsid w:val="00C6316B"/>
    <w:rsid w:val="00C634A9"/>
    <w:rsid w:val="00C642F9"/>
    <w:rsid w:val="00C71313"/>
    <w:rsid w:val="00C7475B"/>
    <w:rsid w:val="00C76805"/>
    <w:rsid w:val="00C772FF"/>
    <w:rsid w:val="00C775AA"/>
    <w:rsid w:val="00C801AF"/>
    <w:rsid w:val="00C80256"/>
    <w:rsid w:val="00C82121"/>
    <w:rsid w:val="00C8287E"/>
    <w:rsid w:val="00C85953"/>
    <w:rsid w:val="00C87DC4"/>
    <w:rsid w:val="00C902BE"/>
    <w:rsid w:val="00C90910"/>
    <w:rsid w:val="00C92E6F"/>
    <w:rsid w:val="00CA7F9C"/>
    <w:rsid w:val="00CB2E02"/>
    <w:rsid w:val="00CB6BC0"/>
    <w:rsid w:val="00CB73C5"/>
    <w:rsid w:val="00CC1B7C"/>
    <w:rsid w:val="00CC260A"/>
    <w:rsid w:val="00CC727F"/>
    <w:rsid w:val="00CD1F02"/>
    <w:rsid w:val="00CD30CC"/>
    <w:rsid w:val="00CD6FCC"/>
    <w:rsid w:val="00CD72B2"/>
    <w:rsid w:val="00CE5067"/>
    <w:rsid w:val="00CE5BB0"/>
    <w:rsid w:val="00CE6603"/>
    <w:rsid w:val="00CE7378"/>
    <w:rsid w:val="00CF15C3"/>
    <w:rsid w:val="00CF2B6F"/>
    <w:rsid w:val="00CF4791"/>
    <w:rsid w:val="00CF7CB9"/>
    <w:rsid w:val="00D017ED"/>
    <w:rsid w:val="00D051AE"/>
    <w:rsid w:val="00D07C66"/>
    <w:rsid w:val="00D10385"/>
    <w:rsid w:val="00D11F5C"/>
    <w:rsid w:val="00D153B1"/>
    <w:rsid w:val="00D20498"/>
    <w:rsid w:val="00D20C54"/>
    <w:rsid w:val="00D224FE"/>
    <w:rsid w:val="00D229BA"/>
    <w:rsid w:val="00D237CD"/>
    <w:rsid w:val="00D25F22"/>
    <w:rsid w:val="00D26B7B"/>
    <w:rsid w:val="00D27857"/>
    <w:rsid w:val="00D30526"/>
    <w:rsid w:val="00D317EB"/>
    <w:rsid w:val="00D34F21"/>
    <w:rsid w:val="00D3646E"/>
    <w:rsid w:val="00D4641E"/>
    <w:rsid w:val="00D53BD2"/>
    <w:rsid w:val="00D55652"/>
    <w:rsid w:val="00D60B76"/>
    <w:rsid w:val="00D60D30"/>
    <w:rsid w:val="00D6109C"/>
    <w:rsid w:val="00D64401"/>
    <w:rsid w:val="00D6493E"/>
    <w:rsid w:val="00D74BD4"/>
    <w:rsid w:val="00D754A4"/>
    <w:rsid w:val="00D75A9D"/>
    <w:rsid w:val="00D763A8"/>
    <w:rsid w:val="00D85417"/>
    <w:rsid w:val="00D9141E"/>
    <w:rsid w:val="00D94CC3"/>
    <w:rsid w:val="00DA1124"/>
    <w:rsid w:val="00DA24C7"/>
    <w:rsid w:val="00DA381C"/>
    <w:rsid w:val="00DA38FC"/>
    <w:rsid w:val="00DA4CD9"/>
    <w:rsid w:val="00DC2B8B"/>
    <w:rsid w:val="00DD75A3"/>
    <w:rsid w:val="00DD76DE"/>
    <w:rsid w:val="00DE02AE"/>
    <w:rsid w:val="00DE48B5"/>
    <w:rsid w:val="00DE5537"/>
    <w:rsid w:val="00DE60E5"/>
    <w:rsid w:val="00DE6A0C"/>
    <w:rsid w:val="00DE6AAA"/>
    <w:rsid w:val="00DE6C04"/>
    <w:rsid w:val="00DE74F3"/>
    <w:rsid w:val="00DF1D7F"/>
    <w:rsid w:val="00DF4534"/>
    <w:rsid w:val="00DF45B9"/>
    <w:rsid w:val="00DF6BE8"/>
    <w:rsid w:val="00DF6C3D"/>
    <w:rsid w:val="00DF746F"/>
    <w:rsid w:val="00E02FB4"/>
    <w:rsid w:val="00E03DAE"/>
    <w:rsid w:val="00E03FDD"/>
    <w:rsid w:val="00E0463B"/>
    <w:rsid w:val="00E11606"/>
    <w:rsid w:val="00E1198B"/>
    <w:rsid w:val="00E11E4D"/>
    <w:rsid w:val="00E1340C"/>
    <w:rsid w:val="00E177F4"/>
    <w:rsid w:val="00E20571"/>
    <w:rsid w:val="00E21651"/>
    <w:rsid w:val="00E22953"/>
    <w:rsid w:val="00E22DF2"/>
    <w:rsid w:val="00E235F7"/>
    <w:rsid w:val="00E239D4"/>
    <w:rsid w:val="00E30C88"/>
    <w:rsid w:val="00E32A5C"/>
    <w:rsid w:val="00E40B22"/>
    <w:rsid w:val="00E4588F"/>
    <w:rsid w:val="00E46DA3"/>
    <w:rsid w:val="00E47660"/>
    <w:rsid w:val="00E57B48"/>
    <w:rsid w:val="00E67774"/>
    <w:rsid w:val="00E75BC4"/>
    <w:rsid w:val="00E75D27"/>
    <w:rsid w:val="00E90262"/>
    <w:rsid w:val="00E96278"/>
    <w:rsid w:val="00E97A8B"/>
    <w:rsid w:val="00EA16DE"/>
    <w:rsid w:val="00EA1F09"/>
    <w:rsid w:val="00EA3273"/>
    <w:rsid w:val="00EA406B"/>
    <w:rsid w:val="00EA7E1D"/>
    <w:rsid w:val="00EB0798"/>
    <w:rsid w:val="00EB2592"/>
    <w:rsid w:val="00EB40AD"/>
    <w:rsid w:val="00EB5622"/>
    <w:rsid w:val="00EB586E"/>
    <w:rsid w:val="00EB5FC8"/>
    <w:rsid w:val="00EB6CAF"/>
    <w:rsid w:val="00ED3419"/>
    <w:rsid w:val="00ED346E"/>
    <w:rsid w:val="00ED555A"/>
    <w:rsid w:val="00ED5A41"/>
    <w:rsid w:val="00ED6A67"/>
    <w:rsid w:val="00EE67EC"/>
    <w:rsid w:val="00EF3F86"/>
    <w:rsid w:val="00EF578B"/>
    <w:rsid w:val="00EF6895"/>
    <w:rsid w:val="00EF7954"/>
    <w:rsid w:val="00F033EC"/>
    <w:rsid w:val="00F037DB"/>
    <w:rsid w:val="00F04F68"/>
    <w:rsid w:val="00F0622D"/>
    <w:rsid w:val="00F10062"/>
    <w:rsid w:val="00F12670"/>
    <w:rsid w:val="00F14B27"/>
    <w:rsid w:val="00F1742C"/>
    <w:rsid w:val="00F21524"/>
    <w:rsid w:val="00F2301F"/>
    <w:rsid w:val="00F27030"/>
    <w:rsid w:val="00F274A2"/>
    <w:rsid w:val="00F31011"/>
    <w:rsid w:val="00F3148D"/>
    <w:rsid w:val="00F334CD"/>
    <w:rsid w:val="00F35298"/>
    <w:rsid w:val="00F3529E"/>
    <w:rsid w:val="00F360FA"/>
    <w:rsid w:val="00F401EF"/>
    <w:rsid w:val="00F427F0"/>
    <w:rsid w:val="00F461F5"/>
    <w:rsid w:val="00F47E37"/>
    <w:rsid w:val="00F53EEE"/>
    <w:rsid w:val="00F54CA9"/>
    <w:rsid w:val="00F56B9D"/>
    <w:rsid w:val="00F57E62"/>
    <w:rsid w:val="00F640B6"/>
    <w:rsid w:val="00F66F90"/>
    <w:rsid w:val="00F6717B"/>
    <w:rsid w:val="00F71E1E"/>
    <w:rsid w:val="00F80E40"/>
    <w:rsid w:val="00F85929"/>
    <w:rsid w:val="00F859D2"/>
    <w:rsid w:val="00F8709D"/>
    <w:rsid w:val="00F9022D"/>
    <w:rsid w:val="00FA1419"/>
    <w:rsid w:val="00FA2B8E"/>
    <w:rsid w:val="00FA3A0B"/>
    <w:rsid w:val="00FA43E5"/>
    <w:rsid w:val="00FA5B82"/>
    <w:rsid w:val="00FA639E"/>
    <w:rsid w:val="00FB09B7"/>
    <w:rsid w:val="00FB1BD8"/>
    <w:rsid w:val="00FB486C"/>
    <w:rsid w:val="00FC03C8"/>
    <w:rsid w:val="00FC1750"/>
    <w:rsid w:val="00FC25E4"/>
    <w:rsid w:val="00FC4EF7"/>
    <w:rsid w:val="00FD7CC0"/>
    <w:rsid w:val="00FE04EE"/>
    <w:rsid w:val="00FE1DEE"/>
    <w:rsid w:val="00FE206C"/>
    <w:rsid w:val="00FE2F02"/>
    <w:rsid w:val="00FE501F"/>
    <w:rsid w:val="00FE6716"/>
    <w:rsid w:val="00FF2126"/>
    <w:rsid w:val="00FF2993"/>
    <w:rsid w:val="00FF68E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5" fill="f" fillcolor="#c6d4e9" strokecolor="#002c47">
      <v:fill color="#c6d4e9" on="f"/>
      <v:stroke color="#002c47"/>
    </o:shapedefaults>
    <o:shapelayout v:ext="edit">
      <o:idmap v:ext="edit" data="1"/>
    </o:shapelayout>
  </w:shapeDefaults>
  <w:decimalSymbol w:val="."/>
  <w:listSeparator w:val=","/>
  <w14:docId w14:val="705AF854"/>
  <w15:docId w15:val="{457BD9E7-C610-465A-ABE9-554FA8CD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A2703"/>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3"/>
      </w:numPr>
    </w:pPr>
  </w:style>
  <w:style w:type="paragraph" w:styleId="ListBullet2">
    <w:name w:val="List Bullet 2"/>
    <w:basedOn w:val="Normal"/>
    <w:uiPriority w:val="2"/>
    <w:qFormat/>
    <w:rsid w:val="009D059A"/>
    <w:pPr>
      <w:numPr>
        <w:ilvl w:val="1"/>
        <w:numId w:val="3"/>
      </w:numPr>
      <w:ind w:left="850" w:hanging="425"/>
    </w:pPr>
  </w:style>
  <w:style w:type="paragraph" w:styleId="ListBullet3">
    <w:name w:val="List Bullet 3"/>
    <w:basedOn w:val="Normal"/>
    <w:uiPriority w:val="2"/>
    <w:qFormat/>
    <w:rsid w:val="00FA2B8E"/>
    <w:pPr>
      <w:numPr>
        <w:numId w:val="5"/>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920397"/>
    <w:pPr>
      <w:numPr>
        <w:numId w:val="4"/>
      </w:numPr>
      <w:ind w:left="1134"/>
    </w:pPr>
  </w:style>
  <w:style w:type="paragraph" w:customStyle="1" w:styleId="Numberbullet3">
    <w:name w:val="Number bullet 3"/>
    <w:basedOn w:val="Normal"/>
    <w:uiPriority w:val="3"/>
    <w:qFormat/>
    <w:rsid w:val="00490A2E"/>
    <w:pPr>
      <w:numPr>
        <w:numId w:val="6"/>
      </w:numPr>
      <w:ind w:left="1418" w:hanging="454"/>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aliases w:val="Table (Alt. row colours)"/>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SymbolMT" w:hAnsi="SymbolMT"/>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SymbolMT" w:hAnsi="SymbolMT"/>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SymbolMT" w:hAnsi="SymbolMT"/>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styleId="ListParagraph">
    <w:name w:val="List Paragraph"/>
    <w:aliases w:val="Bullet point,List Paragraph1,List Paragraph11,Recommendation,Bullet 1,CV text,Dot pt,F5 List Paragraph,Indicator Text,L,List Paragraph Char Char Char,List Paragraph111,List Paragraph2,MAIN CONTENT,Normal numbered,Numbered Para 1,Body text"/>
    <w:basedOn w:val="Normal"/>
    <w:link w:val="ListParagraphChar"/>
    <w:uiPriority w:val="34"/>
    <w:qFormat/>
    <w:rsid w:val="00231D76"/>
    <w:pPr>
      <w:ind w:left="720"/>
      <w:contextualSpacing/>
    </w:pPr>
  </w:style>
  <w:style w:type="character" w:styleId="Emphasis">
    <w:name w:val="Emphasis"/>
    <w:basedOn w:val="DefaultParagraphFont"/>
    <w:uiPriority w:val="20"/>
    <w:qFormat/>
    <w:rsid w:val="00A7513B"/>
    <w:rPr>
      <w:i/>
      <w:iCs/>
    </w:rPr>
  </w:style>
  <w:style w:type="paragraph" w:styleId="NormalWeb">
    <w:name w:val="Normal (Web)"/>
    <w:basedOn w:val="Normal"/>
    <w:uiPriority w:val="99"/>
    <w:semiHidden/>
    <w:unhideWhenUsed/>
    <w:rsid w:val="00A7513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cthead5">
    <w:name w:val="acthead5"/>
    <w:basedOn w:val="Normal"/>
    <w:rsid w:val="00A7513B"/>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harsectno">
    <w:name w:val="charsectno"/>
    <w:basedOn w:val="DefaultParagraphFont"/>
    <w:rsid w:val="00A7513B"/>
  </w:style>
  <w:style w:type="paragraph" w:customStyle="1" w:styleId="subsection">
    <w:name w:val="subsection"/>
    <w:basedOn w:val="Normal"/>
    <w:rsid w:val="00A7513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aliases w:val="a"/>
    <w:basedOn w:val="Normal"/>
    <w:link w:val="paragraphChar"/>
    <w:rsid w:val="00A7513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sub">
    <w:name w:val="paragraphsub"/>
    <w:basedOn w:val="Normal"/>
    <w:rsid w:val="00A7513B"/>
    <w:pPr>
      <w:spacing w:before="100" w:beforeAutospacing="1" w:after="100" w:afterAutospacing="1" w:line="240" w:lineRule="auto"/>
    </w:pPr>
    <w:rPr>
      <w:rFonts w:ascii="Times New Roman" w:eastAsia="Times New Roman" w:hAnsi="Times New Roman"/>
      <w:sz w:val="24"/>
      <w:szCs w:val="24"/>
      <w:lang w:eastAsia="en-AU"/>
    </w:rPr>
  </w:style>
  <w:style w:type="character" w:styleId="HTMLCite">
    <w:name w:val="HTML Cite"/>
    <w:basedOn w:val="DefaultParagraphFont"/>
    <w:uiPriority w:val="99"/>
    <w:semiHidden/>
    <w:unhideWhenUsed/>
    <w:rsid w:val="00DF746F"/>
    <w:rPr>
      <w:i/>
      <w:iCs/>
    </w:rPr>
  </w:style>
  <w:style w:type="character" w:styleId="Strong">
    <w:name w:val="Strong"/>
    <w:basedOn w:val="DefaultParagraphFont"/>
    <w:uiPriority w:val="22"/>
    <w:qFormat/>
    <w:rsid w:val="00DF746F"/>
    <w:rPr>
      <w:b/>
      <w:bCs/>
    </w:rPr>
  </w:style>
  <w:style w:type="paragraph" w:customStyle="1" w:styleId="indented-text">
    <w:name w:val="indented-text"/>
    <w:basedOn w:val="Normal"/>
    <w:rsid w:val="00DF746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ubsection2">
    <w:name w:val="subsection2"/>
    <w:basedOn w:val="Normal"/>
    <w:rsid w:val="0065664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inition">
    <w:name w:val="definition"/>
    <w:basedOn w:val="Normal"/>
    <w:rsid w:val="00013B3A"/>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TGA1">
    <w:name w:val="Table_TGA_1"/>
    <w:basedOn w:val="TableNormal"/>
    <w:uiPriority w:val="99"/>
    <w:rsid w:val="00DF6C3D"/>
    <w:rPr>
      <w:rFonts w:ascii="Minion Pro" w:eastAsiaTheme="minorHAnsi" w:hAnsi="Minion Pro" w:cstheme="minorBidi"/>
      <w:szCs w:val="22"/>
      <w:lang w:eastAsia="en-US"/>
    </w:rPr>
    <w:tblPr>
      <w:tblInd w:w="113" w:type="dxa"/>
      <w:tblBorders>
        <w:top w:val="single" w:sz="4" w:space="0" w:color="006EA8" w:themeColor="accent1"/>
        <w:left w:val="single" w:sz="4" w:space="0" w:color="006EA8" w:themeColor="accent1"/>
        <w:bottom w:val="single" w:sz="4" w:space="0" w:color="006EA8" w:themeColor="accent1"/>
        <w:right w:val="single" w:sz="4" w:space="0" w:color="006EA8" w:themeColor="accent1"/>
        <w:insideH w:val="single" w:sz="4" w:space="0" w:color="006EA8" w:themeColor="accent1"/>
        <w:insideV w:val="single" w:sz="4" w:space="0" w:color="006EA8" w:themeColor="accent1"/>
      </w:tblBorders>
      <w:tblCellMar>
        <w:top w:w="113" w:type="dxa"/>
        <w:bottom w:w="57" w:type="dxa"/>
      </w:tblCellMar>
    </w:tblPr>
    <w:tblStylePr w:type="firstRow">
      <w:pPr>
        <w:wordWrap/>
        <w:spacing w:beforeLines="0" w:beforeAutospacing="0" w:afterLines="0" w:afterAutospacing="0" w:line="240" w:lineRule="auto"/>
      </w:pPr>
      <w:rPr>
        <w:rFonts w:ascii="Segoe UI" w:hAnsi="Segoe UI"/>
        <w:b/>
        <w:color w:val="FFFFFF" w:themeColor="background1"/>
        <w:sz w:val="20"/>
      </w:rPr>
      <w:tblPr/>
      <w:trPr>
        <w:cantSplit/>
        <w:tblHeader/>
      </w:tr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insideV w:val="nil"/>
          <w:tl2br w:val="nil"/>
          <w:tr2bl w:val="nil"/>
        </w:tcBorders>
        <w:shd w:val="clear" w:color="auto" w:fill="016665" w:themeFill="accent3"/>
      </w:tcPr>
    </w:tblStylePr>
  </w:style>
  <w:style w:type="paragraph" w:customStyle="1" w:styleId="letterbullet">
    <w:name w:val="letter bullet"/>
    <w:basedOn w:val="ListBullet2"/>
    <w:uiPriority w:val="99"/>
    <w:qFormat/>
    <w:rsid w:val="00DF6C3D"/>
    <w:pPr>
      <w:numPr>
        <w:ilvl w:val="0"/>
        <w:numId w:val="11"/>
      </w:numPr>
      <w:spacing w:before="0" w:after="120"/>
      <w:contextualSpacing/>
    </w:pPr>
    <w:rPr>
      <w:rFonts w:eastAsiaTheme="minorHAnsi" w:cstheme="minorBidi"/>
      <w:sz w:val="20"/>
      <w:szCs w:val="22"/>
    </w:rPr>
  </w:style>
  <w:style w:type="paragraph" w:customStyle="1" w:styleId="TableHeading">
    <w:name w:val="Table Heading"/>
    <w:basedOn w:val="Normal"/>
    <w:qFormat/>
    <w:rsid w:val="00DF6C3D"/>
    <w:pPr>
      <w:spacing w:before="0" w:after="120"/>
    </w:pPr>
    <w:rPr>
      <w:rFonts w:asciiTheme="minorHAnsi" w:eastAsiaTheme="minorHAnsi" w:hAnsiTheme="minorHAnsi" w:cstheme="minorBidi"/>
      <w:b/>
      <w:color w:val="FFFFFF" w:themeColor="background1"/>
      <w:sz w:val="20"/>
      <w:szCs w:val="22"/>
    </w:rPr>
  </w:style>
  <w:style w:type="paragraph" w:customStyle="1" w:styleId="boxtext">
    <w:name w:val="boxtext"/>
    <w:basedOn w:val="Normal"/>
    <w:rsid w:val="00F461F5"/>
    <w:pPr>
      <w:spacing w:before="100" w:beforeAutospacing="1" w:after="100" w:afterAutospacing="1" w:line="240" w:lineRule="auto"/>
    </w:pPr>
    <w:rPr>
      <w:rFonts w:ascii="Times New Roman" w:eastAsia="Times New Roman" w:hAnsi="Times New Roman"/>
      <w:sz w:val="24"/>
      <w:szCs w:val="24"/>
      <w:lang w:eastAsia="en-AU"/>
    </w:rPr>
  </w:style>
  <w:style w:type="paragraph" w:styleId="Caption">
    <w:name w:val="caption"/>
    <w:basedOn w:val="Normal"/>
    <w:next w:val="Normal"/>
    <w:uiPriority w:val="35"/>
    <w:rsid w:val="00420745"/>
    <w:pPr>
      <w:spacing w:before="0" w:after="200" w:line="240" w:lineRule="auto"/>
    </w:pPr>
    <w:rPr>
      <w:i/>
      <w:iCs/>
      <w:color w:val="002C47" w:themeColor="text2"/>
      <w:sz w:val="18"/>
      <w:szCs w:val="18"/>
    </w:rPr>
  </w:style>
  <w:style w:type="paragraph" w:customStyle="1" w:styleId="paragraphsub0">
    <w:name w:val="paragraph(sub)"/>
    <w:aliases w:val="aa"/>
    <w:basedOn w:val="Normal"/>
    <w:rsid w:val="006C6341"/>
    <w:pPr>
      <w:tabs>
        <w:tab w:val="right" w:pos="1985"/>
      </w:tabs>
      <w:spacing w:before="40" w:after="0" w:line="240" w:lineRule="auto"/>
      <w:ind w:left="2098" w:hanging="2098"/>
    </w:pPr>
    <w:rPr>
      <w:rFonts w:ascii="Times New Roman" w:eastAsia="Times New Roman" w:hAnsi="Times New Roman"/>
      <w:szCs w:val="24"/>
      <w:lang w:eastAsia="en-AU"/>
    </w:rPr>
  </w:style>
  <w:style w:type="paragraph" w:customStyle="1" w:styleId="Definition0">
    <w:name w:val="Definition"/>
    <w:aliases w:val="dd"/>
    <w:basedOn w:val="Normal"/>
    <w:rsid w:val="006C6341"/>
    <w:pPr>
      <w:spacing w:before="180" w:after="0" w:line="240" w:lineRule="auto"/>
      <w:ind w:left="1134"/>
    </w:pPr>
    <w:rPr>
      <w:rFonts w:ascii="Times New Roman" w:eastAsia="Times New Roman" w:hAnsi="Times New Roman"/>
      <w:lang w:eastAsia="en-AU"/>
    </w:rPr>
  </w:style>
  <w:style w:type="character" w:customStyle="1" w:styleId="paragraphChar">
    <w:name w:val="paragraph Char"/>
    <w:aliases w:val="a Char"/>
    <w:basedOn w:val="DefaultParagraphFont"/>
    <w:link w:val="paragraph"/>
    <w:rsid w:val="006C6341"/>
    <w:rPr>
      <w:rFonts w:ascii="Times New Roman" w:eastAsia="Times New Roman" w:hAnsi="Times New Roman"/>
      <w:sz w:val="24"/>
      <w:szCs w:val="24"/>
    </w:rPr>
  </w:style>
  <w:style w:type="character" w:customStyle="1" w:styleId="ListParagraphChar">
    <w:name w:val="List Paragraph Char"/>
    <w:aliases w:val="Bullet point Char,List Paragraph1 Char,List Paragraph11 Char,Recommendation Char,Bullet 1 Char,CV text Char,Dot pt Char,F5 List Paragraph Char,Indicator Text Char,L Char,List Paragraph Char Char Char Char,List Paragraph111 Char"/>
    <w:link w:val="ListParagraph"/>
    <w:uiPriority w:val="34"/>
    <w:qFormat/>
    <w:locked/>
    <w:rsid w:val="005231B7"/>
    <w:rPr>
      <w:sz w:val="22"/>
      <w:lang w:eastAsia="en-US"/>
    </w:rPr>
  </w:style>
  <w:style w:type="paragraph" w:styleId="Revision">
    <w:name w:val="Revision"/>
    <w:hidden/>
    <w:uiPriority w:val="99"/>
    <w:semiHidden/>
    <w:rsid w:val="008F61F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351">
      <w:bodyDiv w:val="1"/>
      <w:marLeft w:val="0"/>
      <w:marRight w:val="0"/>
      <w:marTop w:val="0"/>
      <w:marBottom w:val="0"/>
      <w:divBdr>
        <w:top w:val="none" w:sz="0" w:space="0" w:color="auto"/>
        <w:left w:val="none" w:sz="0" w:space="0" w:color="auto"/>
        <w:bottom w:val="none" w:sz="0" w:space="0" w:color="auto"/>
        <w:right w:val="none" w:sz="0" w:space="0" w:color="auto"/>
      </w:divBdr>
    </w:div>
    <w:div w:id="157431336">
      <w:bodyDiv w:val="1"/>
      <w:marLeft w:val="0"/>
      <w:marRight w:val="0"/>
      <w:marTop w:val="0"/>
      <w:marBottom w:val="0"/>
      <w:divBdr>
        <w:top w:val="none" w:sz="0" w:space="0" w:color="auto"/>
        <w:left w:val="none" w:sz="0" w:space="0" w:color="auto"/>
        <w:bottom w:val="none" w:sz="0" w:space="0" w:color="auto"/>
        <w:right w:val="none" w:sz="0" w:space="0" w:color="auto"/>
      </w:divBdr>
    </w:div>
    <w:div w:id="221718586">
      <w:bodyDiv w:val="1"/>
      <w:marLeft w:val="0"/>
      <w:marRight w:val="0"/>
      <w:marTop w:val="0"/>
      <w:marBottom w:val="0"/>
      <w:divBdr>
        <w:top w:val="none" w:sz="0" w:space="0" w:color="auto"/>
        <w:left w:val="none" w:sz="0" w:space="0" w:color="auto"/>
        <w:bottom w:val="none" w:sz="0" w:space="0" w:color="auto"/>
        <w:right w:val="none" w:sz="0" w:space="0" w:color="auto"/>
      </w:divBdr>
    </w:div>
    <w:div w:id="386222281">
      <w:bodyDiv w:val="1"/>
      <w:marLeft w:val="0"/>
      <w:marRight w:val="0"/>
      <w:marTop w:val="0"/>
      <w:marBottom w:val="0"/>
      <w:divBdr>
        <w:top w:val="none" w:sz="0" w:space="0" w:color="auto"/>
        <w:left w:val="none" w:sz="0" w:space="0" w:color="auto"/>
        <w:bottom w:val="none" w:sz="0" w:space="0" w:color="auto"/>
        <w:right w:val="none" w:sz="0" w:space="0" w:color="auto"/>
      </w:divBdr>
    </w:div>
    <w:div w:id="451091991">
      <w:bodyDiv w:val="1"/>
      <w:marLeft w:val="0"/>
      <w:marRight w:val="0"/>
      <w:marTop w:val="0"/>
      <w:marBottom w:val="0"/>
      <w:divBdr>
        <w:top w:val="none" w:sz="0" w:space="0" w:color="auto"/>
        <w:left w:val="none" w:sz="0" w:space="0" w:color="auto"/>
        <w:bottom w:val="none" w:sz="0" w:space="0" w:color="auto"/>
        <w:right w:val="none" w:sz="0" w:space="0" w:color="auto"/>
      </w:divBdr>
    </w:div>
    <w:div w:id="460538609">
      <w:bodyDiv w:val="1"/>
      <w:marLeft w:val="0"/>
      <w:marRight w:val="0"/>
      <w:marTop w:val="0"/>
      <w:marBottom w:val="0"/>
      <w:divBdr>
        <w:top w:val="none" w:sz="0" w:space="0" w:color="auto"/>
        <w:left w:val="none" w:sz="0" w:space="0" w:color="auto"/>
        <w:bottom w:val="none" w:sz="0" w:space="0" w:color="auto"/>
        <w:right w:val="none" w:sz="0" w:space="0" w:color="auto"/>
      </w:divBdr>
    </w:div>
    <w:div w:id="471560053">
      <w:bodyDiv w:val="1"/>
      <w:marLeft w:val="0"/>
      <w:marRight w:val="0"/>
      <w:marTop w:val="0"/>
      <w:marBottom w:val="0"/>
      <w:divBdr>
        <w:top w:val="none" w:sz="0" w:space="0" w:color="auto"/>
        <w:left w:val="none" w:sz="0" w:space="0" w:color="auto"/>
        <w:bottom w:val="none" w:sz="0" w:space="0" w:color="auto"/>
        <w:right w:val="none" w:sz="0" w:space="0" w:color="auto"/>
      </w:divBdr>
      <w:divsChild>
        <w:div w:id="1401060371">
          <w:marLeft w:val="0"/>
          <w:marRight w:val="0"/>
          <w:marTop w:val="0"/>
          <w:marBottom w:val="0"/>
          <w:divBdr>
            <w:top w:val="none" w:sz="0" w:space="0" w:color="auto"/>
            <w:left w:val="none" w:sz="0" w:space="0" w:color="auto"/>
            <w:bottom w:val="none" w:sz="0" w:space="0" w:color="auto"/>
            <w:right w:val="none" w:sz="0" w:space="0" w:color="auto"/>
          </w:divBdr>
          <w:divsChild>
            <w:div w:id="7496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3562">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8206553">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3077827">
      <w:bodyDiv w:val="1"/>
      <w:marLeft w:val="0"/>
      <w:marRight w:val="0"/>
      <w:marTop w:val="0"/>
      <w:marBottom w:val="0"/>
      <w:divBdr>
        <w:top w:val="none" w:sz="0" w:space="0" w:color="auto"/>
        <w:left w:val="none" w:sz="0" w:space="0" w:color="auto"/>
        <w:bottom w:val="none" w:sz="0" w:space="0" w:color="auto"/>
        <w:right w:val="none" w:sz="0" w:space="0" w:color="auto"/>
      </w:divBdr>
    </w:div>
    <w:div w:id="631398315">
      <w:bodyDiv w:val="1"/>
      <w:marLeft w:val="0"/>
      <w:marRight w:val="0"/>
      <w:marTop w:val="0"/>
      <w:marBottom w:val="0"/>
      <w:divBdr>
        <w:top w:val="none" w:sz="0" w:space="0" w:color="auto"/>
        <w:left w:val="none" w:sz="0" w:space="0" w:color="auto"/>
        <w:bottom w:val="none" w:sz="0" w:space="0" w:color="auto"/>
        <w:right w:val="none" w:sz="0" w:space="0" w:color="auto"/>
      </w:divBdr>
    </w:div>
    <w:div w:id="701784760">
      <w:bodyDiv w:val="1"/>
      <w:marLeft w:val="0"/>
      <w:marRight w:val="0"/>
      <w:marTop w:val="0"/>
      <w:marBottom w:val="0"/>
      <w:divBdr>
        <w:top w:val="none" w:sz="0" w:space="0" w:color="auto"/>
        <w:left w:val="none" w:sz="0" w:space="0" w:color="auto"/>
        <w:bottom w:val="none" w:sz="0" w:space="0" w:color="auto"/>
        <w:right w:val="none" w:sz="0" w:space="0" w:color="auto"/>
      </w:divBdr>
    </w:div>
    <w:div w:id="712971153">
      <w:bodyDiv w:val="1"/>
      <w:marLeft w:val="0"/>
      <w:marRight w:val="0"/>
      <w:marTop w:val="0"/>
      <w:marBottom w:val="0"/>
      <w:divBdr>
        <w:top w:val="none" w:sz="0" w:space="0" w:color="auto"/>
        <w:left w:val="none" w:sz="0" w:space="0" w:color="auto"/>
        <w:bottom w:val="none" w:sz="0" w:space="0" w:color="auto"/>
        <w:right w:val="none" w:sz="0" w:space="0" w:color="auto"/>
      </w:divBdr>
      <w:divsChild>
        <w:div w:id="375396635">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724641126">
      <w:bodyDiv w:val="1"/>
      <w:marLeft w:val="0"/>
      <w:marRight w:val="0"/>
      <w:marTop w:val="0"/>
      <w:marBottom w:val="0"/>
      <w:divBdr>
        <w:top w:val="none" w:sz="0" w:space="0" w:color="auto"/>
        <w:left w:val="none" w:sz="0" w:space="0" w:color="auto"/>
        <w:bottom w:val="none" w:sz="0" w:space="0" w:color="auto"/>
        <w:right w:val="none" w:sz="0" w:space="0" w:color="auto"/>
      </w:divBdr>
    </w:div>
    <w:div w:id="752357194">
      <w:bodyDiv w:val="1"/>
      <w:marLeft w:val="0"/>
      <w:marRight w:val="0"/>
      <w:marTop w:val="0"/>
      <w:marBottom w:val="0"/>
      <w:divBdr>
        <w:top w:val="none" w:sz="0" w:space="0" w:color="auto"/>
        <w:left w:val="none" w:sz="0" w:space="0" w:color="auto"/>
        <w:bottom w:val="none" w:sz="0" w:space="0" w:color="auto"/>
        <w:right w:val="none" w:sz="0" w:space="0" w:color="auto"/>
      </w:divBdr>
    </w:div>
    <w:div w:id="828911731">
      <w:bodyDiv w:val="1"/>
      <w:marLeft w:val="0"/>
      <w:marRight w:val="0"/>
      <w:marTop w:val="0"/>
      <w:marBottom w:val="0"/>
      <w:divBdr>
        <w:top w:val="none" w:sz="0" w:space="0" w:color="auto"/>
        <w:left w:val="none" w:sz="0" w:space="0" w:color="auto"/>
        <w:bottom w:val="none" w:sz="0" w:space="0" w:color="auto"/>
        <w:right w:val="none" w:sz="0" w:space="0" w:color="auto"/>
      </w:divBdr>
    </w:div>
    <w:div w:id="963315035">
      <w:bodyDiv w:val="1"/>
      <w:marLeft w:val="0"/>
      <w:marRight w:val="0"/>
      <w:marTop w:val="0"/>
      <w:marBottom w:val="0"/>
      <w:divBdr>
        <w:top w:val="none" w:sz="0" w:space="0" w:color="auto"/>
        <w:left w:val="none" w:sz="0" w:space="0" w:color="auto"/>
        <w:bottom w:val="none" w:sz="0" w:space="0" w:color="auto"/>
        <w:right w:val="none" w:sz="0" w:space="0" w:color="auto"/>
      </w:divBdr>
    </w:div>
    <w:div w:id="1016540263">
      <w:bodyDiv w:val="1"/>
      <w:marLeft w:val="0"/>
      <w:marRight w:val="0"/>
      <w:marTop w:val="0"/>
      <w:marBottom w:val="0"/>
      <w:divBdr>
        <w:top w:val="none" w:sz="0" w:space="0" w:color="auto"/>
        <w:left w:val="none" w:sz="0" w:space="0" w:color="auto"/>
        <w:bottom w:val="none" w:sz="0" w:space="0" w:color="auto"/>
        <w:right w:val="none" w:sz="0" w:space="0" w:color="auto"/>
      </w:divBdr>
    </w:div>
    <w:div w:id="1026908991">
      <w:bodyDiv w:val="1"/>
      <w:marLeft w:val="0"/>
      <w:marRight w:val="0"/>
      <w:marTop w:val="0"/>
      <w:marBottom w:val="0"/>
      <w:divBdr>
        <w:top w:val="none" w:sz="0" w:space="0" w:color="auto"/>
        <w:left w:val="none" w:sz="0" w:space="0" w:color="auto"/>
        <w:bottom w:val="none" w:sz="0" w:space="0" w:color="auto"/>
        <w:right w:val="none" w:sz="0" w:space="0" w:color="auto"/>
      </w:divBdr>
    </w:div>
    <w:div w:id="1064329752">
      <w:bodyDiv w:val="1"/>
      <w:marLeft w:val="0"/>
      <w:marRight w:val="0"/>
      <w:marTop w:val="0"/>
      <w:marBottom w:val="0"/>
      <w:divBdr>
        <w:top w:val="none" w:sz="0" w:space="0" w:color="auto"/>
        <w:left w:val="none" w:sz="0" w:space="0" w:color="auto"/>
        <w:bottom w:val="none" w:sz="0" w:space="0" w:color="auto"/>
        <w:right w:val="none" w:sz="0" w:space="0" w:color="auto"/>
      </w:divBdr>
    </w:div>
    <w:div w:id="1076903014">
      <w:bodyDiv w:val="1"/>
      <w:marLeft w:val="0"/>
      <w:marRight w:val="0"/>
      <w:marTop w:val="0"/>
      <w:marBottom w:val="0"/>
      <w:divBdr>
        <w:top w:val="none" w:sz="0" w:space="0" w:color="auto"/>
        <w:left w:val="none" w:sz="0" w:space="0" w:color="auto"/>
        <w:bottom w:val="none" w:sz="0" w:space="0" w:color="auto"/>
        <w:right w:val="none" w:sz="0" w:space="0" w:color="auto"/>
      </w:divBdr>
    </w:div>
    <w:div w:id="1092583075">
      <w:bodyDiv w:val="1"/>
      <w:marLeft w:val="0"/>
      <w:marRight w:val="0"/>
      <w:marTop w:val="0"/>
      <w:marBottom w:val="0"/>
      <w:divBdr>
        <w:top w:val="none" w:sz="0" w:space="0" w:color="auto"/>
        <w:left w:val="none" w:sz="0" w:space="0" w:color="auto"/>
        <w:bottom w:val="none" w:sz="0" w:space="0" w:color="auto"/>
        <w:right w:val="none" w:sz="0" w:space="0" w:color="auto"/>
      </w:divBdr>
    </w:div>
    <w:div w:id="1098911609">
      <w:bodyDiv w:val="1"/>
      <w:marLeft w:val="0"/>
      <w:marRight w:val="0"/>
      <w:marTop w:val="0"/>
      <w:marBottom w:val="0"/>
      <w:divBdr>
        <w:top w:val="none" w:sz="0" w:space="0" w:color="auto"/>
        <w:left w:val="none" w:sz="0" w:space="0" w:color="auto"/>
        <w:bottom w:val="none" w:sz="0" w:space="0" w:color="auto"/>
        <w:right w:val="none" w:sz="0" w:space="0" w:color="auto"/>
      </w:divBdr>
    </w:div>
    <w:div w:id="1108431023">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7707322">
      <w:bodyDiv w:val="1"/>
      <w:marLeft w:val="0"/>
      <w:marRight w:val="0"/>
      <w:marTop w:val="0"/>
      <w:marBottom w:val="0"/>
      <w:divBdr>
        <w:top w:val="none" w:sz="0" w:space="0" w:color="auto"/>
        <w:left w:val="none" w:sz="0" w:space="0" w:color="auto"/>
        <w:bottom w:val="none" w:sz="0" w:space="0" w:color="auto"/>
        <w:right w:val="none" w:sz="0" w:space="0" w:color="auto"/>
      </w:divBdr>
    </w:div>
    <w:div w:id="1556694075">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37391877">
      <w:bodyDiv w:val="1"/>
      <w:marLeft w:val="0"/>
      <w:marRight w:val="0"/>
      <w:marTop w:val="0"/>
      <w:marBottom w:val="0"/>
      <w:divBdr>
        <w:top w:val="none" w:sz="0" w:space="0" w:color="auto"/>
        <w:left w:val="none" w:sz="0" w:space="0" w:color="auto"/>
        <w:bottom w:val="none" w:sz="0" w:space="0" w:color="auto"/>
        <w:right w:val="none" w:sz="0" w:space="0" w:color="auto"/>
      </w:divBdr>
    </w:div>
    <w:div w:id="1744133993">
      <w:bodyDiv w:val="1"/>
      <w:marLeft w:val="0"/>
      <w:marRight w:val="0"/>
      <w:marTop w:val="0"/>
      <w:marBottom w:val="0"/>
      <w:divBdr>
        <w:top w:val="none" w:sz="0" w:space="0" w:color="auto"/>
        <w:left w:val="none" w:sz="0" w:space="0" w:color="auto"/>
        <w:bottom w:val="none" w:sz="0" w:space="0" w:color="auto"/>
        <w:right w:val="none" w:sz="0" w:space="0" w:color="auto"/>
      </w:divBdr>
    </w:div>
    <w:div w:id="1836455793">
      <w:bodyDiv w:val="1"/>
      <w:marLeft w:val="0"/>
      <w:marRight w:val="0"/>
      <w:marTop w:val="0"/>
      <w:marBottom w:val="0"/>
      <w:divBdr>
        <w:top w:val="none" w:sz="0" w:space="0" w:color="auto"/>
        <w:left w:val="none" w:sz="0" w:space="0" w:color="auto"/>
        <w:bottom w:val="none" w:sz="0" w:space="0" w:color="auto"/>
        <w:right w:val="none" w:sz="0" w:space="0" w:color="auto"/>
      </w:divBdr>
      <w:divsChild>
        <w:div w:id="894510509">
          <w:marLeft w:val="120"/>
          <w:marRight w:val="120"/>
          <w:marTop w:val="120"/>
          <w:marBottom w:val="120"/>
          <w:divBdr>
            <w:top w:val="single" w:sz="6" w:space="6" w:color="888888"/>
            <w:left w:val="single" w:sz="6" w:space="6" w:color="888888"/>
            <w:bottom w:val="single" w:sz="6" w:space="6" w:color="888888"/>
            <w:right w:val="single" w:sz="6" w:space="6" w:color="888888"/>
          </w:divBdr>
        </w:div>
      </w:divsChild>
    </w:div>
    <w:div w:id="1860191219">
      <w:bodyDiv w:val="1"/>
      <w:marLeft w:val="0"/>
      <w:marRight w:val="0"/>
      <w:marTop w:val="0"/>
      <w:marBottom w:val="0"/>
      <w:divBdr>
        <w:top w:val="none" w:sz="0" w:space="0" w:color="auto"/>
        <w:left w:val="none" w:sz="0" w:space="0" w:color="auto"/>
        <w:bottom w:val="none" w:sz="0" w:space="0" w:color="auto"/>
        <w:right w:val="none" w:sz="0" w:space="0" w:color="auto"/>
      </w:divBdr>
    </w:div>
    <w:div w:id="1881241578">
      <w:bodyDiv w:val="1"/>
      <w:marLeft w:val="0"/>
      <w:marRight w:val="0"/>
      <w:marTop w:val="0"/>
      <w:marBottom w:val="0"/>
      <w:divBdr>
        <w:top w:val="none" w:sz="0" w:space="0" w:color="auto"/>
        <w:left w:val="none" w:sz="0" w:space="0" w:color="auto"/>
        <w:bottom w:val="none" w:sz="0" w:space="0" w:color="auto"/>
        <w:right w:val="none" w:sz="0" w:space="0" w:color="auto"/>
      </w:divBdr>
    </w:div>
    <w:div w:id="1885561803">
      <w:bodyDiv w:val="1"/>
      <w:marLeft w:val="0"/>
      <w:marRight w:val="0"/>
      <w:marTop w:val="0"/>
      <w:marBottom w:val="0"/>
      <w:divBdr>
        <w:top w:val="none" w:sz="0" w:space="0" w:color="auto"/>
        <w:left w:val="none" w:sz="0" w:space="0" w:color="auto"/>
        <w:bottom w:val="none" w:sz="0" w:space="0" w:color="auto"/>
        <w:right w:val="none" w:sz="0" w:space="0" w:color="auto"/>
      </w:divBdr>
    </w:div>
    <w:div w:id="1940522219">
      <w:bodyDiv w:val="1"/>
      <w:marLeft w:val="0"/>
      <w:marRight w:val="0"/>
      <w:marTop w:val="0"/>
      <w:marBottom w:val="0"/>
      <w:divBdr>
        <w:top w:val="none" w:sz="0" w:space="0" w:color="auto"/>
        <w:left w:val="none" w:sz="0" w:space="0" w:color="auto"/>
        <w:bottom w:val="none" w:sz="0" w:space="0" w:color="auto"/>
        <w:right w:val="none" w:sz="0" w:space="0" w:color="auto"/>
      </w:divBdr>
    </w:div>
    <w:div w:id="1949120363">
      <w:bodyDiv w:val="1"/>
      <w:marLeft w:val="0"/>
      <w:marRight w:val="0"/>
      <w:marTop w:val="0"/>
      <w:marBottom w:val="0"/>
      <w:divBdr>
        <w:top w:val="none" w:sz="0" w:space="0" w:color="auto"/>
        <w:left w:val="none" w:sz="0" w:space="0" w:color="auto"/>
        <w:bottom w:val="none" w:sz="0" w:space="0" w:color="auto"/>
        <w:right w:val="none" w:sz="0" w:space="0" w:color="auto"/>
      </w:divBdr>
    </w:div>
    <w:div w:id="1976370598">
      <w:bodyDiv w:val="1"/>
      <w:marLeft w:val="0"/>
      <w:marRight w:val="0"/>
      <w:marTop w:val="0"/>
      <w:marBottom w:val="0"/>
      <w:divBdr>
        <w:top w:val="none" w:sz="0" w:space="0" w:color="auto"/>
        <w:left w:val="none" w:sz="0" w:space="0" w:color="auto"/>
        <w:bottom w:val="none" w:sz="0" w:space="0" w:color="auto"/>
        <w:right w:val="none" w:sz="0" w:space="0" w:color="auto"/>
      </w:divBdr>
    </w:div>
    <w:div w:id="1985351874">
      <w:bodyDiv w:val="1"/>
      <w:marLeft w:val="0"/>
      <w:marRight w:val="0"/>
      <w:marTop w:val="0"/>
      <w:marBottom w:val="0"/>
      <w:divBdr>
        <w:top w:val="none" w:sz="0" w:space="0" w:color="auto"/>
        <w:left w:val="none" w:sz="0" w:space="0" w:color="auto"/>
        <w:bottom w:val="none" w:sz="0" w:space="0" w:color="auto"/>
        <w:right w:val="none" w:sz="0" w:space="0" w:color="auto"/>
      </w:divBdr>
      <w:divsChild>
        <w:div w:id="1766882165">
          <w:marLeft w:val="0"/>
          <w:marRight w:val="0"/>
          <w:marTop w:val="0"/>
          <w:marBottom w:val="0"/>
          <w:divBdr>
            <w:top w:val="none" w:sz="0" w:space="0" w:color="auto"/>
            <w:left w:val="none" w:sz="0" w:space="0" w:color="auto"/>
            <w:bottom w:val="none" w:sz="0" w:space="0" w:color="auto"/>
            <w:right w:val="none" w:sz="0" w:space="0" w:color="auto"/>
          </w:divBdr>
          <w:divsChild>
            <w:div w:id="2903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7014">
      <w:bodyDiv w:val="1"/>
      <w:marLeft w:val="0"/>
      <w:marRight w:val="0"/>
      <w:marTop w:val="0"/>
      <w:marBottom w:val="0"/>
      <w:divBdr>
        <w:top w:val="none" w:sz="0" w:space="0" w:color="auto"/>
        <w:left w:val="none" w:sz="0" w:space="0" w:color="auto"/>
        <w:bottom w:val="none" w:sz="0" w:space="0" w:color="auto"/>
        <w:right w:val="none" w:sz="0" w:space="0" w:color="auto"/>
      </w:divBdr>
      <w:divsChild>
        <w:div w:id="966930582">
          <w:marLeft w:val="547"/>
          <w:marRight w:val="0"/>
          <w:marTop w:val="0"/>
          <w:marBottom w:val="0"/>
          <w:divBdr>
            <w:top w:val="none" w:sz="0" w:space="0" w:color="auto"/>
            <w:left w:val="none" w:sz="0" w:space="0" w:color="auto"/>
            <w:bottom w:val="none" w:sz="0" w:space="0" w:color="auto"/>
            <w:right w:val="none" w:sz="0" w:space="0" w:color="auto"/>
          </w:divBdr>
        </w:div>
        <w:div w:id="1152138614">
          <w:marLeft w:val="547"/>
          <w:marRight w:val="0"/>
          <w:marTop w:val="0"/>
          <w:marBottom w:val="0"/>
          <w:divBdr>
            <w:top w:val="none" w:sz="0" w:space="0" w:color="auto"/>
            <w:left w:val="none" w:sz="0" w:space="0" w:color="auto"/>
            <w:bottom w:val="none" w:sz="0" w:space="0" w:color="auto"/>
            <w:right w:val="none" w:sz="0" w:space="0" w:color="auto"/>
          </w:divBdr>
        </w:div>
      </w:divsChild>
    </w:div>
    <w:div w:id="2006974992">
      <w:bodyDiv w:val="1"/>
      <w:marLeft w:val="0"/>
      <w:marRight w:val="0"/>
      <w:marTop w:val="0"/>
      <w:marBottom w:val="0"/>
      <w:divBdr>
        <w:top w:val="none" w:sz="0" w:space="0" w:color="auto"/>
        <w:left w:val="none" w:sz="0" w:space="0" w:color="auto"/>
        <w:bottom w:val="none" w:sz="0" w:space="0" w:color="auto"/>
        <w:right w:val="none" w:sz="0" w:space="0" w:color="auto"/>
      </w:divBdr>
      <w:divsChild>
        <w:div w:id="2067530568">
          <w:marLeft w:val="0"/>
          <w:marRight w:val="0"/>
          <w:marTop w:val="0"/>
          <w:marBottom w:val="0"/>
          <w:divBdr>
            <w:top w:val="none" w:sz="0" w:space="0" w:color="auto"/>
            <w:left w:val="none" w:sz="0" w:space="0" w:color="auto"/>
            <w:bottom w:val="none" w:sz="0" w:space="0" w:color="auto"/>
            <w:right w:val="none" w:sz="0" w:space="0" w:color="auto"/>
          </w:divBdr>
          <w:divsChild>
            <w:div w:id="17519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6497">
      <w:bodyDiv w:val="1"/>
      <w:marLeft w:val="0"/>
      <w:marRight w:val="0"/>
      <w:marTop w:val="0"/>
      <w:marBottom w:val="0"/>
      <w:divBdr>
        <w:top w:val="none" w:sz="0" w:space="0" w:color="auto"/>
        <w:left w:val="none" w:sz="0" w:space="0" w:color="auto"/>
        <w:bottom w:val="none" w:sz="0" w:space="0" w:color="auto"/>
        <w:right w:val="none" w:sz="0" w:space="0" w:color="auto"/>
      </w:divBdr>
      <w:divsChild>
        <w:div w:id="66004504">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2110923371">
      <w:bodyDiv w:val="1"/>
      <w:marLeft w:val="0"/>
      <w:marRight w:val="0"/>
      <w:marTop w:val="0"/>
      <w:marBottom w:val="0"/>
      <w:divBdr>
        <w:top w:val="none" w:sz="0" w:space="0" w:color="auto"/>
        <w:left w:val="none" w:sz="0" w:space="0" w:color="auto"/>
        <w:bottom w:val="none" w:sz="0" w:space="0" w:color="auto"/>
        <w:right w:val="none" w:sz="0" w:space="0" w:color="auto"/>
      </w:divBdr>
      <w:divsChild>
        <w:div w:id="52238811">
          <w:marLeft w:val="0"/>
          <w:marRight w:val="0"/>
          <w:marTop w:val="0"/>
          <w:marBottom w:val="0"/>
          <w:divBdr>
            <w:top w:val="none" w:sz="0" w:space="0" w:color="auto"/>
            <w:left w:val="none" w:sz="0" w:space="0" w:color="auto"/>
            <w:bottom w:val="none" w:sz="0" w:space="0" w:color="auto"/>
            <w:right w:val="none" w:sz="0" w:space="0" w:color="auto"/>
          </w:divBdr>
          <w:divsChild>
            <w:div w:id="16254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igital.devices@tga.gov.au" TargetMode="External"/><Relationship Id="rId18" Type="http://schemas.openxmlformats.org/officeDocument/2006/relationships/hyperlink" Target="https://www.legislation.gov.au/Series/C2004A03952" TargetMode="External"/><Relationship Id="rId26" Type="http://schemas.openxmlformats.org/officeDocument/2006/relationships/hyperlink" Target="https://www.legislation.gov.au/Details/F2021C00113" TargetMode="External"/><Relationship Id="rId39"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hyperlink" Target="https://www.legislation.gov.au/Details/F2020C00112" TargetMode="External"/><Relationship Id="rId42" Type="http://schemas.openxmlformats.org/officeDocument/2006/relationships/image" Target="media/image13.png"/><Relationship Id="rId47" Type="http://schemas.openxmlformats.org/officeDocument/2006/relationships/hyperlink" Target="https://www.tga.gov.au/conformity-assessment" TargetMode="External"/><Relationship Id="rId50" Type="http://schemas.openxmlformats.org/officeDocument/2006/relationships/hyperlink" Target="https://www.tga.gov.au/reporting-adverse-events" TargetMode="External"/><Relationship Id="rId55" Type="http://schemas.openxmlformats.org/officeDocument/2006/relationships/hyperlink" Target="mailto:digital.devices@health.gov.au" TargetMode="External"/><Relationship Id="rId63" Type="http://schemas.openxmlformats.org/officeDocument/2006/relationships/hyperlink" Target="https://www.fda.gov/medical-devices/digital-health/software-medical-device-samd" TargetMode="External"/><Relationship Id="rId68" Type="http://schemas.openxmlformats.org/officeDocument/2006/relationships/hyperlink" Target="https://www.tga.gov.au"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tga.gov.au/publication/use-market-authorisation-evidence-comparable-overseas-regulators-assessment-bodies-medical-devices-including-ivds" TargetMode="External"/><Relationship Id="rId11" Type="http://schemas.openxmlformats.org/officeDocument/2006/relationships/footer" Target="footer2.xml"/><Relationship Id="rId24" Type="http://schemas.openxmlformats.org/officeDocument/2006/relationships/hyperlink" Target="https://www.tga.gov.au/resource/clinical-decision-support-software" TargetMode="External"/><Relationship Id="rId32" Type="http://schemas.openxmlformats.org/officeDocument/2006/relationships/hyperlink" Target="https://www.tga.gov.au/publication/use-market-authorisation-evidence-comparable-overseas-regulators-assessment-bodies-medical-devices-including-ivds" TargetMode="External"/><Relationship Id="rId37" Type="http://schemas.openxmlformats.org/officeDocument/2006/relationships/hyperlink" Target="https://www.tga.gov.au/resource/regulatory-changes-software-based-medical-devices" TargetMode="External"/><Relationship Id="rId40" Type="http://schemas.openxmlformats.org/officeDocument/2006/relationships/image" Target="media/image11.png"/><Relationship Id="rId45" Type="http://schemas.openxmlformats.org/officeDocument/2006/relationships/hyperlink" Target="https://www.tga.gov.au/resource/regulatory-changes-software-based-medical-devices" TargetMode="External"/><Relationship Id="rId53" Type="http://schemas.openxmlformats.org/officeDocument/2006/relationships/hyperlink" Target="https://www.tga.gov.au/reporting-adverse-events" TargetMode="External"/><Relationship Id="rId58" Type="http://schemas.openxmlformats.org/officeDocument/2006/relationships/hyperlink" Target="https://www.tga.gov.au/sme-assist/medical-devices-regulation-introduction"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resources/australian-register-therapeutic-goods-artg" TargetMode="External"/><Relationship Id="rId23" Type="http://schemas.openxmlformats.org/officeDocument/2006/relationships/hyperlink" Target="https://www.tga.gov.au/resource/examples-regulated-and-unregulated-software-excluded-software-based-medical-devices" TargetMode="External"/><Relationship Id="rId28" Type="http://schemas.openxmlformats.org/officeDocument/2006/relationships/hyperlink" Target="https://www.tga.gov.au/publication/medical-device-inclusion-process" TargetMode="External"/><Relationship Id="rId36" Type="http://schemas.openxmlformats.org/officeDocument/2006/relationships/hyperlink" Target="https://www.tga.gov.au/publication/classification-ivd-medical-devices" TargetMode="External"/><Relationship Id="rId49" Type="http://schemas.openxmlformats.org/officeDocument/2006/relationships/hyperlink" Target="https://www.tga.gov.au/resources/australian-register-therapeutic-goods-artg" TargetMode="External"/><Relationship Id="rId57" Type="http://schemas.openxmlformats.org/officeDocument/2006/relationships/hyperlink" Target="https://www.tga.gov.au/acronyms-glossary" TargetMode="External"/><Relationship Id="rId61" Type="http://schemas.openxmlformats.org/officeDocument/2006/relationships/hyperlink" Target="https://www.tga.gov.au/sme-assist/medical-devices-regulation-introduction" TargetMode="External"/><Relationship Id="rId10" Type="http://schemas.openxmlformats.org/officeDocument/2006/relationships/header" Target="header2.xml"/><Relationship Id="rId19" Type="http://schemas.openxmlformats.org/officeDocument/2006/relationships/hyperlink" Target="https://www.tga.gov.au/sme-assist/medical-devices-regulation-introduction" TargetMode="External"/><Relationship Id="rId31" Type="http://schemas.openxmlformats.org/officeDocument/2006/relationships/image" Target="media/image7.png"/><Relationship Id="rId44" Type="http://schemas.openxmlformats.org/officeDocument/2006/relationships/hyperlink" Target="https://www.tga.gov.au/resource/regulatory-changes-software-based-medical-devices" TargetMode="External"/><Relationship Id="rId52" Type="http://schemas.openxmlformats.org/officeDocument/2006/relationships/hyperlink" Target="https://www.tga.gov.au/australian-register-therapeutic-goods" TargetMode="External"/><Relationship Id="rId60" Type="http://schemas.openxmlformats.org/officeDocument/2006/relationships/hyperlink" Target="https://www.tga.gov.au/acronyms-glossary" TargetMode="External"/><Relationship Id="rId65" Type="http://schemas.openxmlformats.org/officeDocument/2006/relationships/header" Target="header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igital.devices@tga.gov.au" TargetMode="External"/><Relationship Id="rId22" Type="http://schemas.openxmlformats.org/officeDocument/2006/relationships/hyperlink" Target="https://www.tga.gov.au/resource/my-software-regulated" TargetMode="External"/><Relationship Id="rId27" Type="http://schemas.openxmlformats.org/officeDocument/2006/relationships/hyperlink" Target="https://www.tga.gov.au/resources/australian-register-therapeutic-goods-artg" TargetMode="External"/><Relationship Id="rId30" Type="http://schemas.openxmlformats.org/officeDocument/2006/relationships/image" Target="media/image6.png"/><Relationship Id="rId35" Type="http://schemas.openxmlformats.org/officeDocument/2006/relationships/hyperlink" Target="https://www.tga.gov.au/resource/regulatory-changes-software-based-medical-devices" TargetMode="External"/><Relationship Id="rId43" Type="http://schemas.openxmlformats.org/officeDocument/2006/relationships/hyperlink" Target="https://www.tga.gov.au/publication/australian-regulatory-guidelines-medical-devices-argmd" TargetMode="External"/><Relationship Id="rId48" Type="http://schemas.openxmlformats.org/officeDocument/2006/relationships/hyperlink" Target="https://www.tga.gov.au/australian-register-therapeutic-goods" TargetMode="External"/><Relationship Id="rId56" Type="http://schemas.openxmlformats.org/officeDocument/2006/relationships/hyperlink" Target="https://www.tga.gov.au/sme-assist" TargetMode="External"/><Relationship Id="rId64" Type="http://schemas.openxmlformats.org/officeDocument/2006/relationships/hyperlink" Target="https://www.tga.gov.au/acronyms-glossary" TargetMode="External"/><Relationship Id="rId69" Type="http://schemas.openxmlformats.org/officeDocument/2006/relationships/hyperlink" Target="el://D20-753279?db=A7&amp;open" TargetMode="External"/><Relationship Id="rId8" Type="http://schemas.openxmlformats.org/officeDocument/2006/relationships/header" Target="header1.xml"/><Relationship Id="rId51" Type="http://schemas.openxmlformats.org/officeDocument/2006/relationships/hyperlink" Target="https://www.tga.gov.au/australian-register-therapeutic-good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hyperlink" Target="http://www.imdrf.org/" TargetMode="External"/><Relationship Id="rId25" Type="http://schemas.openxmlformats.org/officeDocument/2006/relationships/hyperlink" Target="https://www.legislation.gov.au/Details/C2021C00092"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www.tga.gov.au/resource/regulatory-changes-software-based-medical-devices" TargetMode="External"/><Relationship Id="rId59" Type="http://schemas.openxmlformats.org/officeDocument/2006/relationships/hyperlink" Target="https://www.macquariedictionary.com.au/features/word/search/?search_word_type=Dictionary&amp;word=digital" TargetMode="External"/><Relationship Id="rId67" Type="http://schemas.openxmlformats.org/officeDocument/2006/relationships/hyperlink" Target="mailto:info@tga.gov.au" TargetMode="External"/><Relationship Id="rId20" Type="http://schemas.openxmlformats.org/officeDocument/2006/relationships/hyperlink" Target="https://www.tga.gov.au/publication/software-vitro-diagnostic-medical-devices-ivds" TargetMode="External"/><Relationship Id="rId41" Type="http://schemas.openxmlformats.org/officeDocument/2006/relationships/image" Target="media/image12.png"/><Relationship Id="rId54" Type="http://schemas.openxmlformats.org/officeDocument/2006/relationships/hyperlink" Target="https://www.tga.gov.au/therapeutic-goods-legislation-amendment-2019-measures-no1-regulations-2019" TargetMode="External"/><Relationship Id="rId62" Type="http://schemas.openxmlformats.org/officeDocument/2006/relationships/hyperlink" Target="http://www.imdrf.org/docs/imdrf/final/technical/imdrf-tech-140918-samd-framework-risk-categorization-141013.pdf"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6837E-FBAD-4A9E-A9B0-7EDBF240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37</TotalTime>
  <Pages>30</Pages>
  <Words>8958</Words>
  <Characters>51242</Characters>
  <Application>Microsoft Office Word</Application>
  <DocSecurity>0</DocSecurity>
  <Lines>1281</Lines>
  <Paragraphs>647</Paragraphs>
  <ScaleCrop>false</ScaleCrop>
  <HeadingPairs>
    <vt:vector size="2" baseType="variant">
      <vt:variant>
        <vt:lpstr>Title</vt:lpstr>
      </vt:variant>
      <vt:variant>
        <vt:i4>1</vt:i4>
      </vt:variant>
    </vt:vector>
  </HeadingPairs>
  <TitlesOfParts>
    <vt:vector size="1" baseType="lpstr">
      <vt:lpstr>How the TGA regulates software-based medical devices</vt:lpstr>
    </vt:vector>
  </TitlesOfParts>
  <Company>TGA</Company>
  <LinksUpToDate>false</LinksUpToDate>
  <CharactersWithSpaces>59553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TGA regulates software-based medical devices</dc:title>
  <dc:subject>medical devices/IVDs</dc:subject>
  <dc:creator>Therapeutic Goods Administration</dc:creator>
  <cp:keywords/>
  <dc:description/>
  <cp:lastModifiedBy>LACK, Janet</cp:lastModifiedBy>
  <cp:revision>2</cp:revision>
  <cp:lastPrinted>2010-12-20T22:59:00Z</cp:lastPrinted>
  <dcterms:created xsi:type="dcterms:W3CDTF">2021-02-19T05:08:00Z</dcterms:created>
  <dcterms:modified xsi:type="dcterms:W3CDTF">2025-08-26T01:29:00Z</dcterms:modified>
</cp:coreProperties>
</file>