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947"/>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0"/>
      </w:tblGrid>
      <w:tr w:rsidR="008B30B0" w:rsidRPr="00215D48" w:rsidTr="00CB0F08">
        <w:trPr>
          <w:trHeight w:val="325"/>
        </w:trPr>
        <w:tc>
          <w:tcPr>
            <w:tcW w:w="9380" w:type="dxa"/>
          </w:tcPr>
          <w:p w:rsidR="008B30B0" w:rsidRPr="00B027EC" w:rsidRDefault="008B30B0" w:rsidP="00520CB7">
            <w:pPr>
              <w:pStyle w:val="Title-intropage"/>
              <w:spacing w:after="0"/>
              <w:outlineLvl w:val="0"/>
              <w:rPr>
                <w:rFonts w:asciiTheme="majorHAnsi" w:hAnsiTheme="majorHAnsi" w:cstheme="majorHAnsi"/>
                <w:spacing w:val="0"/>
                <w:sz w:val="28"/>
                <w:szCs w:val="28"/>
              </w:rPr>
            </w:pPr>
            <w:r w:rsidRPr="00B027EC">
              <w:rPr>
                <w:rFonts w:asciiTheme="majorHAnsi" w:hAnsiTheme="majorHAnsi" w:cstheme="majorHAnsi"/>
                <w:color w:val="C00000"/>
                <w:spacing w:val="0"/>
                <w:sz w:val="28"/>
                <w:szCs w:val="28"/>
              </w:rPr>
              <w:t>T</w:t>
            </w:r>
            <w:r w:rsidR="00520CB7">
              <w:rPr>
                <w:rFonts w:asciiTheme="majorHAnsi" w:hAnsiTheme="majorHAnsi" w:cstheme="majorHAnsi"/>
                <w:color w:val="C00000"/>
                <w:spacing w:val="0"/>
                <w:sz w:val="28"/>
                <w:szCs w:val="28"/>
              </w:rPr>
              <w:t>herapeutic Goods Administration</w:t>
            </w:r>
          </w:p>
        </w:tc>
      </w:tr>
      <w:tr w:rsidR="008B30B0" w:rsidRPr="00215D48" w:rsidTr="00CB0F08">
        <w:trPr>
          <w:trHeight w:val="1632"/>
        </w:trPr>
        <w:tc>
          <w:tcPr>
            <w:tcW w:w="9380" w:type="dxa"/>
          </w:tcPr>
          <w:p w:rsidR="008B30B0" w:rsidRPr="00DE2450" w:rsidRDefault="008B30B0" w:rsidP="00520CB7">
            <w:pPr>
              <w:pStyle w:val="Title-intropage"/>
              <w:spacing w:after="0" w:line="240" w:lineRule="atLeast"/>
              <w:outlineLvl w:val="0"/>
              <w:rPr>
                <w:rFonts w:asciiTheme="majorHAnsi" w:hAnsiTheme="majorHAnsi" w:cstheme="majorHAnsi"/>
                <w:color w:val="5882A8"/>
                <w:sz w:val="64"/>
                <w:szCs w:val="64"/>
              </w:rPr>
            </w:pPr>
            <w:r w:rsidRPr="00DE2450">
              <w:rPr>
                <w:rFonts w:asciiTheme="majorHAnsi" w:hAnsiTheme="majorHAnsi" w:cstheme="majorHAnsi"/>
                <w:color w:val="5882A8"/>
                <w:sz w:val="64"/>
                <w:szCs w:val="64"/>
              </w:rPr>
              <w:t>Half Yearly Performance Snapshot</w:t>
            </w:r>
          </w:p>
          <w:p w:rsidR="008B30B0" w:rsidRPr="008B30B0" w:rsidRDefault="008B30B0" w:rsidP="00520CB7">
            <w:pPr>
              <w:pStyle w:val="Title-intropage"/>
              <w:spacing w:after="0" w:line="240" w:lineRule="atLeast"/>
              <w:jc w:val="right"/>
              <w:outlineLvl w:val="0"/>
              <w:rPr>
                <w:rFonts w:asciiTheme="majorHAnsi" w:hAnsiTheme="majorHAnsi" w:cstheme="majorHAnsi"/>
                <w:spacing w:val="0"/>
                <w:sz w:val="64"/>
                <w:szCs w:val="64"/>
              </w:rPr>
            </w:pPr>
            <w:r w:rsidRPr="008B30B0">
              <w:rPr>
                <w:rFonts w:asciiTheme="majorHAnsi" w:hAnsiTheme="majorHAnsi" w:cstheme="majorHAnsi"/>
                <w:color w:val="C00000"/>
                <w:spacing w:val="0"/>
                <w:sz w:val="48"/>
                <w:szCs w:val="48"/>
              </w:rPr>
              <w:t>1 July to 31 December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r>
      <w:proofErr w:type="gramStart"/>
      <w:r w:rsidRPr="00215D48">
        <w:rPr>
          <w:rFonts w:cs="Arial"/>
        </w:rPr>
        <w:t>This</w:t>
      </w:r>
      <w:proofErr w:type="gramEnd"/>
      <w:r w:rsidRPr="00215D48">
        <w:rPr>
          <w:rFonts w:cs="Arial"/>
        </w:rPr>
        <w:t xml:space="preserve"> work is copyright. </w:t>
      </w:r>
      <w:proofErr w:type="gramStart"/>
      <w:r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215D48">
        <w:rPr>
          <w:rFonts w:cs="Arial"/>
        </w:rPr>
        <w:t xml:space="preserve">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215D48">
        <w:rPr>
          <w:rFonts w:cs="Arial"/>
        </w:rPr>
        <w:t>sent</w:t>
      </w:r>
      <w:proofErr w:type="gramEnd"/>
      <w:r w:rsidRPr="00215D48">
        <w:rPr>
          <w:rFonts w:cs="Arial"/>
        </w:rPr>
        <w:t xml:space="preserve">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CB0F08">
          <w:pPr>
            <w:pStyle w:val="NonTOCheading2"/>
          </w:pPr>
          <w:r w:rsidRPr="00215D48">
            <w:t>Contents</w:t>
          </w:r>
        </w:p>
        <w:p w:rsidR="00144F3F"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69725922" w:history="1">
            <w:r w:rsidR="00144F3F" w:rsidRPr="00C25CA9">
              <w:rPr>
                <w:rStyle w:val="Hyperlink"/>
                <w:noProof/>
              </w:rPr>
              <w:t>About the Therapeutic Goods Administration</w:t>
            </w:r>
            <w:r w:rsidR="00144F3F">
              <w:rPr>
                <w:noProof/>
                <w:webHidden/>
              </w:rPr>
              <w:tab/>
            </w:r>
            <w:r w:rsidR="00144F3F">
              <w:rPr>
                <w:noProof/>
                <w:webHidden/>
              </w:rPr>
              <w:fldChar w:fldCharType="begin"/>
            </w:r>
            <w:r w:rsidR="00144F3F">
              <w:rPr>
                <w:noProof/>
                <w:webHidden/>
              </w:rPr>
              <w:instrText xml:space="preserve"> PAGEREF _Toc69725922 \h </w:instrText>
            </w:r>
            <w:r w:rsidR="00144F3F">
              <w:rPr>
                <w:noProof/>
                <w:webHidden/>
              </w:rPr>
            </w:r>
            <w:r w:rsidR="00144F3F">
              <w:rPr>
                <w:noProof/>
                <w:webHidden/>
              </w:rPr>
              <w:fldChar w:fldCharType="separate"/>
            </w:r>
            <w:r w:rsidR="00AC4603">
              <w:rPr>
                <w:noProof/>
                <w:webHidden/>
              </w:rPr>
              <w:t>4</w:t>
            </w:r>
            <w:r w:rsidR="00144F3F">
              <w:rPr>
                <w:noProof/>
                <w:webHidden/>
              </w:rPr>
              <w:fldChar w:fldCharType="end"/>
            </w:r>
          </w:hyperlink>
        </w:p>
        <w:p w:rsidR="00144F3F" w:rsidRDefault="00B356BA">
          <w:pPr>
            <w:pStyle w:val="TOC1"/>
            <w:rPr>
              <w:rFonts w:asciiTheme="minorHAnsi" w:eastAsiaTheme="minorEastAsia" w:hAnsiTheme="minorHAnsi" w:cstheme="minorBidi"/>
              <w:b w:val="0"/>
              <w:noProof/>
              <w:sz w:val="22"/>
              <w:szCs w:val="22"/>
              <w:lang w:eastAsia="en-AU"/>
            </w:rPr>
          </w:pPr>
          <w:hyperlink w:anchor="_Toc69725923" w:history="1">
            <w:r w:rsidR="00144F3F" w:rsidRPr="00C25CA9">
              <w:rPr>
                <w:rStyle w:val="Hyperlink"/>
                <w:noProof/>
              </w:rPr>
              <w:t>Introduction</w:t>
            </w:r>
            <w:r w:rsidR="00144F3F">
              <w:rPr>
                <w:noProof/>
                <w:webHidden/>
              </w:rPr>
              <w:tab/>
            </w:r>
            <w:r w:rsidR="00144F3F">
              <w:rPr>
                <w:noProof/>
                <w:webHidden/>
              </w:rPr>
              <w:fldChar w:fldCharType="begin"/>
            </w:r>
            <w:r w:rsidR="00144F3F">
              <w:rPr>
                <w:noProof/>
                <w:webHidden/>
              </w:rPr>
              <w:instrText xml:space="preserve"> PAGEREF _Toc69725923 \h </w:instrText>
            </w:r>
            <w:r w:rsidR="00144F3F">
              <w:rPr>
                <w:noProof/>
                <w:webHidden/>
              </w:rPr>
            </w:r>
            <w:r w:rsidR="00144F3F">
              <w:rPr>
                <w:noProof/>
                <w:webHidden/>
              </w:rPr>
              <w:fldChar w:fldCharType="separate"/>
            </w:r>
            <w:r w:rsidR="00AC4603">
              <w:rPr>
                <w:noProof/>
                <w:webHidden/>
              </w:rPr>
              <w:t>5</w:t>
            </w:r>
            <w:r w:rsidR="00144F3F">
              <w:rPr>
                <w:noProof/>
                <w:webHidden/>
              </w:rPr>
              <w:fldChar w:fldCharType="end"/>
            </w:r>
          </w:hyperlink>
        </w:p>
        <w:p w:rsidR="00144F3F" w:rsidRDefault="00B356BA">
          <w:pPr>
            <w:pStyle w:val="TOC1"/>
            <w:rPr>
              <w:rFonts w:asciiTheme="minorHAnsi" w:eastAsiaTheme="minorEastAsia" w:hAnsiTheme="minorHAnsi" w:cstheme="minorBidi"/>
              <w:b w:val="0"/>
              <w:noProof/>
              <w:sz w:val="22"/>
              <w:szCs w:val="22"/>
              <w:lang w:eastAsia="en-AU"/>
            </w:rPr>
          </w:pPr>
          <w:hyperlink w:anchor="_Toc69725924" w:history="1">
            <w:r w:rsidR="00144F3F" w:rsidRPr="00C25CA9">
              <w:rPr>
                <w:rStyle w:val="Hyperlink"/>
                <w:noProof/>
              </w:rPr>
              <w:t>Performance highlights</w:t>
            </w:r>
            <w:r w:rsidR="00144F3F">
              <w:rPr>
                <w:noProof/>
                <w:webHidden/>
              </w:rPr>
              <w:tab/>
            </w:r>
            <w:r w:rsidR="00144F3F">
              <w:rPr>
                <w:noProof/>
                <w:webHidden/>
              </w:rPr>
              <w:fldChar w:fldCharType="begin"/>
            </w:r>
            <w:r w:rsidR="00144F3F">
              <w:rPr>
                <w:noProof/>
                <w:webHidden/>
              </w:rPr>
              <w:instrText xml:space="preserve"> PAGEREF _Toc69725924 \h </w:instrText>
            </w:r>
            <w:r w:rsidR="00144F3F">
              <w:rPr>
                <w:noProof/>
                <w:webHidden/>
              </w:rPr>
            </w:r>
            <w:r w:rsidR="00144F3F">
              <w:rPr>
                <w:noProof/>
                <w:webHidden/>
              </w:rPr>
              <w:fldChar w:fldCharType="separate"/>
            </w:r>
            <w:r w:rsidR="00AC4603">
              <w:rPr>
                <w:noProof/>
                <w:webHidden/>
              </w:rPr>
              <w:t>6</w:t>
            </w:r>
            <w:r w:rsidR="00144F3F">
              <w:rPr>
                <w:noProof/>
                <w:webHidden/>
              </w:rPr>
              <w:fldChar w:fldCharType="end"/>
            </w:r>
          </w:hyperlink>
        </w:p>
        <w:p w:rsidR="00144F3F" w:rsidRDefault="00B356BA">
          <w:pPr>
            <w:pStyle w:val="TOC2"/>
            <w:rPr>
              <w:rFonts w:asciiTheme="minorHAnsi" w:eastAsiaTheme="minorEastAsia" w:hAnsiTheme="minorHAnsi" w:cstheme="minorBidi"/>
              <w:b w:val="0"/>
              <w:noProof/>
              <w:sz w:val="22"/>
              <w:szCs w:val="22"/>
              <w:lang w:eastAsia="en-AU"/>
            </w:rPr>
          </w:pPr>
          <w:hyperlink w:anchor="_Toc69725925" w:history="1">
            <w:r w:rsidR="00144F3F" w:rsidRPr="00C25CA9">
              <w:rPr>
                <w:rStyle w:val="Hyperlink"/>
                <w:noProof/>
              </w:rPr>
              <w:t>Impacts of COVID-19</w:t>
            </w:r>
            <w:r w:rsidR="00144F3F">
              <w:rPr>
                <w:noProof/>
                <w:webHidden/>
              </w:rPr>
              <w:tab/>
            </w:r>
            <w:r w:rsidR="00144F3F">
              <w:rPr>
                <w:noProof/>
                <w:webHidden/>
              </w:rPr>
              <w:fldChar w:fldCharType="begin"/>
            </w:r>
            <w:r w:rsidR="00144F3F">
              <w:rPr>
                <w:noProof/>
                <w:webHidden/>
              </w:rPr>
              <w:instrText xml:space="preserve"> PAGEREF _Toc69725925 \h </w:instrText>
            </w:r>
            <w:r w:rsidR="00144F3F">
              <w:rPr>
                <w:noProof/>
                <w:webHidden/>
              </w:rPr>
            </w:r>
            <w:r w:rsidR="00144F3F">
              <w:rPr>
                <w:noProof/>
                <w:webHidden/>
              </w:rPr>
              <w:fldChar w:fldCharType="separate"/>
            </w:r>
            <w:r w:rsidR="00AC4603">
              <w:rPr>
                <w:noProof/>
                <w:webHidden/>
              </w:rPr>
              <w:t>6</w:t>
            </w:r>
            <w:r w:rsidR="00144F3F">
              <w:rPr>
                <w:noProof/>
                <w:webHidden/>
              </w:rPr>
              <w:fldChar w:fldCharType="end"/>
            </w:r>
          </w:hyperlink>
        </w:p>
        <w:p w:rsidR="00144F3F" w:rsidRDefault="00B356BA">
          <w:pPr>
            <w:pStyle w:val="TOC2"/>
            <w:rPr>
              <w:rFonts w:asciiTheme="minorHAnsi" w:eastAsiaTheme="minorEastAsia" w:hAnsiTheme="minorHAnsi" w:cstheme="minorBidi"/>
              <w:b w:val="0"/>
              <w:noProof/>
              <w:sz w:val="22"/>
              <w:szCs w:val="22"/>
              <w:lang w:eastAsia="en-AU"/>
            </w:rPr>
          </w:pPr>
          <w:hyperlink w:anchor="_Toc69725931" w:history="1">
            <w:r w:rsidR="00144F3F" w:rsidRPr="00C25CA9">
              <w:rPr>
                <w:rStyle w:val="Hyperlink"/>
                <w:noProof/>
              </w:rPr>
              <w:t>Reforms and updates</w:t>
            </w:r>
            <w:r w:rsidR="00144F3F">
              <w:rPr>
                <w:noProof/>
                <w:webHidden/>
              </w:rPr>
              <w:tab/>
            </w:r>
            <w:r w:rsidR="00144F3F">
              <w:rPr>
                <w:noProof/>
                <w:webHidden/>
              </w:rPr>
              <w:fldChar w:fldCharType="begin"/>
            </w:r>
            <w:r w:rsidR="00144F3F">
              <w:rPr>
                <w:noProof/>
                <w:webHidden/>
              </w:rPr>
              <w:instrText xml:space="preserve"> PAGEREF _Toc69725931 \h </w:instrText>
            </w:r>
            <w:r w:rsidR="00144F3F">
              <w:rPr>
                <w:noProof/>
                <w:webHidden/>
              </w:rPr>
            </w:r>
            <w:r w:rsidR="00144F3F">
              <w:rPr>
                <w:noProof/>
                <w:webHidden/>
              </w:rPr>
              <w:fldChar w:fldCharType="separate"/>
            </w:r>
            <w:r w:rsidR="00AC4603">
              <w:rPr>
                <w:noProof/>
                <w:webHidden/>
              </w:rPr>
              <w:t>9</w:t>
            </w:r>
            <w:r w:rsidR="00144F3F">
              <w:rPr>
                <w:noProof/>
                <w:webHidden/>
              </w:rPr>
              <w:fldChar w:fldCharType="end"/>
            </w:r>
          </w:hyperlink>
        </w:p>
        <w:p w:rsidR="00144F3F" w:rsidRDefault="00B356BA">
          <w:pPr>
            <w:pStyle w:val="TOC1"/>
            <w:rPr>
              <w:rFonts w:asciiTheme="minorHAnsi" w:eastAsiaTheme="minorEastAsia" w:hAnsiTheme="minorHAnsi" w:cstheme="minorBidi"/>
              <w:b w:val="0"/>
              <w:noProof/>
              <w:sz w:val="22"/>
              <w:szCs w:val="22"/>
              <w:lang w:eastAsia="en-AU"/>
            </w:rPr>
          </w:pPr>
          <w:hyperlink w:anchor="_Toc69725936" w:history="1">
            <w:r w:rsidR="00144F3F" w:rsidRPr="00C25CA9">
              <w:rPr>
                <w:rStyle w:val="Hyperlink"/>
                <w:noProof/>
              </w:rPr>
              <w:t>Processing and approval times</w:t>
            </w:r>
            <w:r w:rsidR="00144F3F">
              <w:rPr>
                <w:noProof/>
                <w:webHidden/>
              </w:rPr>
              <w:tab/>
            </w:r>
            <w:r w:rsidR="00144F3F">
              <w:rPr>
                <w:noProof/>
                <w:webHidden/>
              </w:rPr>
              <w:fldChar w:fldCharType="begin"/>
            </w:r>
            <w:r w:rsidR="00144F3F">
              <w:rPr>
                <w:noProof/>
                <w:webHidden/>
              </w:rPr>
              <w:instrText xml:space="preserve"> PAGEREF _Toc69725936 \h </w:instrText>
            </w:r>
            <w:r w:rsidR="00144F3F">
              <w:rPr>
                <w:noProof/>
                <w:webHidden/>
              </w:rPr>
            </w:r>
            <w:r w:rsidR="00144F3F">
              <w:rPr>
                <w:noProof/>
                <w:webHidden/>
              </w:rPr>
              <w:fldChar w:fldCharType="separate"/>
            </w:r>
            <w:r w:rsidR="00AC4603">
              <w:rPr>
                <w:noProof/>
                <w:webHidden/>
              </w:rPr>
              <w:t>13</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37" w:history="1">
            <w:r w:rsidR="00144F3F" w:rsidRPr="00C25CA9">
              <w:rPr>
                <w:rStyle w:val="Hyperlink"/>
                <w:noProof/>
              </w:rPr>
              <w:t>1.</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Prescription medicines</w:t>
            </w:r>
            <w:r w:rsidR="00144F3F">
              <w:rPr>
                <w:noProof/>
                <w:webHidden/>
              </w:rPr>
              <w:tab/>
            </w:r>
            <w:r w:rsidR="00144F3F">
              <w:rPr>
                <w:noProof/>
                <w:webHidden/>
              </w:rPr>
              <w:fldChar w:fldCharType="begin"/>
            </w:r>
            <w:r w:rsidR="00144F3F">
              <w:rPr>
                <w:noProof/>
                <w:webHidden/>
              </w:rPr>
              <w:instrText xml:space="preserve"> PAGEREF _Toc69725937 \h </w:instrText>
            </w:r>
            <w:r w:rsidR="00144F3F">
              <w:rPr>
                <w:noProof/>
                <w:webHidden/>
              </w:rPr>
            </w:r>
            <w:r w:rsidR="00144F3F">
              <w:rPr>
                <w:noProof/>
                <w:webHidden/>
              </w:rPr>
              <w:fldChar w:fldCharType="separate"/>
            </w:r>
            <w:r w:rsidR="00AC4603">
              <w:rPr>
                <w:noProof/>
                <w:webHidden/>
              </w:rPr>
              <w:t>14</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43" w:history="1">
            <w:r w:rsidR="00144F3F" w:rsidRPr="00C25CA9">
              <w:rPr>
                <w:rStyle w:val="Hyperlink"/>
                <w:noProof/>
              </w:rPr>
              <w:t>2.</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Over-the-Counter medicines</w:t>
            </w:r>
            <w:r w:rsidR="00144F3F">
              <w:rPr>
                <w:noProof/>
                <w:webHidden/>
              </w:rPr>
              <w:tab/>
            </w:r>
            <w:r w:rsidR="00144F3F">
              <w:rPr>
                <w:noProof/>
                <w:webHidden/>
              </w:rPr>
              <w:fldChar w:fldCharType="begin"/>
            </w:r>
            <w:r w:rsidR="00144F3F">
              <w:rPr>
                <w:noProof/>
                <w:webHidden/>
              </w:rPr>
              <w:instrText xml:space="preserve"> PAGEREF _Toc69725943 \h </w:instrText>
            </w:r>
            <w:r w:rsidR="00144F3F">
              <w:rPr>
                <w:noProof/>
                <w:webHidden/>
              </w:rPr>
            </w:r>
            <w:r w:rsidR="00144F3F">
              <w:rPr>
                <w:noProof/>
                <w:webHidden/>
              </w:rPr>
              <w:fldChar w:fldCharType="separate"/>
            </w:r>
            <w:r w:rsidR="00AC4603">
              <w:rPr>
                <w:noProof/>
                <w:webHidden/>
              </w:rPr>
              <w:t>23</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44" w:history="1">
            <w:r w:rsidR="00144F3F" w:rsidRPr="00C25CA9">
              <w:rPr>
                <w:rStyle w:val="Hyperlink"/>
                <w:noProof/>
              </w:rPr>
              <w:t>3.</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Complementary medicines</w:t>
            </w:r>
            <w:r w:rsidR="00144F3F">
              <w:rPr>
                <w:noProof/>
                <w:webHidden/>
              </w:rPr>
              <w:tab/>
            </w:r>
            <w:r w:rsidR="00144F3F">
              <w:rPr>
                <w:noProof/>
                <w:webHidden/>
              </w:rPr>
              <w:fldChar w:fldCharType="begin"/>
            </w:r>
            <w:r w:rsidR="00144F3F">
              <w:rPr>
                <w:noProof/>
                <w:webHidden/>
              </w:rPr>
              <w:instrText xml:space="preserve"> PAGEREF _Toc69725944 \h </w:instrText>
            </w:r>
            <w:r w:rsidR="00144F3F">
              <w:rPr>
                <w:noProof/>
                <w:webHidden/>
              </w:rPr>
            </w:r>
            <w:r w:rsidR="00144F3F">
              <w:rPr>
                <w:noProof/>
                <w:webHidden/>
              </w:rPr>
              <w:fldChar w:fldCharType="separate"/>
            </w:r>
            <w:r w:rsidR="00AC4603">
              <w:rPr>
                <w:noProof/>
                <w:webHidden/>
              </w:rPr>
              <w:t>26</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48" w:history="1">
            <w:r w:rsidR="00144F3F" w:rsidRPr="00C25CA9">
              <w:rPr>
                <w:rStyle w:val="Hyperlink"/>
                <w:noProof/>
              </w:rPr>
              <w:t>4.</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Biologicals and blood components</w:t>
            </w:r>
            <w:r w:rsidR="00144F3F">
              <w:rPr>
                <w:noProof/>
                <w:webHidden/>
              </w:rPr>
              <w:tab/>
            </w:r>
            <w:r w:rsidR="00144F3F">
              <w:rPr>
                <w:noProof/>
                <w:webHidden/>
              </w:rPr>
              <w:fldChar w:fldCharType="begin"/>
            </w:r>
            <w:r w:rsidR="00144F3F">
              <w:rPr>
                <w:noProof/>
                <w:webHidden/>
              </w:rPr>
              <w:instrText xml:space="preserve"> PAGEREF _Toc69725948 \h </w:instrText>
            </w:r>
            <w:r w:rsidR="00144F3F">
              <w:rPr>
                <w:noProof/>
                <w:webHidden/>
              </w:rPr>
            </w:r>
            <w:r w:rsidR="00144F3F">
              <w:rPr>
                <w:noProof/>
                <w:webHidden/>
              </w:rPr>
              <w:fldChar w:fldCharType="separate"/>
            </w:r>
            <w:r w:rsidR="00AC4603">
              <w:rPr>
                <w:noProof/>
                <w:webHidden/>
              </w:rPr>
              <w:t>28</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49" w:history="1">
            <w:r w:rsidR="00144F3F" w:rsidRPr="00C25CA9">
              <w:rPr>
                <w:rStyle w:val="Hyperlink"/>
                <w:noProof/>
              </w:rPr>
              <w:t>5.</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Medical devices</w:t>
            </w:r>
            <w:r w:rsidR="00144F3F">
              <w:rPr>
                <w:noProof/>
                <w:webHidden/>
              </w:rPr>
              <w:tab/>
            </w:r>
            <w:r w:rsidR="00144F3F">
              <w:rPr>
                <w:noProof/>
                <w:webHidden/>
              </w:rPr>
              <w:fldChar w:fldCharType="begin"/>
            </w:r>
            <w:r w:rsidR="00144F3F">
              <w:rPr>
                <w:noProof/>
                <w:webHidden/>
              </w:rPr>
              <w:instrText xml:space="preserve"> PAGEREF _Toc69725949 \h </w:instrText>
            </w:r>
            <w:r w:rsidR="00144F3F">
              <w:rPr>
                <w:noProof/>
                <w:webHidden/>
              </w:rPr>
            </w:r>
            <w:r w:rsidR="00144F3F">
              <w:rPr>
                <w:noProof/>
                <w:webHidden/>
              </w:rPr>
              <w:fldChar w:fldCharType="separate"/>
            </w:r>
            <w:r w:rsidR="00AC4603">
              <w:rPr>
                <w:noProof/>
                <w:webHidden/>
              </w:rPr>
              <w:t>29</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50" w:history="1">
            <w:r w:rsidR="00144F3F" w:rsidRPr="00C25CA9">
              <w:rPr>
                <w:rStyle w:val="Hyperlink"/>
                <w:noProof/>
              </w:rPr>
              <w:t>6.</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Listed Other Therapeutic Goods (Disinfectants)</w:t>
            </w:r>
            <w:r w:rsidR="00144F3F">
              <w:rPr>
                <w:noProof/>
                <w:webHidden/>
              </w:rPr>
              <w:tab/>
            </w:r>
            <w:r w:rsidR="00144F3F">
              <w:rPr>
                <w:noProof/>
                <w:webHidden/>
              </w:rPr>
              <w:fldChar w:fldCharType="begin"/>
            </w:r>
            <w:r w:rsidR="00144F3F">
              <w:rPr>
                <w:noProof/>
                <w:webHidden/>
              </w:rPr>
              <w:instrText xml:space="preserve"> PAGEREF _Toc69725950 \h </w:instrText>
            </w:r>
            <w:r w:rsidR="00144F3F">
              <w:rPr>
                <w:noProof/>
                <w:webHidden/>
              </w:rPr>
            </w:r>
            <w:r w:rsidR="00144F3F">
              <w:rPr>
                <w:noProof/>
                <w:webHidden/>
              </w:rPr>
              <w:fldChar w:fldCharType="separate"/>
            </w:r>
            <w:r w:rsidR="00AC4603">
              <w:rPr>
                <w:noProof/>
                <w:webHidden/>
              </w:rPr>
              <w:t>32</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51" w:history="1">
            <w:r w:rsidR="00144F3F" w:rsidRPr="00C25CA9">
              <w:rPr>
                <w:rStyle w:val="Hyperlink"/>
                <w:noProof/>
              </w:rPr>
              <w:t>7.</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Exports</w:t>
            </w:r>
            <w:r w:rsidR="00144F3F">
              <w:rPr>
                <w:noProof/>
                <w:webHidden/>
              </w:rPr>
              <w:tab/>
            </w:r>
            <w:r w:rsidR="00144F3F">
              <w:rPr>
                <w:noProof/>
                <w:webHidden/>
              </w:rPr>
              <w:fldChar w:fldCharType="begin"/>
            </w:r>
            <w:r w:rsidR="00144F3F">
              <w:rPr>
                <w:noProof/>
                <w:webHidden/>
              </w:rPr>
              <w:instrText xml:space="preserve"> PAGEREF _Toc69725951 \h </w:instrText>
            </w:r>
            <w:r w:rsidR="00144F3F">
              <w:rPr>
                <w:noProof/>
                <w:webHidden/>
              </w:rPr>
            </w:r>
            <w:r w:rsidR="00144F3F">
              <w:rPr>
                <w:noProof/>
                <w:webHidden/>
              </w:rPr>
              <w:fldChar w:fldCharType="separate"/>
            </w:r>
            <w:r w:rsidR="00AC4603">
              <w:rPr>
                <w:noProof/>
                <w:webHidden/>
              </w:rPr>
              <w:t>32</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52" w:history="1">
            <w:r w:rsidR="00144F3F" w:rsidRPr="00C25CA9">
              <w:rPr>
                <w:rStyle w:val="Hyperlink"/>
                <w:noProof/>
              </w:rPr>
              <w:t>8.</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Access to unapproved therapeutic goods</w:t>
            </w:r>
            <w:r w:rsidR="00144F3F">
              <w:rPr>
                <w:noProof/>
                <w:webHidden/>
              </w:rPr>
              <w:tab/>
            </w:r>
            <w:r w:rsidR="00144F3F">
              <w:rPr>
                <w:noProof/>
                <w:webHidden/>
              </w:rPr>
              <w:fldChar w:fldCharType="begin"/>
            </w:r>
            <w:r w:rsidR="00144F3F">
              <w:rPr>
                <w:noProof/>
                <w:webHidden/>
              </w:rPr>
              <w:instrText xml:space="preserve"> PAGEREF _Toc69725952 \h </w:instrText>
            </w:r>
            <w:r w:rsidR="00144F3F">
              <w:rPr>
                <w:noProof/>
                <w:webHidden/>
              </w:rPr>
            </w:r>
            <w:r w:rsidR="00144F3F">
              <w:rPr>
                <w:noProof/>
                <w:webHidden/>
              </w:rPr>
              <w:fldChar w:fldCharType="separate"/>
            </w:r>
            <w:r w:rsidR="00AC4603">
              <w:rPr>
                <w:noProof/>
                <w:webHidden/>
              </w:rPr>
              <w:t>34</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56" w:history="1">
            <w:r w:rsidR="00144F3F" w:rsidRPr="00C25CA9">
              <w:rPr>
                <w:rStyle w:val="Hyperlink"/>
                <w:noProof/>
              </w:rPr>
              <w:t>9.</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Licensing and manufacturing</w:t>
            </w:r>
            <w:r w:rsidR="00144F3F">
              <w:rPr>
                <w:noProof/>
                <w:webHidden/>
              </w:rPr>
              <w:tab/>
            </w:r>
            <w:r w:rsidR="00144F3F">
              <w:rPr>
                <w:noProof/>
                <w:webHidden/>
              </w:rPr>
              <w:fldChar w:fldCharType="begin"/>
            </w:r>
            <w:r w:rsidR="00144F3F">
              <w:rPr>
                <w:noProof/>
                <w:webHidden/>
              </w:rPr>
              <w:instrText xml:space="preserve"> PAGEREF _Toc69725956 \h </w:instrText>
            </w:r>
            <w:r w:rsidR="00144F3F">
              <w:rPr>
                <w:noProof/>
                <w:webHidden/>
              </w:rPr>
            </w:r>
            <w:r w:rsidR="00144F3F">
              <w:rPr>
                <w:noProof/>
                <w:webHidden/>
              </w:rPr>
              <w:fldChar w:fldCharType="separate"/>
            </w:r>
            <w:r w:rsidR="00AC4603">
              <w:rPr>
                <w:noProof/>
                <w:webHidden/>
              </w:rPr>
              <w:t>36</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58" w:history="1">
            <w:r w:rsidR="00144F3F" w:rsidRPr="00C25CA9">
              <w:rPr>
                <w:rStyle w:val="Hyperlink"/>
                <w:noProof/>
              </w:rPr>
              <w:t>10.</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Laboratory testing</w:t>
            </w:r>
            <w:r w:rsidR="00144F3F">
              <w:rPr>
                <w:noProof/>
                <w:webHidden/>
              </w:rPr>
              <w:tab/>
            </w:r>
            <w:r w:rsidR="00144F3F">
              <w:rPr>
                <w:noProof/>
                <w:webHidden/>
              </w:rPr>
              <w:fldChar w:fldCharType="begin"/>
            </w:r>
            <w:r w:rsidR="00144F3F">
              <w:rPr>
                <w:noProof/>
                <w:webHidden/>
              </w:rPr>
              <w:instrText xml:space="preserve"> PAGEREF _Toc69725958 \h </w:instrText>
            </w:r>
            <w:r w:rsidR="00144F3F">
              <w:rPr>
                <w:noProof/>
                <w:webHidden/>
              </w:rPr>
            </w:r>
            <w:r w:rsidR="00144F3F">
              <w:rPr>
                <w:noProof/>
                <w:webHidden/>
              </w:rPr>
              <w:fldChar w:fldCharType="separate"/>
            </w:r>
            <w:r w:rsidR="00AC4603">
              <w:rPr>
                <w:noProof/>
                <w:webHidden/>
              </w:rPr>
              <w:t>39</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59" w:history="1">
            <w:r w:rsidR="00144F3F" w:rsidRPr="00C25CA9">
              <w:rPr>
                <w:rStyle w:val="Hyperlink"/>
                <w:noProof/>
              </w:rPr>
              <w:t>11.</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Medicine and vaccine adverse event reporting</w:t>
            </w:r>
            <w:r w:rsidR="00144F3F">
              <w:rPr>
                <w:noProof/>
                <w:webHidden/>
              </w:rPr>
              <w:tab/>
            </w:r>
            <w:r w:rsidR="00144F3F">
              <w:rPr>
                <w:noProof/>
                <w:webHidden/>
              </w:rPr>
              <w:fldChar w:fldCharType="begin"/>
            </w:r>
            <w:r w:rsidR="00144F3F">
              <w:rPr>
                <w:noProof/>
                <w:webHidden/>
              </w:rPr>
              <w:instrText xml:space="preserve"> PAGEREF _Toc69725959 \h </w:instrText>
            </w:r>
            <w:r w:rsidR="00144F3F">
              <w:rPr>
                <w:noProof/>
                <w:webHidden/>
              </w:rPr>
            </w:r>
            <w:r w:rsidR="00144F3F">
              <w:rPr>
                <w:noProof/>
                <w:webHidden/>
              </w:rPr>
              <w:fldChar w:fldCharType="separate"/>
            </w:r>
            <w:r w:rsidR="00AC4603">
              <w:rPr>
                <w:noProof/>
                <w:webHidden/>
              </w:rPr>
              <w:t>40</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60" w:history="1">
            <w:r w:rsidR="00144F3F" w:rsidRPr="00C25CA9">
              <w:rPr>
                <w:rStyle w:val="Hyperlink"/>
                <w:noProof/>
              </w:rPr>
              <w:t>12.</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Medical device incident reports</w:t>
            </w:r>
            <w:r w:rsidR="00144F3F">
              <w:rPr>
                <w:noProof/>
                <w:webHidden/>
              </w:rPr>
              <w:tab/>
            </w:r>
            <w:r w:rsidR="00144F3F">
              <w:rPr>
                <w:noProof/>
                <w:webHidden/>
              </w:rPr>
              <w:fldChar w:fldCharType="begin"/>
            </w:r>
            <w:r w:rsidR="00144F3F">
              <w:rPr>
                <w:noProof/>
                <w:webHidden/>
              </w:rPr>
              <w:instrText xml:space="preserve"> PAGEREF _Toc69725960 \h </w:instrText>
            </w:r>
            <w:r w:rsidR="00144F3F">
              <w:rPr>
                <w:noProof/>
                <w:webHidden/>
              </w:rPr>
            </w:r>
            <w:r w:rsidR="00144F3F">
              <w:rPr>
                <w:noProof/>
                <w:webHidden/>
              </w:rPr>
              <w:fldChar w:fldCharType="separate"/>
            </w:r>
            <w:r w:rsidR="00AC4603">
              <w:rPr>
                <w:noProof/>
                <w:webHidden/>
              </w:rPr>
              <w:t>40</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61" w:history="1">
            <w:r w:rsidR="00144F3F" w:rsidRPr="00C25CA9">
              <w:rPr>
                <w:rStyle w:val="Hyperlink"/>
                <w:noProof/>
              </w:rPr>
              <w:t>13.</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Regulatory compliance</w:t>
            </w:r>
            <w:r w:rsidR="00144F3F">
              <w:rPr>
                <w:noProof/>
                <w:webHidden/>
              </w:rPr>
              <w:tab/>
            </w:r>
            <w:r w:rsidR="00144F3F">
              <w:rPr>
                <w:noProof/>
                <w:webHidden/>
              </w:rPr>
              <w:fldChar w:fldCharType="begin"/>
            </w:r>
            <w:r w:rsidR="00144F3F">
              <w:rPr>
                <w:noProof/>
                <w:webHidden/>
              </w:rPr>
              <w:instrText xml:space="preserve"> PAGEREF _Toc69725961 \h </w:instrText>
            </w:r>
            <w:r w:rsidR="00144F3F">
              <w:rPr>
                <w:noProof/>
                <w:webHidden/>
              </w:rPr>
            </w:r>
            <w:r w:rsidR="00144F3F">
              <w:rPr>
                <w:noProof/>
                <w:webHidden/>
              </w:rPr>
              <w:fldChar w:fldCharType="separate"/>
            </w:r>
            <w:r w:rsidR="00AC4603">
              <w:rPr>
                <w:noProof/>
                <w:webHidden/>
              </w:rPr>
              <w:t>41</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62" w:history="1">
            <w:r w:rsidR="00144F3F" w:rsidRPr="00C25CA9">
              <w:rPr>
                <w:rStyle w:val="Hyperlink"/>
                <w:noProof/>
              </w:rPr>
              <w:t>14.</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Recalls</w:t>
            </w:r>
            <w:r w:rsidR="00144F3F">
              <w:rPr>
                <w:noProof/>
                <w:webHidden/>
              </w:rPr>
              <w:tab/>
            </w:r>
            <w:r w:rsidR="00144F3F">
              <w:rPr>
                <w:noProof/>
                <w:webHidden/>
              </w:rPr>
              <w:fldChar w:fldCharType="begin"/>
            </w:r>
            <w:r w:rsidR="00144F3F">
              <w:rPr>
                <w:noProof/>
                <w:webHidden/>
              </w:rPr>
              <w:instrText xml:space="preserve"> PAGEREF _Toc69725962 \h </w:instrText>
            </w:r>
            <w:r w:rsidR="00144F3F">
              <w:rPr>
                <w:noProof/>
                <w:webHidden/>
              </w:rPr>
            </w:r>
            <w:r w:rsidR="00144F3F">
              <w:rPr>
                <w:noProof/>
                <w:webHidden/>
              </w:rPr>
              <w:fldChar w:fldCharType="separate"/>
            </w:r>
            <w:r w:rsidR="00AC4603">
              <w:rPr>
                <w:noProof/>
                <w:webHidden/>
              </w:rPr>
              <w:t>42</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63" w:history="1">
            <w:r w:rsidR="00144F3F" w:rsidRPr="00C25CA9">
              <w:rPr>
                <w:rStyle w:val="Hyperlink"/>
                <w:noProof/>
              </w:rPr>
              <w:t>15.</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Pharmacovigilance Inspection Program</w:t>
            </w:r>
            <w:r w:rsidR="00144F3F">
              <w:rPr>
                <w:noProof/>
                <w:webHidden/>
              </w:rPr>
              <w:tab/>
            </w:r>
            <w:r w:rsidR="00144F3F">
              <w:rPr>
                <w:noProof/>
                <w:webHidden/>
              </w:rPr>
              <w:fldChar w:fldCharType="begin"/>
            </w:r>
            <w:r w:rsidR="00144F3F">
              <w:rPr>
                <w:noProof/>
                <w:webHidden/>
              </w:rPr>
              <w:instrText xml:space="preserve"> PAGEREF _Toc69725963 \h </w:instrText>
            </w:r>
            <w:r w:rsidR="00144F3F">
              <w:rPr>
                <w:noProof/>
                <w:webHidden/>
              </w:rPr>
            </w:r>
            <w:r w:rsidR="00144F3F">
              <w:rPr>
                <w:noProof/>
                <w:webHidden/>
              </w:rPr>
              <w:fldChar w:fldCharType="separate"/>
            </w:r>
            <w:r w:rsidR="00AC4603">
              <w:rPr>
                <w:noProof/>
                <w:webHidden/>
              </w:rPr>
              <w:t>43</w:t>
            </w:r>
            <w:r w:rsidR="00144F3F">
              <w:rPr>
                <w:noProof/>
                <w:webHidden/>
              </w:rPr>
              <w:fldChar w:fldCharType="end"/>
            </w:r>
          </w:hyperlink>
        </w:p>
        <w:p w:rsidR="00144F3F" w:rsidRDefault="00B356BA">
          <w:pPr>
            <w:pStyle w:val="TOC2"/>
            <w:tabs>
              <w:tab w:val="left" w:pos="1276"/>
            </w:tabs>
            <w:rPr>
              <w:rFonts w:asciiTheme="minorHAnsi" w:eastAsiaTheme="minorEastAsia" w:hAnsiTheme="minorHAnsi" w:cstheme="minorBidi"/>
              <w:b w:val="0"/>
              <w:noProof/>
              <w:sz w:val="22"/>
              <w:szCs w:val="22"/>
              <w:lang w:eastAsia="en-AU"/>
            </w:rPr>
          </w:pPr>
          <w:hyperlink w:anchor="_Toc69725964" w:history="1">
            <w:r w:rsidR="00144F3F" w:rsidRPr="00C25CA9">
              <w:rPr>
                <w:rStyle w:val="Hyperlink"/>
                <w:noProof/>
              </w:rPr>
              <w:t>16.</w:t>
            </w:r>
            <w:r w:rsidR="00144F3F">
              <w:rPr>
                <w:rFonts w:asciiTheme="minorHAnsi" w:eastAsiaTheme="minorEastAsia" w:hAnsiTheme="minorHAnsi" w:cstheme="minorBidi"/>
                <w:b w:val="0"/>
                <w:noProof/>
                <w:sz w:val="22"/>
                <w:szCs w:val="22"/>
                <w:lang w:eastAsia="en-AU"/>
              </w:rPr>
              <w:tab/>
            </w:r>
            <w:r w:rsidR="00144F3F" w:rsidRPr="00C25CA9">
              <w:rPr>
                <w:rStyle w:val="Hyperlink"/>
                <w:noProof/>
              </w:rPr>
              <w:t>Reporting of medicine shortages</w:t>
            </w:r>
            <w:r w:rsidR="00144F3F">
              <w:rPr>
                <w:noProof/>
                <w:webHidden/>
              </w:rPr>
              <w:tab/>
            </w:r>
            <w:r w:rsidR="00144F3F">
              <w:rPr>
                <w:noProof/>
                <w:webHidden/>
              </w:rPr>
              <w:fldChar w:fldCharType="begin"/>
            </w:r>
            <w:r w:rsidR="00144F3F">
              <w:rPr>
                <w:noProof/>
                <w:webHidden/>
              </w:rPr>
              <w:instrText xml:space="preserve"> PAGEREF _Toc69725964 \h </w:instrText>
            </w:r>
            <w:r w:rsidR="00144F3F">
              <w:rPr>
                <w:noProof/>
                <w:webHidden/>
              </w:rPr>
            </w:r>
            <w:r w:rsidR="00144F3F">
              <w:rPr>
                <w:noProof/>
                <w:webHidden/>
              </w:rPr>
              <w:fldChar w:fldCharType="separate"/>
            </w:r>
            <w:r w:rsidR="00AC4603">
              <w:rPr>
                <w:noProof/>
                <w:webHidden/>
              </w:rPr>
              <w:t>43</w:t>
            </w:r>
            <w:r w:rsidR="00144F3F">
              <w:rPr>
                <w:noProof/>
                <w:webHidden/>
              </w:rPr>
              <w:fldChar w:fldCharType="end"/>
            </w:r>
          </w:hyperlink>
        </w:p>
        <w:p w:rsidR="00F401EF" w:rsidRPr="00215D48" w:rsidRDefault="00F859D2" w:rsidP="00F401EF">
          <w:r w:rsidRPr="00215D48">
            <w:fldChar w:fldCharType="end"/>
          </w:r>
        </w:p>
      </w:sdtContent>
    </w:sdt>
    <w:p w:rsidR="003B3EC1" w:rsidRDefault="003B3EC1" w:rsidP="003B3EC1">
      <w:pPr>
        <w:pStyle w:val="Heading2"/>
      </w:pPr>
      <w:bookmarkStart w:id="0" w:name="_Toc69725922"/>
      <w:r>
        <w:lastRenderedPageBreak/>
        <w:t>About the Therapeutic Goods Administration</w:t>
      </w:r>
      <w:bookmarkEnd w:id="0"/>
    </w:p>
    <w:p w:rsidR="003B3EC1" w:rsidRDefault="003B3EC1" w:rsidP="003B3EC1">
      <w:r>
        <w:t>The Therapeutic Goods Administration (TGA) is part of the Department of Health and is responsible for assessing whether therapeutic goods available for supply in Australia are safe and fit for their intended purpose. Approved therapeutic goods can be lawfully manufactured and supplied in Australia and include prescription medicines, over-the-counter medicines, complementary medicines, biologicals, and medical devices.</w:t>
      </w:r>
    </w:p>
    <w:p w:rsidR="003B3EC1" w:rsidRDefault="003B3EC1" w:rsidP="003B3EC1">
      <w:r>
        <w:t xml:space="preserve">Products for which therapeutic claims </w:t>
      </w:r>
      <w:proofErr w:type="gramStart"/>
      <w:r>
        <w:t>are made</w:t>
      </w:r>
      <w:proofErr w:type="gramEnd"/>
      <w:r>
        <w:t xml:space="preserve"> are entered on the Australian Register of Therapeutic Goods (ARTG).</w:t>
      </w:r>
    </w:p>
    <w:p w:rsidR="003B3EC1" w:rsidRDefault="003B3EC1" w:rsidP="003B3EC1">
      <w:r>
        <w:t>Some examples of goods that the TGA regulates the supply of include:</w:t>
      </w:r>
    </w:p>
    <w:p w:rsidR="003B3EC1" w:rsidRDefault="003B3EC1" w:rsidP="003B3EC1">
      <w:pPr>
        <w:pStyle w:val="ListBullet"/>
      </w:pPr>
      <w:r>
        <w:t>medicines prescribed by a doctor or dentist</w:t>
      </w:r>
    </w:p>
    <w:p w:rsidR="003B3EC1" w:rsidRDefault="003B3EC1" w:rsidP="003B3EC1">
      <w:pPr>
        <w:pStyle w:val="ListBullet"/>
      </w:pPr>
      <w:r>
        <w:t>medicines available from supermarkets, the general pharmacy or from behind the pharmacy counter</w:t>
      </w:r>
    </w:p>
    <w:p w:rsidR="003B3EC1" w:rsidRDefault="003B3EC1" w:rsidP="003B3EC1">
      <w:pPr>
        <w:pStyle w:val="ListBullet"/>
      </w:pPr>
      <w:r>
        <w:t>vaccines</w:t>
      </w:r>
    </w:p>
    <w:p w:rsidR="003B3EC1" w:rsidRDefault="003B3EC1" w:rsidP="003B3EC1">
      <w:pPr>
        <w:pStyle w:val="ListBullet"/>
      </w:pPr>
      <w:r>
        <w:t>complementary medicines, including vitamins, herbal and traditional medicines</w:t>
      </w:r>
    </w:p>
    <w:p w:rsidR="003B3EC1" w:rsidRDefault="003B3EC1" w:rsidP="003B3EC1">
      <w:pPr>
        <w:pStyle w:val="ListBullet"/>
      </w:pPr>
      <w:r>
        <w:t>medical devices, from simple devices like bandages to complex technologies like heart pacemakers</w:t>
      </w:r>
    </w:p>
    <w:p w:rsidR="003B3EC1" w:rsidRDefault="003B3EC1" w:rsidP="003B3EC1">
      <w:pPr>
        <w:pStyle w:val="ListBullet"/>
      </w:pPr>
      <w:r>
        <w:t>tampons and disinfectants</w:t>
      </w:r>
    </w:p>
    <w:p w:rsidR="003B3EC1" w:rsidRDefault="003B3EC1" w:rsidP="003B3EC1">
      <w:pPr>
        <w:pStyle w:val="ListBullet"/>
      </w:pPr>
      <w:r>
        <w:t>products used to test for various diseases or conditions (in vitro diagnostic devices [IVDs]), such as blood tests</w:t>
      </w:r>
    </w:p>
    <w:p w:rsidR="003B3EC1" w:rsidRDefault="003B3EC1" w:rsidP="003B3EC1">
      <w:pPr>
        <w:pStyle w:val="ListBullet"/>
      </w:pPr>
      <w:proofErr w:type="gramStart"/>
      <w:r>
        <w:t>blood</w:t>
      </w:r>
      <w:proofErr w:type="gramEnd"/>
      <w:r>
        <w:t>, blood components and biologicals (cells and tissues).</w:t>
      </w:r>
    </w:p>
    <w:p w:rsidR="003B3EC1" w:rsidRDefault="003B3EC1" w:rsidP="003B3EC1">
      <w:r>
        <w:t>We also play a regulatory role in overseeing the manufacturing process and advertising of therapeutic goods.</w:t>
      </w:r>
    </w:p>
    <w:p w:rsidR="003B3EC1" w:rsidRDefault="003B3EC1" w:rsidP="003B3EC1">
      <w:r>
        <w:t xml:space="preserve">More information about how therapeutic goods </w:t>
      </w:r>
      <w:proofErr w:type="gramStart"/>
      <w:r>
        <w:t>are regulated</w:t>
      </w:r>
      <w:proofErr w:type="gramEnd"/>
      <w:r>
        <w:t xml:space="preserve"> can be found on the TGA website at </w:t>
      </w:r>
      <w:hyperlink r:id="rId13" w:history="1">
        <w:r w:rsidRPr="003B3EC1">
          <w:rPr>
            <w:rStyle w:val="Hyperlink"/>
          </w:rPr>
          <w:t>www.tga.gov.au</w:t>
        </w:r>
      </w:hyperlink>
      <w:r>
        <w:t>.</w:t>
      </w:r>
    </w:p>
    <w:p w:rsidR="003B3EC1" w:rsidRDefault="003B3EC1" w:rsidP="003B3EC1">
      <w:pPr>
        <w:pStyle w:val="Heading2"/>
      </w:pPr>
      <w:bookmarkStart w:id="1" w:name="_Toc69725923"/>
      <w:r>
        <w:lastRenderedPageBreak/>
        <w:t>Introduction</w:t>
      </w:r>
      <w:bookmarkEnd w:id="1"/>
    </w:p>
    <w:p w:rsidR="003B3EC1" w:rsidRDefault="003B3EC1" w:rsidP="003B3EC1">
      <w:r>
        <w:t xml:space="preserve">The TGA prepares an annual TGA Business Plan, which identifies the priority activities </w:t>
      </w:r>
      <w:proofErr w:type="gramStart"/>
      <w:r>
        <w:t>being undertaken</w:t>
      </w:r>
      <w:proofErr w:type="gramEnd"/>
      <w:r>
        <w:t xml:space="preserve"> over the financial year and is available on the TGA website. This Half Yearly Performance Snapshot provides statistical information for the period 1 July 2020 to 31</w:t>
      </w:r>
      <w:r w:rsidR="00B356BA">
        <w:t> </w:t>
      </w:r>
      <w:bookmarkStart w:id="2" w:name="_GoBack"/>
      <w:bookmarkEnd w:id="2"/>
      <w:r>
        <w:t xml:space="preserve">December 2020 in relation to our regulation of therapeutic goods, tracking our progress against some of the priorities we have identified for the year. This data </w:t>
      </w:r>
      <w:proofErr w:type="gramStart"/>
      <w:r>
        <w:t>will be incorporated</w:t>
      </w:r>
      <w:proofErr w:type="gramEnd"/>
      <w:r>
        <w:t xml:space="preserve"> into our Annual Performance Statistics Report for the 2020-21 financial year, to be published on the TGA website in the second half of 2021.</w:t>
      </w:r>
    </w:p>
    <w:p w:rsidR="003B3EC1" w:rsidRDefault="003B3EC1" w:rsidP="003B3EC1">
      <w:r>
        <w:t xml:space="preserve">As part of our annual Business </w:t>
      </w:r>
      <w:proofErr w:type="gramStart"/>
      <w:r>
        <w:t>Plan</w:t>
      </w:r>
      <w:proofErr w:type="gramEnd"/>
      <w:r>
        <w:t xml:space="preserve"> we continue to implement the Australian Government response to the COVID-19 Pandemic. TGA plays a critical role as the regulator of medicines and medical devices, and blood, cell and tissue products. The emergence of this major health pandemic has in</w:t>
      </w:r>
      <w:r w:rsidR="002A687A">
        <w:t>fluenced our future priorities.</w:t>
      </w:r>
    </w:p>
    <w:p w:rsidR="003B3EC1" w:rsidRDefault="003B3EC1" w:rsidP="003B3EC1">
      <w:pPr>
        <w:pStyle w:val="Heading2"/>
      </w:pPr>
      <w:bookmarkStart w:id="3" w:name="_Toc69725924"/>
      <w:r>
        <w:lastRenderedPageBreak/>
        <w:t>Performance highlights</w:t>
      </w:r>
      <w:bookmarkEnd w:id="3"/>
    </w:p>
    <w:p w:rsidR="003B3EC1" w:rsidRDefault="003B3EC1" w:rsidP="003B3EC1">
      <w:r>
        <w:t>The TGA has maintained a high level of activity over the reporting period 1 July to 31</w:t>
      </w:r>
      <w:r w:rsidR="0038176C">
        <w:t> </w:t>
      </w:r>
      <w:r>
        <w:t>December</w:t>
      </w:r>
      <w:r w:rsidR="0038176C">
        <w:t> </w:t>
      </w:r>
      <w:r>
        <w:t>2020, while also responding to the COVID-19 pandemic and implementing regulatory reforms. Highlights are as follows:</w:t>
      </w:r>
    </w:p>
    <w:p w:rsidR="003B3EC1" w:rsidRPr="00DC2176" w:rsidRDefault="003B3EC1" w:rsidP="00DC2176">
      <w:pPr>
        <w:pStyle w:val="Heading3"/>
      </w:pPr>
      <w:bookmarkStart w:id="4" w:name="_Toc69725925"/>
      <w:r w:rsidRPr="003B3EC1">
        <w:t>Impacts of COVID-19</w:t>
      </w:r>
      <w:bookmarkEnd w:id="4"/>
    </w:p>
    <w:p w:rsidR="003B3EC1" w:rsidRDefault="003B3EC1" w:rsidP="003B3EC1">
      <w:pPr>
        <w:pStyle w:val="Heading4"/>
      </w:pPr>
      <w:bookmarkStart w:id="5" w:name="_Toc69725926"/>
      <w:r>
        <w:t>Medical Devices</w:t>
      </w:r>
      <w:bookmarkEnd w:id="5"/>
    </w:p>
    <w:p w:rsidR="003B3EC1" w:rsidRDefault="003B3EC1" w:rsidP="003B3EC1">
      <w:pPr>
        <w:pStyle w:val="ListBullet"/>
      </w:pPr>
      <w:r>
        <w:t>Medical devices were at the forefront of Australia’s response to the global COVID-19 pandemic, resulting in 3,829</w:t>
      </w:r>
      <w:r>
        <w:rPr>
          <w:rStyle w:val="FootnoteReference"/>
        </w:rPr>
        <w:footnoteReference w:id="1"/>
      </w:r>
      <w:r>
        <w:t xml:space="preserve"> medical device inclusions in the ARTG approved for supply in Australia from 1 July to 31 December 2020. This is a 54% increase when compared to 1 July to 31 December 2019.</w:t>
      </w:r>
    </w:p>
    <w:p w:rsidR="003B3EC1" w:rsidRDefault="003B3EC1" w:rsidP="00CB0F08">
      <w:pPr>
        <w:pStyle w:val="ListBullet"/>
      </w:pPr>
      <w:r>
        <w:t xml:space="preserve">The TGA prioritised and expedited applications for medical devices, including in vitro medical devices (IVDs), intended for the prevention, detection and/or treatment of COVID-19. These applications underwent full regulatory assessments, some </w:t>
      </w:r>
      <w:proofErr w:type="gramStart"/>
      <w:r>
        <w:t>being approved</w:t>
      </w:r>
      <w:proofErr w:type="gramEnd"/>
      <w:r>
        <w:t xml:space="preserve"> with specific conditions.</w:t>
      </w:r>
    </w:p>
    <w:p w:rsidR="003B3EC1" w:rsidRDefault="003B3EC1" w:rsidP="003B3EC1">
      <w:pPr>
        <w:pStyle w:val="ListBullet"/>
      </w:pPr>
      <w:r>
        <w:t xml:space="preserve">To ensure sufficient tests were available, 64 COVID-19 tests </w:t>
      </w:r>
      <w:proofErr w:type="gramStart"/>
      <w:r>
        <w:t>were approved</w:t>
      </w:r>
      <w:proofErr w:type="gramEnd"/>
      <w:r>
        <w:t xml:space="preserve"> for supply during 1 July to 31 December 2020, with a list of approved COVID-19 tests published on the TGA website. All COVID-19 tests </w:t>
      </w:r>
      <w:proofErr w:type="gramStart"/>
      <w:r>
        <w:t>were approved</w:t>
      </w:r>
      <w:proofErr w:type="gramEnd"/>
      <w:r>
        <w:t xml:space="preserve"> with conditions.</w:t>
      </w:r>
    </w:p>
    <w:p w:rsidR="003B3EC1" w:rsidRDefault="003B3EC1" w:rsidP="003B3EC1">
      <w:pPr>
        <w:pStyle w:val="ListBullet"/>
      </w:pPr>
      <w:r>
        <w:t xml:space="preserve">The TGA permitted </w:t>
      </w:r>
      <w:proofErr w:type="gramStart"/>
      <w:r>
        <w:t>2</w:t>
      </w:r>
      <w:proofErr w:type="gramEnd"/>
      <w:r>
        <w:t xml:space="preserve"> ventilators for supply to healthcare facilities under a special exemption.</w:t>
      </w:r>
    </w:p>
    <w:p w:rsidR="003B3EC1" w:rsidRDefault="003B3EC1" w:rsidP="003B3EC1">
      <w:pPr>
        <w:pStyle w:val="ListBullet"/>
      </w:pPr>
      <w:r>
        <w:t>A significant number of new sponsors and manufacturers sought to supply disinfectants for the first time in response to the COVID-19 pandemic, with the TGA approving 101 applications making specific COVID-19 claims. To help these sponsors meet statutory requirements, the TGA published updated guidance material and developed new fact sheets. The TGA also published an up-to-date list of approved disinfectants for the broader community’s use.</w:t>
      </w:r>
    </w:p>
    <w:p w:rsidR="003B3EC1" w:rsidRDefault="003B3EC1" w:rsidP="003B3EC1">
      <w:pPr>
        <w:pStyle w:val="ListBullet"/>
      </w:pPr>
      <w:r>
        <w:t xml:space="preserve">As at 31 December 2020, there were 2,240 </w:t>
      </w:r>
      <w:proofErr w:type="gramStart"/>
      <w:r>
        <w:t>face mask</w:t>
      </w:r>
      <w:proofErr w:type="gramEnd"/>
      <w:r>
        <w:t xml:space="preserve"> entries in the ARTG. To ensure the safety and performance of face masks used in response to the COVID-19 pandemic, these devices are subject to a post-market review, including a desktop audit of documentation, visual assessment and t</w:t>
      </w:r>
      <w:r w:rsidR="006A0A61">
        <w:t>esting by the TGA Laboratories.</w:t>
      </w:r>
    </w:p>
    <w:p w:rsidR="003B3EC1" w:rsidRDefault="003B3EC1" w:rsidP="003B3EC1">
      <w:pPr>
        <w:pStyle w:val="ListBullet"/>
      </w:pPr>
      <w:r>
        <w:t xml:space="preserve">An expedited process to recall products, where there is a potential impact on public health connected to the COVID-19 pandemic, </w:t>
      </w:r>
      <w:proofErr w:type="gramStart"/>
      <w:r>
        <w:t>was undertaken</w:t>
      </w:r>
      <w:proofErr w:type="gramEnd"/>
      <w:r>
        <w:t xml:space="preserve"> by the TGA. All recalls </w:t>
      </w:r>
      <w:proofErr w:type="gramStart"/>
      <w:r>
        <w:t>were initiated</w:t>
      </w:r>
      <w:proofErr w:type="gramEnd"/>
      <w:r>
        <w:t xml:space="preserve"> within 24 hours with notifications provided on the website and via letter.</w:t>
      </w:r>
    </w:p>
    <w:p w:rsidR="003B3EC1" w:rsidRDefault="003B3EC1" w:rsidP="003B3EC1">
      <w:pPr>
        <w:pStyle w:val="ListBullet"/>
      </w:pPr>
      <w:r>
        <w:t xml:space="preserve">In the reporting period the Medical Devices Information Unit managed </w:t>
      </w:r>
      <w:proofErr w:type="gramStart"/>
      <w:r>
        <w:t>a total of 15,731</w:t>
      </w:r>
      <w:proofErr w:type="gramEnd"/>
      <w:r>
        <w:t xml:space="preserve"> enquiries, which is a 181% increase compared to the 1 July to 31 December</w:t>
      </w:r>
      <w:r w:rsidR="006A0A61">
        <w:t xml:space="preserve"> 2019 period (5,597 enquiries).</w:t>
      </w:r>
    </w:p>
    <w:p w:rsidR="003B3EC1" w:rsidRDefault="003B3EC1" w:rsidP="003B3EC1">
      <w:pPr>
        <w:pStyle w:val="ListBullet"/>
      </w:pPr>
      <w:r>
        <w:t xml:space="preserve">To ensure up-to-date information on </w:t>
      </w:r>
      <w:proofErr w:type="gramStart"/>
      <w:r>
        <w:t>face masks</w:t>
      </w:r>
      <w:proofErr w:type="gramEnd"/>
      <w:r>
        <w:t xml:space="preserve">, personal protective equipment (PPE), ventilators, test kits and other medical devices important to the COVID-19 pandemic response was readily available, over 30 webpages were published on the TGA’s COVID-19 hub in 2020. </w:t>
      </w:r>
    </w:p>
    <w:p w:rsidR="003B3EC1" w:rsidRDefault="003B3EC1" w:rsidP="003F45B9">
      <w:pPr>
        <w:pStyle w:val="Heading4"/>
      </w:pPr>
      <w:bookmarkStart w:id="6" w:name="_Toc69725927"/>
      <w:r>
        <w:lastRenderedPageBreak/>
        <w:t>Laboratory testing</w:t>
      </w:r>
      <w:bookmarkEnd w:id="6"/>
    </w:p>
    <w:p w:rsidR="003B3EC1" w:rsidRDefault="003B3EC1" w:rsidP="003F45B9">
      <w:pPr>
        <w:pStyle w:val="ListBullet"/>
      </w:pPr>
      <w:r>
        <w:t xml:space="preserve">The 6 months between 1 July and 31 December 2020 saw a large increase in the number of medical devices tested (457 samples tested in this period, compared to 119 samples in the same period in 2019). This was predominantly the result of the testing of PPE, particularly </w:t>
      </w:r>
      <w:proofErr w:type="gramStart"/>
      <w:r>
        <w:t>face masks</w:t>
      </w:r>
      <w:proofErr w:type="gramEnd"/>
      <w:r>
        <w:t xml:space="preserve"> and respirators. Testing of these samples was performed in conjunction with the TGA’s post-market review of </w:t>
      </w:r>
      <w:proofErr w:type="gramStart"/>
      <w:r>
        <w:t>face masks</w:t>
      </w:r>
      <w:proofErr w:type="gramEnd"/>
      <w:r>
        <w:t>, and continues into 2021.</w:t>
      </w:r>
    </w:p>
    <w:p w:rsidR="003B3EC1" w:rsidRDefault="003B3EC1" w:rsidP="003F45B9">
      <w:pPr>
        <w:pStyle w:val="Heading4"/>
      </w:pPr>
      <w:bookmarkStart w:id="7" w:name="_Toc69725928"/>
      <w:r>
        <w:t>Medicines</w:t>
      </w:r>
      <w:bookmarkEnd w:id="7"/>
    </w:p>
    <w:p w:rsidR="003B3EC1" w:rsidRPr="003F45B9" w:rsidRDefault="003B3EC1" w:rsidP="003F45B9">
      <w:pPr>
        <w:pStyle w:val="Heading5"/>
      </w:pPr>
      <w:r w:rsidRPr="003F45B9">
        <w:t>Provisional determinations</w:t>
      </w:r>
    </w:p>
    <w:p w:rsidR="003B3EC1" w:rsidRDefault="003B3EC1" w:rsidP="00CB0F08">
      <w:pPr>
        <w:pStyle w:val="ListBullet"/>
      </w:pPr>
      <w:r>
        <w:t xml:space="preserve">Three provisional determinations </w:t>
      </w:r>
      <w:proofErr w:type="gramStart"/>
      <w:r>
        <w:t>were made</w:t>
      </w:r>
      <w:proofErr w:type="gramEnd"/>
      <w:r>
        <w:t xml:space="preserve"> for COVID-19 vaccines during 1 July to 31</w:t>
      </w:r>
      <w:r w:rsidR="003F45B9">
        <w:t> </w:t>
      </w:r>
      <w:r>
        <w:t xml:space="preserve">December 2020. COVID-19 vaccine submissions </w:t>
      </w:r>
      <w:proofErr w:type="gramStart"/>
      <w:r>
        <w:t>are being treated</w:t>
      </w:r>
      <w:proofErr w:type="gramEnd"/>
      <w:r>
        <w:t xml:space="preserve"> with the highest priority and the TGA is accepting rolling data submissions to ensure prompt evaluation.</w:t>
      </w:r>
    </w:p>
    <w:p w:rsidR="003B3EC1" w:rsidRDefault="003B3EC1" w:rsidP="003F45B9">
      <w:pPr>
        <w:pStyle w:val="Heading5"/>
      </w:pPr>
      <w:r>
        <w:t>Medicine shortage/discontinuation</w:t>
      </w:r>
    </w:p>
    <w:p w:rsidR="003B3EC1" w:rsidRDefault="003B3EC1" w:rsidP="003F45B9">
      <w:pPr>
        <w:pStyle w:val="ListBullet"/>
      </w:pPr>
      <w:r>
        <w:t xml:space="preserve">The TGA worked with state and territory health departments to conduct national supply modelling of important medicines used in the treatment of COVID-19 patients in Intensive Care Units. State and territory health departments also used the Dynamic Model of Medicines Availability, supported by the TGA, </w:t>
      </w:r>
      <w:proofErr w:type="gramStart"/>
      <w:r>
        <w:t>to independently monit</w:t>
      </w:r>
      <w:r w:rsidR="003F45B9">
        <w:t>or</w:t>
      </w:r>
      <w:proofErr w:type="gramEnd"/>
      <w:r w:rsidR="003F45B9">
        <w:t xml:space="preserve"> their own demand and supply.</w:t>
      </w:r>
    </w:p>
    <w:p w:rsidR="003B3EC1" w:rsidRDefault="003B3EC1" w:rsidP="00C0160D">
      <w:pPr>
        <w:pStyle w:val="Heading5"/>
      </w:pPr>
      <w:r>
        <w:t>Over-the-Counter Medicines</w:t>
      </w:r>
    </w:p>
    <w:p w:rsidR="003B3EC1" w:rsidRDefault="003B3EC1" w:rsidP="00C0160D">
      <w:pPr>
        <w:pStyle w:val="ListBullet"/>
      </w:pPr>
      <w:r>
        <w:t xml:space="preserve">The supply of some crucial OTC medicines, such as paediatric paracetamol preparations and TGA-approved hand sanitiser products, </w:t>
      </w:r>
      <w:proofErr w:type="gramStart"/>
      <w:r>
        <w:t>were adversely affected</w:t>
      </w:r>
      <w:proofErr w:type="gramEnd"/>
      <w:r>
        <w:t xml:space="preserve"> by the COVID-19 pandemic due to impacts on overseas manufacturers, and shortages of ingredients and packaging materials. Resources </w:t>
      </w:r>
      <w:proofErr w:type="gramStart"/>
      <w:r>
        <w:t>were directed</w:t>
      </w:r>
      <w:proofErr w:type="gramEnd"/>
      <w:r>
        <w:t xml:space="preserve"> to expediting applications for affected products that sought to change the approved details for their products.</w:t>
      </w:r>
    </w:p>
    <w:p w:rsidR="003B3EC1" w:rsidRDefault="003B3EC1" w:rsidP="00C0160D">
      <w:pPr>
        <w:pStyle w:val="ListBullet"/>
      </w:pPr>
      <w:r>
        <w:t xml:space="preserve">An increase of approximately 30% in enquiries relating to the regulation of over-the–counter (OTC) medicines and the redirection of resources has </w:t>
      </w:r>
      <w:proofErr w:type="gramStart"/>
      <w:r>
        <w:t>impacted</w:t>
      </w:r>
      <w:proofErr w:type="gramEnd"/>
      <w:r>
        <w:t xml:space="preserve"> the review times for some OTC medicine application levels. For N3, N4, N5, C1 and C3 applications (application types detailed in ‘Over-the-Counter medicines’ p. 27), the percentage of applications processed within the target time was below 80%.</w:t>
      </w:r>
    </w:p>
    <w:p w:rsidR="003B3EC1" w:rsidRDefault="003B3EC1" w:rsidP="00C0160D">
      <w:pPr>
        <w:pStyle w:val="ListBullet"/>
      </w:pPr>
      <w:r>
        <w:t>Due to the challenges posed by the COVID-19 pandemic, some in the pharmaceutical industry experienced difficulty in implementing new medicine labels that complied with</w:t>
      </w:r>
      <w:r w:rsidR="00865E4F">
        <w:t xml:space="preserve"> </w:t>
      </w:r>
      <w:r>
        <w:t xml:space="preserve">TGO 92 (the labelling order for medicines), by 1 September 2020. The TGA established a temporary process for sponsors of OTC medicines to request consent to supply products that do not comply with TGO 92 due to adverse business impacts of the COVID-19 pandemic. 53 applications were received for OTC medicines, </w:t>
      </w:r>
      <w:proofErr w:type="gramStart"/>
      <w:r>
        <w:t>9</w:t>
      </w:r>
      <w:proofErr w:type="gramEnd"/>
      <w:r>
        <w:t xml:space="preserve"> of which also pertained to registered complementary medicines and/or listed medicines.</w:t>
      </w:r>
    </w:p>
    <w:p w:rsidR="003B3EC1" w:rsidRDefault="003B3EC1" w:rsidP="00C0160D">
      <w:pPr>
        <w:pStyle w:val="Heading5"/>
      </w:pPr>
      <w:r>
        <w:t>Listed and Registered Complementary Medicines</w:t>
      </w:r>
    </w:p>
    <w:p w:rsidR="003B3EC1" w:rsidRDefault="003B3EC1" w:rsidP="00C0160D">
      <w:pPr>
        <w:pStyle w:val="ListBullet"/>
      </w:pPr>
      <w:r>
        <w:t xml:space="preserve">As with OTC medicines, the TGA established a temporary expedited process for sponsors of listed and registered complementary medicines to request consent to supply products that do not comply with labelling requirements under TGO 92 due to adverse business impacts of the COVID-19 pandemic. </w:t>
      </w:r>
      <w:proofErr w:type="gramStart"/>
      <w:r>
        <w:t>125</w:t>
      </w:r>
      <w:proofErr w:type="gramEnd"/>
      <w:r>
        <w:t xml:space="preserve"> consent to supply applications were received. Of these, 67 were for listed medicines only, 4 for RCMs only, and one pertained to </w:t>
      </w:r>
      <w:r w:rsidR="00DC2176">
        <w:t>both listed medicines and RCMs.</w:t>
      </w:r>
    </w:p>
    <w:p w:rsidR="003B3EC1" w:rsidRDefault="003B3EC1" w:rsidP="00C0160D">
      <w:pPr>
        <w:pStyle w:val="ListBullet"/>
      </w:pPr>
      <w:r>
        <w:lastRenderedPageBreak/>
        <w:t xml:space="preserve">The number of compliance reviews that </w:t>
      </w:r>
      <w:proofErr w:type="gramStart"/>
      <w:r>
        <w:t>were completed</w:t>
      </w:r>
      <w:proofErr w:type="gramEnd"/>
      <w:r>
        <w:t xml:space="preserve"> in the period 1 July to 31 December 2020 (42) was lower than the same period last year (105). This decrease is due to the temporary diversion of resources required to res</w:t>
      </w:r>
      <w:r w:rsidR="00DC2176">
        <w:t>pond to the COVID-19 pandemic.</w:t>
      </w:r>
    </w:p>
    <w:p w:rsidR="003B3EC1" w:rsidRDefault="003B3EC1" w:rsidP="00DC2176">
      <w:pPr>
        <w:pStyle w:val="Heading4"/>
      </w:pPr>
      <w:bookmarkStart w:id="8" w:name="_Toc69725929"/>
      <w:r>
        <w:t>International collaborations</w:t>
      </w:r>
      <w:bookmarkEnd w:id="8"/>
    </w:p>
    <w:p w:rsidR="003B3EC1" w:rsidRDefault="003B3EC1" w:rsidP="00DC2176">
      <w:pPr>
        <w:pStyle w:val="ListBullet"/>
      </w:pPr>
      <w:r>
        <w:t xml:space="preserve">The International Coalition of Medicines Regulatory Authorities (ICMRA) held over 35 meetings to support, among its 30-country member base, mutual awareness and potential alignment on policy approaches and guidance to industry, to address aspects of the impact of the COVID-19 pandemic. As well as continuing the vice-Chair of ICMRA, TGA-led output included the development of an ICMRA statement on COVID-19 vaccines confidence, targeted at health care professionals and establishing a COVID-19 vaccines pharmacovigilance network of 17 member regulators. This network met fortnightly to share information on potential emerging adverse </w:t>
      </w:r>
      <w:r w:rsidR="00DC2176">
        <w:t>events of significant interest.</w:t>
      </w:r>
    </w:p>
    <w:p w:rsidR="003B3EC1" w:rsidRDefault="003B3EC1" w:rsidP="00DC2176">
      <w:pPr>
        <w:pStyle w:val="ListBullet"/>
      </w:pPr>
      <w:r>
        <w:t>The member countries of the International Medical Devices Regulators Forum continued to meet regularly to discuss COVID-19 related issues, particularly in relation to performance of COVID-1</w:t>
      </w:r>
      <w:r w:rsidR="00DC2176">
        <w:t>9 tests, PPE and supply issues.</w:t>
      </w:r>
    </w:p>
    <w:p w:rsidR="003B3EC1" w:rsidRDefault="003B3EC1" w:rsidP="00DC2176">
      <w:pPr>
        <w:pStyle w:val="Heading4"/>
      </w:pPr>
      <w:bookmarkStart w:id="9" w:name="_Toc69725930"/>
      <w:r>
        <w:t>Regulatory compliance</w:t>
      </w:r>
      <w:bookmarkEnd w:id="9"/>
    </w:p>
    <w:p w:rsidR="003B3EC1" w:rsidRDefault="003B3EC1" w:rsidP="00DC2176">
      <w:pPr>
        <w:pStyle w:val="ListBullet"/>
      </w:pPr>
      <w:r>
        <w:t xml:space="preserve">The TGA received 2,977 referrals about suspected non-compliance regarding the importation of goods since the COVID-19 pandemic </w:t>
      </w:r>
      <w:proofErr w:type="gramStart"/>
      <w:r>
        <w:t>was declared</w:t>
      </w:r>
      <w:proofErr w:type="gramEnd"/>
      <w:r>
        <w:t>, an increase of 65% in referrals. Referrals were predominately from the Australian Border Force and related to the importation of PPE, and the importation of unapproved medicines purported to prevent, treat or cure COVID-19.</w:t>
      </w:r>
    </w:p>
    <w:p w:rsidR="003B3EC1" w:rsidRDefault="003B3EC1" w:rsidP="00DC2176">
      <w:pPr>
        <w:pStyle w:val="ListBullet"/>
      </w:pPr>
      <w:r>
        <w:t xml:space="preserve">Education </w:t>
      </w:r>
      <w:proofErr w:type="gramStart"/>
      <w:r>
        <w:t>was provided</w:t>
      </w:r>
      <w:proofErr w:type="gramEnd"/>
      <w:r>
        <w:t xml:space="preserve"> to a large number of importers new to the regulatory scheme about their compliance obligations in relation to COVID-19 medications and medical devices.</w:t>
      </w:r>
    </w:p>
    <w:p w:rsidR="003B3EC1" w:rsidRDefault="003B3EC1" w:rsidP="00DC2176">
      <w:pPr>
        <w:pStyle w:val="Heading3"/>
        <w:pageBreakBefore/>
        <w:spacing w:before="0"/>
      </w:pPr>
      <w:bookmarkStart w:id="10" w:name="_Toc69725931"/>
      <w:r>
        <w:lastRenderedPageBreak/>
        <w:t>Reforms and updates</w:t>
      </w:r>
      <w:bookmarkEnd w:id="10"/>
    </w:p>
    <w:p w:rsidR="003B3EC1" w:rsidRDefault="003B3EC1" w:rsidP="00DC2176">
      <w:pPr>
        <w:pStyle w:val="Heading4"/>
      </w:pPr>
      <w:bookmarkStart w:id="11" w:name="_Toc69725932"/>
      <w:r>
        <w:t>Regulatory reforms</w:t>
      </w:r>
      <w:bookmarkEnd w:id="11"/>
    </w:p>
    <w:p w:rsidR="003B3EC1" w:rsidRDefault="003B3EC1" w:rsidP="00CB0F08">
      <w:pPr>
        <w:pStyle w:val="ListBullet"/>
      </w:pPr>
      <w:r>
        <w:t xml:space="preserve">The Therapeutic Goods (Prescription Medicines—Transparency Measures) Specification 2020 was registered on 18 December 2020. The instrument enables the earlier publication of certain information about significant, innovative new medicines that have passed preliminary assessment and </w:t>
      </w:r>
      <w:proofErr w:type="gramStart"/>
      <w:r>
        <w:t>can be evaluated</w:t>
      </w:r>
      <w:proofErr w:type="gramEnd"/>
      <w:r>
        <w:t xml:space="preserve"> for their suitability for registration from 1</w:t>
      </w:r>
      <w:r w:rsidR="00DC2176">
        <w:t> January 2021.</w:t>
      </w:r>
    </w:p>
    <w:p w:rsidR="003B3EC1" w:rsidRDefault="003B3EC1" w:rsidP="00DC2176">
      <w:pPr>
        <w:pStyle w:val="ListBullet"/>
      </w:pPr>
      <w:r>
        <w:t>The Australian Government, under An Action Plan for Medical Devices, continued to undertake a significant program of reforms to strengthen the regulation of medical devices in Australia. The reforms will continue to improve the safety, performance and quality of medical devices in Australia and improve health outcomes for patients.</w:t>
      </w:r>
    </w:p>
    <w:p w:rsidR="003B3EC1" w:rsidRDefault="003B3EC1" w:rsidP="00DC2176">
      <w:pPr>
        <w:pStyle w:val="ListBullet"/>
      </w:pPr>
      <w:r>
        <w:t>Five legislative amendments were introduced to support the implementation of changes to the medical devices regulatory requirements, including the Therapeutic Goods (Medical Devices—Excluded Purposes) Specification 2020 and an amendment to the Therapeutic Goods (Medical Devices) Regulations 2002.</w:t>
      </w:r>
    </w:p>
    <w:p w:rsidR="003B3EC1" w:rsidRDefault="003B3EC1" w:rsidP="00DC2176">
      <w:pPr>
        <w:pStyle w:val="ListBullet"/>
      </w:pPr>
      <w:r>
        <w:t xml:space="preserve">The TGA strengthened the regulation of surgical mesh devices, requiring them to meet the higher regulatory requirements of Class III medical devices. Sponsors with </w:t>
      </w:r>
      <w:proofErr w:type="spellStart"/>
      <w:r>
        <w:t>urogynaecological</w:t>
      </w:r>
      <w:proofErr w:type="spellEnd"/>
      <w:r>
        <w:t xml:space="preserve"> mesh devices that were already included in the ARTG needed to provide evidence that their products met the requirements of a Class III device by 1 December 2020. Four </w:t>
      </w:r>
      <w:proofErr w:type="spellStart"/>
      <w:r>
        <w:t>urogynaecological</w:t>
      </w:r>
      <w:proofErr w:type="spellEnd"/>
      <w:r>
        <w:t xml:space="preserve"> mesh products </w:t>
      </w:r>
      <w:proofErr w:type="gramStart"/>
      <w:r>
        <w:t>were granted</w:t>
      </w:r>
      <w:proofErr w:type="gramEnd"/>
      <w:r>
        <w:t xml:space="preserve"> approval to supply following reclassification to Class III. All other entries </w:t>
      </w:r>
      <w:proofErr w:type="gramStart"/>
      <w:r>
        <w:t>were cancelled</w:t>
      </w:r>
      <w:proofErr w:type="gramEnd"/>
      <w:r>
        <w:t xml:space="preserve">. </w:t>
      </w:r>
    </w:p>
    <w:p w:rsidR="003B3EC1" w:rsidRDefault="003B3EC1" w:rsidP="00DC2176">
      <w:pPr>
        <w:pStyle w:val="ListBullet"/>
      </w:pPr>
      <w:r>
        <w:t xml:space="preserve">We clarified that certain sports supplements are medicines rather than food by making a declaration under section 7 of the </w:t>
      </w:r>
      <w:r w:rsidRPr="00DC2176">
        <w:rPr>
          <w:i/>
        </w:rPr>
        <w:t>Therapeutic Goods Act 1989</w:t>
      </w:r>
      <w:r>
        <w:t xml:space="preserve">. This ensures that sports supplements </w:t>
      </w:r>
      <w:proofErr w:type="gramStart"/>
      <w:r>
        <w:t>are regulated</w:t>
      </w:r>
      <w:proofErr w:type="gramEnd"/>
      <w:r>
        <w:t xml:space="preserve"> commensurate with their risk and that, where safety concerns arise, appropriate regulatory action can be taken in a timely manner. The declaration came into effect on 23 November 2020.</w:t>
      </w:r>
    </w:p>
    <w:p w:rsidR="003B3EC1" w:rsidRDefault="00DC2176" w:rsidP="00DC2176">
      <w:pPr>
        <w:pStyle w:val="Heading4"/>
      </w:pPr>
      <w:bookmarkStart w:id="12" w:name="_Toc69725933"/>
      <w:r>
        <w:t>Medical Devices</w:t>
      </w:r>
      <w:bookmarkEnd w:id="12"/>
    </w:p>
    <w:p w:rsidR="003B3EC1" w:rsidRDefault="003B3EC1" w:rsidP="00DC2176">
      <w:pPr>
        <w:pStyle w:val="ListBullet"/>
      </w:pPr>
      <w:r>
        <w:t xml:space="preserve">All conformity assessment applications </w:t>
      </w:r>
      <w:proofErr w:type="gramStart"/>
      <w:r>
        <w:t>were processed</w:t>
      </w:r>
      <w:proofErr w:type="gramEnd"/>
      <w:r>
        <w:t xml:space="preserve"> within target timeframes despite resources being focused on reviewing the significant increase in medical device applications co</w:t>
      </w:r>
      <w:r w:rsidR="00DC2176">
        <w:t>nnected to COVID-19.</w:t>
      </w:r>
    </w:p>
    <w:p w:rsidR="003B3EC1" w:rsidRDefault="003B3EC1" w:rsidP="00DC2176">
      <w:pPr>
        <w:pStyle w:val="ListBullet"/>
      </w:pPr>
      <w:r>
        <w:t xml:space="preserve">One conformity assessment </w:t>
      </w:r>
      <w:proofErr w:type="gramStart"/>
      <w:r>
        <w:t>was approved</w:t>
      </w:r>
      <w:proofErr w:type="gramEnd"/>
      <w:r>
        <w:t xml:space="preserve"> under the priority review framework. No new priori</w:t>
      </w:r>
      <w:r w:rsidR="00DC2176">
        <w:t xml:space="preserve">ty determinations </w:t>
      </w:r>
      <w:proofErr w:type="gramStart"/>
      <w:r w:rsidR="00DC2176">
        <w:t>were granted</w:t>
      </w:r>
      <w:proofErr w:type="gramEnd"/>
      <w:r w:rsidR="00DC2176">
        <w:t>.</w:t>
      </w:r>
    </w:p>
    <w:p w:rsidR="003B3EC1" w:rsidRDefault="003B3EC1" w:rsidP="00CB0F08">
      <w:pPr>
        <w:pStyle w:val="ListBullet"/>
      </w:pPr>
      <w:r>
        <w:t>The number of initial audits for domestic Quality Manufacturing System applications conducted within 3 months of application, increased from 33% in the 1 July to 31</w:t>
      </w:r>
      <w:r w:rsidR="00DC2176">
        <w:t> </w:t>
      </w:r>
      <w:r>
        <w:t>December</w:t>
      </w:r>
      <w:r w:rsidR="00DC2176">
        <w:t> </w:t>
      </w:r>
      <w:r>
        <w:t>2019 period, to 100% in 1 July to 31 December 2020.</w:t>
      </w:r>
    </w:p>
    <w:p w:rsidR="003B3EC1" w:rsidRDefault="003B3EC1" w:rsidP="00CB0F08">
      <w:pPr>
        <w:pStyle w:val="ListBullet"/>
      </w:pPr>
      <w:r>
        <w:t xml:space="preserve">We completed 3,520 medical device incident reports from 1 July to 31 December </w:t>
      </w:r>
      <w:proofErr w:type="gramStart"/>
      <w:r>
        <w:t>2020,</w:t>
      </w:r>
      <w:proofErr w:type="gramEnd"/>
      <w:r>
        <w:t xml:space="preserve"> this was an increase on the 3,042 completed over the 1 July to 31 December 2019 period. While the average TGA processing time (59 days) was higher than the time for 1 July to 31</w:t>
      </w:r>
      <w:r w:rsidR="00DC2176">
        <w:t> </w:t>
      </w:r>
      <w:r>
        <w:t>December 2019 (47 days), it was still significantly below the target timeframe (90 days).</w:t>
      </w:r>
    </w:p>
    <w:p w:rsidR="003B3EC1" w:rsidRDefault="003B3EC1" w:rsidP="00CB0F08">
      <w:pPr>
        <w:pStyle w:val="ListBullet"/>
      </w:pPr>
      <w:r>
        <w:t xml:space="preserve">Travel restrictions associated with COVID-19 pandemic severely </w:t>
      </w:r>
      <w:proofErr w:type="gramStart"/>
      <w:r>
        <w:t>impacted</w:t>
      </w:r>
      <w:proofErr w:type="gramEnd"/>
      <w:r>
        <w:t xml:space="preserve"> TGA’s ability to undertake on-site audits of medical device manufacturers. In response, remote auditing </w:t>
      </w:r>
      <w:proofErr w:type="gramStart"/>
      <w:r>
        <w:t>was implemented</w:t>
      </w:r>
      <w:proofErr w:type="gramEnd"/>
      <w:r>
        <w:t xml:space="preserve"> in accordance with international best practice. This enabled </w:t>
      </w:r>
      <w:proofErr w:type="gramStart"/>
      <w:r>
        <w:t>8</w:t>
      </w:r>
      <w:proofErr w:type="gramEnd"/>
      <w:r>
        <w:t xml:space="preserve"> domestic audits to be conducted from 1 July to 31 December 2020, compared to 14 from 1 July to 31</w:t>
      </w:r>
      <w:r w:rsidR="00DC2176">
        <w:t> </w:t>
      </w:r>
      <w:r>
        <w:t>December 2019. These audits were a hybrid of desktop,</w:t>
      </w:r>
      <w:r w:rsidR="00DC2176">
        <w:t xml:space="preserve"> remote and on-site assessment.</w:t>
      </w:r>
    </w:p>
    <w:p w:rsidR="003B3EC1" w:rsidRDefault="003B3EC1" w:rsidP="00DC2176">
      <w:pPr>
        <w:pStyle w:val="Heading4"/>
      </w:pPr>
      <w:bookmarkStart w:id="13" w:name="_Toc69725934"/>
      <w:r>
        <w:lastRenderedPageBreak/>
        <w:t>Medicines</w:t>
      </w:r>
      <w:bookmarkEnd w:id="13"/>
    </w:p>
    <w:p w:rsidR="003B3EC1" w:rsidRDefault="003B3EC1" w:rsidP="00DC2176">
      <w:pPr>
        <w:pStyle w:val="Heading5"/>
      </w:pPr>
      <w:r>
        <w:t>Prescription medicines</w:t>
      </w:r>
    </w:p>
    <w:p w:rsidR="003B3EC1" w:rsidRDefault="003B3EC1" w:rsidP="00DC2176">
      <w:pPr>
        <w:pStyle w:val="ListBullet"/>
      </w:pPr>
      <w:r>
        <w:t>Despite a similar number of Category 1 applications (from 181 in the 1 July to 31 December 2019 period to 188 in 1 July to 31 December 2020)</w:t>
      </w:r>
      <w:proofErr w:type="gramStart"/>
      <w:r>
        <w:t>,</w:t>
      </w:r>
      <w:proofErr w:type="gramEnd"/>
      <w:r>
        <w:t xml:space="preserve"> there have been improvements in the assessment times for Category 1 applications. From 1 July to 31 December 2020, the median assessment time has fallen from 169 to 152 working days.</w:t>
      </w:r>
    </w:p>
    <w:p w:rsidR="003B3EC1" w:rsidRDefault="003B3EC1" w:rsidP="00DC2176">
      <w:pPr>
        <w:pStyle w:val="ListBullet"/>
      </w:pPr>
      <w:r>
        <w:t>During this reporting period, the TGA:</w:t>
      </w:r>
    </w:p>
    <w:p w:rsidR="003B3EC1" w:rsidRDefault="003B3EC1" w:rsidP="00DC2176">
      <w:pPr>
        <w:pStyle w:val="ListBullet2"/>
      </w:pPr>
      <w:r>
        <w:t>determined 11 medicines were eligible for priority review</w:t>
      </w:r>
    </w:p>
    <w:p w:rsidR="003B3EC1" w:rsidRDefault="003B3EC1" w:rsidP="00DC2176">
      <w:pPr>
        <w:pStyle w:val="ListBullet2"/>
      </w:pPr>
      <w:r>
        <w:t>approved 17 medicines with an orphan drug designation</w:t>
      </w:r>
    </w:p>
    <w:p w:rsidR="003B3EC1" w:rsidRDefault="003B3EC1" w:rsidP="00DC2176">
      <w:pPr>
        <w:pStyle w:val="ListBullet2"/>
      </w:pPr>
      <w:r>
        <w:t>approved 6 medicines with a priority review approval for registration, with a median approval time of 144 working days</w:t>
      </w:r>
    </w:p>
    <w:p w:rsidR="003B3EC1" w:rsidRDefault="003B3EC1" w:rsidP="00DC2176">
      <w:pPr>
        <w:pStyle w:val="ListBullet2"/>
      </w:pPr>
      <w:r>
        <w:t>approved 4 medicines given provisional determination for registration, with a median approval time of 147 working days</w:t>
      </w:r>
    </w:p>
    <w:p w:rsidR="003B3EC1" w:rsidRDefault="003B3EC1" w:rsidP="00DC2176">
      <w:pPr>
        <w:pStyle w:val="ListBullet2"/>
      </w:pPr>
      <w:r>
        <w:t>approved one medicine for registration after undergoing Comparable Overseas Regulator (COR)-B review with an approval time of 122 working days</w:t>
      </w:r>
    </w:p>
    <w:p w:rsidR="003B3EC1" w:rsidRDefault="003B3EC1" w:rsidP="00DC2176">
      <w:pPr>
        <w:pStyle w:val="ListBullet2"/>
      </w:pPr>
      <w:proofErr w:type="gramStart"/>
      <w:r>
        <w:t>reviewed</w:t>
      </w:r>
      <w:proofErr w:type="gramEnd"/>
      <w:r>
        <w:t xml:space="preserve"> 8 medicines collaboratively through the United Stated Food and Drug Administration’s Project </w:t>
      </w:r>
      <w:proofErr w:type="spellStart"/>
      <w:r>
        <w:t>Orbis</w:t>
      </w:r>
      <w:proofErr w:type="spellEnd"/>
      <w:r>
        <w:t>.</w:t>
      </w:r>
    </w:p>
    <w:p w:rsidR="003B3EC1" w:rsidRDefault="003B3EC1" w:rsidP="00DC2176">
      <w:pPr>
        <w:pStyle w:val="ListBullet"/>
      </w:pPr>
      <w:r>
        <w:t xml:space="preserve">With input from the Medicine Shortages Working Party, reforms have continued in </w:t>
      </w:r>
      <w:proofErr w:type="gramStart"/>
      <w:r>
        <w:t>4</w:t>
      </w:r>
      <w:proofErr w:type="gramEnd"/>
      <w:r>
        <w:t xml:space="preserve"> main areas: enhancements to the Medicine Shortage Information Initiative; Monitoring Medicines Availability; Education and Communication; and Medicine </w:t>
      </w:r>
      <w:r w:rsidR="00DC2176">
        <w:t>Shortage Mitigation Strategies.</w:t>
      </w:r>
    </w:p>
    <w:p w:rsidR="003B3EC1" w:rsidRDefault="003B3EC1" w:rsidP="00DC2176">
      <w:pPr>
        <w:pStyle w:val="Heading5"/>
      </w:pPr>
      <w:r>
        <w:t>Over-the-Counter medicines</w:t>
      </w:r>
    </w:p>
    <w:p w:rsidR="003B3EC1" w:rsidRDefault="003B3EC1" w:rsidP="00DC2176">
      <w:pPr>
        <w:pStyle w:val="ListBullet"/>
      </w:pPr>
      <w:r>
        <w:t xml:space="preserve">A data protection scheme for assessed listed medicines </w:t>
      </w:r>
      <w:proofErr w:type="gramStart"/>
      <w:r>
        <w:t>was implemented</w:t>
      </w:r>
      <w:proofErr w:type="gramEnd"/>
      <w:r>
        <w:t xml:space="preserve"> to provide incentives for innovation for industry by preventing competitors from seeking market authorisation of generic forms of an assessed listed medicine by relying on data generated by the originator.</w:t>
      </w:r>
    </w:p>
    <w:p w:rsidR="003B3EC1" w:rsidRDefault="003B3EC1" w:rsidP="00DC2176">
      <w:pPr>
        <w:pStyle w:val="ListBullet"/>
      </w:pPr>
      <w:r>
        <w:t>We approved 97 new over-the-counter medicine applications from 1 July to 31 December 2020, compared to 78 in f</w:t>
      </w:r>
      <w:r w:rsidR="00DC2176">
        <w:t>rom 1 July to 31 December 2019.</w:t>
      </w:r>
    </w:p>
    <w:p w:rsidR="003B3EC1" w:rsidRDefault="003B3EC1" w:rsidP="00DC2176">
      <w:pPr>
        <w:pStyle w:val="ListBullet"/>
      </w:pPr>
      <w:r>
        <w:t xml:space="preserve">For N1, N2, C2 and C4 application types, more than 90% </w:t>
      </w:r>
      <w:proofErr w:type="gramStart"/>
      <w:r>
        <w:t>were completed</w:t>
      </w:r>
      <w:proofErr w:type="gramEnd"/>
      <w:r>
        <w:t xml:space="preserve"> within target times, while more than 70% of N3, N4 and C1 application types were completed within target times.</w:t>
      </w:r>
    </w:p>
    <w:p w:rsidR="003B3EC1" w:rsidRDefault="003B3EC1" w:rsidP="00DC2176">
      <w:pPr>
        <w:pStyle w:val="ListBullet"/>
      </w:pPr>
      <w:r>
        <w:t>We received and processed a significantly higher number of requests (70) for consent to supply under s 14/14A of the Act from 1 July to 31 December 2020 compared with 1 July to 31 December 2019 (4).</w:t>
      </w:r>
    </w:p>
    <w:p w:rsidR="003B3EC1" w:rsidRDefault="00DC2176" w:rsidP="00DC2176">
      <w:pPr>
        <w:pStyle w:val="Heading5"/>
      </w:pPr>
      <w:r>
        <w:t>Complementary medicines</w:t>
      </w:r>
    </w:p>
    <w:p w:rsidR="003B3EC1" w:rsidRDefault="003B3EC1" w:rsidP="00DC2176">
      <w:pPr>
        <w:pStyle w:val="ListBullet"/>
      </w:pPr>
      <w:r>
        <w:t xml:space="preserve">The TGA approved the first assessed listed medicine </w:t>
      </w:r>
      <w:r w:rsidR="00DC2176">
        <w:t>application during this period.</w:t>
      </w:r>
    </w:p>
    <w:p w:rsidR="003B3EC1" w:rsidRDefault="003B3EC1" w:rsidP="00DC2176">
      <w:pPr>
        <w:pStyle w:val="ListBullet"/>
      </w:pPr>
      <w:r>
        <w:t>The number of new listed medicine applications in 1 July to 31 December 2020 (1079) was on par with 1 J</w:t>
      </w:r>
      <w:r w:rsidR="00DC2176">
        <w:t>uly to 31 December 2019 (1141).</w:t>
      </w:r>
    </w:p>
    <w:p w:rsidR="003B3EC1" w:rsidRDefault="003B3EC1" w:rsidP="008C31C7">
      <w:pPr>
        <w:pStyle w:val="ListBullet"/>
        <w:keepNext/>
        <w:keepLines/>
        <w:ind w:left="357" w:hanging="357"/>
      </w:pPr>
      <w:r>
        <w:lastRenderedPageBreak/>
        <w:t xml:space="preserve">We completed processing of a significantly higher number of requests (30) for consent to supply under section 14/14A of the Act from 1 July to 31 December 2020 compared with </w:t>
      </w:r>
      <w:r w:rsidR="00DC2176">
        <w:t>1 July to 31 December 2019 (8).</w:t>
      </w:r>
    </w:p>
    <w:p w:rsidR="003B3EC1" w:rsidRDefault="003B3EC1" w:rsidP="00CB0F08">
      <w:pPr>
        <w:pStyle w:val="ListBullet"/>
      </w:pPr>
      <w:r>
        <w:t>We approved six new registered complementary medicine applications from 1 July to 31</w:t>
      </w:r>
      <w:r w:rsidR="00DC2176">
        <w:t> </w:t>
      </w:r>
      <w:r>
        <w:t>December 2020, an increase from two applications approved during 1 July to 31</w:t>
      </w:r>
      <w:r w:rsidR="00DC2176">
        <w:t> December 2019.</w:t>
      </w:r>
    </w:p>
    <w:p w:rsidR="003B3EC1" w:rsidRDefault="003B3EC1" w:rsidP="00865E4F">
      <w:pPr>
        <w:pStyle w:val="Heading5"/>
      </w:pPr>
      <w:r>
        <w:t>Exports</w:t>
      </w:r>
    </w:p>
    <w:p w:rsidR="003B3EC1" w:rsidRDefault="003B3EC1" w:rsidP="00865E4F">
      <w:pPr>
        <w:pStyle w:val="ListBullet"/>
      </w:pPr>
      <w:r>
        <w:t>From 1 July to 31 December 2020, the TGA:</w:t>
      </w:r>
    </w:p>
    <w:p w:rsidR="003B3EC1" w:rsidRDefault="003B3EC1" w:rsidP="00865E4F">
      <w:pPr>
        <w:pStyle w:val="ListBullet2"/>
      </w:pPr>
      <w:r>
        <w:t>approved 227 new application for export only medicine compared with 70 in 1 July to 31 December 2019</w:t>
      </w:r>
    </w:p>
    <w:p w:rsidR="003B3EC1" w:rsidRDefault="003B3EC1" w:rsidP="00865E4F">
      <w:pPr>
        <w:pStyle w:val="ListBullet2"/>
      </w:pPr>
      <w:proofErr w:type="gramStart"/>
      <w:r>
        <w:t>approved</w:t>
      </w:r>
      <w:proofErr w:type="gramEnd"/>
      <w:r>
        <w:t xml:space="preserve"> 95 variation and grouping applications for export only medicine, compared with 44 in the 1 July to 31 December 2019 period.</w:t>
      </w:r>
    </w:p>
    <w:p w:rsidR="003B3EC1" w:rsidRDefault="003B3EC1" w:rsidP="00865E4F">
      <w:pPr>
        <w:pStyle w:val="Heading5"/>
      </w:pPr>
      <w:r>
        <w:t>Access to unapproved therapeutic goods</w:t>
      </w:r>
    </w:p>
    <w:p w:rsidR="003B3EC1" w:rsidRDefault="003B3EC1" w:rsidP="00865E4F">
      <w:pPr>
        <w:pStyle w:val="ListBullet"/>
      </w:pPr>
      <w:r>
        <w:t>In the period 1 July to 31 December 2020, the TGA</w:t>
      </w:r>
    </w:p>
    <w:p w:rsidR="003B3EC1" w:rsidRDefault="003B3EC1" w:rsidP="00865E4F">
      <w:pPr>
        <w:pStyle w:val="ListBullet2"/>
      </w:pPr>
      <w:r>
        <w:t>approved 2020 Authorised Prescriber applications, including 1,832 applications for medicines, 1,682 for unapproved medicinal cannabis products, and 196 a</w:t>
      </w:r>
      <w:r w:rsidR="00865E4F">
        <w:t>pplications for medical devices</w:t>
      </w:r>
    </w:p>
    <w:p w:rsidR="003B3EC1" w:rsidRDefault="003B3EC1" w:rsidP="00865E4F">
      <w:pPr>
        <w:pStyle w:val="ListBullet2"/>
      </w:pPr>
      <w:proofErr w:type="gramStart"/>
      <w:r>
        <w:t>processed</w:t>
      </w:r>
      <w:proofErr w:type="gramEnd"/>
      <w:r>
        <w:t xml:space="preserve"> a total of 78,308 applications and notifications through the Special Access Scheme (SAS). We processed 72,169 SAS applications and notifications for medicines, including 29,988 for unapproved medicinal cannabis products, 5,649 for medical devices, and 490 for </w:t>
      </w:r>
      <w:r w:rsidR="00865E4F">
        <w:t>biologicals, and</w:t>
      </w:r>
    </w:p>
    <w:p w:rsidR="003B3EC1" w:rsidRDefault="003B3EC1" w:rsidP="00865E4F">
      <w:pPr>
        <w:pStyle w:val="ListBullet2"/>
      </w:pPr>
      <w:proofErr w:type="gramStart"/>
      <w:r>
        <w:t>processed</w:t>
      </w:r>
      <w:proofErr w:type="gramEnd"/>
      <w:r>
        <w:t xml:space="preserve"> large increases in SAS Category B applications for medicines, up 45% compared with the same period in 2019 (45,820 in 1 July to 31 December of 2020, compared with 27,714 from1 July to 31 December 2019). This </w:t>
      </w:r>
      <w:proofErr w:type="gramStart"/>
      <w:r>
        <w:t>is mainly attributed</w:t>
      </w:r>
      <w:proofErr w:type="gramEnd"/>
      <w:r>
        <w:t xml:space="preserve"> to increases in applications for unapprov</w:t>
      </w:r>
      <w:r w:rsidR="00865E4F">
        <w:t>ed medicinal cannabis products.</w:t>
      </w:r>
    </w:p>
    <w:p w:rsidR="003B3EC1" w:rsidRDefault="003B3EC1" w:rsidP="00865E4F">
      <w:pPr>
        <w:pStyle w:val="Heading5"/>
      </w:pPr>
      <w:r>
        <w:t>Medicine and vaccine adverse event reports</w:t>
      </w:r>
    </w:p>
    <w:p w:rsidR="003B3EC1" w:rsidRDefault="003B3EC1" w:rsidP="00865E4F">
      <w:pPr>
        <w:pStyle w:val="ListBullet"/>
      </w:pPr>
      <w:r>
        <w:t>The TGA received 12,815 adverse event report cases betwee</w:t>
      </w:r>
      <w:r w:rsidR="00865E4F">
        <w:t xml:space="preserve">n 1 July and 31 December 2020. </w:t>
      </w:r>
      <w:r>
        <w:t xml:space="preserve">The number of reports received was similar to the same period in 2019. </w:t>
      </w:r>
      <w:proofErr w:type="gramStart"/>
      <w:r>
        <w:t>65%</w:t>
      </w:r>
      <w:proofErr w:type="gramEnd"/>
      <w:r>
        <w:t xml:space="preserve"> of reports were received from sponsors. Health professionals reported 20% of accepted cases, with pharmacists the most common health professional reporter (54%).</w:t>
      </w:r>
    </w:p>
    <w:p w:rsidR="003B3EC1" w:rsidRDefault="003B3EC1" w:rsidP="00865E4F">
      <w:pPr>
        <w:pStyle w:val="Heading5"/>
      </w:pPr>
      <w:r>
        <w:t>Pharm</w:t>
      </w:r>
      <w:r w:rsidR="00865E4F">
        <w:t>acovigilance Inspection Program</w:t>
      </w:r>
    </w:p>
    <w:p w:rsidR="003B3EC1" w:rsidRDefault="003B3EC1" w:rsidP="00865E4F">
      <w:pPr>
        <w:pStyle w:val="ListBullet"/>
      </w:pPr>
      <w:r>
        <w:t xml:space="preserve">Between 1 July and 31 December 2020, the TGA inspected three medicine sponsors. Inspections </w:t>
      </w:r>
      <w:proofErr w:type="gramStart"/>
      <w:r>
        <w:t>were scheduled</w:t>
      </w:r>
      <w:proofErr w:type="gramEnd"/>
      <w:r>
        <w:t xml:space="preserve"> using a risk-based approach that included an assessment of the sponsor’s pharmacovigilance system, product portfolio, and regulatory compliance history.</w:t>
      </w:r>
      <w:r w:rsidR="00865E4F">
        <w:t xml:space="preserve"> </w:t>
      </w:r>
      <w:r>
        <w:t xml:space="preserve">Deficiencies were identified in each inspection with a total of </w:t>
      </w:r>
      <w:proofErr w:type="gramStart"/>
      <w:r>
        <w:t>one</w:t>
      </w:r>
      <w:proofErr w:type="gramEnd"/>
      <w:r>
        <w:t xml:space="preserve"> critical deficiency, 13 major deficiencies and 10 minor deficiencies.</w:t>
      </w:r>
    </w:p>
    <w:p w:rsidR="003B3EC1" w:rsidRDefault="003B3EC1" w:rsidP="008C31C7">
      <w:pPr>
        <w:pStyle w:val="Heading4"/>
      </w:pPr>
      <w:r>
        <w:t>Clinical trials</w:t>
      </w:r>
    </w:p>
    <w:p w:rsidR="003B3EC1" w:rsidRDefault="003B3EC1" w:rsidP="00865E4F">
      <w:pPr>
        <w:pStyle w:val="ListBullet"/>
      </w:pPr>
      <w:r>
        <w:t>From 1 July to 31 December 2020, there were 585 notifications for new clinical trials through the CTN scheme, which is comparable to the 1 July to 31 December 2019 figure of 499.</w:t>
      </w:r>
    </w:p>
    <w:p w:rsidR="003B3EC1" w:rsidRDefault="003B3EC1" w:rsidP="00865E4F">
      <w:pPr>
        <w:pStyle w:val="Heading4"/>
      </w:pPr>
      <w:bookmarkStart w:id="14" w:name="_Toc69725935"/>
      <w:r>
        <w:lastRenderedPageBreak/>
        <w:t>Work s</w:t>
      </w:r>
      <w:r w:rsidR="00865E4F">
        <w:t>haring with overseas regulators</w:t>
      </w:r>
      <w:bookmarkEnd w:id="14"/>
    </w:p>
    <w:p w:rsidR="003B3EC1" w:rsidRDefault="003B3EC1" w:rsidP="00865E4F">
      <w:pPr>
        <w:pStyle w:val="ListBullet"/>
        <w:keepLines/>
        <w:ind w:left="357" w:hanging="357"/>
      </w:pPr>
      <w:r>
        <w:t xml:space="preserve">On 14 October 2020, the ACCESS Consortium announced that the United Kingdom’s regulator, the Medicines and Healthcare products Regulatory Authority (MHRA), would join the group. The MHRA joined the </w:t>
      </w:r>
      <w:proofErr w:type="gramStart"/>
      <w:r>
        <w:t>4</w:t>
      </w:r>
      <w:proofErr w:type="gramEnd"/>
      <w:r>
        <w:t xml:space="preserve"> existing national regulatory authorities—TGA, Health Canada, Health Sciences Authority of Singapore, and the Swiss therapeut</w:t>
      </w:r>
      <w:r w:rsidR="00865E4F">
        <w:t xml:space="preserve">ic goods regulator, </w:t>
      </w:r>
      <w:proofErr w:type="spellStart"/>
      <w:r w:rsidR="00865E4F">
        <w:t>Swissmedic</w:t>
      </w:r>
      <w:proofErr w:type="spellEnd"/>
      <w:r w:rsidR="00865E4F">
        <w:t>.</w:t>
      </w:r>
    </w:p>
    <w:p w:rsidR="003B3EC1" w:rsidRDefault="003B3EC1" w:rsidP="00865E4F">
      <w:pPr>
        <w:pStyle w:val="ListBullet"/>
      </w:pPr>
      <w:r>
        <w:t xml:space="preserve">Six submissions </w:t>
      </w:r>
      <w:proofErr w:type="gramStart"/>
      <w:r>
        <w:t>were accepted</w:t>
      </w:r>
      <w:proofErr w:type="gramEnd"/>
      <w:r>
        <w:t xml:space="preserve"> for evaluation during 1 July to 31 December 2020 via the ACCESS Consortium.</w:t>
      </w:r>
    </w:p>
    <w:p w:rsidR="003B3EC1" w:rsidRDefault="003B3EC1" w:rsidP="00865E4F">
      <w:pPr>
        <w:pStyle w:val="Heading2"/>
      </w:pPr>
      <w:bookmarkStart w:id="15" w:name="_Toc69725936"/>
      <w:r>
        <w:lastRenderedPageBreak/>
        <w:t>Processing and approval times</w:t>
      </w:r>
      <w:bookmarkEnd w:id="15"/>
    </w:p>
    <w:p w:rsidR="003B3EC1" w:rsidRDefault="003B3EC1" w:rsidP="003B3EC1">
      <w:r>
        <w:t xml:space="preserve">Processing and approval times </w:t>
      </w:r>
      <w:proofErr w:type="gramStart"/>
      <w:r>
        <w:t>are defined</w:t>
      </w:r>
      <w:proofErr w:type="gramEnd"/>
      <w:r>
        <w:t xml:space="preserve"> as the number of working days from the acceptance of the application until the formal notification of decision, unless otherwise specified. These exclude times where we were unable to progress the application until the sponsor provided additional information or completed payment of fees, unless otherwise specified. Under the </w:t>
      </w:r>
      <w:r w:rsidRPr="00865E4F">
        <w:rPr>
          <w:i/>
        </w:rPr>
        <w:t>Therapeutic Goods Act 1989</w:t>
      </w:r>
      <w:r>
        <w:t>, the TGA working days exclude public holidays and weekends.</w:t>
      </w:r>
    </w:p>
    <w:p w:rsidR="003B3EC1" w:rsidRDefault="003B3EC1" w:rsidP="003B3EC1">
      <w:r>
        <w:t xml:space="preserve">The timeframes applicable to many of our activities </w:t>
      </w:r>
      <w:proofErr w:type="gramStart"/>
      <w:r>
        <w:t>are mandated</w:t>
      </w:r>
      <w:proofErr w:type="gramEnd"/>
      <w:r>
        <w:t xml:space="preserve"> by legislation. For non-mandated activities, we self-impose target timeframes to ensure that we perform our functions efficiently and in a timely manner. </w:t>
      </w:r>
    </w:p>
    <w:p w:rsidR="003B3EC1" w:rsidRPr="00865E4F" w:rsidRDefault="003B3EC1" w:rsidP="00865E4F">
      <w:pPr>
        <w:pStyle w:val="Heading3"/>
        <w:pageBreakBefore/>
        <w:rPr>
          <w:color w:val="auto"/>
        </w:rPr>
      </w:pPr>
      <w:bookmarkStart w:id="16" w:name="_Toc69725937"/>
      <w:r w:rsidRPr="00865E4F">
        <w:rPr>
          <w:color w:val="auto"/>
        </w:rPr>
        <w:lastRenderedPageBreak/>
        <w:t>1.</w:t>
      </w:r>
      <w:r w:rsidRPr="00865E4F">
        <w:rPr>
          <w:color w:val="auto"/>
        </w:rPr>
        <w:tab/>
        <w:t>Prescription medicines</w:t>
      </w:r>
      <w:bookmarkEnd w:id="16"/>
    </w:p>
    <w:p w:rsidR="003B3EC1" w:rsidRDefault="003B3EC1" w:rsidP="003B3EC1">
      <w:r>
        <w:t xml:space="preserve">Applications to register new or vary existing prescription medicines </w:t>
      </w:r>
      <w:proofErr w:type="gramStart"/>
      <w:r>
        <w:t>are accompanied by supportive scientific data and evaluated with timeframes</w:t>
      </w:r>
      <w:proofErr w:type="gramEnd"/>
      <w:r>
        <w:t xml:space="preserve"> underpinned by legislation and/or associated business rules.</w:t>
      </w:r>
    </w:p>
    <w:p w:rsidR="003B3EC1" w:rsidRDefault="003B3EC1" w:rsidP="003B3EC1">
      <w:r>
        <w:t>The framework for prescription medicines includes the following categories:</w:t>
      </w:r>
    </w:p>
    <w:tbl>
      <w:tblPr>
        <w:tblStyle w:val="TableTGAblue"/>
        <w:tblW w:w="0" w:type="auto"/>
        <w:tblLook w:val="04A0" w:firstRow="1" w:lastRow="0" w:firstColumn="1" w:lastColumn="0" w:noHBand="0" w:noVBand="1"/>
      </w:tblPr>
      <w:tblGrid>
        <w:gridCol w:w="2400"/>
        <w:gridCol w:w="3633"/>
        <w:gridCol w:w="3017"/>
      </w:tblGrid>
      <w:tr w:rsidR="00865E4F"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6481A0"/>
          </w:tcPr>
          <w:p w:rsidR="00865E4F" w:rsidRDefault="00865E4F" w:rsidP="003B3EC1">
            <w:r>
              <w:t>Application category</w:t>
            </w:r>
          </w:p>
        </w:tc>
        <w:tc>
          <w:tcPr>
            <w:tcW w:w="3633" w:type="dxa"/>
            <w:tcBorders>
              <w:left w:val="single" w:sz="4" w:space="0" w:color="auto"/>
              <w:right w:val="single" w:sz="4" w:space="0" w:color="auto"/>
            </w:tcBorders>
            <w:shd w:val="clear" w:color="auto" w:fill="6481A0"/>
          </w:tcPr>
          <w:p w:rsidR="00865E4F" w:rsidRDefault="00865E4F" w:rsidP="003B3EC1">
            <w:pPr>
              <w:cnfStyle w:val="100000000000" w:firstRow="1" w:lastRow="0" w:firstColumn="0" w:lastColumn="0" w:oddVBand="0" w:evenVBand="0" w:oddHBand="0" w:evenHBand="0" w:firstRowFirstColumn="0" w:firstRowLastColumn="0" w:lastRowFirstColumn="0" w:lastRowLastColumn="0"/>
            </w:pPr>
            <w:r>
              <w:t>Description</w:t>
            </w:r>
          </w:p>
        </w:tc>
        <w:tc>
          <w:tcPr>
            <w:tcW w:w="3017" w:type="dxa"/>
            <w:tcBorders>
              <w:left w:val="single" w:sz="4" w:space="0" w:color="auto"/>
            </w:tcBorders>
            <w:shd w:val="clear" w:color="auto" w:fill="6481A0"/>
          </w:tcPr>
          <w:p w:rsidR="00865E4F" w:rsidRDefault="00865E4F" w:rsidP="003B3EC1">
            <w:pPr>
              <w:cnfStyle w:val="100000000000" w:firstRow="1" w:lastRow="0" w:firstColumn="0" w:lastColumn="0" w:oddVBand="0" w:evenVBand="0" w:oddHBand="0" w:evenHBand="0" w:firstRowFirstColumn="0" w:firstRowLastColumn="0" w:lastRowFirstColumn="0" w:lastRowLastColumn="0"/>
            </w:pPr>
            <w:r>
              <w:t>Timeframe in working days</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865E4F" w:rsidP="003B3EC1">
            <w:r>
              <w:t>Category 1</w:t>
            </w:r>
          </w:p>
        </w:tc>
        <w:tc>
          <w:tcPr>
            <w:tcW w:w="3633" w:type="dxa"/>
          </w:tcPr>
          <w:p w:rsidR="00865E4F" w:rsidRDefault="00865E4F" w:rsidP="003B3EC1">
            <w:pPr>
              <w:cnfStyle w:val="000000000000" w:firstRow="0" w:lastRow="0" w:firstColumn="0" w:lastColumn="0" w:oddVBand="0" w:evenVBand="0" w:oddHBand="0" w:evenHBand="0" w:firstRowFirstColumn="0" w:firstRowLastColumn="0" w:lastRowFirstColumn="0" w:lastRowLastColumn="0"/>
            </w:pPr>
            <w:r>
              <w:t>An application to register a new prescription medicine (other than an additional trade name) or to make a variation to an existing medicine that involves the evaluation of clinical, pre-clinical or bio-equivalence data. For example, new chemical entities, extensions of indication and new routes of administration.</w:t>
            </w:r>
          </w:p>
        </w:tc>
        <w:tc>
          <w:tcPr>
            <w:tcW w:w="3017" w:type="dxa"/>
          </w:tcPr>
          <w:p w:rsidR="00865E4F" w:rsidRDefault="00865E4F" w:rsidP="003B3EC1">
            <w:pPr>
              <w:cnfStyle w:val="000000000000" w:firstRow="0" w:lastRow="0" w:firstColumn="0" w:lastColumn="0" w:oddVBand="0" w:evenVBand="0" w:oddHBand="0" w:evenHBand="0" w:firstRowFirstColumn="0" w:firstRowLastColumn="0" w:lastRowFirstColumn="0" w:lastRowLastColumn="0"/>
            </w:pPr>
            <w:r>
              <w:t>Legislated timeframe: 40 working days for notification of whether the application has passed preliminary assessment and 255 working days for the completion of the evaluation and notification of the decision. The priority review pathway (applicable to Category 1 applications only) has the same statutory timeframe as other Category 1 applications, but the target timeframe is 150 working days.</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865E4F" w:rsidP="003B3EC1">
            <w:r>
              <w:t>Category 2</w:t>
            </w:r>
          </w:p>
        </w:tc>
        <w:tc>
          <w:tcPr>
            <w:tcW w:w="3633" w:type="dxa"/>
          </w:tcPr>
          <w:p w:rsidR="00865E4F" w:rsidRDefault="00865E4F" w:rsidP="003B3EC1">
            <w:pPr>
              <w:cnfStyle w:val="000000000000" w:firstRow="0" w:lastRow="0" w:firstColumn="0" w:lastColumn="0" w:oddVBand="0" w:evenVBand="0" w:oddHBand="0" w:evenHBand="0" w:firstRowFirstColumn="0" w:firstRowLastColumn="0" w:lastRowFirstColumn="0" w:lastRowLastColumn="0"/>
            </w:pPr>
            <w:r>
              <w:t xml:space="preserve">An application accompanied by 2 independent evaluation reports from comparable overseas regulators in whose jurisdiction the product </w:t>
            </w:r>
            <w:proofErr w:type="gramStart"/>
            <w:r>
              <w:t>is approved</w:t>
            </w:r>
            <w:proofErr w:type="gramEnd"/>
            <w:r>
              <w:t xml:space="preserve"> for the same indication.</w:t>
            </w:r>
          </w:p>
        </w:tc>
        <w:tc>
          <w:tcPr>
            <w:tcW w:w="3017" w:type="dxa"/>
          </w:tcPr>
          <w:p w:rsidR="00865E4F" w:rsidRDefault="00865E4F" w:rsidP="003B3EC1">
            <w:pPr>
              <w:cnfStyle w:val="000000000000" w:firstRow="0" w:lastRow="0" w:firstColumn="0" w:lastColumn="0" w:oddVBand="0" w:evenVBand="0" w:oddHBand="0" w:evenHBand="0" w:firstRowFirstColumn="0" w:firstRowLastColumn="0" w:lastRowFirstColumn="0" w:lastRowLastColumn="0"/>
            </w:pPr>
            <w:r>
              <w:t>Legislated timeframe: 20 working days for notification of whether the application has passed preliminary assessment and 175 working days to notify the applicant of the decision.</w:t>
            </w:r>
          </w:p>
        </w:tc>
      </w:tr>
      <w:tr w:rsidR="00865E4F" w:rsidTr="00774C19">
        <w:tc>
          <w:tcPr>
            <w:cnfStyle w:val="001000000000" w:firstRow="0" w:lastRow="0" w:firstColumn="1" w:lastColumn="0" w:oddVBand="0" w:evenVBand="0" w:oddHBand="0" w:evenHBand="0" w:firstRowFirstColumn="0" w:firstRowLastColumn="0" w:lastRowFirstColumn="0" w:lastRowLastColumn="0"/>
            <w:tcW w:w="2400" w:type="dxa"/>
            <w:tcBorders>
              <w:bottom w:val="single" w:sz="8" w:space="0" w:color="002C47"/>
            </w:tcBorders>
          </w:tcPr>
          <w:p w:rsidR="00865E4F" w:rsidRDefault="00865E4F" w:rsidP="003B3EC1">
            <w:r>
              <w:t>Comparable Overseas Regulator (COR) report-based process</w:t>
            </w:r>
          </w:p>
        </w:tc>
        <w:tc>
          <w:tcPr>
            <w:tcW w:w="3633" w:type="dxa"/>
            <w:tcBorders>
              <w:bottom w:val="single" w:sz="8" w:space="0" w:color="002C47"/>
            </w:tcBorders>
          </w:tcPr>
          <w:p w:rsidR="00865E4F" w:rsidRDefault="00865E4F" w:rsidP="003B3EC1">
            <w:pPr>
              <w:cnfStyle w:val="000000000000" w:firstRow="0" w:lastRow="0" w:firstColumn="0" w:lastColumn="0" w:oddVBand="0" w:evenVBand="0" w:oddHBand="0" w:evenHBand="0" w:firstRowFirstColumn="0" w:firstRowLastColumn="0" w:lastRowFirstColumn="0" w:lastRowLastColumn="0"/>
            </w:pPr>
            <w:r>
              <w:t>An application accompanied by an un-redacted assessment report package from a comparable overseas regulator.</w:t>
            </w:r>
          </w:p>
        </w:tc>
        <w:tc>
          <w:tcPr>
            <w:tcW w:w="3017" w:type="dxa"/>
            <w:tcBorders>
              <w:bottom w:val="single" w:sz="8" w:space="0" w:color="002C47"/>
            </w:tcBorders>
          </w:tcPr>
          <w:p w:rsidR="00865E4F" w:rsidRDefault="00865E4F" w:rsidP="00865E4F">
            <w:pPr>
              <w:cnfStyle w:val="000000000000" w:firstRow="0" w:lastRow="0" w:firstColumn="0" w:lastColumn="0" w:oddVBand="0" w:evenVBand="0" w:oddHBand="0" w:evenHBand="0" w:firstRowFirstColumn="0" w:firstRowLastColumn="0" w:lastRowFirstColumn="0" w:lastRowLastColumn="0"/>
            </w:pPr>
            <w:r>
              <w:t>Legislated timeframe:</w:t>
            </w:r>
          </w:p>
          <w:p w:rsidR="00865E4F" w:rsidRDefault="00865E4F" w:rsidP="00865E4F">
            <w:pPr>
              <w:cnfStyle w:val="000000000000" w:firstRow="0" w:lastRow="0" w:firstColumn="0" w:lastColumn="0" w:oddVBand="0" w:evenVBand="0" w:oddHBand="0" w:evenHBand="0" w:firstRowFirstColumn="0" w:firstRowLastColumn="0" w:lastRowFirstColumn="0" w:lastRowLastColumn="0"/>
            </w:pPr>
            <w:r>
              <w:t>40 working days for notification of whether the application has passed preliminary assessment. The timeframe to notify the applicant of the decision depends on the COR pathway:</w:t>
            </w:r>
          </w:p>
          <w:p w:rsidR="00865E4F" w:rsidRDefault="00865E4F" w:rsidP="00865E4F">
            <w:pPr>
              <w:cnfStyle w:val="000000000000" w:firstRow="0" w:lastRow="0" w:firstColumn="0" w:lastColumn="0" w:oddVBand="0" w:evenVBand="0" w:oddHBand="0" w:evenHBand="0" w:firstRowFirstColumn="0" w:firstRowLastColumn="0" w:lastRowFirstColumn="0" w:lastRowLastColumn="0"/>
            </w:pPr>
            <w:r>
              <w:t>COR-A</w:t>
            </w:r>
            <w:r w:rsidRPr="00865E4F">
              <w:rPr>
                <w:vertAlign w:val="superscript"/>
              </w:rPr>
              <w:t>a</w:t>
            </w:r>
            <w:r>
              <w:t>: 120 working days</w:t>
            </w:r>
          </w:p>
          <w:p w:rsidR="00865E4F" w:rsidRDefault="00865E4F" w:rsidP="00865E4F">
            <w:pPr>
              <w:cnfStyle w:val="000000000000" w:firstRow="0" w:lastRow="0" w:firstColumn="0" w:lastColumn="0" w:oddVBand="0" w:evenVBand="0" w:oddHBand="0" w:evenHBand="0" w:firstRowFirstColumn="0" w:firstRowLastColumn="0" w:lastRowFirstColumn="0" w:lastRowLastColumn="0"/>
            </w:pPr>
            <w:r>
              <w:t>COR-B</w:t>
            </w:r>
            <w:r w:rsidRPr="00865E4F">
              <w:rPr>
                <w:vertAlign w:val="superscript"/>
              </w:rPr>
              <w:t>a</w:t>
            </w:r>
            <w:r>
              <w:t>: 175 working days</w:t>
            </w:r>
          </w:p>
        </w:tc>
      </w:tr>
      <w:tr w:rsidR="00865E4F" w:rsidTr="00774C19">
        <w:tc>
          <w:tcPr>
            <w:cnfStyle w:val="001000000000" w:firstRow="0" w:lastRow="0" w:firstColumn="1" w:lastColumn="0" w:oddVBand="0" w:evenVBand="0" w:oddHBand="0" w:evenHBand="0" w:firstRowFirstColumn="0" w:firstRowLastColumn="0" w:lastRowFirstColumn="0" w:lastRowLastColumn="0"/>
            <w:tcW w:w="9050" w:type="dxa"/>
            <w:gridSpan w:val="3"/>
            <w:tcBorders>
              <w:left w:val="nil"/>
              <w:bottom w:val="nil"/>
              <w:right w:val="nil"/>
            </w:tcBorders>
          </w:tcPr>
          <w:p w:rsidR="00865E4F" w:rsidRDefault="00865E4F" w:rsidP="00865E4F">
            <w:pPr>
              <w:pStyle w:val="FootnoteText"/>
              <w:spacing w:before="120"/>
            </w:pPr>
            <w:proofErr w:type="spellStart"/>
            <w:proofErr w:type="gramStart"/>
            <w:r w:rsidRPr="00865E4F">
              <w:rPr>
                <w:sz w:val="18"/>
                <w:vertAlign w:val="superscript"/>
              </w:rPr>
              <w:t>a</w:t>
            </w:r>
            <w:proofErr w:type="spellEnd"/>
            <w:proofErr w:type="gramEnd"/>
            <w:r w:rsidRPr="00865E4F">
              <w:rPr>
                <w:sz w:val="18"/>
              </w:rPr>
              <w:t xml:space="preserve"> Under COR-A, the TGA regulatory decision will be based on a critical review of the COR assessment reports and an evaluation of the Australian label, Product Information (PI) and where required, the Risk Management Plan (RMP). Under the COR-B approach, the TGA regulatory decision will still be mostly based on a critical review of the COR assessment reports. The amount and type of additional data requiring evaluation will determine whether the application </w:t>
            </w:r>
            <w:proofErr w:type="gramStart"/>
            <w:r w:rsidRPr="00865E4F">
              <w:rPr>
                <w:sz w:val="18"/>
              </w:rPr>
              <w:t>is best processed</w:t>
            </w:r>
            <w:proofErr w:type="gramEnd"/>
            <w:r w:rsidRPr="00865E4F">
              <w:rPr>
                <w:sz w:val="18"/>
              </w:rPr>
              <w:t xml:space="preserve"> under the COR-B approach or as a Category 1 application.</w:t>
            </w:r>
          </w:p>
        </w:tc>
      </w:tr>
      <w:tr w:rsidR="00865E4F" w:rsidTr="00774C19">
        <w:tc>
          <w:tcPr>
            <w:cnfStyle w:val="001000000000" w:firstRow="0" w:lastRow="0" w:firstColumn="1" w:lastColumn="0" w:oddVBand="0" w:evenVBand="0" w:oddHBand="0" w:evenHBand="0" w:firstRowFirstColumn="0" w:firstRowLastColumn="0" w:lastRowFirstColumn="0" w:lastRowLastColumn="0"/>
            <w:tcW w:w="2400" w:type="dxa"/>
            <w:tcBorders>
              <w:top w:val="nil"/>
            </w:tcBorders>
          </w:tcPr>
          <w:p w:rsidR="00865E4F" w:rsidRDefault="00865E4F" w:rsidP="00E33BAA">
            <w:pPr>
              <w:spacing w:after="120"/>
            </w:pPr>
            <w:r>
              <w:lastRenderedPageBreak/>
              <w:t>Category 3</w:t>
            </w:r>
          </w:p>
        </w:tc>
        <w:tc>
          <w:tcPr>
            <w:tcW w:w="3633" w:type="dxa"/>
            <w:tcBorders>
              <w:top w:val="nil"/>
            </w:tcBorders>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An application to register or to vary the registration of a prescription medicine where the application does not require the support of clinical, pre-clinical or bio-equivalence data.</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For example, broader changes to the product specifications, manufacturing and labelling or a change in trade name.</w:t>
            </w:r>
          </w:p>
        </w:tc>
        <w:tc>
          <w:tcPr>
            <w:tcW w:w="3017" w:type="dxa"/>
            <w:tcBorders>
              <w:top w:val="nil"/>
            </w:tcBorders>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Legislated timeframe:</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45 working days to notify the applicant of the decision.</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865E4F" w:rsidP="00E33BAA">
            <w:pPr>
              <w:spacing w:after="120"/>
            </w:pPr>
            <w:r>
              <w:t>Correction to, or completion of, a Register entry</w:t>
            </w:r>
          </w:p>
        </w:tc>
        <w:tc>
          <w:tcPr>
            <w:tcW w:w="3633"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 xml:space="preserve">An application to vary the registration of a prescription medicine to correct or complete information that </w:t>
            </w:r>
            <w:proofErr w:type="gramStart"/>
            <w:r>
              <w:t>was inadvertently recorded incorrectly or omitted from the Register entry</w:t>
            </w:r>
            <w:proofErr w:type="gramEnd"/>
            <w:r>
              <w:t>.</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For example, errors to product information, or quality-related documentation.</w:t>
            </w:r>
          </w:p>
        </w:tc>
        <w:tc>
          <w:tcPr>
            <w:tcW w:w="3017"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No legislated timeframe:</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TGA processes as soon as possible.</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865E4F" w:rsidP="00E33BAA">
            <w:pPr>
              <w:spacing w:after="120"/>
            </w:pPr>
            <w:r>
              <w:t>Safety-related request</w:t>
            </w:r>
          </w:p>
        </w:tc>
        <w:tc>
          <w:tcPr>
            <w:tcW w:w="3633"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An application to vary the registration of a prescription medicine to either: reduce the patient population that can receive the medicine, or add a warning or precaution.</w:t>
            </w:r>
          </w:p>
        </w:tc>
        <w:tc>
          <w:tcPr>
            <w:tcW w:w="3017"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No legislated timeframe:</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TGA processes as soon as possible.</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865E4F" w:rsidP="00E33BAA">
            <w:pPr>
              <w:spacing w:after="120"/>
            </w:pPr>
            <w:r>
              <w:t>Notification request to vary an ARTG entry</w:t>
            </w:r>
          </w:p>
        </w:tc>
        <w:tc>
          <w:tcPr>
            <w:tcW w:w="3633"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An application to vary the registration of a prescription medicine, where the application has been determined to pose a very low risk under certain conditions.</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For example, the removal of a redundant manufacture site.</w:t>
            </w:r>
          </w:p>
        </w:tc>
        <w:tc>
          <w:tcPr>
            <w:tcW w:w="3017"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No legislated timeframe: automatic approval on submission of e-form and full payment of fee.</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865E4F" w:rsidP="00E33BAA">
            <w:pPr>
              <w:spacing w:after="120"/>
            </w:pPr>
            <w:r>
              <w:t>Self-assessable request</w:t>
            </w:r>
          </w:p>
        </w:tc>
        <w:tc>
          <w:tcPr>
            <w:tcW w:w="3633"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An application to register or to vary the registration of a prescription medicine where the application does not require the support of clinical, pre-clinical or bio-equivalence data and where no data is necessary or where the data can be self-assessed by the applicant.</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For example, certain changes to the pack size or approved product label.</w:t>
            </w:r>
          </w:p>
        </w:tc>
        <w:tc>
          <w:tcPr>
            <w:tcW w:w="3017" w:type="dxa"/>
          </w:tcPr>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Legislated timeframe:</w:t>
            </w:r>
          </w:p>
          <w:p w:rsidR="00865E4F" w:rsidRDefault="00865E4F" w:rsidP="00E33BAA">
            <w:pPr>
              <w:spacing w:after="120"/>
              <w:cnfStyle w:val="000000000000" w:firstRow="0" w:lastRow="0" w:firstColumn="0" w:lastColumn="0" w:oddVBand="0" w:evenVBand="0" w:oddHBand="0" w:evenHBand="0" w:firstRowFirstColumn="0" w:firstRowLastColumn="0" w:lastRowFirstColumn="0" w:lastRowLastColumn="0"/>
            </w:pPr>
            <w:r>
              <w:t>45 working days for notification of acceptance or rejection of an application, completion of evaluation and notification of the decision.</w:t>
            </w:r>
          </w:p>
        </w:tc>
      </w:tr>
      <w:tr w:rsidR="00865E4F" w:rsidTr="00865E4F">
        <w:tc>
          <w:tcPr>
            <w:cnfStyle w:val="001000000000" w:firstRow="0" w:lastRow="0" w:firstColumn="1" w:lastColumn="0" w:oddVBand="0" w:evenVBand="0" w:oddHBand="0" w:evenHBand="0" w:firstRowFirstColumn="0" w:firstRowLastColumn="0" w:lastRowFirstColumn="0" w:lastRowLastColumn="0"/>
            <w:tcW w:w="2400" w:type="dxa"/>
          </w:tcPr>
          <w:p w:rsidR="00865E4F" w:rsidRDefault="005F1862" w:rsidP="00E33BAA">
            <w:pPr>
              <w:spacing w:after="120"/>
            </w:pPr>
            <w:r>
              <w:t>Additional Trade Name</w:t>
            </w:r>
          </w:p>
        </w:tc>
        <w:tc>
          <w:tcPr>
            <w:tcW w:w="3633" w:type="dxa"/>
          </w:tcPr>
          <w:p w:rsidR="00865E4F" w:rsidRDefault="005F1862" w:rsidP="00E33BAA">
            <w:pPr>
              <w:spacing w:after="120"/>
              <w:cnfStyle w:val="000000000000" w:firstRow="0" w:lastRow="0" w:firstColumn="0" w:lastColumn="0" w:oddVBand="0" w:evenVBand="0" w:oddHBand="0" w:evenHBand="0" w:firstRowFirstColumn="0" w:firstRowLastColumn="0" w:lastRowFirstColumn="0" w:lastRowLastColumn="0"/>
            </w:pPr>
            <w:r>
              <w:t>An application for an additional trade name for a registered prescription medicine.</w:t>
            </w:r>
          </w:p>
        </w:tc>
        <w:tc>
          <w:tcPr>
            <w:tcW w:w="3017" w:type="dxa"/>
          </w:tcPr>
          <w:p w:rsidR="005F1862" w:rsidRDefault="005F1862" w:rsidP="00E33BAA">
            <w:pPr>
              <w:spacing w:after="120"/>
              <w:cnfStyle w:val="000000000000" w:firstRow="0" w:lastRow="0" w:firstColumn="0" w:lastColumn="0" w:oddVBand="0" w:evenVBand="0" w:oddHBand="0" w:evenHBand="0" w:firstRowFirstColumn="0" w:firstRowLastColumn="0" w:lastRowFirstColumn="0" w:lastRowLastColumn="0"/>
            </w:pPr>
            <w:r>
              <w:t>Legislated timeframe:</w:t>
            </w:r>
          </w:p>
          <w:p w:rsidR="00865E4F" w:rsidRDefault="005F1862" w:rsidP="00E33BAA">
            <w:pPr>
              <w:spacing w:after="120"/>
              <w:cnfStyle w:val="000000000000" w:firstRow="0" w:lastRow="0" w:firstColumn="0" w:lastColumn="0" w:oddVBand="0" w:evenVBand="0" w:oddHBand="0" w:evenHBand="0" w:firstRowFirstColumn="0" w:firstRowLastColumn="0" w:lastRowFirstColumn="0" w:lastRowLastColumn="0"/>
            </w:pPr>
            <w:r>
              <w:t>45 working days.</w:t>
            </w:r>
          </w:p>
        </w:tc>
      </w:tr>
    </w:tbl>
    <w:p w:rsidR="003B3EC1" w:rsidRDefault="003B3EC1" w:rsidP="003B3EC1">
      <w:r>
        <w:lastRenderedPageBreak/>
        <w:t>Prescription medicine submissions may include a number of applications submitted at the one time. The data presented below relates to the number of submissions as this best reflects the evaluation and decision-making processes.</w:t>
      </w:r>
    </w:p>
    <w:p w:rsidR="003B3EC1" w:rsidRDefault="003B3EC1" w:rsidP="00426E74">
      <w:pPr>
        <w:pStyle w:val="Heading4"/>
        <w:spacing w:before="240"/>
      </w:pPr>
      <w:bookmarkStart w:id="17" w:name="_Toc69725938"/>
      <w:r>
        <w:t>1.1.</w:t>
      </w:r>
      <w:r>
        <w:tab/>
        <w:t>Submission outcomes</w:t>
      </w:r>
      <w:bookmarkEnd w:id="17"/>
    </w:p>
    <w:p w:rsidR="003B3EC1" w:rsidRDefault="003B3EC1" w:rsidP="00CF6860">
      <w:pPr>
        <w:pStyle w:val="Tabletitle"/>
      </w:pPr>
      <w:r>
        <w:t>Table 1</w:t>
      </w:r>
      <w:r>
        <w:tab/>
        <w:t>Completed prescription medicines submissions by type and outcome for 1 July to 31 December 2020</w:t>
      </w:r>
    </w:p>
    <w:tbl>
      <w:tblPr>
        <w:tblStyle w:val="TableTGAblue"/>
        <w:tblW w:w="0" w:type="auto"/>
        <w:tblLook w:val="04A0" w:firstRow="1" w:lastRow="0" w:firstColumn="1" w:lastColumn="0" w:noHBand="0" w:noVBand="1"/>
      </w:tblPr>
      <w:tblGrid>
        <w:gridCol w:w="3544"/>
        <w:gridCol w:w="1276"/>
        <w:gridCol w:w="1417"/>
        <w:gridCol w:w="1134"/>
        <w:gridCol w:w="1679"/>
      </w:tblGrid>
      <w:tr w:rsidR="009958AC" w:rsidTr="009958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right w:val="single" w:sz="4" w:space="0" w:color="auto"/>
            </w:tcBorders>
            <w:shd w:val="clear" w:color="auto" w:fill="auto"/>
          </w:tcPr>
          <w:p w:rsidR="009958AC" w:rsidRDefault="009958AC" w:rsidP="00426E74">
            <w:pPr>
              <w:spacing w:before="30" w:after="30"/>
            </w:pPr>
          </w:p>
        </w:tc>
        <w:tc>
          <w:tcPr>
            <w:tcW w:w="5506" w:type="dxa"/>
            <w:gridSpan w:val="4"/>
            <w:tcBorders>
              <w:left w:val="single" w:sz="4" w:space="0" w:color="auto"/>
            </w:tcBorders>
            <w:shd w:val="clear" w:color="auto" w:fill="6481A0"/>
          </w:tcPr>
          <w:p w:rsidR="009958AC" w:rsidRPr="009958AC" w:rsidRDefault="009958AC" w:rsidP="00216047">
            <w:pPr>
              <w:spacing w:before="30" w:after="3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t>Number</w:t>
            </w:r>
          </w:p>
        </w:tc>
      </w:tr>
      <w:tr w:rsidR="009958AC" w:rsidTr="009958AC">
        <w:tc>
          <w:tcPr>
            <w:cnfStyle w:val="001000000000" w:firstRow="0" w:lastRow="0" w:firstColumn="1" w:lastColumn="0" w:oddVBand="0" w:evenVBand="0" w:oddHBand="0" w:evenHBand="0" w:firstRowFirstColumn="0" w:firstRowLastColumn="0" w:lastRowFirstColumn="0" w:lastRowLastColumn="0"/>
            <w:tcW w:w="3544" w:type="dxa"/>
            <w:shd w:val="clear" w:color="auto" w:fill="6481A0"/>
          </w:tcPr>
          <w:p w:rsidR="009958AC" w:rsidRPr="00D97863" w:rsidRDefault="009958AC" w:rsidP="00426E74">
            <w:pPr>
              <w:spacing w:before="30" w:after="30"/>
              <w:rPr>
                <w:b/>
              </w:rPr>
            </w:pPr>
            <w:r w:rsidRPr="00D97863">
              <w:rPr>
                <w:b/>
                <w:color w:val="FFFFFF" w:themeColor="background1"/>
              </w:rPr>
              <w:t>Submission Type</w:t>
            </w:r>
          </w:p>
        </w:tc>
        <w:tc>
          <w:tcPr>
            <w:tcW w:w="1276" w:type="dxa"/>
            <w:shd w:val="clear" w:color="auto" w:fill="6481A0"/>
          </w:tcPr>
          <w:p w:rsidR="009958AC" w:rsidRPr="00D97863" w:rsidRDefault="009958AC"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97863">
              <w:rPr>
                <w:b/>
                <w:color w:val="FFFFFF" w:themeColor="background1"/>
              </w:rPr>
              <w:t>Approved</w:t>
            </w:r>
          </w:p>
        </w:tc>
        <w:tc>
          <w:tcPr>
            <w:tcW w:w="1417" w:type="dxa"/>
            <w:shd w:val="clear" w:color="auto" w:fill="6481A0"/>
          </w:tcPr>
          <w:p w:rsidR="009958AC" w:rsidRPr="00D97863" w:rsidRDefault="009958AC"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97863">
              <w:rPr>
                <w:b/>
                <w:color w:val="FFFFFF" w:themeColor="background1"/>
              </w:rPr>
              <w:t>Withdrawn</w:t>
            </w:r>
          </w:p>
        </w:tc>
        <w:tc>
          <w:tcPr>
            <w:tcW w:w="1134" w:type="dxa"/>
            <w:shd w:val="clear" w:color="auto" w:fill="6481A0"/>
          </w:tcPr>
          <w:p w:rsidR="009958AC" w:rsidRPr="00D97863" w:rsidRDefault="009958AC"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97863">
              <w:rPr>
                <w:b/>
                <w:color w:val="FFFFFF" w:themeColor="background1"/>
              </w:rPr>
              <w:t>Rejected</w:t>
            </w:r>
          </w:p>
        </w:tc>
        <w:tc>
          <w:tcPr>
            <w:tcW w:w="1679" w:type="dxa"/>
            <w:shd w:val="clear" w:color="auto" w:fill="6481A0"/>
          </w:tcPr>
          <w:p w:rsidR="009958AC" w:rsidRPr="00D97863" w:rsidRDefault="009958AC"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97863">
              <w:rPr>
                <w:b/>
                <w:color w:val="FFFFFF" w:themeColor="background1"/>
              </w:rPr>
              <w:t>Total</w:t>
            </w:r>
            <w:r w:rsidRPr="00D97863">
              <w:rPr>
                <w:b/>
                <w:color w:val="FFFFFF" w:themeColor="background1"/>
              </w:rPr>
              <w:br/>
              <w:t>(% approved)</w:t>
            </w:r>
          </w:p>
        </w:tc>
      </w:tr>
      <w:tr w:rsidR="00D97863" w:rsidTr="00D97863">
        <w:tc>
          <w:tcPr>
            <w:cnfStyle w:val="001000000000" w:firstRow="0" w:lastRow="0" w:firstColumn="1" w:lastColumn="0" w:oddVBand="0" w:evenVBand="0" w:oddHBand="0" w:evenHBand="0" w:firstRowFirstColumn="0" w:firstRowLastColumn="0" w:lastRowFirstColumn="0" w:lastRowLastColumn="0"/>
            <w:tcW w:w="9050" w:type="dxa"/>
            <w:gridSpan w:val="5"/>
            <w:shd w:val="clear" w:color="auto" w:fill="D1DCEF"/>
          </w:tcPr>
          <w:p w:rsidR="00D97863" w:rsidRPr="00D97863" w:rsidRDefault="00D97863" w:rsidP="00426E74">
            <w:pPr>
              <w:spacing w:before="30" w:after="30"/>
              <w:rPr>
                <w:b/>
              </w:rPr>
            </w:pPr>
            <w:r w:rsidRPr="00D97863">
              <w:rPr>
                <w:b/>
              </w:rPr>
              <w:t>Category 1</w:t>
            </w:r>
          </w:p>
        </w:tc>
      </w:tr>
      <w:tr w:rsidR="009958AC" w:rsidTr="00D97863">
        <w:tc>
          <w:tcPr>
            <w:cnfStyle w:val="001000000000" w:firstRow="0" w:lastRow="0" w:firstColumn="1" w:lastColumn="0" w:oddVBand="0" w:evenVBand="0" w:oddHBand="0" w:evenHBand="0" w:firstRowFirstColumn="0" w:firstRowLastColumn="0" w:lastRowFirstColumn="0" w:lastRowLastColumn="0"/>
            <w:tcW w:w="3544" w:type="dxa"/>
          </w:tcPr>
          <w:p w:rsidR="009958AC" w:rsidRDefault="00D97863" w:rsidP="00426E74">
            <w:pPr>
              <w:spacing w:before="30" w:after="30"/>
            </w:pPr>
            <w:r>
              <w:t xml:space="preserve">A: New chemical entity/New biological entity/ Biosimilar </w:t>
            </w:r>
            <w:r w:rsidRPr="00D97863">
              <w:rPr>
                <w:vertAlign w:val="superscript"/>
              </w:rPr>
              <w:t>a</w:t>
            </w:r>
          </w:p>
        </w:tc>
        <w:tc>
          <w:tcPr>
            <w:tcW w:w="1276"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20</w:t>
            </w:r>
          </w:p>
        </w:tc>
        <w:tc>
          <w:tcPr>
            <w:tcW w:w="1417"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134"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679" w:type="dxa"/>
            <w:shd w:val="clear" w:color="auto" w:fill="ADBBD0"/>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23 (87%)</w:t>
            </w:r>
          </w:p>
        </w:tc>
      </w:tr>
      <w:tr w:rsidR="009958AC" w:rsidTr="00D97863">
        <w:tc>
          <w:tcPr>
            <w:cnfStyle w:val="001000000000" w:firstRow="0" w:lastRow="0" w:firstColumn="1" w:lastColumn="0" w:oddVBand="0" w:evenVBand="0" w:oddHBand="0" w:evenHBand="0" w:firstRowFirstColumn="0" w:firstRowLastColumn="0" w:lastRowFirstColumn="0" w:lastRowLastColumn="0"/>
            <w:tcW w:w="3544" w:type="dxa"/>
          </w:tcPr>
          <w:p w:rsidR="009958AC" w:rsidRDefault="00D97863" w:rsidP="00426E74">
            <w:pPr>
              <w:spacing w:before="30" w:after="30"/>
            </w:pPr>
            <w:r>
              <w:t>B: New fixed-dose combination</w:t>
            </w:r>
          </w:p>
        </w:tc>
        <w:tc>
          <w:tcPr>
            <w:tcW w:w="1276"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3</w:t>
            </w:r>
          </w:p>
        </w:tc>
        <w:tc>
          <w:tcPr>
            <w:tcW w:w="1417"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134"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3 (100%)</w:t>
            </w:r>
          </w:p>
        </w:tc>
      </w:tr>
      <w:tr w:rsidR="009958AC" w:rsidTr="00D97863">
        <w:tc>
          <w:tcPr>
            <w:cnfStyle w:val="001000000000" w:firstRow="0" w:lastRow="0" w:firstColumn="1" w:lastColumn="0" w:oddVBand="0" w:evenVBand="0" w:oddHBand="0" w:evenHBand="0" w:firstRowFirstColumn="0" w:firstRowLastColumn="0" w:lastRowFirstColumn="0" w:lastRowLastColumn="0"/>
            <w:tcW w:w="3544" w:type="dxa"/>
          </w:tcPr>
          <w:p w:rsidR="009958AC" w:rsidRDefault="00D97863" w:rsidP="00426E74">
            <w:pPr>
              <w:spacing w:before="30" w:after="30"/>
            </w:pPr>
            <w:r>
              <w:t xml:space="preserve">C: Extension of </w:t>
            </w:r>
            <w:proofErr w:type="spellStart"/>
            <w:r>
              <w:t>indication</w:t>
            </w:r>
            <w:r w:rsidRPr="00D97863">
              <w:rPr>
                <w:vertAlign w:val="superscript"/>
              </w:rPr>
              <w:t>a</w:t>
            </w:r>
            <w:proofErr w:type="spellEnd"/>
          </w:p>
        </w:tc>
        <w:tc>
          <w:tcPr>
            <w:tcW w:w="1276"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20</w:t>
            </w:r>
          </w:p>
        </w:tc>
        <w:tc>
          <w:tcPr>
            <w:tcW w:w="1417"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3</w:t>
            </w:r>
          </w:p>
        </w:tc>
        <w:tc>
          <w:tcPr>
            <w:tcW w:w="1134"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23 (87%)</w:t>
            </w:r>
          </w:p>
        </w:tc>
      </w:tr>
      <w:tr w:rsidR="009958AC" w:rsidTr="00D97863">
        <w:tc>
          <w:tcPr>
            <w:cnfStyle w:val="001000000000" w:firstRow="0" w:lastRow="0" w:firstColumn="1" w:lastColumn="0" w:oddVBand="0" w:evenVBand="0" w:oddHBand="0" w:evenHBand="0" w:firstRowFirstColumn="0" w:firstRowLastColumn="0" w:lastRowFirstColumn="0" w:lastRowLastColumn="0"/>
            <w:tcW w:w="3544" w:type="dxa"/>
          </w:tcPr>
          <w:p w:rsidR="009958AC" w:rsidRDefault="00D97863" w:rsidP="00426E74">
            <w:pPr>
              <w:spacing w:before="30" w:after="30"/>
            </w:pPr>
            <w:r>
              <w:t>D: New generic medicine</w:t>
            </w:r>
          </w:p>
        </w:tc>
        <w:tc>
          <w:tcPr>
            <w:tcW w:w="1276"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42</w:t>
            </w:r>
          </w:p>
        </w:tc>
        <w:tc>
          <w:tcPr>
            <w:tcW w:w="1417"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134"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44 (96%)</w:t>
            </w:r>
          </w:p>
        </w:tc>
      </w:tr>
      <w:tr w:rsidR="009958AC" w:rsidTr="00D97863">
        <w:tc>
          <w:tcPr>
            <w:cnfStyle w:val="001000000000" w:firstRow="0" w:lastRow="0" w:firstColumn="1" w:lastColumn="0" w:oddVBand="0" w:evenVBand="0" w:oddHBand="0" w:evenHBand="0" w:firstRowFirstColumn="0" w:firstRowLastColumn="0" w:lastRowFirstColumn="0" w:lastRowLastColumn="0"/>
            <w:tcW w:w="3544" w:type="dxa"/>
          </w:tcPr>
          <w:p w:rsidR="009958AC" w:rsidRDefault="00D97863" w:rsidP="00426E74">
            <w:pPr>
              <w:spacing w:before="30" w:after="30"/>
            </w:pPr>
            <w:r>
              <w:t>F: Major variation</w:t>
            </w:r>
          </w:p>
        </w:tc>
        <w:tc>
          <w:tcPr>
            <w:tcW w:w="1276"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27</w:t>
            </w:r>
          </w:p>
        </w:tc>
        <w:tc>
          <w:tcPr>
            <w:tcW w:w="1417"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134" w:type="dxa"/>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9958AC"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28 (96%)</w:t>
            </w:r>
          </w:p>
        </w:tc>
      </w:tr>
      <w:tr w:rsidR="00D97863" w:rsidTr="00D97863">
        <w:tc>
          <w:tcPr>
            <w:cnfStyle w:val="001000000000" w:firstRow="0" w:lastRow="0" w:firstColumn="1" w:lastColumn="0" w:oddVBand="0" w:evenVBand="0" w:oddHBand="0" w:evenHBand="0" w:firstRowFirstColumn="0" w:firstRowLastColumn="0" w:lastRowFirstColumn="0" w:lastRowLastColumn="0"/>
            <w:tcW w:w="3544" w:type="dxa"/>
          </w:tcPr>
          <w:p w:rsidR="00D97863" w:rsidRDefault="00D97863" w:rsidP="00426E74">
            <w:pPr>
              <w:spacing w:before="30" w:after="30"/>
            </w:pPr>
            <w:r>
              <w:t xml:space="preserve">G: Minor </w:t>
            </w:r>
            <w:proofErr w:type="spellStart"/>
            <w:r>
              <w:t>variation</w:t>
            </w:r>
            <w:r w:rsidRPr="00D97863">
              <w:rPr>
                <w:vertAlign w:val="superscript"/>
              </w:rPr>
              <w:t>b</w:t>
            </w:r>
            <w:proofErr w:type="spellEnd"/>
          </w:p>
        </w:tc>
        <w:tc>
          <w:tcPr>
            <w:tcW w:w="1276"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417"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134"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 (100%)</w:t>
            </w:r>
          </w:p>
        </w:tc>
      </w:tr>
      <w:tr w:rsidR="00D97863" w:rsidTr="00D97863">
        <w:tc>
          <w:tcPr>
            <w:cnfStyle w:val="001000000000" w:firstRow="0" w:lastRow="0" w:firstColumn="1" w:lastColumn="0" w:oddVBand="0" w:evenVBand="0" w:oddHBand="0" w:evenHBand="0" w:firstRowFirstColumn="0" w:firstRowLastColumn="0" w:lastRowFirstColumn="0" w:lastRowLastColumn="0"/>
            <w:tcW w:w="3544" w:type="dxa"/>
          </w:tcPr>
          <w:p w:rsidR="00D97863" w:rsidRDefault="00D97863" w:rsidP="00426E74">
            <w:pPr>
              <w:spacing w:before="30" w:after="30"/>
            </w:pPr>
            <w:r>
              <w:t xml:space="preserve">H: Minor </w:t>
            </w:r>
            <w:proofErr w:type="spellStart"/>
            <w:r>
              <w:t>variation</w:t>
            </w:r>
            <w:r w:rsidRPr="00D97863">
              <w:rPr>
                <w:vertAlign w:val="superscript"/>
              </w:rPr>
              <w:t>c</w:t>
            </w:r>
            <w:proofErr w:type="spellEnd"/>
          </w:p>
        </w:tc>
        <w:tc>
          <w:tcPr>
            <w:tcW w:w="1276"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5</w:t>
            </w:r>
          </w:p>
        </w:tc>
        <w:tc>
          <w:tcPr>
            <w:tcW w:w="1417"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134"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7 (71%)</w:t>
            </w:r>
          </w:p>
        </w:tc>
      </w:tr>
      <w:tr w:rsidR="00D97863" w:rsidTr="00D97863">
        <w:tc>
          <w:tcPr>
            <w:cnfStyle w:val="001000000000" w:firstRow="0" w:lastRow="0" w:firstColumn="1" w:lastColumn="0" w:oddVBand="0" w:evenVBand="0" w:oddHBand="0" w:evenHBand="0" w:firstRowFirstColumn="0" w:firstRowLastColumn="0" w:lastRowFirstColumn="0" w:lastRowLastColumn="0"/>
            <w:tcW w:w="3544" w:type="dxa"/>
          </w:tcPr>
          <w:p w:rsidR="00D97863" w:rsidRDefault="00D97863" w:rsidP="00426E74">
            <w:pPr>
              <w:spacing w:before="30" w:after="30"/>
            </w:pPr>
            <w:r>
              <w:t>J: Changes to Product Information</w:t>
            </w:r>
          </w:p>
        </w:tc>
        <w:tc>
          <w:tcPr>
            <w:tcW w:w="1276"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68</w:t>
            </w:r>
          </w:p>
        </w:tc>
        <w:tc>
          <w:tcPr>
            <w:tcW w:w="1417"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134" w:type="dxa"/>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70 (97%)</w:t>
            </w:r>
          </w:p>
        </w:tc>
      </w:tr>
      <w:tr w:rsidR="00D97863" w:rsidTr="002D2AF7">
        <w:tc>
          <w:tcPr>
            <w:cnfStyle w:val="001000000000" w:firstRow="0" w:lastRow="0" w:firstColumn="1" w:lastColumn="0" w:oddVBand="0" w:evenVBand="0" w:oddHBand="0" w:evenHBand="0" w:firstRowFirstColumn="0" w:firstRowLastColumn="0" w:lastRowFirstColumn="0" w:lastRowLastColumn="0"/>
            <w:tcW w:w="3544" w:type="dxa"/>
            <w:tcBorders>
              <w:bottom w:val="single" w:sz="8" w:space="0" w:color="002C47"/>
            </w:tcBorders>
          </w:tcPr>
          <w:p w:rsidR="00D97863" w:rsidRDefault="00D97863" w:rsidP="00426E74">
            <w:pPr>
              <w:spacing w:before="30" w:after="30"/>
            </w:pPr>
            <w:r>
              <w:t>S: Provisional to Full Registration</w:t>
            </w:r>
          </w:p>
        </w:tc>
        <w:tc>
          <w:tcPr>
            <w:tcW w:w="1276" w:type="dxa"/>
            <w:tcBorders>
              <w:bottom w:val="single" w:sz="8" w:space="0" w:color="002C47"/>
            </w:tcBorders>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417" w:type="dxa"/>
            <w:tcBorders>
              <w:bottom w:val="single" w:sz="8" w:space="0" w:color="002C47"/>
            </w:tcBorders>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134" w:type="dxa"/>
            <w:tcBorders>
              <w:bottom w:val="single" w:sz="8" w:space="0" w:color="002C47"/>
            </w:tcBorders>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tcBorders>
              <w:bottom w:val="single" w:sz="8" w:space="0" w:color="002C47"/>
            </w:tcBorders>
            <w:shd w:val="clear" w:color="auto" w:fill="ADBBD0"/>
          </w:tcPr>
          <w:p w:rsidR="00D97863" w:rsidRDefault="00D97863" w:rsidP="00216047">
            <w:pPr>
              <w:spacing w:before="30" w:after="30"/>
              <w:jc w:val="right"/>
              <w:cnfStyle w:val="000000000000" w:firstRow="0" w:lastRow="0" w:firstColumn="0" w:lastColumn="0" w:oddVBand="0" w:evenVBand="0" w:oddHBand="0" w:evenHBand="0" w:firstRowFirstColumn="0" w:firstRowLastColumn="0" w:lastRowFirstColumn="0" w:lastRowLastColumn="0"/>
            </w:pPr>
            <w:r>
              <w:t>1 (100%)</w:t>
            </w:r>
          </w:p>
        </w:tc>
      </w:tr>
      <w:tr w:rsidR="002D2AF7" w:rsidTr="002D2AF7">
        <w:tc>
          <w:tcPr>
            <w:cnfStyle w:val="001000000000" w:firstRow="0" w:lastRow="0" w:firstColumn="1" w:lastColumn="0" w:oddVBand="0" w:evenVBand="0" w:oddHBand="0" w:evenHBand="0" w:firstRowFirstColumn="0" w:firstRowLastColumn="0" w:lastRowFirstColumn="0" w:lastRowLastColumn="0"/>
            <w:tcW w:w="9050" w:type="dxa"/>
            <w:gridSpan w:val="5"/>
            <w:tcBorders>
              <w:left w:val="single" w:sz="4" w:space="0" w:color="auto"/>
            </w:tcBorders>
            <w:shd w:val="clear" w:color="auto" w:fill="D1DCEF"/>
          </w:tcPr>
          <w:p w:rsidR="002D2AF7" w:rsidRPr="002D2AF7" w:rsidRDefault="002D2AF7" w:rsidP="00426E74">
            <w:pPr>
              <w:spacing w:before="30" w:after="30"/>
              <w:rPr>
                <w:b/>
              </w:rPr>
            </w:pPr>
            <w:r w:rsidRPr="002D2AF7">
              <w:rPr>
                <w:b/>
              </w:rPr>
              <w:t>Comparable Overseas Regulator (COR) – A</w:t>
            </w:r>
          </w:p>
        </w:tc>
      </w:tr>
      <w:tr w:rsidR="002D2AF7" w:rsidTr="00D97863">
        <w:tc>
          <w:tcPr>
            <w:cnfStyle w:val="001000000000" w:firstRow="0" w:lastRow="0" w:firstColumn="1" w:lastColumn="0" w:oddVBand="0" w:evenVBand="0" w:oddHBand="0" w:evenHBand="0" w:firstRowFirstColumn="0" w:firstRowLastColumn="0" w:lastRowFirstColumn="0" w:lastRowLastColumn="0"/>
            <w:tcW w:w="3544" w:type="dxa"/>
          </w:tcPr>
          <w:p w:rsidR="002D2AF7" w:rsidRDefault="002D2AF7" w:rsidP="00426E74">
            <w:pPr>
              <w:spacing w:before="30" w:after="30"/>
            </w:pPr>
            <w:r>
              <w:t>A: New chemical entity/New biological entity/ Biosimilar</w:t>
            </w:r>
          </w:p>
        </w:tc>
        <w:tc>
          <w:tcPr>
            <w:tcW w:w="1276"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417"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134"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1 (0%)</w:t>
            </w:r>
          </w:p>
        </w:tc>
      </w:tr>
      <w:tr w:rsidR="002D2AF7" w:rsidTr="002D2AF7">
        <w:tc>
          <w:tcPr>
            <w:cnfStyle w:val="001000000000" w:firstRow="0" w:lastRow="0" w:firstColumn="1" w:lastColumn="0" w:oddVBand="0" w:evenVBand="0" w:oddHBand="0" w:evenHBand="0" w:firstRowFirstColumn="0" w:firstRowLastColumn="0" w:lastRowFirstColumn="0" w:lastRowLastColumn="0"/>
            <w:tcW w:w="9050" w:type="dxa"/>
            <w:gridSpan w:val="5"/>
            <w:shd w:val="clear" w:color="auto" w:fill="D1DCEF"/>
          </w:tcPr>
          <w:p w:rsidR="002D2AF7" w:rsidRPr="002D2AF7" w:rsidRDefault="002D2AF7" w:rsidP="00426E74">
            <w:pPr>
              <w:spacing w:before="30" w:after="30"/>
              <w:rPr>
                <w:b/>
              </w:rPr>
            </w:pPr>
            <w:r w:rsidRPr="002D2AF7">
              <w:rPr>
                <w:b/>
              </w:rPr>
              <w:t>Comparable Overseas Regulator (COR) – B</w:t>
            </w:r>
          </w:p>
        </w:tc>
      </w:tr>
      <w:tr w:rsidR="002D2AF7" w:rsidTr="00D97863">
        <w:tc>
          <w:tcPr>
            <w:cnfStyle w:val="001000000000" w:firstRow="0" w:lastRow="0" w:firstColumn="1" w:lastColumn="0" w:oddVBand="0" w:evenVBand="0" w:oddHBand="0" w:evenHBand="0" w:firstRowFirstColumn="0" w:firstRowLastColumn="0" w:lastRowFirstColumn="0" w:lastRowLastColumn="0"/>
            <w:tcW w:w="3544" w:type="dxa"/>
          </w:tcPr>
          <w:p w:rsidR="002D2AF7" w:rsidRDefault="002D2AF7" w:rsidP="00426E74">
            <w:pPr>
              <w:spacing w:before="30" w:after="30"/>
            </w:pPr>
            <w:r>
              <w:t>D: New generic medicine</w:t>
            </w:r>
          </w:p>
        </w:tc>
        <w:tc>
          <w:tcPr>
            <w:tcW w:w="1276"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417"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134"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1 (100%)</w:t>
            </w:r>
          </w:p>
        </w:tc>
      </w:tr>
      <w:tr w:rsidR="002D2AF7" w:rsidTr="002D2AF7">
        <w:tc>
          <w:tcPr>
            <w:cnfStyle w:val="001000000000" w:firstRow="0" w:lastRow="0" w:firstColumn="1" w:lastColumn="0" w:oddVBand="0" w:evenVBand="0" w:oddHBand="0" w:evenHBand="0" w:firstRowFirstColumn="0" w:firstRowLastColumn="0" w:lastRowFirstColumn="0" w:lastRowLastColumn="0"/>
            <w:tcW w:w="9050" w:type="dxa"/>
            <w:gridSpan w:val="5"/>
            <w:shd w:val="clear" w:color="auto" w:fill="D1DCEF"/>
          </w:tcPr>
          <w:p w:rsidR="002D2AF7" w:rsidRPr="002D2AF7" w:rsidRDefault="002D2AF7" w:rsidP="00426E74">
            <w:pPr>
              <w:spacing w:before="30" w:after="30"/>
              <w:rPr>
                <w:b/>
              </w:rPr>
            </w:pPr>
            <w:r w:rsidRPr="002D2AF7">
              <w:rPr>
                <w:b/>
              </w:rPr>
              <w:t>Minor Variations</w:t>
            </w:r>
          </w:p>
        </w:tc>
      </w:tr>
      <w:tr w:rsidR="002D2AF7" w:rsidTr="00CB0F08">
        <w:tc>
          <w:tcPr>
            <w:cnfStyle w:val="001000000000" w:firstRow="0" w:lastRow="0" w:firstColumn="1" w:lastColumn="0" w:oddVBand="0" w:evenVBand="0" w:oddHBand="0" w:evenHBand="0" w:firstRowFirstColumn="0" w:firstRowLastColumn="0" w:lastRowFirstColumn="0" w:lastRowLastColumn="0"/>
            <w:tcW w:w="9050" w:type="dxa"/>
            <w:gridSpan w:val="5"/>
          </w:tcPr>
          <w:p w:rsidR="002D2AF7" w:rsidRDefault="002D2AF7" w:rsidP="00426E74">
            <w:pPr>
              <w:spacing w:before="30" w:after="30"/>
            </w:pPr>
            <w:r>
              <w:t>Category 3</w:t>
            </w:r>
          </w:p>
        </w:tc>
      </w:tr>
      <w:tr w:rsidR="002D2AF7" w:rsidTr="00D97863">
        <w:tc>
          <w:tcPr>
            <w:cnfStyle w:val="001000000000" w:firstRow="0" w:lastRow="0" w:firstColumn="1" w:lastColumn="0" w:oddVBand="0" w:evenVBand="0" w:oddHBand="0" w:evenHBand="0" w:firstRowFirstColumn="0" w:firstRowLastColumn="0" w:lastRowFirstColumn="0" w:lastRowLastColumn="0"/>
            <w:tcW w:w="3544" w:type="dxa"/>
          </w:tcPr>
          <w:p w:rsidR="002D2AF7" w:rsidRDefault="002D2AF7" w:rsidP="00426E74">
            <w:pPr>
              <w:spacing w:before="30" w:after="30"/>
              <w:ind w:left="315"/>
            </w:pPr>
            <w:r>
              <w:t xml:space="preserve">G: Minor </w:t>
            </w:r>
            <w:proofErr w:type="spellStart"/>
            <w:r>
              <w:t>variation</w:t>
            </w:r>
            <w:r w:rsidRPr="002D2AF7">
              <w:rPr>
                <w:vertAlign w:val="superscript"/>
              </w:rPr>
              <w:t>b</w:t>
            </w:r>
            <w:proofErr w:type="spellEnd"/>
          </w:p>
        </w:tc>
        <w:tc>
          <w:tcPr>
            <w:tcW w:w="1276"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49</w:t>
            </w:r>
          </w:p>
        </w:tc>
        <w:tc>
          <w:tcPr>
            <w:tcW w:w="1417"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3</w:t>
            </w:r>
          </w:p>
        </w:tc>
        <w:tc>
          <w:tcPr>
            <w:tcW w:w="1134"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52 (94%)</w:t>
            </w:r>
          </w:p>
        </w:tc>
      </w:tr>
      <w:tr w:rsidR="002D2AF7" w:rsidTr="00D97863">
        <w:tc>
          <w:tcPr>
            <w:cnfStyle w:val="001000000000" w:firstRow="0" w:lastRow="0" w:firstColumn="1" w:lastColumn="0" w:oddVBand="0" w:evenVBand="0" w:oddHBand="0" w:evenHBand="0" w:firstRowFirstColumn="0" w:firstRowLastColumn="0" w:lastRowFirstColumn="0" w:lastRowLastColumn="0"/>
            <w:tcW w:w="3544" w:type="dxa"/>
          </w:tcPr>
          <w:p w:rsidR="002D2AF7" w:rsidRDefault="002D2AF7" w:rsidP="00426E74">
            <w:pPr>
              <w:spacing w:before="30" w:after="30"/>
              <w:ind w:left="315"/>
            </w:pPr>
            <w:r>
              <w:t xml:space="preserve">H: Minor </w:t>
            </w:r>
            <w:proofErr w:type="spellStart"/>
            <w:r>
              <w:t>variation</w:t>
            </w:r>
            <w:r w:rsidRPr="002D2AF7">
              <w:rPr>
                <w:vertAlign w:val="superscript"/>
              </w:rPr>
              <w:t>c</w:t>
            </w:r>
            <w:proofErr w:type="spellEnd"/>
          </w:p>
        </w:tc>
        <w:tc>
          <w:tcPr>
            <w:tcW w:w="1276"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730</w:t>
            </w:r>
          </w:p>
        </w:tc>
        <w:tc>
          <w:tcPr>
            <w:tcW w:w="1417"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7</w:t>
            </w:r>
          </w:p>
        </w:tc>
        <w:tc>
          <w:tcPr>
            <w:tcW w:w="1134"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737 (99%)</w:t>
            </w:r>
          </w:p>
        </w:tc>
      </w:tr>
      <w:tr w:rsidR="002D2AF7" w:rsidTr="00D97863">
        <w:tc>
          <w:tcPr>
            <w:cnfStyle w:val="001000000000" w:firstRow="0" w:lastRow="0" w:firstColumn="1" w:lastColumn="0" w:oddVBand="0" w:evenVBand="0" w:oddHBand="0" w:evenHBand="0" w:firstRowFirstColumn="0" w:firstRowLastColumn="0" w:lastRowFirstColumn="0" w:lastRowLastColumn="0"/>
            <w:tcW w:w="3544" w:type="dxa"/>
          </w:tcPr>
          <w:p w:rsidR="002D2AF7" w:rsidRDefault="002D2AF7" w:rsidP="00426E74">
            <w:pPr>
              <w:spacing w:before="30" w:after="30"/>
            </w:pPr>
            <w:r>
              <w:t>Additional Trade Name [ATN]</w:t>
            </w:r>
          </w:p>
        </w:tc>
        <w:tc>
          <w:tcPr>
            <w:tcW w:w="1276"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16</w:t>
            </w:r>
          </w:p>
        </w:tc>
        <w:tc>
          <w:tcPr>
            <w:tcW w:w="1417"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134" w:type="dxa"/>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2D2AF7" w:rsidRDefault="002D2AF7" w:rsidP="00216047">
            <w:pPr>
              <w:spacing w:before="30" w:after="30"/>
              <w:jc w:val="right"/>
              <w:cnfStyle w:val="000000000000" w:firstRow="0" w:lastRow="0" w:firstColumn="0" w:lastColumn="0" w:oddVBand="0" w:evenVBand="0" w:oddHBand="0" w:evenHBand="0" w:firstRowFirstColumn="0" w:firstRowLastColumn="0" w:lastRowFirstColumn="0" w:lastRowLastColumn="0"/>
            </w:pPr>
            <w:r>
              <w:t>16 (100%)</w:t>
            </w:r>
          </w:p>
        </w:tc>
      </w:tr>
      <w:tr w:rsidR="00DB5DA5" w:rsidTr="00D97863">
        <w:tc>
          <w:tcPr>
            <w:cnfStyle w:val="001000000000" w:firstRow="0" w:lastRow="0" w:firstColumn="1" w:lastColumn="0" w:oddVBand="0" w:evenVBand="0" w:oddHBand="0" w:evenHBand="0" w:firstRowFirstColumn="0" w:firstRowLastColumn="0" w:lastRowFirstColumn="0" w:lastRowLastColumn="0"/>
            <w:tcW w:w="3544" w:type="dxa"/>
          </w:tcPr>
          <w:p w:rsidR="00DB5DA5" w:rsidRDefault="00DB5DA5" w:rsidP="00426E74">
            <w:pPr>
              <w:spacing w:before="30" w:after="30"/>
            </w:pPr>
            <w:r>
              <w:t>Extension of Indication - Generic</w:t>
            </w:r>
          </w:p>
        </w:tc>
        <w:tc>
          <w:tcPr>
            <w:tcW w:w="1276"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5</w:t>
            </w:r>
          </w:p>
        </w:tc>
        <w:tc>
          <w:tcPr>
            <w:tcW w:w="1417"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134"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5 (100%)</w:t>
            </w:r>
          </w:p>
        </w:tc>
      </w:tr>
      <w:tr w:rsidR="00DB5DA5" w:rsidTr="00D97863">
        <w:tc>
          <w:tcPr>
            <w:cnfStyle w:val="001000000000" w:firstRow="0" w:lastRow="0" w:firstColumn="1" w:lastColumn="0" w:oddVBand="0" w:evenVBand="0" w:oddHBand="0" w:evenHBand="0" w:firstRowFirstColumn="0" w:firstRowLastColumn="0" w:lastRowFirstColumn="0" w:lastRowLastColumn="0"/>
            <w:tcW w:w="3544" w:type="dxa"/>
          </w:tcPr>
          <w:p w:rsidR="00DB5DA5" w:rsidRDefault="00DB5DA5" w:rsidP="00426E74">
            <w:pPr>
              <w:spacing w:before="30" w:after="30"/>
            </w:pPr>
            <w:r>
              <w:t>Safety-related request [SRR]</w:t>
            </w:r>
          </w:p>
        </w:tc>
        <w:tc>
          <w:tcPr>
            <w:tcW w:w="1276"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569</w:t>
            </w:r>
          </w:p>
        </w:tc>
        <w:tc>
          <w:tcPr>
            <w:tcW w:w="1417"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9</w:t>
            </w:r>
          </w:p>
        </w:tc>
        <w:tc>
          <w:tcPr>
            <w:tcW w:w="1134"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578 (98%)</w:t>
            </w:r>
          </w:p>
        </w:tc>
      </w:tr>
      <w:tr w:rsidR="00DB5DA5" w:rsidTr="00D97863">
        <w:tc>
          <w:tcPr>
            <w:cnfStyle w:val="001000000000" w:firstRow="0" w:lastRow="0" w:firstColumn="1" w:lastColumn="0" w:oddVBand="0" w:evenVBand="0" w:oddHBand="0" w:evenHBand="0" w:firstRowFirstColumn="0" w:firstRowLastColumn="0" w:lastRowFirstColumn="0" w:lastRowLastColumn="0"/>
            <w:tcW w:w="3544" w:type="dxa"/>
          </w:tcPr>
          <w:p w:rsidR="00DB5DA5" w:rsidRDefault="00DB5DA5" w:rsidP="00426E74">
            <w:pPr>
              <w:spacing w:before="30" w:after="30"/>
            </w:pPr>
            <w:r>
              <w:t>Self-assessable request [SAR]</w:t>
            </w:r>
          </w:p>
        </w:tc>
        <w:tc>
          <w:tcPr>
            <w:tcW w:w="1276"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524</w:t>
            </w:r>
          </w:p>
        </w:tc>
        <w:tc>
          <w:tcPr>
            <w:tcW w:w="1417"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8</w:t>
            </w:r>
          </w:p>
        </w:tc>
        <w:tc>
          <w:tcPr>
            <w:tcW w:w="1134"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532 (98%)</w:t>
            </w:r>
          </w:p>
        </w:tc>
      </w:tr>
      <w:tr w:rsidR="00DB5DA5" w:rsidTr="00D97863">
        <w:tc>
          <w:tcPr>
            <w:cnfStyle w:val="001000000000" w:firstRow="0" w:lastRow="0" w:firstColumn="1" w:lastColumn="0" w:oddVBand="0" w:evenVBand="0" w:oddHBand="0" w:evenHBand="0" w:firstRowFirstColumn="0" w:firstRowLastColumn="0" w:lastRowFirstColumn="0" w:lastRowLastColumn="0"/>
            <w:tcW w:w="3544" w:type="dxa"/>
          </w:tcPr>
          <w:p w:rsidR="00DB5DA5" w:rsidRDefault="00DB5DA5" w:rsidP="00426E74">
            <w:pPr>
              <w:spacing w:before="30" w:after="30"/>
            </w:pPr>
            <w:r>
              <w:t>Minor editorial change [MEC]</w:t>
            </w:r>
          </w:p>
        </w:tc>
        <w:tc>
          <w:tcPr>
            <w:tcW w:w="1276"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176</w:t>
            </w:r>
          </w:p>
        </w:tc>
        <w:tc>
          <w:tcPr>
            <w:tcW w:w="1417"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134"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178 (99%)</w:t>
            </w:r>
          </w:p>
        </w:tc>
      </w:tr>
      <w:tr w:rsidR="00DB5DA5" w:rsidTr="00D97863">
        <w:tc>
          <w:tcPr>
            <w:cnfStyle w:val="001000000000" w:firstRow="0" w:lastRow="0" w:firstColumn="1" w:lastColumn="0" w:oddVBand="0" w:evenVBand="0" w:oddHBand="0" w:evenHBand="0" w:firstRowFirstColumn="0" w:firstRowLastColumn="0" w:lastRowFirstColumn="0" w:lastRowLastColumn="0"/>
            <w:tcW w:w="3544" w:type="dxa"/>
          </w:tcPr>
          <w:p w:rsidR="00DB5DA5" w:rsidRDefault="00DB5DA5" w:rsidP="00426E74">
            <w:pPr>
              <w:spacing w:before="30" w:after="30"/>
            </w:pPr>
            <w:r>
              <w:t>Correction [9D(1)]</w:t>
            </w:r>
          </w:p>
        </w:tc>
        <w:tc>
          <w:tcPr>
            <w:tcW w:w="1276"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188</w:t>
            </w:r>
          </w:p>
        </w:tc>
        <w:tc>
          <w:tcPr>
            <w:tcW w:w="1417"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13</w:t>
            </w:r>
          </w:p>
        </w:tc>
        <w:tc>
          <w:tcPr>
            <w:tcW w:w="1134"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201 (94%)</w:t>
            </w:r>
          </w:p>
        </w:tc>
      </w:tr>
      <w:tr w:rsidR="00DB5DA5" w:rsidTr="00D97863">
        <w:tc>
          <w:tcPr>
            <w:cnfStyle w:val="001000000000" w:firstRow="0" w:lastRow="0" w:firstColumn="1" w:lastColumn="0" w:oddVBand="0" w:evenVBand="0" w:oddHBand="0" w:evenHBand="0" w:firstRowFirstColumn="0" w:firstRowLastColumn="0" w:lastRowFirstColumn="0" w:lastRowLastColumn="0"/>
            <w:tcW w:w="3544" w:type="dxa"/>
          </w:tcPr>
          <w:p w:rsidR="00DB5DA5" w:rsidRDefault="00DB5DA5" w:rsidP="00426E74">
            <w:pPr>
              <w:spacing w:before="30" w:after="30"/>
            </w:pPr>
            <w:r>
              <w:t>Notification</w:t>
            </w:r>
          </w:p>
        </w:tc>
        <w:tc>
          <w:tcPr>
            <w:tcW w:w="1276"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871</w:t>
            </w:r>
          </w:p>
        </w:tc>
        <w:tc>
          <w:tcPr>
            <w:tcW w:w="1417"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8</w:t>
            </w:r>
          </w:p>
        </w:tc>
        <w:tc>
          <w:tcPr>
            <w:tcW w:w="1134" w:type="dxa"/>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679" w:type="dxa"/>
            <w:shd w:val="clear" w:color="auto" w:fill="ADBBD0"/>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879 (100%)</w:t>
            </w:r>
          </w:p>
        </w:tc>
      </w:tr>
      <w:tr w:rsidR="00DB5DA5" w:rsidTr="00DB5DA5">
        <w:tc>
          <w:tcPr>
            <w:cnfStyle w:val="001000000000" w:firstRow="0" w:lastRow="0" w:firstColumn="1" w:lastColumn="0" w:oddVBand="0" w:evenVBand="0" w:oddHBand="0" w:evenHBand="0" w:firstRowFirstColumn="0" w:firstRowLastColumn="0" w:lastRowFirstColumn="0" w:lastRowLastColumn="0"/>
            <w:tcW w:w="3544" w:type="dxa"/>
            <w:shd w:val="clear" w:color="auto" w:fill="D1DCEF"/>
          </w:tcPr>
          <w:p w:rsidR="00DB5DA5" w:rsidRPr="00DB5DA5" w:rsidRDefault="00DB5DA5" w:rsidP="00426E74">
            <w:pPr>
              <w:spacing w:before="30" w:after="30"/>
              <w:rPr>
                <w:b/>
              </w:rPr>
            </w:pPr>
            <w:r w:rsidRPr="00DB5DA5">
              <w:rPr>
                <w:b/>
              </w:rPr>
              <w:t>Total</w:t>
            </w:r>
          </w:p>
        </w:tc>
        <w:tc>
          <w:tcPr>
            <w:tcW w:w="1276" w:type="dxa"/>
            <w:shd w:val="clear" w:color="auto" w:fill="D1DCEF"/>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3,317</w:t>
            </w:r>
          </w:p>
        </w:tc>
        <w:tc>
          <w:tcPr>
            <w:tcW w:w="1417" w:type="dxa"/>
            <w:shd w:val="clear" w:color="auto" w:fill="D1DCEF"/>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63</w:t>
            </w:r>
          </w:p>
        </w:tc>
        <w:tc>
          <w:tcPr>
            <w:tcW w:w="1134" w:type="dxa"/>
            <w:shd w:val="clear" w:color="auto" w:fill="D1DCEF"/>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679" w:type="dxa"/>
            <w:shd w:val="clear" w:color="auto" w:fill="D1DCEF"/>
          </w:tcPr>
          <w:p w:rsidR="00DB5DA5" w:rsidRDefault="00DB5DA5" w:rsidP="00216047">
            <w:pPr>
              <w:spacing w:before="30" w:after="30"/>
              <w:jc w:val="right"/>
              <w:cnfStyle w:val="000000000000" w:firstRow="0" w:lastRow="0" w:firstColumn="0" w:lastColumn="0" w:oddVBand="0" w:evenVBand="0" w:oddHBand="0" w:evenHBand="0" w:firstRowFirstColumn="0" w:firstRowLastColumn="0" w:lastRowFirstColumn="0" w:lastRowLastColumn="0"/>
            </w:pPr>
            <w:r>
              <w:t>3,381 (98%)</w:t>
            </w:r>
          </w:p>
        </w:tc>
      </w:tr>
    </w:tbl>
    <w:p w:rsidR="003B3EC1" w:rsidRPr="00426E74" w:rsidRDefault="003B3EC1" w:rsidP="00426E74">
      <w:pPr>
        <w:pStyle w:val="FootnoteText"/>
      </w:pPr>
      <w:proofErr w:type="spellStart"/>
      <w:proofErr w:type="gramStart"/>
      <w:r w:rsidRPr="00DB5DA5">
        <w:rPr>
          <w:vertAlign w:val="superscript"/>
        </w:rPr>
        <w:t>a</w:t>
      </w:r>
      <w:proofErr w:type="spellEnd"/>
      <w:proofErr w:type="gramEnd"/>
      <w:r>
        <w:t xml:space="preserve"> Includ</w:t>
      </w:r>
      <w:r w:rsidRPr="00426E74">
        <w:t>es submissions processed via the priority review.</w:t>
      </w:r>
    </w:p>
    <w:p w:rsidR="003B3EC1" w:rsidRPr="00426E74" w:rsidRDefault="003B3EC1" w:rsidP="00426E74">
      <w:pPr>
        <w:pStyle w:val="FootnoteText"/>
      </w:pPr>
      <w:r w:rsidRPr="00426E74">
        <w:rPr>
          <w:vertAlign w:val="superscript"/>
        </w:rPr>
        <w:t>b</w:t>
      </w:r>
      <w:r w:rsidRPr="00426E74">
        <w:t xml:space="preserve"> The type G minor variations differ from type H minor variations in that they result in a new ARTG entry.</w:t>
      </w:r>
    </w:p>
    <w:p w:rsidR="003B3EC1" w:rsidRPr="00426E74" w:rsidRDefault="003B3EC1" w:rsidP="00426E74">
      <w:pPr>
        <w:pStyle w:val="FootnoteText"/>
      </w:pPr>
      <w:r w:rsidRPr="00426E74">
        <w:rPr>
          <w:vertAlign w:val="superscript"/>
        </w:rPr>
        <w:t>c</w:t>
      </w:r>
      <w:r w:rsidRPr="00426E74">
        <w:t xml:space="preserve"> The minor variations (type H) included in the table above refer to applications to change the formulation, composition or design specification or the container for the goods or any other attribute that results in the goods being separate and distinct. These applications are typically ‘Category 3’ changes, unless the supporting scientific package contains non-clinical or clinical data in which case the application is a ‘Category 1’ application.</w:t>
      </w:r>
    </w:p>
    <w:p w:rsidR="003B3EC1" w:rsidRDefault="003B3EC1" w:rsidP="00CF6860">
      <w:pPr>
        <w:pStyle w:val="Tabletitle"/>
      </w:pPr>
      <w:r>
        <w:lastRenderedPageBreak/>
        <w:t xml:space="preserve">Figure </w:t>
      </w:r>
      <w:proofErr w:type="gramStart"/>
      <w:r>
        <w:t>2</w:t>
      </w:r>
      <w:proofErr w:type="gramEnd"/>
      <w:r>
        <w:tab/>
        <w:t xml:space="preserve">Prescription medicine standard </w:t>
      </w:r>
      <w:proofErr w:type="spellStart"/>
      <w:r>
        <w:t>registration</w:t>
      </w:r>
      <w:r w:rsidRPr="00CF6860">
        <w:rPr>
          <w:vertAlign w:val="superscript"/>
        </w:rPr>
        <w:t>a</w:t>
      </w:r>
      <w:proofErr w:type="spellEnd"/>
      <w:r>
        <w:t xml:space="preserve"> mean approval times for 1 July to 31 December </w:t>
      </w:r>
    </w:p>
    <w:p w:rsidR="003B3EC1" w:rsidRDefault="00D76300" w:rsidP="00D76300">
      <w:pPr>
        <w:jc w:val="center"/>
      </w:pPr>
      <w:r>
        <w:rPr>
          <w:noProof/>
          <w:lang w:eastAsia="en-AU"/>
        </w:rPr>
        <w:drawing>
          <wp:inline distT="0" distB="0" distL="0" distR="0" wp14:anchorId="640603DF" wp14:editId="55CF6D62">
            <wp:extent cx="5171846" cy="3577133"/>
            <wp:effectExtent l="0" t="0" r="10160" b="4445"/>
            <wp:docPr id="13" name="Chart 13" descr="Column chart:&#10;July to December 2019 - A: 201; C: 171; D: 188.&#10;July to December 2020 - A: 182; C: 176; D: 1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3EC1" w:rsidRDefault="003B3EC1" w:rsidP="00CF6860">
      <w:pPr>
        <w:pStyle w:val="FootnoteText"/>
      </w:pPr>
      <w:proofErr w:type="spellStart"/>
      <w:proofErr w:type="gramStart"/>
      <w:r w:rsidRPr="00CF6860">
        <w:rPr>
          <w:vertAlign w:val="superscript"/>
        </w:rPr>
        <w:t>a</w:t>
      </w:r>
      <w:proofErr w:type="spellEnd"/>
      <w:proofErr w:type="gramEnd"/>
      <w:r>
        <w:t xml:space="preserve"> Does not include submissions processed via the priority review or COR-B pathways.</w:t>
      </w:r>
    </w:p>
    <w:p w:rsidR="003B3EC1" w:rsidRDefault="00CF6860" w:rsidP="00CF6860">
      <w:pPr>
        <w:pStyle w:val="Tabletitle"/>
      </w:pPr>
      <w:r>
        <w:t xml:space="preserve">Figure </w:t>
      </w:r>
      <w:proofErr w:type="gramStart"/>
      <w:r>
        <w:t>3</w:t>
      </w:r>
      <w:proofErr w:type="gramEnd"/>
      <w:r>
        <w:tab/>
      </w:r>
      <w:r w:rsidR="003B3EC1">
        <w:t xml:space="preserve">Prescription medicine standard </w:t>
      </w:r>
      <w:proofErr w:type="spellStart"/>
      <w:r w:rsidR="003B3EC1">
        <w:t>registration</w:t>
      </w:r>
      <w:r w:rsidR="003B3EC1" w:rsidRPr="00CF6860">
        <w:rPr>
          <w:vertAlign w:val="superscript"/>
        </w:rPr>
        <w:t>a</w:t>
      </w:r>
      <w:proofErr w:type="spellEnd"/>
      <w:r w:rsidR="003B3EC1">
        <w:t xml:space="preserve"> median approval times for </w:t>
      </w:r>
      <w:r>
        <w:br/>
        <w:t>1 July to 31 December</w:t>
      </w:r>
    </w:p>
    <w:p w:rsidR="003B3EC1" w:rsidRDefault="00CF6860" w:rsidP="00CF6860">
      <w:pPr>
        <w:jc w:val="center"/>
      </w:pPr>
      <w:r>
        <w:rPr>
          <w:noProof/>
          <w:lang w:eastAsia="en-AU"/>
        </w:rPr>
        <w:drawing>
          <wp:inline distT="0" distB="0" distL="0" distR="0" wp14:anchorId="6713DF51" wp14:editId="006B07C3">
            <wp:extent cx="5172710" cy="3723005"/>
            <wp:effectExtent l="0" t="0" r="8890" b="10795"/>
            <wp:docPr id="8" name="Chart 8" descr="Column chart:&#10;July to December 2019 - A: 198; C: 176; D: 173.&#10;July to December 2020 - A: 196; C: 195; D: 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3EC1" w:rsidRDefault="003B3EC1" w:rsidP="00286D6B">
      <w:pPr>
        <w:pStyle w:val="FootnoteText"/>
      </w:pPr>
      <w:proofErr w:type="spellStart"/>
      <w:proofErr w:type="gramStart"/>
      <w:r w:rsidRPr="00286D6B">
        <w:rPr>
          <w:rStyle w:val="FootnoteTextChar"/>
          <w:vertAlign w:val="superscript"/>
        </w:rPr>
        <w:t>a</w:t>
      </w:r>
      <w:proofErr w:type="spellEnd"/>
      <w:proofErr w:type="gramEnd"/>
      <w:r>
        <w:t xml:space="preserve"> Does not include submissions processed via the priority review, COR-A or COR-B pathways.</w:t>
      </w:r>
    </w:p>
    <w:p w:rsidR="003B3EC1" w:rsidRDefault="003B3EC1" w:rsidP="00CB0F08">
      <w:pPr>
        <w:pStyle w:val="Heading4"/>
      </w:pPr>
      <w:bookmarkStart w:id="18" w:name="_Toc69725939"/>
      <w:r>
        <w:lastRenderedPageBreak/>
        <w:t>1.2.</w:t>
      </w:r>
      <w:r>
        <w:tab/>
        <w:t>Approval times</w:t>
      </w:r>
      <w:bookmarkEnd w:id="18"/>
    </w:p>
    <w:p w:rsidR="003B3EC1" w:rsidRDefault="003B3EC1" w:rsidP="00CB0F08">
      <w:pPr>
        <w:pStyle w:val="Tabletitle"/>
      </w:pPr>
      <w:r>
        <w:t>Table 2</w:t>
      </w:r>
      <w:r>
        <w:tab/>
        <w:t xml:space="preserve">Prescription medicine standard </w:t>
      </w:r>
      <w:proofErr w:type="gramStart"/>
      <w:r>
        <w:t>registration application approval time</w:t>
      </w:r>
      <w:proofErr w:type="gramEnd"/>
      <w:r>
        <w:t xml:space="preserve"> for </w:t>
      </w:r>
      <w:r w:rsidR="00CB0F08">
        <w:br/>
        <w:t>1 July to 31 December 2020</w:t>
      </w:r>
    </w:p>
    <w:tbl>
      <w:tblPr>
        <w:tblStyle w:val="TableTGAblue"/>
        <w:tblW w:w="0" w:type="auto"/>
        <w:tblLook w:val="04A0" w:firstRow="1" w:lastRow="0" w:firstColumn="1" w:lastColumn="0" w:noHBand="0" w:noVBand="1"/>
      </w:tblPr>
      <w:tblGrid>
        <w:gridCol w:w="2915"/>
        <w:gridCol w:w="1486"/>
        <w:gridCol w:w="1282"/>
        <w:gridCol w:w="1288"/>
        <w:gridCol w:w="970"/>
        <w:gridCol w:w="1119"/>
      </w:tblGrid>
      <w:tr w:rsidR="00CB0F08" w:rsidTr="00CB0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3" w:type="dxa"/>
            <w:gridSpan w:val="3"/>
            <w:tcBorders>
              <w:top w:val="nil"/>
              <w:left w:val="nil"/>
              <w:right w:val="single" w:sz="4" w:space="0" w:color="auto"/>
            </w:tcBorders>
            <w:shd w:val="clear" w:color="auto" w:fill="auto"/>
          </w:tcPr>
          <w:p w:rsidR="00CB0F08" w:rsidRDefault="00CB0F08" w:rsidP="00EB4CBC">
            <w:pPr>
              <w:spacing w:before="30" w:after="30"/>
            </w:pPr>
          </w:p>
        </w:tc>
        <w:tc>
          <w:tcPr>
            <w:tcW w:w="3377" w:type="dxa"/>
            <w:gridSpan w:val="3"/>
            <w:tcBorders>
              <w:left w:val="single" w:sz="4" w:space="0" w:color="auto"/>
            </w:tcBorders>
            <w:shd w:val="clear" w:color="auto" w:fill="6481A0"/>
          </w:tcPr>
          <w:p w:rsidR="00CB0F08" w:rsidRDefault="00CB0F08" w:rsidP="00216047">
            <w:pPr>
              <w:spacing w:before="30" w:after="30"/>
              <w:jc w:val="center"/>
              <w:cnfStyle w:val="100000000000" w:firstRow="1" w:lastRow="0" w:firstColumn="0" w:lastColumn="0" w:oddVBand="0" w:evenVBand="0" w:oddHBand="0" w:evenHBand="0" w:firstRowFirstColumn="0" w:firstRowLastColumn="0" w:lastRowFirstColumn="0" w:lastRowLastColumn="0"/>
            </w:pPr>
            <w:r>
              <w:t>Approval time (working days)</w:t>
            </w:r>
            <w:r>
              <w:br/>
              <w:t>1 July to 31 December</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shd w:val="clear" w:color="auto" w:fill="6481A0"/>
          </w:tcPr>
          <w:p w:rsidR="00CB0F08" w:rsidRPr="00CB0F08" w:rsidRDefault="00CB0F08" w:rsidP="00EB4CBC">
            <w:pPr>
              <w:spacing w:before="30" w:after="30"/>
              <w:rPr>
                <w:b/>
                <w:color w:val="FFFFFF" w:themeColor="background1"/>
              </w:rPr>
            </w:pPr>
            <w:r w:rsidRPr="00CB0F08">
              <w:rPr>
                <w:b/>
                <w:color w:val="FFFFFF" w:themeColor="background1"/>
              </w:rPr>
              <w:t>Application type</w:t>
            </w:r>
          </w:p>
        </w:tc>
        <w:tc>
          <w:tcPr>
            <w:tcW w:w="1486" w:type="dxa"/>
            <w:shd w:val="clear" w:color="auto" w:fill="6481A0"/>
          </w:tcPr>
          <w:p w:rsidR="00CB0F08" w:rsidRP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CB0F08">
              <w:rPr>
                <w:b/>
                <w:color w:val="FFFFFF" w:themeColor="background1"/>
              </w:rPr>
              <w:t>Submissions approved</w:t>
            </w:r>
          </w:p>
        </w:tc>
        <w:tc>
          <w:tcPr>
            <w:tcW w:w="1282" w:type="dxa"/>
            <w:shd w:val="clear" w:color="auto" w:fill="6481A0"/>
          </w:tcPr>
          <w:p w:rsidR="00CB0F08" w:rsidRP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CB0F08">
              <w:rPr>
                <w:b/>
                <w:color w:val="FFFFFF" w:themeColor="background1"/>
              </w:rPr>
              <w:t>Legislated timeframe</w:t>
            </w:r>
          </w:p>
        </w:tc>
        <w:tc>
          <w:tcPr>
            <w:tcW w:w="1288" w:type="dxa"/>
            <w:shd w:val="clear" w:color="auto" w:fill="6481A0"/>
          </w:tcPr>
          <w:p w:rsidR="00CB0F08" w:rsidRP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CB0F08">
              <w:rPr>
                <w:b/>
                <w:color w:val="FFFFFF" w:themeColor="background1"/>
              </w:rPr>
              <w:t>Mean</w:t>
            </w:r>
          </w:p>
        </w:tc>
        <w:tc>
          <w:tcPr>
            <w:tcW w:w="970" w:type="dxa"/>
            <w:shd w:val="clear" w:color="auto" w:fill="6481A0"/>
          </w:tcPr>
          <w:p w:rsidR="00CB0F08" w:rsidRP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CB0F08">
              <w:rPr>
                <w:b/>
                <w:color w:val="FFFFFF" w:themeColor="background1"/>
              </w:rPr>
              <w:t>Median</w:t>
            </w:r>
          </w:p>
        </w:tc>
        <w:tc>
          <w:tcPr>
            <w:tcW w:w="1119" w:type="dxa"/>
            <w:shd w:val="clear" w:color="auto" w:fill="6481A0"/>
          </w:tcPr>
          <w:p w:rsidR="00CB0F08" w:rsidRP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CB0F08">
              <w:rPr>
                <w:b/>
                <w:color w:val="FFFFFF" w:themeColor="background1"/>
              </w:rPr>
              <w:t>Range</w:t>
            </w:r>
          </w:p>
        </w:tc>
      </w:tr>
      <w:tr w:rsidR="00CB0F08" w:rsidTr="00CB0F08">
        <w:tc>
          <w:tcPr>
            <w:cnfStyle w:val="001000000000" w:firstRow="0" w:lastRow="0" w:firstColumn="1" w:lastColumn="0" w:oddVBand="0" w:evenVBand="0" w:oddHBand="0" w:evenHBand="0" w:firstRowFirstColumn="0" w:firstRowLastColumn="0" w:lastRowFirstColumn="0" w:lastRowLastColumn="0"/>
            <w:tcW w:w="9060" w:type="dxa"/>
            <w:gridSpan w:val="6"/>
            <w:shd w:val="clear" w:color="auto" w:fill="D1DCEF"/>
          </w:tcPr>
          <w:p w:rsidR="00CB0F08" w:rsidRPr="00CB0F08" w:rsidRDefault="00CB0F08" w:rsidP="00EB4CBC">
            <w:pPr>
              <w:spacing w:before="30" w:after="30"/>
              <w:rPr>
                <w:b/>
              </w:rPr>
            </w:pPr>
            <w:r w:rsidRPr="00CB0F08">
              <w:rPr>
                <w:b/>
              </w:rPr>
              <w:t>Category 1</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A: New chemical entity/New biological entity/</w:t>
            </w:r>
            <w:proofErr w:type="spellStart"/>
            <w:r>
              <w:t>Biosimilar</w:t>
            </w:r>
            <w:r w:rsidRPr="00CB0F08">
              <w:rPr>
                <w:vertAlign w:val="superscript"/>
              </w:rPr>
              <w:t>a</w:t>
            </w:r>
            <w:proofErr w:type="spellEnd"/>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182</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196</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5-223</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B: New fixed-dose combination</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202</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194</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186-226</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 xml:space="preserve">C: Extension of </w:t>
            </w:r>
            <w:proofErr w:type="spellStart"/>
            <w:r>
              <w:t>indication</w:t>
            </w:r>
            <w:r w:rsidRPr="00CB0F08">
              <w:rPr>
                <w:vertAlign w:val="superscript"/>
              </w:rPr>
              <w:t>b</w:t>
            </w:r>
            <w:proofErr w:type="spellEnd"/>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176</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195</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68-223</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D: New generic medicine</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42</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158</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152</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121-253</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F: Major variation</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27</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171</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182</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21-250</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G: Minor variation</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95</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95</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24-166</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H: Minor variation</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5</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161</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137</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137-207</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J: Changes to Product Information requiring the evaluation of data</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68</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111</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119</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11-227</w:t>
            </w:r>
          </w:p>
        </w:tc>
      </w:tr>
      <w:tr w:rsidR="00CB0F08" w:rsidTr="00CB0F08">
        <w:tc>
          <w:tcPr>
            <w:cnfStyle w:val="001000000000" w:firstRow="0" w:lastRow="0" w:firstColumn="1" w:lastColumn="0" w:oddVBand="0" w:evenVBand="0" w:oddHBand="0" w:evenHBand="0" w:firstRowFirstColumn="0" w:firstRowLastColumn="0" w:lastRowFirstColumn="0" w:lastRowLastColumn="0"/>
            <w:tcW w:w="9060" w:type="dxa"/>
            <w:gridSpan w:val="6"/>
            <w:shd w:val="clear" w:color="auto" w:fill="D1DCEF"/>
          </w:tcPr>
          <w:p w:rsidR="00CB0F08" w:rsidRPr="00CB0F08" w:rsidRDefault="00CB0F08" w:rsidP="00EB4CBC">
            <w:pPr>
              <w:spacing w:before="30" w:after="30"/>
              <w:rPr>
                <w:b/>
              </w:rPr>
            </w:pPr>
            <w:r w:rsidRPr="00CB0F08">
              <w:rPr>
                <w:b/>
              </w:rPr>
              <w:t>Comparable Overseas Regulator (COR-B)</w:t>
            </w:r>
          </w:p>
        </w:tc>
      </w:tr>
      <w:tr w:rsidR="00CB0F08" w:rsidTr="00CB0F08">
        <w:tc>
          <w:tcPr>
            <w:cnfStyle w:val="001000000000" w:firstRow="0" w:lastRow="0" w:firstColumn="1" w:lastColumn="0" w:oddVBand="0" w:evenVBand="0" w:oddHBand="0" w:evenHBand="0" w:firstRowFirstColumn="0" w:firstRowLastColumn="0" w:lastRowFirstColumn="0" w:lastRowLastColumn="0"/>
            <w:tcW w:w="2915" w:type="dxa"/>
          </w:tcPr>
          <w:p w:rsidR="00CB0F08" w:rsidRDefault="00CB0F08" w:rsidP="00EB4CBC">
            <w:pPr>
              <w:spacing w:before="30" w:after="30"/>
            </w:pPr>
            <w:r>
              <w:t>D: New generic medicine</w:t>
            </w:r>
          </w:p>
        </w:tc>
        <w:tc>
          <w:tcPr>
            <w:tcW w:w="1486"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w:t>
            </w:r>
          </w:p>
        </w:tc>
        <w:tc>
          <w:tcPr>
            <w:tcW w:w="1282"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175</w:t>
            </w:r>
          </w:p>
        </w:tc>
        <w:tc>
          <w:tcPr>
            <w:tcW w:w="1288"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122</w:t>
            </w:r>
          </w:p>
        </w:tc>
        <w:tc>
          <w:tcPr>
            <w:tcW w:w="970"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122</w:t>
            </w:r>
          </w:p>
        </w:tc>
        <w:tc>
          <w:tcPr>
            <w:tcW w:w="1119" w:type="dxa"/>
          </w:tcPr>
          <w:p w:rsidR="00CB0F08" w:rsidRDefault="00CB0F0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122-122</w:t>
            </w:r>
          </w:p>
        </w:tc>
      </w:tr>
    </w:tbl>
    <w:p w:rsidR="003B3EC1" w:rsidRDefault="003B3EC1" w:rsidP="00286D6B">
      <w:pPr>
        <w:pStyle w:val="FootnoteText"/>
        <w:spacing w:before="120"/>
      </w:pPr>
      <w:proofErr w:type="spellStart"/>
      <w:proofErr w:type="gramStart"/>
      <w:r w:rsidRPr="00CB0F08">
        <w:rPr>
          <w:vertAlign w:val="superscript"/>
        </w:rPr>
        <w:t>a</w:t>
      </w:r>
      <w:proofErr w:type="spellEnd"/>
      <w:proofErr w:type="gramEnd"/>
      <w:r>
        <w:t xml:space="preserve"> Application type A figures do not include 3 submissions processed via the priority review pathway.</w:t>
      </w:r>
    </w:p>
    <w:p w:rsidR="003B3EC1" w:rsidRDefault="003B3EC1" w:rsidP="00286D6B">
      <w:pPr>
        <w:pStyle w:val="FootnoteText"/>
        <w:spacing w:before="120"/>
      </w:pPr>
      <w:proofErr w:type="gramStart"/>
      <w:r w:rsidRPr="00CB0F08">
        <w:rPr>
          <w:vertAlign w:val="superscript"/>
        </w:rPr>
        <w:t>b</w:t>
      </w:r>
      <w:proofErr w:type="gramEnd"/>
      <w:r>
        <w:t xml:space="preserve"> Application type C figures do not include one submission processed via the priority review pathway.</w:t>
      </w:r>
    </w:p>
    <w:p w:rsidR="003B3EC1" w:rsidRDefault="003B3EC1" w:rsidP="00E761C3">
      <w:pPr>
        <w:pStyle w:val="Heading4"/>
      </w:pPr>
      <w:bookmarkStart w:id="19" w:name="_Toc69725940"/>
      <w:r>
        <w:t>1.3.</w:t>
      </w:r>
      <w:r>
        <w:tab/>
        <w:t>Other applications</w:t>
      </w:r>
      <w:bookmarkEnd w:id="19"/>
    </w:p>
    <w:p w:rsidR="003B3EC1" w:rsidRDefault="003B3EC1" w:rsidP="003B3EC1">
      <w:r>
        <w:t xml:space="preserve">In accordance with the legislation, registered medicines must comply with numerous standards at the time they are registered and throughout their lifecycle. Following an appropriate application and review of the scientific data and safety considerations, approval to supply a product when it does not meet a particular standard </w:t>
      </w:r>
      <w:proofErr w:type="gramStart"/>
      <w:r>
        <w:t>may be granted</w:t>
      </w:r>
      <w:proofErr w:type="gramEnd"/>
      <w:r>
        <w:t>.</w:t>
      </w:r>
    </w:p>
    <w:p w:rsidR="003B3EC1" w:rsidRDefault="003B3EC1" w:rsidP="00E761C3">
      <w:pPr>
        <w:pStyle w:val="Tabletitle"/>
      </w:pPr>
      <w:r>
        <w:t xml:space="preserve">Table </w:t>
      </w:r>
      <w:proofErr w:type="gramStart"/>
      <w:r>
        <w:t>3</w:t>
      </w:r>
      <w:proofErr w:type="gramEnd"/>
      <w:r>
        <w:tab/>
        <w:t>Other prescription medicine submis</w:t>
      </w:r>
      <w:r w:rsidR="00E761C3">
        <w:t>sions for 1 July to 31 December</w:t>
      </w:r>
    </w:p>
    <w:tbl>
      <w:tblPr>
        <w:tblStyle w:val="TableTGAblue"/>
        <w:tblW w:w="0" w:type="auto"/>
        <w:tblLook w:val="04A0" w:firstRow="1" w:lastRow="0" w:firstColumn="1" w:lastColumn="0" w:noHBand="0" w:noVBand="1"/>
      </w:tblPr>
      <w:tblGrid>
        <w:gridCol w:w="5245"/>
        <w:gridCol w:w="1985"/>
        <w:gridCol w:w="1820"/>
      </w:tblGrid>
      <w:tr w:rsidR="00E761C3"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E761C3" w:rsidRDefault="00E761C3" w:rsidP="00E761C3">
            <w:pPr>
              <w:spacing w:before="30" w:after="30"/>
            </w:pPr>
          </w:p>
        </w:tc>
        <w:tc>
          <w:tcPr>
            <w:tcW w:w="1985" w:type="dxa"/>
            <w:tcBorders>
              <w:left w:val="single" w:sz="4" w:space="0" w:color="auto"/>
              <w:right w:val="single" w:sz="4" w:space="0" w:color="auto"/>
            </w:tcBorders>
            <w:shd w:val="clear" w:color="auto" w:fill="6481A0"/>
          </w:tcPr>
          <w:p w:rsidR="00E761C3" w:rsidRDefault="00E761C3"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E761C3" w:rsidRDefault="00E761C3"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E761C3" w:rsidTr="00E761C3">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E761C3" w:rsidRDefault="00E761C3" w:rsidP="00E761C3">
            <w:pPr>
              <w:spacing w:before="30" w:after="30"/>
            </w:pPr>
          </w:p>
        </w:tc>
        <w:tc>
          <w:tcPr>
            <w:tcW w:w="3805" w:type="dxa"/>
            <w:gridSpan w:val="2"/>
            <w:shd w:val="clear" w:color="auto" w:fill="D1DCEF"/>
          </w:tcPr>
          <w:p w:rsidR="00E761C3" w:rsidRPr="00E761C3" w:rsidRDefault="00E761C3" w:rsidP="00216047">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E761C3" w:rsidTr="00E761C3">
        <w:tc>
          <w:tcPr>
            <w:cnfStyle w:val="001000000000" w:firstRow="0" w:lastRow="0" w:firstColumn="1" w:lastColumn="0" w:oddVBand="0" w:evenVBand="0" w:oddHBand="0" w:evenHBand="0" w:firstRowFirstColumn="0" w:firstRowLastColumn="0" w:lastRowFirstColumn="0" w:lastRowLastColumn="0"/>
            <w:tcW w:w="5245" w:type="dxa"/>
            <w:shd w:val="clear" w:color="auto" w:fill="6481A0"/>
          </w:tcPr>
          <w:p w:rsidR="00E761C3" w:rsidRPr="00E761C3" w:rsidRDefault="00E761C3" w:rsidP="00E761C3">
            <w:pPr>
              <w:spacing w:before="30" w:after="30"/>
              <w:rPr>
                <w:b/>
              </w:rPr>
            </w:pPr>
            <w:r w:rsidRPr="00E761C3">
              <w:rPr>
                <w:b/>
                <w:color w:val="FFFFFF" w:themeColor="background1"/>
              </w:rPr>
              <w:t>Exemptions to comply with a standard (S.14)</w:t>
            </w:r>
          </w:p>
        </w:tc>
        <w:tc>
          <w:tcPr>
            <w:tcW w:w="3805" w:type="dxa"/>
            <w:gridSpan w:val="2"/>
            <w:shd w:val="clear" w:color="auto" w:fill="6481A0"/>
          </w:tcPr>
          <w:p w:rsidR="00E761C3" w:rsidRPr="00E761C3" w:rsidRDefault="00E761C3" w:rsidP="00216047">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color w:val="FFFFFF" w:themeColor="background1"/>
              </w:rPr>
              <w:t>Number (% of total)</w:t>
            </w:r>
          </w:p>
        </w:tc>
      </w:tr>
      <w:tr w:rsidR="00E761C3" w:rsidTr="00E761C3">
        <w:tc>
          <w:tcPr>
            <w:cnfStyle w:val="001000000000" w:firstRow="0" w:lastRow="0" w:firstColumn="1" w:lastColumn="0" w:oddVBand="0" w:evenVBand="0" w:oddHBand="0" w:evenHBand="0" w:firstRowFirstColumn="0" w:firstRowLastColumn="0" w:lastRowFirstColumn="0" w:lastRowLastColumn="0"/>
            <w:tcW w:w="5245" w:type="dxa"/>
          </w:tcPr>
          <w:p w:rsidR="00E761C3" w:rsidRDefault="00E761C3" w:rsidP="00E761C3">
            <w:pPr>
              <w:spacing w:before="30" w:after="30"/>
            </w:pPr>
            <w:r>
              <w:t>Approved</w:t>
            </w:r>
          </w:p>
        </w:tc>
        <w:tc>
          <w:tcPr>
            <w:tcW w:w="1985" w:type="dxa"/>
          </w:tcPr>
          <w:p w:rsidR="00E761C3" w:rsidRDefault="00E761C3" w:rsidP="00216047">
            <w:pPr>
              <w:spacing w:before="30" w:after="30"/>
              <w:jc w:val="right"/>
              <w:cnfStyle w:val="000000000000" w:firstRow="0" w:lastRow="0" w:firstColumn="0" w:lastColumn="0" w:oddVBand="0" w:evenVBand="0" w:oddHBand="0" w:evenHBand="0" w:firstRowFirstColumn="0" w:firstRowLastColumn="0" w:lastRowFirstColumn="0" w:lastRowLastColumn="0"/>
            </w:pPr>
            <w:r>
              <w:t>50 (86%)</w:t>
            </w:r>
          </w:p>
        </w:tc>
        <w:tc>
          <w:tcPr>
            <w:tcW w:w="1820" w:type="dxa"/>
          </w:tcPr>
          <w:p w:rsidR="00E761C3" w:rsidRDefault="00E761C3" w:rsidP="00216047">
            <w:pPr>
              <w:spacing w:before="30" w:after="30"/>
              <w:jc w:val="right"/>
              <w:cnfStyle w:val="000000000000" w:firstRow="0" w:lastRow="0" w:firstColumn="0" w:lastColumn="0" w:oddVBand="0" w:evenVBand="0" w:oddHBand="0" w:evenHBand="0" w:firstRowFirstColumn="0" w:firstRowLastColumn="0" w:lastRowFirstColumn="0" w:lastRowLastColumn="0"/>
            </w:pPr>
            <w:r>
              <w:t>97 (90%)</w:t>
            </w:r>
          </w:p>
        </w:tc>
      </w:tr>
      <w:tr w:rsidR="00E761C3" w:rsidTr="00E761C3">
        <w:tc>
          <w:tcPr>
            <w:cnfStyle w:val="001000000000" w:firstRow="0" w:lastRow="0" w:firstColumn="1" w:lastColumn="0" w:oddVBand="0" w:evenVBand="0" w:oddHBand="0" w:evenHBand="0" w:firstRowFirstColumn="0" w:firstRowLastColumn="0" w:lastRowFirstColumn="0" w:lastRowLastColumn="0"/>
            <w:tcW w:w="5245" w:type="dxa"/>
          </w:tcPr>
          <w:p w:rsidR="00E761C3" w:rsidRDefault="00E761C3" w:rsidP="00E761C3">
            <w:pPr>
              <w:spacing w:before="30" w:after="30"/>
            </w:pPr>
            <w:r>
              <w:t>Rejected</w:t>
            </w:r>
          </w:p>
        </w:tc>
        <w:tc>
          <w:tcPr>
            <w:tcW w:w="1985" w:type="dxa"/>
          </w:tcPr>
          <w:p w:rsidR="00E761C3" w:rsidRDefault="00E761C3" w:rsidP="00216047">
            <w:pPr>
              <w:spacing w:before="30" w:after="30"/>
              <w:jc w:val="right"/>
              <w:cnfStyle w:val="000000000000" w:firstRow="0" w:lastRow="0" w:firstColumn="0" w:lastColumn="0" w:oddVBand="0" w:evenVBand="0" w:oddHBand="0" w:evenHBand="0" w:firstRowFirstColumn="0" w:firstRowLastColumn="0" w:lastRowFirstColumn="0" w:lastRowLastColumn="0"/>
            </w:pPr>
            <w:r>
              <w:t>8 (14%)</w:t>
            </w:r>
          </w:p>
        </w:tc>
        <w:tc>
          <w:tcPr>
            <w:tcW w:w="1820" w:type="dxa"/>
          </w:tcPr>
          <w:p w:rsidR="00E761C3" w:rsidRDefault="00E761C3" w:rsidP="00216047">
            <w:pPr>
              <w:spacing w:before="30" w:after="30"/>
              <w:jc w:val="right"/>
              <w:cnfStyle w:val="000000000000" w:firstRow="0" w:lastRow="0" w:firstColumn="0" w:lastColumn="0" w:oddVBand="0" w:evenVBand="0" w:oddHBand="0" w:evenHBand="0" w:firstRowFirstColumn="0" w:firstRowLastColumn="0" w:lastRowFirstColumn="0" w:lastRowLastColumn="0"/>
            </w:pPr>
            <w:r>
              <w:t>11 (10%)</w:t>
            </w:r>
          </w:p>
        </w:tc>
      </w:tr>
      <w:tr w:rsidR="00E761C3" w:rsidTr="00E761C3">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E761C3" w:rsidRPr="00E761C3" w:rsidRDefault="00E761C3" w:rsidP="00E761C3">
            <w:pPr>
              <w:spacing w:before="30" w:after="30"/>
              <w:rPr>
                <w:b/>
              </w:rPr>
            </w:pPr>
            <w:r w:rsidRPr="00E761C3">
              <w:rPr>
                <w:b/>
              </w:rPr>
              <w:t>Total</w:t>
            </w:r>
          </w:p>
        </w:tc>
        <w:tc>
          <w:tcPr>
            <w:tcW w:w="1985" w:type="dxa"/>
            <w:shd w:val="clear" w:color="auto" w:fill="D1DCEF"/>
          </w:tcPr>
          <w:p w:rsidR="00E761C3" w:rsidRDefault="00E761C3" w:rsidP="00216047">
            <w:pPr>
              <w:spacing w:before="30" w:after="30"/>
              <w:jc w:val="right"/>
              <w:cnfStyle w:val="000000000000" w:firstRow="0" w:lastRow="0" w:firstColumn="0" w:lastColumn="0" w:oddVBand="0" w:evenVBand="0" w:oddHBand="0" w:evenHBand="0" w:firstRowFirstColumn="0" w:firstRowLastColumn="0" w:lastRowFirstColumn="0" w:lastRowLastColumn="0"/>
            </w:pPr>
            <w:r>
              <w:t>58 (100%)</w:t>
            </w:r>
          </w:p>
        </w:tc>
        <w:tc>
          <w:tcPr>
            <w:tcW w:w="1820" w:type="dxa"/>
            <w:shd w:val="clear" w:color="auto" w:fill="D1DCEF"/>
          </w:tcPr>
          <w:p w:rsidR="00E761C3" w:rsidRDefault="00E761C3" w:rsidP="00216047">
            <w:pPr>
              <w:spacing w:before="30" w:after="30"/>
              <w:jc w:val="right"/>
              <w:cnfStyle w:val="000000000000" w:firstRow="0" w:lastRow="0" w:firstColumn="0" w:lastColumn="0" w:oddVBand="0" w:evenVBand="0" w:oddHBand="0" w:evenHBand="0" w:firstRowFirstColumn="0" w:firstRowLastColumn="0" w:lastRowFirstColumn="0" w:lastRowLastColumn="0"/>
            </w:pPr>
            <w:r>
              <w:t>108 (100%)</w:t>
            </w:r>
          </w:p>
        </w:tc>
      </w:tr>
    </w:tbl>
    <w:p w:rsidR="003B3EC1" w:rsidRDefault="003B3EC1" w:rsidP="00A62C69">
      <w:pPr>
        <w:pStyle w:val="Tabletitle"/>
        <w:pageBreakBefore/>
        <w:ind w:left="992" w:hanging="992"/>
      </w:pPr>
      <w:r>
        <w:lastRenderedPageBreak/>
        <w:t xml:space="preserve">Table </w:t>
      </w:r>
      <w:proofErr w:type="gramStart"/>
      <w:r>
        <w:t>4</w:t>
      </w:r>
      <w:proofErr w:type="gramEnd"/>
      <w:r>
        <w:tab/>
        <w:t xml:space="preserve">Prescription medicine median approval time comparisons for 1 July to </w:t>
      </w:r>
      <w:r w:rsidR="00A62C69">
        <w:br/>
        <w:t>31 December</w:t>
      </w:r>
    </w:p>
    <w:tbl>
      <w:tblPr>
        <w:tblStyle w:val="TableTGAblue"/>
        <w:tblW w:w="0" w:type="auto"/>
        <w:tblLook w:val="04A0" w:firstRow="1" w:lastRow="0" w:firstColumn="1" w:lastColumn="0" w:noHBand="0" w:noVBand="1"/>
      </w:tblPr>
      <w:tblGrid>
        <w:gridCol w:w="3828"/>
        <w:gridCol w:w="1559"/>
        <w:gridCol w:w="1559"/>
        <w:gridCol w:w="2104"/>
      </w:tblGrid>
      <w:tr w:rsidR="00A62C69"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2"/>
            <w:tcBorders>
              <w:top w:val="nil"/>
              <w:left w:val="nil"/>
              <w:right w:val="single" w:sz="4" w:space="0" w:color="auto"/>
            </w:tcBorders>
            <w:shd w:val="clear" w:color="auto" w:fill="auto"/>
          </w:tcPr>
          <w:p w:rsidR="00A62C69" w:rsidRDefault="00A62C69" w:rsidP="00EA2ED8">
            <w:pPr>
              <w:spacing w:before="30" w:after="30"/>
            </w:pPr>
          </w:p>
        </w:tc>
        <w:tc>
          <w:tcPr>
            <w:tcW w:w="3663" w:type="dxa"/>
            <w:gridSpan w:val="2"/>
            <w:tcBorders>
              <w:left w:val="single" w:sz="4" w:space="0" w:color="auto"/>
            </w:tcBorders>
            <w:shd w:val="clear" w:color="auto" w:fill="6481A0"/>
          </w:tcPr>
          <w:p w:rsidR="00A62C69" w:rsidRDefault="00A62C69" w:rsidP="00216047">
            <w:pPr>
              <w:spacing w:before="30" w:after="30"/>
              <w:jc w:val="center"/>
              <w:cnfStyle w:val="100000000000" w:firstRow="1" w:lastRow="0" w:firstColumn="0" w:lastColumn="0" w:oddVBand="0" w:evenVBand="0" w:oddHBand="0" w:evenHBand="0" w:firstRowFirstColumn="0" w:firstRowLastColumn="0" w:lastRowFirstColumn="0" w:lastRowLastColumn="0"/>
            </w:pPr>
            <w:r>
              <w:t>Median approval time (TGA</w:t>
            </w:r>
            <w:r w:rsidR="00472C5F">
              <w:t> </w:t>
            </w:r>
            <w:r>
              <w:t xml:space="preserve">working </w:t>
            </w:r>
            <w:r w:rsidR="00472C5F">
              <w:t>d</w:t>
            </w:r>
            <w:r>
              <w:t>ays</w:t>
            </w:r>
            <w:r w:rsidR="00216047">
              <w:t>)</w:t>
            </w:r>
          </w:p>
          <w:p w:rsidR="00A62C69" w:rsidRDefault="00A62C69" w:rsidP="00216047">
            <w:pPr>
              <w:spacing w:before="30" w:after="30"/>
              <w:jc w:val="center"/>
              <w:cnfStyle w:val="100000000000" w:firstRow="1" w:lastRow="0" w:firstColumn="0" w:lastColumn="0" w:oddVBand="0" w:evenVBand="0" w:oddHBand="0" w:evenHBand="0" w:firstRowFirstColumn="0" w:firstRowLastColumn="0" w:lastRowFirstColumn="0" w:lastRowLastColumn="0"/>
            </w:pPr>
            <w:r>
              <w:t>1 July to 31 December</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shd w:val="clear" w:color="auto" w:fill="6481A0"/>
          </w:tcPr>
          <w:p w:rsidR="00A62C69" w:rsidRPr="00A62C69" w:rsidRDefault="00A62C69" w:rsidP="00EA2ED8">
            <w:pPr>
              <w:spacing w:before="30" w:after="30"/>
              <w:rPr>
                <w:b/>
                <w:color w:val="FFFFFF" w:themeColor="background1"/>
              </w:rPr>
            </w:pPr>
            <w:r w:rsidRPr="00A62C69">
              <w:rPr>
                <w:b/>
                <w:color w:val="FFFFFF" w:themeColor="background1"/>
              </w:rPr>
              <w:t>Application Type</w:t>
            </w:r>
          </w:p>
        </w:tc>
        <w:tc>
          <w:tcPr>
            <w:tcW w:w="1559" w:type="dxa"/>
            <w:shd w:val="clear" w:color="auto" w:fill="6481A0"/>
          </w:tcPr>
          <w:p w:rsidR="00A62C69" w:rsidRP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62C69">
              <w:rPr>
                <w:b/>
                <w:color w:val="FFFFFF" w:themeColor="background1"/>
              </w:rPr>
              <w:t>Legislated timeframe</w:t>
            </w:r>
          </w:p>
        </w:tc>
        <w:tc>
          <w:tcPr>
            <w:tcW w:w="1559" w:type="dxa"/>
            <w:shd w:val="clear" w:color="auto" w:fill="6481A0"/>
          </w:tcPr>
          <w:p w:rsidR="00A62C69" w:rsidRP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62C69">
              <w:rPr>
                <w:b/>
                <w:color w:val="FFFFFF" w:themeColor="background1"/>
              </w:rPr>
              <w:t>2019</w:t>
            </w:r>
          </w:p>
        </w:tc>
        <w:tc>
          <w:tcPr>
            <w:tcW w:w="2104" w:type="dxa"/>
            <w:shd w:val="clear" w:color="auto" w:fill="6481A0"/>
          </w:tcPr>
          <w:p w:rsidR="00A62C69" w:rsidRP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62C69">
              <w:rPr>
                <w:b/>
                <w:color w:val="FFFFFF" w:themeColor="background1"/>
              </w:rPr>
              <w:t>2020 (% Change)</w:t>
            </w:r>
          </w:p>
        </w:tc>
      </w:tr>
      <w:tr w:rsidR="00A62C69" w:rsidTr="00A62C69">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1DCEF"/>
          </w:tcPr>
          <w:p w:rsidR="00A62C69" w:rsidRPr="00A62C69" w:rsidRDefault="00A62C69" w:rsidP="00EA2ED8">
            <w:pPr>
              <w:spacing w:before="30" w:after="30"/>
              <w:rPr>
                <w:b/>
              </w:rPr>
            </w:pPr>
            <w:r w:rsidRPr="00A62C69">
              <w:rPr>
                <w:b/>
              </w:rPr>
              <w:t>Category 1</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A: New chemical entity/New biological entity/</w:t>
            </w:r>
            <w:proofErr w:type="spellStart"/>
            <w:r>
              <w:t>Biosimilar</w:t>
            </w:r>
            <w:r w:rsidRPr="00A62C69">
              <w:rPr>
                <w:vertAlign w:val="superscript"/>
              </w:rPr>
              <w:t>a</w:t>
            </w:r>
            <w:proofErr w:type="spellEnd"/>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198</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196 (▼1%)</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B: New fixed-dose combination</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192</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194 (▲1%)</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 xml:space="preserve">C: Extension of </w:t>
            </w:r>
            <w:proofErr w:type="spellStart"/>
            <w:r>
              <w:t>indication</w:t>
            </w:r>
            <w:r w:rsidRPr="00A62C69">
              <w:rPr>
                <w:vertAlign w:val="superscript"/>
              </w:rPr>
              <w:t>a</w:t>
            </w:r>
            <w:proofErr w:type="spellEnd"/>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176</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194 (▲10%)</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D: New generic medicine</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173</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152 (▼12%)</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F: Major variation</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189</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182 (▼4%)</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 xml:space="preserve">G: Minor </w:t>
            </w:r>
            <w:proofErr w:type="spellStart"/>
            <w:r>
              <w:t>variation</w:t>
            </w:r>
            <w:r w:rsidRPr="00A62C69">
              <w:rPr>
                <w:vertAlign w:val="superscript"/>
              </w:rPr>
              <w:t>b</w:t>
            </w:r>
            <w:proofErr w:type="spellEnd"/>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95 (N/A)</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 xml:space="preserve">H: Minor </w:t>
            </w:r>
            <w:proofErr w:type="spellStart"/>
            <w:r>
              <w:t>variation</w:t>
            </w:r>
            <w:r w:rsidRPr="00A62C69">
              <w:rPr>
                <w:vertAlign w:val="superscript"/>
              </w:rPr>
              <w:t>c</w:t>
            </w:r>
            <w:proofErr w:type="spellEnd"/>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126</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137 (▲9%)</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J: Changes to Product Information requiring the evaluation of data</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255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125</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118 (▼6%)</w:t>
            </w:r>
          </w:p>
        </w:tc>
      </w:tr>
      <w:tr w:rsidR="00A62C69" w:rsidTr="00A62C69">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1DCEF"/>
          </w:tcPr>
          <w:p w:rsidR="00A62C69" w:rsidRPr="00A62C69" w:rsidRDefault="00A62C69" w:rsidP="00EA2ED8">
            <w:pPr>
              <w:spacing w:before="30" w:after="30"/>
              <w:rPr>
                <w:b/>
              </w:rPr>
            </w:pPr>
            <w:r w:rsidRPr="00A62C69">
              <w:rPr>
                <w:b/>
              </w:rPr>
              <w:t>Comparable Overseas Regulator (COR-B)</w:t>
            </w:r>
          </w:p>
        </w:tc>
      </w:tr>
      <w:tr w:rsidR="00A62C69" w:rsidTr="00216047">
        <w:tc>
          <w:tcPr>
            <w:cnfStyle w:val="001000000000" w:firstRow="0" w:lastRow="0" w:firstColumn="1" w:lastColumn="0" w:oddVBand="0" w:evenVBand="0" w:oddHBand="0" w:evenHBand="0" w:firstRowFirstColumn="0" w:firstRowLastColumn="0" w:lastRowFirstColumn="0" w:lastRowLastColumn="0"/>
            <w:tcW w:w="3828" w:type="dxa"/>
          </w:tcPr>
          <w:p w:rsidR="00A62C69" w:rsidRDefault="00A62C69" w:rsidP="00EA2ED8">
            <w:pPr>
              <w:spacing w:before="30" w:after="30"/>
            </w:pPr>
            <w:r>
              <w:t>D: New generic medicine</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175</w:t>
            </w:r>
          </w:p>
        </w:tc>
        <w:tc>
          <w:tcPr>
            <w:tcW w:w="1559"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2104" w:type="dxa"/>
          </w:tcPr>
          <w:p w:rsidR="00A62C69" w:rsidRDefault="00A62C69" w:rsidP="00216047">
            <w:pPr>
              <w:spacing w:before="30" w:after="30"/>
              <w:jc w:val="right"/>
              <w:cnfStyle w:val="000000000000" w:firstRow="0" w:lastRow="0" w:firstColumn="0" w:lastColumn="0" w:oddVBand="0" w:evenVBand="0" w:oddHBand="0" w:evenHBand="0" w:firstRowFirstColumn="0" w:firstRowLastColumn="0" w:lastRowFirstColumn="0" w:lastRowLastColumn="0"/>
            </w:pPr>
            <w:r>
              <w:t>122 (N/A)</w:t>
            </w:r>
          </w:p>
        </w:tc>
      </w:tr>
      <w:tr w:rsidR="00EA2ED8" w:rsidTr="00EA2ED8">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D1DCEF"/>
          </w:tcPr>
          <w:p w:rsidR="00EA2ED8" w:rsidRPr="00EA2ED8" w:rsidRDefault="00EA2ED8" w:rsidP="00EA2ED8">
            <w:pPr>
              <w:spacing w:before="30" w:after="30"/>
              <w:rPr>
                <w:b/>
              </w:rPr>
            </w:pPr>
            <w:r w:rsidRPr="00EA2ED8">
              <w:rPr>
                <w:b/>
              </w:rPr>
              <w:t>Minor Variations</w:t>
            </w:r>
          </w:p>
        </w:tc>
      </w:tr>
      <w:tr w:rsidR="00EA2ED8" w:rsidTr="00806AA1">
        <w:tc>
          <w:tcPr>
            <w:cnfStyle w:val="001000000000" w:firstRow="0" w:lastRow="0" w:firstColumn="1" w:lastColumn="0" w:oddVBand="0" w:evenVBand="0" w:oddHBand="0" w:evenHBand="0" w:firstRowFirstColumn="0" w:firstRowLastColumn="0" w:lastRowFirstColumn="0" w:lastRowLastColumn="0"/>
            <w:tcW w:w="9050" w:type="dxa"/>
            <w:gridSpan w:val="4"/>
          </w:tcPr>
          <w:p w:rsidR="00EA2ED8" w:rsidRDefault="00EA2ED8" w:rsidP="00EA2ED8">
            <w:pPr>
              <w:spacing w:before="30" w:after="30"/>
            </w:pPr>
            <w:r>
              <w:t>Category 3</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ind w:left="315"/>
            </w:pPr>
            <w:r>
              <w:t xml:space="preserve">G: Minor </w:t>
            </w:r>
            <w:proofErr w:type="spellStart"/>
            <w:r>
              <w:t>variation</w:t>
            </w:r>
            <w:r w:rsidRPr="00EA2ED8">
              <w:rPr>
                <w:vertAlign w:val="superscript"/>
              </w:rPr>
              <w:t>b</w:t>
            </w:r>
            <w:proofErr w:type="spellEnd"/>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45</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40</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39 (▼3%)</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ind w:left="315"/>
            </w:pPr>
            <w:r>
              <w:t xml:space="preserve">H: Minor </w:t>
            </w:r>
            <w:proofErr w:type="spellStart"/>
            <w:r>
              <w:t>variation</w:t>
            </w:r>
            <w:r w:rsidRPr="00EA2ED8">
              <w:rPr>
                <w:vertAlign w:val="superscript"/>
              </w:rPr>
              <w:t>c</w:t>
            </w:r>
            <w:proofErr w:type="spellEnd"/>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45</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36</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35 (▼3%)</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pPr>
            <w:r>
              <w:t>Additional trade name [ATN]</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45</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43</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15 (▼65%)</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pPr>
            <w:r>
              <w:t>Safety-related request [SRR]</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35</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32 (▼9%)</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pPr>
            <w:r>
              <w:t>Self-assessable request [SAR]</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45</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41</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39 (▼5%)</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pPr>
            <w:r>
              <w:t>Minor editorial change [MEC]</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45</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27</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30 (▲11%)</w:t>
            </w:r>
          </w:p>
        </w:tc>
      </w:tr>
      <w:tr w:rsidR="00EA2ED8" w:rsidTr="00216047">
        <w:tc>
          <w:tcPr>
            <w:cnfStyle w:val="001000000000" w:firstRow="0" w:lastRow="0" w:firstColumn="1" w:lastColumn="0" w:oddVBand="0" w:evenVBand="0" w:oddHBand="0" w:evenHBand="0" w:firstRowFirstColumn="0" w:firstRowLastColumn="0" w:lastRowFirstColumn="0" w:lastRowLastColumn="0"/>
            <w:tcW w:w="3828" w:type="dxa"/>
          </w:tcPr>
          <w:p w:rsidR="00EA2ED8" w:rsidRDefault="00EA2ED8" w:rsidP="00EA2ED8">
            <w:pPr>
              <w:spacing w:before="30" w:after="30"/>
            </w:pPr>
            <w:r>
              <w:t>Correction [9D(1)]</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559"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99</w:t>
            </w:r>
          </w:p>
        </w:tc>
        <w:tc>
          <w:tcPr>
            <w:tcW w:w="2104" w:type="dxa"/>
          </w:tcPr>
          <w:p w:rsidR="00EA2ED8" w:rsidRDefault="00EA2ED8" w:rsidP="00216047">
            <w:pPr>
              <w:spacing w:before="30" w:after="30"/>
              <w:jc w:val="right"/>
              <w:cnfStyle w:val="000000000000" w:firstRow="0" w:lastRow="0" w:firstColumn="0" w:lastColumn="0" w:oddVBand="0" w:evenVBand="0" w:oddHBand="0" w:evenHBand="0" w:firstRowFirstColumn="0" w:firstRowLastColumn="0" w:lastRowFirstColumn="0" w:lastRowLastColumn="0"/>
            </w:pPr>
            <w:r>
              <w:t>186 (▲88%)</w:t>
            </w:r>
          </w:p>
        </w:tc>
      </w:tr>
    </w:tbl>
    <w:p w:rsidR="003B3EC1" w:rsidRDefault="003B3EC1" w:rsidP="00286D6B">
      <w:pPr>
        <w:pStyle w:val="FootnoteText"/>
        <w:spacing w:before="120"/>
      </w:pPr>
      <w:proofErr w:type="gramStart"/>
      <w:r w:rsidRPr="00EA2ED8">
        <w:rPr>
          <w:vertAlign w:val="superscript"/>
        </w:rPr>
        <w:t>a</w:t>
      </w:r>
      <w:proofErr w:type="gramEnd"/>
      <w:r>
        <w:t xml:space="preserve"> Median working days does not include submission processed via the priority review pathway.</w:t>
      </w:r>
    </w:p>
    <w:p w:rsidR="003B3EC1" w:rsidRDefault="003B3EC1" w:rsidP="00286D6B">
      <w:pPr>
        <w:pStyle w:val="FootnoteText"/>
        <w:spacing w:before="120"/>
      </w:pPr>
      <w:r w:rsidRPr="00EA2ED8">
        <w:rPr>
          <w:vertAlign w:val="superscript"/>
        </w:rPr>
        <w:t>b</w:t>
      </w:r>
      <w:r>
        <w:t xml:space="preserve"> The type G minor variations differ from type H minor variations in that they result in a new ARTG entry.</w:t>
      </w:r>
    </w:p>
    <w:p w:rsidR="003B3EC1" w:rsidRDefault="003B3EC1" w:rsidP="00286D6B">
      <w:pPr>
        <w:pStyle w:val="FootnoteText"/>
        <w:spacing w:before="120"/>
      </w:pPr>
      <w:r w:rsidRPr="00EA2ED8">
        <w:rPr>
          <w:vertAlign w:val="superscript"/>
        </w:rPr>
        <w:t>c</w:t>
      </w:r>
      <w:r>
        <w:t xml:space="preserve"> The minor variations (type H) included in the table above refer to applications to change the formulation, composition or design specification or the container for the goods or any other attribute that results in the goods being separate and distinct. These applications are typically ‘Category 3’ changes, unless the supporting scientific package contains non-clinical or clinical data in which case the application is a ‘Category 1’ application.</w:t>
      </w:r>
    </w:p>
    <w:p w:rsidR="003B3EC1" w:rsidRDefault="003B3EC1" w:rsidP="00EA2ED8">
      <w:pPr>
        <w:pStyle w:val="Heading4"/>
        <w:pageBreakBefore/>
        <w:spacing w:before="0"/>
      </w:pPr>
      <w:bookmarkStart w:id="20" w:name="_Toc69725941"/>
      <w:r>
        <w:lastRenderedPageBreak/>
        <w:t xml:space="preserve">1.4. </w:t>
      </w:r>
      <w:r>
        <w:tab/>
        <w:t>Orphan drug program</w:t>
      </w:r>
      <w:bookmarkEnd w:id="20"/>
    </w:p>
    <w:p w:rsidR="003B3EC1" w:rsidRDefault="003B3EC1" w:rsidP="003B3EC1">
      <w:r>
        <w:t>The objective of the orphan drug program is to provide an incentive to sponsors to bring medicines for a small population to market, and to make medicines available to Australian patients who may not otherwise be able to access them. The program incentive is a 100% waiver of TGA fees for application and registration. Designation is a formal process that allows us to make a decision regarding whether a medicine is eligible for orphan drug designation. This precedes the registration application. The eligibility criteria aim is to focus the program on the greatest unmet need. A prescription medicine must have a valid orphan drug designation at the time of application to be eligible for a waiver of application and evaluation fees.</w:t>
      </w:r>
    </w:p>
    <w:p w:rsidR="003B3EC1" w:rsidRDefault="00D76B69" w:rsidP="00D76B69">
      <w:pPr>
        <w:pStyle w:val="Tabletitle"/>
      </w:pPr>
      <w:r>
        <w:t xml:space="preserve">Table </w:t>
      </w:r>
      <w:proofErr w:type="gramStart"/>
      <w:r>
        <w:t>5</w:t>
      </w:r>
      <w:proofErr w:type="gramEnd"/>
      <w:r>
        <w:tab/>
      </w:r>
      <w:r w:rsidR="003B3EC1">
        <w:t xml:space="preserve">Orphan drug designations granted for 1 July to 31 December </w:t>
      </w:r>
    </w:p>
    <w:tbl>
      <w:tblPr>
        <w:tblStyle w:val="TableTGAblue"/>
        <w:tblW w:w="0" w:type="auto"/>
        <w:tblLook w:val="04A0" w:firstRow="1" w:lastRow="0" w:firstColumn="1" w:lastColumn="0" w:noHBand="0" w:noVBand="1"/>
      </w:tblPr>
      <w:tblGrid>
        <w:gridCol w:w="5245"/>
        <w:gridCol w:w="1985"/>
        <w:gridCol w:w="1820"/>
      </w:tblGrid>
      <w:tr w:rsidR="00D76B69"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D76B69" w:rsidRDefault="00D76B69" w:rsidP="00806AA1">
            <w:pPr>
              <w:spacing w:before="30" w:after="30"/>
            </w:pPr>
          </w:p>
        </w:tc>
        <w:tc>
          <w:tcPr>
            <w:tcW w:w="1985" w:type="dxa"/>
            <w:tcBorders>
              <w:left w:val="single" w:sz="4" w:space="0" w:color="auto"/>
              <w:right w:val="single" w:sz="4" w:space="0" w:color="auto"/>
            </w:tcBorders>
            <w:shd w:val="clear" w:color="auto" w:fill="6481A0"/>
          </w:tcPr>
          <w:p w:rsidR="00D76B69" w:rsidRDefault="00D76B69"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D76B69" w:rsidRDefault="00D76B69"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D76B69"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D76B69" w:rsidRDefault="00D76B69" w:rsidP="00806AA1">
            <w:pPr>
              <w:spacing w:before="30" w:after="30"/>
            </w:pPr>
          </w:p>
        </w:tc>
        <w:tc>
          <w:tcPr>
            <w:tcW w:w="3805" w:type="dxa"/>
            <w:gridSpan w:val="2"/>
            <w:shd w:val="clear" w:color="auto" w:fill="D1DCEF"/>
          </w:tcPr>
          <w:p w:rsidR="00D76B69" w:rsidRPr="00E761C3" w:rsidRDefault="00D76B69" w:rsidP="002406B9">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D76B69" w:rsidTr="00806AA1">
        <w:tc>
          <w:tcPr>
            <w:cnfStyle w:val="001000000000" w:firstRow="0" w:lastRow="0" w:firstColumn="1" w:lastColumn="0" w:oddVBand="0" w:evenVBand="0" w:oddHBand="0" w:evenHBand="0" w:firstRowFirstColumn="0" w:firstRowLastColumn="0" w:lastRowFirstColumn="0" w:lastRowLastColumn="0"/>
            <w:tcW w:w="5245" w:type="dxa"/>
            <w:shd w:val="clear" w:color="auto" w:fill="6481A0"/>
          </w:tcPr>
          <w:p w:rsidR="00D76B69" w:rsidRPr="00D76B69" w:rsidRDefault="00D76B69" w:rsidP="00806AA1">
            <w:pPr>
              <w:spacing w:before="30" w:after="30"/>
              <w:rPr>
                <w:b/>
              </w:rPr>
            </w:pPr>
            <w:r w:rsidRPr="00D76B69">
              <w:rPr>
                <w:b/>
                <w:color w:val="FFFFFF" w:themeColor="background1"/>
              </w:rPr>
              <w:t>Application Type (proposed)</w:t>
            </w:r>
          </w:p>
        </w:tc>
        <w:tc>
          <w:tcPr>
            <w:tcW w:w="3805" w:type="dxa"/>
            <w:gridSpan w:val="2"/>
            <w:shd w:val="clear" w:color="auto" w:fill="6481A0"/>
          </w:tcPr>
          <w:p w:rsidR="00D76B69" w:rsidRPr="00E761C3" w:rsidRDefault="00D76B69" w:rsidP="002406B9">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color w:val="FFFFFF" w:themeColor="background1"/>
              </w:rPr>
              <w:t>Number (% of total)</w:t>
            </w:r>
          </w:p>
        </w:tc>
      </w:tr>
      <w:tr w:rsidR="00D76B69" w:rsidTr="00806AA1">
        <w:tc>
          <w:tcPr>
            <w:cnfStyle w:val="001000000000" w:firstRow="0" w:lastRow="0" w:firstColumn="1" w:lastColumn="0" w:oddVBand="0" w:evenVBand="0" w:oddHBand="0" w:evenHBand="0" w:firstRowFirstColumn="0" w:firstRowLastColumn="0" w:lastRowFirstColumn="0" w:lastRowLastColumn="0"/>
            <w:tcW w:w="5245" w:type="dxa"/>
          </w:tcPr>
          <w:p w:rsidR="00D76B69" w:rsidRDefault="00D76B69" w:rsidP="00806AA1">
            <w:pPr>
              <w:spacing w:before="30" w:after="30"/>
            </w:pPr>
            <w:r>
              <w:t>A: New chemical entity/New biological entity/Fixed dose combination</w:t>
            </w:r>
          </w:p>
        </w:tc>
        <w:tc>
          <w:tcPr>
            <w:tcW w:w="1985" w:type="dxa"/>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13 (87%)</w:t>
            </w:r>
          </w:p>
        </w:tc>
        <w:tc>
          <w:tcPr>
            <w:tcW w:w="1820" w:type="dxa"/>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12 (71%)</w:t>
            </w:r>
          </w:p>
        </w:tc>
      </w:tr>
      <w:tr w:rsidR="00D76B69" w:rsidTr="00806AA1">
        <w:tc>
          <w:tcPr>
            <w:cnfStyle w:val="001000000000" w:firstRow="0" w:lastRow="0" w:firstColumn="1" w:lastColumn="0" w:oddVBand="0" w:evenVBand="0" w:oddHBand="0" w:evenHBand="0" w:firstRowFirstColumn="0" w:firstRowLastColumn="0" w:lastRowFirstColumn="0" w:lastRowLastColumn="0"/>
            <w:tcW w:w="5245" w:type="dxa"/>
          </w:tcPr>
          <w:p w:rsidR="00D76B69" w:rsidRDefault="00D76B69" w:rsidP="00806AA1">
            <w:pPr>
              <w:spacing w:before="30" w:after="30"/>
            </w:pPr>
            <w:r>
              <w:t>C: Extension of Indications</w:t>
            </w:r>
          </w:p>
        </w:tc>
        <w:tc>
          <w:tcPr>
            <w:tcW w:w="1985" w:type="dxa"/>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2 (13%)</w:t>
            </w:r>
          </w:p>
        </w:tc>
        <w:tc>
          <w:tcPr>
            <w:tcW w:w="1820" w:type="dxa"/>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4 (23%)</w:t>
            </w:r>
          </w:p>
        </w:tc>
      </w:tr>
      <w:tr w:rsidR="00D76B69" w:rsidTr="00806AA1">
        <w:tc>
          <w:tcPr>
            <w:cnfStyle w:val="001000000000" w:firstRow="0" w:lastRow="0" w:firstColumn="1" w:lastColumn="0" w:oddVBand="0" w:evenVBand="0" w:oddHBand="0" w:evenHBand="0" w:firstRowFirstColumn="0" w:firstRowLastColumn="0" w:lastRowFirstColumn="0" w:lastRowLastColumn="0"/>
            <w:tcW w:w="5245" w:type="dxa"/>
          </w:tcPr>
          <w:p w:rsidR="00D76B69" w:rsidRDefault="00D76B69" w:rsidP="00806AA1">
            <w:pPr>
              <w:spacing w:before="30" w:after="30"/>
            </w:pPr>
            <w:r>
              <w:t>F: Major Variation</w:t>
            </w:r>
          </w:p>
        </w:tc>
        <w:tc>
          <w:tcPr>
            <w:tcW w:w="1985" w:type="dxa"/>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820" w:type="dxa"/>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1 (6%)</w:t>
            </w:r>
          </w:p>
        </w:tc>
      </w:tr>
      <w:tr w:rsidR="00D76B69" w:rsidTr="00806AA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D76B69" w:rsidRPr="00E761C3" w:rsidRDefault="00D76B69" w:rsidP="00806AA1">
            <w:pPr>
              <w:spacing w:before="30" w:after="30"/>
              <w:rPr>
                <w:b/>
              </w:rPr>
            </w:pPr>
            <w:r w:rsidRPr="00E761C3">
              <w:rPr>
                <w:b/>
              </w:rPr>
              <w:t>Total</w:t>
            </w:r>
          </w:p>
        </w:tc>
        <w:tc>
          <w:tcPr>
            <w:tcW w:w="1985" w:type="dxa"/>
            <w:shd w:val="clear" w:color="auto" w:fill="D1DCEF"/>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15 (100%)</w:t>
            </w:r>
          </w:p>
        </w:tc>
        <w:tc>
          <w:tcPr>
            <w:tcW w:w="1820" w:type="dxa"/>
            <w:shd w:val="clear" w:color="auto" w:fill="D1DCEF"/>
          </w:tcPr>
          <w:p w:rsidR="00D76B69" w:rsidRDefault="00D76B69" w:rsidP="002406B9">
            <w:pPr>
              <w:spacing w:before="30" w:after="30"/>
              <w:jc w:val="right"/>
              <w:cnfStyle w:val="000000000000" w:firstRow="0" w:lastRow="0" w:firstColumn="0" w:lastColumn="0" w:oddVBand="0" w:evenVBand="0" w:oddHBand="0" w:evenHBand="0" w:firstRowFirstColumn="0" w:firstRowLastColumn="0" w:lastRowFirstColumn="0" w:lastRowLastColumn="0"/>
            </w:pPr>
            <w:r>
              <w:t>17 (100%)</w:t>
            </w:r>
          </w:p>
        </w:tc>
      </w:tr>
    </w:tbl>
    <w:p w:rsidR="003B3EC1" w:rsidRDefault="003B3EC1" w:rsidP="00D76B69">
      <w:pPr>
        <w:pStyle w:val="Tabletitle"/>
        <w:spacing w:before="360"/>
        <w:ind w:left="992" w:hanging="992"/>
      </w:pPr>
      <w:r>
        <w:t xml:space="preserve">Table </w:t>
      </w:r>
      <w:proofErr w:type="gramStart"/>
      <w:r>
        <w:t>6</w:t>
      </w:r>
      <w:proofErr w:type="gramEnd"/>
      <w:r>
        <w:tab/>
        <w:t>Orphan drug registrations for 1 July to 3</w:t>
      </w:r>
      <w:r w:rsidR="00C61683">
        <w:t>1 December</w:t>
      </w:r>
    </w:p>
    <w:tbl>
      <w:tblPr>
        <w:tblStyle w:val="TableTGAblue"/>
        <w:tblW w:w="0" w:type="auto"/>
        <w:tblLook w:val="04A0" w:firstRow="1" w:lastRow="0" w:firstColumn="1" w:lastColumn="0" w:noHBand="0" w:noVBand="1"/>
      </w:tblPr>
      <w:tblGrid>
        <w:gridCol w:w="2977"/>
        <w:gridCol w:w="1418"/>
        <w:gridCol w:w="1559"/>
        <w:gridCol w:w="1417"/>
        <w:gridCol w:w="1679"/>
      </w:tblGrid>
      <w:tr w:rsidR="00BB1D72"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nil"/>
              <w:left w:val="nil"/>
              <w:right w:val="single" w:sz="4" w:space="0" w:color="auto"/>
            </w:tcBorders>
            <w:shd w:val="clear" w:color="auto" w:fill="auto"/>
          </w:tcPr>
          <w:p w:rsidR="00BB1D72" w:rsidRDefault="00BB1D72" w:rsidP="00F554B4">
            <w:pPr>
              <w:spacing w:before="30" w:after="30"/>
            </w:pPr>
          </w:p>
        </w:tc>
        <w:tc>
          <w:tcPr>
            <w:tcW w:w="2977" w:type="dxa"/>
            <w:gridSpan w:val="2"/>
            <w:tcBorders>
              <w:left w:val="single" w:sz="4" w:space="0" w:color="auto"/>
              <w:right w:val="single" w:sz="4" w:space="0" w:color="auto"/>
            </w:tcBorders>
            <w:shd w:val="clear" w:color="auto" w:fill="6481A0"/>
          </w:tcPr>
          <w:p w:rsidR="00BB1D72" w:rsidRDefault="00BB1D72" w:rsidP="002406B9">
            <w:pPr>
              <w:spacing w:before="30" w:after="30"/>
              <w:jc w:val="center"/>
              <w:cnfStyle w:val="100000000000" w:firstRow="1" w:lastRow="0" w:firstColumn="0" w:lastColumn="0" w:oddVBand="0" w:evenVBand="0" w:oddHBand="0" w:evenHBand="0" w:firstRowFirstColumn="0" w:firstRowLastColumn="0" w:lastRowFirstColumn="0" w:lastRowLastColumn="0"/>
            </w:pPr>
            <w:r>
              <w:t>2019</w:t>
            </w:r>
          </w:p>
        </w:tc>
        <w:tc>
          <w:tcPr>
            <w:tcW w:w="3096" w:type="dxa"/>
            <w:gridSpan w:val="2"/>
            <w:tcBorders>
              <w:left w:val="single" w:sz="4" w:space="0" w:color="auto"/>
            </w:tcBorders>
            <w:shd w:val="clear" w:color="auto" w:fill="6481A0"/>
          </w:tcPr>
          <w:p w:rsidR="00BB1D72" w:rsidRDefault="00BB1D72" w:rsidP="002406B9">
            <w:pPr>
              <w:spacing w:before="30" w:after="30"/>
              <w:jc w:val="center"/>
              <w:cnfStyle w:val="100000000000" w:firstRow="1" w:lastRow="0" w:firstColumn="0" w:lastColumn="0" w:oddVBand="0" w:evenVBand="0" w:oddHBand="0" w:evenHBand="0" w:firstRowFirstColumn="0" w:firstRowLastColumn="0" w:lastRowFirstColumn="0" w:lastRowLastColumn="0"/>
            </w:pPr>
            <w:r>
              <w:t>2020</w:t>
            </w:r>
          </w:p>
        </w:tc>
      </w:tr>
      <w:tr w:rsidR="00BB1D72" w:rsidTr="00BB1D72">
        <w:tc>
          <w:tcPr>
            <w:cnfStyle w:val="001000000000" w:firstRow="0" w:lastRow="0" w:firstColumn="1" w:lastColumn="0" w:oddVBand="0" w:evenVBand="0" w:oddHBand="0" w:evenHBand="0" w:firstRowFirstColumn="0" w:firstRowLastColumn="0" w:lastRowFirstColumn="0" w:lastRowLastColumn="0"/>
            <w:tcW w:w="2977" w:type="dxa"/>
            <w:vMerge/>
            <w:tcBorders>
              <w:left w:val="nil"/>
            </w:tcBorders>
          </w:tcPr>
          <w:p w:rsidR="00BB1D72" w:rsidRDefault="00BB1D72" w:rsidP="00F554B4">
            <w:pPr>
              <w:spacing w:before="30" w:after="30"/>
            </w:pPr>
          </w:p>
        </w:tc>
        <w:tc>
          <w:tcPr>
            <w:tcW w:w="6073" w:type="dxa"/>
            <w:gridSpan w:val="4"/>
            <w:shd w:val="clear" w:color="auto" w:fill="D1DCEF"/>
          </w:tcPr>
          <w:p w:rsidR="00BB1D72" w:rsidRPr="00D76B69" w:rsidRDefault="00BB1D72" w:rsidP="002406B9">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D76B69">
              <w:rPr>
                <w:b/>
              </w:rPr>
              <w:t>1 July to 31 December</w:t>
            </w:r>
          </w:p>
        </w:tc>
      </w:tr>
      <w:tr w:rsidR="00D76B69" w:rsidTr="00BB1D72">
        <w:tc>
          <w:tcPr>
            <w:cnfStyle w:val="001000000000" w:firstRow="0" w:lastRow="0" w:firstColumn="1" w:lastColumn="0" w:oddVBand="0" w:evenVBand="0" w:oddHBand="0" w:evenHBand="0" w:firstRowFirstColumn="0" w:firstRowLastColumn="0" w:lastRowFirstColumn="0" w:lastRowLastColumn="0"/>
            <w:tcW w:w="2977" w:type="dxa"/>
            <w:shd w:val="clear" w:color="auto" w:fill="6481A0"/>
          </w:tcPr>
          <w:p w:rsidR="00D76B69" w:rsidRPr="00BB1D72" w:rsidRDefault="00BB1D72" w:rsidP="00F554B4">
            <w:pPr>
              <w:spacing w:before="30" w:after="30"/>
              <w:rPr>
                <w:b/>
                <w:color w:val="FFFFFF" w:themeColor="background1"/>
              </w:rPr>
            </w:pPr>
            <w:r w:rsidRPr="00BB1D72">
              <w:rPr>
                <w:b/>
                <w:color w:val="FFFFFF" w:themeColor="background1"/>
              </w:rPr>
              <w:t>Application Type</w:t>
            </w:r>
          </w:p>
        </w:tc>
        <w:tc>
          <w:tcPr>
            <w:tcW w:w="1418" w:type="dxa"/>
            <w:shd w:val="clear" w:color="auto" w:fill="6481A0"/>
          </w:tcPr>
          <w:p w:rsidR="00D76B69" w:rsidRPr="00BB1D72" w:rsidRDefault="00BB1D72"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Number Approved (% of total)</w:t>
            </w:r>
          </w:p>
        </w:tc>
        <w:tc>
          <w:tcPr>
            <w:tcW w:w="1559" w:type="dxa"/>
            <w:shd w:val="clear" w:color="auto" w:fill="6481A0"/>
          </w:tcPr>
          <w:p w:rsidR="00D76B69" w:rsidRPr="00BB1D72" w:rsidRDefault="00BB1D72"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Median approval time (TGA working days)</w:t>
            </w:r>
          </w:p>
        </w:tc>
        <w:tc>
          <w:tcPr>
            <w:tcW w:w="1417" w:type="dxa"/>
            <w:shd w:val="clear" w:color="auto" w:fill="6481A0"/>
          </w:tcPr>
          <w:p w:rsidR="00D76B69" w:rsidRPr="00BB1D72" w:rsidRDefault="00BB1D72"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Number Approved (% of total)</w:t>
            </w:r>
          </w:p>
        </w:tc>
        <w:tc>
          <w:tcPr>
            <w:tcW w:w="1679" w:type="dxa"/>
            <w:shd w:val="clear" w:color="auto" w:fill="6481A0"/>
          </w:tcPr>
          <w:p w:rsidR="00D76B69" w:rsidRPr="00BB1D72" w:rsidRDefault="00BB1D72"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Median approval time (TGA working days)</w:t>
            </w:r>
          </w:p>
        </w:tc>
      </w:tr>
      <w:tr w:rsidR="00D76B69" w:rsidTr="00BB1D72">
        <w:tc>
          <w:tcPr>
            <w:cnfStyle w:val="001000000000" w:firstRow="0" w:lastRow="0" w:firstColumn="1" w:lastColumn="0" w:oddVBand="0" w:evenVBand="0" w:oddHBand="0" w:evenHBand="0" w:firstRowFirstColumn="0" w:firstRowLastColumn="0" w:lastRowFirstColumn="0" w:lastRowLastColumn="0"/>
            <w:tcW w:w="2977" w:type="dxa"/>
          </w:tcPr>
          <w:p w:rsidR="00D76B69" w:rsidRDefault="00F554B4" w:rsidP="00F554B4">
            <w:pPr>
              <w:spacing w:before="30" w:after="30"/>
            </w:pPr>
            <w:r>
              <w:t>A: New chemical entity/New biological entity/Biosimilar</w:t>
            </w:r>
          </w:p>
        </w:tc>
        <w:tc>
          <w:tcPr>
            <w:tcW w:w="1418"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5 (56%)</w:t>
            </w:r>
          </w:p>
        </w:tc>
        <w:tc>
          <w:tcPr>
            <w:tcW w:w="155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198</w:t>
            </w:r>
          </w:p>
        </w:tc>
        <w:tc>
          <w:tcPr>
            <w:tcW w:w="1417"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6 (55%)</w:t>
            </w:r>
          </w:p>
        </w:tc>
        <w:tc>
          <w:tcPr>
            <w:tcW w:w="167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142</w:t>
            </w:r>
          </w:p>
        </w:tc>
      </w:tr>
      <w:tr w:rsidR="00D76B69" w:rsidTr="00BB1D72">
        <w:tc>
          <w:tcPr>
            <w:cnfStyle w:val="001000000000" w:firstRow="0" w:lastRow="0" w:firstColumn="1" w:lastColumn="0" w:oddVBand="0" w:evenVBand="0" w:oddHBand="0" w:evenHBand="0" w:firstRowFirstColumn="0" w:firstRowLastColumn="0" w:lastRowFirstColumn="0" w:lastRowLastColumn="0"/>
            <w:tcW w:w="2977" w:type="dxa"/>
          </w:tcPr>
          <w:p w:rsidR="00D76B69" w:rsidRDefault="00F554B4" w:rsidP="00F554B4">
            <w:pPr>
              <w:spacing w:before="30" w:after="30"/>
            </w:pPr>
            <w:r>
              <w:t>C: Extension of Indications</w:t>
            </w:r>
          </w:p>
        </w:tc>
        <w:tc>
          <w:tcPr>
            <w:tcW w:w="1418"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4 (44%)</w:t>
            </w:r>
          </w:p>
        </w:tc>
        <w:tc>
          <w:tcPr>
            <w:tcW w:w="155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196</w:t>
            </w:r>
          </w:p>
        </w:tc>
        <w:tc>
          <w:tcPr>
            <w:tcW w:w="1417"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2 (18%)</w:t>
            </w:r>
          </w:p>
        </w:tc>
        <w:tc>
          <w:tcPr>
            <w:tcW w:w="167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110</w:t>
            </w:r>
          </w:p>
        </w:tc>
      </w:tr>
      <w:tr w:rsidR="00D76B69" w:rsidTr="00BB1D72">
        <w:tc>
          <w:tcPr>
            <w:cnfStyle w:val="001000000000" w:firstRow="0" w:lastRow="0" w:firstColumn="1" w:lastColumn="0" w:oddVBand="0" w:evenVBand="0" w:oddHBand="0" w:evenHBand="0" w:firstRowFirstColumn="0" w:firstRowLastColumn="0" w:lastRowFirstColumn="0" w:lastRowLastColumn="0"/>
            <w:tcW w:w="2977" w:type="dxa"/>
          </w:tcPr>
          <w:p w:rsidR="00D76B69" w:rsidRDefault="00F554B4" w:rsidP="00F554B4">
            <w:pPr>
              <w:spacing w:before="30" w:after="30"/>
            </w:pPr>
            <w:r>
              <w:t>D: New generic medicine</w:t>
            </w:r>
          </w:p>
        </w:tc>
        <w:tc>
          <w:tcPr>
            <w:tcW w:w="1418"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55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417"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 (9%)</w:t>
            </w:r>
          </w:p>
        </w:tc>
        <w:tc>
          <w:tcPr>
            <w:tcW w:w="167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172</w:t>
            </w:r>
          </w:p>
        </w:tc>
      </w:tr>
      <w:tr w:rsidR="00D76B69" w:rsidTr="00BB1D72">
        <w:tc>
          <w:tcPr>
            <w:cnfStyle w:val="001000000000" w:firstRow="0" w:lastRow="0" w:firstColumn="1" w:lastColumn="0" w:oddVBand="0" w:evenVBand="0" w:oddHBand="0" w:evenHBand="0" w:firstRowFirstColumn="0" w:firstRowLastColumn="0" w:lastRowFirstColumn="0" w:lastRowLastColumn="0"/>
            <w:tcW w:w="2977" w:type="dxa"/>
          </w:tcPr>
          <w:p w:rsidR="00D76B69" w:rsidRDefault="00F554B4" w:rsidP="00F554B4">
            <w:pPr>
              <w:spacing w:before="30" w:after="30"/>
            </w:pPr>
            <w:r>
              <w:t>F: Major Variation</w:t>
            </w:r>
          </w:p>
        </w:tc>
        <w:tc>
          <w:tcPr>
            <w:tcW w:w="1418"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55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417"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2 (18%)</w:t>
            </w:r>
          </w:p>
        </w:tc>
        <w:tc>
          <w:tcPr>
            <w:tcW w:w="1679" w:type="dxa"/>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193</w:t>
            </w:r>
          </w:p>
        </w:tc>
      </w:tr>
      <w:tr w:rsidR="00D76B69" w:rsidTr="00F554B4">
        <w:tc>
          <w:tcPr>
            <w:cnfStyle w:val="001000000000" w:firstRow="0" w:lastRow="0" w:firstColumn="1" w:lastColumn="0" w:oddVBand="0" w:evenVBand="0" w:oddHBand="0" w:evenHBand="0" w:firstRowFirstColumn="0" w:firstRowLastColumn="0" w:lastRowFirstColumn="0" w:lastRowLastColumn="0"/>
            <w:tcW w:w="2977" w:type="dxa"/>
            <w:shd w:val="clear" w:color="auto" w:fill="D1DCEF"/>
          </w:tcPr>
          <w:p w:rsidR="00D76B69" w:rsidRPr="00F554B4" w:rsidRDefault="00F554B4" w:rsidP="00F554B4">
            <w:pPr>
              <w:spacing w:before="30" w:after="30"/>
              <w:rPr>
                <w:b/>
              </w:rPr>
            </w:pPr>
            <w:r w:rsidRPr="00F554B4">
              <w:rPr>
                <w:b/>
              </w:rPr>
              <w:t>Total</w:t>
            </w:r>
          </w:p>
        </w:tc>
        <w:tc>
          <w:tcPr>
            <w:tcW w:w="1418" w:type="dxa"/>
            <w:shd w:val="clear" w:color="auto" w:fill="D1DCEF"/>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9 (100%)</w:t>
            </w:r>
          </w:p>
        </w:tc>
        <w:tc>
          <w:tcPr>
            <w:tcW w:w="1559" w:type="dxa"/>
            <w:shd w:val="clear" w:color="auto" w:fill="D1DCEF"/>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198</w:t>
            </w:r>
          </w:p>
        </w:tc>
        <w:tc>
          <w:tcPr>
            <w:tcW w:w="1417" w:type="dxa"/>
            <w:shd w:val="clear" w:color="auto" w:fill="D1DCEF"/>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11 (100%)</w:t>
            </w:r>
          </w:p>
        </w:tc>
        <w:tc>
          <w:tcPr>
            <w:tcW w:w="1679" w:type="dxa"/>
            <w:shd w:val="clear" w:color="auto" w:fill="D1DCEF"/>
          </w:tcPr>
          <w:p w:rsidR="00D76B69" w:rsidRDefault="00F554B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144</w:t>
            </w:r>
          </w:p>
        </w:tc>
      </w:tr>
    </w:tbl>
    <w:p w:rsidR="003B3EC1" w:rsidRDefault="003B3EC1" w:rsidP="00F554B4">
      <w:pPr>
        <w:pStyle w:val="Heading4"/>
        <w:pageBreakBefore/>
        <w:spacing w:before="0"/>
      </w:pPr>
      <w:bookmarkStart w:id="21" w:name="_Toc69725942"/>
      <w:r>
        <w:lastRenderedPageBreak/>
        <w:t xml:space="preserve">1.5. </w:t>
      </w:r>
      <w:r>
        <w:tab/>
        <w:t>Priority review pathway</w:t>
      </w:r>
      <w:bookmarkEnd w:id="21"/>
    </w:p>
    <w:p w:rsidR="003B3EC1" w:rsidRDefault="003B3EC1" w:rsidP="003B3EC1">
      <w:r>
        <w:t xml:space="preserve">The priority review pathway supports patient access to vital and lifesaving prescription medicines months earlier than through the standard pathway. Priority review involves the same amount and type of evidence as the standard review process. The same standards for quality, safety, and efficacy apply as under the standard process. The flexible approach we take on priority applications is much more resource-intensive than the standard pathway. The pathway </w:t>
      </w:r>
      <w:proofErr w:type="gramStart"/>
      <w:r>
        <w:t>is reserved</w:t>
      </w:r>
      <w:proofErr w:type="gramEnd"/>
      <w:r>
        <w:t xml:space="preserve"> only for medicines that represent a major therapeutic advance. The determination process </w:t>
      </w:r>
      <w:proofErr w:type="gramStart"/>
      <w:r>
        <w:t>is used</w:t>
      </w:r>
      <w:proofErr w:type="gramEnd"/>
      <w:r>
        <w:t xml:space="preserve"> to assess whether a medicine is eligible for the priority pathway but does not necessarily mean that the medicine will be approved after evaluation and registered on the ARTG.</w:t>
      </w:r>
    </w:p>
    <w:p w:rsidR="003B3EC1" w:rsidRDefault="003B3EC1" w:rsidP="00616354">
      <w:pPr>
        <w:pStyle w:val="Tabletitle"/>
      </w:pPr>
      <w:r>
        <w:t xml:space="preserve">Table </w:t>
      </w:r>
      <w:proofErr w:type="gramStart"/>
      <w:r>
        <w:t>7</w:t>
      </w:r>
      <w:proofErr w:type="gramEnd"/>
      <w:r>
        <w:tab/>
        <w:t>Priority determinations gr</w:t>
      </w:r>
      <w:r w:rsidR="00CE6AAA">
        <w:t>anted for 1 July to 31 December</w:t>
      </w:r>
    </w:p>
    <w:tbl>
      <w:tblPr>
        <w:tblStyle w:val="TableTGAblue"/>
        <w:tblW w:w="0" w:type="auto"/>
        <w:tblLook w:val="04A0" w:firstRow="1" w:lastRow="0" w:firstColumn="1" w:lastColumn="0" w:noHBand="0" w:noVBand="1"/>
      </w:tblPr>
      <w:tblGrid>
        <w:gridCol w:w="5245"/>
        <w:gridCol w:w="1985"/>
        <w:gridCol w:w="1820"/>
      </w:tblGrid>
      <w:tr w:rsidR="00616354"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616354" w:rsidRDefault="00616354" w:rsidP="00806AA1">
            <w:pPr>
              <w:spacing w:before="30" w:after="30"/>
            </w:pPr>
          </w:p>
        </w:tc>
        <w:tc>
          <w:tcPr>
            <w:tcW w:w="1985" w:type="dxa"/>
            <w:tcBorders>
              <w:left w:val="single" w:sz="4" w:space="0" w:color="auto"/>
              <w:right w:val="single" w:sz="4" w:space="0" w:color="auto"/>
            </w:tcBorders>
            <w:shd w:val="clear" w:color="auto" w:fill="6481A0"/>
          </w:tcPr>
          <w:p w:rsidR="00616354" w:rsidRDefault="00616354"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616354" w:rsidRDefault="00616354"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616354"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616354" w:rsidRDefault="00616354" w:rsidP="00806AA1">
            <w:pPr>
              <w:spacing w:before="30" w:after="30"/>
            </w:pPr>
          </w:p>
        </w:tc>
        <w:tc>
          <w:tcPr>
            <w:tcW w:w="3805" w:type="dxa"/>
            <w:gridSpan w:val="2"/>
            <w:shd w:val="clear" w:color="auto" w:fill="D1DCEF"/>
          </w:tcPr>
          <w:p w:rsidR="00616354" w:rsidRDefault="00616354" w:rsidP="002406B9">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C61683" w:rsidRPr="00E761C3" w:rsidRDefault="00C61683" w:rsidP="002406B9">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C61683">
              <w:rPr>
                <w:b/>
                <w:color w:val="auto"/>
              </w:rPr>
              <w:t>Number (% of total)</w:t>
            </w:r>
          </w:p>
        </w:tc>
      </w:tr>
      <w:tr w:rsidR="00C61683" w:rsidTr="007B7F5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C61683" w:rsidRPr="00E761C3" w:rsidRDefault="00C61683" w:rsidP="00C61683">
            <w:pPr>
              <w:spacing w:before="30" w:after="30"/>
              <w:rPr>
                <w:b/>
              </w:rPr>
            </w:pPr>
            <w:r w:rsidRPr="00D76B69">
              <w:rPr>
                <w:b/>
                <w:color w:val="FFFFFF" w:themeColor="background1"/>
              </w:rPr>
              <w:t>Application Type (proposed)</w:t>
            </w:r>
          </w:p>
        </w:tc>
      </w:tr>
      <w:tr w:rsidR="00616354" w:rsidTr="00806AA1">
        <w:tc>
          <w:tcPr>
            <w:cnfStyle w:val="001000000000" w:firstRow="0" w:lastRow="0" w:firstColumn="1" w:lastColumn="0" w:oddVBand="0" w:evenVBand="0" w:oddHBand="0" w:evenHBand="0" w:firstRowFirstColumn="0" w:firstRowLastColumn="0" w:lastRowFirstColumn="0" w:lastRowLastColumn="0"/>
            <w:tcW w:w="5245" w:type="dxa"/>
          </w:tcPr>
          <w:p w:rsidR="00616354" w:rsidRDefault="00616354" w:rsidP="00806AA1">
            <w:pPr>
              <w:spacing w:before="30" w:after="30"/>
            </w:pPr>
            <w:r>
              <w:t>A: New chemical entity/New biological entity/Fixed dose combination</w:t>
            </w:r>
          </w:p>
        </w:tc>
        <w:tc>
          <w:tcPr>
            <w:tcW w:w="1985" w:type="dxa"/>
          </w:tcPr>
          <w:p w:rsidR="00616354" w:rsidRDefault="00616354" w:rsidP="002406B9">
            <w:pPr>
              <w:spacing w:before="30" w:after="30"/>
              <w:jc w:val="right"/>
              <w:cnfStyle w:val="000000000000" w:firstRow="0" w:lastRow="0" w:firstColumn="0" w:lastColumn="0" w:oddVBand="0" w:evenVBand="0" w:oddHBand="0" w:evenHBand="0" w:firstRowFirstColumn="0" w:firstRowLastColumn="0" w:lastRowFirstColumn="0" w:lastRowLastColumn="0"/>
            </w:pPr>
            <w:r>
              <w:t>4 (100%)</w:t>
            </w:r>
          </w:p>
        </w:tc>
        <w:tc>
          <w:tcPr>
            <w:tcW w:w="1820" w:type="dxa"/>
          </w:tcPr>
          <w:p w:rsidR="00616354" w:rsidRDefault="00616354" w:rsidP="002406B9">
            <w:pPr>
              <w:spacing w:before="30" w:after="30"/>
              <w:jc w:val="right"/>
              <w:cnfStyle w:val="000000000000" w:firstRow="0" w:lastRow="0" w:firstColumn="0" w:lastColumn="0" w:oddVBand="0" w:evenVBand="0" w:oddHBand="0" w:evenHBand="0" w:firstRowFirstColumn="0" w:firstRowLastColumn="0" w:lastRowFirstColumn="0" w:lastRowLastColumn="0"/>
            </w:pPr>
            <w:r>
              <w:t>4 (36%)</w:t>
            </w:r>
          </w:p>
        </w:tc>
      </w:tr>
      <w:tr w:rsidR="00616354" w:rsidTr="00806AA1">
        <w:tc>
          <w:tcPr>
            <w:cnfStyle w:val="001000000000" w:firstRow="0" w:lastRow="0" w:firstColumn="1" w:lastColumn="0" w:oddVBand="0" w:evenVBand="0" w:oddHBand="0" w:evenHBand="0" w:firstRowFirstColumn="0" w:firstRowLastColumn="0" w:lastRowFirstColumn="0" w:lastRowLastColumn="0"/>
            <w:tcW w:w="5245" w:type="dxa"/>
          </w:tcPr>
          <w:p w:rsidR="00616354" w:rsidRDefault="00616354" w:rsidP="00806AA1">
            <w:pPr>
              <w:spacing w:before="30" w:after="30"/>
            </w:pPr>
            <w:r>
              <w:t>C: Extension of indications</w:t>
            </w:r>
          </w:p>
        </w:tc>
        <w:tc>
          <w:tcPr>
            <w:tcW w:w="1985" w:type="dxa"/>
          </w:tcPr>
          <w:p w:rsidR="00616354" w:rsidRDefault="00616354" w:rsidP="002406B9">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820" w:type="dxa"/>
          </w:tcPr>
          <w:p w:rsidR="00616354" w:rsidRDefault="00616354" w:rsidP="002406B9">
            <w:pPr>
              <w:spacing w:before="30" w:after="30"/>
              <w:jc w:val="right"/>
              <w:cnfStyle w:val="000000000000" w:firstRow="0" w:lastRow="0" w:firstColumn="0" w:lastColumn="0" w:oddVBand="0" w:evenVBand="0" w:oddHBand="0" w:evenHBand="0" w:firstRowFirstColumn="0" w:firstRowLastColumn="0" w:lastRowFirstColumn="0" w:lastRowLastColumn="0"/>
            </w:pPr>
            <w:r>
              <w:t>7 (64%)</w:t>
            </w:r>
          </w:p>
        </w:tc>
      </w:tr>
      <w:tr w:rsidR="00616354" w:rsidTr="00806AA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616354" w:rsidRPr="00E761C3" w:rsidRDefault="00616354" w:rsidP="00806AA1">
            <w:pPr>
              <w:spacing w:before="30" w:after="30"/>
              <w:rPr>
                <w:b/>
              </w:rPr>
            </w:pPr>
            <w:r w:rsidRPr="00E761C3">
              <w:rPr>
                <w:b/>
              </w:rPr>
              <w:t>Total</w:t>
            </w:r>
          </w:p>
        </w:tc>
        <w:tc>
          <w:tcPr>
            <w:tcW w:w="1985" w:type="dxa"/>
            <w:shd w:val="clear" w:color="auto" w:fill="D1DCEF"/>
          </w:tcPr>
          <w:p w:rsidR="00616354" w:rsidRDefault="00616354" w:rsidP="002406B9">
            <w:pPr>
              <w:spacing w:before="30" w:after="30"/>
              <w:jc w:val="right"/>
              <w:cnfStyle w:val="000000000000" w:firstRow="0" w:lastRow="0" w:firstColumn="0" w:lastColumn="0" w:oddVBand="0" w:evenVBand="0" w:oddHBand="0" w:evenHBand="0" w:firstRowFirstColumn="0" w:firstRowLastColumn="0" w:lastRowFirstColumn="0" w:lastRowLastColumn="0"/>
            </w:pPr>
            <w:r>
              <w:t>4 (100%)</w:t>
            </w:r>
          </w:p>
        </w:tc>
        <w:tc>
          <w:tcPr>
            <w:tcW w:w="1820" w:type="dxa"/>
            <w:shd w:val="clear" w:color="auto" w:fill="D1DCEF"/>
          </w:tcPr>
          <w:p w:rsidR="00616354" w:rsidRDefault="00616354" w:rsidP="002406B9">
            <w:pPr>
              <w:spacing w:before="30" w:after="30"/>
              <w:jc w:val="right"/>
              <w:cnfStyle w:val="000000000000" w:firstRow="0" w:lastRow="0" w:firstColumn="0" w:lastColumn="0" w:oddVBand="0" w:evenVBand="0" w:oddHBand="0" w:evenHBand="0" w:firstRowFirstColumn="0" w:firstRowLastColumn="0" w:lastRowFirstColumn="0" w:lastRowLastColumn="0"/>
            </w:pPr>
            <w:r>
              <w:t>11 (100%)</w:t>
            </w:r>
          </w:p>
        </w:tc>
      </w:tr>
    </w:tbl>
    <w:p w:rsidR="003B3EC1" w:rsidRDefault="003B3EC1" w:rsidP="00CE6AAA">
      <w:pPr>
        <w:pStyle w:val="Tabletitle"/>
        <w:spacing w:before="360"/>
        <w:ind w:left="992" w:hanging="992"/>
      </w:pPr>
      <w:r>
        <w:t xml:space="preserve">Table </w:t>
      </w:r>
      <w:proofErr w:type="gramStart"/>
      <w:r>
        <w:t>8</w:t>
      </w:r>
      <w:proofErr w:type="gramEnd"/>
      <w:r>
        <w:tab/>
        <w:t xml:space="preserve">Medicines approved through the priority review </w:t>
      </w:r>
      <w:proofErr w:type="spellStart"/>
      <w:r>
        <w:t>pathway</w:t>
      </w:r>
      <w:r w:rsidRPr="00CE6AAA">
        <w:rPr>
          <w:vertAlign w:val="superscript"/>
        </w:rPr>
        <w:t>a</w:t>
      </w:r>
      <w:proofErr w:type="spellEnd"/>
      <w:r>
        <w:t xml:space="preserve"> for 1 July to </w:t>
      </w:r>
      <w:r w:rsidR="00CE6AAA">
        <w:br/>
      </w:r>
      <w:r>
        <w:t xml:space="preserve">31 December </w:t>
      </w:r>
    </w:p>
    <w:tbl>
      <w:tblPr>
        <w:tblStyle w:val="TableTGAblue"/>
        <w:tblW w:w="0" w:type="auto"/>
        <w:tblLook w:val="04A0" w:firstRow="1" w:lastRow="0" w:firstColumn="1" w:lastColumn="0" w:noHBand="0" w:noVBand="1"/>
      </w:tblPr>
      <w:tblGrid>
        <w:gridCol w:w="2944"/>
        <w:gridCol w:w="1412"/>
        <w:gridCol w:w="1630"/>
        <w:gridCol w:w="1411"/>
        <w:gridCol w:w="1663"/>
      </w:tblGrid>
      <w:tr w:rsidR="00CE6AAA"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nil"/>
              <w:left w:val="nil"/>
              <w:right w:val="single" w:sz="4" w:space="0" w:color="auto"/>
            </w:tcBorders>
            <w:shd w:val="clear" w:color="auto" w:fill="auto"/>
          </w:tcPr>
          <w:p w:rsidR="00CE6AAA" w:rsidRDefault="00CE6AAA" w:rsidP="00806AA1">
            <w:pPr>
              <w:spacing w:before="30" w:after="30"/>
            </w:pPr>
          </w:p>
        </w:tc>
        <w:tc>
          <w:tcPr>
            <w:tcW w:w="2977" w:type="dxa"/>
            <w:gridSpan w:val="2"/>
            <w:tcBorders>
              <w:left w:val="single" w:sz="4" w:space="0" w:color="auto"/>
              <w:right w:val="single" w:sz="4" w:space="0" w:color="auto"/>
            </w:tcBorders>
            <w:shd w:val="clear" w:color="auto" w:fill="6481A0"/>
          </w:tcPr>
          <w:p w:rsidR="00CE6AAA" w:rsidRDefault="00CE6AAA" w:rsidP="002406B9">
            <w:pPr>
              <w:spacing w:before="30" w:after="30"/>
              <w:jc w:val="center"/>
              <w:cnfStyle w:val="100000000000" w:firstRow="1" w:lastRow="0" w:firstColumn="0" w:lastColumn="0" w:oddVBand="0" w:evenVBand="0" w:oddHBand="0" w:evenHBand="0" w:firstRowFirstColumn="0" w:firstRowLastColumn="0" w:lastRowFirstColumn="0" w:lastRowLastColumn="0"/>
            </w:pPr>
            <w:r>
              <w:t>2019</w:t>
            </w:r>
          </w:p>
        </w:tc>
        <w:tc>
          <w:tcPr>
            <w:tcW w:w="3096" w:type="dxa"/>
            <w:gridSpan w:val="2"/>
            <w:tcBorders>
              <w:left w:val="single" w:sz="4" w:space="0" w:color="auto"/>
            </w:tcBorders>
            <w:shd w:val="clear" w:color="auto" w:fill="6481A0"/>
          </w:tcPr>
          <w:p w:rsidR="00CE6AAA" w:rsidRDefault="00CE6AAA" w:rsidP="002406B9">
            <w:pPr>
              <w:spacing w:before="30" w:after="30"/>
              <w:jc w:val="center"/>
              <w:cnfStyle w:val="100000000000" w:firstRow="1" w:lastRow="0" w:firstColumn="0" w:lastColumn="0" w:oddVBand="0" w:evenVBand="0" w:oddHBand="0" w:evenHBand="0" w:firstRowFirstColumn="0" w:firstRowLastColumn="0" w:lastRowFirstColumn="0" w:lastRowLastColumn="0"/>
            </w:pPr>
            <w:r>
              <w:t>2020</w:t>
            </w:r>
          </w:p>
        </w:tc>
      </w:tr>
      <w:tr w:rsidR="00CE6AAA" w:rsidTr="00806AA1">
        <w:tc>
          <w:tcPr>
            <w:cnfStyle w:val="001000000000" w:firstRow="0" w:lastRow="0" w:firstColumn="1" w:lastColumn="0" w:oddVBand="0" w:evenVBand="0" w:oddHBand="0" w:evenHBand="0" w:firstRowFirstColumn="0" w:firstRowLastColumn="0" w:lastRowFirstColumn="0" w:lastRowLastColumn="0"/>
            <w:tcW w:w="2977" w:type="dxa"/>
            <w:vMerge/>
            <w:tcBorders>
              <w:left w:val="nil"/>
            </w:tcBorders>
          </w:tcPr>
          <w:p w:rsidR="00CE6AAA" w:rsidRDefault="00CE6AAA" w:rsidP="00806AA1">
            <w:pPr>
              <w:spacing w:before="30" w:after="30"/>
            </w:pPr>
          </w:p>
        </w:tc>
        <w:tc>
          <w:tcPr>
            <w:tcW w:w="6073" w:type="dxa"/>
            <w:gridSpan w:val="4"/>
            <w:shd w:val="clear" w:color="auto" w:fill="D1DCEF"/>
          </w:tcPr>
          <w:p w:rsidR="00CE6AAA" w:rsidRPr="00D76B69" w:rsidRDefault="00CE6AAA" w:rsidP="002406B9">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D76B69">
              <w:rPr>
                <w:b/>
              </w:rPr>
              <w:t>1 July to 31 December</w:t>
            </w:r>
          </w:p>
        </w:tc>
      </w:tr>
      <w:tr w:rsidR="00CE6AAA" w:rsidTr="00806AA1">
        <w:tc>
          <w:tcPr>
            <w:cnfStyle w:val="001000000000" w:firstRow="0" w:lastRow="0" w:firstColumn="1" w:lastColumn="0" w:oddVBand="0" w:evenVBand="0" w:oddHBand="0" w:evenHBand="0" w:firstRowFirstColumn="0" w:firstRowLastColumn="0" w:lastRowFirstColumn="0" w:lastRowLastColumn="0"/>
            <w:tcW w:w="2977" w:type="dxa"/>
            <w:shd w:val="clear" w:color="auto" w:fill="6481A0"/>
          </w:tcPr>
          <w:p w:rsidR="00CE6AAA" w:rsidRPr="00BB1D72" w:rsidRDefault="00CE6AAA" w:rsidP="00806AA1">
            <w:pPr>
              <w:spacing w:before="30" w:after="30"/>
              <w:rPr>
                <w:b/>
                <w:color w:val="FFFFFF" w:themeColor="background1"/>
              </w:rPr>
            </w:pPr>
            <w:r w:rsidRPr="00BB1D72">
              <w:rPr>
                <w:b/>
                <w:color w:val="FFFFFF" w:themeColor="background1"/>
              </w:rPr>
              <w:t>Application Type</w:t>
            </w:r>
          </w:p>
        </w:tc>
        <w:tc>
          <w:tcPr>
            <w:tcW w:w="1418" w:type="dxa"/>
            <w:shd w:val="clear" w:color="auto" w:fill="6481A0"/>
          </w:tcPr>
          <w:p w:rsidR="00CE6AAA" w:rsidRPr="00BB1D72"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Number Approved (% of total)</w:t>
            </w:r>
          </w:p>
        </w:tc>
        <w:tc>
          <w:tcPr>
            <w:tcW w:w="1559" w:type="dxa"/>
            <w:shd w:val="clear" w:color="auto" w:fill="6481A0"/>
          </w:tcPr>
          <w:p w:rsidR="00CE6AAA" w:rsidRPr="00BB1D72"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Median approval time (TGA</w:t>
            </w:r>
            <w:r w:rsidR="002406B9">
              <w:rPr>
                <w:b/>
                <w:color w:val="FFFFFF" w:themeColor="background1"/>
              </w:rPr>
              <w:t> </w:t>
            </w:r>
            <w:r w:rsidRPr="00BB1D72">
              <w:rPr>
                <w:b/>
                <w:color w:val="FFFFFF" w:themeColor="background1"/>
              </w:rPr>
              <w:t>working days)</w:t>
            </w:r>
          </w:p>
        </w:tc>
        <w:tc>
          <w:tcPr>
            <w:tcW w:w="1417" w:type="dxa"/>
            <w:shd w:val="clear" w:color="auto" w:fill="6481A0"/>
          </w:tcPr>
          <w:p w:rsidR="00CE6AAA" w:rsidRPr="00BB1D72"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Number Approved (% of total)</w:t>
            </w:r>
          </w:p>
        </w:tc>
        <w:tc>
          <w:tcPr>
            <w:tcW w:w="1679" w:type="dxa"/>
            <w:shd w:val="clear" w:color="auto" w:fill="6481A0"/>
          </w:tcPr>
          <w:p w:rsidR="00CE6AAA" w:rsidRPr="00BB1D72"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Median approval time (TGA working days)</w:t>
            </w:r>
          </w:p>
        </w:tc>
      </w:tr>
      <w:tr w:rsidR="00CE6AAA" w:rsidTr="00806AA1">
        <w:tc>
          <w:tcPr>
            <w:cnfStyle w:val="001000000000" w:firstRow="0" w:lastRow="0" w:firstColumn="1" w:lastColumn="0" w:oddVBand="0" w:evenVBand="0" w:oddHBand="0" w:evenHBand="0" w:firstRowFirstColumn="0" w:firstRowLastColumn="0" w:lastRowFirstColumn="0" w:lastRowLastColumn="0"/>
            <w:tcW w:w="2977" w:type="dxa"/>
          </w:tcPr>
          <w:p w:rsidR="00CE6AAA" w:rsidRDefault="00CE6AAA" w:rsidP="00806AA1">
            <w:pPr>
              <w:spacing w:before="30" w:after="30"/>
            </w:pPr>
            <w:r>
              <w:t>A: New chemical entity/New biological entity/Biosimilar</w:t>
            </w:r>
          </w:p>
        </w:tc>
        <w:tc>
          <w:tcPr>
            <w:tcW w:w="1418"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3 (75%)</w:t>
            </w:r>
          </w:p>
        </w:tc>
        <w:tc>
          <w:tcPr>
            <w:tcW w:w="1559"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130</w:t>
            </w:r>
          </w:p>
        </w:tc>
        <w:tc>
          <w:tcPr>
            <w:tcW w:w="1417"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3 (50%)</w:t>
            </w:r>
          </w:p>
        </w:tc>
        <w:tc>
          <w:tcPr>
            <w:tcW w:w="1679"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123</w:t>
            </w:r>
          </w:p>
        </w:tc>
      </w:tr>
      <w:tr w:rsidR="00CE6AAA" w:rsidTr="00806AA1">
        <w:tc>
          <w:tcPr>
            <w:cnfStyle w:val="001000000000" w:firstRow="0" w:lastRow="0" w:firstColumn="1" w:lastColumn="0" w:oddVBand="0" w:evenVBand="0" w:oddHBand="0" w:evenHBand="0" w:firstRowFirstColumn="0" w:firstRowLastColumn="0" w:lastRowFirstColumn="0" w:lastRowLastColumn="0"/>
            <w:tcW w:w="2977" w:type="dxa"/>
          </w:tcPr>
          <w:p w:rsidR="00CE6AAA" w:rsidRDefault="00CE6AAA" w:rsidP="00806AA1">
            <w:pPr>
              <w:spacing w:before="30" w:after="30"/>
            </w:pPr>
            <w:r>
              <w:t>C: Extension of Indications</w:t>
            </w:r>
          </w:p>
        </w:tc>
        <w:tc>
          <w:tcPr>
            <w:tcW w:w="1418"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 (25%)</w:t>
            </w:r>
          </w:p>
        </w:tc>
        <w:tc>
          <w:tcPr>
            <w:tcW w:w="1559"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105</w:t>
            </w:r>
          </w:p>
        </w:tc>
        <w:tc>
          <w:tcPr>
            <w:tcW w:w="1417"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2 (33%)</w:t>
            </w:r>
          </w:p>
        </w:tc>
        <w:tc>
          <w:tcPr>
            <w:tcW w:w="1679"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110</w:t>
            </w:r>
          </w:p>
        </w:tc>
      </w:tr>
      <w:tr w:rsidR="00CE6AAA" w:rsidTr="00806AA1">
        <w:tc>
          <w:tcPr>
            <w:cnfStyle w:val="001000000000" w:firstRow="0" w:lastRow="0" w:firstColumn="1" w:lastColumn="0" w:oddVBand="0" w:evenVBand="0" w:oddHBand="0" w:evenHBand="0" w:firstRowFirstColumn="0" w:firstRowLastColumn="0" w:lastRowFirstColumn="0" w:lastRowLastColumn="0"/>
            <w:tcW w:w="2977" w:type="dxa"/>
          </w:tcPr>
          <w:p w:rsidR="00CE6AAA" w:rsidRDefault="00CE6AAA" w:rsidP="00806AA1">
            <w:pPr>
              <w:spacing w:before="30" w:after="30"/>
            </w:pPr>
            <w:r>
              <w:t>S: Provisional to full registration</w:t>
            </w:r>
          </w:p>
        </w:tc>
        <w:tc>
          <w:tcPr>
            <w:tcW w:w="1418"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559"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417"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 (17%)</w:t>
            </w:r>
          </w:p>
        </w:tc>
        <w:tc>
          <w:tcPr>
            <w:tcW w:w="1679" w:type="dxa"/>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99</w:t>
            </w:r>
          </w:p>
        </w:tc>
      </w:tr>
      <w:tr w:rsidR="00CE6AAA" w:rsidTr="00806AA1">
        <w:tc>
          <w:tcPr>
            <w:cnfStyle w:val="001000000000" w:firstRow="0" w:lastRow="0" w:firstColumn="1" w:lastColumn="0" w:oddVBand="0" w:evenVBand="0" w:oddHBand="0" w:evenHBand="0" w:firstRowFirstColumn="0" w:firstRowLastColumn="0" w:lastRowFirstColumn="0" w:lastRowLastColumn="0"/>
            <w:tcW w:w="2977" w:type="dxa"/>
            <w:shd w:val="clear" w:color="auto" w:fill="D1DCEF"/>
          </w:tcPr>
          <w:p w:rsidR="00CE6AAA" w:rsidRPr="00F554B4" w:rsidRDefault="00CE6AAA" w:rsidP="00806AA1">
            <w:pPr>
              <w:spacing w:before="30" w:after="30"/>
              <w:rPr>
                <w:b/>
              </w:rPr>
            </w:pPr>
            <w:r w:rsidRPr="00F554B4">
              <w:rPr>
                <w:b/>
              </w:rPr>
              <w:t>Total</w:t>
            </w:r>
          </w:p>
        </w:tc>
        <w:tc>
          <w:tcPr>
            <w:tcW w:w="1418" w:type="dxa"/>
            <w:shd w:val="clear" w:color="auto" w:fill="D1DCEF"/>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4 (100%)</w:t>
            </w:r>
          </w:p>
        </w:tc>
        <w:tc>
          <w:tcPr>
            <w:tcW w:w="1559" w:type="dxa"/>
            <w:shd w:val="clear" w:color="auto" w:fill="D1DCEF"/>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125</w:t>
            </w:r>
          </w:p>
        </w:tc>
        <w:tc>
          <w:tcPr>
            <w:tcW w:w="1417" w:type="dxa"/>
            <w:shd w:val="clear" w:color="auto" w:fill="D1DCEF"/>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6 (100%)</w:t>
            </w:r>
          </w:p>
        </w:tc>
        <w:tc>
          <w:tcPr>
            <w:tcW w:w="1679" w:type="dxa"/>
            <w:shd w:val="clear" w:color="auto" w:fill="D1DCEF"/>
          </w:tcPr>
          <w:p w:rsidR="00CE6AAA" w:rsidRDefault="00CE6AAA" w:rsidP="002406B9">
            <w:pPr>
              <w:spacing w:before="30" w:after="30"/>
              <w:jc w:val="right"/>
              <w:cnfStyle w:val="000000000000" w:firstRow="0" w:lastRow="0" w:firstColumn="0" w:lastColumn="0" w:oddVBand="0" w:evenVBand="0" w:oddHBand="0" w:evenHBand="0" w:firstRowFirstColumn="0" w:firstRowLastColumn="0" w:lastRowFirstColumn="0" w:lastRowLastColumn="0"/>
            </w:pPr>
            <w:r>
              <w:t>118</w:t>
            </w:r>
          </w:p>
        </w:tc>
      </w:tr>
    </w:tbl>
    <w:p w:rsidR="003B3EC1" w:rsidRDefault="003B3EC1" w:rsidP="00CE6AAA">
      <w:pPr>
        <w:pStyle w:val="FootnoteText"/>
        <w:spacing w:before="120"/>
      </w:pPr>
      <w:proofErr w:type="spellStart"/>
      <w:proofErr w:type="gramStart"/>
      <w:r w:rsidRPr="00CE6AAA">
        <w:rPr>
          <w:vertAlign w:val="superscript"/>
        </w:rPr>
        <w:t>a</w:t>
      </w:r>
      <w:proofErr w:type="spellEnd"/>
      <w:proofErr w:type="gramEnd"/>
      <w:r>
        <w:t xml:space="preserve"> The target timeframe for the priority review pathway is 150 working days.</w:t>
      </w:r>
    </w:p>
    <w:p w:rsidR="003B3EC1" w:rsidRDefault="003B3EC1" w:rsidP="00C61683">
      <w:pPr>
        <w:pStyle w:val="Heading4"/>
        <w:pageBreakBefore/>
      </w:pPr>
      <w:r>
        <w:lastRenderedPageBreak/>
        <w:t>1.6.</w:t>
      </w:r>
      <w:r>
        <w:tab/>
        <w:t>Provisional approval pathway</w:t>
      </w:r>
    </w:p>
    <w:p w:rsidR="003B3EC1" w:rsidRDefault="003B3EC1" w:rsidP="003B3EC1">
      <w:r>
        <w:t xml:space="preserve">The provisional approval pathway supports patient access to vital and lifesaving prescription medicines years earlier than through the standard pathway. Time-limited approval through the provisional pathway is </w:t>
      </w:r>
      <w:proofErr w:type="gramStart"/>
      <w:r>
        <w:t>on the basis of</w:t>
      </w:r>
      <w:proofErr w:type="gramEnd"/>
      <w:r>
        <w:t xml:space="preserve"> the evaluation of preliminary clinical data where there is the potential for a substantial benefit to Australian patients. Provisional approval </w:t>
      </w:r>
      <w:proofErr w:type="gramStart"/>
      <w:r>
        <w:t>is granted</w:t>
      </w:r>
      <w:proofErr w:type="gramEnd"/>
      <w:r>
        <w:t xml:space="preserve"> for promising new medicines where we assess that the benefit of early availability of the medicine outweighs the risk inherent in the fact that additional data is still required. </w:t>
      </w:r>
    </w:p>
    <w:p w:rsidR="003B3EC1" w:rsidRDefault="003B3EC1" w:rsidP="003B3EC1">
      <w:r>
        <w:t xml:space="preserve">A prescription medicine must have a valid provisional determination before it </w:t>
      </w:r>
      <w:proofErr w:type="gramStart"/>
      <w:r>
        <w:t>can be evaluated</w:t>
      </w:r>
      <w:proofErr w:type="gramEnd"/>
      <w:r>
        <w:t xml:space="preserve"> for registration under the provisional approval pathway. The determination process does not necessarily mean that the medicine </w:t>
      </w:r>
      <w:proofErr w:type="gramStart"/>
      <w:r>
        <w:t>will be approved after evaluation and provisionally registered on the ARTG</w:t>
      </w:r>
      <w:proofErr w:type="gramEnd"/>
      <w:r>
        <w:t>.</w:t>
      </w:r>
    </w:p>
    <w:p w:rsidR="003B3EC1" w:rsidRDefault="003B3EC1" w:rsidP="00286D6B">
      <w:pPr>
        <w:pStyle w:val="Tabletitle"/>
      </w:pPr>
      <w:r>
        <w:t xml:space="preserve">Table </w:t>
      </w:r>
      <w:proofErr w:type="gramStart"/>
      <w:r>
        <w:t>9</w:t>
      </w:r>
      <w:proofErr w:type="gramEnd"/>
      <w:r>
        <w:tab/>
        <w:t>Provisional determinations gr</w:t>
      </w:r>
      <w:r w:rsidR="00286D6B">
        <w:t>anted for 1 July to 31 December</w:t>
      </w:r>
    </w:p>
    <w:tbl>
      <w:tblPr>
        <w:tblStyle w:val="TableTGAblue"/>
        <w:tblW w:w="0" w:type="auto"/>
        <w:tblLook w:val="04A0" w:firstRow="1" w:lastRow="0" w:firstColumn="1" w:lastColumn="0" w:noHBand="0" w:noVBand="1"/>
      </w:tblPr>
      <w:tblGrid>
        <w:gridCol w:w="5245"/>
        <w:gridCol w:w="1985"/>
        <w:gridCol w:w="1820"/>
      </w:tblGrid>
      <w:tr w:rsidR="00286D6B"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286D6B" w:rsidRDefault="00286D6B" w:rsidP="00806AA1">
            <w:pPr>
              <w:spacing w:before="30" w:after="30"/>
            </w:pPr>
          </w:p>
        </w:tc>
        <w:tc>
          <w:tcPr>
            <w:tcW w:w="1985" w:type="dxa"/>
            <w:tcBorders>
              <w:left w:val="single" w:sz="4" w:space="0" w:color="auto"/>
              <w:right w:val="single" w:sz="4" w:space="0" w:color="auto"/>
            </w:tcBorders>
            <w:shd w:val="clear" w:color="auto" w:fill="6481A0"/>
          </w:tcPr>
          <w:p w:rsidR="00286D6B" w:rsidRDefault="00286D6B"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286D6B" w:rsidRDefault="00286D6B"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286D6B"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286D6B" w:rsidRDefault="00286D6B" w:rsidP="00806AA1">
            <w:pPr>
              <w:spacing w:before="30" w:after="30"/>
            </w:pPr>
          </w:p>
        </w:tc>
        <w:tc>
          <w:tcPr>
            <w:tcW w:w="3805" w:type="dxa"/>
            <w:gridSpan w:val="2"/>
            <w:shd w:val="clear" w:color="auto" w:fill="D1DCEF"/>
          </w:tcPr>
          <w:p w:rsidR="00286D6B" w:rsidRDefault="00286D6B"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286D6B" w:rsidRPr="00E761C3" w:rsidRDefault="00286D6B"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286D6B">
              <w:rPr>
                <w:b/>
                <w:color w:val="auto"/>
              </w:rPr>
              <w:t>Number (% of total)</w:t>
            </w:r>
          </w:p>
        </w:tc>
      </w:tr>
      <w:tr w:rsidR="00286D6B" w:rsidTr="00806AA1">
        <w:tc>
          <w:tcPr>
            <w:cnfStyle w:val="001000000000" w:firstRow="0" w:lastRow="0" w:firstColumn="1" w:lastColumn="0" w:oddVBand="0" w:evenVBand="0" w:oddHBand="0" w:evenHBand="0" w:firstRowFirstColumn="0" w:firstRowLastColumn="0" w:lastRowFirstColumn="0" w:lastRowLastColumn="0"/>
            <w:tcW w:w="5245" w:type="dxa"/>
            <w:shd w:val="clear" w:color="auto" w:fill="6481A0"/>
          </w:tcPr>
          <w:p w:rsidR="00286D6B" w:rsidRPr="00D76B69" w:rsidRDefault="00286D6B" w:rsidP="00806AA1">
            <w:pPr>
              <w:spacing w:before="30" w:after="30"/>
              <w:rPr>
                <w:b/>
              </w:rPr>
            </w:pPr>
            <w:r w:rsidRPr="00D76B69">
              <w:rPr>
                <w:b/>
                <w:color w:val="FFFFFF" w:themeColor="background1"/>
              </w:rPr>
              <w:t>Application Type (proposed)</w:t>
            </w:r>
          </w:p>
        </w:tc>
        <w:tc>
          <w:tcPr>
            <w:tcW w:w="3805" w:type="dxa"/>
            <w:gridSpan w:val="2"/>
            <w:shd w:val="clear" w:color="auto" w:fill="6481A0"/>
          </w:tcPr>
          <w:p w:rsidR="00286D6B" w:rsidRPr="00286D6B" w:rsidRDefault="00286D6B"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286D6B">
              <w:rPr>
                <w:b/>
                <w:color w:val="FFFFFF" w:themeColor="background1"/>
              </w:rPr>
              <w:t>Granted</w:t>
            </w:r>
          </w:p>
        </w:tc>
      </w:tr>
      <w:tr w:rsidR="00286D6B" w:rsidTr="00806AA1">
        <w:tc>
          <w:tcPr>
            <w:cnfStyle w:val="001000000000" w:firstRow="0" w:lastRow="0" w:firstColumn="1" w:lastColumn="0" w:oddVBand="0" w:evenVBand="0" w:oddHBand="0" w:evenHBand="0" w:firstRowFirstColumn="0" w:firstRowLastColumn="0" w:lastRowFirstColumn="0" w:lastRowLastColumn="0"/>
            <w:tcW w:w="5245" w:type="dxa"/>
          </w:tcPr>
          <w:p w:rsidR="00286D6B" w:rsidRDefault="00996C1C" w:rsidP="00806AA1">
            <w:pPr>
              <w:spacing w:before="30" w:after="30"/>
            </w:pPr>
            <w:r>
              <w:t>A: New chemical entity/New biological entity/Fixed dose combination</w:t>
            </w:r>
          </w:p>
        </w:tc>
        <w:tc>
          <w:tcPr>
            <w:tcW w:w="1985" w:type="dxa"/>
          </w:tcPr>
          <w:p w:rsidR="00286D6B"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(67%)</w:t>
            </w:r>
          </w:p>
        </w:tc>
        <w:tc>
          <w:tcPr>
            <w:tcW w:w="1820" w:type="dxa"/>
          </w:tcPr>
          <w:p w:rsidR="00286D6B"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(100%)</w:t>
            </w:r>
          </w:p>
        </w:tc>
      </w:tr>
      <w:tr w:rsidR="00286D6B" w:rsidTr="00806AA1">
        <w:tc>
          <w:tcPr>
            <w:cnfStyle w:val="001000000000" w:firstRow="0" w:lastRow="0" w:firstColumn="1" w:lastColumn="0" w:oddVBand="0" w:evenVBand="0" w:oddHBand="0" w:evenHBand="0" w:firstRowFirstColumn="0" w:firstRowLastColumn="0" w:lastRowFirstColumn="0" w:lastRowLastColumn="0"/>
            <w:tcW w:w="5245" w:type="dxa"/>
          </w:tcPr>
          <w:p w:rsidR="00286D6B" w:rsidRDefault="00996C1C" w:rsidP="00806AA1">
            <w:pPr>
              <w:spacing w:before="30" w:after="30"/>
            </w:pPr>
            <w:r>
              <w:t>C: Extension of Indications</w:t>
            </w:r>
          </w:p>
        </w:tc>
        <w:tc>
          <w:tcPr>
            <w:tcW w:w="1985" w:type="dxa"/>
          </w:tcPr>
          <w:p w:rsidR="00286D6B"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(33%)</w:t>
            </w:r>
          </w:p>
        </w:tc>
        <w:tc>
          <w:tcPr>
            <w:tcW w:w="1820" w:type="dxa"/>
          </w:tcPr>
          <w:p w:rsidR="00286D6B"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r>
      <w:tr w:rsidR="00286D6B" w:rsidTr="00806AA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286D6B" w:rsidRPr="00E761C3" w:rsidRDefault="00286D6B" w:rsidP="00806AA1">
            <w:pPr>
              <w:spacing w:before="30" w:after="30"/>
              <w:rPr>
                <w:b/>
              </w:rPr>
            </w:pPr>
            <w:r w:rsidRPr="00E761C3">
              <w:rPr>
                <w:b/>
              </w:rPr>
              <w:t>Total</w:t>
            </w:r>
          </w:p>
        </w:tc>
        <w:tc>
          <w:tcPr>
            <w:tcW w:w="1985" w:type="dxa"/>
            <w:shd w:val="clear" w:color="auto" w:fill="D1DCEF"/>
          </w:tcPr>
          <w:p w:rsidR="00286D6B"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 (100%)</w:t>
            </w:r>
          </w:p>
        </w:tc>
        <w:tc>
          <w:tcPr>
            <w:tcW w:w="1820" w:type="dxa"/>
            <w:shd w:val="clear" w:color="auto" w:fill="D1DCEF"/>
          </w:tcPr>
          <w:p w:rsidR="00286D6B"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(100%)</w:t>
            </w:r>
          </w:p>
        </w:tc>
      </w:tr>
    </w:tbl>
    <w:p w:rsidR="003B3EC1" w:rsidRDefault="003B3EC1" w:rsidP="00996C1C">
      <w:pPr>
        <w:pStyle w:val="Tabletitle"/>
        <w:spacing w:before="360"/>
        <w:ind w:left="992" w:hanging="992"/>
      </w:pPr>
      <w:r>
        <w:t>Table 10</w:t>
      </w:r>
      <w:r>
        <w:tab/>
        <w:t xml:space="preserve">Provisional approval registrations for 1 July to 31 December </w:t>
      </w:r>
    </w:p>
    <w:tbl>
      <w:tblPr>
        <w:tblStyle w:val="TableTGAblue"/>
        <w:tblW w:w="0" w:type="auto"/>
        <w:tblLook w:val="04A0" w:firstRow="1" w:lastRow="0" w:firstColumn="1" w:lastColumn="0" w:noHBand="0" w:noVBand="1"/>
      </w:tblPr>
      <w:tblGrid>
        <w:gridCol w:w="2944"/>
        <w:gridCol w:w="1412"/>
        <w:gridCol w:w="1630"/>
        <w:gridCol w:w="1411"/>
        <w:gridCol w:w="1663"/>
      </w:tblGrid>
      <w:tr w:rsidR="00996C1C" w:rsidTr="00BD5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nil"/>
              <w:left w:val="nil"/>
              <w:right w:val="single" w:sz="4" w:space="0" w:color="auto"/>
            </w:tcBorders>
            <w:shd w:val="clear" w:color="auto" w:fill="auto"/>
          </w:tcPr>
          <w:p w:rsidR="00996C1C" w:rsidRDefault="00996C1C" w:rsidP="00806AA1">
            <w:pPr>
              <w:spacing w:before="30" w:after="30"/>
            </w:pPr>
          </w:p>
        </w:tc>
        <w:tc>
          <w:tcPr>
            <w:tcW w:w="2977" w:type="dxa"/>
            <w:gridSpan w:val="2"/>
            <w:tcBorders>
              <w:left w:val="single" w:sz="4" w:space="0" w:color="auto"/>
              <w:right w:val="single" w:sz="4" w:space="0" w:color="auto"/>
            </w:tcBorders>
            <w:shd w:val="clear" w:color="auto" w:fill="6481A0"/>
          </w:tcPr>
          <w:p w:rsidR="00996C1C" w:rsidRDefault="00996C1C" w:rsidP="00E80CB2">
            <w:pPr>
              <w:spacing w:before="30" w:after="30"/>
              <w:jc w:val="center"/>
              <w:cnfStyle w:val="100000000000" w:firstRow="1" w:lastRow="0" w:firstColumn="0" w:lastColumn="0" w:oddVBand="0" w:evenVBand="0" w:oddHBand="0" w:evenHBand="0" w:firstRowFirstColumn="0" w:firstRowLastColumn="0" w:lastRowFirstColumn="0" w:lastRowLastColumn="0"/>
            </w:pPr>
            <w:r>
              <w:t>2019</w:t>
            </w:r>
          </w:p>
        </w:tc>
        <w:tc>
          <w:tcPr>
            <w:tcW w:w="3096" w:type="dxa"/>
            <w:gridSpan w:val="2"/>
            <w:tcBorders>
              <w:left w:val="single" w:sz="4" w:space="0" w:color="auto"/>
            </w:tcBorders>
            <w:shd w:val="clear" w:color="auto" w:fill="6481A0"/>
          </w:tcPr>
          <w:p w:rsidR="00996C1C" w:rsidRDefault="00996C1C" w:rsidP="00E80CB2">
            <w:pPr>
              <w:spacing w:before="30" w:after="30"/>
              <w:jc w:val="center"/>
              <w:cnfStyle w:val="100000000000" w:firstRow="1" w:lastRow="0" w:firstColumn="0" w:lastColumn="0" w:oddVBand="0" w:evenVBand="0" w:oddHBand="0" w:evenHBand="0" w:firstRowFirstColumn="0" w:firstRowLastColumn="0" w:lastRowFirstColumn="0" w:lastRowLastColumn="0"/>
            </w:pPr>
            <w:r>
              <w:t>2020</w:t>
            </w:r>
          </w:p>
        </w:tc>
      </w:tr>
      <w:tr w:rsidR="00996C1C" w:rsidTr="00BD5BBA">
        <w:tc>
          <w:tcPr>
            <w:cnfStyle w:val="001000000000" w:firstRow="0" w:lastRow="0" w:firstColumn="1" w:lastColumn="0" w:oddVBand="0" w:evenVBand="0" w:oddHBand="0" w:evenHBand="0" w:firstRowFirstColumn="0" w:firstRowLastColumn="0" w:lastRowFirstColumn="0" w:lastRowLastColumn="0"/>
            <w:tcW w:w="2977" w:type="dxa"/>
            <w:vMerge/>
            <w:tcBorders>
              <w:left w:val="nil"/>
            </w:tcBorders>
          </w:tcPr>
          <w:p w:rsidR="00996C1C" w:rsidRDefault="00996C1C" w:rsidP="00806AA1">
            <w:pPr>
              <w:spacing w:before="30" w:after="30"/>
            </w:pPr>
          </w:p>
        </w:tc>
        <w:tc>
          <w:tcPr>
            <w:tcW w:w="6073" w:type="dxa"/>
            <w:gridSpan w:val="4"/>
            <w:shd w:val="clear" w:color="auto" w:fill="D1DCEF"/>
          </w:tcPr>
          <w:p w:rsidR="00996C1C" w:rsidRDefault="00996C1C"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D76B69">
              <w:rPr>
                <w:b/>
              </w:rPr>
              <w:t>1 July to 31 December</w:t>
            </w:r>
          </w:p>
          <w:p w:rsidR="00996C1C" w:rsidRPr="00996C1C" w:rsidRDefault="00996C1C"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996C1C">
              <w:rPr>
                <w:b/>
              </w:rPr>
              <w:t>Number (% of total)</w:t>
            </w:r>
          </w:p>
        </w:tc>
      </w:tr>
      <w:tr w:rsidR="00996C1C" w:rsidTr="00806AA1">
        <w:tc>
          <w:tcPr>
            <w:cnfStyle w:val="001000000000" w:firstRow="0" w:lastRow="0" w:firstColumn="1" w:lastColumn="0" w:oddVBand="0" w:evenVBand="0" w:oddHBand="0" w:evenHBand="0" w:firstRowFirstColumn="0" w:firstRowLastColumn="0" w:lastRowFirstColumn="0" w:lastRowLastColumn="0"/>
            <w:tcW w:w="2977" w:type="dxa"/>
            <w:shd w:val="clear" w:color="auto" w:fill="6481A0"/>
          </w:tcPr>
          <w:p w:rsidR="00996C1C" w:rsidRPr="00BB1D72" w:rsidRDefault="00996C1C" w:rsidP="00806AA1">
            <w:pPr>
              <w:spacing w:before="30" w:after="30"/>
              <w:rPr>
                <w:b/>
                <w:color w:val="FFFFFF" w:themeColor="background1"/>
              </w:rPr>
            </w:pPr>
            <w:r w:rsidRPr="00996C1C">
              <w:rPr>
                <w:b/>
                <w:color w:val="FFFFFF" w:themeColor="background1"/>
              </w:rPr>
              <w:t>Application Type (proposed)</w:t>
            </w:r>
          </w:p>
        </w:tc>
        <w:tc>
          <w:tcPr>
            <w:tcW w:w="1418" w:type="dxa"/>
            <w:shd w:val="clear" w:color="auto" w:fill="6481A0"/>
          </w:tcPr>
          <w:p w:rsidR="00996C1C" w:rsidRPr="00BB1D72"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Number Approved (% of total)</w:t>
            </w:r>
          </w:p>
        </w:tc>
        <w:tc>
          <w:tcPr>
            <w:tcW w:w="1559" w:type="dxa"/>
            <w:shd w:val="clear" w:color="auto" w:fill="6481A0"/>
          </w:tcPr>
          <w:p w:rsidR="00996C1C" w:rsidRPr="00BB1D72"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Median approval time (TGA</w:t>
            </w:r>
            <w:r w:rsidR="00E80CB2">
              <w:rPr>
                <w:b/>
                <w:color w:val="FFFFFF" w:themeColor="background1"/>
              </w:rPr>
              <w:t> </w:t>
            </w:r>
            <w:r w:rsidRPr="00BB1D72">
              <w:rPr>
                <w:b/>
                <w:color w:val="FFFFFF" w:themeColor="background1"/>
              </w:rPr>
              <w:t>working days)</w:t>
            </w:r>
          </w:p>
        </w:tc>
        <w:tc>
          <w:tcPr>
            <w:tcW w:w="1417" w:type="dxa"/>
            <w:shd w:val="clear" w:color="auto" w:fill="6481A0"/>
          </w:tcPr>
          <w:p w:rsidR="00996C1C" w:rsidRPr="00BB1D72"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Number Approved (% of total)</w:t>
            </w:r>
          </w:p>
        </w:tc>
        <w:tc>
          <w:tcPr>
            <w:tcW w:w="1679" w:type="dxa"/>
            <w:shd w:val="clear" w:color="auto" w:fill="6481A0"/>
          </w:tcPr>
          <w:p w:rsidR="00996C1C" w:rsidRPr="00BB1D72"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BB1D72">
              <w:rPr>
                <w:b/>
                <w:color w:val="FFFFFF" w:themeColor="background1"/>
              </w:rPr>
              <w:t>Median approval time (TGA working days)</w:t>
            </w:r>
          </w:p>
        </w:tc>
      </w:tr>
      <w:tr w:rsidR="00996C1C" w:rsidTr="00806AA1">
        <w:tc>
          <w:tcPr>
            <w:cnfStyle w:val="001000000000" w:firstRow="0" w:lastRow="0" w:firstColumn="1" w:lastColumn="0" w:oddVBand="0" w:evenVBand="0" w:oddHBand="0" w:evenHBand="0" w:firstRowFirstColumn="0" w:firstRowLastColumn="0" w:lastRowFirstColumn="0" w:lastRowLastColumn="0"/>
            <w:tcW w:w="2977" w:type="dxa"/>
          </w:tcPr>
          <w:p w:rsidR="00996C1C" w:rsidRDefault="00996C1C" w:rsidP="00806AA1">
            <w:pPr>
              <w:spacing w:before="30" w:after="30"/>
            </w:pPr>
            <w:r>
              <w:t>A: New chemical entity/New biological entity/Biosimilar</w:t>
            </w:r>
          </w:p>
        </w:tc>
        <w:tc>
          <w:tcPr>
            <w:tcW w:w="1418"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(33%)</w:t>
            </w:r>
          </w:p>
        </w:tc>
        <w:tc>
          <w:tcPr>
            <w:tcW w:w="1559"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135</w:t>
            </w:r>
          </w:p>
        </w:tc>
        <w:tc>
          <w:tcPr>
            <w:tcW w:w="1417"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 (75%)</w:t>
            </w:r>
          </w:p>
        </w:tc>
        <w:tc>
          <w:tcPr>
            <w:tcW w:w="1679"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195</w:t>
            </w:r>
          </w:p>
        </w:tc>
      </w:tr>
      <w:tr w:rsidR="00996C1C" w:rsidTr="00806AA1">
        <w:tc>
          <w:tcPr>
            <w:cnfStyle w:val="001000000000" w:firstRow="0" w:lastRow="0" w:firstColumn="1" w:lastColumn="0" w:oddVBand="0" w:evenVBand="0" w:oddHBand="0" w:evenHBand="0" w:firstRowFirstColumn="0" w:firstRowLastColumn="0" w:lastRowFirstColumn="0" w:lastRowLastColumn="0"/>
            <w:tcW w:w="2977" w:type="dxa"/>
          </w:tcPr>
          <w:p w:rsidR="00996C1C" w:rsidRDefault="00996C1C" w:rsidP="00806AA1">
            <w:pPr>
              <w:spacing w:before="30" w:after="30"/>
            </w:pPr>
            <w:r>
              <w:t>C: Extension of Indications</w:t>
            </w:r>
          </w:p>
        </w:tc>
        <w:tc>
          <w:tcPr>
            <w:tcW w:w="1418"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(67%)</w:t>
            </w:r>
          </w:p>
        </w:tc>
        <w:tc>
          <w:tcPr>
            <w:tcW w:w="1559"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62</w:t>
            </w:r>
          </w:p>
        </w:tc>
        <w:tc>
          <w:tcPr>
            <w:tcW w:w="1417"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679"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r>
      <w:tr w:rsidR="00996C1C" w:rsidTr="00806AA1">
        <w:tc>
          <w:tcPr>
            <w:cnfStyle w:val="001000000000" w:firstRow="0" w:lastRow="0" w:firstColumn="1" w:lastColumn="0" w:oddVBand="0" w:evenVBand="0" w:oddHBand="0" w:evenHBand="0" w:firstRowFirstColumn="0" w:firstRowLastColumn="0" w:lastRowFirstColumn="0" w:lastRowLastColumn="0"/>
            <w:tcW w:w="2977" w:type="dxa"/>
          </w:tcPr>
          <w:p w:rsidR="00996C1C" w:rsidRDefault="00996C1C" w:rsidP="00806AA1">
            <w:pPr>
              <w:spacing w:before="30" w:after="30"/>
            </w:pPr>
            <w:r>
              <w:t>S: Provisional registration to full registration on the ARTG (s)</w:t>
            </w:r>
            <w:r>
              <w:tab/>
            </w:r>
          </w:p>
        </w:tc>
        <w:tc>
          <w:tcPr>
            <w:tcW w:w="1418"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559"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417"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(25%)</w:t>
            </w:r>
          </w:p>
        </w:tc>
        <w:tc>
          <w:tcPr>
            <w:tcW w:w="1679" w:type="dxa"/>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99</w:t>
            </w:r>
          </w:p>
        </w:tc>
      </w:tr>
      <w:tr w:rsidR="00996C1C" w:rsidTr="00806AA1">
        <w:tc>
          <w:tcPr>
            <w:cnfStyle w:val="001000000000" w:firstRow="0" w:lastRow="0" w:firstColumn="1" w:lastColumn="0" w:oddVBand="0" w:evenVBand="0" w:oddHBand="0" w:evenHBand="0" w:firstRowFirstColumn="0" w:firstRowLastColumn="0" w:lastRowFirstColumn="0" w:lastRowLastColumn="0"/>
            <w:tcW w:w="2977" w:type="dxa"/>
            <w:shd w:val="clear" w:color="auto" w:fill="D1DCEF"/>
          </w:tcPr>
          <w:p w:rsidR="00996C1C" w:rsidRPr="00F554B4" w:rsidRDefault="00996C1C" w:rsidP="00806AA1">
            <w:pPr>
              <w:spacing w:before="30" w:after="30"/>
              <w:rPr>
                <w:b/>
              </w:rPr>
            </w:pPr>
            <w:r w:rsidRPr="00F554B4">
              <w:rPr>
                <w:b/>
              </w:rPr>
              <w:t>Total</w:t>
            </w:r>
          </w:p>
        </w:tc>
        <w:tc>
          <w:tcPr>
            <w:tcW w:w="1418" w:type="dxa"/>
            <w:shd w:val="clear" w:color="auto" w:fill="D1DCEF"/>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6 (100%)</w:t>
            </w:r>
          </w:p>
        </w:tc>
        <w:tc>
          <w:tcPr>
            <w:tcW w:w="1559" w:type="dxa"/>
            <w:shd w:val="clear" w:color="auto" w:fill="D1DCEF"/>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71</w:t>
            </w:r>
          </w:p>
        </w:tc>
        <w:tc>
          <w:tcPr>
            <w:tcW w:w="1417" w:type="dxa"/>
            <w:shd w:val="clear" w:color="auto" w:fill="D1DCEF"/>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(100%)</w:t>
            </w:r>
          </w:p>
        </w:tc>
        <w:tc>
          <w:tcPr>
            <w:tcW w:w="1679" w:type="dxa"/>
            <w:shd w:val="clear" w:color="auto" w:fill="D1DCEF"/>
          </w:tcPr>
          <w:p w:rsidR="00996C1C" w:rsidRDefault="00996C1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147</w:t>
            </w:r>
          </w:p>
        </w:tc>
      </w:tr>
    </w:tbl>
    <w:p w:rsidR="003B3EC1" w:rsidRPr="00996C1C" w:rsidRDefault="003B3EC1" w:rsidP="00996C1C">
      <w:pPr>
        <w:pStyle w:val="Heading3"/>
        <w:pageBreakBefore/>
        <w:spacing w:before="0"/>
        <w:rPr>
          <w:color w:val="auto"/>
        </w:rPr>
      </w:pPr>
      <w:bookmarkStart w:id="22" w:name="_Toc69725943"/>
      <w:r w:rsidRPr="00996C1C">
        <w:rPr>
          <w:color w:val="auto"/>
        </w:rPr>
        <w:lastRenderedPageBreak/>
        <w:t>2.</w:t>
      </w:r>
      <w:r w:rsidRPr="00996C1C">
        <w:rPr>
          <w:color w:val="auto"/>
        </w:rPr>
        <w:tab/>
        <w:t>Over-the-Counter medicines</w:t>
      </w:r>
      <w:bookmarkEnd w:id="22"/>
    </w:p>
    <w:p w:rsidR="003B3EC1" w:rsidRDefault="003B3EC1" w:rsidP="003B3EC1">
      <w:r>
        <w:t>Over-the-counter (OTC) medicine applications are categorised as new medicine (N) or change (C) applications and are further categorised by risk (N1 and C1 are lowest risk, N5 and C4 are highest risk).</w:t>
      </w:r>
    </w:p>
    <w:tbl>
      <w:tblPr>
        <w:tblStyle w:val="TableTGAblue"/>
        <w:tblW w:w="0" w:type="auto"/>
        <w:tblLook w:val="04A0" w:firstRow="1" w:lastRow="0" w:firstColumn="1" w:lastColumn="0" w:noHBand="0" w:noVBand="1"/>
      </w:tblPr>
      <w:tblGrid>
        <w:gridCol w:w="1833"/>
        <w:gridCol w:w="7217"/>
      </w:tblGrid>
      <w:tr w:rsidR="00E42F87"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auto"/>
            </w:tcBorders>
            <w:shd w:val="clear" w:color="auto" w:fill="6481A0"/>
          </w:tcPr>
          <w:p w:rsidR="00E42F87" w:rsidRDefault="00E42F87" w:rsidP="00446846">
            <w:pPr>
              <w:spacing w:before="60" w:after="60"/>
            </w:pPr>
            <w:r>
              <w:t>Application category</w:t>
            </w:r>
          </w:p>
        </w:tc>
        <w:tc>
          <w:tcPr>
            <w:tcW w:w="7217" w:type="dxa"/>
            <w:tcBorders>
              <w:left w:val="single" w:sz="4" w:space="0" w:color="auto"/>
            </w:tcBorders>
            <w:shd w:val="clear" w:color="auto" w:fill="6481A0"/>
          </w:tcPr>
          <w:p w:rsidR="00E42F87" w:rsidRDefault="00E42F87" w:rsidP="00446846">
            <w:pPr>
              <w:spacing w:before="60" w:after="60"/>
              <w:cnfStyle w:val="100000000000" w:firstRow="1" w:lastRow="0" w:firstColumn="0" w:lastColumn="0" w:oddVBand="0" w:evenVBand="0" w:oddHBand="0" w:evenHBand="0" w:firstRowFirstColumn="0" w:firstRowLastColumn="0" w:lastRowFirstColumn="0" w:lastRowLastColumn="0"/>
            </w:pPr>
            <w:r>
              <w:t>Definition</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N1</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An application submitted as a ‘Clone’.</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N2</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 xml:space="preserve">An </w:t>
            </w:r>
            <w:proofErr w:type="gramStart"/>
            <w:r>
              <w:t>application which</w:t>
            </w:r>
            <w:proofErr w:type="gramEnd"/>
            <w:r>
              <w:t xml:space="preserve"> complies with an OTC medicine monograph.</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N3</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New application for a ‘generic’ medicine other than those ‘generic’ applications in levels N1, N2 or N4.</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N4</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An application for a ‘generic’ medicine where the medicine:</w:t>
            </w:r>
          </w:p>
          <w:p w:rsidR="00E42F87" w:rsidRDefault="00E42F87" w:rsidP="00446846">
            <w:pPr>
              <w:pStyle w:val="ListBullet"/>
              <w:spacing w:before="60" w:after="60"/>
              <w:cnfStyle w:val="000000000000" w:firstRow="0" w:lastRow="0" w:firstColumn="0" w:lastColumn="0" w:oddVBand="0" w:evenVBand="0" w:oddHBand="0" w:evenHBand="0" w:firstRowFirstColumn="0" w:firstRowLastColumn="0" w:lastRowFirstColumn="0" w:lastRowLastColumn="0"/>
            </w:pPr>
            <w:r>
              <w:t>requires supporting safety and/or efficacy (clinical/toxicological) data or a justification for not providing such data; and/or</w:t>
            </w:r>
          </w:p>
          <w:p w:rsidR="00E42F87" w:rsidRDefault="00E42F87" w:rsidP="00446846">
            <w:pPr>
              <w:pStyle w:val="ListBullet"/>
              <w:spacing w:before="60" w:after="60"/>
              <w:cnfStyle w:val="000000000000" w:firstRow="0" w:lastRow="0" w:firstColumn="0" w:lastColumn="0" w:oddVBand="0" w:evenVBand="0" w:oddHBand="0" w:evenHBand="0" w:firstRowFirstColumn="0" w:firstRowLastColumn="0" w:lastRowFirstColumn="0" w:lastRowLastColumn="0"/>
            </w:pPr>
            <w:r>
              <w:t>requires a higher level of assessment due to the umbrella branding segment of the product name; and/or</w:t>
            </w:r>
          </w:p>
          <w:p w:rsidR="00E42F87" w:rsidRDefault="00E42F87" w:rsidP="00446846">
            <w:pPr>
              <w:pStyle w:val="ListBullet"/>
              <w:spacing w:before="60" w:after="60"/>
              <w:cnfStyle w:val="000000000000" w:firstRow="0" w:lastRow="0" w:firstColumn="0" w:lastColumn="0" w:oddVBand="0" w:evenVBand="0" w:oddHBand="0" w:evenHBand="0" w:firstRowFirstColumn="0" w:firstRowLastColumn="0" w:lastRowFirstColumn="0" w:lastRowLastColumn="0"/>
            </w:pPr>
            <w:r>
              <w:t>has not been previously registered as an OTC medicine following</w:t>
            </w:r>
          </w:p>
          <w:p w:rsidR="00E42F87" w:rsidRPr="00E42F87" w:rsidRDefault="00E42F87" w:rsidP="00446846">
            <w:pPr>
              <w:pStyle w:val="ListBullet"/>
              <w:spacing w:before="60" w:after="60"/>
              <w:cnfStyle w:val="000000000000" w:firstRow="0" w:lastRow="0" w:firstColumn="0" w:lastColumn="0" w:oddVBand="0" w:evenVBand="0" w:oddHBand="0" w:evenHBand="0" w:firstRowFirstColumn="0" w:firstRowLastColumn="0" w:lastRowFirstColumn="0" w:lastRowLastColumn="0"/>
            </w:pPr>
            <w:proofErr w:type="gramStart"/>
            <w:r>
              <w:t>down-scheduling</w:t>
            </w:r>
            <w:proofErr w:type="gramEnd"/>
            <w:r>
              <w:t>.</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N5</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An application for a new product that is an extension to a ‘generic category’ product or an application for a product containing a new chemical entity as an active ingredient.</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CN</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 xml:space="preserve">'Notification' changes, where their implementation would not </w:t>
            </w:r>
            <w:proofErr w:type="gramStart"/>
            <w:r>
              <w:t>impact</w:t>
            </w:r>
            <w:proofErr w:type="gramEnd"/>
            <w:r>
              <w:t xml:space="preserve"> the quality, safety or efficacy of a medicine. Includes quality and non-quality changes classified as ‘negligible risk’.</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C1</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Quality and non-quality changes classified as ‘negligible risk’.</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C2</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Quality and non-quality changes classified as ‘low risk’ – no safety and/or efficacy data required; quality data may be required.</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C3</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Quality and non-quality changes classified as ‘low risk’ – safety and/or efficacy data required unless justified; quality data may be required.</w:t>
            </w:r>
          </w:p>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Umbrella branding segment of new name requires a higher level of assessment.</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C4</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Non-quality changes classified as ‘moderate risk’ – safety and/or efficacy data required unless justified.</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Requests for consent under section 14/14A of the Act</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Request for consent by the Secretary under sections 14 and 14A of the Act to the import, export or supply of therapeutic goods that do not comply with an applicable standard.</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B1</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 xml:space="preserve">Request for advice in relation to a registered OTC medicine </w:t>
            </w:r>
            <w:proofErr w:type="gramStart"/>
            <w:r>
              <w:t>for the purpose of</w:t>
            </w:r>
            <w:proofErr w:type="gramEnd"/>
            <w:r>
              <w:t xml:space="preserve"> listing of listing the medicine as a pharmaceutical benefit that does not contain clinical data.</w:t>
            </w:r>
          </w:p>
        </w:tc>
      </w:tr>
      <w:tr w:rsidR="00E42F87" w:rsidTr="00E42F87">
        <w:tc>
          <w:tcPr>
            <w:cnfStyle w:val="001000000000" w:firstRow="0" w:lastRow="0" w:firstColumn="1" w:lastColumn="0" w:oddVBand="0" w:evenVBand="0" w:oddHBand="0" w:evenHBand="0" w:firstRowFirstColumn="0" w:firstRowLastColumn="0" w:lastRowFirstColumn="0" w:lastRowLastColumn="0"/>
            <w:tcW w:w="1833" w:type="dxa"/>
          </w:tcPr>
          <w:p w:rsidR="00E42F87" w:rsidRDefault="00E42F87" w:rsidP="00446846">
            <w:pPr>
              <w:spacing w:before="60" w:after="60"/>
            </w:pPr>
            <w:r>
              <w:t>B3</w:t>
            </w:r>
          </w:p>
        </w:tc>
        <w:tc>
          <w:tcPr>
            <w:tcW w:w="7217" w:type="dxa"/>
          </w:tcPr>
          <w:p w:rsidR="00E42F87" w:rsidRDefault="00E42F87" w:rsidP="00446846">
            <w:pPr>
              <w:spacing w:before="60" w:after="60"/>
              <w:cnfStyle w:val="000000000000" w:firstRow="0" w:lastRow="0" w:firstColumn="0" w:lastColumn="0" w:oddVBand="0" w:evenVBand="0" w:oddHBand="0" w:evenHBand="0" w:firstRowFirstColumn="0" w:firstRowLastColumn="0" w:lastRowFirstColumn="0" w:lastRowLastColumn="0"/>
            </w:pPr>
            <w:r>
              <w:t xml:space="preserve">Request for advice in relation to a registered OTC medicine </w:t>
            </w:r>
            <w:proofErr w:type="gramStart"/>
            <w:r>
              <w:t>for the purpose of</w:t>
            </w:r>
            <w:proofErr w:type="gramEnd"/>
            <w:r>
              <w:t xml:space="preserve"> listing the medicine as a pharmaceutical benefit that contains clinical data or a justification as to why such data is not needed.</w:t>
            </w:r>
          </w:p>
        </w:tc>
      </w:tr>
    </w:tbl>
    <w:p w:rsidR="003B3EC1" w:rsidRDefault="003B3EC1" w:rsidP="00442B25">
      <w:pPr>
        <w:pStyle w:val="Tabletitle"/>
      </w:pPr>
      <w:r>
        <w:lastRenderedPageBreak/>
        <w:t xml:space="preserve">Table 11 </w:t>
      </w:r>
      <w:r>
        <w:tab/>
        <w:t xml:space="preserve">OTC medicine application processing time for approved applications for </w:t>
      </w:r>
      <w:r w:rsidR="00442B25">
        <w:br/>
      </w:r>
      <w:r>
        <w:t>1 July to 31 December 2020</w:t>
      </w:r>
    </w:p>
    <w:tbl>
      <w:tblPr>
        <w:tblStyle w:val="TableTGAblue"/>
        <w:tblW w:w="0" w:type="auto"/>
        <w:tblLook w:val="04A0" w:firstRow="1" w:lastRow="0" w:firstColumn="1" w:lastColumn="0" w:noHBand="0" w:noVBand="1"/>
      </w:tblPr>
      <w:tblGrid>
        <w:gridCol w:w="1822"/>
        <w:gridCol w:w="1423"/>
        <w:gridCol w:w="1152"/>
        <w:gridCol w:w="1131"/>
        <w:gridCol w:w="1130"/>
        <w:gridCol w:w="1133"/>
        <w:gridCol w:w="1259"/>
      </w:tblGrid>
      <w:tr w:rsidR="00442B25"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Borders>
              <w:right w:val="single" w:sz="4" w:space="0" w:color="auto"/>
            </w:tcBorders>
            <w:shd w:val="clear" w:color="auto" w:fill="6481A0"/>
          </w:tcPr>
          <w:p w:rsidR="00442B25" w:rsidRDefault="00442B25" w:rsidP="003B3EC1">
            <w:r>
              <w:t>Application type</w:t>
            </w:r>
          </w:p>
        </w:tc>
        <w:tc>
          <w:tcPr>
            <w:tcW w:w="1424" w:type="dxa"/>
            <w:tcBorders>
              <w:left w:val="single" w:sz="4" w:space="0" w:color="auto"/>
              <w:right w:val="single" w:sz="4" w:space="0" w:color="auto"/>
            </w:tcBorders>
            <w:shd w:val="clear" w:color="auto" w:fill="6481A0"/>
          </w:tcPr>
          <w:p w:rsidR="00442B25" w:rsidRDefault="00442B25" w:rsidP="00E80CB2">
            <w:pPr>
              <w:jc w:val="right"/>
              <w:cnfStyle w:val="100000000000" w:firstRow="1" w:lastRow="0" w:firstColumn="0" w:lastColumn="0" w:oddVBand="0" w:evenVBand="0" w:oddHBand="0" w:evenHBand="0" w:firstRowFirstColumn="0" w:firstRowLastColumn="0" w:lastRowFirstColumn="0" w:lastRowLastColumn="0"/>
            </w:pPr>
            <w:r>
              <w:t>Number completed (% of total)</w:t>
            </w:r>
          </w:p>
        </w:tc>
        <w:tc>
          <w:tcPr>
            <w:tcW w:w="1137" w:type="dxa"/>
            <w:tcBorders>
              <w:left w:val="single" w:sz="4" w:space="0" w:color="auto"/>
              <w:right w:val="single" w:sz="4" w:space="0" w:color="auto"/>
            </w:tcBorders>
            <w:shd w:val="clear" w:color="auto" w:fill="6481A0"/>
          </w:tcPr>
          <w:p w:rsidR="00442B25" w:rsidRDefault="00442B25" w:rsidP="00E80CB2">
            <w:pPr>
              <w:jc w:val="right"/>
              <w:cnfStyle w:val="100000000000" w:firstRow="1" w:lastRow="0" w:firstColumn="0" w:lastColumn="0" w:oddVBand="0" w:evenVBand="0" w:oddHBand="0" w:evenHBand="0" w:firstRowFirstColumn="0" w:firstRowLastColumn="0" w:lastRowFirstColumn="0" w:lastRowLastColumn="0"/>
            </w:pPr>
            <w:r>
              <w:t>Target Approval time (days)</w:t>
            </w:r>
          </w:p>
        </w:tc>
        <w:tc>
          <w:tcPr>
            <w:tcW w:w="1133" w:type="dxa"/>
            <w:tcBorders>
              <w:left w:val="single" w:sz="4" w:space="0" w:color="auto"/>
              <w:right w:val="single" w:sz="4" w:space="0" w:color="auto"/>
            </w:tcBorders>
            <w:shd w:val="clear" w:color="auto" w:fill="6481A0"/>
          </w:tcPr>
          <w:p w:rsidR="00442B25" w:rsidRDefault="00442B25" w:rsidP="00E80CB2">
            <w:pPr>
              <w:jc w:val="right"/>
              <w:cnfStyle w:val="100000000000" w:firstRow="1" w:lastRow="0" w:firstColumn="0" w:lastColumn="0" w:oddVBand="0" w:evenVBand="0" w:oddHBand="0" w:evenHBand="0" w:firstRowFirstColumn="0" w:firstRowLastColumn="0" w:lastRowFirstColumn="0" w:lastRowLastColumn="0"/>
            </w:pPr>
            <w:r>
              <w:t>Range</w:t>
            </w:r>
          </w:p>
        </w:tc>
        <w:tc>
          <w:tcPr>
            <w:tcW w:w="1133" w:type="dxa"/>
            <w:tcBorders>
              <w:left w:val="single" w:sz="4" w:space="0" w:color="auto"/>
              <w:right w:val="single" w:sz="4" w:space="0" w:color="auto"/>
            </w:tcBorders>
            <w:shd w:val="clear" w:color="auto" w:fill="6481A0"/>
          </w:tcPr>
          <w:p w:rsidR="00442B25" w:rsidRDefault="00442B25" w:rsidP="00E80CB2">
            <w:pPr>
              <w:jc w:val="right"/>
              <w:cnfStyle w:val="100000000000" w:firstRow="1" w:lastRow="0" w:firstColumn="0" w:lastColumn="0" w:oddVBand="0" w:evenVBand="0" w:oddHBand="0" w:evenHBand="0" w:firstRowFirstColumn="0" w:firstRowLastColumn="0" w:lastRowFirstColumn="0" w:lastRowLastColumn="0"/>
            </w:pPr>
            <w:r>
              <w:t>Mean</w:t>
            </w:r>
          </w:p>
        </w:tc>
        <w:tc>
          <w:tcPr>
            <w:tcW w:w="1134" w:type="dxa"/>
            <w:tcBorders>
              <w:left w:val="single" w:sz="4" w:space="0" w:color="auto"/>
              <w:right w:val="single" w:sz="4" w:space="0" w:color="auto"/>
            </w:tcBorders>
            <w:shd w:val="clear" w:color="auto" w:fill="6481A0"/>
          </w:tcPr>
          <w:p w:rsidR="00442B25" w:rsidRDefault="00442B25" w:rsidP="00E80CB2">
            <w:pPr>
              <w:jc w:val="right"/>
              <w:cnfStyle w:val="100000000000" w:firstRow="1" w:lastRow="0" w:firstColumn="0" w:lastColumn="0" w:oddVBand="0" w:evenVBand="0" w:oddHBand="0" w:evenHBand="0" w:firstRowFirstColumn="0" w:firstRowLastColumn="0" w:lastRowFirstColumn="0" w:lastRowLastColumn="0"/>
            </w:pPr>
            <w:r>
              <w:t>Median</w:t>
            </w:r>
          </w:p>
        </w:tc>
        <w:tc>
          <w:tcPr>
            <w:tcW w:w="1262" w:type="dxa"/>
            <w:tcBorders>
              <w:left w:val="single" w:sz="4" w:space="0" w:color="auto"/>
            </w:tcBorders>
            <w:shd w:val="clear" w:color="auto" w:fill="6481A0"/>
          </w:tcPr>
          <w:p w:rsidR="00442B25" w:rsidRDefault="00442B25" w:rsidP="00E80CB2">
            <w:pPr>
              <w:jc w:val="right"/>
              <w:cnfStyle w:val="100000000000" w:firstRow="1" w:lastRow="0" w:firstColumn="0" w:lastColumn="0" w:oddVBand="0" w:evenVBand="0" w:oddHBand="0" w:evenHBand="0" w:firstRowFirstColumn="0" w:firstRowLastColumn="0" w:lastRowFirstColumn="0" w:lastRowLastColumn="0"/>
            </w:pPr>
            <w:r>
              <w:t>% within target</w:t>
            </w:r>
          </w:p>
        </w:tc>
      </w:tr>
      <w:tr w:rsidR="00442B25" w:rsidTr="00442B25">
        <w:tc>
          <w:tcPr>
            <w:cnfStyle w:val="001000000000" w:firstRow="0" w:lastRow="0" w:firstColumn="1" w:lastColumn="0" w:oddVBand="0" w:evenVBand="0" w:oddHBand="0" w:evenHBand="0" w:firstRowFirstColumn="0" w:firstRowLastColumn="0" w:lastRowFirstColumn="0" w:lastRowLastColumn="0"/>
            <w:tcW w:w="9050" w:type="dxa"/>
            <w:gridSpan w:val="7"/>
            <w:shd w:val="clear" w:color="auto" w:fill="D1DCEF"/>
          </w:tcPr>
          <w:p w:rsidR="00442B25" w:rsidRPr="00442B25" w:rsidRDefault="00442B25" w:rsidP="003B3EC1">
            <w:pPr>
              <w:rPr>
                <w:b/>
              </w:rPr>
            </w:pPr>
            <w:r w:rsidRPr="00442B25">
              <w:rPr>
                <w:b/>
              </w:rPr>
              <w:t>New medicine applications</w:t>
            </w:r>
          </w:p>
        </w:tc>
      </w:tr>
      <w:tr w:rsidR="004339FD" w:rsidTr="00235517">
        <w:tc>
          <w:tcPr>
            <w:cnfStyle w:val="001000000000" w:firstRow="0" w:lastRow="0" w:firstColumn="1" w:lastColumn="0" w:oddVBand="0" w:evenVBand="0" w:oddHBand="0" w:evenHBand="0" w:firstRowFirstColumn="0" w:firstRowLastColumn="0" w:lastRowFirstColumn="0" w:lastRowLastColumn="0"/>
            <w:tcW w:w="1827" w:type="dxa"/>
            <w:vMerge w:val="restart"/>
          </w:tcPr>
          <w:p w:rsidR="004339FD" w:rsidRDefault="004339FD" w:rsidP="003B3EC1">
            <w:r>
              <w:t>N1 Lower risk</w:t>
            </w:r>
          </w:p>
          <w:p w:rsidR="004339FD" w:rsidRDefault="004339FD" w:rsidP="003B3EC1">
            <w:r w:rsidRPr="006A6218">
              <w:rPr>
                <w:noProof/>
                <w:lang w:eastAsia="en-AU"/>
              </w:rPr>
              <mc:AlternateContent>
                <mc:Choice Requires="wps">
                  <w:drawing>
                    <wp:anchor distT="0" distB="0" distL="114300" distR="114300" simplePos="0" relativeHeight="251659264" behindDoc="0" locked="0" layoutInCell="1" allowOverlap="1" wp14:anchorId="6F896BD6" wp14:editId="05FAD812">
                      <wp:simplePos x="0" y="0"/>
                      <wp:positionH relativeFrom="column">
                        <wp:posOffset>494811</wp:posOffset>
                      </wp:positionH>
                      <wp:positionV relativeFrom="paragraph">
                        <wp:posOffset>24863</wp:posOffset>
                      </wp:positionV>
                      <wp:extent cx="262255" cy="710033"/>
                      <wp:effectExtent l="19050" t="0" r="42545" b="33020"/>
                      <wp:wrapNone/>
                      <wp:docPr id="19" name="Down Arrow 19" descr="application types go from lower risk (N1) to higher risk (N5)"/>
                      <wp:cNvGraphicFramePr/>
                      <a:graphic xmlns:a="http://schemas.openxmlformats.org/drawingml/2006/main">
                        <a:graphicData uri="http://schemas.microsoft.com/office/word/2010/wordprocessingShape">
                          <wps:wsp>
                            <wps:cNvSpPr/>
                            <wps:spPr>
                              <a:xfrm>
                                <a:off x="0" y="0"/>
                                <a:ext cx="262255" cy="710033"/>
                              </a:xfrm>
                              <a:prstGeom prst="downArrow">
                                <a:avLst/>
                              </a:prstGeom>
                              <a:gradFill flip="none" rotWithShape="1">
                                <a:gsLst>
                                  <a:gs pos="0">
                                    <a:srgbClr val="03D4A8"/>
                                  </a:gs>
                                  <a:gs pos="15000">
                                    <a:srgbClr val="21D6E0"/>
                                  </a:gs>
                                  <a:gs pos="62000">
                                    <a:srgbClr val="0087E6"/>
                                  </a:gs>
                                  <a:gs pos="100000">
                                    <a:srgbClr val="005CBF"/>
                                  </a:gs>
                                </a:gsLst>
                                <a:lin ang="162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8464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alt="application types go from lower risk (N1) to higher risk (N5)" style="position:absolute;margin-left:38.95pt;margin-top:1.95pt;width:20.65pt;height:5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" adj="17611" fillcolor="#03d4a8" strokecolor="#003653 [1604]" strokeweight="2pt">
                      <v:fill color2="#005cbf" rotate="t" angle="180" colors="0 #03d4a8;9830f #21d6e0;40632f #0087e6;1 #005cbf" focus="100%" type="gradient">
                        <o:fill v:ext="view" type="gradientUnscaled"/>
                      </v:fill>
                    </v:shape>
                  </w:pict>
                </mc:Fallback>
              </mc:AlternateContent>
            </w:r>
            <w:r>
              <w:t>N2</w:t>
            </w:r>
          </w:p>
          <w:p w:rsidR="004339FD" w:rsidRDefault="004339FD" w:rsidP="003B3EC1">
            <w:r>
              <w:t>N3</w:t>
            </w:r>
          </w:p>
          <w:p w:rsidR="004339FD" w:rsidRDefault="004339FD" w:rsidP="003B3EC1">
            <w:r>
              <w:t>N4</w:t>
            </w:r>
          </w:p>
          <w:p w:rsidR="004339FD" w:rsidRDefault="004339FD" w:rsidP="003B3EC1">
            <w:r>
              <w:t>N5 Higher risk</w:t>
            </w:r>
          </w:p>
        </w:tc>
        <w:tc>
          <w:tcPr>
            <w:tcW w:w="142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50 (52%)</w:t>
            </w:r>
          </w:p>
        </w:tc>
        <w:tc>
          <w:tcPr>
            <w:tcW w:w="1137"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45</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1-58</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29</w:t>
            </w:r>
          </w:p>
        </w:tc>
        <w:tc>
          <w:tcPr>
            <w:tcW w:w="113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30</w:t>
            </w:r>
          </w:p>
        </w:tc>
        <w:tc>
          <w:tcPr>
            <w:tcW w:w="1262"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94%</w:t>
            </w:r>
          </w:p>
        </w:tc>
      </w:tr>
      <w:tr w:rsidR="004339FD" w:rsidTr="00235517">
        <w:tc>
          <w:tcPr>
            <w:cnfStyle w:val="001000000000" w:firstRow="0" w:lastRow="0" w:firstColumn="1" w:lastColumn="0" w:oddVBand="0" w:evenVBand="0" w:oddHBand="0" w:evenHBand="0" w:firstRowFirstColumn="0" w:firstRowLastColumn="0" w:lastRowFirstColumn="0" w:lastRowLastColumn="0"/>
            <w:tcW w:w="1827" w:type="dxa"/>
            <w:vMerge/>
          </w:tcPr>
          <w:p w:rsidR="004339FD" w:rsidRDefault="004339FD" w:rsidP="003B3EC1"/>
        </w:tc>
        <w:tc>
          <w:tcPr>
            <w:tcW w:w="142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6 (6%)</w:t>
            </w:r>
          </w:p>
        </w:tc>
        <w:tc>
          <w:tcPr>
            <w:tcW w:w="1137"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55</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6-41</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23</w:t>
            </w:r>
          </w:p>
        </w:tc>
        <w:tc>
          <w:tcPr>
            <w:tcW w:w="113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22</w:t>
            </w:r>
          </w:p>
        </w:tc>
        <w:tc>
          <w:tcPr>
            <w:tcW w:w="1262"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100%</w:t>
            </w:r>
          </w:p>
        </w:tc>
      </w:tr>
      <w:tr w:rsidR="004339FD" w:rsidTr="00235517">
        <w:tc>
          <w:tcPr>
            <w:cnfStyle w:val="001000000000" w:firstRow="0" w:lastRow="0" w:firstColumn="1" w:lastColumn="0" w:oddVBand="0" w:evenVBand="0" w:oddHBand="0" w:evenHBand="0" w:firstRowFirstColumn="0" w:firstRowLastColumn="0" w:lastRowFirstColumn="0" w:lastRowLastColumn="0"/>
            <w:tcW w:w="1827" w:type="dxa"/>
            <w:vMerge/>
          </w:tcPr>
          <w:p w:rsidR="004339FD" w:rsidRDefault="004339FD" w:rsidP="003B3EC1"/>
        </w:tc>
        <w:tc>
          <w:tcPr>
            <w:tcW w:w="142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25 (26%)</w:t>
            </w:r>
          </w:p>
        </w:tc>
        <w:tc>
          <w:tcPr>
            <w:tcW w:w="1137"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150</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10-218</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95</w:t>
            </w:r>
          </w:p>
        </w:tc>
        <w:tc>
          <w:tcPr>
            <w:tcW w:w="113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73</w:t>
            </w:r>
          </w:p>
        </w:tc>
        <w:tc>
          <w:tcPr>
            <w:tcW w:w="1262"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72%</w:t>
            </w:r>
          </w:p>
        </w:tc>
      </w:tr>
      <w:tr w:rsidR="004339FD" w:rsidTr="00235517">
        <w:tc>
          <w:tcPr>
            <w:cnfStyle w:val="001000000000" w:firstRow="0" w:lastRow="0" w:firstColumn="1" w:lastColumn="0" w:oddVBand="0" w:evenVBand="0" w:oddHBand="0" w:evenHBand="0" w:firstRowFirstColumn="0" w:firstRowLastColumn="0" w:lastRowFirstColumn="0" w:lastRowLastColumn="0"/>
            <w:tcW w:w="1827" w:type="dxa"/>
            <w:vMerge/>
          </w:tcPr>
          <w:p w:rsidR="004339FD" w:rsidRDefault="004339FD" w:rsidP="003B3EC1"/>
        </w:tc>
        <w:tc>
          <w:tcPr>
            <w:tcW w:w="142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12 (12%)</w:t>
            </w:r>
          </w:p>
        </w:tc>
        <w:tc>
          <w:tcPr>
            <w:tcW w:w="1137"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170</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63-277</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118</w:t>
            </w:r>
          </w:p>
        </w:tc>
        <w:tc>
          <w:tcPr>
            <w:tcW w:w="113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80</w:t>
            </w:r>
          </w:p>
        </w:tc>
        <w:tc>
          <w:tcPr>
            <w:tcW w:w="1262"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75%</w:t>
            </w:r>
          </w:p>
        </w:tc>
      </w:tr>
      <w:tr w:rsidR="004339FD" w:rsidTr="00235517">
        <w:tc>
          <w:tcPr>
            <w:cnfStyle w:val="001000000000" w:firstRow="0" w:lastRow="0" w:firstColumn="1" w:lastColumn="0" w:oddVBand="0" w:evenVBand="0" w:oddHBand="0" w:evenHBand="0" w:firstRowFirstColumn="0" w:firstRowLastColumn="0" w:lastRowFirstColumn="0" w:lastRowLastColumn="0"/>
            <w:tcW w:w="1827" w:type="dxa"/>
            <w:vMerge/>
          </w:tcPr>
          <w:p w:rsidR="004339FD" w:rsidRDefault="004339FD" w:rsidP="003B3EC1"/>
        </w:tc>
        <w:tc>
          <w:tcPr>
            <w:tcW w:w="142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4 (4%)</w:t>
            </w:r>
          </w:p>
        </w:tc>
        <w:tc>
          <w:tcPr>
            <w:tcW w:w="1137"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210</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215-317</w:t>
            </w:r>
          </w:p>
        </w:tc>
        <w:tc>
          <w:tcPr>
            <w:tcW w:w="1133"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244</w:t>
            </w:r>
          </w:p>
        </w:tc>
        <w:tc>
          <w:tcPr>
            <w:tcW w:w="1134"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223</w:t>
            </w:r>
          </w:p>
        </w:tc>
        <w:tc>
          <w:tcPr>
            <w:tcW w:w="1262" w:type="dxa"/>
          </w:tcPr>
          <w:p w:rsidR="004339FD" w:rsidRDefault="004339FD" w:rsidP="00E80CB2">
            <w:pPr>
              <w:spacing w:before="90" w:after="90"/>
              <w:jc w:val="right"/>
              <w:cnfStyle w:val="000000000000" w:firstRow="0" w:lastRow="0" w:firstColumn="0" w:lastColumn="0" w:oddVBand="0" w:evenVBand="0" w:oddHBand="0" w:evenHBand="0" w:firstRowFirstColumn="0" w:firstRowLastColumn="0" w:lastRowFirstColumn="0" w:lastRowLastColumn="0"/>
            </w:pPr>
            <w:r>
              <w:t>0%</w:t>
            </w:r>
          </w:p>
        </w:tc>
      </w:tr>
      <w:tr w:rsidR="00235517" w:rsidTr="00235517">
        <w:tc>
          <w:tcPr>
            <w:cnfStyle w:val="001000000000" w:firstRow="0" w:lastRow="0" w:firstColumn="1" w:lastColumn="0" w:oddVBand="0" w:evenVBand="0" w:oddHBand="0" w:evenHBand="0" w:firstRowFirstColumn="0" w:firstRowLastColumn="0" w:lastRowFirstColumn="0" w:lastRowLastColumn="0"/>
            <w:tcW w:w="1827" w:type="dxa"/>
          </w:tcPr>
          <w:p w:rsidR="00442B25" w:rsidRPr="004339FD" w:rsidRDefault="004339FD" w:rsidP="003B3EC1">
            <w:pPr>
              <w:rPr>
                <w:b/>
              </w:rPr>
            </w:pPr>
            <w:r w:rsidRPr="004339FD">
              <w:rPr>
                <w:b/>
              </w:rPr>
              <w:t>Total</w:t>
            </w:r>
          </w:p>
        </w:tc>
        <w:tc>
          <w:tcPr>
            <w:tcW w:w="1424" w:type="dxa"/>
          </w:tcPr>
          <w:p w:rsidR="00442B25" w:rsidRDefault="004339FD" w:rsidP="00E80CB2">
            <w:pPr>
              <w:jc w:val="right"/>
              <w:cnfStyle w:val="000000000000" w:firstRow="0" w:lastRow="0" w:firstColumn="0" w:lastColumn="0" w:oddVBand="0" w:evenVBand="0" w:oddHBand="0" w:evenHBand="0" w:firstRowFirstColumn="0" w:firstRowLastColumn="0" w:lastRowFirstColumn="0" w:lastRowLastColumn="0"/>
            </w:pPr>
            <w:r>
              <w:t>97 (100%)</w:t>
            </w:r>
          </w:p>
        </w:tc>
        <w:tc>
          <w:tcPr>
            <w:tcW w:w="1137" w:type="dxa"/>
          </w:tcPr>
          <w:p w:rsidR="00442B25" w:rsidRDefault="00442B25" w:rsidP="00E80CB2">
            <w:pPr>
              <w:jc w:val="right"/>
              <w:cnfStyle w:val="000000000000" w:firstRow="0" w:lastRow="0" w:firstColumn="0" w:lastColumn="0" w:oddVBand="0" w:evenVBand="0" w:oddHBand="0" w:evenHBand="0" w:firstRowFirstColumn="0" w:firstRowLastColumn="0" w:lastRowFirstColumn="0" w:lastRowLastColumn="0"/>
            </w:pPr>
          </w:p>
        </w:tc>
        <w:tc>
          <w:tcPr>
            <w:tcW w:w="1133" w:type="dxa"/>
          </w:tcPr>
          <w:p w:rsidR="00442B25" w:rsidRDefault="00442B25" w:rsidP="00E80CB2">
            <w:pPr>
              <w:jc w:val="right"/>
              <w:cnfStyle w:val="000000000000" w:firstRow="0" w:lastRow="0" w:firstColumn="0" w:lastColumn="0" w:oddVBand="0" w:evenVBand="0" w:oddHBand="0" w:evenHBand="0" w:firstRowFirstColumn="0" w:firstRowLastColumn="0" w:lastRowFirstColumn="0" w:lastRowLastColumn="0"/>
            </w:pPr>
          </w:p>
        </w:tc>
        <w:tc>
          <w:tcPr>
            <w:tcW w:w="1133" w:type="dxa"/>
          </w:tcPr>
          <w:p w:rsidR="00442B25" w:rsidRDefault="00442B25" w:rsidP="00E80CB2">
            <w:pPr>
              <w:jc w:val="right"/>
              <w:cnfStyle w:val="000000000000" w:firstRow="0" w:lastRow="0" w:firstColumn="0" w:lastColumn="0" w:oddVBand="0" w:evenVBand="0" w:oddHBand="0" w:evenHBand="0" w:firstRowFirstColumn="0" w:firstRowLastColumn="0" w:lastRowFirstColumn="0" w:lastRowLastColumn="0"/>
            </w:pPr>
          </w:p>
        </w:tc>
        <w:tc>
          <w:tcPr>
            <w:tcW w:w="1134" w:type="dxa"/>
          </w:tcPr>
          <w:p w:rsidR="00442B25" w:rsidRDefault="00442B25" w:rsidP="00E80CB2">
            <w:pPr>
              <w:jc w:val="right"/>
              <w:cnfStyle w:val="000000000000" w:firstRow="0" w:lastRow="0" w:firstColumn="0" w:lastColumn="0" w:oddVBand="0" w:evenVBand="0" w:oddHBand="0" w:evenHBand="0" w:firstRowFirstColumn="0" w:firstRowLastColumn="0" w:lastRowFirstColumn="0" w:lastRowLastColumn="0"/>
            </w:pPr>
          </w:p>
        </w:tc>
        <w:tc>
          <w:tcPr>
            <w:tcW w:w="1262" w:type="dxa"/>
          </w:tcPr>
          <w:p w:rsidR="00442B25" w:rsidRDefault="00442B25" w:rsidP="00E80CB2">
            <w:pPr>
              <w:jc w:val="right"/>
              <w:cnfStyle w:val="000000000000" w:firstRow="0" w:lastRow="0" w:firstColumn="0" w:lastColumn="0" w:oddVBand="0" w:evenVBand="0" w:oddHBand="0" w:evenHBand="0" w:firstRowFirstColumn="0" w:firstRowLastColumn="0" w:lastRowFirstColumn="0" w:lastRowLastColumn="0"/>
            </w:pPr>
          </w:p>
        </w:tc>
      </w:tr>
      <w:tr w:rsidR="004339FD" w:rsidTr="004339FD">
        <w:tc>
          <w:tcPr>
            <w:cnfStyle w:val="001000000000" w:firstRow="0" w:lastRow="0" w:firstColumn="1" w:lastColumn="0" w:oddVBand="0" w:evenVBand="0" w:oddHBand="0" w:evenHBand="0" w:firstRowFirstColumn="0" w:firstRowLastColumn="0" w:lastRowFirstColumn="0" w:lastRowLastColumn="0"/>
            <w:tcW w:w="9050" w:type="dxa"/>
            <w:gridSpan w:val="7"/>
            <w:shd w:val="clear" w:color="auto" w:fill="D1DCEF"/>
          </w:tcPr>
          <w:p w:rsidR="004339FD" w:rsidRPr="004339FD" w:rsidRDefault="004339FD" w:rsidP="003B3EC1">
            <w:pPr>
              <w:rPr>
                <w:b/>
              </w:rPr>
            </w:pPr>
          </w:p>
        </w:tc>
      </w:tr>
      <w:tr w:rsidR="00235517" w:rsidTr="00235517">
        <w:tc>
          <w:tcPr>
            <w:cnfStyle w:val="001000000000" w:firstRow="0" w:lastRow="0" w:firstColumn="1" w:lastColumn="0" w:oddVBand="0" w:evenVBand="0" w:oddHBand="0" w:evenHBand="0" w:firstRowFirstColumn="0" w:firstRowLastColumn="0" w:lastRowFirstColumn="0" w:lastRowLastColumn="0"/>
            <w:tcW w:w="1827" w:type="dxa"/>
            <w:vMerge w:val="restart"/>
          </w:tcPr>
          <w:p w:rsidR="00235517" w:rsidRDefault="00235517" w:rsidP="004339FD">
            <w:r w:rsidRPr="006A6218">
              <w:rPr>
                <w:noProof/>
                <w:lang w:eastAsia="en-AU"/>
              </w:rPr>
              <mc:AlternateContent>
                <mc:Choice Requires="wps">
                  <w:drawing>
                    <wp:anchor distT="0" distB="0" distL="114300" distR="114300" simplePos="0" relativeHeight="251663360" behindDoc="0" locked="0" layoutInCell="1" allowOverlap="1" wp14:anchorId="28EA44F5" wp14:editId="3E6444D8">
                      <wp:simplePos x="0" y="0"/>
                      <wp:positionH relativeFrom="column">
                        <wp:posOffset>508880</wp:posOffset>
                      </wp:positionH>
                      <wp:positionV relativeFrom="paragraph">
                        <wp:posOffset>331226</wp:posOffset>
                      </wp:positionV>
                      <wp:extent cx="262255" cy="448464"/>
                      <wp:effectExtent l="19050" t="0" r="23495" b="46990"/>
                      <wp:wrapNone/>
                      <wp:docPr id="20" name="Down Arrow 20" descr="application types go from lower risk (C1) to higher risk (C4)"/>
                      <wp:cNvGraphicFramePr/>
                      <a:graphic xmlns:a="http://schemas.openxmlformats.org/drawingml/2006/main">
                        <a:graphicData uri="http://schemas.microsoft.com/office/word/2010/wordprocessingShape">
                          <wps:wsp>
                            <wps:cNvSpPr/>
                            <wps:spPr>
                              <a:xfrm>
                                <a:off x="0" y="0"/>
                                <a:ext cx="262255" cy="448464"/>
                              </a:xfrm>
                              <a:prstGeom prst="downArrow">
                                <a:avLst/>
                              </a:prstGeom>
                              <a:gradFill flip="none" rotWithShape="1">
                                <a:gsLst>
                                  <a:gs pos="0">
                                    <a:srgbClr val="03D4A8"/>
                                  </a:gs>
                                  <a:gs pos="15000">
                                    <a:srgbClr val="21D6E0"/>
                                  </a:gs>
                                  <a:gs pos="62000">
                                    <a:srgbClr val="0087E6"/>
                                  </a:gs>
                                  <a:gs pos="100000">
                                    <a:srgbClr val="005CBF"/>
                                  </a:gs>
                                </a:gsLst>
                                <a:lin ang="162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9FA281" id="Down Arrow 20" o:spid="_x0000_s1026" type="#_x0000_t67" alt="application types go from lower risk (C1) to higher risk (C4)" style="position:absolute;margin-left:40.05pt;margin-top:26.1pt;width:20.65pt;height:35.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" adj="15284" fillcolor="#03d4a8" strokecolor="#003653 [1604]" strokeweight="2pt">
                      <v:fill color2="#005cbf" rotate="t" angle="180" colors="0 #03d4a8;9830f #21d6e0;40632f #0087e6;1 #005cbf" focus="100%" type="gradient">
                        <o:fill v:ext="view" type="gradientUnscaled"/>
                      </v:fill>
                    </v:shape>
                  </w:pict>
                </mc:Fallback>
              </mc:AlternateContent>
            </w:r>
            <w:r>
              <w:t>C1 Lower risk</w:t>
            </w:r>
          </w:p>
          <w:p w:rsidR="00235517" w:rsidRDefault="00235517" w:rsidP="004339FD">
            <w:r>
              <w:t>C2</w:t>
            </w:r>
          </w:p>
          <w:p w:rsidR="00235517" w:rsidRDefault="00235517" w:rsidP="004339FD">
            <w:r>
              <w:t>C3</w:t>
            </w:r>
          </w:p>
          <w:p w:rsidR="00235517" w:rsidRPr="004339FD" w:rsidRDefault="00235517" w:rsidP="004339FD">
            <w:pPr>
              <w:rPr>
                <w:b/>
              </w:rPr>
            </w:pPr>
            <w:r>
              <w:t>C4 Higher risk</w:t>
            </w:r>
          </w:p>
        </w:tc>
        <w:tc>
          <w:tcPr>
            <w:tcW w:w="142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112 (40%)</w:t>
            </w:r>
          </w:p>
        </w:tc>
        <w:tc>
          <w:tcPr>
            <w:tcW w:w="1137"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20</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0-44</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14</w:t>
            </w:r>
          </w:p>
        </w:tc>
        <w:tc>
          <w:tcPr>
            <w:tcW w:w="113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11</w:t>
            </w:r>
          </w:p>
        </w:tc>
        <w:tc>
          <w:tcPr>
            <w:tcW w:w="1262"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71%</w:t>
            </w:r>
          </w:p>
        </w:tc>
      </w:tr>
      <w:tr w:rsidR="00235517" w:rsidTr="00235517">
        <w:tc>
          <w:tcPr>
            <w:cnfStyle w:val="001000000000" w:firstRow="0" w:lastRow="0" w:firstColumn="1" w:lastColumn="0" w:oddVBand="0" w:evenVBand="0" w:oddHBand="0" w:evenHBand="0" w:firstRowFirstColumn="0" w:firstRowLastColumn="0" w:lastRowFirstColumn="0" w:lastRowLastColumn="0"/>
            <w:tcW w:w="1827" w:type="dxa"/>
            <w:vMerge/>
          </w:tcPr>
          <w:p w:rsidR="00235517" w:rsidRPr="006A6218" w:rsidRDefault="00235517" w:rsidP="004339FD">
            <w:pPr>
              <w:rPr>
                <w:noProof/>
                <w:lang w:eastAsia="en-AU"/>
              </w:rPr>
            </w:pPr>
          </w:p>
        </w:tc>
        <w:tc>
          <w:tcPr>
            <w:tcW w:w="142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169 (60%)</w:t>
            </w:r>
          </w:p>
        </w:tc>
        <w:tc>
          <w:tcPr>
            <w:tcW w:w="1137"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64</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0-113</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35</w:t>
            </w:r>
          </w:p>
        </w:tc>
        <w:tc>
          <w:tcPr>
            <w:tcW w:w="113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39</w:t>
            </w:r>
          </w:p>
        </w:tc>
        <w:tc>
          <w:tcPr>
            <w:tcW w:w="1262"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96%</w:t>
            </w:r>
          </w:p>
        </w:tc>
      </w:tr>
      <w:tr w:rsidR="00235517" w:rsidTr="00235517">
        <w:tc>
          <w:tcPr>
            <w:cnfStyle w:val="001000000000" w:firstRow="0" w:lastRow="0" w:firstColumn="1" w:lastColumn="0" w:oddVBand="0" w:evenVBand="0" w:oddHBand="0" w:evenHBand="0" w:firstRowFirstColumn="0" w:firstRowLastColumn="0" w:lastRowFirstColumn="0" w:lastRowLastColumn="0"/>
            <w:tcW w:w="1827" w:type="dxa"/>
            <w:vMerge/>
          </w:tcPr>
          <w:p w:rsidR="00235517" w:rsidRPr="006A6218" w:rsidRDefault="00235517" w:rsidP="004339FD">
            <w:pPr>
              <w:rPr>
                <w:noProof/>
                <w:lang w:eastAsia="en-AU"/>
              </w:rPr>
            </w:pPr>
          </w:p>
        </w:tc>
        <w:tc>
          <w:tcPr>
            <w:tcW w:w="142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 (&lt;0.4%)</w:t>
            </w:r>
          </w:p>
        </w:tc>
        <w:tc>
          <w:tcPr>
            <w:tcW w:w="1137"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120</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188</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188</w:t>
            </w:r>
          </w:p>
        </w:tc>
        <w:tc>
          <w:tcPr>
            <w:tcW w:w="113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188</w:t>
            </w:r>
          </w:p>
        </w:tc>
        <w:tc>
          <w:tcPr>
            <w:tcW w:w="1262"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0%</w:t>
            </w:r>
          </w:p>
        </w:tc>
      </w:tr>
      <w:tr w:rsidR="00235517" w:rsidTr="00235517">
        <w:tc>
          <w:tcPr>
            <w:cnfStyle w:val="001000000000" w:firstRow="0" w:lastRow="0" w:firstColumn="1" w:lastColumn="0" w:oddVBand="0" w:evenVBand="0" w:oddHBand="0" w:evenHBand="0" w:firstRowFirstColumn="0" w:firstRowLastColumn="0" w:lastRowFirstColumn="0" w:lastRowLastColumn="0"/>
            <w:tcW w:w="1827" w:type="dxa"/>
            <w:vMerge/>
          </w:tcPr>
          <w:p w:rsidR="00235517" w:rsidRPr="006A6218" w:rsidRDefault="00235517" w:rsidP="004339FD">
            <w:pPr>
              <w:rPr>
                <w:noProof/>
                <w:lang w:eastAsia="en-AU"/>
              </w:rPr>
            </w:pPr>
          </w:p>
        </w:tc>
        <w:tc>
          <w:tcPr>
            <w:tcW w:w="142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 (&lt;0.4%)</w:t>
            </w:r>
          </w:p>
        </w:tc>
        <w:tc>
          <w:tcPr>
            <w:tcW w:w="1137"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170</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105</w:t>
            </w:r>
          </w:p>
        </w:tc>
        <w:tc>
          <w:tcPr>
            <w:tcW w:w="1133"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105</w:t>
            </w:r>
          </w:p>
        </w:tc>
        <w:tc>
          <w:tcPr>
            <w:tcW w:w="1134"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105</w:t>
            </w:r>
          </w:p>
        </w:tc>
        <w:tc>
          <w:tcPr>
            <w:tcW w:w="1262" w:type="dxa"/>
          </w:tcPr>
          <w:p w:rsidR="00235517" w:rsidRDefault="00235517" w:rsidP="00E80CB2">
            <w:pPr>
              <w:spacing w:before="90" w:after="90"/>
              <w:jc w:val="right"/>
              <w:cnfStyle w:val="000000000000" w:firstRow="0" w:lastRow="0" w:firstColumn="0" w:lastColumn="0" w:oddVBand="0" w:evenVBand="0" w:oddHBand="0" w:evenHBand="0" w:firstRowFirstColumn="0" w:firstRowLastColumn="0" w:lastRowFirstColumn="0" w:lastRowLastColumn="0"/>
            </w:pPr>
            <w:r>
              <w:t>100%</w:t>
            </w:r>
          </w:p>
        </w:tc>
      </w:tr>
      <w:tr w:rsidR="00235517" w:rsidTr="00235517">
        <w:tc>
          <w:tcPr>
            <w:cnfStyle w:val="001000000000" w:firstRow="0" w:lastRow="0" w:firstColumn="1" w:lastColumn="0" w:oddVBand="0" w:evenVBand="0" w:oddHBand="0" w:evenHBand="0" w:firstRowFirstColumn="0" w:firstRowLastColumn="0" w:lastRowFirstColumn="0" w:lastRowLastColumn="0"/>
            <w:tcW w:w="1827" w:type="dxa"/>
          </w:tcPr>
          <w:p w:rsidR="00235517" w:rsidRPr="00235517" w:rsidRDefault="00235517" w:rsidP="004339FD">
            <w:pPr>
              <w:rPr>
                <w:b/>
                <w:noProof/>
                <w:lang w:eastAsia="en-AU"/>
              </w:rPr>
            </w:pPr>
            <w:r w:rsidRPr="00235517">
              <w:rPr>
                <w:b/>
              </w:rPr>
              <w:t>Total</w:t>
            </w:r>
          </w:p>
        </w:tc>
        <w:tc>
          <w:tcPr>
            <w:tcW w:w="1424" w:type="dxa"/>
          </w:tcPr>
          <w:p w:rsidR="00235517" w:rsidRDefault="00235517" w:rsidP="00E80CB2">
            <w:pPr>
              <w:jc w:val="right"/>
              <w:cnfStyle w:val="000000000000" w:firstRow="0" w:lastRow="0" w:firstColumn="0" w:lastColumn="0" w:oddVBand="0" w:evenVBand="0" w:oddHBand="0" w:evenHBand="0" w:firstRowFirstColumn="0" w:firstRowLastColumn="0" w:lastRowFirstColumn="0" w:lastRowLastColumn="0"/>
            </w:pPr>
            <w:r>
              <w:t>283 (100%)</w:t>
            </w:r>
          </w:p>
        </w:tc>
        <w:tc>
          <w:tcPr>
            <w:tcW w:w="1137" w:type="dxa"/>
          </w:tcPr>
          <w:p w:rsidR="00235517" w:rsidRDefault="00235517" w:rsidP="00E80CB2">
            <w:pPr>
              <w:jc w:val="right"/>
              <w:cnfStyle w:val="000000000000" w:firstRow="0" w:lastRow="0" w:firstColumn="0" w:lastColumn="0" w:oddVBand="0" w:evenVBand="0" w:oddHBand="0" w:evenHBand="0" w:firstRowFirstColumn="0" w:firstRowLastColumn="0" w:lastRowFirstColumn="0" w:lastRowLastColumn="0"/>
            </w:pPr>
          </w:p>
        </w:tc>
        <w:tc>
          <w:tcPr>
            <w:tcW w:w="1133" w:type="dxa"/>
          </w:tcPr>
          <w:p w:rsidR="00235517" w:rsidRDefault="00235517" w:rsidP="00E80CB2">
            <w:pPr>
              <w:jc w:val="right"/>
              <w:cnfStyle w:val="000000000000" w:firstRow="0" w:lastRow="0" w:firstColumn="0" w:lastColumn="0" w:oddVBand="0" w:evenVBand="0" w:oddHBand="0" w:evenHBand="0" w:firstRowFirstColumn="0" w:firstRowLastColumn="0" w:lastRowFirstColumn="0" w:lastRowLastColumn="0"/>
            </w:pPr>
          </w:p>
        </w:tc>
        <w:tc>
          <w:tcPr>
            <w:tcW w:w="1133" w:type="dxa"/>
          </w:tcPr>
          <w:p w:rsidR="00235517" w:rsidRDefault="00235517" w:rsidP="00E80CB2">
            <w:pPr>
              <w:jc w:val="right"/>
              <w:cnfStyle w:val="000000000000" w:firstRow="0" w:lastRow="0" w:firstColumn="0" w:lastColumn="0" w:oddVBand="0" w:evenVBand="0" w:oddHBand="0" w:evenHBand="0" w:firstRowFirstColumn="0" w:firstRowLastColumn="0" w:lastRowFirstColumn="0" w:lastRowLastColumn="0"/>
            </w:pPr>
          </w:p>
        </w:tc>
        <w:tc>
          <w:tcPr>
            <w:tcW w:w="1134" w:type="dxa"/>
          </w:tcPr>
          <w:p w:rsidR="00235517" w:rsidRDefault="00235517" w:rsidP="00E80CB2">
            <w:pPr>
              <w:jc w:val="right"/>
              <w:cnfStyle w:val="000000000000" w:firstRow="0" w:lastRow="0" w:firstColumn="0" w:lastColumn="0" w:oddVBand="0" w:evenVBand="0" w:oddHBand="0" w:evenHBand="0" w:firstRowFirstColumn="0" w:firstRowLastColumn="0" w:lastRowFirstColumn="0" w:lastRowLastColumn="0"/>
            </w:pPr>
          </w:p>
        </w:tc>
        <w:tc>
          <w:tcPr>
            <w:tcW w:w="1262" w:type="dxa"/>
          </w:tcPr>
          <w:p w:rsidR="00235517" w:rsidRDefault="00235517" w:rsidP="00E80CB2">
            <w:pPr>
              <w:jc w:val="right"/>
              <w:cnfStyle w:val="000000000000" w:firstRow="0" w:lastRow="0" w:firstColumn="0" w:lastColumn="0" w:oddVBand="0" w:evenVBand="0" w:oddHBand="0" w:evenHBand="0" w:firstRowFirstColumn="0" w:firstRowLastColumn="0" w:lastRowFirstColumn="0" w:lastRowLastColumn="0"/>
            </w:pPr>
          </w:p>
        </w:tc>
      </w:tr>
    </w:tbl>
    <w:p w:rsidR="003B3EC1" w:rsidRDefault="003B3EC1" w:rsidP="005B0FB7">
      <w:pPr>
        <w:pStyle w:val="Tabletitle"/>
        <w:pageBreakBefore/>
        <w:ind w:left="992" w:hanging="992"/>
      </w:pPr>
      <w:r>
        <w:lastRenderedPageBreak/>
        <w:t xml:space="preserve">Table 12 </w:t>
      </w:r>
      <w:r>
        <w:tab/>
        <w:t>Other OTC medicine applications processed for 1 July to 31 December</w:t>
      </w:r>
    </w:p>
    <w:p w:rsidR="003B3EC1" w:rsidRDefault="003B3EC1" w:rsidP="003B3EC1">
      <w:r>
        <w:t xml:space="preserve">Other application types that we process include notification changes, where their implementation would not </w:t>
      </w:r>
      <w:proofErr w:type="gramStart"/>
      <w:r>
        <w:t>impact</w:t>
      </w:r>
      <w:proofErr w:type="gramEnd"/>
      <w:r>
        <w:t xml:space="preserve"> the quality, safety, or efficacy of a medicine, and requests for advice for the purpose of listing a medicine as a pharmaceutical benefit. In accordance with the legislation, registered goods must comply with numerous standards at the time they are registered and throughout their lifecycle. Following an appropriate application and review of the scientific data and safety considerations, we may grant an exemption from a particular standard for a product.</w:t>
      </w:r>
    </w:p>
    <w:tbl>
      <w:tblPr>
        <w:tblStyle w:val="TableTGAblue"/>
        <w:tblW w:w="0" w:type="auto"/>
        <w:tblLook w:val="04A0" w:firstRow="1" w:lastRow="0" w:firstColumn="1" w:lastColumn="0" w:noHBand="0" w:noVBand="1"/>
      </w:tblPr>
      <w:tblGrid>
        <w:gridCol w:w="5245"/>
        <w:gridCol w:w="1985"/>
        <w:gridCol w:w="1820"/>
      </w:tblGrid>
      <w:tr w:rsidR="005B0FB7"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5B0FB7" w:rsidRDefault="005B0FB7" w:rsidP="00806AA1">
            <w:pPr>
              <w:spacing w:before="30" w:after="30"/>
            </w:pPr>
          </w:p>
        </w:tc>
        <w:tc>
          <w:tcPr>
            <w:tcW w:w="1985" w:type="dxa"/>
            <w:tcBorders>
              <w:left w:val="single" w:sz="4" w:space="0" w:color="auto"/>
              <w:right w:val="single" w:sz="4" w:space="0" w:color="auto"/>
            </w:tcBorders>
            <w:shd w:val="clear" w:color="auto" w:fill="6481A0"/>
          </w:tcPr>
          <w:p w:rsidR="005B0FB7" w:rsidRDefault="005B0FB7"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5B0FB7" w:rsidRDefault="005B0FB7"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5B0FB7" w:rsidRDefault="005B0FB7" w:rsidP="00806AA1">
            <w:pPr>
              <w:spacing w:before="30" w:after="30"/>
            </w:pPr>
          </w:p>
        </w:tc>
        <w:tc>
          <w:tcPr>
            <w:tcW w:w="3805" w:type="dxa"/>
            <w:gridSpan w:val="2"/>
            <w:shd w:val="clear" w:color="auto" w:fill="D1DCEF"/>
          </w:tcPr>
          <w:p w:rsidR="005B0FB7" w:rsidRDefault="005B0FB7"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5B0FB7" w:rsidRPr="00E761C3" w:rsidRDefault="005B0FB7"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286D6B">
              <w:rPr>
                <w:b/>
                <w:color w:val="auto"/>
              </w:rPr>
              <w:t>Number (% of total)</w:t>
            </w:r>
          </w:p>
        </w:tc>
      </w:tr>
      <w:tr w:rsidR="005B0FB7" w:rsidTr="00806AA1">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5B0FB7" w:rsidRPr="005B0FB7" w:rsidRDefault="005B0FB7" w:rsidP="00806AA1">
            <w:pPr>
              <w:spacing w:before="30" w:after="30"/>
              <w:rPr>
                <w:b/>
              </w:rPr>
            </w:pPr>
            <w:r w:rsidRPr="005B0FB7">
              <w:rPr>
                <w:b/>
                <w:color w:val="FFFFFF" w:themeColor="background1"/>
              </w:rPr>
              <w:t>Notification changes, where their implementation would not impact the quality, safety or efficacy of a medicine</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tcPr>
          <w:p w:rsidR="005B0FB7" w:rsidRDefault="005B0FB7" w:rsidP="00806AA1">
            <w:pPr>
              <w:spacing w:before="30" w:after="30"/>
            </w:pPr>
            <w:r>
              <w:t>CN</w:t>
            </w:r>
          </w:p>
        </w:tc>
        <w:tc>
          <w:tcPr>
            <w:tcW w:w="1985"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78</w:t>
            </w:r>
          </w:p>
        </w:tc>
        <w:tc>
          <w:tcPr>
            <w:tcW w:w="1820"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66</w:t>
            </w:r>
          </w:p>
        </w:tc>
      </w:tr>
      <w:tr w:rsidR="005B0FB7" w:rsidTr="005B0FB7">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5B0FB7" w:rsidRPr="005B0FB7" w:rsidRDefault="005B0FB7" w:rsidP="00806AA1">
            <w:pPr>
              <w:spacing w:before="30" w:after="30"/>
              <w:rPr>
                <w:b/>
              </w:rPr>
            </w:pPr>
            <w:r w:rsidRPr="005B0FB7">
              <w:rPr>
                <w:b/>
                <w:color w:val="FFFFFF" w:themeColor="background1"/>
              </w:rPr>
              <w:t>Request for advice for the purpose of listing a medicine as a pharmaceutical benefit</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tcPr>
          <w:p w:rsidR="005B0FB7" w:rsidRDefault="005B0FB7" w:rsidP="00806AA1">
            <w:pPr>
              <w:spacing w:before="30" w:after="30"/>
            </w:pPr>
            <w:r>
              <w:t>B1</w:t>
            </w:r>
          </w:p>
        </w:tc>
        <w:tc>
          <w:tcPr>
            <w:tcW w:w="1985"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tcPr>
          <w:p w:rsidR="005B0FB7" w:rsidRDefault="005B0FB7" w:rsidP="00806AA1">
            <w:pPr>
              <w:spacing w:before="30" w:after="30"/>
            </w:pPr>
            <w:r>
              <w:t>B3</w:t>
            </w:r>
          </w:p>
        </w:tc>
        <w:tc>
          <w:tcPr>
            <w:tcW w:w="1985"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5B0FB7" w:rsidTr="005B0FB7">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5B0FB7" w:rsidRPr="005B0FB7" w:rsidRDefault="005B0FB7" w:rsidP="00806AA1">
            <w:pPr>
              <w:spacing w:before="30" w:after="30"/>
              <w:rPr>
                <w:b/>
              </w:rPr>
            </w:pPr>
            <w:r w:rsidRPr="005B0FB7">
              <w:rPr>
                <w:b/>
              </w:rPr>
              <w:t>Total</w:t>
            </w:r>
          </w:p>
        </w:tc>
        <w:tc>
          <w:tcPr>
            <w:tcW w:w="1985" w:type="dxa"/>
            <w:shd w:val="clear" w:color="auto" w:fill="D1DCEF"/>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shd w:val="clear" w:color="auto" w:fill="D1DCEF"/>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5B0FB7" w:rsidTr="005B0FB7">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5B0FB7" w:rsidRPr="005B0FB7" w:rsidRDefault="005B0FB7" w:rsidP="00806AA1">
            <w:pPr>
              <w:spacing w:before="30" w:after="30"/>
              <w:rPr>
                <w:b/>
              </w:rPr>
            </w:pPr>
            <w:r w:rsidRPr="005B0FB7">
              <w:rPr>
                <w:b/>
                <w:color w:val="FFFFFF" w:themeColor="background1"/>
              </w:rPr>
              <w:t>Requests for consent under section 14/14A of the Act to import, export or supply therapeutic goods not complying with an applicable standard</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tcPr>
          <w:p w:rsidR="005B0FB7" w:rsidRDefault="005B0FB7" w:rsidP="00806AA1">
            <w:pPr>
              <w:spacing w:before="30" w:after="30"/>
            </w:pPr>
            <w:proofErr w:type="spellStart"/>
            <w:r>
              <w:t>Approved</w:t>
            </w:r>
            <w:r w:rsidRPr="005B0FB7">
              <w:rPr>
                <w:vertAlign w:val="superscript"/>
              </w:rPr>
              <w:t>a</w:t>
            </w:r>
            <w:proofErr w:type="spellEnd"/>
          </w:p>
        </w:tc>
        <w:tc>
          <w:tcPr>
            <w:tcW w:w="1985"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(100%)</w:t>
            </w:r>
          </w:p>
        </w:tc>
        <w:tc>
          <w:tcPr>
            <w:tcW w:w="1820"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70 (100%)</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tcPr>
          <w:p w:rsidR="005B0FB7" w:rsidRDefault="005B0FB7" w:rsidP="00806AA1">
            <w:pPr>
              <w:spacing w:before="30" w:after="30"/>
            </w:pPr>
            <w:r>
              <w:t>Rejected</w:t>
            </w:r>
          </w:p>
        </w:tc>
        <w:tc>
          <w:tcPr>
            <w:tcW w:w="1985"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5B0FB7" w:rsidTr="00806AA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5B0FB7" w:rsidRPr="00E761C3" w:rsidRDefault="005B0FB7" w:rsidP="00806AA1">
            <w:pPr>
              <w:spacing w:before="30" w:after="30"/>
              <w:rPr>
                <w:b/>
              </w:rPr>
            </w:pPr>
            <w:r w:rsidRPr="00E761C3">
              <w:rPr>
                <w:b/>
              </w:rPr>
              <w:t>Total</w:t>
            </w:r>
          </w:p>
        </w:tc>
        <w:tc>
          <w:tcPr>
            <w:tcW w:w="1985" w:type="dxa"/>
            <w:shd w:val="clear" w:color="auto" w:fill="D1DCEF"/>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(100%)</w:t>
            </w:r>
          </w:p>
        </w:tc>
        <w:tc>
          <w:tcPr>
            <w:tcW w:w="1820" w:type="dxa"/>
            <w:shd w:val="clear" w:color="auto" w:fill="D1DCEF"/>
          </w:tcPr>
          <w:p w:rsidR="005B0FB7" w:rsidRDefault="005B0FB7" w:rsidP="00E80CB2">
            <w:pPr>
              <w:spacing w:before="30" w:after="30"/>
              <w:jc w:val="right"/>
              <w:cnfStyle w:val="000000000000" w:firstRow="0" w:lastRow="0" w:firstColumn="0" w:lastColumn="0" w:oddVBand="0" w:evenVBand="0" w:oddHBand="0" w:evenHBand="0" w:firstRowFirstColumn="0" w:firstRowLastColumn="0" w:lastRowFirstColumn="0" w:lastRowLastColumn="0"/>
            </w:pPr>
            <w:r>
              <w:t>70 (100%)</w:t>
            </w:r>
          </w:p>
        </w:tc>
      </w:tr>
    </w:tbl>
    <w:p w:rsidR="003B3EC1" w:rsidRDefault="003B3EC1" w:rsidP="00B7269A">
      <w:pPr>
        <w:pStyle w:val="FootnoteText"/>
        <w:spacing w:before="120"/>
      </w:pPr>
      <w:proofErr w:type="spellStart"/>
      <w:proofErr w:type="gramStart"/>
      <w:r w:rsidRPr="00B7269A">
        <w:rPr>
          <w:vertAlign w:val="superscript"/>
        </w:rPr>
        <w:t>a</w:t>
      </w:r>
      <w:proofErr w:type="spellEnd"/>
      <w:proofErr w:type="gramEnd"/>
      <w:r>
        <w:t xml:space="preserve"> This includes 53 requests for consent to supply products that do not comply with TGO92 only that was established as a temporary expedited process for sponsors adversely imp</w:t>
      </w:r>
      <w:r w:rsidR="00B7269A">
        <w:t>acted by the COVID-19 pandemic.</w:t>
      </w:r>
    </w:p>
    <w:p w:rsidR="003B3EC1" w:rsidRPr="00E44652" w:rsidRDefault="003B3EC1" w:rsidP="00E44652">
      <w:pPr>
        <w:pStyle w:val="Heading3"/>
        <w:pageBreakBefore/>
        <w:spacing w:before="0"/>
        <w:rPr>
          <w:color w:val="auto"/>
        </w:rPr>
      </w:pPr>
      <w:bookmarkStart w:id="23" w:name="_Toc69725944"/>
      <w:r w:rsidRPr="00E44652">
        <w:rPr>
          <w:color w:val="auto"/>
        </w:rPr>
        <w:lastRenderedPageBreak/>
        <w:t>3.</w:t>
      </w:r>
      <w:r w:rsidRPr="00E44652">
        <w:rPr>
          <w:color w:val="auto"/>
        </w:rPr>
        <w:tab/>
        <w:t>Complementary medicines</w:t>
      </w:r>
      <w:bookmarkEnd w:id="23"/>
    </w:p>
    <w:p w:rsidR="003B3EC1" w:rsidRDefault="003B3EC1" w:rsidP="00E44652">
      <w:pPr>
        <w:pStyle w:val="Heading4"/>
      </w:pPr>
      <w:bookmarkStart w:id="24" w:name="_Toc69725945"/>
      <w:r>
        <w:t>3.1. Registered complementary medicines</w:t>
      </w:r>
      <w:bookmarkEnd w:id="24"/>
    </w:p>
    <w:p w:rsidR="003B3EC1" w:rsidRDefault="003B3EC1" w:rsidP="00E44652">
      <w:pPr>
        <w:pStyle w:val="Tabletitle"/>
      </w:pPr>
      <w:r>
        <w:t>Table 13</w:t>
      </w:r>
      <w:r>
        <w:tab/>
        <w:t xml:space="preserve">Approved registered complementary medicine applications for 1 July to </w:t>
      </w:r>
      <w:r w:rsidR="00E44652">
        <w:t>31 December</w:t>
      </w:r>
    </w:p>
    <w:tbl>
      <w:tblPr>
        <w:tblStyle w:val="TableTGAblue"/>
        <w:tblW w:w="0" w:type="auto"/>
        <w:tblLook w:val="04A0" w:firstRow="1" w:lastRow="0" w:firstColumn="1" w:lastColumn="0" w:noHBand="0" w:noVBand="1"/>
      </w:tblPr>
      <w:tblGrid>
        <w:gridCol w:w="5245"/>
        <w:gridCol w:w="1985"/>
        <w:gridCol w:w="1820"/>
      </w:tblGrid>
      <w:tr w:rsidR="00806AA1"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06AA1" w:rsidRDefault="00806AA1" w:rsidP="00806AA1">
            <w:pPr>
              <w:spacing w:before="30" w:after="30"/>
            </w:pPr>
          </w:p>
        </w:tc>
        <w:tc>
          <w:tcPr>
            <w:tcW w:w="1985" w:type="dxa"/>
            <w:tcBorders>
              <w:left w:val="single" w:sz="4" w:space="0" w:color="auto"/>
              <w:right w:val="single" w:sz="4" w:space="0" w:color="auto"/>
            </w:tcBorders>
            <w:shd w:val="clear" w:color="auto" w:fill="6481A0"/>
          </w:tcPr>
          <w:p w:rsidR="00806AA1" w:rsidRDefault="00806AA1"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06AA1" w:rsidRDefault="00806AA1"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06AA1" w:rsidRDefault="00806AA1" w:rsidP="00806AA1">
            <w:pPr>
              <w:spacing w:before="30" w:after="30"/>
            </w:pPr>
          </w:p>
        </w:tc>
        <w:tc>
          <w:tcPr>
            <w:tcW w:w="3805" w:type="dxa"/>
            <w:gridSpan w:val="2"/>
            <w:shd w:val="clear" w:color="auto" w:fill="D1DCEF"/>
          </w:tcPr>
          <w:p w:rsidR="00806AA1" w:rsidRPr="00E761C3" w:rsidRDefault="00806AA1"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tcPr>
          <w:p w:rsidR="00806AA1" w:rsidRDefault="00806AA1" w:rsidP="00806AA1">
            <w:pPr>
              <w:spacing w:before="30" w:after="30"/>
            </w:pPr>
            <w:r>
              <w:t>New registered medicines</w:t>
            </w:r>
          </w:p>
        </w:tc>
        <w:tc>
          <w:tcPr>
            <w:tcW w:w="1985"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820"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6</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tcPr>
          <w:p w:rsidR="00806AA1" w:rsidRDefault="00806AA1" w:rsidP="00806AA1">
            <w:pPr>
              <w:spacing w:before="30" w:after="30"/>
            </w:pPr>
            <w:r>
              <w:t>Variation to registered medicines</w:t>
            </w:r>
          </w:p>
        </w:tc>
        <w:tc>
          <w:tcPr>
            <w:tcW w:w="1985"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27</w:t>
            </w:r>
          </w:p>
        </w:tc>
        <w:tc>
          <w:tcPr>
            <w:tcW w:w="1820"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23</w:t>
            </w:r>
          </w:p>
        </w:tc>
      </w:tr>
    </w:tbl>
    <w:p w:rsidR="003B3EC1" w:rsidRDefault="003B3EC1" w:rsidP="00806AA1">
      <w:pPr>
        <w:pStyle w:val="Heading4"/>
      </w:pPr>
      <w:bookmarkStart w:id="25" w:name="_Toc69725946"/>
      <w:r>
        <w:t>3.2. Listed complementary medicines</w:t>
      </w:r>
      <w:bookmarkEnd w:id="25"/>
    </w:p>
    <w:p w:rsidR="003B3EC1" w:rsidRDefault="003B3EC1" w:rsidP="00806AA1">
      <w:pPr>
        <w:pStyle w:val="Tabletitle"/>
      </w:pPr>
      <w:r>
        <w:t>Table 14</w:t>
      </w:r>
      <w:r>
        <w:tab/>
        <w:t>Approved applications for evaluation of an ingredient for use in listed medicines for 1 Jul</w:t>
      </w:r>
      <w:r w:rsidR="00806AA1">
        <w:t>y to 31 December</w:t>
      </w:r>
    </w:p>
    <w:tbl>
      <w:tblPr>
        <w:tblStyle w:val="TableTGAblue"/>
        <w:tblW w:w="0" w:type="auto"/>
        <w:tblLook w:val="04A0" w:firstRow="1" w:lastRow="0" w:firstColumn="1" w:lastColumn="0" w:noHBand="0" w:noVBand="1"/>
      </w:tblPr>
      <w:tblGrid>
        <w:gridCol w:w="5245"/>
        <w:gridCol w:w="1985"/>
        <w:gridCol w:w="1820"/>
      </w:tblGrid>
      <w:tr w:rsidR="00806AA1"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06AA1" w:rsidRDefault="00806AA1" w:rsidP="00806AA1">
            <w:pPr>
              <w:spacing w:before="30" w:after="30"/>
            </w:pPr>
          </w:p>
        </w:tc>
        <w:tc>
          <w:tcPr>
            <w:tcW w:w="1985" w:type="dxa"/>
            <w:tcBorders>
              <w:left w:val="single" w:sz="4" w:space="0" w:color="auto"/>
              <w:right w:val="single" w:sz="4" w:space="0" w:color="auto"/>
            </w:tcBorders>
            <w:shd w:val="clear" w:color="auto" w:fill="6481A0"/>
          </w:tcPr>
          <w:p w:rsidR="00806AA1" w:rsidRDefault="00806AA1"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06AA1" w:rsidRDefault="00806AA1"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06AA1" w:rsidRDefault="00806AA1" w:rsidP="00806AA1">
            <w:pPr>
              <w:spacing w:before="30" w:after="30"/>
            </w:pPr>
          </w:p>
        </w:tc>
        <w:tc>
          <w:tcPr>
            <w:tcW w:w="3805" w:type="dxa"/>
            <w:gridSpan w:val="2"/>
            <w:shd w:val="clear" w:color="auto" w:fill="D1DCEF"/>
          </w:tcPr>
          <w:p w:rsidR="00806AA1" w:rsidRPr="00E761C3" w:rsidRDefault="00806AA1"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tcPr>
          <w:p w:rsidR="00806AA1" w:rsidRDefault="00806AA1" w:rsidP="00806AA1">
            <w:pPr>
              <w:spacing w:before="30" w:after="30"/>
            </w:pPr>
            <w:r>
              <w:t>New permitted ingredients</w:t>
            </w:r>
          </w:p>
        </w:tc>
        <w:tc>
          <w:tcPr>
            <w:tcW w:w="1985"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4</w:t>
            </w:r>
          </w:p>
        </w:tc>
        <w:tc>
          <w:tcPr>
            <w:tcW w:w="1820"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2</w:t>
            </w:r>
          </w:p>
        </w:tc>
      </w:tr>
    </w:tbl>
    <w:p w:rsidR="003B3EC1" w:rsidRDefault="003B3EC1" w:rsidP="00806AA1">
      <w:pPr>
        <w:pStyle w:val="Tabletitle"/>
        <w:spacing w:before="360"/>
        <w:ind w:left="992" w:hanging="992"/>
      </w:pPr>
      <w:r>
        <w:t xml:space="preserve">Table 15 </w:t>
      </w:r>
      <w:r>
        <w:tab/>
        <w:t xml:space="preserve">New listed medicines for 1 July to 31 December </w:t>
      </w:r>
    </w:p>
    <w:tbl>
      <w:tblPr>
        <w:tblStyle w:val="TableTGAblue"/>
        <w:tblW w:w="0" w:type="auto"/>
        <w:tblLook w:val="04A0" w:firstRow="1" w:lastRow="0" w:firstColumn="1" w:lastColumn="0" w:noHBand="0" w:noVBand="1"/>
      </w:tblPr>
      <w:tblGrid>
        <w:gridCol w:w="5245"/>
        <w:gridCol w:w="1985"/>
        <w:gridCol w:w="1820"/>
      </w:tblGrid>
      <w:tr w:rsidR="00806AA1"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06AA1" w:rsidRDefault="00806AA1" w:rsidP="00806AA1">
            <w:pPr>
              <w:spacing w:before="30" w:after="30"/>
            </w:pPr>
          </w:p>
        </w:tc>
        <w:tc>
          <w:tcPr>
            <w:tcW w:w="1985" w:type="dxa"/>
            <w:tcBorders>
              <w:left w:val="single" w:sz="4" w:space="0" w:color="auto"/>
              <w:right w:val="single" w:sz="4" w:space="0" w:color="auto"/>
            </w:tcBorders>
            <w:shd w:val="clear" w:color="auto" w:fill="6481A0"/>
          </w:tcPr>
          <w:p w:rsidR="00806AA1" w:rsidRDefault="00806AA1"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06AA1" w:rsidRDefault="00806AA1"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06AA1" w:rsidRDefault="00806AA1" w:rsidP="00806AA1">
            <w:pPr>
              <w:spacing w:before="30" w:after="30"/>
            </w:pPr>
          </w:p>
        </w:tc>
        <w:tc>
          <w:tcPr>
            <w:tcW w:w="3805" w:type="dxa"/>
            <w:gridSpan w:val="2"/>
            <w:shd w:val="clear" w:color="auto" w:fill="D1DCEF"/>
          </w:tcPr>
          <w:p w:rsidR="00806AA1" w:rsidRPr="00E761C3" w:rsidRDefault="00806AA1"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806AA1" w:rsidTr="00806AA1">
        <w:tc>
          <w:tcPr>
            <w:cnfStyle w:val="001000000000" w:firstRow="0" w:lastRow="0" w:firstColumn="1" w:lastColumn="0" w:oddVBand="0" w:evenVBand="0" w:oddHBand="0" w:evenHBand="0" w:firstRowFirstColumn="0" w:firstRowLastColumn="0" w:lastRowFirstColumn="0" w:lastRowLastColumn="0"/>
            <w:tcW w:w="5245" w:type="dxa"/>
          </w:tcPr>
          <w:p w:rsidR="00806AA1" w:rsidRDefault="00806AA1" w:rsidP="00806AA1">
            <w:pPr>
              <w:spacing w:before="30" w:after="30"/>
            </w:pPr>
            <w:r>
              <w:t>New listed medicines</w:t>
            </w:r>
          </w:p>
        </w:tc>
        <w:tc>
          <w:tcPr>
            <w:tcW w:w="1985"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1,141</w:t>
            </w:r>
          </w:p>
        </w:tc>
        <w:tc>
          <w:tcPr>
            <w:tcW w:w="1820" w:type="dxa"/>
          </w:tcPr>
          <w:p w:rsidR="00806AA1" w:rsidRDefault="00806AA1"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1,079</w:t>
            </w:r>
          </w:p>
        </w:tc>
      </w:tr>
    </w:tbl>
    <w:p w:rsidR="003B3EC1" w:rsidRDefault="003B3EC1" w:rsidP="00806AA1">
      <w:pPr>
        <w:pStyle w:val="Tabletitle"/>
        <w:spacing w:before="360"/>
        <w:ind w:left="992" w:hanging="992"/>
      </w:pPr>
      <w:r>
        <w:t xml:space="preserve">Table 16 </w:t>
      </w:r>
      <w:r>
        <w:tab/>
        <w:t xml:space="preserve">Listed medicine reviews by type for 1 July to 31 December </w:t>
      </w:r>
    </w:p>
    <w:tbl>
      <w:tblPr>
        <w:tblStyle w:val="TableTGAblue"/>
        <w:tblW w:w="0" w:type="auto"/>
        <w:tblLook w:val="04A0" w:firstRow="1" w:lastRow="0" w:firstColumn="1" w:lastColumn="0" w:noHBand="0" w:noVBand="1"/>
      </w:tblPr>
      <w:tblGrid>
        <w:gridCol w:w="5245"/>
        <w:gridCol w:w="1985"/>
        <w:gridCol w:w="1820"/>
      </w:tblGrid>
      <w:tr w:rsidR="008F3AE6"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F3AE6" w:rsidRDefault="008F3AE6" w:rsidP="0085691E">
            <w:pPr>
              <w:spacing w:before="30" w:after="30"/>
            </w:pPr>
          </w:p>
        </w:tc>
        <w:tc>
          <w:tcPr>
            <w:tcW w:w="1985" w:type="dxa"/>
            <w:tcBorders>
              <w:left w:val="single" w:sz="4" w:space="0" w:color="auto"/>
              <w:right w:val="single" w:sz="4" w:space="0" w:color="auto"/>
            </w:tcBorders>
            <w:shd w:val="clear" w:color="auto" w:fill="6481A0"/>
          </w:tcPr>
          <w:p w:rsidR="008F3AE6" w:rsidRDefault="008F3AE6"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F3AE6" w:rsidRDefault="008F3AE6"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F3AE6" w:rsidRDefault="008F3AE6" w:rsidP="0085691E">
            <w:pPr>
              <w:spacing w:before="30" w:after="30"/>
            </w:pPr>
          </w:p>
        </w:tc>
        <w:tc>
          <w:tcPr>
            <w:tcW w:w="3805" w:type="dxa"/>
            <w:gridSpan w:val="2"/>
            <w:shd w:val="clear" w:color="auto" w:fill="D1DCEF"/>
          </w:tcPr>
          <w:p w:rsidR="008F3AE6" w:rsidRDefault="008F3AE6"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8F3AE6" w:rsidRPr="00E761C3" w:rsidRDefault="008F3AE6"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286D6B">
              <w:rPr>
                <w:b/>
                <w:color w:val="auto"/>
              </w:rPr>
              <w:t>Number (% of total)</w:t>
            </w:r>
          </w:p>
        </w:tc>
      </w:tr>
      <w:tr w:rsidR="008F3AE6"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8F3AE6" w:rsidRPr="008F3AE6" w:rsidRDefault="008F3AE6" w:rsidP="0085691E">
            <w:pPr>
              <w:spacing w:before="30" w:after="30"/>
              <w:rPr>
                <w:b/>
              </w:rPr>
            </w:pPr>
            <w:r w:rsidRPr="008F3AE6">
              <w:rPr>
                <w:b/>
                <w:color w:val="FFFFFF" w:themeColor="background1"/>
              </w:rPr>
              <w:t>Reviews initiated</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tcPr>
          <w:p w:rsidR="008F3AE6" w:rsidRDefault="008F3AE6" w:rsidP="0085691E">
            <w:pPr>
              <w:spacing w:before="30" w:after="30"/>
            </w:pPr>
            <w:r>
              <w:t>Random reviews</w:t>
            </w:r>
          </w:p>
        </w:tc>
        <w:tc>
          <w:tcPr>
            <w:tcW w:w="1985"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5 (4%)</w:t>
            </w:r>
          </w:p>
        </w:tc>
        <w:tc>
          <w:tcPr>
            <w:tcW w:w="1820"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(4%)</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tcPr>
          <w:p w:rsidR="008F3AE6" w:rsidRDefault="008F3AE6" w:rsidP="0085691E">
            <w:pPr>
              <w:spacing w:before="30" w:after="30"/>
            </w:pPr>
            <w:r>
              <w:t>Targeted reviews</w:t>
            </w:r>
          </w:p>
        </w:tc>
        <w:tc>
          <w:tcPr>
            <w:tcW w:w="1985"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136 (96%)</w:t>
            </w:r>
          </w:p>
        </w:tc>
        <w:tc>
          <w:tcPr>
            <w:tcW w:w="1820"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54 (96%)</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8F3AE6" w:rsidRPr="008F3AE6" w:rsidRDefault="008F3AE6" w:rsidP="0085691E">
            <w:pPr>
              <w:spacing w:before="30" w:after="30"/>
              <w:rPr>
                <w:b/>
              </w:rPr>
            </w:pPr>
            <w:r w:rsidRPr="008F3AE6">
              <w:rPr>
                <w:b/>
              </w:rPr>
              <w:t>Total</w:t>
            </w:r>
          </w:p>
        </w:tc>
        <w:tc>
          <w:tcPr>
            <w:tcW w:w="1985" w:type="dxa"/>
            <w:shd w:val="clear" w:color="auto" w:fill="D1DCEF"/>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141 (100%)</w:t>
            </w:r>
          </w:p>
        </w:tc>
        <w:tc>
          <w:tcPr>
            <w:tcW w:w="1820" w:type="dxa"/>
            <w:shd w:val="clear" w:color="auto" w:fill="D1DCEF"/>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56 (100%)</w:t>
            </w:r>
          </w:p>
        </w:tc>
      </w:tr>
      <w:tr w:rsidR="008F3AE6"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8F3AE6" w:rsidRPr="008F3AE6" w:rsidRDefault="008F3AE6" w:rsidP="0085691E">
            <w:pPr>
              <w:spacing w:before="30" w:after="30"/>
              <w:rPr>
                <w:b/>
              </w:rPr>
            </w:pPr>
            <w:r w:rsidRPr="008F3AE6">
              <w:rPr>
                <w:b/>
                <w:color w:val="FFFFFF" w:themeColor="background1"/>
              </w:rPr>
              <w:t>Reviews completed</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tcPr>
          <w:p w:rsidR="008F3AE6" w:rsidRDefault="008F3AE6" w:rsidP="0085691E">
            <w:pPr>
              <w:spacing w:before="30" w:after="30"/>
            </w:pPr>
            <w:r>
              <w:t>Random reviews</w:t>
            </w:r>
          </w:p>
        </w:tc>
        <w:tc>
          <w:tcPr>
            <w:tcW w:w="1985"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 (18%)</w:t>
            </w:r>
          </w:p>
        </w:tc>
        <w:tc>
          <w:tcPr>
            <w:tcW w:w="1820"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5 (12%)</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tcPr>
          <w:p w:rsidR="008F3AE6" w:rsidRDefault="008F3AE6" w:rsidP="0085691E">
            <w:pPr>
              <w:spacing w:before="30" w:after="30"/>
            </w:pPr>
            <w:r>
              <w:t>Targeted reviews</w:t>
            </w:r>
          </w:p>
        </w:tc>
        <w:tc>
          <w:tcPr>
            <w:tcW w:w="1985"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86 (82%)</w:t>
            </w:r>
          </w:p>
        </w:tc>
        <w:tc>
          <w:tcPr>
            <w:tcW w:w="1820" w:type="dxa"/>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37 (88%)</w:t>
            </w:r>
          </w:p>
        </w:tc>
      </w:tr>
      <w:tr w:rsidR="008F3AE6" w:rsidTr="0085691E">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8F3AE6" w:rsidRPr="00E761C3" w:rsidRDefault="008F3AE6" w:rsidP="0085691E">
            <w:pPr>
              <w:spacing w:before="30" w:after="30"/>
              <w:rPr>
                <w:b/>
              </w:rPr>
            </w:pPr>
            <w:r w:rsidRPr="00E761C3">
              <w:rPr>
                <w:b/>
              </w:rPr>
              <w:t>Total</w:t>
            </w:r>
          </w:p>
        </w:tc>
        <w:tc>
          <w:tcPr>
            <w:tcW w:w="1985" w:type="dxa"/>
            <w:shd w:val="clear" w:color="auto" w:fill="D1DCEF"/>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105 (100%)</w:t>
            </w:r>
          </w:p>
        </w:tc>
        <w:tc>
          <w:tcPr>
            <w:tcW w:w="1820" w:type="dxa"/>
            <w:shd w:val="clear" w:color="auto" w:fill="D1DCEF"/>
          </w:tcPr>
          <w:p w:rsidR="008F3AE6" w:rsidRDefault="008F3AE6" w:rsidP="00E80CB2">
            <w:pPr>
              <w:spacing w:before="30" w:after="30"/>
              <w:jc w:val="right"/>
              <w:cnfStyle w:val="000000000000" w:firstRow="0" w:lastRow="0" w:firstColumn="0" w:lastColumn="0" w:oddVBand="0" w:evenVBand="0" w:oddHBand="0" w:evenHBand="0" w:firstRowFirstColumn="0" w:firstRowLastColumn="0" w:lastRowFirstColumn="0" w:lastRowLastColumn="0"/>
            </w:pPr>
            <w:r>
              <w:t>42 (100%)</w:t>
            </w:r>
          </w:p>
        </w:tc>
      </w:tr>
    </w:tbl>
    <w:p w:rsidR="003B3EC1" w:rsidRDefault="003B3EC1" w:rsidP="008F3AE6">
      <w:pPr>
        <w:pStyle w:val="Tabletitle"/>
        <w:pageBreakBefore/>
        <w:ind w:left="992" w:hanging="992"/>
      </w:pPr>
      <w:r>
        <w:lastRenderedPageBreak/>
        <w:t xml:space="preserve">Table 17 </w:t>
      </w:r>
      <w:r>
        <w:tab/>
        <w:t>Completed listed medicine reviews by ou</w:t>
      </w:r>
      <w:r w:rsidR="000343CA">
        <w:t>tcome for 1 July to 31 December</w:t>
      </w:r>
    </w:p>
    <w:tbl>
      <w:tblPr>
        <w:tblStyle w:val="TableTGAblue"/>
        <w:tblW w:w="0" w:type="auto"/>
        <w:tblLook w:val="04A0" w:firstRow="1" w:lastRow="0" w:firstColumn="1" w:lastColumn="0" w:noHBand="0" w:noVBand="1"/>
      </w:tblPr>
      <w:tblGrid>
        <w:gridCol w:w="5245"/>
        <w:gridCol w:w="1985"/>
        <w:gridCol w:w="1820"/>
      </w:tblGrid>
      <w:tr w:rsidR="00120242"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120242" w:rsidRDefault="00120242" w:rsidP="0085691E">
            <w:pPr>
              <w:spacing w:before="30" w:after="30"/>
            </w:pPr>
          </w:p>
        </w:tc>
        <w:tc>
          <w:tcPr>
            <w:tcW w:w="1985" w:type="dxa"/>
            <w:tcBorders>
              <w:left w:val="single" w:sz="4" w:space="0" w:color="auto"/>
              <w:right w:val="single" w:sz="4" w:space="0" w:color="auto"/>
            </w:tcBorders>
            <w:shd w:val="clear" w:color="auto" w:fill="6481A0"/>
          </w:tcPr>
          <w:p w:rsidR="00120242" w:rsidRDefault="00120242"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120242" w:rsidRDefault="00120242"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120242" w:rsidRDefault="00120242" w:rsidP="0085691E">
            <w:pPr>
              <w:spacing w:before="30" w:after="30"/>
            </w:pPr>
          </w:p>
        </w:tc>
        <w:tc>
          <w:tcPr>
            <w:tcW w:w="3805" w:type="dxa"/>
            <w:gridSpan w:val="2"/>
            <w:shd w:val="clear" w:color="auto" w:fill="D1DCEF"/>
          </w:tcPr>
          <w:p w:rsidR="00120242" w:rsidRDefault="00120242"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120242" w:rsidRPr="00E761C3" w:rsidRDefault="00120242"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286D6B">
              <w:rPr>
                <w:b/>
                <w:color w:val="auto"/>
              </w:rPr>
              <w:t>Number (% of total)</w:t>
            </w:r>
          </w:p>
        </w:tc>
      </w:tr>
      <w:tr w:rsidR="00120242"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120242" w:rsidRPr="00120242" w:rsidRDefault="00120242" w:rsidP="0085691E">
            <w:pPr>
              <w:spacing w:before="30" w:after="30"/>
              <w:rPr>
                <w:b/>
              </w:rPr>
            </w:pPr>
            <w:r w:rsidRPr="00120242">
              <w:rPr>
                <w:b/>
                <w:color w:val="FFFFFF" w:themeColor="background1"/>
              </w:rPr>
              <w:t>Compliance status determined</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Medicines with no compliance breaches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29 (32%)</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(23%)</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Medicines with verified compliance breaches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63 (68%)</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23 (77%)</w:t>
            </w:r>
          </w:p>
        </w:tc>
      </w:tr>
      <w:tr w:rsidR="00120242" w:rsidTr="00120242">
        <w:trPr>
          <w:trHeight w:val="851"/>
        </w:trPr>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120242" w:rsidRPr="008F3AE6" w:rsidRDefault="00120242" w:rsidP="00120242">
            <w:pPr>
              <w:spacing w:before="30" w:after="30"/>
              <w:rPr>
                <w:b/>
              </w:rPr>
            </w:pPr>
            <w:r>
              <w:rPr>
                <w:b/>
              </w:rPr>
              <w:t>Sub-t</w:t>
            </w:r>
            <w:r w:rsidRPr="008F3AE6">
              <w:rPr>
                <w:b/>
              </w:rPr>
              <w:t>otal</w:t>
            </w:r>
          </w:p>
        </w:tc>
        <w:tc>
          <w:tcPr>
            <w:tcW w:w="1985"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92 (100%)</w:t>
            </w:r>
          </w:p>
        </w:tc>
        <w:tc>
          <w:tcPr>
            <w:tcW w:w="1820"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30 (100%)</w:t>
            </w:r>
          </w:p>
        </w:tc>
      </w:tr>
      <w:tr w:rsidR="00120242"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120242" w:rsidRPr="00120242" w:rsidRDefault="00120242" w:rsidP="0085691E">
            <w:pPr>
              <w:spacing w:before="30" w:after="30"/>
              <w:rPr>
                <w:b/>
              </w:rPr>
            </w:pPr>
            <w:r w:rsidRPr="00120242">
              <w:rPr>
                <w:b/>
                <w:color w:val="FFFFFF" w:themeColor="background1"/>
              </w:rPr>
              <w:t>Compliance status unable to be determined</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Medicines cancelled by sponsors after request for information</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9 (69%)</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 (100%)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Medicines not yet manufactured or information unavailable</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(31%)</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r>
      <w:tr w:rsidR="00120242" w:rsidTr="00120242">
        <w:trPr>
          <w:trHeight w:val="851"/>
        </w:trPr>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120242" w:rsidRPr="008F3AE6" w:rsidRDefault="00120242" w:rsidP="00120242">
            <w:pPr>
              <w:spacing w:before="30" w:after="30"/>
              <w:rPr>
                <w:b/>
              </w:rPr>
            </w:pPr>
            <w:r>
              <w:rPr>
                <w:b/>
              </w:rPr>
              <w:t>Sub-t</w:t>
            </w:r>
            <w:r w:rsidRPr="008F3AE6">
              <w:rPr>
                <w:b/>
              </w:rPr>
              <w:t>otal</w:t>
            </w:r>
          </w:p>
        </w:tc>
        <w:tc>
          <w:tcPr>
            <w:tcW w:w="1985"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13 (100%)</w:t>
            </w:r>
          </w:p>
        </w:tc>
        <w:tc>
          <w:tcPr>
            <w:tcW w:w="1820"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 (100%)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120242">
            <w:pPr>
              <w:spacing w:before="30" w:after="30"/>
            </w:pPr>
            <w:r>
              <w:t>Product not a therapeutic good</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120242" w:rsidRPr="00E761C3" w:rsidRDefault="00120242" w:rsidP="00120242">
            <w:pPr>
              <w:spacing w:before="30" w:after="30"/>
              <w:rPr>
                <w:b/>
              </w:rPr>
            </w:pPr>
            <w:r w:rsidRPr="00E761C3">
              <w:rPr>
                <w:b/>
              </w:rPr>
              <w:t>Total</w:t>
            </w:r>
            <w:r>
              <w:rPr>
                <w:b/>
              </w:rPr>
              <w:t xml:space="preserve"> completed</w:t>
            </w:r>
          </w:p>
        </w:tc>
        <w:tc>
          <w:tcPr>
            <w:tcW w:w="1985"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105 (100%)</w:t>
            </w:r>
          </w:p>
        </w:tc>
        <w:tc>
          <w:tcPr>
            <w:tcW w:w="1820"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42 (100%)</w:t>
            </w:r>
          </w:p>
        </w:tc>
      </w:tr>
    </w:tbl>
    <w:p w:rsidR="003B3EC1" w:rsidRDefault="003B3EC1" w:rsidP="00120242">
      <w:pPr>
        <w:pStyle w:val="Heading4"/>
      </w:pPr>
      <w:bookmarkStart w:id="26" w:name="_Toc69725947"/>
      <w:r>
        <w:t>3.2. Assessed listed medicines</w:t>
      </w:r>
      <w:bookmarkEnd w:id="26"/>
    </w:p>
    <w:p w:rsidR="003B3EC1" w:rsidRDefault="003B3EC1" w:rsidP="00120242">
      <w:pPr>
        <w:pStyle w:val="Tabletitle"/>
      </w:pPr>
      <w:r>
        <w:t xml:space="preserve">Table 18 </w:t>
      </w:r>
      <w:r>
        <w:tab/>
        <w:t>Approved Assessed listed (</w:t>
      </w:r>
      <w:proofErr w:type="gramStart"/>
      <w:r>
        <w:t>L(</w:t>
      </w:r>
      <w:proofErr w:type="gramEnd"/>
      <w:r>
        <w:t xml:space="preserve">A)) medicine applications for 1 July to </w:t>
      </w:r>
      <w:r w:rsidR="00120242">
        <w:t>31 December</w:t>
      </w:r>
    </w:p>
    <w:tbl>
      <w:tblPr>
        <w:tblStyle w:val="TableTGAblue"/>
        <w:tblW w:w="0" w:type="auto"/>
        <w:tblLook w:val="04A0" w:firstRow="1" w:lastRow="0" w:firstColumn="1" w:lastColumn="0" w:noHBand="0" w:noVBand="1"/>
      </w:tblPr>
      <w:tblGrid>
        <w:gridCol w:w="5245"/>
        <w:gridCol w:w="1985"/>
        <w:gridCol w:w="1820"/>
      </w:tblGrid>
      <w:tr w:rsidR="00120242"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120242" w:rsidRDefault="00120242" w:rsidP="0085691E">
            <w:pPr>
              <w:spacing w:before="30" w:after="30"/>
            </w:pPr>
          </w:p>
        </w:tc>
        <w:tc>
          <w:tcPr>
            <w:tcW w:w="1985" w:type="dxa"/>
            <w:tcBorders>
              <w:left w:val="single" w:sz="4" w:space="0" w:color="auto"/>
              <w:right w:val="single" w:sz="4" w:space="0" w:color="auto"/>
            </w:tcBorders>
            <w:shd w:val="clear" w:color="auto" w:fill="6481A0"/>
          </w:tcPr>
          <w:p w:rsidR="00120242" w:rsidRDefault="00120242"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120242" w:rsidRDefault="00120242"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120242" w:rsidRDefault="00120242" w:rsidP="0085691E">
            <w:pPr>
              <w:spacing w:before="30" w:after="30"/>
            </w:pPr>
          </w:p>
        </w:tc>
        <w:tc>
          <w:tcPr>
            <w:tcW w:w="3805" w:type="dxa"/>
            <w:gridSpan w:val="2"/>
            <w:shd w:val="clear" w:color="auto" w:fill="D1DCEF"/>
          </w:tcPr>
          <w:p w:rsidR="00120242" w:rsidRPr="00E761C3" w:rsidRDefault="00120242"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New Assessed listed medicines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w:t>
            </w:r>
          </w:p>
        </w:tc>
      </w:tr>
    </w:tbl>
    <w:p w:rsidR="003B3EC1" w:rsidRPr="00120242" w:rsidRDefault="003B3EC1" w:rsidP="00120242">
      <w:pPr>
        <w:pStyle w:val="Heading3"/>
        <w:pageBreakBefore/>
        <w:spacing w:before="0"/>
        <w:rPr>
          <w:color w:val="auto"/>
        </w:rPr>
      </w:pPr>
      <w:bookmarkStart w:id="27" w:name="_Toc69725948"/>
      <w:r w:rsidRPr="00120242">
        <w:rPr>
          <w:color w:val="auto"/>
        </w:rPr>
        <w:lastRenderedPageBreak/>
        <w:t>4.</w:t>
      </w:r>
      <w:r w:rsidRPr="00120242">
        <w:rPr>
          <w:color w:val="auto"/>
        </w:rPr>
        <w:tab/>
        <w:t>Biologicals and blood components</w:t>
      </w:r>
      <w:bookmarkEnd w:id="27"/>
    </w:p>
    <w:p w:rsidR="003B3EC1" w:rsidRDefault="003B3EC1" w:rsidP="003B3EC1">
      <w:r>
        <w:t xml:space="preserve">Blood, blood components, plasma derivatives, tissue and cellular products, tissue and cell based derivatives, and other emerging biological therapies </w:t>
      </w:r>
      <w:proofErr w:type="gramStart"/>
      <w:r>
        <w:t>are regulated</w:t>
      </w:r>
      <w:proofErr w:type="gramEnd"/>
      <w:r>
        <w:t xml:space="preserve"> under the Act.</w:t>
      </w:r>
    </w:p>
    <w:p w:rsidR="003B3EC1" w:rsidRDefault="003B3EC1" w:rsidP="00120242">
      <w:pPr>
        <w:pStyle w:val="Tabletitle"/>
      </w:pPr>
      <w:r>
        <w:t>Table 19</w:t>
      </w:r>
      <w:r>
        <w:tab/>
        <w:t xml:space="preserve">Completed biological applications for 1 July to 31 December </w:t>
      </w:r>
    </w:p>
    <w:tbl>
      <w:tblPr>
        <w:tblStyle w:val="TableTGAblue"/>
        <w:tblW w:w="0" w:type="auto"/>
        <w:tblLook w:val="04A0" w:firstRow="1" w:lastRow="0" w:firstColumn="1" w:lastColumn="0" w:noHBand="0" w:noVBand="1"/>
      </w:tblPr>
      <w:tblGrid>
        <w:gridCol w:w="5245"/>
        <w:gridCol w:w="1985"/>
        <w:gridCol w:w="1820"/>
      </w:tblGrid>
      <w:tr w:rsidR="00120242"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120242" w:rsidRDefault="00120242" w:rsidP="0085691E">
            <w:pPr>
              <w:spacing w:before="30" w:after="30"/>
            </w:pPr>
          </w:p>
        </w:tc>
        <w:tc>
          <w:tcPr>
            <w:tcW w:w="1985" w:type="dxa"/>
            <w:tcBorders>
              <w:left w:val="single" w:sz="4" w:space="0" w:color="auto"/>
              <w:right w:val="single" w:sz="4" w:space="0" w:color="auto"/>
            </w:tcBorders>
            <w:shd w:val="clear" w:color="auto" w:fill="6481A0"/>
          </w:tcPr>
          <w:p w:rsidR="00120242" w:rsidRDefault="00120242"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120242" w:rsidRDefault="00120242"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120242" w:rsidRDefault="00120242" w:rsidP="0085691E">
            <w:pPr>
              <w:spacing w:before="30" w:after="30"/>
            </w:pPr>
          </w:p>
        </w:tc>
        <w:tc>
          <w:tcPr>
            <w:tcW w:w="3805" w:type="dxa"/>
            <w:gridSpan w:val="2"/>
            <w:shd w:val="clear" w:color="auto" w:fill="D1DCEF"/>
          </w:tcPr>
          <w:p w:rsidR="00120242" w:rsidRDefault="00120242"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120242" w:rsidRPr="00120242" w:rsidRDefault="00120242"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120242">
              <w:rPr>
                <w:b/>
              </w:rPr>
              <w:t>Number (% of total)</w:t>
            </w:r>
          </w:p>
        </w:tc>
      </w:tr>
      <w:tr w:rsidR="00120242" w:rsidTr="00120242">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120242" w:rsidRPr="00120242" w:rsidRDefault="00120242" w:rsidP="0085691E">
            <w:pPr>
              <w:spacing w:before="30" w:after="30"/>
              <w:rPr>
                <w:b/>
              </w:rPr>
            </w:pPr>
            <w:r w:rsidRPr="00120242">
              <w:rPr>
                <w:b/>
                <w:color w:val="FFFFFF" w:themeColor="background1"/>
              </w:rPr>
              <w:t>Applications received</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Technical Master File (TMF) new</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120242">
            <w:pPr>
              <w:spacing w:before="30" w:after="30"/>
            </w:pPr>
            <w:r>
              <w:t>TMF annual updates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(3%)</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(5%)</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TMF variations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5 (13%)</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(17%)</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TMF notifications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3 (8%)</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6 (15%)</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Plasma Master File annual updates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(18%)</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(17%)</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Biological Class 2 – new applications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(2%)</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Biological Class 3 – new applications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Biological Class 4 – new applications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Biological Class 2 – variations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15 (38%)</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8 (20%)</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Biological Class 3 – variations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(5%)</w:t>
            </w:r>
          </w:p>
        </w:tc>
      </w:tr>
      <w:tr w:rsidR="00120242" w:rsidTr="0085691E">
        <w:tc>
          <w:tcPr>
            <w:cnfStyle w:val="001000000000" w:firstRow="0" w:lastRow="0" w:firstColumn="1" w:lastColumn="0" w:oddVBand="0" w:evenVBand="0" w:oddHBand="0" w:evenHBand="0" w:firstRowFirstColumn="0" w:firstRowLastColumn="0" w:lastRowFirstColumn="0" w:lastRowLastColumn="0"/>
            <w:tcW w:w="5245" w:type="dxa"/>
          </w:tcPr>
          <w:p w:rsidR="00120242" w:rsidRDefault="00120242" w:rsidP="0085691E">
            <w:pPr>
              <w:spacing w:before="30" w:after="30"/>
            </w:pPr>
            <w:r>
              <w:t>Biological Class 4 - variations</w:t>
            </w:r>
          </w:p>
        </w:tc>
        <w:tc>
          <w:tcPr>
            <w:tcW w:w="1985"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(10%)</w:t>
            </w:r>
          </w:p>
        </w:tc>
        <w:tc>
          <w:tcPr>
            <w:tcW w:w="1820" w:type="dxa"/>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8 (20%)</w:t>
            </w:r>
          </w:p>
        </w:tc>
      </w:tr>
      <w:tr w:rsidR="00120242" w:rsidTr="00120242">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120242" w:rsidRPr="00120242" w:rsidRDefault="00120242" w:rsidP="0085691E">
            <w:pPr>
              <w:spacing w:before="30" w:after="30"/>
              <w:rPr>
                <w:b/>
              </w:rPr>
            </w:pPr>
            <w:r w:rsidRPr="00120242">
              <w:rPr>
                <w:b/>
              </w:rPr>
              <w:t>Total completed</w:t>
            </w:r>
          </w:p>
        </w:tc>
        <w:tc>
          <w:tcPr>
            <w:tcW w:w="1985"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39 (100%)</w:t>
            </w:r>
          </w:p>
        </w:tc>
        <w:tc>
          <w:tcPr>
            <w:tcW w:w="1820" w:type="dxa"/>
            <w:shd w:val="clear" w:color="auto" w:fill="D1DCEF"/>
          </w:tcPr>
          <w:p w:rsidR="00120242" w:rsidRDefault="00120242" w:rsidP="00E80CB2">
            <w:pPr>
              <w:spacing w:before="30" w:after="30"/>
              <w:jc w:val="right"/>
              <w:cnfStyle w:val="000000000000" w:firstRow="0" w:lastRow="0" w:firstColumn="0" w:lastColumn="0" w:oddVBand="0" w:evenVBand="0" w:oddHBand="0" w:evenHBand="0" w:firstRowFirstColumn="0" w:firstRowLastColumn="0" w:lastRowFirstColumn="0" w:lastRowLastColumn="0"/>
            </w:pPr>
            <w:r>
              <w:t>41 (100%)</w:t>
            </w:r>
          </w:p>
        </w:tc>
      </w:tr>
    </w:tbl>
    <w:p w:rsidR="003B3EC1" w:rsidRPr="00DA5500" w:rsidRDefault="003B3EC1" w:rsidP="00DA5500">
      <w:pPr>
        <w:pStyle w:val="Heading3"/>
        <w:pageBreakBefore/>
        <w:spacing w:before="0"/>
        <w:rPr>
          <w:color w:val="auto"/>
        </w:rPr>
      </w:pPr>
      <w:bookmarkStart w:id="28" w:name="_Toc69725949"/>
      <w:r w:rsidRPr="00DA5500">
        <w:rPr>
          <w:color w:val="auto"/>
        </w:rPr>
        <w:lastRenderedPageBreak/>
        <w:t>5.</w:t>
      </w:r>
      <w:r w:rsidRPr="00DA5500">
        <w:rPr>
          <w:color w:val="auto"/>
        </w:rPr>
        <w:tab/>
        <w:t>Medical devices</w:t>
      </w:r>
      <w:bookmarkEnd w:id="28"/>
    </w:p>
    <w:p w:rsidR="003B3EC1" w:rsidRDefault="003B3EC1" w:rsidP="003B3EC1">
      <w:r>
        <w:t>The regulatory framework for medical devices spans the life cycle of these products, including conformity assessment, inclusion on the ARTG, and post-market monitoring.</w:t>
      </w:r>
    </w:p>
    <w:p w:rsidR="003B3EC1" w:rsidRDefault="003B3EC1" w:rsidP="003B3EC1">
      <w:r>
        <w:t xml:space="preserve">Priority review involves faster assessment times for medical devices that offer major clinical or, in the case of IVD medical devices, public health advantages over existing technology. Medical devices that </w:t>
      </w:r>
      <w:proofErr w:type="gramStart"/>
      <w:r>
        <w:t>are granted</w:t>
      </w:r>
      <w:proofErr w:type="gramEnd"/>
      <w:r>
        <w:t xml:space="preserve"> priority review determinations are allocated ‘front-of-queue’ priority through the relevant medical device assessment process - conformity assessment or ARTG inclusion. The </w:t>
      </w:r>
      <w:proofErr w:type="gramStart"/>
      <w:r>
        <w:t>priority review determination step</w:t>
      </w:r>
      <w:proofErr w:type="gramEnd"/>
      <w:r>
        <w:t xml:space="preserve"> precedes </w:t>
      </w:r>
      <w:proofErr w:type="spellStart"/>
      <w:r>
        <w:t>lodgment</w:t>
      </w:r>
      <w:proofErr w:type="spellEnd"/>
      <w:r>
        <w:t xml:space="preserve"> of the conformity assessment or ARTG inclusion application, and the granting of priority designation does not guarantee approval of the application itself.</w:t>
      </w:r>
    </w:p>
    <w:p w:rsidR="003B3EC1" w:rsidRDefault="003B3EC1" w:rsidP="00BB3E30">
      <w:pPr>
        <w:pStyle w:val="Tabletitle"/>
      </w:pPr>
      <w:r>
        <w:t>Table 20</w:t>
      </w:r>
      <w:r>
        <w:tab/>
        <w:t>Priority review determinations for medical devices granted for 1 July to 31</w:t>
      </w:r>
      <w:r w:rsidR="00BB3E30">
        <w:t> December 2020</w:t>
      </w:r>
    </w:p>
    <w:tbl>
      <w:tblPr>
        <w:tblStyle w:val="TableTGAblue"/>
        <w:tblW w:w="0" w:type="auto"/>
        <w:tblLook w:val="04A0" w:firstRow="1" w:lastRow="0" w:firstColumn="1" w:lastColumn="0" w:noHBand="0" w:noVBand="1"/>
      </w:tblPr>
      <w:tblGrid>
        <w:gridCol w:w="6653"/>
        <w:gridCol w:w="2397"/>
      </w:tblGrid>
      <w:tr w:rsidR="00BB3E30"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right w:val="single" w:sz="4" w:space="0" w:color="auto"/>
            </w:tcBorders>
            <w:shd w:val="clear" w:color="auto" w:fill="6481A0"/>
          </w:tcPr>
          <w:p w:rsidR="00BB3E30" w:rsidRDefault="00BB3E30" w:rsidP="00745B37">
            <w:pPr>
              <w:spacing w:before="30" w:after="30"/>
            </w:pPr>
            <w:r>
              <w:t>Application type</w:t>
            </w:r>
          </w:p>
        </w:tc>
        <w:tc>
          <w:tcPr>
            <w:tcW w:w="2397" w:type="dxa"/>
            <w:tcBorders>
              <w:left w:val="single" w:sz="4" w:space="0" w:color="auto"/>
            </w:tcBorders>
            <w:shd w:val="clear" w:color="auto" w:fill="6481A0"/>
          </w:tcPr>
          <w:p w:rsidR="00BB3E30" w:rsidRDefault="00BB3E30" w:rsidP="00E80CB2">
            <w:pPr>
              <w:spacing w:before="30" w:after="30"/>
              <w:jc w:val="center"/>
              <w:cnfStyle w:val="100000000000" w:firstRow="1" w:lastRow="0" w:firstColumn="0" w:lastColumn="0" w:oddVBand="0" w:evenVBand="0" w:oddHBand="0" w:evenHBand="0" w:firstRowFirstColumn="0" w:firstRowLastColumn="0" w:lastRowFirstColumn="0" w:lastRowLastColumn="0"/>
            </w:pPr>
            <w:r>
              <w:t>Granted</w:t>
            </w:r>
          </w:p>
        </w:tc>
      </w:tr>
      <w:tr w:rsidR="00BB3E30" w:rsidTr="00BB3E30">
        <w:tc>
          <w:tcPr>
            <w:cnfStyle w:val="001000000000" w:firstRow="0" w:lastRow="0" w:firstColumn="1" w:lastColumn="0" w:oddVBand="0" w:evenVBand="0" w:oddHBand="0" w:evenHBand="0" w:firstRowFirstColumn="0" w:firstRowLastColumn="0" w:lastRowFirstColumn="0" w:lastRowLastColumn="0"/>
            <w:tcW w:w="6653" w:type="dxa"/>
          </w:tcPr>
          <w:p w:rsidR="00BB3E30" w:rsidRDefault="00BB3E30" w:rsidP="00745B37">
            <w:pPr>
              <w:spacing w:before="30" w:after="30"/>
            </w:pPr>
            <w:r>
              <w:t>ARTG inclusion</w:t>
            </w:r>
          </w:p>
        </w:tc>
        <w:tc>
          <w:tcPr>
            <w:tcW w:w="2397" w:type="dxa"/>
          </w:tcPr>
          <w:p w:rsidR="00BB3E30" w:rsidRDefault="00BB3E30" w:rsidP="00E80CB2">
            <w:pPr>
              <w:spacing w:before="30" w:after="30"/>
              <w:jc w:val="center"/>
              <w:cnfStyle w:val="000000000000" w:firstRow="0" w:lastRow="0" w:firstColumn="0" w:lastColumn="0" w:oddVBand="0" w:evenVBand="0" w:oddHBand="0" w:evenHBand="0" w:firstRowFirstColumn="0" w:firstRowLastColumn="0" w:lastRowFirstColumn="0" w:lastRowLastColumn="0"/>
            </w:pPr>
            <w:r>
              <w:t>0</w:t>
            </w:r>
          </w:p>
        </w:tc>
      </w:tr>
      <w:tr w:rsidR="00BB3E30" w:rsidTr="00BB3E30">
        <w:tc>
          <w:tcPr>
            <w:cnfStyle w:val="001000000000" w:firstRow="0" w:lastRow="0" w:firstColumn="1" w:lastColumn="0" w:oddVBand="0" w:evenVBand="0" w:oddHBand="0" w:evenHBand="0" w:firstRowFirstColumn="0" w:firstRowLastColumn="0" w:lastRowFirstColumn="0" w:lastRowLastColumn="0"/>
            <w:tcW w:w="6653" w:type="dxa"/>
          </w:tcPr>
          <w:p w:rsidR="00BB3E30" w:rsidRDefault="00BB3E30" w:rsidP="00745B37">
            <w:pPr>
              <w:spacing w:before="30" w:after="30"/>
            </w:pPr>
            <w:r>
              <w:t>Conformity assessment</w:t>
            </w:r>
          </w:p>
        </w:tc>
        <w:tc>
          <w:tcPr>
            <w:tcW w:w="2397" w:type="dxa"/>
          </w:tcPr>
          <w:p w:rsidR="00BB3E30" w:rsidRDefault="00BB3E30" w:rsidP="00E80CB2">
            <w:pPr>
              <w:spacing w:before="30" w:after="30"/>
              <w:jc w:val="center"/>
              <w:cnfStyle w:val="000000000000" w:firstRow="0" w:lastRow="0" w:firstColumn="0" w:lastColumn="0" w:oddVBand="0" w:evenVBand="0" w:oddHBand="0" w:evenHBand="0" w:firstRowFirstColumn="0" w:firstRowLastColumn="0" w:lastRowFirstColumn="0" w:lastRowLastColumn="0"/>
            </w:pPr>
            <w:r>
              <w:t>0</w:t>
            </w:r>
          </w:p>
        </w:tc>
      </w:tr>
      <w:tr w:rsidR="00BB3E30" w:rsidTr="00BB3E30">
        <w:tc>
          <w:tcPr>
            <w:cnfStyle w:val="001000000000" w:firstRow="0" w:lastRow="0" w:firstColumn="1" w:lastColumn="0" w:oddVBand="0" w:evenVBand="0" w:oddHBand="0" w:evenHBand="0" w:firstRowFirstColumn="0" w:firstRowLastColumn="0" w:lastRowFirstColumn="0" w:lastRowLastColumn="0"/>
            <w:tcW w:w="6653" w:type="dxa"/>
            <w:shd w:val="clear" w:color="auto" w:fill="D1DCEF"/>
          </w:tcPr>
          <w:p w:rsidR="00BB3E30" w:rsidRPr="00BB3E30" w:rsidRDefault="00BB3E30" w:rsidP="00745B37">
            <w:pPr>
              <w:spacing w:before="30" w:after="30"/>
              <w:rPr>
                <w:b/>
              </w:rPr>
            </w:pPr>
            <w:r w:rsidRPr="00BB3E30">
              <w:rPr>
                <w:b/>
              </w:rPr>
              <w:t>Total</w:t>
            </w:r>
          </w:p>
        </w:tc>
        <w:tc>
          <w:tcPr>
            <w:tcW w:w="2397" w:type="dxa"/>
            <w:shd w:val="clear" w:color="auto" w:fill="D1DCEF"/>
          </w:tcPr>
          <w:p w:rsidR="00BB3E30" w:rsidRDefault="00BB3E30" w:rsidP="00E80CB2">
            <w:pPr>
              <w:spacing w:before="30" w:after="30"/>
              <w:jc w:val="center"/>
              <w:cnfStyle w:val="000000000000" w:firstRow="0" w:lastRow="0" w:firstColumn="0" w:lastColumn="0" w:oddVBand="0" w:evenVBand="0" w:oddHBand="0" w:evenHBand="0" w:firstRowFirstColumn="0" w:firstRowLastColumn="0" w:lastRowFirstColumn="0" w:lastRowLastColumn="0"/>
            </w:pPr>
            <w:r>
              <w:t>0</w:t>
            </w:r>
          </w:p>
        </w:tc>
      </w:tr>
    </w:tbl>
    <w:p w:rsidR="003B3EC1" w:rsidRDefault="003B3EC1" w:rsidP="00BB3E30">
      <w:pPr>
        <w:pStyle w:val="Tabletitle"/>
        <w:spacing w:before="360"/>
        <w:ind w:left="992" w:hanging="992"/>
      </w:pPr>
      <w:r>
        <w:t>Table 21</w:t>
      </w:r>
      <w:r>
        <w:tab/>
        <w:t>Number of medical devices approved through the priority review pathway for 1 July to 31 December 2020</w:t>
      </w:r>
    </w:p>
    <w:tbl>
      <w:tblPr>
        <w:tblStyle w:val="TableTGAblue"/>
        <w:tblW w:w="0" w:type="auto"/>
        <w:tblLook w:val="04A0" w:firstRow="1" w:lastRow="0" w:firstColumn="1" w:lastColumn="0" w:noHBand="0" w:noVBand="1"/>
      </w:tblPr>
      <w:tblGrid>
        <w:gridCol w:w="4243"/>
        <w:gridCol w:w="2126"/>
        <w:gridCol w:w="2681"/>
      </w:tblGrid>
      <w:tr w:rsidR="00BB3E30"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auto"/>
            </w:tcBorders>
            <w:shd w:val="clear" w:color="auto" w:fill="6481A0"/>
          </w:tcPr>
          <w:p w:rsidR="00BB3E30" w:rsidRDefault="00BB3E30" w:rsidP="00745B37">
            <w:pPr>
              <w:spacing w:beforeLines="30" w:before="72" w:afterLines="30" w:after="72"/>
            </w:pPr>
            <w:r>
              <w:t>Application Type</w:t>
            </w:r>
          </w:p>
        </w:tc>
        <w:tc>
          <w:tcPr>
            <w:tcW w:w="2126" w:type="dxa"/>
            <w:tcBorders>
              <w:left w:val="single" w:sz="4" w:space="0" w:color="auto"/>
              <w:right w:val="single" w:sz="4" w:space="0" w:color="auto"/>
            </w:tcBorders>
            <w:shd w:val="clear" w:color="auto" w:fill="6481A0"/>
          </w:tcPr>
          <w:p w:rsidR="00BB3E30" w:rsidRDefault="00BB3E30" w:rsidP="00E80CB2">
            <w:pPr>
              <w:spacing w:beforeLines="30" w:before="72" w:afterLines="30" w:after="72"/>
              <w:jc w:val="right"/>
              <w:cnfStyle w:val="100000000000" w:firstRow="1" w:lastRow="0" w:firstColumn="0" w:lastColumn="0" w:oddVBand="0" w:evenVBand="0" w:oddHBand="0" w:evenHBand="0" w:firstRowFirstColumn="0" w:firstRowLastColumn="0" w:lastRowFirstColumn="0" w:lastRowLastColumn="0"/>
            </w:pPr>
            <w:r>
              <w:t xml:space="preserve">Number Approved </w:t>
            </w:r>
          </w:p>
          <w:p w:rsidR="00BB3E30" w:rsidRDefault="00BB3E30" w:rsidP="00E80CB2">
            <w:pPr>
              <w:spacing w:beforeLines="30" w:before="72" w:afterLines="30" w:after="72"/>
              <w:jc w:val="right"/>
              <w:cnfStyle w:val="100000000000" w:firstRow="1" w:lastRow="0" w:firstColumn="0" w:lastColumn="0" w:oddVBand="0" w:evenVBand="0" w:oddHBand="0" w:evenHBand="0" w:firstRowFirstColumn="0" w:firstRowLastColumn="0" w:lastRowFirstColumn="0" w:lastRowLastColumn="0"/>
            </w:pPr>
            <w:r>
              <w:t>(% of Total)</w:t>
            </w:r>
          </w:p>
        </w:tc>
        <w:tc>
          <w:tcPr>
            <w:tcW w:w="2681" w:type="dxa"/>
            <w:tcBorders>
              <w:left w:val="single" w:sz="4" w:space="0" w:color="auto"/>
            </w:tcBorders>
            <w:shd w:val="clear" w:color="auto" w:fill="6481A0"/>
          </w:tcPr>
          <w:p w:rsidR="00BB3E30" w:rsidRDefault="00BB3E30" w:rsidP="00E80CB2">
            <w:pPr>
              <w:spacing w:beforeLines="30" w:before="72" w:afterLines="30" w:after="72"/>
              <w:jc w:val="right"/>
              <w:cnfStyle w:val="100000000000" w:firstRow="1" w:lastRow="0" w:firstColumn="0" w:lastColumn="0" w:oddVBand="0" w:evenVBand="0" w:oddHBand="0" w:evenHBand="0" w:firstRowFirstColumn="0" w:firstRowLastColumn="0" w:lastRowFirstColumn="0" w:lastRowLastColumn="0"/>
            </w:pPr>
            <w:r>
              <w:t xml:space="preserve">Median approval time </w:t>
            </w:r>
          </w:p>
          <w:p w:rsidR="00BB3E30" w:rsidRDefault="00BB3E30" w:rsidP="00E80CB2">
            <w:pPr>
              <w:spacing w:beforeLines="30" w:before="72" w:afterLines="30" w:after="72"/>
              <w:jc w:val="right"/>
              <w:cnfStyle w:val="100000000000" w:firstRow="1" w:lastRow="0" w:firstColumn="0" w:lastColumn="0" w:oddVBand="0" w:evenVBand="0" w:oddHBand="0" w:evenHBand="0" w:firstRowFirstColumn="0" w:firstRowLastColumn="0" w:lastRowFirstColumn="0" w:lastRowLastColumn="0"/>
            </w:pPr>
            <w:r>
              <w:t>(TGA working days)</w:t>
            </w:r>
          </w:p>
        </w:tc>
      </w:tr>
      <w:tr w:rsidR="00BB3E30" w:rsidTr="00BB3E30">
        <w:tc>
          <w:tcPr>
            <w:cnfStyle w:val="001000000000" w:firstRow="0" w:lastRow="0" w:firstColumn="1" w:lastColumn="0" w:oddVBand="0" w:evenVBand="0" w:oddHBand="0" w:evenHBand="0" w:firstRowFirstColumn="0" w:firstRowLastColumn="0" w:lastRowFirstColumn="0" w:lastRowLastColumn="0"/>
            <w:tcW w:w="4243" w:type="dxa"/>
          </w:tcPr>
          <w:p w:rsidR="00BB3E30" w:rsidRDefault="00BB3E30" w:rsidP="00745B37">
            <w:pPr>
              <w:spacing w:beforeLines="30" w:before="72" w:afterLines="30" w:after="72"/>
            </w:pPr>
            <w:r>
              <w:t>A: Conformity Assessment</w:t>
            </w:r>
          </w:p>
        </w:tc>
        <w:tc>
          <w:tcPr>
            <w:tcW w:w="2126" w:type="dxa"/>
          </w:tcPr>
          <w:p w:rsidR="00BB3E30" w:rsidRDefault="00BB3E30" w:rsidP="00E80CB2">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1 (100%)</w:t>
            </w:r>
          </w:p>
        </w:tc>
        <w:tc>
          <w:tcPr>
            <w:tcW w:w="2681" w:type="dxa"/>
          </w:tcPr>
          <w:p w:rsidR="00BB3E30" w:rsidRDefault="00BB3E30" w:rsidP="00E80CB2">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70</w:t>
            </w:r>
          </w:p>
        </w:tc>
      </w:tr>
      <w:tr w:rsidR="00BB3E30" w:rsidTr="00BB3E30">
        <w:tc>
          <w:tcPr>
            <w:cnfStyle w:val="001000000000" w:firstRow="0" w:lastRow="0" w:firstColumn="1" w:lastColumn="0" w:oddVBand="0" w:evenVBand="0" w:oddHBand="0" w:evenHBand="0" w:firstRowFirstColumn="0" w:firstRowLastColumn="0" w:lastRowFirstColumn="0" w:lastRowLastColumn="0"/>
            <w:tcW w:w="4243" w:type="dxa"/>
          </w:tcPr>
          <w:p w:rsidR="00BB3E30" w:rsidRDefault="00BB3E30" w:rsidP="00745B37">
            <w:pPr>
              <w:spacing w:beforeLines="30" w:before="72" w:afterLines="30" w:after="72"/>
            </w:pPr>
            <w:r>
              <w:t>B: Medical Devices (ARTG inclusion)</w:t>
            </w:r>
          </w:p>
        </w:tc>
        <w:tc>
          <w:tcPr>
            <w:tcW w:w="2126" w:type="dxa"/>
          </w:tcPr>
          <w:p w:rsidR="00BB3E30" w:rsidRDefault="00BB3E30" w:rsidP="00E80CB2">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0</w:t>
            </w:r>
          </w:p>
        </w:tc>
        <w:tc>
          <w:tcPr>
            <w:tcW w:w="2681" w:type="dxa"/>
          </w:tcPr>
          <w:p w:rsidR="00BB3E30" w:rsidRDefault="00BB3E30" w:rsidP="00E80CB2">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N/A</w:t>
            </w:r>
          </w:p>
        </w:tc>
      </w:tr>
      <w:tr w:rsidR="00BB3E30" w:rsidTr="00BB3E30">
        <w:tc>
          <w:tcPr>
            <w:cnfStyle w:val="001000000000" w:firstRow="0" w:lastRow="0" w:firstColumn="1" w:lastColumn="0" w:oddVBand="0" w:evenVBand="0" w:oddHBand="0" w:evenHBand="0" w:firstRowFirstColumn="0" w:firstRowLastColumn="0" w:lastRowFirstColumn="0" w:lastRowLastColumn="0"/>
            <w:tcW w:w="4243" w:type="dxa"/>
            <w:shd w:val="clear" w:color="auto" w:fill="D1DCEF"/>
          </w:tcPr>
          <w:p w:rsidR="00BB3E30" w:rsidRPr="00BB3E30" w:rsidRDefault="00BB3E30" w:rsidP="00745B37">
            <w:pPr>
              <w:spacing w:beforeLines="30" w:before="72" w:afterLines="30" w:after="72"/>
              <w:rPr>
                <w:b/>
              </w:rPr>
            </w:pPr>
            <w:r w:rsidRPr="00BB3E30">
              <w:rPr>
                <w:b/>
              </w:rPr>
              <w:t>Total</w:t>
            </w:r>
          </w:p>
        </w:tc>
        <w:tc>
          <w:tcPr>
            <w:tcW w:w="2126" w:type="dxa"/>
            <w:shd w:val="clear" w:color="auto" w:fill="D1DCEF"/>
          </w:tcPr>
          <w:p w:rsidR="00BB3E30" w:rsidRDefault="00BB3E30" w:rsidP="00E80CB2">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1 (100%)</w:t>
            </w:r>
          </w:p>
        </w:tc>
        <w:tc>
          <w:tcPr>
            <w:tcW w:w="2681" w:type="dxa"/>
            <w:shd w:val="clear" w:color="auto" w:fill="D1DCEF"/>
          </w:tcPr>
          <w:p w:rsidR="00BB3E30" w:rsidRDefault="00BB3E30" w:rsidP="00E80CB2">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N/A</w:t>
            </w:r>
          </w:p>
        </w:tc>
      </w:tr>
    </w:tbl>
    <w:p w:rsidR="003B3EC1" w:rsidRDefault="003B3EC1" w:rsidP="00BB3E30">
      <w:pPr>
        <w:pStyle w:val="Tabletitle"/>
        <w:pageBreakBefore/>
        <w:ind w:left="992" w:hanging="992"/>
      </w:pPr>
      <w:r>
        <w:lastRenderedPageBreak/>
        <w:t>Table 22</w:t>
      </w:r>
      <w:r>
        <w:tab/>
        <w:t xml:space="preserve">Completed applications and processing time for conformity assessments of medical devices (including IVDs) for 1 July to 31 December </w:t>
      </w:r>
    </w:p>
    <w:tbl>
      <w:tblPr>
        <w:tblStyle w:val="TableTGAblue"/>
        <w:tblW w:w="0" w:type="auto"/>
        <w:tblLook w:val="04A0" w:firstRow="1" w:lastRow="0" w:firstColumn="1" w:lastColumn="0" w:noHBand="0" w:noVBand="1"/>
      </w:tblPr>
      <w:tblGrid>
        <w:gridCol w:w="5245"/>
        <w:gridCol w:w="1985"/>
        <w:gridCol w:w="1820"/>
      </w:tblGrid>
      <w:tr w:rsidR="00BB3E30"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BB3E30" w:rsidRDefault="00BB3E30" w:rsidP="0085691E">
            <w:pPr>
              <w:spacing w:before="30" w:after="30"/>
            </w:pPr>
          </w:p>
        </w:tc>
        <w:tc>
          <w:tcPr>
            <w:tcW w:w="1985" w:type="dxa"/>
            <w:tcBorders>
              <w:left w:val="single" w:sz="4" w:space="0" w:color="auto"/>
              <w:right w:val="single" w:sz="4" w:space="0" w:color="auto"/>
            </w:tcBorders>
            <w:shd w:val="clear" w:color="auto" w:fill="6481A0"/>
          </w:tcPr>
          <w:p w:rsidR="00BB3E30" w:rsidRDefault="00BB3E30"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BB3E30" w:rsidRDefault="00BB3E30"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BB3E30"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BB3E30" w:rsidRDefault="00BB3E30" w:rsidP="0085691E">
            <w:pPr>
              <w:spacing w:before="30" w:after="30"/>
            </w:pPr>
          </w:p>
        </w:tc>
        <w:tc>
          <w:tcPr>
            <w:tcW w:w="3805" w:type="dxa"/>
            <w:gridSpan w:val="2"/>
            <w:shd w:val="clear" w:color="auto" w:fill="D1DCEF"/>
          </w:tcPr>
          <w:p w:rsidR="00BB3E30" w:rsidRDefault="00BB3E30"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BB3E30" w:rsidRPr="00E761C3" w:rsidRDefault="00BB3E30"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286D6B">
              <w:rPr>
                <w:b/>
                <w:color w:val="auto"/>
              </w:rPr>
              <w:t>Number (% of total)</w:t>
            </w:r>
          </w:p>
        </w:tc>
      </w:tr>
      <w:tr w:rsidR="00BB3E30"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BB3E30" w:rsidRPr="00745B37" w:rsidRDefault="00745B37" w:rsidP="0085691E">
            <w:pPr>
              <w:spacing w:before="30" w:after="30"/>
              <w:rPr>
                <w:b/>
              </w:rPr>
            </w:pPr>
            <w:r w:rsidRPr="00745B37">
              <w:rPr>
                <w:b/>
                <w:color w:val="FFFFFF" w:themeColor="background1"/>
              </w:rPr>
              <w:t>New devices</w:t>
            </w:r>
          </w:p>
        </w:tc>
      </w:tr>
      <w:tr w:rsidR="00BB3E30" w:rsidTr="00745B37">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BB3E30" w:rsidRPr="00745B37" w:rsidRDefault="00745B37" w:rsidP="0085691E">
            <w:pPr>
              <w:spacing w:before="30" w:after="30"/>
              <w:rPr>
                <w:b/>
              </w:rPr>
            </w:pPr>
            <w:r w:rsidRPr="00745B37">
              <w:rPr>
                <w:b/>
              </w:rPr>
              <w:t>Total completed</w:t>
            </w:r>
          </w:p>
        </w:tc>
        <w:tc>
          <w:tcPr>
            <w:tcW w:w="1985" w:type="dxa"/>
            <w:shd w:val="clear" w:color="auto" w:fill="D1DCEF"/>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40</w:t>
            </w:r>
          </w:p>
        </w:tc>
        <w:tc>
          <w:tcPr>
            <w:tcW w:w="1820" w:type="dxa"/>
            <w:shd w:val="clear" w:color="auto" w:fill="D1DCEF"/>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38</w:t>
            </w:r>
          </w:p>
        </w:tc>
      </w:tr>
      <w:tr w:rsidR="00BB3E30" w:rsidTr="0085691E">
        <w:tc>
          <w:tcPr>
            <w:cnfStyle w:val="001000000000" w:firstRow="0" w:lastRow="0" w:firstColumn="1" w:lastColumn="0" w:oddVBand="0" w:evenVBand="0" w:oddHBand="0" w:evenHBand="0" w:firstRowFirstColumn="0" w:firstRowLastColumn="0" w:lastRowFirstColumn="0" w:lastRowLastColumn="0"/>
            <w:tcW w:w="5245" w:type="dxa"/>
          </w:tcPr>
          <w:p w:rsidR="00BB3E30" w:rsidRDefault="00745B37" w:rsidP="0085691E">
            <w:pPr>
              <w:spacing w:before="30" w:after="30"/>
            </w:pPr>
            <w:r>
              <w:t>Percentage processed within target processing timeframes</w:t>
            </w:r>
          </w:p>
        </w:tc>
        <w:tc>
          <w:tcPr>
            <w:tcW w:w="1985" w:type="dxa"/>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100%</w:t>
            </w:r>
          </w:p>
        </w:tc>
        <w:tc>
          <w:tcPr>
            <w:tcW w:w="1820" w:type="dxa"/>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100%</w:t>
            </w:r>
          </w:p>
        </w:tc>
      </w:tr>
      <w:tr w:rsidR="00745B37" w:rsidTr="0085691E">
        <w:tc>
          <w:tcPr>
            <w:cnfStyle w:val="001000000000" w:firstRow="0" w:lastRow="0" w:firstColumn="1" w:lastColumn="0" w:oddVBand="0" w:evenVBand="0" w:oddHBand="0" w:evenHBand="0" w:firstRowFirstColumn="0" w:firstRowLastColumn="0" w:lastRowFirstColumn="0" w:lastRowLastColumn="0"/>
            <w:tcW w:w="5245" w:type="dxa"/>
          </w:tcPr>
          <w:p w:rsidR="00745B37" w:rsidRDefault="00745B37" w:rsidP="0085691E">
            <w:pPr>
              <w:spacing w:before="30" w:after="30"/>
            </w:pPr>
            <w:r>
              <w:t>Mean TGA processing time (working days)</w:t>
            </w:r>
          </w:p>
        </w:tc>
        <w:tc>
          <w:tcPr>
            <w:tcW w:w="1985" w:type="dxa"/>
          </w:tcPr>
          <w:p w:rsidR="00745B37"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143</w:t>
            </w:r>
          </w:p>
        </w:tc>
        <w:tc>
          <w:tcPr>
            <w:tcW w:w="1820" w:type="dxa"/>
          </w:tcPr>
          <w:p w:rsidR="00745B37"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103</w:t>
            </w:r>
          </w:p>
        </w:tc>
      </w:tr>
      <w:tr w:rsidR="00745B37" w:rsidTr="0085691E">
        <w:tc>
          <w:tcPr>
            <w:cnfStyle w:val="001000000000" w:firstRow="0" w:lastRow="0" w:firstColumn="1" w:lastColumn="0" w:oddVBand="0" w:evenVBand="0" w:oddHBand="0" w:evenHBand="0" w:firstRowFirstColumn="0" w:firstRowLastColumn="0" w:lastRowFirstColumn="0" w:lastRowLastColumn="0"/>
            <w:tcW w:w="5245" w:type="dxa"/>
          </w:tcPr>
          <w:p w:rsidR="00745B37" w:rsidRDefault="00745B37" w:rsidP="0085691E">
            <w:pPr>
              <w:spacing w:before="30" w:after="30"/>
            </w:pPr>
            <w:r>
              <w:t>Median TGA processing time (working days)</w:t>
            </w:r>
          </w:p>
        </w:tc>
        <w:tc>
          <w:tcPr>
            <w:tcW w:w="1985" w:type="dxa"/>
          </w:tcPr>
          <w:p w:rsidR="00745B37"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197</w:t>
            </w:r>
          </w:p>
        </w:tc>
        <w:tc>
          <w:tcPr>
            <w:tcW w:w="1820" w:type="dxa"/>
          </w:tcPr>
          <w:p w:rsidR="00745B37"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62</w:t>
            </w:r>
          </w:p>
        </w:tc>
      </w:tr>
      <w:tr w:rsidR="00BB3E30"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BB3E30" w:rsidRPr="00745B37" w:rsidRDefault="00745B37" w:rsidP="0085691E">
            <w:pPr>
              <w:spacing w:before="30" w:after="30"/>
              <w:rPr>
                <w:b/>
              </w:rPr>
            </w:pPr>
            <w:r w:rsidRPr="00745B37">
              <w:rPr>
                <w:b/>
                <w:color w:val="FFFFFF" w:themeColor="background1"/>
              </w:rPr>
              <w:t>Changes to recertification</w:t>
            </w:r>
          </w:p>
        </w:tc>
      </w:tr>
      <w:tr w:rsidR="00BB3E30" w:rsidTr="00745B37">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BB3E30" w:rsidRPr="00745B37" w:rsidRDefault="00745B37" w:rsidP="0085691E">
            <w:pPr>
              <w:spacing w:before="30" w:after="30"/>
              <w:rPr>
                <w:b/>
              </w:rPr>
            </w:pPr>
            <w:r w:rsidRPr="00745B37">
              <w:rPr>
                <w:b/>
              </w:rPr>
              <w:t>Total completed</w:t>
            </w:r>
          </w:p>
        </w:tc>
        <w:tc>
          <w:tcPr>
            <w:tcW w:w="1985" w:type="dxa"/>
            <w:shd w:val="clear" w:color="auto" w:fill="D1DCEF"/>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119</w:t>
            </w:r>
          </w:p>
        </w:tc>
        <w:tc>
          <w:tcPr>
            <w:tcW w:w="1820" w:type="dxa"/>
            <w:shd w:val="clear" w:color="auto" w:fill="D1DCEF"/>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122</w:t>
            </w:r>
          </w:p>
        </w:tc>
      </w:tr>
      <w:tr w:rsidR="00BB3E30" w:rsidTr="0085691E">
        <w:tc>
          <w:tcPr>
            <w:cnfStyle w:val="001000000000" w:firstRow="0" w:lastRow="0" w:firstColumn="1" w:lastColumn="0" w:oddVBand="0" w:evenVBand="0" w:oddHBand="0" w:evenHBand="0" w:firstRowFirstColumn="0" w:firstRowLastColumn="0" w:lastRowFirstColumn="0" w:lastRowLastColumn="0"/>
            <w:tcW w:w="5245" w:type="dxa"/>
          </w:tcPr>
          <w:p w:rsidR="00BB3E30" w:rsidRDefault="00745B37" w:rsidP="0085691E">
            <w:pPr>
              <w:spacing w:before="30" w:after="30"/>
            </w:pPr>
            <w:r>
              <w:t>Percentage processed within target processing timeframes</w:t>
            </w:r>
          </w:p>
        </w:tc>
        <w:tc>
          <w:tcPr>
            <w:tcW w:w="1985" w:type="dxa"/>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100%</w:t>
            </w:r>
          </w:p>
        </w:tc>
        <w:tc>
          <w:tcPr>
            <w:tcW w:w="1820" w:type="dxa"/>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100%</w:t>
            </w:r>
          </w:p>
        </w:tc>
      </w:tr>
      <w:tr w:rsidR="00BB3E30" w:rsidTr="0085691E">
        <w:tc>
          <w:tcPr>
            <w:cnfStyle w:val="001000000000" w:firstRow="0" w:lastRow="0" w:firstColumn="1" w:lastColumn="0" w:oddVBand="0" w:evenVBand="0" w:oddHBand="0" w:evenHBand="0" w:firstRowFirstColumn="0" w:firstRowLastColumn="0" w:lastRowFirstColumn="0" w:lastRowLastColumn="0"/>
            <w:tcW w:w="5245" w:type="dxa"/>
          </w:tcPr>
          <w:p w:rsidR="00BB3E30" w:rsidRDefault="00745B37" w:rsidP="0085691E">
            <w:pPr>
              <w:spacing w:before="30" w:after="30"/>
            </w:pPr>
            <w:r>
              <w:t>Mean TGA processing time (working days)</w:t>
            </w:r>
          </w:p>
        </w:tc>
        <w:tc>
          <w:tcPr>
            <w:tcW w:w="1985" w:type="dxa"/>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153</w:t>
            </w:r>
          </w:p>
        </w:tc>
        <w:tc>
          <w:tcPr>
            <w:tcW w:w="1820" w:type="dxa"/>
          </w:tcPr>
          <w:p w:rsidR="00BB3E30"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114</w:t>
            </w:r>
          </w:p>
        </w:tc>
      </w:tr>
      <w:tr w:rsidR="00745B37" w:rsidTr="0085691E">
        <w:tc>
          <w:tcPr>
            <w:cnfStyle w:val="001000000000" w:firstRow="0" w:lastRow="0" w:firstColumn="1" w:lastColumn="0" w:oddVBand="0" w:evenVBand="0" w:oddHBand="0" w:evenHBand="0" w:firstRowFirstColumn="0" w:firstRowLastColumn="0" w:lastRowFirstColumn="0" w:lastRowLastColumn="0"/>
            <w:tcW w:w="5245" w:type="dxa"/>
          </w:tcPr>
          <w:p w:rsidR="00745B37" w:rsidRDefault="00745B37" w:rsidP="0085691E">
            <w:pPr>
              <w:spacing w:before="30" w:after="30"/>
            </w:pPr>
            <w:r>
              <w:t>Median TGA processing time (working days)</w:t>
            </w:r>
          </w:p>
        </w:tc>
        <w:tc>
          <w:tcPr>
            <w:tcW w:w="1985" w:type="dxa"/>
          </w:tcPr>
          <w:p w:rsidR="00745B37"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181</w:t>
            </w:r>
          </w:p>
        </w:tc>
        <w:tc>
          <w:tcPr>
            <w:tcW w:w="1820" w:type="dxa"/>
          </w:tcPr>
          <w:p w:rsidR="00745B37" w:rsidRDefault="00745B37" w:rsidP="00E80CB2">
            <w:pPr>
              <w:spacing w:before="30" w:after="30"/>
              <w:jc w:val="right"/>
              <w:cnfStyle w:val="000000000000" w:firstRow="0" w:lastRow="0" w:firstColumn="0" w:lastColumn="0" w:oddVBand="0" w:evenVBand="0" w:oddHBand="0" w:evenHBand="0" w:firstRowFirstColumn="0" w:firstRowLastColumn="0" w:lastRowFirstColumn="0" w:lastRowLastColumn="0"/>
            </w:pPr>
            <w:r>
              <w:t>94</w:t>
            </w:r>
          </w:p>
        </w:tc>
      </w:tr>
    </w:tbl>
    <w:p w:rsidR="003B3EC1" w:rsidRDefault="003B3EC1" w:rsidP="00745B37">
      <w:pPr>
        <w:pStyle w:val="FootnoteText"/>
        <w:spacing w:before="120"/>
      </w:pPr>
      <w:r>
        <w:t xml:space="preserve">Note: The TGA is required to complete conformity assessment applications within 255 working days. Processing time for conformity assessments for 1 July to 31 December 2020 were impacted by a significant increase in the number of incorrectly submitted </w:t>
      </w:r>
      <w:proofErr w:type="gramStart"/>
      <w:r>
        <w:t>applications which</w:t>
      </w:r>
      <w:proofErr w:type="gramEnd"/>
      <w:r>
        <w:t xml:space="preserve"> had the effect of reducing the mean and median timeframes.</w:t>
      </w:r>
      <w:r w:rsidR="00865E4F">
        <w:t xml:space="preserve"> </w:t>
      </w:r>
    </w:p>
    <w:p w:rsidR="003B3EC1" w:rsidRDefault="003B3EC1" w:rsidP="00745B37">
      <w:pPr>
        <w:pStyle w:val="Tabletitle"/>
        <w:spacing w:before="360"/>
        <w:ind w:left="992" w:hanging="992"/>
      </w:pPr>
      <w:r>
        <w:t>Table 23</w:t>
      </w:r>
      <w:r>
        <w:tab/>
        <w:t xml:space="preserve">Completed applications for inclusion of medical devices and IVDs on the ARTG for 1 July to 31 December </w:t>
      </w:r>
    </w:p>
    <w:tbl>
      <w:tblPr>
        <w:tblStyle w:val="TableTGAblue"/>
        <w:tblW w:w="0" w:type="auto"/>
        <w:tblLook w:val="04A0" w:firstRow="1" w:lastRow="0" w:firstColumn="1" w:lastColumn="0" w:noHBand="0" w:noVBand="1"/>
      </w:tblPr>
      <w:tblGrid>
        <w:gridCol w:w="5245"/>
        <w:gridCol w:w="1985"/>
        <w:gridCol w:w="1820"/>
      </w:tblGrid>
      <w:tr w:rsidR="00FD63FD"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FD63FD" w:rsidRDefault="00FD63FD" w:rsidP="0085691E">
            <w:pPr>
              <w:spacing w:before="30" w:after="30"/>
            </w:pPr>
          </w:p>
        </w:tc>
        <w:tc>
          <w:tcPr>
            <w:tcW w:w="1985" w:type="dxa"/>
            <w:tcBorders>
              <w:left w:val="single" w:sz="4" w:space="0" w:color="auto"/>
              <w:right w:val="single" w:sz="4" w:space="0" w:color="auto"/>
            </w:tcBorders>
            <w:shd w:val="clear" w:color="auto" w:fill="6481A0"/>
          </w:tcPr>
          <w:p w:rsidR="00FD63FD" w:rsidRDefault="00FD63FD"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FD63FD" w:rsidRDefault="00FD63FD"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FD63FD" w:rsidRDefault="00FD63FD" w:rsidP="0085691E">
            <w:pPr>
              <w:spacing w:before="30" w:after="30"/>
            </w:pPr>
          </w:p>
        </w:tc>
        <w:tc>
          <w:tcPr>
            <w:tcW w:w="3805" w:type="dxa"/>
            <w:gridSpan w:val="2"/>
            <w:shd w:val="clear" w:color="auto" w:fill="D1DCEF"/>
          </w:tcPr>
          <w:p w:rsidR="00FD63FD" w:rsidRDefault="00FD63FD"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FD63FD" w:rsidRPr="00120242" w:rsidRDefault="00FD63FD"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120242">
              <w:rPr>
                <w:b/>
              </w:rPr>
              <w:t>Number (% of total)</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I medical devices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994 (37%)</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2,283 (56%)</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I measuring medical devices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36 (1%)</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34 (1%)</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I sterile medical devices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160 (6%)</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160 (4%)</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 xml:space="preserve">Class </w:t>
            </w:r>
            <w:proofErr w:type="spellStart"/>
            <w:r>
              <w:t>IIa</w:t>
            </w:r>
            <w:proofErr w:type="spellEnd"/>
            <w:r>
              <w:t xml:space="preserve"> medical devices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794 (30%)</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750 (19%)</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 xml:space="preserve">Class </w:t>
            </w:r>
            <w:proofErr w:type="spellStart"/>
            <w:r>
              <w:t>IIb</w:t>
            </w:r>
            <w:proofErr w:type="spellEnd"/>
            <w:r>
              <w:t xml:space="preserve"> medical devices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361 (14%)</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332 (8%)</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III medical devices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210 (8%)</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219 (5%)</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Active Implantable Medical Devices (AIMD)</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 (1%)</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41 (1%)</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1 IVDs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29 (1%)</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62 (2%)</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2 IVDs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39 (1%)</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39 (1%)</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3 IVDs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22 (1%)</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120 (3%)</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tcPr>
          <w:p w:rsidR="00FD63FD" w:rsidRDefault="00FD63FD" w:rsidP="0085691E">
            <w:pPr>
              <w:spacing w:before="30" w:after="30"/>
            </w:pPr>
            <w:r>
              <w:t>Class 4 IVDs</w:t>
            </w:r>
          </w:p>
        </w:tc>
        <w:tc>
          <w:tcPr>
            <w:tcW w:w="1985"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w:t>
            </w:r>
          </w:p>
        </w:tc>
        <w:tc>
          <w:tcPr>
            <w:tcW w:w="1820" w:type="dxa"/>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9 (1%)</w:t>
            </w:r>
          </w:p>
        </w:tc>
      </w:tr>
      <w:tr w:rsidR="00FD63FD" w:rsidTr="0085691E">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FD63FD" w:rsidRPr="00120242" w:rsidRDefault="00FD63FD" w:rsidP="00FD63FD">
            <w:pPr>
              <w:spacing w:before="30" w:after="30"/>
              <w:rPr>
                <w:b/>
              </w:rPr>
            </w:pPr>
            <w:r w:rsidRPr="00120242">
              <w:rPr>
                <w:b/>
              </w:rPr>
              <w:t>Total</w:t>
            </w:r>
          </w:p>
        </w:tc>
        <w:tc>
          <w:tcPr>
            <w:tcW w:w="1985" w:type="dxa"/>
            <w:shd w:val="clear" w:color="auto" w:fill="D1DCEF"/>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2,651 (100%)</w:t>
            </w:r>
          </w:p>
        </w:tc>
        <w:tc>
          <w:tcPr>
            <w:tcW w:w="1820" w:type="dxa"/>
            <w:shd w:val="clear" w:color="auto" w:fill="D1DCEF"/>
          </w:tcPr>
          <w:p w:rsidR="00FD63FD" w:rsidRDefault="00FD63FD" w:rsidP="00E80CB2">
            <w:pPr>
              <w:spacing w:before="30" w:after="30"/>
              <w:jc w:val="right"/>
              <w:cnfStyle w:val="000000000000" w:firstRow="0" w:lastRow="0" w:firstColumn="0" w:lastColumn="0" w:oddVBand="0" w:evenVBand="0" w:oddHBand="0" w:evenHBand="0" w:firstRowFirstColumn="0" w:firstRowLastColumn="0" w:lastRowFirstColumn="0" w:lastRowLastColumn="0"/>
            </w:pPr>
            <w:r>
              <w:t>4,049 (100%)</w:t>
            </w:r>
          </w:p>
        </w:tc>
      </w:tr>
    </w:tbl>
    <w:p w:rsidR="003B3EC1" w:rsidRDefault="003B3EC1" w:rsidP="00C2728C">
      <w:pPr>
        <w:pStyle w:val="Tabletitle"/>
      </w:pPr>
      <w:r>
        <w:lastRenderedPageBreak/>
        <w:t>Table 24</w:t>
      </w:r>
      <w:r>
        <w:tab/>
        <w:t>Application audits completed and processing time for medical devices and IVDs 1 July to 31 December 2020</w:t>
      </w:r>
    </w:p>
    <w:tbl>
      <w:tblPr>
        <w:tblStyle w:val="TableTGAblue"/>
        <w:tblW w:w="0" w:type="auto"/>
        <w:tblLook w:val="04A0" w:firstRow="1" w:lastRow="0" w:firstColumn="1" w:lastColumn="0" w:noHBand="0" w:noVBand="1"/>
      </w:tblPr>
      <w:tblGrid>
        <w:gridCol w:w="3969"/>
        <w:gridCol w:w="1701"/>
        <w:gridCol w:w="1701"/>
        <w:gridCol w:w="1679"/>
      </w:tblGrid>
      <w:tr w:rsidR="00C2728C" w:rsidTr="00034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Merge w:val="restart"/>
            <w:tcBorders>
              <w:top w:val="nil"/>
              <w:left w:val="nil"/>
              <w:right w:val="single" w:sz="4" w:space="0" w:color="auto"/>
            </w:tcBorders>
            <w:shd w:val="clear" w:color="auto" w:fill="auto"/>
          </w:tcPr>
          <w:p w:rsidR="00C2728C" w:rsidRDefault="00C2728C" w:rsidP="00C2728C">
            <w:pPr>
              <w:spacing w:before="30" w:after="30"/>
            </w:pPr>
          </w:p>
        </w:tc>
        <w:tc>
          <w:tcPr>
            <w:tcW w:w="1701" w:type="dxa"/>
            <w:vMerge w:val="restart"/>
            <w:tcBorders>
              <w:left w:val="single" w:sz="4" w:space="0" w:color="auto"/>
              <w:bottom w:val="single" w:sz="4" w:space="0" w:color="auto"/>
              <w:right w:val="single" w:sz="4" w:space="0" w:color="auto"/>
            </w:tcBorders>
            <w:shd w:val="clear" w:color="auto" w:fill="6481A0"/>
          </w:tcPr>
          <w:p w:rsidR="00C2728C" w:rsidRDefault="00C2728C" w:rsidP="00E80CB2">
            <w:pPr>
              <w:spacing w:before="30" w:after="30"/>
              <w:jc w:val="right"/>
              <w:cnfStyle w:val="100000000000" w:firstRow="1" w:lastRow="0" w:firstColumn="0" w:lastColumn="0" w:oddVBand="0" w:evenVBand="0" w:oddHBand="0" w:evenHBand="0" w:firstRowFirstColumn="0" w:firstRowLastColumn="0" w:lastRowFirstColumn="0" w:lastRowLastColumn="0"/>
            </w:pPr>
            <w:r>
              <w:t>Total completed</w:t>
            </w:r>
          </w:p>
        </w:tc>
        <w:tc>
          <w:tcPr>
            <w:tcW w:w="3380" w:type="dxa"/>
            <w:gridSpan w:val="2"/>
            <w:tcBorders>
              <w:left w:val="single" w:sz="4" w:space="0" w:color="auto"/>
            </w:tcBorders>
            <w:shd w:val="clear" w:color="auto" w:fill="6481A0"/>
          </w:tcPr>
          <w:p w:rsidR="00C2728C" w:rsidRDefault="00C2728C" w:rsidP="00E80CB2">
            <w:pPr>
              <w:spacing w:before="30" w:after="30"/>
              <w:jc w:val="center"/>
              <w:cnfStyle w:val="100000000000" w:firstRow="1" w:lastRow="0" w:firstColumn="0" w:lastColumn="0" w:oddVBand="0" w:evenVBand="0" w:oddHBand="0" w:evenHBand="0" w:firstRowFirstColumn="0" w:firstRowLastColumn="0" w:lastRowFirstColumn="0" w:lastRowLastColumn="0"/>
            </w:pPr>
            <w:r>
              <w:t>Processing times</w:t>
            </w:r>
          </w:p>
        </w:tc>
      </w:tr>
      <w:tr w:rsidR="00C2728C" w:rsidTr="000343CA">
        <w:tc>
          <w:tcPr>
            <w:cnfStyle w:val="001000000000" w:firstRow="0" w:lastRow="0" w:firstColumn="1" w:lastColumn="0" w:oddVBand="0" w:evenVBand="0" w:oddHBand="0" w:evenHBand="0" w:firstRowFirstColumn="0" w:firstRowLastColumn="0" w:lastRowFirstColumn="0" w:lastRowLastColumn="0"/>
            <w:tcW w:w="3969" w:type="dxa"/>
            <w:vMerge/>
            <w:tcBorders>
              <w:left w:val="nil"/>
              <w:right w:val="single" w:sz="4" w:space="0" w:color="auto"/>
            </w:tcBorders>
          </w:tcPr>
          <w:p w:rsidR="00C2728C" w:rsidRDefault="00C2728C" w:rsidP="00C2728C">
            <w:pPr>
              <w:spacing w:before="30" w:after="30"/>
            </w:pPr>
          </w:p>
        </w:tc>
        <w:tc>
          <w:tcPr>
            <w:tcW w:w="1701" w:type="dxa"/>
            <w:vMerge/>
            <w:tcBorders>
              <w:left w:val="single" w:sz="4" w:space="0" w:color="auto"/>
              <w:bottom w:val="single" w:sz="4" w:space="0" w:color="auto"/>
            </w:tcBorders>
          </w:tcPr>
          <w:p w:rsidR="00C2728C" w:rsidRDefault="00C2728C" w:rsidP="00C2728C">
            <w:pPr>
              <w:spacing w:before="30" w:after="30"/>
              <w:cnfStyle w:val="000000000000" w:firstRow="0" w:lastRow="0" w:firstColumn="0" w:lastColumn="0" w:oddVBand="0" w:evenVBand="0" w:oddHBand="0" w:evenHBand="0" w:firstRowFirstColumn="0" w:firstRowLastColumn="0" w:lastRowFirstColumn="0" w:lastRowLastColumn="0"/>
            </w:pPr>
          </w:p>
        </w:tc>
        <w:tc>
          <w:tcPr>
            <w:tcW w:w="1701" w:type="dxa"/>
            <w:shd w:val="clear" w:color="auto" w:fill="D1DCEF"/>
          </w:tcPr>
          <w:p w:rsidR="00C2728C" w:rsidRP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C2728C">
              <w:rPr>
                <w:b/>
              </w:rPr>
              <w:t>Mean</w:t>
            </w:r>
          </w:p>
        </w:tc>
        <w:tc>
          <w:tcPr>
            <w:tcW w:w="1679" w:type="dxa"/>
            <w:shd w:val="clear" w:color="auto" w:fill="D1DCEF"/>
          </w:tcPr>
          <w:p w:rsidR="00C2728C" w:rsidRP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C2728C">
              <w:rPr>
                <w:b/>
              </w:rPr>
              <w:t>Median</w:t>
            </w:r>
          </w:p>
        </w:tc>
      </w:tr>
      <w:tr w:rsidR="00C2728C" w:rsidTr="00C2728C">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ADBBD0"/>
          </w:tcPr>
          <w:p w:rsidR="00C2728C" w:rsidRPr="00C2728C" w:rsidRDefault="00C2728C" w:rsidP="00C2728C">
            <w:pPr>
              <w:spacing w:before="30" w:after="30"/>
              <w:rPr>
                <w:b/>
              </w:rPr>
            </w:pPr>
            <w:r w:rsidRPr="00C2728C">
              <w:rPr>
                <w:b/>
                <w:color w:val="auto"/>
              </w:rPr>
              <w:t>Medical devices</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 xml:space="preserve">Auto-included </w:t>
            </w:r>
            <w:proofErr w:type="spellStart"/>
            <w:r>
              <w:t>applications</w:t>
            </w:r>
            <w:r w:rsidRPr="00C2728C">
              <w:rPr>
                <w:vertAlign w:val="superscript"/>
              </w:rPr>
              <w:t>a</w:t>
            </w:r>
            <w:proofErr w:type="spellEnd"/>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2,283</w:t>
            </w:r>
          </w:p>
        </w:tc>
        <w:tc>
          <w:tcPr>
            <w:tcW w:w="1701" w:type="dxa"/>
            <w:shd w:val="clear" w:color="auto" w:fill="ADBBD0"/>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p>
        </w:tc>
        <w:tc>
          <w:tcPr>
            <w:tcW w:w="1679" w:type="dxa"/>
            <w:shd w:val="clear" w:color="auto" w:fill="ADBBD0"/>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 xml:space="preserve">Applications completed without </w:t>
            </w:r>
            <w:proofErr w:type="spellStart"/>
            <w:r>
              <w:t>audit</w:t>
            </w:r>
            <w:r w:rsidRPr="00C2728C">
              <w:rPr>
                <w:vertAlign w:val="superscript"/>
              </w:rPr>
              <w:t>b</w:t>
            </w:r>
            <w:proofErr w:type="spellEnd"/>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1,226</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8</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 xml:space="preserve">Non-compulsory </w:t>
            </w:r>
            <w:proofErr w:type="spellStart"/>
            <w:r>
              <w:t>audits</w:t>
            </w:r>
            <w:r w:rsidRPr="00C2728C">
              <w:rPr>
                <w:vertAlign w:val="superscript"/>
              </w:rPr>
              <w:t>c</w:t>
            </w:r>
            <w:proofErr w:type="spellEnd"/>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73</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96</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37</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Level 1 compulsory audits</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24</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58</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64</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Level 2 compulsory audits</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165</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192</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161</w:t>
            </w:r>
          </w:p>
        </w:tc>
      </w:tr>
      <w:tr w:rsidR="00C2728C" w:rsidTr="00C2728C">
        <w:tc>
          <w:tcPr>
            <w:cnfStyle w:val="001000000000" w:firstRow="0" w:lastRow="0" w:firstColumn="1" w:lastColumn="0" w:oddVBand="0" w:evenVBand="0" w:oddHBand="0" w:evenHBand="0" w:firstRowFirstColumn="0" w:firstRowLastColumn="0" w:lastRowFirstColumn="0" w:lastRowLastColumn="0"/>
            <w:tcW w:w="9050" w:type="dxa"/>
            <w:gridSpan w:val="4"/>
            <w:shd w:val="clear" w:color="auto" w:fill="ADBBD0"/>
          </w:tcPr>
          <w:p w:rsidR="00C2728C" w:rsidRPr="00C2728C" w:rsidRDefault="00C2728C" w:rsidP="00C2728C">
            <w:pPr>
              <w:spacing w:before="30" w:after="30"/>
              <w:rPr>
                <w:b/>
              </w:rPr>
            </w:pPr>
            <w:r w:rsidRPr="00C2728C">
              <w:rPr>
                <w:b/>
              </w:rPr>
              <w:t>IVDs</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 xml:space="preserve">Auto-included </w:t>
            </w:r>
            <w:proofErr w:type="spellStart"/>
            <w:r>
              <w:t>applications</w:t>
            </w:r>
            <w:r w:rsidRPr="00C2728C">
              <w:rPr>
                <w:vertAlign w:val="superscript"/>
              </w:rPr>
              <w:t>a</w:t>
            </w:r>
            <w:proofErr w:type="spellEnd"/>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47</w:t>
            </w:r>
          </w:p>
        </w:tc>
        <w:tc>
          <w:tcPr>
            <w:tcW w:w="1701" w:type="dxa"/>
            <w:shd w:val="clear" w:color="auto" w:fill="ADBBD0"/>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p>
        </w:tc>
        <w:tc>
          <w:tcPr>
            <w:tcW w:w="1679" w:type="dxa"/>
            <w:shd w:val="clear" w:color="auto" w:fill="ADBBD0"/>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 xml:space="preserve">Applications completed without </w:t>
            </w:r>
            <w:proofErr w:type="spellStart"/>
            <w:r>
              <w:t>audit</w:t>
            </w:r>
            <w:r w:rsidRPr="00C2728C">
              <w:rPr>
                <w:vertAlign w:val="superscript"/>
              </w:rPr>
              <w:t>b</w:t>
            </w:r>
            <w:proofErr w:type="spellEnd"/>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35</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7</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IVD non-compulsory audit</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69</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69</w:t>
            </w:r>
          </w:p>
        </w:tc>
      </w:tr>
      <w:tr w:rsidR="00C2728C" w:rsidTr="00C2728C">
        <w:tc>
          <w:tcPr>
            <w:cnfStyle w:val="001000000000" w:firstRow="0" w:lastRow="0" w:firstColumn="1" w:lastColumn="0" w:oddVBand="0" w:evenVBand="0" w:oddHBand="0" w:evenHBand="0" w:firstRowFirstColumn="0" w:firstRowLastColumn="0" w:lastRowFirstColumn="0" w:lastRowLastColumn="0"/>
            <w:tcW w:w="3969" w:type="dxa"/>
          </w:tcPr>
          <w:p w:rsidR="00C2728C" w:rsidRDefault="00C2728C" w:rsidP="00C2728C">
            <w:pPr>
              <w:spacing w:before="30" w:after="30"/>
            </w:pPr>
            <w:r>
              <w:t>IVD compulsory audit</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102</w:t>
            </w:r>
          </w:p>
        </w:tc>
        <w:tc>
          <w:tcPr>
            <w:tcW w:w="1701"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53</w:t>
            </w:r>
          </w:p>
        </w:tc>
        <w:tc>
          <w:tcPr>
            <w:tcW w:w="1679"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42</w:t>
            </w:r>
          </w:p>
        </w:tc>
      </w:tr>
    </w:tbl>
    <w:p w:rsidR="003B3EC1" w:rsidRDefault="003B3EC1" w:rsidP="00C2728C">
      <w:pPr>
        <w:pStyle w:val="FootnoteText"/>
        <w:spacing w:before="120"/>
      </w:pPr>
      <w:proofErr w:type="gramStart"/>
      <w:r w:rsidRPr="00C2728C">
        <w:rPr>
          <w:vertAlign w:val="superscript"/>
        </w:rPr>
        <w:t>a</w:t>
      </w:r>
      <w:proofErr w:type="gramEnd"/>
      <w:r>
        <w:t xml:space="preserve"> Class I and Class 1 IVDs (with some exceptions) are automatically included medical devices and are not subject to audits before inclusion. Separate post-market monitoring </w:t>
      </w:r>
      <w:proofErr w:type="gramStart"/>
      <w:r>
        <w:t>is undertaken</w:t>
      </w:r>
      <w:proofErr w:type="gramEnd"/>
      <w:r>
        <w:t xml:space="preserve"> for these goods.</w:t>
      </w:r>
    </w:p>
    <w:p w:rsidR="003B3EC1" w:rsidRDefault="003B3EC1" w:rsidP="00C2728C">
      <w:pPr>
        <w:pStyle w:val="FootnoteText"/>
        <w:spacing w:before="120"/>
      </w:pPr>
      <w:proofErr w:type="gramStart"/>
      <w:r w:rsidRPr="00C2728C">
        <w:rPr>
          <w:vertAlign w:val="superscript"/>
        </w:rPr>
        <w:t>b</w:t>
      </w:r>
      <w:proofErr w:type="gramEnd"/>
      <w:r>
        <w:t xml:space="preserve"> These figures do not include applications for Class I and Class 1 IVD auto-included devices. These applications </w:t>
      </w:r>
      <w:proofErr w:type="gramStart"/>
      <w:r>
        <w:t>are completed</w:t>
      </w:r>
      <w:proofErr w:type="gramEnd"/>
      <w:r>
        <w:t xml:space="preserve"> within 20 working days.</w:t>
      </w:r>
    </w:p>
    <w:p w:rsidR="003B3EC1" w:rsidRDefault="003B3EC1" w:rsidP="00C2728C">
      <w:pPr>
        <w:pStyle w:val="FootnoteText"/>
        <w:spacing w:before="120"/>
      </w:pPr>
      <w:proofErr w:type="gramStart"/>
      <w:r w:rsidRPr="00C2728C">
        <w:rPr>
          <w:vertAlign w:val="superscript"/>
        </w:rPr>
        <w:t>c</w:t>
      </w:r>
      <w:proofErr w:type="gramEnd"/>
      <w:r>
        <w:t xml:space="preserve"> Non-compulsory audit – estimate for the audit processing time does not include applications for reclassification of joint replacement medical devices received during transitional period (Class III Joint Reclassification medical devices).</w:t>
      </w:r>
    </w:p>
    <w:p w:rsidR="003B3EC1" w:rsidRPr="00C2728C" w:rsidRDefault="003B3EC1" w:rsidP="00C2728C">
      <w:pPr>
        <w:pStyle w:val="Heading3"/>
        <w:pageBreakBefore/>
        <w:spacing w:before="0"/>
        <w:rPr>
          <w:color w:val="auto"/>
        </w:rPr>
      </w:pPr>
      <w:bookmarkStart w:id="29" w:name="_Toc69725950"/>
      <w:r w:rsidRPr="00C2728C">
        <w:rPr>
          <w:color w:val="auto"/>
        </w:rPr>
        <w:lastRenderedPageBreak/>
        <w:t>6.</w:t>
      </w:r>
      <w:r w:rsidRPr="00C2728C">
        <w:rPr>
          <w:color w:val="auto"/>
        </w:rPr>
        <w:tab/>
        <w:t>Listed Other Therapeutic Goods (Disinfectants)</w:t>
      </w:r>
      <w:bookmarkEnd w:id="29"/>
    </w:p>
    <w:p w:rsidR="003B3EC1" w:rsidRDefault="003B3EC1" w:rsidP="003B3EC1">
      <w:r>
        <w:t>Disinfectants that make ‘specific’ claims to kill micro-organisms such as viruses, spores, tuberculosis bacteria and fungi are regulated as listed other therapeutic good (OTGs).</w:t>
      </w:r>
    </w:p>
    <w:p w:rsidR="003B3EC1" w:rsidRDefault="003B3EC1" w:rsidP="00C2728C">
      <w:pPr>
        <w:pStyle w:val="Tabletitle"/>
      </w:pPr>
      <w:r>
        <w:t xml:space="preserve">Table 25 </w:t>
      </w:r>
      <w:r>
        <w:tab/>
        <w:t>Completed applications for listing of disinfectants in the ARTG for 1 July to 31</w:t>
      </w:r>
      <w:r w:rsidR="00C2728C">
        <w:t> </w:t>
      </w:r>
      <w:r>
        <w:t>December</w:t>
      </w:r>
    </w:p>
    <w:tbl>
      <w:tblPr>
        <w:tblStyle w:val="TableTGAblue"/>
        <w:tblW w:w="0" w:type="auto"/>
        <w:tblLook w:val="04A0" w:firstRow="1" w:lastRow="0" w:firstColumn="1" w:lastColumn="0" w:noHBand="0" w:noVBand="1"/>
      </w:tblPr>
      <w:tblGrid>
        <w:gridCol w:w="5245"/>
        <w:gridCol w:w="1985"/>
        <w:gridCol w:w="1820"/>
      </w:tblGrid>
      <w:tr w:rsidR="00C2728C"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C2728C" w:rsidRDefault="00C2728C" w:rsidP="0085691E">
            <w:pPr>
              <w:spacing w:before="30" w:after="30"/>
            </w:pPr>
          </w:p>
        </w:tc>
        <w:tc>
          <w:tcPr>
            <w:tcW w:w="1985" w:type="dxa"/>
            <w:tcBorders>
              <w:left w:val="single" w:sz="4" w:space="0" w:color="auto"/>
              <w:right w:val="single" w:sz="4" w:space="0" w:color="auto"/>
            </w:tcBorders>
            <w:shd w:val="clear" w:color="auto" w:fill="6481A0"/>
          </w:tcPr>
          <w:p w:rsidR="00C2728C" w:rsidRDefault="00C2728C" w:rsidP="00E80CB2">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C2728C" w:rsidRDefault="00C2728C" w:rsidP="00E80CB2">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C2728C"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C2728C" w:rsidRDefault="00C2728C" w:rsidP="0085691E">
            <w:pPr>
              <w:spacing w:before="30" w:after="30"/>
            </w:pPr>
          </w:p>
        </w:tc>
        <w:tc>
          <w:tcPr>
            <w:tcW w:w="3805" w:type="dxa"/>
            <w:gridSpan w:val="2"/>
            <w:shd w:val="clear" w:color="auto" w:fill="D1DCEF"/>
          </w:tcPr>
          <w:p w:rsidR="00C2728C" w:rsidRPr="00E761C3"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C2728C"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C2728C" w:rsidRPr="00C2728C" w:rsidRDefault="00C2728C" w:rsidP="0085691E">
            <w:pPr>
              <w:spacing w:before="30" w:after="30"/>
              <w:rPr>
                <w:b/>
              </w:rPr>
            </w:pPr>
            <w:r w:rsidRPr="00C2728C">
              <w:rPr>
                <w:b/>
                <w:color w:val="FFFFFF" w:themeColor="background1"/>
              </w:rPr>
              <w:t>Listed OTG (Disinfectants)</w:t>
            </w:r>
          </w:p>
        </w:tc>
      </w:tr>
      <w:tr w:rsidR="00C2728C" w:rsidTr="0085691E">
        <w:tc>
          <w:tcPr>
            <w:cnfStyle w:val="001000000000" w:firstRow="0" w:lastRow="0" w:firstColumn="1" w:lastColumn="0" w:oddVBand="0" w:evenVBand="0" w:oddHBand="0" w:evenHBand="0" w:firstRowFirstColumn="0" w:firstRowLastColumn="0" w:lastRowFirstColumn="0" w:lastRowLastColumn="0"/>
            <w:tcW w:w="5245" w:type="dxa"/>
          </w:tcPr>
          <w:p w:rsidR="00C2728C" w:rsidRDefault="00C2728C" w:rsidP="0085691E">
            <w:pPr>
              <w:spacing w:before="30" w:after="30"/>
            </w:pPr>
            <w:r>
              <w:t>Applications completed</w:t>
            </w:r>
          </w:p>
        </w:tc>
        <w:tc>
          <w:tcPr>
            <w:tcW w:w="1985"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w:t>
            </w:r>
          </w:p>
        </w:tc>
        <w:tc>
          <w:tcPr>
            <w:tcW w:w="1820"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221</w:t>
            </w:r>
          </w:p>
        </w:tc>
      </w:tr>
    </w:tbl>
    <w:p w:rsidR="003B3EC1" w:rsidRDefault="003B3EC1" w:rsidP="00C2728C">
      <w:pPr>
        <w:pStyle w:val="Tabletitle"/>
        <w:spacing w:before="360"/>
        <w:ind w:left="992" w:hanging="992"/>
      </w:pPr>
      <w:r>
        <w:t xml:space="preserve">Table 26 </w:t>
      </w:r>
      <w:r>
        <w:tab/>
        <w:t>Outcomes of listed disinfectant 1 July to 31 December</w:t>
      </w:r>
    </w:p>
    <w:tbl>
      <w:tblPr>
        <w:tblStyle w:val="TableTGAblue"/>
        <w:tblW w:w="0" w:type="auto"/>
        <w:tblLook w:val="04A0" w:firstRow="1" w:lastRow="0" w:firstColumn="1" w:lastColumn="0" w:noHBand="0" w:noVBand="1"/>
      </w:tblPr>
      <w:tblGrid>
        <w:gridCol w:w="5245"/>
        <w:gridCol w:w="1985"/>
        <w:gridCol w:w="1820"/>
      </w:tblGrid>
      <w:tr w:rsidR="00C2728C" w:rsidTr="00C2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C2728C" w:rsidRDefault="00C2728C" w:rsidP="0085691E">
            <w:pPr>
              <w:spacing w:before="30" w:after="30"/>
            </w:pPr>
          </w:p>
        </w:tc>
        <w:tc>
          <w:tcPr>
            <w:tcW w:w="1985" w:type="dxa"/>
            <w:tcBorders>
              <w:left w:val="single" w:sz="4" w:space="0" w:color="auto"/>
              <w:right w:val="single" w:sz="4" w:space="0" w:color="auto"/>
            </w:tcBorders>
            <w:shd w:val="clear" w:color="auto" w:fill="6481A0"/>
          </w:tcPr>
          <w:p w:rsidR="00C2728C" w:rsidRDefault="00C2728C"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C2728C" w:rsidRDefault="00C2728C"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C2728C"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C2728C" w:rsidRDefault="00C2728C" w:rsidP="0085691E">
            <w:pPr>
              <w:spacing w:before="30" w:after="30"/>
            </w:pPr>
          </w:p>
        </w:tc>
        <w:tc>
          <w:tcPr>
            <w:tcW w:w="3805" w:type="dxa"/>
            <w:gridSpan w:val="2"/>
            <w:shd w:val="clear" w:color="auto" w:fill="D1DCEF"/>
          </w:tcPr>
          <w:p w:rsidR="00C2728C" w:rsidRPr="00E761C3" w:rsidRDefault="00C2728C"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C2728C"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C2728C" w:rsidRPr="00C2728C" w:rsidRDefault="00C2728C" w:rsidP="0085691E">
            <w:pPr>
              <w:spacing w:before="30" w:after="30"/>
              <w:rPr>
                <w:b/>
              </w:rPr>
            </w:pPr>
            <w:r w:rsidRPr="00C2728C">
              <w:rPr>
                <w:b/>
                <w:color w:val="FFFFFF" w:themeColor="background1"/>
              </w:rPr>
              <w:t>Listed OTG (Disinfectants)</w:t>
            </w:r>
          </w:p>
        </w:tc>
      </w:tr>
      <w:tr w:rsidR="00C2728C" w:rsidTr="0085691E">
        <w:tc>
          <w:tcPr>
            <w:cnfStyle w:val="001000000000" w:firstRow="0" w:lastRow="0" w:firstColumn="1" w:lastColumn="0" w:oddVBand="0" w:evenVBand="0" w:oddHBand="0" w:evenHBand="0" w:firstRowFirstColumn="0" w:firstRowLastColumn="0" w:lastRowFirstColumn="0" w:lastRowLastColumn="0"/>
            <w:tcW w:w="5245" w:type="dxa"/>
          </w:tcPr>
          <w:p w:rsidR="00C2728C" w:rsidRDefault="00C2728C" w:rsidP="0085691E">
            <w:pPr>
              <w:spacing w:before="30" w:after="30"/>
            </w:pPr>
            <w:r>
              <w:t>Approved/ Accepted</w:t>
            </w:r>
          </w:p>
        </w:tc>
        <w:tc>
          <w:tcPr>
            <w:tcW w:w="1985"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101</w:t>
            </w:r>
          </w:p>
        </w:tc>
      </w:tr>
      <w:tr w:rsidR="00C2728C" w:rsidTr="0085691E">
        <w:tc>
          <w:tcPr>
            <w:cnfStyle w:val="001000000000" w:firstRow="0" w:lastRow="0" w:firstColumn="1" w:lastColumn="0" w:oddVBand="0" w:evenVBand="0" w:oddHBand="0" w:evenHBand="0" w:firstRowFirstColumn="0" w:firstRowLastColumn="0" w:lastRowFirstColumn="0" w:lastRowLastColumn="0"/>
            <w:tcW w:w="5245" w:type="dxa"/>
          </w:tcPr>
          <w:p w:rsidR="00C2728C" w:rsidRDefault="00C2728C" w:rsidP="0085691E">
            <w:pPr>
              <w:spacing w:before="30" w:after="30"/>
            </w:pPr>
            <w:r>
              <w:t>Rejected/ Lapsed</w:t>
            </w:r>
          </w:p>
        </w:tc>
        <w:tc>
          <w:tcPr>
            <w:tcW w:w="1985"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1820"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31</w:t>
            </w:r>
          </w:p>
        </w:tc>
      </w:tr>
      <w:tr w:rsidR="00C2728C" w:rsidTr="0085691E">
        <w:tc>
          <w:tcPr>
            <w:cnfStyle w:val="001000000000" w:firstRow="0" w:lastRow="0" w:firstColumn="1" w:lastColumn="0" w:oddVBand="0" w:evenVBand="0" w:oddHBand="0" w:evenHBand="0" w:firstRowFirstColumn="0" w:firstRowLastColumn="0" w:lastRowFirstColumn="0" w:lastRowLastColumn="0"/>
            <w:tcW w:w="5245" w:type="dxa"/>
          </w:tcPr>
          <w:p w:rsidR="00C2728C" w:rsidRDefault="00C2728C" w:rsidP="0085691E">
            <w:pPr>
              <w:spacing w:before="30" w:after="30"/>
            </w:pPr>
            <w:r>
              <w:t>Withdrawn</w:t>
            </w:r>
          </w:p>
        </w:tc>
        <w:tc>
          <w:tcPr>
            <w:tcW w:w="1985"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8</w:t>
            </w:r>
          </w:p>
        </w:tc>
        <w:tc>
          <w:tcPr>
            <w:tcW w:w="1820" w:type="dxa"/>
          </w:tcPr>
          <w:p w:rsidR="00C2728C" w:rsidRDefault="00C2728C" w:rsidP="00E80CB2">
            <w:pPr>
              <w:spacing w:before="30" w:after="30"/>
              <w:jc w:val="right"/>
              <w:cnfStyle w:val="000000000000" w:firstRow="0" w:lastRow="0" w:firstColumn="0" w:lastColumn="0" w:oddVBand="0" w:evenVBand="0" w:oddHBand="0" w:evenHBand="0" w:firstRowFirstColumn="0" w:firstRowLastColumn="0" w:lastRowFirstColumn="0" w:lastRowLastColumn="0"/>
            </w:pPr>
            <w:r>
              <w:t>89</w:t>
            </w:r>
          </w:p>
        </w:tc>
      </w:tr>
    </w:tbl>
    <w:p w:rsidR="003B3EC1" w:rsidRPr="00C2728C" w:rsidRDefault="003B3EC1" w:rsidP="00C2728C">
      <w:pPr>
        <w:pStyle w:val="Heading3"/>
        <w:spacing w:before="480"/>
        <w:rPr>
          <w:color w:val="auto"/>
        </w:rPr>
      </w:pPr>
      <w:bookmarkStart w:id="30" w:name="_Toc69725951"/>
      <w:r w:rsidRPr="00C2728C">
        <w:rPr>
          <w:color w:val="auto"/>
        </w:rPr>
        <w:t>7.</w:t>
      </w:r>
      <w:r w:rsidRPr="00C2728C">
        <w:rPr>
          <w:color w:val="auto"/>
        </w:rPr>
        <w:tab/>
        <w:t>Exports</w:t>
      </w:r>
      <w:bookmarkEnd w:id="30"/>
    </w:p>
    <w:p w:rsidR="003B3EC1" w:rsidRDefault="003B3EC1" w:rsidP="00C2728C">
      <w:pPr>
        <w:pStyle w:val="Tabletitle"/>
      </w:pPr>
      <w:r>
        <w:t xml:space="preserve">Table 27 </w:t>
      </w:r>
      <w:r>
        <w:tab/>
        <w:t>Approved applications for export-only medicines and export certifications and processing time for 1</w:t>
      </w:r>
      <w:r w:rsidR="00C2728C">
        <w:t xml:space="preserve"> July to 31 December</w:t>
      </w:r>
    </w:p>
    <w:tbl>
      <w:tblPr>
        <w:tblStyle w:val="TableTGAblue"/>
        <w:tblW w:w="0" w:type="auto"/>
        <w:tblLook w:val="04A0" w:firstRow="1" w:lastRow="0" w:firstColumn="1" w:lastColumn="0" w:noHBand="0" w:noVBand="1"/>
      </w:tblPr>
      <w:tblGrid>
        <w:gridCol w:w="1985"/>
        <w:gridCol w:w="1843"/>
        <w:gridCol w:w="1602"/>
        <w:gridCol w:w="1810"/>
        <w:gridCol w:w="1810"/>
      </w:tblGrid>
      <w:tr w:rsidR="00C2728C" w:rsidTr="00F0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left w:val="nil"/>
              <w:right w:val="single" w:sz="4" w:space="0" w:color="auto"/>
            </w:tcBorders>
            <w:shd w:val="clear" w:color="auto" w:fill="auto"/>
          </w:tcPr>
          <w:p w:rsidR="00C2728C" w:rsidRDefault="00C2728C" w:rsidP="00F06FA8">
            <w:pPr>
              <w:spacing w:before="30" w:after="30"/>
            </w:pPr>
          </w:p>
        </w:tc>
        <w:tc>
          <w:tcPr>
            <w:tcW w:w="1843" w:type="dxa"/>
            <w:vMerge w:val="restart"/>
            <w:tcBorders>
              <w:left w:val="single" w:sz="4" w:space="0" w:color="auto"/>
              <w:right w:val="single" w:sz="4" w:space="0" w:color="auto"/>
            </w:tcBorders>
            <w:shd w:val="clear" w:color="auto" w:fill="6481A0"/>
          </w:tcPr>
          <w:p w:rsidR="00C2728C" w:rsidRDefault="00C2728C" w:rsidP="00E80CB2">
            <w:pPr>
              <w:spacing w:before="30" w:after="30"/>
              <w:jc w:val="right"/>
              <w:cnfStyle w:val="100000000000" w:firstRow="1" w:lastRow="0" w:firstColumn="0" w:lastColumn="0" w:oddVBand="0" w:evenVBand="0" w:oddHBand="0" w:evenHBand="0" w:firstRowFirstColumn="0" w:firstRowLastColumn="0" w:lastRowFirstColumn="0" w:lastRowLastColumn="0"/>
            </w:pPr>
            <w:r>
              <w:t>Total approved</w:t>
            </w:r>
          </w:p>
        </w:tc>
        <w:tc>
          <w:tcPr>
            <w:tcW w:w="1602" w:type="dxa"/>
            <w:vMerge w:val="restart"/>
            <w:tcBorders>
              <w:left w:val="single" w:sz="4" w:space="0" w:color="auto"/>
              <w:right w:val="single" w:sz="4" w:space="0" w:color="auto"/>
            </w:tcBorders>
            <w:shd w:val="clear" w:color="auto" w:fill="6481A0"/>
          </w:tcPr>
          <w:p w:rsidR="00C2728C" w:rsidRDefault="00F06FA8" w:rsidP="00E80CB2">
            <w:pPr>
              <w:spacing w:before="30" w:after="30"/>
              <w:jc w:val="right"/>
              <w:cnfStyle w:val="100000000000" w:firstRow="1" w:lastRow="0" w:firstColumn="0" w:lastColumn="0" w:oddVBand="0" w:evenVBand="0" w:oddHBand="0" w:evenHBand="0" w:firstRowFirstColumn="0" w:firstRowLastColumn="0" w:lastRowFirstColumn="0" w:lastRowLastColumn="0"/>
            </w:pPr>
            <w:r>
              <w:t>Target processing time (days)</w:t>
            </w:r>
          </w:p>
        </w:tc>
        <w:tc>
          <w:tcPr>
            <w:tcW w:w="1810" w:type="dxa"/>
            <w:tcBorders>
              <w:left w:val="single" w:sz="4" w:space="0" w:color="auto"/>
              <w:right w:val="single" w:sz="4" w:space="0" w:color="auto"/>
            </w:tcBorders>
            <w:shd w:val="clear" w:color="auto" w:fill="6481A0"/>
          </w:tcPr>
          <w:p w:rsidR="00C2728C" w:rsidRDefault="00F06FA8"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10" w:type="dxa"/>
            <w:tcBorders>
              <w:left w:val="single" w:sz="4" w:space="0" w:color="auto"/>
            </w:tcBorders>
            <w:shd w:val="clear" w:color="auto" w:fill="6481A0"/>
          </w:tcPr>
          <w:p w:rsidR="00C2728C" w:rsidRDefault="00F06FA8"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C2728C" w:rsidTr="00F06FA8">
        <w:tc>
          <w:tcPr>
            <w:cnfStyle w:val="001000000000" w:firstRow="0" w:lastRow="0" w:firstColumn="1" w:lastColumn="0" w:oddVBand="0" w:evenVBand="0" w:oddHBand="0" w:evenHBand="0" w:firstRowFirstColumn="0" w:firstRowLastColumn="0" w:lastRowFirstColumn="0" w:lastRowLastColumn="0"/>
            <w:tcW w:w="1985" w:type="dxa"/>
            <w:vMerge/>
            <w:tcBorders>
              <w:left w:val="nil"/>
              <w:right w:val="single" w:sz="4" w:space="0" w:color="auto"/>
            </w:tcBorders>
          </w:tcPr>
          <w:p w:rsidR="00C2728C" w:rsidRDefault="00C2728C" w:rsidP="00F06FA8">
            <w:pPr>
              <w:spacing w:before="30" w:after="30"/>
            </w:pPr>
          </w:p>
        </w:tc>
        <w:tc>
          <w:tcPr>
            <w:tcW w:w="1843" w:type="dxa"/>
            <w:vMerge/>
            <w:tcBorders>
              <w:left w:val="single" w:sz="4" w:space="0" w:color="auto"/>
              <w:right w:val="single" w:sz="4" w:space="0" w:color="auto"/>
            </w:tcBorders>
          </w:tcPr>
          <w:p w:rsidR="00C2728C" w:rsidRDefault="00C2728C" w:rsidP="00F06FA8">
            <w:pPr>
              <w:spacing w:before="30" w:after="30"/>
              <w:cnfStyle w:val="000000000000" w:firstRow="0" w:lastRow="0" w:firstColumn="0" w:lastColumn="0" w:oddVBand="0" w:evenVBand="0" w:oddHBand="0" w:evenHBand="0" w:firstRowFirstColumn="0" w:firstRowLastColumn="0" w:lastRowFirstColumn="0" w:lastRowLastColumn="0"/>
            </w:pPr>
          </w:p>
        </w:tc>
        <w:tc>
          <w:tcPr>
            <w:tcW w:w="1602" w:type="dxa"/>
            <w:vMerge/>
            <w:tcBorders>
              <w:left w:val="single" w:sz="4" w:space="0" w:color="auto"/>
            </w:tcBorders>
          </w:tcPr>
          <w:p w:rsidR="00C2728C" w:rsidRDefault="00C2728C" w:rsidP="00F06FA8">
            <w:pPr>
              <w:spacing w:before="30" w:after="30"/>
              <w:cnfStyle w:val="000000000000" w:firstRow="0" w:lastRow="0" w:firstColumn="0" w:lastColumn="0" w:oddVBand="0" w:evenVBand="0" w:oddHBand="0" w:evenHBand="0" w:firstRowFirstColumn="0" w:firstRowLastColumn="0" w:lastRowFirstColumn="0" w:lastRowLastColumn="0"/>
            </w:pPr>
          </w:p>
        </w:tc>
        <w:tc>
          <w:tcPr>
            <w:tcW w:w="3620" w:type="dxa"/>
            <w:gridSpan w:val="2"/>
            <w:shd w:val="clear" w:color="auto" w:fill="D1DCEF"/>
          </w:tcPr>
          <w:p w:rsidR="00C2728C" w:rsidRPr="00F06FA8" w:rsidRDefault="00F06FA8"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F06FA8">
              <w:rPr>
                <w:b/>
              </w:rPr>
              <w:t>Average processing time (days)</w:t>
            </w:r>
          </w:p>
        </w:tc>
      </w:tr>
      <w:tr w:rsidR="00F06FA8" w:rsidTr="0085691E">
        <w:tc>
          <w:tcPr>
            <w:cnfStyle w:val="001000000000" w:firstRow="0" w:lastRow="0" w:firstColumn="1" w:lastColumn="0" w:oddVBand="0" w:evenVBand="0" w:oddHBand="0" w:evenHBand="0" w:firstRowFirstColumn="0" w:firstRowLastColumn="0" w:lastRowFirstColumn="0" w:lastRowLastColumn="0"/>
            <w:tcW w:w="9050" w:type="dxa"/>
            <w:gridSpan w:val="5"/>
            <w:shd w:val="clear" w:color="auto" w:fill="D1DCEF"/>
          </w:tcPr>
          <w:p w:rsidR="00F06FA8" w:rsidRPr="00F06FA8" w:rsidRDefault="00F06FA8" w:rsidP="00F06FA8">
            <w:pPr>
              <w:spacing w:before="30" w:after="30"/>
              <w:rPr>
                <w:b/>
              </w:rPr>
            </w:pPr>
            <w:r w:rsidRPr="00F06FA8">
              <w:rPr>
                <w:b/>
              </w:rPr>
              <w:t>Export-only medicines</w:t>
            </w:r>
          </w:p>
        </w:tc>
      </w:tr>
      <w:tr w:rsidR="00C2728C" w:rsidTr="00F06FA8">
        <w:tc>
          <w:tcPr>
            <w:cnfStyle w:val="001000000000" w:firstRow="0" w:lastRow="0" w:firstColumn="1" w:lastColumn="0" w:oddVBand="0" w:evenVBand="0" w:oddHBand="0" w:evenHBand="0" w:firstRowFirstColumn="0" w:firstRowLastColumn="0" w:lastRowFirstColumn="0" w:lastRowLastColumn="0"/>
            <w:tcW w:w="1985" w:type="dxa"/>
          </w:tcPr>
          <w:p w:rsidR="00C2728C" w:rsidRDefault="00F06FA8" w:rsidP="00F06FA8">
            <w:pPr>
              <w:spacing w:before="30" w:after="30"/>
            </w:pPr>
            <w:r>
              <w:t>New applications</w:t>
            </w:r>
          </w:p>
        </w:tc>
        <w:tc>
          <w:tcPr>
            <w:tcW w:w="1843"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227</w:t>
            </w:r>
          </w:p>
        </w:tc>
        <w:tc>
          <w:tcPr>
            <w:tcW w:w="1602"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30</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18</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24</w:t>
            </w:r>
          </w:p>
        </w:tc>
      </w:tr>
      <w:tr w:rsidR="00C2728C" w:rsidTr="00F06FA8">
        <w:tc>
          <w:tcPr>
            <w:cnfStyle w:val="001000000000" w:firstRow="0" w:lastRow="0" w:firstColumn="1" w:lastColumn="0" w:oddVBand="0" w:evenVBand="0" w:oddHBand="0" w:evenHBand="0" w:firstRowFirstColumn="0" w:firstRowLastColumn="0" w:lastRowFirstColumn="0" w:lastRowLastColumn="0"/>
            <w:tcW w:w="1985" w:type="dxa"/>
          </w:tcPr>
          <w:p w:rsidR="00C2728C" w:rsidRDefault="00F06FA8" w:rsidP="00F06FA8">
            <w:pPr>
              <w:spacing w:before="30" w:after="30"/>
            </w:pPr>
            <w:r>
              <w:t>Variation and grouping applications</w:t>
            </w:r>
          </w:p>
        </w:tc>
        <w:tc>
          <w:tcPr>
            <w:tcW w:w="1843"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95</w:t>
            </w:r>
          </w:p>
        </w:tc>
        <w:tc>
          <w:tcPr>
            <w:tcW w:w="1602"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30</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24</w:t>
            </w:r>
          </w:p>
        </w:tc>
      </w:tr>
      <w:tr w:rsidR="00F06FA8" w:rsidTr="00F06FA8">
        <w:tc>
          <w:tcPr>
            <w:cnfStyle w:val="001000000000" w:firstRow="0" w:lastRow="0" w:firstColumn="1" w:lastColumn="0" w:oddVBand="0" w:evenVBand="0" w:oddHBand="0" w:evenHBand="0" w:firstRowFirstColumn="0" w:firstRowLastColumn="0" w:lastRowFirstColumn="0" w:lastRowLastColumn="0"/>
            <w:tcW w:w="9050" w:type="dxa"/>
            <w:gridSpan w:val="5"/>
            <w:shd w:val="clear" w:color="auto" w:fill="D1DCEF"/>
          </w:tcPr>
          <w:p w:rsidR="00F06FA8" w:rsidRPr="00F06FA8" w:rsidRDefault="00F06FA8" w:rsidP="00F06FA8">
            <w:pPr>
              <w:spacing w:before="30" w:after="30"/>
              <w:rPr>
                <w:b/>
              </w:rPr>
            </w:pPr>
            <w:r w:rsidRPr="00F06FA8">
              <w:rPr>
                <w:b/>
              </w:rPr>
              <w:t>Export certification</w:t>
            </w:r>
          </w:p>
        </w:tc>
      </w:tr>
      <w:tr w:rsidR="00C2728C" w:rsidTr="00F06FA8">
        <w:tc>
          <w:tcPr>
            <w:cnfStyle w:val="001000000000" w:firstRow="0" w:lastRow="0" w:firstColumn="1" w:lastColumn="0" w:oddVBand="0" w:evenVBand="0" w:oddHBand="0" w:evenHBand="0" w:firstRowFirstColumn="0" w:firstRowLastColumn="0" w:lastRowFirstColumn="0" w:lastRowLastColumn="0"/>
            <w:tcW w:w="1985" w:type="dxa"/>
          </w:tcPr>
          <w:p w:rsidR="00C2728C" w:rsidRDefault="00F06FA8" w:rsidP="00F06FA8">
            <w:pPr>
              <w:spacing w:before="30" w:after="30"/>
            </w:pPr>
            <w:r>
              <w:t>Medicines</w:t>
            </w:r>
          </w:p>
        </w:tc>
        <w:tc>
          <w:tcPr>
            <w:tcW w:w="1843"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720</w:t>
            </w:r>
          </w:p>
        </w:tc>
        <w:tc>
          <w:tcPr>
            <w:tcW w:w="1602"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15</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w:t>
            </w:r>
          </w:p>
        </w:tc>
      </w:tr>
      <w:tr w:rsidR="00C2728C" w:rsidTr="00F06FA8">
        <w:tc>
          <w:tcPr>
            <w:cnfStyle w:val="001000000000" w:firstRow="0" w:lastRow="0" w:firstColumn="1" w:lastColumn="0" w:oddVBand="0" w:evenVBand="0" w:oddHBand="0" w:evenHBand="0" w:firstRowFirstColumn="0" w:firstRowLastColumn="0" w:lastRowFirstColumn="0" w:lastRowLastColumn="0"/>
            <w:tcW w:w="1985" w:type="dxa"/>
          </w:tcPr>
          <w:p w:rsidR="00C2728C" w:rsidRDefault="00F06FA8" w:rsidP="00F06FA8">
            <w:pPr>
              <w:spacing w:before="30" w:after="30"/>
            </w:pPr>
            <w:r>
              <w:t>Medical devices</w:t>
            </w:r>
          </w:p>
        </w:tc>
        <w:tc>
          <w:tcPr>
            <w:tcW w:w="1843"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452</w:t>
            </w:r>
          </w:p>
        </w:tc>
        <w:tc>
          <w:tcPr>
            <w:tcW w:w="1602"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4</w:t>
            </w:r>
          </w:p>
        </w:tc>
        <w:tc>
          <w:tcPr>
            <w:tcW w:w="1810" w:type="dxa"/>
          </w:tcPr>
          <w:p w:rsidR="00C2728C" w:rsidRDefault="00F06FA8" w:rsidP="00E80CB2">
            <w:pPr>
              <w:spacing w:before="30" w:after="30"/>
              <w:jc w:val="right"/>
              <w:cnfStyle w:val="000000000000" w:firstRow="0" w:lastRow="0" w:firstColumn="0" w:lastColumn="0" w:oddVBand="0" w:evenVBand="0" w:oddHBand="0" w:evenHBand="0" w:firstRowFirstColumn="0" w:firstRowLastColumn="0" w:lastRowFirstColumn="0" w:lastRowLastColumn="0"/>
            </w:pPr>
            <w:r>
              <w:t>9</w:t>
            </w:r>
          </w:p>
        </w:tc>
      </w:tr>
    </w:tbl>
    <w:p w:rsidR="003B3EC1" w:rsidRDefault="003B3EC1" w:rsidP="003B3EC1">
      <w:r>
        <w:t xml:space="preserve">The TGA issues permits for the export of human substances under regulation 8 of the </w:t>
      </w:r>
      <w:r w:rsidRPr="00F06FA8">
        <w:rPr>
          <w:i/>
        </w:rPr>
        <w:t>Customs (Prohibited Exports) Regulations 1958</w:t>
      </w:r>
      <w:r>
        <w:t>. ‘Human substances’ refers to goods of human origin which are human body fluids, organs and other tissues or subst</w:t>
      </w:r>
      <w:r w:rsidR="00F06FA8">
        <w:t>ances derived from human blood.</w:t>
      </w:r>
    </w:p>
    <w:p w:rsidR="003B3EC1" w:rsidRDefault="003B3EC1" w:rsidP="00C234E6">
      <w:pPr>
        <w:pStyle w:val="Tabletitle"/>
        <w:pageBreakBefore/>
        <w:ind w:left="992" w:hanging="992"/>
      </w:pPr>
      <w:r>
        <w:lastRenderedPageBreak/>
        <w:t xml:space="preserve">Table 28 </w:t>
      </w:r>
      <w:r>
        <w:tab/>
        <w:t>Number of issued permits for the export of human substances for 1 July to 31 December</w:t>
      </w:r>
    </w:p>
    <w:tbl>
      <w:tblPr>
        <w:tblStyle w:val="TableTGAblue"/>
        <w:tblW w:w="0" w:type="auto"/>
        <w:tblLook w:val="04A0" w:firstRow="1" w:lastRow="0" w:firstColumn="1" w:lastColumn="0" w:noHBand="0" w:noVBand="1"/>
      </w:tblPr>
      <w:tblGrid>
        <w:gridCol w:w="5245"/>
        <w:gridCol w:w="1985"/>
        <w:gridCol w:w="1820"/>
      </w:tblGrid>
      <w:tr w:rsidR="00627036" w:rsidTr="00627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627036" w:rsidRDefault="00627036" w:rsidP="0085691E">
            <w:pPr>
              <w:spacing w:before="30" w:after="30"/>
            </w:pPr>
          </w:p>
        </w:tc>
        <w:tc>
          <w:tcPr>
            <w:tcW w:w="1985" w:type="dxa"/>
            <w:tcBorders>
              <w:left w:val="single" w:sz="4" w:space="0" w:color="auto"/>
              <w:right w:val="single" w:sz="4" w:space="0" w:color="auto"/>
            </w:tcBorders>
            <w:shd w:val="clear" w:color="auto" w:fill="6481A0"/>
          </w:tcPr>
          <w:p w:rsidR="00627036" w:rsidRDefault="00627036"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627036" w:rsidRDefault="00627036"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627036"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627036" w:rsidRDefault="00627036" w:rsidP="0085691E">
            <w:pPr>
              <w:spacing w:before="30" w:after="30"/>
            </w:pPr>
          </w:p>
        </w:tc>
        <w:tc>
          <w:tcPr>
            <w:tcW w:w="3805" w:type="dxa"/>
            <w:gridSpan w:val="2"/>
            <w:shd w:val="clear" w:color="auto" w:fill="D1DCEF"/>
          </w:tcPr>
          <w:p w:rsidR="00627036" w:rsidRDefault="00627036"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627036" w:rsidRPr="00E761C3" w:rsidRDefault="00627036"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Pr>
                <w:b/>
              </w:rPr>
              <w:t>Total issued</w:t>
            </w:r>
          </w:p>
        </w:tc>
      </w:tr>
      <w:tr w:rsidR="00627036"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627036" w:rsidRPr="00627036" w:rsidRDefault="00627036" w:rsidP="0085691E">
            <w:pPr>
              <w:spacing w:before="30" w:after="30"/>
              <w:rPr>
                <w:b/>
              </w:rPr>
            </w:pPr>
            <w:r w:rsidRPr="00627036">
              <w:rPr>
                <w:b/>
                <w:color w:val="FFFFFF" w:themeColor="background1"/>
              </w:rPr>
              <w:t>Permit Type</w:t>
            </w:r>
          </w:p>
        </w:tc>
      </w:tr>
      <w:tr w:rsidR="00627036" w:rsidTr="0085691E">
        <w:tc>
          <w:tcPr>
            <w:cnfStyle w:val="001000000000" w:firstRow="0" w:lastRow="0" w:firstColumn="1" w:lastColumn="0" w:oddVBand="0" w:evenVBand="0" w:oddHBand="0" w:evenHBand="0" w:firstRowFirstColumn="0" w:firstRowLastColumn="0" w:lastRowFirstColumn="0" w:lastRowLastColumn="0"/>
            <w:tcW w:w="5245" w:type="dxa"/>
          </w:tcPr>
          <w:p w:rsidR="00627036" w:rsidRDefault="00627036" w:rsidP="0085691E">
            <w:pPr>
              <w:spacing w:before="30" w:after="30"/>
            </w:pPr>
            <w:r>
              <w:t>Annual permit</w:t>
            </w:r>
          </w:p>
        </w:tc>
        <w:tc>
          <w:tcPr>
            <w:tcW w:w="1985" w:type="dxa"/>
          </w:tcPr>
          <w:p w:rsidR="00627036" w:rsidRDefault="00627036" w:rsidP="00E80CB2">
            <w:pPr>
              <w:spacing w:before="30" w:after="30"/>
              <w:jc w:val="right"/>
              <w:cnfStyle w:val="000000000000" w:firstRow="0" w:lastRow="0" w:firstColumn="0" w:lastColumn="0" w:oddVBand="0" w:evenVBand="0" w:oddHBand="0" w:evenHBand="0" w:firstRowFirstColumn="0" w:firstRowLastColumn="0" w:lastRowFirstColumn="0" w:lastRowLastColumn="0"/>
            </w:pPr>
            <w:r>
              <w:t>29</w:t>
            </w:r>
          </w:p>
        </w:tc>
        <w:tc>
          <w:tcPr>
            <w:tcW w:w="1820" w:type="dxa"/>
          </w:tcPr>
          <w:p w:rsidR="00627036" w:rsidRDefault="00627036" w:rsidP="00E80CB2">
            <w:pPr>
              <w:spacing w:before="30" w:after="30"/>
              <w:jc w:val="right"/>
              <w:cnfStyle w:val="000000000000" w:firstRow="0" w:lastRow="0" w:firstColumn="0" w:lastColumn="0" w:oddVBand="0" w:evenVBand="0" w:oddHBand="0" w:evenHBand="0" w:firstRowFirstColumn="0" w:firstRowLastColumn="0" w:lastRowFirstColumn="0" w:lastRowLastColumn="0"/>
            </w:pPr>
            <w:r>
              <w:t>13</w:t>
            </w:r>
          </w:p>
        </w:tc>
      </w:tr>
      <w:tr w:rsidR="00627036" w:rsidTr="0085691E">
        <w:tc>
          <w:tcPr>
            <w:cnfStyle w:val="001000000000" w:firstRow="0" w:lastRow="0" w:firstColumn="1" w:lastColumn="0" w:oddVBand="0" w:evenVBand="0" w:oddHBand="0" w:evenHBand="0" w:firstRowFirstColumn="0" w:firstRowLastColumn="0" w:lastRowFirstColumn="0" w:lastRowLastColumn="0"/>
            <w:tcW w:w="5245" w:type="dxa"/>
          </w:tcPr>
          <w:p w:rsidR="00627036" w:rsidRDefault="00627036" w:rsidP="0085691E">
            <w:pPr>
              <w:spacing w:before="30" w:after="30"/>
            </w:pPr>
            <w:r>
              <w:t>Bone and tissue permit</w:t>
            </w:r>
          </w:p>
        </w:tc>
        <w:tc>
          <w:tcPr>
            <w:tcW w:w="1985" w:type="dxa"/>
          </w:tcPr>
          <w:p w:rsidR="00627036" w:rsidRDefault="00627036" w:rsidP="00E80CB2">
            <w:pPr>
              <w:spacing w:before="30" w:after="30"/>
              <w:jc w:val="right"/>
              <w:cnfStyle w:val="000000000000" w:firstRow="0" w:lastRow="0" w:firstColumn="0" w:lastColumn="0" w:oddVBand="0" w:evenVBand="0" w:oddHBand="0" w:evenHBand="0" w:firstRowFirstColumn="0" w:firstRowLastColumn="0" w:lastRowFirstColumn="0" w:lastRowLastColumn="0"/>
            </w:pPr>
            <w:r>
              <w:t>23</w:t>
            </w:r>
          </w:p>
        </w:tc>
        <w:tc>
          <w:tcPr>
            <w:tcW w:w="1820" w:type="dxa"/>
          </w:tcPr>
          <w:p w:rsidR="00627036" w:rsidRDefault="00627036" w:rsidP="00E80CB2">
            <w:pPr>
              <w:spacing w:before="30" w:after="30"/>
              <w:jc w:val="right"/>
              <w:cnfStyle w:val="000000000000" w:firstRow="0" w:lastRow="0" w:firstColumn="0" w:lastColumn="0" w:oddVBand="0" w:evenVBand="0" w:oddHBand="0" w:evenHBand="0" w:firstRowFirstColumn="0" w:firstRowLastColumn="0" w:lastRowFirstColumn="0" w:lastRowLastColumn="0"/>
            </w:pPr>
            <w:r>
              <w:t>38</w:t>
            </w:r>
          </w:p>
        </w:tc>
      </w:tr>
      <w:tr w:rsidR="00627036" w:rsidTr="0085691E">
        <w:tc>
          <w:tcPr>
            <w:cnfStyle w:val="001000000000" w:firstRow="0" w:lastRow="0" w:firstColumn="1" w:lastColumn="0" w:oddVBand="0" w:evenVBand="0" w:oddHBand="0" w:evenHBand="0" w:firstRowFirstColumn="0" w:firstRowLastColumn="0" w:lastRowFirstColumn="0" w:lastRowLastColumn="0"/>
            <w:tcW w:w="5245" w:type="dxa"/>
          </w:tcPr>
          <w:p w:rsidR="00627036" w:rsidRDefault="00627036" w:rsidP="0085691E">
            <w:pPr>
              <w:spacing w:before="30" w:after="30"/>
            </w:pPr>
            <w:r>
              <w:t>Blood fraction permits</w:t>
            </w:r>
          </w:p>
        </w:tc>
        <w:tc>
          <w:tcPr>
            <w:tcW w:w="1985" w:type="dxa"/>
          </w:tcPr>
          <w:p w:rsidR="00627036" w:rsidRDefault="00627036"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100</w:t>
            </w:r>
          </w:p>
        </w:tc>
        <w:tc>
          <w:tcPr>
            <w:tcW w:w="1820" w:type="dxa"/>
          </w:tcPr>
          <w:p w:rsidR="00627036" w:rsidRDefault="00627036" w:rsidP="00E80CB2">
            <w:pPr>
              <w:spacing w:before="30" w:after="30"/>
              <w:jc w:val="right"/>
              <w:cnfStyle w:val="000000000000" w:firstRow="0" w:lastRow="0" w:firstColumn="0" w:lastColumn="0" w:oddVBand="0" w:evenVBand="0" w:oddHBand="0" w:evenHBand="0" w:firstRowFirstColumn="0" w:firstRowLastColumn="0" w:lastRowFirstColumn="0" w:lastRowLastColumn="0"/>
            </w:pPr>
            <w:r>
              <w:t>21</w:t>
            </w:r>
          </w:p>
        </w:tc>
      </w:tr>
    </w:tbl>
    <w:p w:rsidR="003B3EC1" w:rsidRPr="00713CF4" w:rsidRDefault="003B3EC1" w:rsidP="00713CF4">
      <w:pPr>
        <w:pStyle w:val="Heading3"/>
        <w:pageBreakBefore/>
        <w:spacing w:before="0"/>
        <w:rPr>
          <w:color w:val="auto"/>
        </w:rPr>
      </w:pPr>
      <w:bookmarkStart w:id="31" w:name="_Toc69725952"/>
      <w:r w:rsidRPr="00713CF4">
        <w:rPr>
          <w:color w:val="auto"/>
        </w:rPr>
        <w:lastRenderedPageBreak/>
        <w:t>8.</w:t>
      </w:r>
      <w:r w:rsidRPr="00713CF4">
        <w:rPr>
          <w:color w:val="auto"/>
        </w:rPr>
        <w:tab/>
        <w:t>Access to unapproved therapeutic goods</w:t>
      </w:r>
      <w:bookmarkEnd w:id="31"/>
    </w:p>
    <w:p w:rsidR="003B3EC1" w:rsidRDefault="003B3EC1" w:rsidP="00713CF4">
      <w:pPr>
        <w:pStyle w:val="Heading4"/>
      </w:pPr>
      <w:bookmarkStart w:id="32" w:name="_Toc69725953"/>
      <w:r>
        <w:t>8.1. Special Access Scheme</w:t>
      </w:r>
      <w:bookmarkEnd w:id="32"/>
    </w:p>
    <w:p w:rsidR="003B3EC1" w:rsidRDefault="003B3EC1" w:rsidP="00713CF4">
      <w:pPr>
        <w:pStyle w:val="Tabletitle"/>
      </w:pPr>
      <w:r>
        <w:t xml:space="preserve">Table 29 </w:t>
      </w:r>
      <w:r>
        <w:tab/>
        <w:t>Completed applications and notifications for the Special Access Scheme for 1</w:t>
      </w:r>
      <w:r w:rsidR="00713CF4">
        <w:t> </w:t>
      </w:r>
      <w:r>
        <w:t>July to 31 December</w:t>
      </w:r>
    </w:p>
    <w:tbl>
      <w:tblPr>
        <w:tblStyle w:val="TableTGAblue"/>
        <w:tblW w:w="0" w:type="auto"/>
        <w:tblLook w:val="04A0" w:firstRow="1" w:lastRow="0" w:firstColumn="1" w:lastColumn="0" w:noHBand="0" w:noVBand="1"/>
      </w:tblPr>
      <w:tblGrid>
        <w:gridCol w:w="5245"/>
        <w:gridCol w:w="1985"/>
        <w:gridCol w:w="1820"/>
      </w:tblGrid>
      <w:tr w:rsidR="00713CF4"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713CF4" w:rsidRDefault="00713CF4" w:rsidP="0085691E">
            <w:pPr>
              <w:spacing w:before="30" w:after="30"/>
            </w:pPr>
          </w:p>
        </w:tc>
        <w:tc>
          <w:tcPr>
            <w:tcW w:w="1985" w:type="dxa"/>
            <w:tcBorders>
              <w:left w:val="single" w:sz="4" w:space="0" w:color="auto"/>
              <w:right w:val="single" w:sz="4" w:space="0" w:color="auto"/>
            </w:tcBorders>
            <w:shd w:val="clear" w:color="auto" w:fill="6481A0"/>
          </w:tcPr>
          <w:p w:rsidR="00713CF4" w:rsidRDefault="00713CF4"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713CF4" w:rsidRDefault="00713CF4"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00633B0F" w:rsidRPr="00633B0F">
              <w:rPr>
                <w:vertAlign w:val="superscript"/>
              </w:rPr>
              <w:t>a</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713CF4" w:rsidRDefault="00713CF4" w:rsidP="0085691E">
            <w:pPr>
              <w:spacing w:before="30" w:after="30"/>
            </w:pPr>
          </w:p>
        </w:tc>
        <w:tc>
          <w:tcPr>
            <w:tcW w:w="3805" w:type="dxa"/>
            <w:gridSpan w:val="2"/>
            <w:shd w:val="clear" w:color="auto" w:fill="D1DCEF"/>
          </w:tcPr>
          <w:p w:rsidR="00713CF4" w:rsidRDefault="00713CF4"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713CF4" w:rsidRPr="00713CF4" w:rsidRDefault="00713CF4"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713CF4">
              <w:rPr>
                <w:b/>
              </w:rPr>
              <w:t>Number (% of total)</w:t>
            </w:r>
          </w:p>
        </w:tc>
      </w:tr>
      <w:tr w:rsidR="00713CF4" w:rsidTr="0085691E">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713CF4" w:rsidRPr="00713CF4" w:rsidRDefault="00713CF4" w:rsidP="0085691E">
            <w:pPr>
              <w:spacing w:before="30" w:after="30"/>
              <w:rPr>
                <w:b/>
              </w:rPr>
            </w:pPr>
            <w:r w:rsidRPr="00713CF4">
              <w:rPr>
                <w:b/>
                <w:color w:val="FFFFFF" w:themeColor="background1"/>
              </w:rPr>
              <w:t>Medicines</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713CF4" w:rsidP="0085691E">
            <w:pPr>
              <w:spacing w:before="30" w:after="30"/>
            </w:pPr>
            <w:r>
              <w:t>Category A</w:t>
            </w:r>
          </w:p>
        </w:tc>
        <w:tc>
          <w:tcPr>
            <w:tcW w:w="1985"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23,859 (40%)</w:t>
            </w:r>
          </w:p>
        </w:tc>
        <w:tc>
          <w:tcPr>
            <w:tcW w:w="1820"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22,852 (31%)</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713CF4" w:rsidP="0085691E">
            <w:pPr>
              <w:spacing w:before="30" w:after="30"/>
            </w:pPr>
            <w:r>
              <w:t>Category B</w:t>
            </w:r>
            <w:r w:rsidRPr="00713CF4">
              <w:rPr>
                <w:vertAlign w:val="superscript"/>
              </w:rPr>
              <w:t>b</w:t>
            </w:r>
          </w:p>
        </w:tc>
        <w:tc>
          <w:tcPr>
            <w:tcW w:w="1985"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27,714 (46%)</w:t>
            </w:r>
          </w:p>
        </w:tc>
        <w:tc>
          <w:tcPr>
            <w:tcW w:w="1820"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45,820 (61%)</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713CF4" w:rsidP="0085691E">
            <w:pPr>
              <w:spacing w:before="30" w:after="30"/>
            </w:pPr>
            <w:r>
              <w:t>Category C</w:t>
            </w:r>
          </w:p>
        </w:tc>
        <w:tc>
          <w:tcPr>
            <w:tcW w:w="1985"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8,654 (14%)</w:t>
            </w:r>
          </w:p>
        </w:tc>
        <w:tc>
          <w:tcPr>
            <w:tcW w:w="1820"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6,288 (8%)</w:t>
            </w:r>
          </w:p>
        </w:tc>
      </w:tr>
      <w:tr w:rsidR="00713CF4" w:rsidTr="00713CF4">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713CF4" w:rsidRPr="00713CF4" w:rsidRDefault="00713CF4" w:rsidP="0085691E">
            <w:pPr>
              <w:spacing w:before="30" w:after="30"/>
              <w:rPr>
                <w:b/>
              </w:rPr>
            </w:pPr>
            <w:r w:rsidRPr="00713CF4">
              <w:rPr>
                <w:b/>
              </w:rPr>
              <w:t>Total</w:t>
            </w:r>
          </w:p>
        </w:tc>
        <w:tc>
          <w:tcPr>
            <w:tcW w:w="1985" w:type="dxa"/>
            <w:shd w:val="clear" w:color="auto" w:fill="D1DCEF"/>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60,227 (100%)</w:t>
            </w:r>
          </w:p>
        </w:tc>
        <w:tc>
          <w:tcPr>
            <w:tcW w:w="1820" w:type="dxa"/>
            <w:shd w:val="clear" w:color="auto" w:fill="D1DCEF"/>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75,140 (100%)</w:t>
            </w:r>
          </w:p>
        </w:tc>
      </w:tr>
      <w:tr w:rsidR="00713CF4" w:rsidTr="00713CF4">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713CF4" w:rsidRPr="00713CF4" w:rsidRDefault="00713CF4" w:rsidP="0085691E">
            <w:pPr>
              <w:spacing w:before="30" w:after="30"/>
              <w:rPr>
                <w:b/>
              </w:rPr>
            </w:pPr>
            <w:r w:rsidRPr="00713CF4">
              <w:rPr>
                <w:b/>
                <w:color w:val="FFFFFF" w:themeColor="background1"/>
              </w:rPr>
              <w:t>Medical devices</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713CF4" w:rsidP="0085691E">
            <w:pPr>
              <w:spacing w:before="30" w:after="30"/>
            </w:pPr>
            <w:r>
              <w:t>Category A</w:t>
            </w:r>
          </w:p>
        </w:tc>
        <w:tc>
          <w:tcPr>
            <w:tcW w:w="1985"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2,763 (57%)</w:t>
            </w:r>
          </w:p>
        </w:tc>
        <w:tc>
          <w:tcPr>
            <w:tcW w:w="1820"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2,397 (42%)</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713CF4" w:rsidP="0085691E">
            <w:pPr>
              <w:spacing w:before="30" w:after="30"/>
            </w:pPr>
            <w:r>
              <w:t>Category B</w:t>
            </w:r>
          </w:p>
        </w:tc>
        <w:tc>
          <w:tcPr>
            <w:tcW w:w="1985"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1,593 (33%)</w:t>
            </w:r>
          </w:p>
        </w:tc>
        <w:tc>
          <w:tcPr>
            <w:tcW w:w="1820"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2,922 (52%)</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713CF4" w:rsidP="0085691E">
            <w:pPr>
              <w:spacing w:before="30" w:after="30"/>
            </w:pPr>
            <w:r>
              <w:t>Category C</w:t>
            </w:r>
          </w:p>
        </w:tc>
        <w:tc>
          <w:tcPr>
            <w:tcW w:w="1985"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494 (10%)</w:t>
            </w:r>
          </w:p>
        </w:tc>
        <w:tc>
          <w:tcPr>
            <w:tcW w:w="1820" w:type="dxa"/>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330 (6%)</w:t>
            </w:r>
          </w:p>
        </w:tc>
      </w:tr>
      <w:tr w:rsidR="00713CF4" w:rsidTr="00713CF4">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713CF4" w:rsidRPr="00713CF4" w:rsidRDefault="00713CF4" w:rsidP="0085691E">
            <w:pPr>
              <w:spacing w:before="30" w:after="30"/>
              <w:rPr>
                <w:b/>
              </w:rPr>
            </w:pPr>
            <w:r w:rsidRPr="00713CF4">
              <w:rPr>
                <w:b/>
              </w:rPr>
              <w:t>Total</w:t>
            </w:r>
          </w:p>
        </w:tc>
        <w:tc>
          <w:tcPr>
            <w:tcW w:w="1985" w:type="dxa"/>
            <w:shd w:val="clear" w:color="auto" w:fill="D1DCEF"/>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4,850 (100%)</w:t>
            </w:r>
          </w:p>
        </w:tc>
        <w:tc>
          <w:tcPr>
            <w:tcW w:w="1820" w:type="dxa"/>
            <w:shd w:val="clear" w:color="auto" w:fill="D1DCEF"/>
          </w:tcPr>
          <w:p w:rsidR="00713CF4" w:rsidRDefault="00713CF4" w:rsidP="00E80CB2">
            <w:pPr>
              <w:spacing w:before="30" w:after="30"/>
              <w:jc w:val="right"/>
              <w:cnfStyle w:val="000000000000" w:firstRow="0" w:lastRow="0" w:firstColumn="0" w:lastColumn="0" w:oddVBand="0" w:evenVBand="0" w:oddHBand="0" w:evenHBand="0" w:firstRowFirstColumn="0" w:firstRowLastColumn="0" w:lastRowFirstColumn="0" w:lastRowLastColumn="0"/>
            </w:pPr>
            <w:r>
              <w:t>5,649 (100%)</w:t>
            </w:r>
          </w:p>
        </w:tc>
      </w:tr>
      <w:tr w:rsidR="00713CF4" w:rsidTr="00713CF4">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713CF4" w:rsidRPr="00713CF4" w:rsidRDefault="00713CF4" w:rsidP="0085691E">
            <w:pPr>
              <w:spacing w:before="30" w:after="30"/>
              <w:rPr>
                <w:b/>
              </w:rPr>
            </w:pPr>
            <w:r w:rsidRPr="00713CF4">
              <w:rPr>
                <w:b/>
                <w:color w:val="FFFFFF" w:themeColor="background1"/>
              </w:rPr>
              <w:t>Biologicals</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633B0F" w:rsidP="0085691E">
            <w:pPr>
              <w:spacing w:before="30" w:after="30"/>
            </w:pPr>
            <w:r>
              <w:t>Category A</w:t>
            </w:r>
          </w:p>
        </w:tc>
        <w:tc>
          <w:tcPr>
            <w:tcW w:w="1985" w:type="dxa"/>
          </w:tcPr>
          <w:p w:rsidR="00713CF4"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40 (5%)</w:t>
            </w:r>
          </w:p>
        </w:tc>
        <w:tc>
          <w:tcPr>
            <w:tcW w:w="1820" w:type="dxa"/>
          </w:tcPr>
          <w:p w:rsidR="00713CF4"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43 (9%)</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633B0F" w:rsidP="0085691E">
            <w:pPr>
              <w:spacing w:before="30" w:after="30"/>
            </w:pPr>
            <w:r>
              <w:t>Category B</w:t>
            </w:r>
          </w:p>
        </w:tc>
        <w:tc>
          <w:tcPr>
            <w:tcW w:w="1985" w:type="dxa"/>
          </w:tcPr>
          <w:p w:rsidR="00713CF4"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613 (77%)</w:t>
            </w:r>
          </w:p>
        </w:tc>
        <w:tc>
          <w:tcPr>
            <w:tcW w:w="1820" w:type="dxa"/>
          </w:tcPr>
          <w:p w:rsidR="00713CF4"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303 (62%)</w:t>
            </w:r>
          </w:p>
        </w:tc>
      </w:tr>
      <w:tr w:rsidR="00713CF4" w:rsidTr="0085691E">
        <w:tc>
          <w:tcPr>
            <w:cnfStyle w:val="001000000000" w:firstRow="0" w:lastRow="0" w:firstColumn="1" w:lastColumn="0" w:oddVBand="0" w:evenVBand="0" w:oddHBand="0" w:evenHBand="0" w:firstRowFirstColumn="0" w:firstRowLastColumn="0" w:lastRowFirstColumn="0" w:lastRowLastColumn="0"/>
            <w:tcW w:w="5245" w:type="dxa"/>
          </w:tcPr>
          <w:p w:rsidR="00713CF4" w:rsidRDefault="00633B0F" w:rsidP="0085691E">
            <w:pPr>
              <w:spacing w:before="30" w:after="30"/>
            </w:pPr>
            <w:r>
              <w:t>Category C</w:t>
            </w:r>
          </w:p>
        </w:tc>
        <w:tc>
          <w:tcPr>
            <w:tcW w:w="1985" w:type="dxa"/>
          </w:tcPr>
          <w:p w:rsidR="00713CF4"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142 (18%)</w:t>
            </w:r>
          </w:p>
        </w:tc>
        <w:tc>
          <w:tcPr>
            <w:tcW w:w="1820" w:type="dxa"/>
          </w:tcPr>
          <w:p w:rsidR="00713CF4"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144 (29%)</w:t>
            </w:r>
          </w:p>
        </w:tc>
      </w:tr>
      <w:tr w:rsidR="00633B0F" w:rsidTr="00633B0F">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633B0F" w:rsidRPr="00633B0F" w:rsidRDefault="00633B0F" w:rsidP="0085691E">
            <w:pPr>
              <w:spacing w:before="30" w:after="30"/>
              <w:rPr>
                <w:b/>
              </w:rPr>
            </w:pPr>
            <w:r w:rsidRPr="00633B0F">
              <w:rPr>
                <w:b/>
              </w:rPr>
              <w:t>Total</w:t>
            </w:r>
          </w:p>
        </w:tc>
        <w:tc>
          <w:tcPr>
            <w:tcW w:w="1985" w:type="dxa"/>
            <w:shd w:val="clear" w:color="auto" w:fill="D1DCEF"/>
          </w:tcPr>
          <w:p w:rsidR="00633B0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795 (100%)</w:t>
            </w:r>
          </w:p>
        </w:tc>
        <w:tc>
          <w:tcPr>
            <w:tcW w:w="1820" w:type="dxa"/>
            <w:shd w:val="clear" w:color="auto" w:fill="D1DCEF"/>
          </w:tcPr>
          <w:p w:rsidR="00633B0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490 (100%)</w:t>
            </w:r>
          </w:p>
        </w:tc>
      </w:tr>
    </w:tbl>
    <w:p w:rsidR="003B3EC1" w:rsidRDefault="003B3EC1" w:rsidP="00633B0F">
      <w:pPr>
        <w:pStyle w:val="FootnoteText"/>
        <w:spacing w:before="120"/>
      </w:pPr>
      <w:proofErr w:type="gramStart"/>
      <w:r w:rsidRPr="00633B0F">
        <w:rPr>
          <w:vertAlign w:val="superscript"/>
        </w:rPr>
        <w:t>a</w:t>
      </w:r>
      <w:proofErr w:type="gramEnd"/>
      <w:r>
        <w:t xml:space="preserve"> 16,535 additional SAS Category C notifications received from 1 July to 31 December 2020 and earlier are yet to be processed by the TGA.</w:t>
      </w:r>
    </w:p>
    <w:p w:rsidR="003B3EC1" w:rsidRDefault="003B3EC1" w:rsidP="00633B0F">
      <w:pPr>
        <w:pStyle w:val="FootnoteText"/>
        <w:spacing w:before="120"/>
      </w:pPr>
      <w:proofErr w:type="gramStart"/>
      <w:r w:rsidRPr="00633B0F">
        <w:rPr>
          <w:vertAlign w:val="superscript"/>
        </w:rPr>
        <w:t>b</w:t>
      </w:r>
      <w:proofErr w:type="gramEnd"/>
      <w:r>
        <w:t xml:space="preserve"> The increase in SAS Category B applications for medicines in 2020, when compared to 1 July to 31 December 2019, is attributable to increases in applications for unapproved medicinal cannabis products.</w:t>
      </w:r>
    </w:p>
    <w:p w:rsidR="003B3EC1" w:rsidRDefault="003B3EC1" w:rsidP="00633B0F">
      <w:pPr>
        <w:pStyle w:val="Heading4"/>
      </w:pPr>
      <w:bookmarkStart w:id="33" w:name="_Toc69725954"/>
      <w:r>
        <w:t>8.2. Authorised prescribers</w:t>
      </w:r>
      <w:bookmarkEnd w:id="33"/>
    </w:p>
    <w:p w:rsidR="003B3EC1" w:rsidRDefault="003B3EC1" w:rsidP="00633B0F">
      <w:pPr>
        <w:pStyle w:val="Tabletitle"/>
      </w:pPr>
      <w:r>
        <w:t>Table 30</w:t>
      </w:r>
      <w:r>
        <w:tab/>
        <w:t>Authorised prescriber approvals for medicines and medical devices for 1 July to 31 December</w:t>
      </w:r>
    </w:p>
    <w:tbl>
      <w:tblPr>
        <w:tblStyle w:val="TableTGAblue"/>
        <w:tblW w:w="0" w:type="auto"/>
        <w:tblLook w:val="04A0" w:firstRow="1" w:lastRow="0" w:firstColumn="1" w:lastColumn="0" w:noHBand="0" w:noVBand="1"/>
      </w:tblPr>
      <w:tblGrid>
        <w:gridCol w:w="5245"/>
        <w:gridCol w:w="1985"/>
        <w:gridCol w:w="1820"/>
      </w:tblGrid>
      <w:tr w:rsidR="00633B0F"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633B0F" w:rsidRDefault="00633B0F" w:rsidP="0085691E">
            <w:pPr>
              <w:spacing w:before="30" w:after="30"/>
            </w:pPr>
          </w:p>
        </w:tc>
        <w:tc>
          <w:tcPr>
            <w:tcW w:w="1985" w:type="dxa"/>
            <w:tcBorders>
              <w:left w:val="single" w:sz="4" w:space="0" w:color="auto"/>
              <w:right w:val="single" w:sz="4" w:space="0" w:color="auto"/>
            </w:tcBorders>
            <w:shd w:val="clear" w:color="auto" w:fill="6481A0"/>
          </w:tcPr>
          <w:p w:rsidR="00633B0F" w:rsidRDefault="00633B0F"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633B0F" w:rsidRDefault="00633B0F"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633B0F"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633B0F" w:rsidRDefault="00633B0F" w:rsidP="0085691E">
            <w:pPr>
              <w:spacing w:before="30" w:after="30"/>
            </w:pPr>
          </w:p>
        </w:tc>
        <w:tc>
          <w:tcPr>
            <w:tcW w:w="3805" w:type="dxa"/>
            <w:gridSpan w:val="2"/>
            <w:shd w:val="clear" w:color="auto" w:fill="D1DCEF"/>
          </w:tcPr>
          <w:p w:rsidR="00633B0F" w:rsidRDefault="00633B0F"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633B0F" w:rsidRPr="00633B0F" w:rsidRDefault="00633B0F"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633B0F" w:rsidTr="0085691E">
        <w:tc>
          <w:tcPr>
            <w:cnfStyle w:val="001000000000" w:firstRow="0" w:lastRow="0" w:firstColumn="1" w:lastColumn="0" w:oddVBand="0" w:evenVBand="0" w:oddHBand="0" w:evenHBand="0" w:firstRowFirstColumn="0" w:firstRowLastColumn="0" w:lastRowFirstColumn="0" w:lastRowLastColumn="0"/>
            <w:tcW w:w="5245" w:type="dxa"/>
          </w:tcPr>
          <w:p w:rsidR="00633B0F" w:rsidRDefault="00633B0F" w:rsidP="0085691E">
            <w:pPr>
              <w:spacing w:before="30" w:after="30"/>
            </w:pPr>
            <w:proofErr w:type="spellStart"/>
            <w:r>
              <w:t>Medicines</w:t>
            </w:r>
            <w:r w:rsidRPr="00633B0F">
              <w:rPr>
                <w:vertAlign w:val="superscript"/>
              </w:rPr>
              <w:t>a</w:t>
            </w:r>
            <w:proofErr w:type="spellEnd"/>
          </w:p>
        </w:tc>
        <w:tc>
          <w:tcPr>
            <w:tcW w:w="1985" w:type="dxa"/>
          </w:tcPr>
          <w:p w:rsidR="00633B0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446 (64%)</w:t>
            </w:r>
          </w:p>
        </w:tc>
        <w:tc>
          <w:tcPr>
            <w:tcW w:w="1820" w:type="dxa"/>
          </w:tcPr>
          <w:p w:rsidR="00633B0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1,832 (90%)</w:t>
            </w:r>
          </w:p>
        </w:tc>
      </w:tr>
      <w:tr w:rsidR="00633B0F" w:rsidTr="0085691E">
        <w:tc>
          <w:tcPr>
            <w:cnfStyle w:val="001000000000" w:firstRow="0" w:lastRow="0" w:firstColumn="1" w:lastColumn="0" w:oddVBand="0" w:evenVBand="0" w:oddHBand="0" w:evenHBand="0" w:firstRowFirstColumn="0" w:firstRowLastColumn="0" w:lastRowFirstColumn="0" w:lastRowLastColumn="0"/>
            <w:tcW w:w="5245" w:type="dxa"/>
          </w:tcPr>
          <w:p w:rsidR="00633B0F" w:rsidRDefault="00633B0F" w:rsidP="0085691E">
            <w:pPr>
              <w:spacing w:before="30" w:after="30"/>
            </w:pPr>
            <w:r>
              <w:t>Medical devices</w:t>
            </w:r>
          </w:p>
        </w:tc>
        <w:tc>
          <w:tcPr>
            <w:tcW w:w="1985" w:type="dxa"/>
          </w:tcPr>
          <w:p w:rsidR="00633B0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253 (36%)</w:t>
            </w:r>
          </w:p>
        </w:tc>
        <w:tc>
          <w:tcPr>
            <w:tcW w:w="1820" w:type="dxa"/>
          </w:tcPr>
          <w:p w:rsidR="00633B0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196 (10%)</w:t>
            </w:r>
          </w:p>
        </w:tc>
      </w:tr>
      <w:tr w:rsidR="00633B0F" w:rsidTr="00D14C2F">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633B0F" w:rsidRPr="00D14C2F" w:rsidRDefault="00633B0F" w:rsidP="0085691E">
            <w:pPr>
              <w:spacing w:before="30" w:after="30"/>
              <w:rPr>
                <w:b/>
                <w:color w:val="auto"/>
              </w:rPr>
            </w:pPr>
            <w:r w:rsidRPr="00D14C2F">
              <w:rPr>
                <w:b/>
                <w:color w:val="auto"/>
              </w:rPr>
              <w:t>Total</w:t>
            </w:r>
          </w:p>
        </w:tc>
        <w:tc>
          <w:tcPr>
            <w:tcW w:w="1985" w:type="dxa"/>
            <w:shd w:val="clear" w:color="auto" w:fill="D1DCEF"/>
          </w:tcPr>
          <w:p w:rsidR="00633B0F" w:rsidRPr="00D14C2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rsidRPr="00D14C2F">
              <w:rPr>
                <w:color w:val="auto"/>
              </w:rPr>
              <w:t>699 (100%)</w:t>
            </w:r>
          </w:p>
        </w:tc>
        <w:tc>
          <w:tcPr>
            <w:tcW w:w="1820" w:type="dxa"/>
            <w:shd w:val="clear" w:color="auto" w:fill="D1DCEF"/>
          </w:tcPr>
          <w:p w:rsidR="00633B0F" w:rsidRPr="00D14C2F" w:rsidRDefault="00633B0F" w:rsidP="00E80CB2">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rsidRPr="00D14C2F">
              <w:rPr>
                <w:color w:val="auto"/>
              </w:rPr>
              <w:t>2,028 (100%)</w:t>
            </w:r>
          </w:p>
        </w:tc>
      </w:tr>
    </w:tbl>
    <w:p w:rsidR="003B3EC1" w:rsidRDefault="003B3EC1" w:rsidP="00633B0F">
      <w:pPr>
        <w:pStyle w:val="FootnoteText"/>
        <w:spacing w:before="120"/>
      </w:pPr>
      <w:proofErr w:type="spellStart"/>
      <w:proofErr w:type="gramStart"/>
      <w:r w:rsidRPr="00633B0F">
        <w:rPr>
          <w:vertAlign w:val="superscript"/>
        </w:rPr>
        <w:t>a</w:t>
      </w:r>
      <w:proofErr w:type="spellEnd"/>
      <w:proofErr w:type="gramEnd"/>
      <w:r>
        <w:t xml:space="preserve"> The increase in Authorised Prescriber applications for medicines in 2020, when compared with 1 July to 1 December 2019, is attributable to increases in applications for unapproved medicinal cannabis products.</w:t>
      </w:r>
    </w:p>
    <w:p w:rsidR="003B3EC1" w:rsidRDefault="003B3EC1" w:rsidP="00633B0F">
      <w:pPr>
        <w:pStyle w:val="Heading4"/>
      </w:pPr>
      <w:bookmarkStart w:id="34" w:name="_Toc69725955"/>
      <w:r>
        <w:lastRenderedPageBreak/>
        <w:t>8.3. Clinical trials</w:t>
      </w:r>
      <w:bookmarkEnd w:id="34"/>
    </w:p>
    <w:p w:rsidR="003B3EC1" w:rsidRDefault="003B3EC1" w:rsidP="00633B0F">
      <w:pPr>
        <w:pStyle w:val="Tabletitle"/>
      </w:pPr>
      <w:r>
        <w:t xml:space="preserve">Table 31 </w:t>
      </w:r>
      <w:r>
        <w:tab/>
        <w:t>Notifications for new clinical trials received by therapeutic good type for 1</w:t>
      </w:r>
      <w:r w:rsidR="00633B0F">
        <w:t> </w:t>
      </w:r>
      <w:r>
        <w:t>July</w:t>
      </w:r>
      <w:r w:rsidR="00633B0F">
        <w:t> </w:t>
      </w:r>
      <w:r>
        <w:t>to 31 December</w:t>
      </w:r>
    </w:p>
    <w:tbl>
      <w:tblPr>
        <w:tblStyle w:val="TableTGAblue"/>
        <w:tblW w:w="0" w:type="auto"/>
        <w:tblLook w:val="04A0" w:firstRow="1" w:lastRow="0" w:firstColumn="1" w:lastColumn="0" w:noHBand="0" w:noVBand="1"/>
      </w:tblPr>
      <w:tblGrid>
        <w:gridCol w:w="5245"/>
        <w:gridCol w:w="1985"/>
        <w:gridCol w:w="1820"/>
      </w:tblGrid>
      <w:tr w:rsidR="00D14C2F"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D14C2F" w:rsidRDefault="00D14C2F" w:rsidP="0085691E">
            <w:pPr>
              <w:spacing w:before="30" w:after="30"/>
            </w:pPr>
          </w:p>
        </w:tc>
        <w:tc>
          <w:tcPr>
            <w:tcW w:w="1985" w:type="dxa"/>
            <w:tcBorders>
              <w:left w:val="single" w:sz="4" w:space="0" w:color="auto"/>
              <w:right w:val="single" w:sz="4" w:space="0" w:color="auto"/>
            </w:tcBorders>
            <w:shd w:val="clear" w:color="auto" w:fill="6481A0"/>
          </w:tcPr>
          <w:p w:rsidR="00D14C2F" w:rsidRDefault="00D14C2F"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D14C2F" w:rsidRDefault="00D14C2F"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D14C2F" w:rsidRDefault="00D14C2F" w:rsidP="0085691E">
            <w:pPr>
              <w:spacing w:before="30" w:after="30"/>
            </w:pPr>
          </w:p>
        </w:tc>
        <w:tc>
          <w:tcPr>
            <w:tcW w:w="3805" w:type="dxa"/>
            <w:gridSpan w:val="2"/>
            <w:shd w:val="clear" w:color="auto" w:fill="D1DCEF"/>
          </w:tcPr>
          <w:p w:rsidR="00D14C2F" w:rsidRDefault="00D14C2F"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D14C2F" w:rsidRPr="00633B0F" w:rsidRDefault="00D14C2F"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Medicine only</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205 (41%)</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245 (42%)</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Medical device only</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91 (18%)</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93 (16%)</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Biological only</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6 (1%)</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(1%)</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Medicine and medical device</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197 (40%)</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245 (42%)</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Medical device and biological</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Medicine and biological</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D14C2F" w:rsidTr="0085691E">
        <w:tc>
          <w:tcPr>
            <w:cnfStyle w:val="001000000000" w:firstRow="0" w:lastRow="0" w:firstColumn="1" w:lastColumn="0" w:oddVBand="0" w:evenVBand="0" w:oddHBand="0" w:evenHBand="0" w:firstRowFirstColumn="0" w:firstRowLastColumn="0" w:lastRowFirstColumn="0" w:lastRowLastColumn="0"/>
            <w:tcW w:w="5245" w:type="dxa"/>
          </w:tcPr>
          <w:p w:rsidR="00D14C2F" w:rsidRDefault="00D14C2F" w:rsidP="0085691E">
            <w:pPr>
              <w:spacing w:before="30" w:after="30"/>
            </w:pPr>
            <w:r>
              <w:t>Medicine, medical device and biological</w:t>
            </w:r>
          </w:p>
        </w:tc>
        <w:tc>
          <w:tcPr>
            <w:tcW w:w="1985"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D14C2F" w:rsidTr="00D14C2F">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D14C2F" w:rsidRPr="00D14C2F" w:rsidRDefault="00D14C2F" w:rsidP="0085691E">
            <w:pPr>
              <w:spacing w:before="30" w:after="30"/>
              <w:rPr>
                <w:b/>
                <w:color w:val="auto"/>
              </w:rPr>
            </w:pPr>
            <w:r w:rsidRPr="00D14C2F">
              <w:rPr>
                <w:b/>
                <w:color w:val="auto"/>
              </w:rPr>
              <w:t>Total</w:t>
            </w:r>
          </w:p>
        </w:tc>
        <w:tc>
          <w:tcPr>
            <w:tcW w:w="1985" w:type="dxa"/>
            <w:shd w:val="clear" w:color="auto" w:fill="D1DCEF"/>
          </w:tcPr>
          <w:p w:rsidR="00D14C2F" w:rsidRP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rPr>
                <w:b/>
                <w:i/>
                <w:color w:val="auto"/>
              </w:rPr>
            </w:pPr>
            <w:r>
              <w:t>499 (100%)</w:t>
            </w:r>
          </w:p>
        </w:tc>
        <w:tc>
          <w:tcPr>
            <w:tcW w:w="1820" w:type="dxa"/>
            <w:shd w:val="clear" w:color="auto" w:fill="D1DCEF"/>
          </w:tcPr>
          <w:p w:rsidR="00D14C2F" w:rsidRPr="00D14C2F" w:rsidRDefault="00D14C2F" w:rsidP="00E80CB2">
            <w:pPr>
              <w:spacing w:before="30" w:after="30"/>
              <w:jc w:val="right"/>
              <w:cnfStyle w:val="000000000000" w:firstRow="0" w:lastRow="0" w:firstColumn="0" w:lastColumn="0" w:oddVBand="0" w:evenVBand="0" w:oddHBand="0" w:evenHBand="0" w:firstRowFirstColumn="0" w:firstRowLastColumn="0" w:lastRowFirstColumn="0" w:lastRowLastColumn="0"/>
              <w:rPr>
                <w:b/>
                <w:i/>
                <w:color w:val="auto"/>
              </w:rPr>
            </w:pPr>
            <w:r>
              <w:t>585 (100%)</w:t>
            </w:r>
          </w:p>
        </w:tc>
      </w:tr>
    </w:tbl>
    <w:p w:rsidR="003B3EC1" w:rsidRDefault="003B3EC1" w:rsidP="003B3EC1">
      <w:r>
        <w:t xml:space="preserve">A trial may be notified with more than one phase type and not all trials are notified to the TGA by phase, </w:t>
      </w:r>
      <w:proofErr w:type="gramStart"/>
      <w:r>
        <w:t>therefore</w:t>
      </w:r>
      <w:proofErr w:type="gramEnd"/>
      <w:r>
        <w:t xml:space="preserve"> there may be a discrepancy between the numbers in Tables 24 and 25.</w:t>
      </w:r>
    </w:p>
    <w:p w:rsidR="003B3EC1" w:rsidRDefault="003B3EC1" w:rsidP="003D696C">
      <w:pPr>
        <w:pStyle w:val="Tabletitle"/>
      </w:pPr>
      <w:r>
        <w:t>Table 32</w:t>
      </w:r>
      <w:r>
        <w:tab/>
        <w:t>Notifications for new clinical trials received by phases for 1 July to 31</w:t>
      </w:r>
      <w:r w:rsidR="003D696C">
        <w:t> </w:t>
      </w:r>
      <w:proofErr w:type="spellStart"/>
      <w:r w:rsidR="003D696C">
        <w:t>December</w:t>
      </w:r>
      <w:r w:rsidR="003D696C" w:rsidRPr="003D696C">
        <w:rPr>
          <w:vertAlign w:val="superscript"/>
        </w:rPr>
        <w:t>a</w:t>
      </w:r>
      <w:proofErr w:type="spellEnd"/>
    </w:p>
    <w:tbl>
      <w:tblPr>
        <w:tblStyle w:val="TableTGAblue"/>
        <w:tblW w:w="0" w:type="auto"/>
        <w:tblLook w:val="04A0" w:firstRow="1" w:lastRow="0" w:firstColumn="1" w:lastColumn="0" w:noHBand="0" w:noVBand="1"/>
      </w:tblPr>
      <w:tblGrid>
        <w:gridCol w:w="5245"/>
        <w:gridCol w:w="1985"/>
        <w:gridCol w:w="1820"/>
      </w:tblGrid>
      <w:tr w:rsidR="003D696C"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3D696C" w:rsidRDefault="003D696C" w:rsidP="0085691E">
            <w:pPr>
              <w:spacing w:before="30" w:after="30"/>
            </w:pPr>
          </w:p>
        </w:tc>
        <w:tc>
          <w:tcPr>
            <w:tcW w:w="1985" w:type="dxa"/>
            <w:tcBorders>
              <w:left w:val="single" w:sz="4" w:space="0" w:color="auto"/>
              <w:right w:val="single" w:sz="4" w:space="0" w:color="auto"/>
            </w:tcBorders>
            <w:shd w:val="clear" w:color="auto" w:fill="6481A0"/>
          </w:tcPr>
          <w:p w:rsidR="003D696C" w:rsidRDefault="003D696C"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3D696C" w:rsidRDefault="003D696C"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3D696C" w:rsidRDefault="003D696C" w:rsidP="0085691E">
            <w:pPr>
              <w:spacing w:before="30" w:after="30"/>
            </w:pPr>
          </w:p>
        </w:tc>
        <w:tc>
          <w:tcPr>
            <w:tcW w:w="3805" w:type="dxa"/>
            <w:gridSpan w:val="2"/>
            <w:shd w:val="clear" w:color="auto" w:fill="D1DCEF"/>
          </w:tcPr>
          <w:p w:rsidR="003D696C" w:rsidRPr="00633B0F" w:rsidRDefault="003D696C"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Phase 1</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110</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131</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Phase 1 and 2 in combination</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24</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33</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Phase 2</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104</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128</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Phase 2 and 3 in combination</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Phase 3</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116</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148</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Phase 4</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32</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28</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Bioavailability / equivalence</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6</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4</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Other phases in combination</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w:t>
            </w:r>
          </w:p>
        </w:tc>
      </w:tr>
      <w:tr w:rsidR="003D696C" w:rsidTr="0085691E">
        <w:tc>
          <w:tcPr>
            <w:cnfStyle w:val="001000000000" w:firstRow="0" w:lastRow="0" w:firstColumn="1" w:lastColumn="0" w:oddVBand="0" w:evenVBand="0" w:oddHBand="0" w:evenHBand="0" w:firstRowFirstColumn="0" w:firstRowLastColumn="0" w:lastRowFirstColumn="0" w:lastRowLastColumn="0"/>
            <w:tcW w:w="5245" w:type="dxa"/>
          </w:tcPr>
          <w:p w:rsidR="003D696C" w:rsidRDefault="003D696C" w:rsidP="0085691E">
            <w:pPr>
              <w:spacing w:before="30" w:after="30"/>
            </w:pPr>
            <w:r>
              <w:t>Device only</w:t>
            </w:r>
          </w:p>
        </w:tc>
        <w:tc>
          <w:tcPr>
            <w:tcW w:w="1985"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95</w:t>
            </w:r>
          </w:p>
        </w:tc>
        <w:tc>
          <w:tcPr>
            <w:tcW w:w="1820" w:type="dxa"/>
          </w:tcPr>
          <w:p w:rsidR="003D696C" w:rsidRDefault="003D696C" w:rsidP="00E80CB2">
            <w:pPr>
              <w:spacing w:before="30" w:after="30"/>
              <w:jc w:val="right"/>
              <w:cnfStyle w:val="000000000000" w:firstRow="0" w:lastRow="0" w:firstColumn="0" w:lastColumn="0" w:oddVBand="0" w:evenVBand="0" w:oddHBand="0" w:evenHBand="0" w:firstRowFirstColumn="0" w:firstRowLastColumn="0" w:lastRowFirstColumn="0" w:lastRowLastColumn="0"/>
            </w:pPr>
            <w:r>
              <w:t>90</w:t>
            </w:r>
          </w:p>
        </w:tc>
      </w:tr>
    </w:tbl>
    <w:p w:rsidR="003B3EC1" w:rsidRDefault="003B3EC1" w:rsidP="003D696C">
      <w:pPr>
        <w:pStyle w:val="FootnoteText"/>
        <w:spacing w:before="120"/>
      </w:pPr>
      <w:proofErr w:type="gramStart"/>
      <w:r w:rsidRPr="003D696C">
        <w:rPr>
          <w:vertAlign w:val="superscript"/>
        </w:rPr>
        <w:t>a</w:t>
      </w:r>
      <w:proofErr w:type="gramEnd"/>
      <w:r>
        <w:t xml:space="preserve"> No clinical trials applications (CTX) were approved during 1 July to 31 December 2020. </w:t>
      </w:r>
    </w:p>
    <w:p w:rsidR="003B3EC1" w:rsidRDefault="003B3EC1" w:rsidP="003B3EC1">
      <w:r>
        <w:t xml:space="preserve">A trial may be notified with more than one phase type and not all trials are notified to the TGA by phase, as </w:t>
      </w:r>
      <w:proofErr w:type="gramStart"/>
      <w:r>
        <w:t>such</w:t>
      </w:r>
      <w:proofErr w:type="gramEnd"/>
      <w:r>
        <w:t xml:space="preserve"> there may be a discrepancy between the numbers in Tables 26 and 27</w:t>
      </w:r>
    </w:p>
    <w:p w:rsidR="003B3EC1" w:rsidRDefault="003B3EC1" w:rsidP="003D696C">
      <w:pPr>
        <w:pStyle w:val="Heading3"/>
        <w:pageBreakBefore/>
        <w:spacing w:before="0"/>
        <w:rPr>
          <w:color w:val="auto"/>
        </w:rPr>
      </w:pPr>
      <w:bookmarkStart w:id="35" w:name="_Toc69725956"/>
      <w:r w:rsidRPr="003D696C">
        <w:rPr>
          <w:color w:val="auto"/>
        </w:rPr>
        <w:lastRenderedPageBreak/>
        <w:t>9.</w:t>
      </w:r>
      <w:r w:rsidRPr="003D696C">
        <w:rPr>
          <w:color w:val="auto"/>
        </w:rPr>
        <w:tab/>
        <w:t>Licensing and manufacturing</w:t>
      </w:r>
      <w:bookmarkEnd w:id="35"/>
    </w:p>
    <w:p w:rsidR="003B3EC1" w:rsidRDefault="003B3EC1" w:rsidP="008A4F0A">
      <w:pPr>
        <w:pStyle w:val="Heading4"/>
      </w:pPr>
      <w:bookmarkStart w:id="36" w:name="_Toc69725957"/>
      <w:r>
        <w:t>Number of manufacturing inspections by outcome</w:t>
      </w:r>
      <w:bookmarkEnd w:id="36"/>
    </w:p>
    <w:p w:rsidR="003B3EC1" w:rsidRDefault="003B3EC1" w:rsidP="003B3EC1">
      <w:r>
        <w:t xml:space="preserve">Applicants often submit applications for GMP licences and certifications before finalising all of their systems and processes. The TGA works with the applicant to ensure an inspection </w:t>
      </w:r>
      <w:proofErr w:type="gramStart"/>
      <w:r>
        <w:t>is not conducted</w:t>
      </w:r>
      <w:proofErr w:type="gramEnd"/>
      <w:r>
        <w:t xml:space="preserve"> before the manufacturing facility is ready. It is therefore </w:t>
      </w:r>
      <w:proofErr w:type="gramStart"/>
      <w:r>
        <w:t>not uncommon</w:t>
      </w:r>
      <w:proofErr w:type="gramEnd"/>
      <w:r>
        <w:t xml:space="preserve"> for inspections to be conducted later than the target dates.</w:t>
      </w:r>
    </w:p>
    <w:p w:rsidR="003B3EC1" w:rsidRDefault="003B3EC1" w:rsidP="008A4F0A">
      <w:pPr>
        <w:pStyle w:val="Tabletitle"/>
      </w:pPr>
      <w:r>
        <w:t>Table 33</w:t>
      </w:r>
      <w:r>
        <w:tab/>
        <w:t>Medicines and blood, tissue and cellular therapies for 1 July to 31 December</w:t>
      </w:r>
    </w:p>
    <w:tbl>
      <w:tblPr>
        <w:tblStyle w:val="TableTGAblue"/>
        <w:tblW w:w="0" w:type="auto"/>
        <w:tblLook w:val="04A0" w:firstRow="1" w:lastRow="0" w:firstColumn="1" w:lastColumn="0" w:noHBand="0" w:noVBand="1"/>
      </w:tblPr>
      <w:tblGrid>
        <w:gridCol w:w="5245"/>
        <w:gridCol w:w="1985"/>
        <w:gridCol w:w="1820"/>
      </w:tblGrid>
      <w:tr w:rsidR="008A4F0A"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A4F0A" w:rsidRDefault="008A4F0A" w:rsidP="0085691E">
            <w:pPr>
              <w:spacing w:before="30" w:after="30"/>
            </w:pPr>
          </w:p>
        </w:tc>
        <w:tc>
          <w:tcPr>
            <w:tcW w:w="1985" w:type="dxa"/>
            <w:tcBorders>
              <w:left w:val="single" w:sz="4" w:space="0" w:color="auto"/>
              <w:right w:val="single" w:sz="4" w:space="0" w:color="auto"/>
            </w:tcBorders>
            <w:shd w:val="clear" w:color="auto" w:fill="6481A0"/>
          </w:tcPr>
          <w:p w:rsidR="008A4F0A" w:rsidRDefault="008A4F0A"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A4F0A" w:rsidRDefault="008A4F0A" w:rsidP="00542474">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A4F0A" w:rsidRDefault="008A4F0A" w:rsidP="0085691E">
            <w:pPr>
              <w:spacing w:before="30" w:after="30"/>
            </w:pPr>
          </w:p>
        </w:tc>
        <w:tc>
          <w:tcPr>
            <w:tcW w:w="3805" w:type="dxa"/>
            <w:gridSpan w:val="2"/>
            <w:shd w:val="clear" w:color="auto" w:fill="D1DCEF"/>
          </w:tcPr>
          <w:p w:rsidR="008A4F0A" w:rsidRPr="00633B0F" w:rsidRDefault="008A4F0A" w:rsidP="00E80CB2">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8A4F0A" w:rsidTr="008A4F0A">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ADBBD0"/>
          </w:tcPr>
          <w:p w:rsidR="008A4F0A" w:rsidRPr="008A4F0A" w:rsidRDefault="008A4F0A" w:rsidP="0085691E">
            <w:pPr>
              <w:spacing w:before="30" w:after="30"/>
              <w:rPr>
                <w:b/>
              </w:rPr>
            </w:pPr>
            <w:r w:rsidRPr="008A4F0A">
              <w:rPr>
                <w:b/>
                <w:color w:val="auto"/>
              </w:rPr>
              <w:t>Outcomes of inspections of Australian manufacturers</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Number of inspections conducted</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80</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64</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Satisfactory compliance (of completed inspections)</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47 (59%)</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44 (69%)</w:t>
            </w:r>
          </w:p>
        </w:tc>
      </w:tr>
      <w:tr w:rsidR="008A4F0A" w:rsidTr="008A4F0A">
        <w:tc>
          <w:tcPr>
            <w:cnfStyle w:val="001000000000" w:firstRow="0" w:lastRow="0" w:firstColumn="1" w:lastColumn="0" w:oddVBand="0" w:evenVBand="0" w:oddHBand="0" w:evenHBand="0" w:firstRowFirstColumn="0" w:firstRowLastColumn="0" w:lastRowFirstColumn="0" w:lastRowLastColumn="0"/>
            <w:tcW w:w="5245" w:type="dxa"/>
            <w:tcBorders>
              <w:bottom w:val="single" w:sz="8" w:space="0" w:color="002C47"/>
            </w:tcBorders>
          </w:tcPr>
          <w:p w:rsidR="008A4F0A" w:rsidRDefault="008A4F0A" w:rsidP="0085691E">
            <w:pPr>
              <w:spacing w:before="30" w:after="30"/>
            </w:pPr>
            <w:r>
              <w:t>Marginal compliance (of completed inspections)</w:t>
            </w:r>
          </w:p>
        </w:tc>
        <w:tc>
          <w:tcPr>
            <w:tcW w:w="1985" w:type="dxa"/>
            <w:tcBorders>
              <w:bottom w:val="single" w:sz="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 (18%)</w:t>
            </w:r>
          </w:p>
        </w:tc>
        <w:tc>
          <w:tcPr>
            <w:tcW w:w="1820" w:type="dxa"/>
            <w:tcBorders>
              <w:bottom w:val="single" w:sz="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7 (11%)</w:t>
            </w:r>
          </w:p>
        </w:tc>
      </w:tr>
      <w:tr w:rsidR="008A4F0A" w:rsidTr="008A4F0A">
        <w:tc>
          <w:tcPr>
            <w:cnfStyle w:val="001000000000" w:firstRow="0" w:lastRow="0" w:firstColumn="1" w:lastColumn="0" w:oddVBand="0" w:evenVBand="0" w:oddHBand="0" w:evenHBand="0" w:firstRowFirstColumn="0" w:firstRowLastColumn="0" w:lastRowFirstColumn="0" w:lastRowLastColumn="0"/>
            <w:tcW w:w="5245" w:type="dxa"/>
            <w:tcBorders>
              <w:bottom w:val="single" w:sz="18" w:space="0" w:color="002C47"/>
            </w:tcBorders>
          </w:tcPr>
          <w:p w:rsidR="008A4F0A" w:rsidRDefault="008A4F0A" w:rsidP="0085691E">
            <w:pPr>
              <w:spacing w:before="30" w:after="30"/>
            </w:pPr>
            <w:r>
              <w:t>Unacceptable (of completed inspections)</w:t>
            </w:r>
          </w:p>
        </w:tc>
        <w:tc>
          <w:tcPr>
            <w:tcW w:w="1985" w:type="dxa"/>
            <w:tcBorders>
              <w:bottom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5 (6%)</w:t>
            </w:r>
          </w:p>
        </w:tc>
        <w:tc>
          <w:tcPr>
            <w:tcW w:w="1820" w:type="dxa"/>
            <w:tcBorders>
              <w:bottom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2 (3%)</w:t>
            </w:r>
          </w:p>
        </w:tc>
      </w:tr>
      <w:tr w:rsidR="008A4F0A" w:rsidTr="008A4F0A">
        <w:tc>
          <w:tcPr>
            <w:cnfStyle w:val="001000000000" w:firstRow="0" w:lastRow="0" w:firstColumn="1" w:lastColumn="0" w:oddVBand="0" w:evenVBand="0" w:oddHBand="0" w:evenHBand="0" w:firstRowFirstColumn="0" w:firstRowLastColumn="0" w:lastRowFirstColumn="0" w:lastRowLastColumn="0"/>
            <w:tcW w:w="5245" w:type="dxa"/>
            <w:tcBorders>
              <w:top w:val="single" w:sz="18" w:space="0" w:color="002C47"/>
            </w:tcBorders>
          </w:tcPr>
          <w:p w:rsidR="008A4F0A" w:rsidRDefault="008A4F0A" w:rsidP="0085691E">
            <w:pPr>
              <w:spacing w:before="30" w:after="30"/>
            </w:pPr>
            <w:r>
              <w:t>Compliance under assessment at period end</w:t>
            </w:r>
          </w:p>
        </w:tc>
        <w:tc>
          <w:tcPr>
            <w:tcW w:w="1985" w:type="dxa"/>
            <w:tcBorders>
              <w:top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14 (18%)</w:t>
            </w:r>
          </w:p>
        </w:tc>
        <w:tc>
          <w:tcPr>
            <w:tcW w:w="1820" w:type="dxa"/>
            <w:tcBorders>
              <w:top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 (17%)</w:t>
            </w:r>
          </w:p>
        </w:tc>
      </w:tr>
      <w:tr w:rsidR="008A4F0A" w:rsidTr="00D653A9">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D8E2F0"/>
          </w:tcPr>
          <w:p w:rsidR="008A4F0A" w:rsidRPr="008A4F0A" w:rsidRDefault="008A4F0A" w:rsidP="0085691E">
            <w:pPr>
              <w:spacing w:before="30" w:after="30"/>
              <w:rPr>
                <w:b/>
                <w:color w:val="auto"/>
              </w:rPr>
            </w:pPr>
            <w:r w:rsidRPr="008A4F0A">
              <w:rPr>
                <w:b/>
                <w:color w:val="auto"/>
              </w:rPr>
              <w:t>Processing time</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Initial inspections conducted within 3 months of application</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 of 13 (85%)</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of 0 (0%)</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Re-inspections conducted within 6 months of due date</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31 of 46 (67%)</w:t>
            </w:r>
            <w:r>
              <w:tab/>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36 of 63 (57%)</w:t>
            </w:r>
            <w:r w:rsidRPr="008A4F0A">
              <w:rPr>
                <w:vertAlign w:val="superscript"/>
              </w:rPr>
              <w:t>a</w:t>
            </w:r>
          </w:p>
        </w:tc>
      </w:tr>
      <w:tr w:rsidR="008A4F0A" w:rsidTr="008A4F0A">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ADBBD0"/>
          </w:tcPr>
          <w:p w:rsidR="008A4F0A" w:rsidRPr="008A4F0A" w:rsidRDefault="008A4F0A" w:rsidP="0085691E">
            <w:pPr>
              <w:spacing w:before="30" w:after="30"/>
              <w:rPr>
                <w:b/>
                <w:color w:val="auto"/>
              </w:rPr>
            </w:pPr>
            <w:r w:rsidRPr="008A4F0A">
              <w:rPr>
                <w:b/>
                <w:color w:val="auto"/>
              </w:rPr>
              <w:t>Outcomes of inspections of overseas manufacturers</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Number of inspections conducted</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41 (100%)</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15</w:t>
            </w:r>
            <w:r w:rsidRPr="008A4F0A">
              <w:rPr>
                <w:vertAlign w:val="superscript"/>
              </w:rPr>
              <w:t>b</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Satisfactory compliance (of completed inspections)</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26 (63%)</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13 (7%)</w:t>
            </w:r>
          </w:p>
        </w:tc>
      </w:tr>
      <w:tr w:rsidR="008A4F0A" w:rsidTr="008A4F0A">
        <w:tc>
          <w:tcPr>
            <w:cnfStyle w:val="001000000000" w:firstRow="0" w:lastRow="0" w:firstColumn="1" w:lastColumn="0" w:oddVBand="0" w:evenVBand="0" w:oddHBand="0" w:evenHBand="0" w:firstRowFirstColumn="0" w:firstRowLastColumn="0" w:lastRowFirstColumn="0" w:lastRowLastColumn="0"/>
            <w:tcW w:w="5245" w:type="dxa"/>
            <w:tcBorders>
              <w:bottom w:val="single" w:sz="8" w:space="0" w:color="002C47"/>
            </w:tcBorders>
          </w:tcPr>
          <w:p w:rsidR="008A4F0A" w:rsidRDefault="008A4F0A" w:rsidP="0085691E">
            <w:pPr>
              <w:spacing w:before="30" w:after="30"/>
            </w:pPr>
            <w:r>
              <w:t>Marginal compliance (of completed inspections)</w:t>
            </w:r>
          </w:p>
        </w:tc>
        <w:tc>
          <w:tcPr>
            <w:tcW w:w="1985" w:type="dxa"/>
            <w:tcBorders>
              <w:bottom w:val="single" w:sz="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11 (27%)</w:t>
            </w:r>
          </w:p>
        </w:tc>
        <w:tc>
          <w:tcPr>
            <w:tcW w:w="1820" w:type="dxa"/>
            <w:tcBorders>
              <w:bottom w:val="single" w:sz="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(7%)</w:t>
            </w:r>
          </w:p>
        </w:tc>
      </w:tr>
      <w:tr w:rsidR="008A4F0A" w:rsidTr="008A4F0A">
        <w:tc>
          <w:tcPr>
            <w:cnfStyle w:val="001000000000" w:firstRow="0" w:lastRow="0" w:firstColumn="1" w:lastColumn="0" w:oddVBand="0" w:evenVBand="0" w:oddHBand="0" w:evenHBand="0" w:firstRowFirstColumn="0" w:firstRowLastColumn="0" w:lastRowFirstColumn="0" w:lastRowLastColumn="0"/>
            <w:tcW w:w="5245" w:type="dxa"/>
            <w:tcBorders>
              <w:bottom w:val="single" w:sz="18" w:space="0" w:color="002C47"/>
            </w:tcBorders>
          </w:tcPr>
          <w:p w:rsidR="008A4F0A" w:rsidRDefault="008A4F0A" w:rsidP="0085691E">
            <w:pPr>
              <w:spacing w:before="30" w:after="30"/>
            </w:pPr>
            <w:r>
              <w:t>Unacceptable (of completed inspections)</w:t>
            </w:r>
          </w:p>
        </w:tc>
        <w:tc>
          <w:tcPr>
            <w:tcW w:w="1985" w:type="dxa"/>
            <w:tcBorders>
              <w:bottom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c>
          <w:tcPr>
            <w:tcW w:w="1820" w:type="dxa"/>
            <w:tcBorders>
              <w:bottom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(0%)</w:t>
            </w:r>
          </w:p>
        </w:tc>
      </w:tr>
      <w:tr w:rsidR="008A4F0A" w:rsidTr="008A4F0A">
        <w:tc>
          <w:tcPr>
            <w:cnfStyle w:val="001000000000" w:firstRow="0" w:lastRow="0" w:firstColumn="1" w:lastColumn="0" w:oddVBand="0" w:evenVBand="0" w:oddHBand="0" w:evenHBand="0" w:firstRowFirstColumn="0" w:firstRowLastColumn="0" w:lastRowFirstColumn="0" w:lastRowLastColumn="0"/>
            <w:tcW w:w="5245" w:type="dxa"/>
            <w:tcBorders>
              <w:top w:val="single" w:sz="18" w:space="0" w:color="002C47"/>
            </w:tcBorders>
          </w:tcPr>
          <w:p w:rsidR="008A4F0A" w:rsidRDefault="008A4F0A" w:rsidP="0085691E">
            <w:pPr>
              <w:spacing w:before="30" w:after="30"/>
            </w:pPr>
            <w:r>
              <w:t>Compliance under assessment at period end</w:t>
            </w:r>
          </w:p>
        </w:tc>
        <w:tc>
          <w:tcPr>
            <w:tcW w:w="1985" w:type="dxa"/>
            <w:tcBorders>
              <w:top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4 (10%)</w:t>
            </w:r>
          </w:p>
        </w:tc>
        <w:tc>
          <w:tcPr>
            <w:tcW w:w="1820" w:type="dxa"/>
            <w:tcBorders>
              <w:top w:val="single" w:sz="18" w:space="0" w:color="002C47"/>
            </w:tcBorders>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(7%)</w:t>
            </w:r>
          </w:p>
        </w:tc>
      </w:tr>
      <w:tr w:rsidR="008A4F0A" w:rsidTr="00D653A9">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D8E2F0"/>
          </w:tcPr>
          <w:p w:rsidR="008A4F0A" w:rsidRPr="008A4F0A" w:rsidRDefault="008A4F0A" w:rsidP="0085691E">
            <w:pPr>
              <w:spacing w:before="30" w:after="30"/>
              <w:rPr>
                <w:b/>
              </w:rPr>
            </w:pPr>
            <w:r w:rsidRPr="008A4F0A">
              <w:rPr>
                <w:b/>
                <w:color w:val="auto"/>
              </w:rPr>
              <w:t>Processing time</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A4F0A">
            <w:pPr>
              <w:spacing w:before="30" w:after="30"/>
            </w:pPr>
            <w:r>
              <w:t>Initial certification inspections conducted within 6 months of application</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8 of 14 (57%)</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0 of 1 (0%)</w:t>
            </w:r>
            <w:r w:rsidRPr="008A4F0A">
              <w:rPr>
                <w:vertAlign w:val="superscript"/>
              </w:rPr>
              <w:t>a</w:t>
            </w:r>
          </w:p>
        </w:tc>
      </w:tr>
      <w:tr w:rsidR="008A4F0A" w:rsidTr="0085691E">
        <w:tc>
          <w:tcPr>
            <w:cnfStyle w:val="001000000000" w:firstRow="0" w:lastRow="0" w:firstColumn="1" w:lastColumn="0" w:oddVBand="0" w:evenVBand="0" w:oddHBand="0" w:evenHBand="0" w:firstRowFirstColumn="0" w:firstRowLastColumn="0" w:lastRowFirstColumn="0" w:lastRowLastColumn="0"/>
            <w:tcW w:w="5245" w:type="dxa"/>
          </w:tcPr>
          <w:p w:rsidR="008A4F0A" w:rsidRDefault="008A4F0A" w:rsidP="0085691E">
            <w:pPr>
              <w:spacing w:before="30" w:after="30"/>
            </w:pPr>
            <w:r>
              <w:t>Certification re-inspections conducted within 6 months of due date</w:t>
            </w:r>
          </w:p>
        </w:tc>
        <w:tc>
          <w:tcPr>
            <w:tcW w:w="1985"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17 of 22 (77%)</w:t>
            </w:r>
          </w:p>
        </w:tc>
        <w:tc>
          <w:tcPr>
            <w:tcW w:w="1820" w:type="dxa"/>
          </w:tcPr>
          <w:p w:rsidR="008A4F0A" w:rsidRDefault="008A4F0A" w:rsidP="00E80CB2">
            <w:pPr>
              <w:spacing w:before="30" w:after="30"/>
              <w:jc w:val="right"/>
              <w:cnfStyle w:val="000000000000" w:firstRow="0" w:lastRow="0" w:firstColumn="0" w:lastColumn="0" w:oddVBand="0" w:evenVBand="0" w:oddHBand="0" w:evenHBand="0" w:firstRowFirstColumn="0" w:firstRowLastColumn="0" w:lastRowFirstColumn="0" w:lastRowLastColumn="0"/>
            </w:pPr>
            <w:r>
              <w:t>1 of 12 (8%)</w:t>
            </w:r>
            <w:r w:rsidRPr="008A4F0A">
              <w:rPr>
                <w:vertAlign w:val="superscript"/>
              </w:rPr>
              <w:t>a</w:t>
            </w:r>
          </w:p>
        </w:tc>
      </w:tr>
    </w:tbl>
    <w:p w:rsidR="003B3EC1" w:rsidRDefault="003B3EC1" w:rsidP="008A4F0A">
      <w:pPr>
        <w:pStyle w:val="FootnoteText"/>
        <w:spacing w:before="120"/>
      </w:pPr>
      <w:proofErr w:type="spellStart"/>
      <w:r w:rsidRPr="008A4F0A">
        <w:rPr>
          <w:vertAlign w:val="superscript"/>
        </w:rPr>
        <w:t>a</w:t>
      </w:r>
      <w:proofErr w:type="spellEnd"/>
      <w:r>
        <w:t xml:space="preserve"> In the first 6 months of 2020 travel restrictions in response to the COVID-19 pandemic required the reprioritisation of all scheduled inspections, which resulted in delays of domestic re-inspections and overseas initial and re-inspections.</w:t>
      </w:r>
    </w:p>
    <w:p w:rsidR="003B3EC1" w:rsidRDefault="003B3EC1" w:rsidP="008A4F0A">
      <w:pPr>
        <w:pStyle w:val="FootnoteText"/>
        <w:spacing w:before="120"/>
      </w:pPr>
      <w:proofErr w:type="gramStart"/>
      <w:r w:rsidRPr="008A4F0A">
        <w:rPr>
          <w:vertAlign w:val="superscript"/>
        </w:rPr>
        <w:t>b</w:t>
      </w:r>
      <w:proofErr w:type="gramEnd"/>
      <w:r>
        <w:t xml:space="preserve"> The decline in the number of overseas inspections conducted is attributed to COVID-19 pandemic travel restrictions. Implementation of remote inspection processes following a short suspension of the overseas program has enables overseas inspections to continue.</w:t>
      </w:r>
    </w:p>
    <w:p w:rsidR="003B3EC1" w:rsidRDefault="003B3EC1" w:rsidP="00D653A9">
      <w:pPr>
        <w:pStyle w:val="Tabletitle"/>
      </w:pPr>
      <w:r>
        <w:lastRenderedPageBreak/>
        <w:t xml:space="preserve">Table 34 </w:t>
      </w:r>
      <w:r>
        <w:tab/>
        <w:t xml:space="preserve">Medical Devices Audits for 1 July to 31 December </w:t>
      </w:r>
    </w:p>
    <w:p w:rsidR="003B3EC1" w:rsidRDefault="003B3EC1" w:rsidP="00D653A9">
      <w:pPr>
        <w:keepNext/>
        <w:keepLines/>
      </w:pPr>
      <w:r>
        <w:t xml:space="preserve">We </w:t>
      </w:r>
      <w:proofErr w:type="gramStart"/>
      <w:r>
        <w:t>conduct assessments of</w:t>
      </w:r>
      <w:proofErr w:type="gramEnd"/>
      <w:r>
        <w:t xml:space="preserve"> applications received for Conformity Assessment Certification. It may be determined that an audit of one or more manufacturers included in the Conformity Assessment Application is required. The timeframes used below for calculation of conducted audits are from the date of notification of this requirement.</w:t>
      </w:r>
    </w:p>
    <w:p w:rsidR="003B3EC1" w:rsidRDefault="003B3EC1" w:rsidP="003B3EC1">
      <w:r>
        <w:t>The implementation of the Medical Device Single Audit Program (MDSAP) has enabled a reduction in the overall number of internal on-site audits required, substituted by a desktop assessment based on the MDSAP audit report.</w:t>
      </w:r>
    </w:p>
    <w:tbl>
      <w:tblPr>
        <w:tblStyle w:val="TableTGAblue"/>
        <w:tblW w:w="0" w:type="auto"/>
        <w:tblLook w:val="04A0" w:firstRow="1" w:lastRow="0" w:firstColumn="1" w:lastColumn="0" w:noHBand="0" w:noVBand="1"/>
      </w:tblPr>
      <w:tblGrid>
        <w:gridCol w:w="5245"/>
        <w:gridCol w:w="1985"/>
        <w:gridCol w:w="1820"/>
      </w:tblGrid>
      <w:tr w:rsidR="0084264D"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4264D" w:rsidRDefault="0084264D" w:rsidP="0085691E">
            <w:pPr>
              <w:spacing w:before="30" w:after="30"/>
            </w:pPr>
          </w:p>
        </w:tc>
        <w:tc>
          <w:tcPr>
            <w:tcW w:w="1985" w:type="dxa"/>
            <w:tcBorders>
              <w:left w:val="single" w:sz="4" w:space="0" w:color="auto"/>
              <w:right w:val="single" w:sz="4" w:space="0" w:color="auto"/>
            </w:tcBorders>
            <w:shd w:val="clear" w:color="auto" w:fill="6481A0"/>
          </w:tcPr>
          <w:p w:rsidR="0084264D" w:rsidRDefault="0084264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4264D" w:rsidRDefault="0084264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4264D" w:rsidRDefault="0084264D" w:rsidP="0085691E">
            <w:pPr>
              <w:spacing w:before="30" w:after="30"/>
            </w:pPr>
          </w:p>
        </w:tc>
        <w:tc>
          <w:tcPr>
            <w:tcW w:w="3805" w:type="dxa"/>
            <w:gridSpan w:val="2"/>
            <w:shd w:val="clear" w:color="auto" w:fill="D1DCEF"/>
          </w:tcPr>
          <w:p w:rsidR="0084264D" w:rsidRPr="00633B0F" w:rsidRDefault="0084264D" w:rsidP="00353B01">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84264D" w:rsidTr="0084264D">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84264D" w:rsidRPr="0084264D" w:rsidRDefault="0084264D" w:rsidP="0085691E">
            <w:pPr>
              <w:spacing w:before="30" w:after="30"/>
              <w:rPr>
                <w:b/>
              </w:rPr>
            </w:pPr>
            <w:r w:rsidRPr="0084264D">
              <w:rPr>
                <w:b/>
                <w:color w:val="FFFFFF" w:themeColor="background1"/>
              </w:rPr>
              <w:t>Quality Management System (QMS) Audits (domestic manufacturers)</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Number of audits conducted</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14</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8</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Satisfactory compliance (of completed audits)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28%</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13%</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Marginal compliance (of completed audits)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Unacceptable (of completed audits)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Close-out in progress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50%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88%</w:t>
            </w:r>
          </w:p>
        </w:tc>
      </w:tr>
      <w:tr w:rsidR="0084264D" w:rsidTr="0084264D">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D8E2F0"/>
          </w:tcPr>
          <w:p w:rsidR="0084264D" w:rsidRPr="0084264D" w:rsidRDefault="0084264D" w:rsidP="0085691E">
            <w:pPr>
              <w:spacing w:before="30" w:after="30"/>
              <w:rPr>
                <w:b/>
              </w:rPr>
            </w:pPr>
            <w:r w:rsidRPr="0084264D">
              <w:rPr>
                <w:b/>
              </w:rPr>
              <w:t>Processing time</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Initial audits conducted within 3 months of application</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33%</w:t>
            </w:r>
            <w:r w:rsidRPr="0084264D">
              <w:rPr>
                <w:vertAlign w:val="superscript"/>
              </w:rPr>
              <w:t>a</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100%</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Re-audits conducted within 6 months of due date</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27%</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84264D" w:rsidTr="0084264D">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84264D" w:rsidRPr="0084264D" w:rsidRDefault="0084264D" w:rsidP="0085691E">
            <w:pPr>
              <w:spacing w:before="30" w:after="30"/>
              <w:rPr>
                <w:b/>
              </w:rPr>
            </w:pPr>
            <w:r w:rsidRPr="0084264D">
              <w:rPr>
                <w:b/>
                <w:color w:val="FFFFFF" w:themeColor="background1"/>
              </w:rPr>
              <w:t>QMS Audits (overseas manufacturers)</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Number of audits conducted</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9</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r w:rsidRPr="0084264D">
              <w:rPr>
                <w:vertAlign w:val="superscript"/>
              </w:rPr>
              <w:t>a</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Satisfactory compliance (of completed audits)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11%</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r w:rsidRPr="0084264D">
              <w:rPr>
                <w:vertAlign w:val="superscript"/>
              </w:rPr>
              <w:t>a</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Marginal compliance (of completed audits)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r w:rsidRPr="0084264D">
              <w:rPr>
                <w:vertAlign w:val="superscript"/>
              </w:rPr>
              <w:t>a</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Unacceptable (of completed audits)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r w:rsidRPr="0084264D">
              <w:rPr>
                <w:vertAlign w:val="superscript"/>
              </w:rPr>
              <w:t>a</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Close-out in progress</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11%</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r w:rsidRPr="0084264D">
              <w:rPr>
                <w:vertAlign w:val="superscript"/>
              </w:rPr>
              <w:t>a</w:t>
            </w:r>
          </w:p>
        </w:tc>
      </w:tr>
      <w:tr w:rsidR="0084264D" w:rsidTr="0084264D">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D8E2F0"/>
          </w:tcPr>
          <w:p w:rsidR="0084264D" w:rsidRPr="0084264D" w:rsidRDefault="0084264D" w:rsidP="0085691E">
            <w:pPr>
              <w:spacing w:before="30" w:after="30"/>
              <w:rPr>
                <w:b/>
              </w:rPr>
            </w:pPr>
            <w:r w:rsidRPr="0084264D">
              <w:rPr>
                <w:b/>
              </w:rPr>
              <w:t>Processing time</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Initial certification audits conducted within 6 months of application</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50%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Certification re-audits conducted within 6 months of due date</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50%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0%</w:t>
            </w:r>
          </w:p>
        </w:tc>
      </w:tr>
    </w:tbl>
    <w:p w:rsidR="003B3EC1" w:rsidRDefault="003B3EC1" w:rsidP="0084264D">
      <w:pPr>
        <w:pStyle w:val="FootnoteText"/>
        <w:spacing w:before="120"/>
      </w:pPr>
      <w:proofErr w:type="gramStart"/>
      <w:r w:rsidRPr="0084264D">
        <w:rPr>
          <w:vertAlign w:val="superscript"/>
        </w:rPr>
        <w:t>a</w:t>
      </w:r>
      <w:proofErr w:type="gramEnd"/>
      <w:r>
        <w:t xml:space="preserve"> COVID-19 travel restrictions prevented QMS Audits of overseas manufacturers from 1 July to 31 December 2020. However, changed arrangements </w:t>
      </w:r>
      <w:proofErr w:type="gramStart"/>
      <w:r>
        <w:t>were implemented</w:t>
      </w:r>
      <w:proofErr w:type="gramEnd"/>
      <w:r>
        <w:t>, including delaying on-site audits where appropriate, and completing desktop assessment of the comparable regulator evidence, and undertaking remote audit.</w:t>
      </w:r>
    </w:p>
    <w:p w:rsidR="003B3EC1" w:rsidRDefault="003B3EC1" w:rsidP="0084264D">
      <w:pPr>
        <w:pStyle w:val="Tabletitle"/>
        <w:pageBreakBefore/>
        <w:ind w:left="992" w:hanging="992"/>
      </w:pPr>
      <w:r>
        <w:lastRenderedPageBreak/>
        <w:t xml:space="preserve">Table 35 </w:t>
      </w:r>
      <w:r>
        <w:tab/>
        <w:t>GMP clearance application s</w:t>
      </w:r>
      <w:r w:rsidR="0084264D">
        <w:t>tatus for 1 July to 31 December</w:t>
      </w:r>
    </w:p>
    <w:p w:rsidR="003B3EC1" w:rsidRDefault="003B3EC1" w:rsidP="003B3EC1">
      <w:r>
        <w:t>GMP clearance is required for all medicines supplied in Australia (unless exempt), including for products supplied to sponsors by overseas manufacturers.</w:t>
      </w:r>
    </w:p>
    <w:tbl>
      <w:tblPr>
        <w:tblStyle w:val="TableTGAblue"/>
        <w:tblW w:w="0" w:type="auto"/>
        <w:tblLook w:val="04A0" w:firstRow="1" w:lastRow="0" w:firstColumn="1" w:lastColumn="0" w:noHBand="0" w:noVBand="1"/>
      </w:tblPr>
      <w:tblGrid>
        <w:gridCol w:w="5245"/>
        <w:gridCol w:w="1985"/>
        <w:gridCol w:w="1820"/>
      </w:tblGrid>
      <w:tr w:rsidR="0084264D" w:rsidTr="00856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84264D" w:rsidRDefault="0084264D" w:rsidP="0085691E">
            <w:pPr>
              <w:spacing w:before="30" w:after="30"/>
            </w:pPr>
          </w:p>
        </w:tc>
        <w:tc>
          <w:tcPr>
            <w:tcW w:w="1985" w:type="dxa"/>
            <w:tcBorders>
              <w:left w:val="single" w:sz="4" w:space="0" w:color="auto"/>
              <w:right w:val="single" w:sz="4" w:space="0" w:color="auto"/>
            </w:tcBorders>
            <w:shd w:val="clear" w:color="auto" w:fill="6481A0"/>
          </w:tcPr>
          <w:p w:rsidR="0084264D" w:rsidRDefault="0084264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84264D" w:rsidRDefault="0084264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84264D" w:rsidRDefault="0084264D" w:rsidP="0085691E">
            <w:pPr>
              <w:spacing w:before="30" w:after="30"/>
            </w:pPr>
          </w:p>
        </w:tc>
        <w:tc>
          <w:tcPr>
            <w:tcW w:w="3805" w:type="dxa"/>
            <w:gridSpan w:val="2"/>
            <w:shd w:val="clear" w:color="auto" w:fill="D1DCEF"/>
          </w:tcPr>
          <w:p w:rsidR="0084264D" w:rsidRDefault="0084264D" w:rsidP="00062A41">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84264D" w:rsidRPr="00633B0F" w:rsidRDefault="0084264D" w:rsidP="00062A41">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Applications received</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2,948</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3,783</w:t>
            </w:r>
          </w:p>
        </w:tc>
      </w:tr>
      <w:tr w:rsidR="0084264D" w:rsidTr="0084264D">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ADBBD0"/>
          </w:tcPr>
          <w:p w:rsidR="0084264D" w:rsidRPr="0084264D" w:rsidRDefault="0084264D" w:rsidP="0085691E">
            <w:pPr>
              <w:spacing w:before="30" w:after="30"/>
              <w:rPr>
                <w:b/>
              </w:rPr>
            </w:pPr>
            <w:r w:rsidRPr="0084264D">
              <w:rPr>
                <w:b/>
              </w:rPr>
              <w:t>Applications completed</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Approved</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2,874 (90%)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3,317 (93%)</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tcPr>
          <w:p w:rsidR="0084264D" w:rsidRDefault="0084264D" w:rsidP="0085691E">
            <w:pPr>
              <w:spacing w:before="30" w:after="30"/>
            </w:pPr>
            <w:r>
              <w:t>Rejected</w:t>
            </w:r>
          </w:p>
        </w:tc>
        <w:tc>
          <w:tcPr>
            <w:tcW w:w="1985"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309 (10%)</w:t>
            </w:r>
          </w:p>
        </w:tc>
        <w:tc>
          <w:tcPr>
            <w:tcW w:w="1820" w:type="dxa"/>
          </w:tcPr>
          <w:p w:rsid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pPr>
            <w:r>
              <w:t>256 (7%)</w:t>
            </w:r>
          </w:p>
        </w:tc>
      </w:tr>
      <w:tr w:rsidR="0084264D" w:rsidTr="0085691E">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84264D" w:rsidRPr="0084264D" w:rsidRDefault="0084264D" w:rsidP="0085691E">
            <w:pPr>
              <w:spacing w:before="30" w:after="30"/>
              <w:rPr>
                <w:b/>
                <w:color w:val="auto"/>
              </w:rPr>
            </w:pPr>
            <w:r w:rsidRPr="0084264D">
              <w:rPr>
                <w:b/>
              </w:rPr>
              <w:t>Total completed</w:t>
            </w:r>
          </w:p>
        </w:tc>
        <w:tc>
          <w:tcPr>
            <w:tcW w:w="1985" w:type="dxa"/>
            <w:shd w:val="clear" w:color="auto" w:fill="D1DCEF"/>
          </w:tcPr>
          <w:p w:rsidR="0084264D" w:rsidRP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rsidRPr="0084264D">
              <w:t>3,183 (100%)</w:t>
            </w:r>
          </w:p>
        </w:tc>
        <w:tc>
          <w:tcPr>
            <w:tcW w:w="1820" w:type="dxa"/>
            <w:shd w:val="clear" w:color="auto" w:fill="D1DCEF"/>
          </w:tcPr>
          <w:p w:rsidR="0084264D" w:rsidRPr="0084264D" w:rsidRDefault="0084264D" w:rsidP="00353B01">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rsidRPr="0084264D">
              <w:t>3,573 (100%)</w:t>
            </w:r>
          </w:p>
        </w:tc>
      </w:tr>
    </w:tbl>
    <w:p w:rsidR="003B3EC1" w:rsidRDefault="003B3EC1" w:rsidP="0084264D">
      <w:pPr>
        <w:pStyle w:val="FootnoteText"/>
        <w:spacing w:before="120"/>
      </w:pPr>
      <w:proofErr w:type="spellStart"/>
      <w:r w:rsidRPr="0084264D">
        <w:rPr>
          <w:vertAlign w:val="superscript"/>
        </w:rPr>
        <w:t>a</w:t>
      </w:r>
      <w:proofErr w:type="spellEnd"/>
      <w:r>
        <w:t xml:space="preserve"> The July to December data for 2020 includes additional application types that were not reported on in 2019 such as transfers of sponsorship, name changes and GMP Clearances issued from TGA certificates. These additional application types account for an increase of almost 400 across both received and completed categories. In addition to this, </w:t>
      </w:r>
      <w:proofErr w:type="gramStart"/>
      <w:r>
        <w:t>as a result</w:t>
      </w:r>
      <w:proofErr w:type="gramEnd"/>
      <w:r>
        <w:t xml:space="preserve"> of the COVID-19 pandemic, we have seen significant increases in the number of extension and renewal applications.</w:t>
      </w:r>
    </w:p>
    <w:p w:rsidR="003B3EC1" w:rsidRDefault="003B3EC1" w:rsidP="0084264D">
      <w:pPr>
        <w:pStyle w:val="Tabletitle"/>
        <w:spacing w:before="360"/>
        <w:ind w:left="992" w:hanging="992"/>
      </w:pPr>
      <w:r>
        <w:t xml:space="preserve">Table 36 </w:t>
      </w:r>
      <w:r>
        <w:tab/>
        <w:t>Number of GMP Clearance applications received and completed by type for 1 July to 31 December 2020</w:t>
      </w:r>
    </w:p>
    <w:tbl>
      <w:tblPr>
        <w:tblStyle w:val="TableTGAblue"/>
        <w:tblW w:w="0" w:type="auto"/>
        <w:tblLook w:val="04A0" w:firstRow="1" w:lastRow="0" w:firstColumn="1" w:lastColumn="0" w:noHBand="0" w:noVBand="1"/>
      </w:tblPr>
      <w:tblGrid>
        <w:gridCol w:w="3016"/>
        <w:gridCol w:w="3017"/>
        <w:gridCol w:w="3017"/>
      </w:tblGrid>
      <w:tr w:rsidR="0084264D" w:rsidTr="00842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dxa"/>
            <w:shd w:val="clear" w:color="auto" w:fill="6481A0"/>
          </w:tcPr>
          <w:p w:rsidR="0084264D" w:rsidRDefault="0084264D" w:rsidP="0084264D">
            <w:pPr>
              <w:spacing w:before="30" w:after="30"/>
            </w:pPr>
            <w:r>
              <w:t>Application Category</w:t>
            </w:r>
          </w:p>
        </w:tc>
        <w:tc>
          <w:tcPr>
            <w:tcW w:w="3017" w:type="dxa"/>
            <w:shd w:val="clear" w:color="auto" w:fill="6481A0"/>
          </w:tcPr>
          <w:p w:rsidR="0084264D" w:rsidRDefault="0084264D" w:rsidP="00062A41">
            <w:pPr>
              <w:spacing w:before="30" w:after="30"/>
              <w:jc w:val="right"/>
              <w:cnfStyle w:val="100000000000" w:firstRow="1" w:lastRow="0" w:firstColumn="0" w:lastColumn="0" w:oddVBand="0" w:evenVBand="0" w:oddHBand="0" w:evenHBand="0" w:firstRowFirstColumn="0" w:firstRowLastColumn="0" w:lastRowFirstColumn="0" w:lastRowLastColumn="0"/>
            </w:pPr>
            <w:r>
              <w:t>Applications received</w:t>
            </w:r>
          </w:p>
        </w:tc>
        <w:tc>
          <w:tcPr>
            <w:tcW w:w="3017" w:type="dxa"/>
            <w:shd w:val="clear" w:color="auto" w:fill="6481A0"/>
          </w:tcPr>
          <w:p w:rsidR="0084264D" w:rsidRDefault="0084264D" w:rsidP="00062A41">
            <w:pPr>
              <w:spacing w:before="30" w:after="30"/>
              <w:jc w:val="right"/>
              <w:cnfStyle w:val="100000000000" w:firstRow="1" w:lastRow="0" w:firstColumn="0" w:lastColumn="0" w:oddVBand="0" w:evenVBand="0" w:oddHBand="0" w:evenHBand="0" w:firstRowFirstColumn="0" w:firstRowLastColumn="0" w:lastRowFirstColumn="0" w:lastRowLastColumn="0"/>
            </w:pPr>
            <w:r>
              <w:t>Applications completed</w:t>
            </w:r>
          </w:p>
        </w:tc>
      </w:tr>
      <w:tr w:rsidR="0084264D" w:rsidTr="0084264D">
        <w:tc>
          <w:tcPr>
            <w:cnfStyle w:val="001000000000" w:firstRow="0" w:lastRow="0" w:firstColumn="1" w:lastColumn="0" w:oddVBand="0" w:evenVBand="0" w:oddHBand="0" w:evenHBand="0" w:firstRowFirstColumn="0" w:firstRowLastColumn="0" w:lastRowFirstColumn="0" w:lastRowLastColumn="0"/>
            <w:tcW w:w="3016" w:type="dxa"/>
          </w:tcPr>
          <w:p w:rsidR="0084264D" w:rsidRDefault="0084264D" w:rsidP="0084264D">
            <w:pPr>
              <w:spacing w:before="30" w:after="30"/>
            </w:pPr>
            <w:r>
              <w:t>Cancel</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2</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2</w:t>
            </w:r>
          </w:p>
        </w:tc>
      </w:tr>
      <w:tr w:rsidR="0084264D" w:rsidTr="0084264D">
        <w:tc>
          <w:tcPr>
            <w:cnfStyle w:val="001000000000" w:firstRow="0" w:lastRow="0" w:firstColumn="1" w:lastColumn="0" w:oddVBand="0" w:evenVBand="0" w:oddHBand="0" w:evenHBand="0" w:firstRowFirstColumn="0" w:firstRowLastColumn="0" w:lastRowFirstColumn="0" w:lastRowLastColumn="0"/>
            <w:tcW w:w="3016" w:type="dxa"/>
          </w:tcPr>
          <w:p w:rsidR="0084264D" w:rsidRDefault="0084264D" w:rsidP="0084264D">
            <w:pPr>
              <w:spacing w:before="30" w:after="30"/>
            </w:pPr>
            <w:r>
              <w:t>Extend</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1,230</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1,211</w:t>
            </w:r>
          </w:p>
        </w:tc>
      </w:tr>
      <w:tr w:rsidR="0084264D" w:rsidTr="0084264D">
        <w:tc>
          <w:tcPr>
            <w:cnfStyle w:val="001000000000" w:firstRow="0" w:lastRow="0" w:firstColumn="1" w:lastColumn="0" w:oddVBand="0" w:evenVBand="0" w:oddHBand="0" w:evenHBand="0" w:firstRowFirstColumn="0" w:firstRowLastColumn="0" w:lastRowFirstColumn="0" w:lastRowLastColumn="0"/>
            <w:tcW w:w="3016" w:type="dxa"/>
          </w:tcPr>
          <w:p w:rsidR="0084264D" w:rsidRDefault="0084264D" w:rsidP="0084264D">
            <w:pPr>
              <w:spacing w:before="30" w:after="30"/>
            </w:pPr>
            <w:r>
              <w:t>New</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1,070</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953</w:t>
            </w:r>
          </w:p>
        </w:tc>
      </w:tr>
      <w:tr w:rsidR="0084264D" w:rsidTr="0084264D">
        <w:tc>
          <w:tcPr>
            <w:cnfStyle w:val="001000000000" w:firstRow="0" w:lastRow="0" w:firstColumn="1" w:lastColumn="0" w:oddVBand="0" w:evenVBand="0" w:oddHBand="0" w:evenHBand="0" w:firstRowFirstColumn="0" w:firstRowLastColumn="0" w:lastRowFirstColumn="0" w:lastRowLastColumn="0"/>
            <w:tcW w:w="3016" w:type="dxa"/>
          </w:tcPr>
          <w:p w:rsidR="0084264D" w:rsidRDefault="0084264D" w:rsidP="0084264D">
            <w:pPr>
              <w:spacing w:before="30" w:after="30"/>
            </w:pPr>
            <w:r>
              <w:t>Variation</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1,460</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1,387</w:t>
            </w:r>
          </w:p>
        </w:tc>
      </w:tr>
      <w:tr w:rsidR="0084264D" w:rsidTr="0084264D">
        <w:tc>
          <w:tcPr>
            <w:cnfStyle w:val="001000000000" w:firstRow="0" w:lastRow="0" w:firstColumn="1" w:lastColumn="0" w:oddVBand="0" w:evenVBand="0" w:oddHBand="0" w:evenHBand="0" w:firstRowFirstColumn="0" w:firstRowLastColumn="0" w:lastRowFirstColumn="0" w:lastRowLastColumn="0"/>
            <w:tcW w:w="3016" w:type="dxa"/>
          </w:tcPr>
          <w:p w:rsidR="0084264D" w:rsidRDefault="0084264D" w:rsidP="0084264D">
            <w:pPr>
              <w:spacing w:before="30" w:after="30"/>
            </w:pPr>
            <w:r>
              <w:t>Reinstatement</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21</w:t>
            </w:r>
          </w:p>
        </w:tc>
        <w:tc>
          <w:tcPr>
            <w:tcW w:w="3017" w:type="dxa"/>
          </w:tcPr>
          <w:p w:rsidR="0084264D" w:rsidRDefault="0084264D" w:rsidP="00062A41">
            <w:pPr>
              <w:spacing w:before="30" w:after="30"/>
              <w:jc w:val="right"/>
              <w:cnfStyle w:val="000000000000" w:firstRow="0" w:lastRow="0" w:firstColumn="0" w:lastColumn="0" w:oddVBand="0" w:evenVBand="0" w:oddHBand="0" w:evenHBand="0" w:firstRowFirstColumn="0" w:firstRowLastColumn="0" w:lastRowFirstColumn="0" w:lastRowLastColumn="0"/>
            </w:pPr>
            <w:r>
              <w:t>20</w:t>
            </w:r>
          </w:p>
        </w:tc>
      </w:tr>
    </w:tbl>
    <w:p w:rsidR="003B3EC1" w:rsidRDefault="003B3EC1" w:rsidP="0084264D">
      <w:pPr>
        <w:pStyle w:val="FootnoteText"/>
        <w:spacing w:before="120"/>
      </w:pPr>
      <w:proofErr w:type="spellStart"/>
      <w:proofErr w:type="gramStart"/>
      <w:r w:rsidRPr="0084264D">
        <w:rPr>
          <w:vertAlign w:val="superscript"/>
        </w:rPr>
        <w:t>a</w:t>
      </w:r>
      <w:proofErr w:type="spellEnd"/>
      <w:proofErr w:type="gramEnd"/>
      <w:r>
        <w:t xml:space="preserve"> The additional application types identified in table 29 are accounted for across the all of the above application categories with the exception of Cancel.</w:t>
      </w:r>
    </w:p>
    <w:p w:rsidR="003B3EC1" w:rsidRDefault="003B3EC1" w:rsidP="0085691E">
      <w:pPr>
        <w:pStyle w:val="Tabletitle"/>
        <w:spacing w:before="360"/>
        <w:ind w:left="992" w:hanging="992"/>
      </w:pPr>
      <w:r>
        <w:t xml:space="preserve">Table 37 </w:t>
      </w:r>
      <w:r>
        <w:tab/>
        <w:t>Number of Compliance Verification and Mutual Recognition Agreement applications actioned by pathway for 1 July to 31 December 2020</w:t>
      </w:r>
    </w:p>
    <w:tbl>
      <w:tblPr>
        <w:tblStyle w:val="TableTGAblue"/>
        <w:tblW w:w="0" w:type="auto"/>
        <w:tblLook w:val="04A0" w:firstRow="1" w:lastRow="0" w:firstColumn="1" w:lastColumn="0" w:noHBand="0" w:noVBand="1"/>
      </w:tblPr>
      <w:tblGrid>
        <w:gridCol w:w="2400"/>
        <w:gridCol w:w="1701"/>
        <w:gridCol w:w="1677"/>
        <w:gridCol w:w="1583"/>
        <w:gridCol w:w="1689"/>
      </w:tblGrid>
      <w:tr w:rsidR="0085691E" w:rsidTr="006403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shd w:val="clear" w:color="auto" w:fill="6481A0"/>
          </w:tcPr>
          <w:p w:rsidR="0085691E" w:rsidRDefault="0085691E" w:rsidP="003B3EC1">
            <w:r>
              <w:t>Pathway</w:t>
            </w:r>
          </w:p>
        </w:tc>
        <w:tc>
          <w:tcPr>
            <w:tcW w:w="1701" w:type="dxa"/>
            <w:shd w:val="clear" w:color="auto" w:fill="6481A0"/>
          </w:tcPr>
          <w:p w:rsidR="0085691E" w:rsidRDefault="0085691E" w:rsidP="00062A41">
            <w:pPr>
              <w:jc w:val="right"/>
              <w:cnfStyle w:val="100000000000" w:firstRow="1" w:lastRow="0" w:firstColumn="0" w:lastColumn="0" w:oddVBand="0" w:evenVBand="0" w:oddHBand="0" w:evenHBand="0" w:firstRowFirstColumn="0" w:firstRowLastColumn="0" w:lastRowFirstColumn="0" w:lastRowLastColumn="0"/>
            </w:pPr>
            <w:r>
              <w:t>Applications received</w:t>
            </w:r>
          </w:p>
        </w:tc>
        <w:tc>
          <w:tcPr>
            <w:tcW w:w="1677" w:type="dxa"/>
            <w:shd w:val="clear" w:color="auto" w:fill="6481A0"/>
          </w:tcPr>
          <w:p w:rsidR="0085691E" w:rsidRDefault="0085691E" w:rsidP="00062A41">
            <w:pPr>
              <w:jc w:val="right"/>
              <w:cnfStyle w:val="100000000000" w:firstRow="1" w:lastRow="0" w:firstColumn="0" w:lastColumn="0" w:oddVBand="0" w:evenVBand="0" w:oddHBand="0" w:evenHBand="0" w:firstRowFirstColumn="0" w:firstRowLastColumn="0" w:lastRowFirstColumn="0" w:lastRowLastColumn="0"/>
            </w:pPr>
            <w:r>
              <w:t xml:space="preserve">Applications </w:t>
            </w:r>
            <w:proofErr w:type="spellStart"/>
            <w:r>
              <w:t>completed</w:t>
            </w:r>
            <w:r w:rsidRPr="0085691E">
              <w:rPr>
                <w:vertAlign w:val="superscript"/>
              </w:rPr>
              <w:t>b</w:t>
            </w:r>
            <w:proofErr w:type="spellEnd"/>
          </w:p>
        </w:tc>
        <w:tc>
          <w:tcPr>
            <w:tcW w:w="1583" w:type="dxa"/>
            <w:shd w:val="clear" w:color="auto" w:fill="6481A0"/>
          </w:tcPr>
          <w:p w:rsidR="0085691E" w:rsidRDefault="0085691E" w:rsidP="00062A41">
            <w:pPr>
              <w:jc w:val="right"/>
              <w:cnfStyle w:val="100000000000" w:firstRow="1" w:lastRow="0" w:firstColumn="0" w:lastColumn="0" w:oddVBand="0" w:evenVBand="0" w:oddHBand="0" w:evenHBand="0" w:firstRowFirstColumn="0" w:firstRowLastColumn="0" w:lastRowFirstColumn="0" w:lastRowLastColumn="0"/>
            </w:pPr>
            <w:r>
              <w:t>Applications approved</w:t>
            </w:r>
          </w:p>
        </w:tc>
        <w:tc>
          <w:tcPr>
            <w:tcW w:w="1689" w:type="dxa"/>
            <w:shd w:val="clear" w:color="auto" w:fill="6481A0"/>
          </w:tcPr>
          <w:p w:rsidR="0085691E" w:rsidRDefault="0085691E" w:rsidP="00062A41">
            <w:pPr>
              <w:jc w:val="right"/>
              <w:cnfStyle w:val="100000000000" w:firstRow="1" w:lastRow="0" w:firstColumn="0" w:lastColumn="0" w:oddVBand="0" w:evenVBand="0" w:oddHBand="0" w:evenHBand="0" w:firstRowFirstColumn="0" w:firstRowLastColumn="0" w:lastRowFirstColumn="0" w:lastRowLastColumn="0"/>
            </w:pPr>
            <w:r>
              <w:t>Applications not approved</w:t>
            </w:r>
          </w:p>
        </w:tc>
      </w:tr>
      <w:tr w:rsidR="0085691E" w:rsidTr="006403B1">
        <w:tc>
          <w:tcPr>
            <w:cnfStyle w:val="001000000000" w:firstRow="0" w:lastRow="0" w:firstColumn="1" w:lastColumn="0" w:oddVBand="0" w:evenVBand="0" w:oddHBand="0" w:evenHBand="0" w:firstRowFirstColumn="0" w:firstRowLastColumn="0" w:lastRowFirstColumn="0" w:lastRowLastColumn="0"/>
            <w:tcW w:w="2400" w:type="dxa"/>
          </w:tcPr>
          <w:p w:rsidR="0085691E" w:rsidRDefault="006403B1" w:rsidP="003B3EC1">
            <w:r>
              <w:t xml:space="preserve">Compliance </w:t>
            </w:r>
            <w:proofErr w:type="spellStart"/>
            <w:r>
              <w:t>Verification</w:t>
            </w:r>
            <w:r w:rsidRPr="006403B1">
              <w:rPr>
                <w:vertAlign w:val="superscript"/>
              </w:rPr>
              <w:t>a</w:t>
            </w:r>
            <w:proofErr w:type="spellEnd"/>
          </w:p>
        </w:tc>
        <w:tc>
          <w:tcPr>
            <w:tcW w:w="1701"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745</w:t>
            </w:r>
          </w:p>
        </w:tc>
        <w:tc>
          <w:tcPr>
            <w:tcW w:w="1677"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678</w:t>
            </w:r>
          </w:p>
        </w:tc>
        <w:tc>
          <w:tcPr>
            <w:tcW w:w="1583"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629</w:t>
            </w:r>
          </w:p>
        </w:tc>
        <w:tc>
          <w:tcPr>
            <w:tcW w:w="1689"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47</w:t>
            </w:r>
          </w:p>
        </w:tc>
      </w:tr>
      <w:tr w:rsidR="0085691E" w:rsidTr="006403B1">
        <w:tc>
          <w:tcPr>
            <w:cnfStyle w:val="001000000000" w:firstRow="0" w:lastRow="0" w:firstColumn="1" w:lastColumn="0" w:oddVBand="0" w:evenVBand="0" w:oddHBand="0" w:evenHBand="0" w:firstRowFirstColumn="0" w:firstRowLastColumn="0" w:lastRowFirstColumn="0" w:lastRowLastColumn="0"/>
            <w:tcW w:w="2400" w:type="dxa"/>
          </w:tcPr>
          <w:p w:rsidR="0085691E" w:rsidRDefault="006403B1" w:rsidP="003B3EC1">
            <w:r>
              <w:t xml:space="preserve">Mutual Recognition </w:t>
            </w:r>
            <w:proofErr w:type="spellStart"/>
            <w:r>
              <w:t>Agreement</w:t>
            </w:r>
            <w:r w:rsidRPr="006403B1">
              <w:rPr>
                <w:vertAlign w:val="superscript"/>
              </w:rPr>
              <w:t>a</w:t>
            </w:r>
            <w:proofErr w:type="spellEnd"/>
          </w:p>
        </w:tc>
        <w:tc>
          <w:tcPr>
            <w:tcW w:w="1701"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1,436</w:t>
            </w:r>
          </w:p>
        </w:tc>
        <w:tc>
          <w:tcPr>
            <w:tcW w:w="1677"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1,319</w:t>
            </w:r>
          </w:p>
        </w:tc>
        <w:tc>
          <w:tcPr>
            <w:tcW w:w="1583"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1,251</w:t>
            </w:r>
          </w:p>
        </w:tc>
        <w:tc>
          <w:tcPr>
            <w:tcW w:w="1689" w:type="dxa"/>
          </w:tcPr>
          <w:p w:rsidR="0085691E" w:rsidRDefault="006403B1" w:rsidP="00062A41">
            <w:pPr>
              <w:jc w:val="right"/>
              <w:cnfStyle w:val="000000000000" w:firstRow="0" w:lastRow="0" w:firstColumn="0" w:lastColumn="0" w:oddVBand="0" w:evenVBand="0" w:oddHBand="0" w:evenHBand="0" w:firstRowFirstColumn="0" w:firstRowLastColumn="0" w:lastRowFirstColumn="0" w:lastRowLastColumn="0"/>
            </w:pPr>
            <w:r>
              <w:t>66</w:t>
            </w:r>
          </w:p>
        </w:tc>
      </w:tr>
    </w:tbl>
    <w:p w:rsidR="003B3EC1" w:rsidRDefault="003B3EC1" w:rsidP="006403B1">
      <w:pPr>
        <w:pStyle w:val="FootnoteText"/>
        <w:spacing w:before="120"/>
      </w:pPr>
      <w:proofErr w:type="spellStart"/>
      <w:r w:rsidRPr="006403B1">
        <w:rPr>
          <w:vertAlign w:val="superscript"/>
        </w:rPr>
        <w:t>a</w:t>
      </w:r>
      <w:proofErr w:type="spellEnd"/>
      <w:r>
        <w:t xml:space="preserve"> The figures shown in the table represent the number of normal Compliance Verification and Mutual Recognition Agreement applications, they do not account for extensions.</w:t>
      </w:r>
    </w:p>
    <w:p w:rsidR="003B3EC1" w:rsidRDefault="003B3EC1" w:rsidP="006403B1">
      <w:pPr>
        <w:pStyle w:val="FootnoteText"/>
        <w:spacing w:before="120"/>
      </w:pPr>
      <w:proofErr w:type="gramStart"/>
      <w:r w:rsidRPr="006403B1">
        <w:rPr>
          <w:vertAlign w:val="superscript"/>
        </w:rPr>
        <w:t>b</w:t>
      </w:r>
      <w:proofErr w:type="gramEnd"/>
      <w:r>
        <w:t xml:space="preserve"> The number of applications completed account for more outcomes than approval and rejection, such as withdrawals.</w:t>
      </w:r>
    </w:p>
    <w:p w:rsidR="003B3EC1" w:rsidRPr="006403B1" w:rsidRDefault="003B3EC1" w:rsidP="006403B1">
      <w:pPr>
        <w:pStyle w:val="Heading3"/>
        <w:rPr>
          <w:color w:val="auto"/>
        </w:rPr>
      </w:pPr>
      <w:bookmarkStart w:id="37" w:name="_Toc69725958"/>
      <w:r w:rsidRPr="006403B1">
        <w:rPr>
          <w:color w:val="auto"/>
        </w:rPr>
        <w:lastRenderedPageBreak/>
        <w:t>10.</w:t>
      </w:r>
      <w:r w:rsidRPr="006403B1">
        <w:rPr>
          <w:color w:val="auto"/>
        </w:rPr>
        <w:tab/>
        <w:t>Laboratory testing</w:t>
      </w:r>
      <w:bookmarkEnd w:id="37"/>
    </w:p>
    <w:p w:rsidR="003B3EC1" w:rsidRDefault="003B3EC1" w:rsidP="007E3728">
      <w:pPr>
        <w:pStyle w:val="Tabletitle"/>
      </w:pPr>
      <w:r>
        <w:t xml:space="preserve">Table 38 </w:t>
      </w:r>
      <w:r>
        <w:tab/>
        <w:t xml:space="preserve">Samples and products tested by type of therapeutic good and </w:t>
      </w:r>
      <w:proofErr w:type="gramStart"/>
      <w:r>
        <w:t>percentage which</w:t>
      </w:r>
      <w:proofErr w:type="gramEnd"/>
      <w:r>
        <w:t xml:space="preserve"> failed for 1 July to 31 December</w:t>
      </w:r>
    </w:p>
    <w:tbl>
      <w:tblPr>
        <w:tblStyle w:val="TableTGAblue"/>
        <w:tblW w:w="0" w:type="auto"/>
        <w:tblLook w:val="04A0" w:firstRow="1" w:lastRow="0" w:firstColumn="1" w:lastColumn="0" w:noHBand="0" w:noVBand="1"/>
      </w:tblPr>
      <w:tblGrid>
        <w:gridCol w:w="4820"/>
        <w:gridCol w:w="1134"/>
        <w:gridCol w:w="1134"/>
        <w:gridCol w:w="992"/>
        <w:gridCol w:w="970"/>
      </w:tblGrid>
      <w:tr w:rsidR="007E3728" w:rsidTr="007E3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Merge w:val="restart"/>
            <w:tcBorders>
              <w:top w:val="nil"/>
              <w:left w:val="nil"/>
              <w:right w:val="single" w:sz="4" w:space="0" w:color="auto"/>
            </w:tcBorders>
            <w:shd w:val="clear" w:color="auto" w:fill="auto"/>
          </w:tcPr>
          <w:p w:rsidR="007E3728" w:rsidRDefault="007E3728" w:rsidP="00353B01">
            <w:pPr>
              <w:spacing w:before="30" w:after="30"/>
            </w:pPr>
          </w:p>
        </w:tc>
        <w:tc>
          <w:tcPr>
            <w:tcW w:w="2268" w:type="dxa"/>
            <w:gridSpan w:val="2"/>
            <w:tcBorders>
              <w:left w:val="single" w:sz="4" w:space="0" w:color="auto"/>
              <w:right w:val="single" w:sz="4" w:space="0" w:color="auto"/>
            </w:tcBorders>
            <w:shd w:val="clear" w:color="auto" w:fill="6481A0"/>
          </w:tcPr>
          <w:p w:rsidR="007E3728" w:rsidRDefault="007E3728" w:rsidP="00277E36">
            <w:pPr>
              <w:spacing w:before="30" w:after="30"/>
              <w:jc w:val="center"/>
              <w:cnfStyle w:val="100000000000" w:firstRow="1" w:lastRow="0" w:firstColumn="0" w:lastColumn="0" w:oddVBand="0" w:evenVBand="0" w:oddHBand="0" w:evenHBand="0" w:firstRowFirstColumn="0" w:firstRowLastColumn="0" w:lastRowFirstColumn="0" w:lastRowLastColumn="0"/>
            </w:pPr>
            <w:r>
              <w:t>2019</w:t>
            </w:r>
          </w:p>
        </w:tc>
        <w:tc>
          <w:tcPr>
            <w:tcW w:w="1962" w:type="dxa"/>
            <w:gridSpan w:val="2"/>
            <w:tcBorders>
              <w:left w:val="single" w:sz="4" w:space="0" w:color="auto"/>
            </w:tcBorders>
            <w:shd w:val="clear" w:color="auto" w:fill="6481A0"/>
          </w:tcPr>
          <w:p w:rsidR="007E3728" w:rsidRDefault="007E3728" w:rsidP="00277E36">
            <w:pPr>
              <w:spacing w:before="30" w:after="30"/>
              <w:jc w:val="center"/>
              <w:cnfStyle w:val="100000000000" w:firstRow="1" w:lastRow="0" w:firstColumn="0" w:lastColumn="0" w:oddVBand="0" w:evenVBand="0" w:oddHBand="0" w:evenHBand="0" w:firstRowFirstColumn="0" w:firstRowLastColumn="0" w:lastRowFirstColumn="0" w:lastRowLastColumn="0"/>
            </w:pPr>
            <w:r>
              <w:t>2020</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vMerge/>
            <w:tcBorders>
              <w:left w:val="nil"/>
            </w:tcBorders>
          </w:tcPr>
          <w:p w:rsidR="007E3728" w:rsidRDefault="007E3728" w:rsidP="00353B01">
            <w:pPr>
              <w:spacing w:before="30" w:after="30"/>
            </w:pPr>
          </w:p>
        </w:tc>
        <w:tc>
          <w:tcPr>
            <w:tcW w:w="4230" w:type="dxa"/>
            <w:gridSpan w:val="4"/>
            <w:shd w:val="clear" w:color="auto" w:fill="D1DCEF"/>
          </w:tcPr>
          <w:p w:rsidR="007E3728" w:rsidRPr="00996C1C" w:rsidRDefault="007E3728"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D76B69">
              <w:rPr>
                <w:b/>
              </w:rPr>
              <w:t>1 July to 31 December</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shd w:val="clear" w:color="auto" w:fill="6481A0"/>
          </w:tcPr>
          <w:p w:rsidR="007E3728" w:rsidRPr="007E3728" w:rsidRDefault="007E3728" w:rsidP="00353B01">
            <w:pPr>
              <w:spacing w:before="30" w:after="30"/>
              <w:rPr>
                <w:b/>
                <w:color w:val="FFFFFF" w:themeColor="background1"/>
              </w:rPr>
            </w:pPr>
            <w:r w:rsidRPr="007E3728">
              <w:rPr>
                <w:b/>
                <w:color w:val="FFFFFF" w:themeColor="background1"/>
              </w:rPr>
              <w:t>Product type</w:t>
            </w:r>
          </w:p>
        </w:tc>
        <w:tc>
          <w:tcPr>
            <w:tcW w:w="1134" w:type="dxa"/>
            <w:shd w:val="clear" w:color="auto" w:fill="6481A0"/>
          </w:tcPr>
          <w:p w:rsidR="007E3728" w:rsidRP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E3728">
              <w:rPr>
                <w:b/>
                <w:color w:val="FFFFFF" w:themeColor="background1"/>
              </w:rPr>
              <w:t>Total</w:t>
            </w:r>
          </w:p>
        </w:tc>
        <w:tc>
          <w:tcPr>
            <w:tcW w:w="1134" w:type="dxa"/>
            <w:shd w:val="clear" w:color="auto" w:fill="6481A0"/>
          </w:tcPr>
          <w:p w:rsidR="007E3728" w:rsidRP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E3728">
              <w:rPr>
                <w:b/>
                <w:color w:val="FFFFFF" w:themeColor="background1"/>
              </w:rPr>
              <w:t>% fail</w:t>
            </w:r>
          </w:p>
        </w:tc>
        <w:tc>
          <w:tcPr>
            <w:tcW w:w="992" w:type="dxa"/>
            <w:shd w:val="clear" w:color="auto" w:fill="6481A0"/>
          </w:tcPr>
          <w:p w:rsidR="007E3728" w:rsidRP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E3728">
              <w:rPr>
                <w:b/>
                <w:color w:val="FFFFFF" w:themeColor="background1"/>
              </w:rPr>
              <w:t>Total</w:t>
            </w:r>
          </w:p>
        </w:tc>
        <w:tc>
          <w:tcPr>
            <w:tcW w:w="970" w:type="dxa"/>
            <w:shd w:val="clear" w:color="auto" w:fill="6481A0"/>
          </w:tcPr>
          <w:p w:rsidR="007E3728" w:rsidRP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E3728">
              <w:rPr>
                <w:b/>
                <w:color w:val="FFFFFF" w:themeColor="background1"/>
              </w:rPr>
              <w:t>% fail</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r>
              <w:t>Prescription medicines</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665</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16%</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347</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6%</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r>
              <w:t>OTC medicines</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14</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57%</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10</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10%</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r>
              <w:t>Complementary medicines</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121</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4%</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7</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57%</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r>
              <w:t>Medical devices</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119</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50%</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457</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63%</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r>
              <w:t>External/</w:t>
            </w:r>
            <w:proofErr w:type="spellStart"/>
            <w:r>
              <w:t>contract</w:t>
            </w:r>
            <w:r w:rsidRPr="007E3728">
              <w:rPr>
                <w:vertAlign w:val="superscript"/>
              </w:rPr>
              <w:t>a</w:t>
            </w:r>
            <w:proofErr w:type="spellEnd"/>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8</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13%</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18</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r>
              <w:t xml:space="preserve">Pacific Medicines Testing </w:t>
            </w:r>
            <w:proofErr w:type="spellStart"/>
            <w:r>
              <w:t>Program</w:t>
            </w:r>
            <w:r w:rsidRPr="007E3728">
              <w:rPr>
                <w:vertAlign w:val="superscript"/>
              </w:rPr>
              <w:t>b</w:t>
            </w:r>
            <w:proofErr w:type="spellEnd"/>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27</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37</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68%</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tcPr>
          <w:p w:rsidR="007E3728" w:rsidRDefault="007E3728" w:rsidP="00353B01">
            <w:pPr>
              <w:spacing w:before="30" w:after="30"/>
            </w:pPr>
            <w:proofErr w:type="spellStart"/>
            <w:r>
              <w:t>Unregistered</w:t>
            </w:r>
            <w:r w:rsidRPr="007E3728">
              <w:rPr>
                <w:vertAlign w:val="superscript"/>
              </w:rPr>
              <w:t>c</w:t>
            </w:r>
            <w:proofErr w:type="spellEnd"/>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236</w:t>
            </w:r>
          </w:p>
        </w:tc>
        <w:tc>
          <w:tcPr>
            <w:tcW w:w="1134"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16%</w:t>
            </w:r>
          </w:p>
        </w:tc>
        <w:tc>
          <w:tcPr>
            <w:tcW w:w="992"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92</w:t>
            </w:r>
          </w:p>
        </w:tc>
        <w:tc>
          <w:tcPr>
            <w:tcW w:w="970" w:type="dxa"/>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35%</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shd w:val="clear" w:color="auto" w:fill="D1DCEF"/>
          </w:tcPr>
          <w:p w:rsidR="007E3728" w:rsidRPr="007E3728" w:rsidRDefault="007E3728" w:rsidP="00353B01">
            <w:pPr>
              <w:spacing w:before="30" w:after="30"/>
              <w:rPr>
                <w:b/>
              </w:rPr>
            </w:pPr>
            <w:r w:rsidRPr="007E3728">
              <w:rPr>
                <w:b/>
              </w:rPr>
              <w:t>Total samples (excluding AHQ samples)</w:t>
            </w:r>
            <w:r w:rsidRPr="007E3728">
              <w:rPr>
                <w:b/>
                <w:vertAlign w:val="superscript"/>
              </w:rPr>
              <w:t>c</w:t>
            </w:r>
          </w:p>
        </w:tc>
        <w:tc>
          <w:tcPr>
            <w:tcW w:w="1134"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1,190</w:t>
            </w:r>
          </w:p>
        </w:tc>
        <w:tc>
          <w:tcPr>
            <w:tcW w:w="1134"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18%</w:t>
            </w:r>
          </w:p>
        </w:tc>
        <w:tc>
          <w:tcPr>
            <w:tcW w:w="992"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1,438</w:t>
            </w:r>
          </w:p>
        </w:tc>
        <w:tc>
          <w:tcPr>
            <w:tcW w:w="970"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43%</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shd w:val="clear" w:color="auto" w:fill="D1DCEF"/>
          </w:tcPr>
          <w:p w:rsidR="007E3728" w:rsidRPr="007E3728" w:rsidRDefault="007E3728" w:rsidP="00353B01">
            <w:pPr>
              <w:spacing w:before="30" w:after="30"/>
              <w:rPr>
                <w:b/>
              </w:rPr>
            </w:pPr>
            <w:r w:rsidRPr="007E3728">
              <w:rPr>
                <w:b/>
              </w:rPr>
              <w:t>Total samples (including AHQ samples)</w:t>
            </w:r>
            <w:r w:rsidRPr="007E3728">
              <w:rPr>
                <w:b/>
                <w:vertAlign w:val="superscript"/>
              </w:rPr>
              <w:t>d</w:t>
            </w:r>
          </w:p>
        </w:tc>
        <w:tc>
          <w:tcPr>
            <w:tcW w:w="1134"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1,435</w:t>
            </w:r>
          </w:p>
        </w:tc>
        <w:tc>
          <w:tcPr>
            <w:tcW w:w="1134"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15%</w:t>
            </w:r>
          </w:p>
        </w:tc>
        <w:tc>
          <w:tcPr>
            <w:tcW w:w="992"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1,730</w:t>
            </w:r>
          </w:p>
        </w:tc>
        <w:tc>
          <w:tcPr>
            <w:tcW w:w="970"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36%</w:t>
            </w:r>
          </w:p>
        </w:tc>
      </w:tr>
      <w:tr w:rsidR="007E3728" w:rsidTr="007E3728">
        <w:tc>
          <w:tcPr>
            <w:cnfStyle w:val="001000000000" w:firstRow="0" w:lastRow="0" w:firstColumn="1" w:lastColumn="0" w:oddVBand="0" w:evenVBand="0" w:oddHBand="0" w:evenHBand="0" w:firstRowFirstColumn="0" w:firstRowLastColumn="0" w:lastRowFirstColumn="0" w:lastRowLastColumn="0"/>
            <w:tcW w:w="4820" w:type="dxa"/>
            <w:shd w:val="clear" w:color="auto" w:fill="D1DCEF"/>
          </w:tcPr>
          <w:p w:rsidR="007E3728" w:rsidRPr="007E3728" w:rsidRDefault="007E3728" w:rsidP="00353B01">
            <w:pPr>
              <w:spacing w:before="30" w:after="30"/>
              <w:rPr>
                <w:b/>
              </w:rPr>
            </w:pPr>
            <w:r w:rsidRPr="007E3728">
              <w:rPr>
                <w:b/>
              </w:rPr>
              <w:t xml:space="preserve">Total number of products </w:t>
            </w:r>
            <w:proofErr w:type="spellStart"/>
            <w:r w:rsidRPr="007E3728">
              <w:rPr>
                <w:b/>
              </w:rPr>
              <w:t>tested</w:t>
            </w:r>
            <w:r w:rsidRPr="007E3728">
              <w:rPr>
                <w:b/>
                <w:vertAlign w:val="superscript"/>
              </w:rPr>
              <w:t>e</w:t>
            </w:r>
            <w:proofErr w:type="spellEnd"/>
          </w:p>
        </w:tc>
        <w:tc>
          <w:tcPr>
            <w:tcW w:w="1134"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622</w:t>
            </w:r>
          </w:p>
        </w:tc>
        <w:tc>
          <w:tcPr>
            <w:tcW w:w="1134"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992"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584</w:t>
            </w:r>
          </w:p>
        </w:tc>
        <w:tc>
          <w:tcPr>
            <w:tcW w:w="970" w:type="dxa"/>
            <w:shd w:val="clear" w:color="auto" w:fill="D1DCEF"/>
          </w:tcPr>
          <w:p w:rsidR="007E3728" w:rsidRDefault="007E3728"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r>
    </w:tbl>
    <w:p w:rsidR="003B3EC1" w:rsidRDefault="003B3EC1" w:rsidP="007E3728">
      <w:pPr>
        <w:pStyle w:val="FootnoteText"/>
        <w:spacing w:before="120"/>
      </w:pPr>
      <w:proofErr w:type="gramStart"/>
      <w:r w:rsidRPr="007E3728">
        <w:rPr>
          <w:vertAlign w:val="superscript"/>
        </w:rPr>
        <w:t>a</w:t>
      </w:r>
      <w:proofErr w:type="gramEnd"/>
      <w:r>
        <w:t xml:space="preserve"> Performed on request for overseas regulators or aid agencies, and encompasses medicines and medical devices.</w:t>
      </w:r>
    </w:p>
    <w:p w:rsidR="003B3EC1" w:rsidRDefault="003B3EC1" w:rsidP="007E3728">
      <w:pPr>
        <w:pStyle w:val="FootnoteText"/>
        <w:spacing w:before="120"/>
      </w:pPr>
      <w:proofErr w:type="gramStart"/>
      <w:r w:rsidRPr="007E3728">
        <w:rPr>
          <w:vertAlign w:val="superscript"/>
        </w:rPr>
        <w:t>b</w:t>
      </w:r>
      <w:proofErr w:type="gramEnd"/>
      <w:r>
        <w:t xml:space="preserve"> The Pacific Medicines Testing Program is a joint program between the Department of Foreign Affairs and Trade and the Therapeutic Goods Administration. More information is available at https://www.tga.gov.au/laboratories-branch-international-affiliations</w:t>
      </w:r>
    </w:p>
    <w:p w:rsidR="003B3EC1" w:rsidRDefault="003B3EC1" w:rsidP="007E3728">
      <w:pPr>
        <w:pStyle w:val="FootnoteText"/>
        <w:spacing w:before="120"/>
      </w:pPr>
      <w:proofErr w:type="gramStart"/>
      <w:r w:rsidRPr="007E3728">
        <w:rPr>
          <w:vertAlign w:val="superscript"/>
        </w:rPr>
        <w:t>c</w:t>
      </w:r>
      <w:proofErr w:type="gramEnd"/>
      <w:r>
        <w:t xml:space="preserve"> ‘Unregistered’ refers to products that meet the definition of therapeutic goods but are not included on the ARTG or otherwise specifically exempted from this requirement in the legislation.</w:t>
      </w:r>
      <w:r w:rsidR="00865E4F">
        <w:t xml:space="preserve"> </w:t>
      </w:r>
      <w:r>
        <w:t>This often includes adulterated complementary medicines or counterfeit products.</w:t>
      </w:r>
    </w:p>
    <w:p w:rsidR="003B3EC1" w:rsidRDefault="003B3EC1" w:rsidP="007E3728">
      <w:pPr>
        <w:pStyle w:val="FootnoteText"/>
        <w:spacing w:before="120"/>
      </w:pPr>
      <w:proofErr w:type="gramStart"/>
      <w:r w:rsidRPr="007E3728">
        <w:rPr>
          <w:vertAlign w:val="superscript"/>
        </w:rPr>
        <w:t>d</w:t>
      </w:r>
      <w:proofErr w:type="gramEnd"/>
      <w:r>
        <w:t xml:space="preserve"> Accreditation, harmonisation and quality control (AHQ) samples.</w:t>
      </w:r>
    </w:p>
    <w:p w:rsidR="003B3EC1" w:rsidRDefault="003B3EC1" w:rsidP="007E3728">
      <w:pPr>
        <w:pStyle w:val="FootnoteText"/>
        <w:spacing w:before="120"/>
      </w:pPr>
      <w:proofErr w:type="gramStart"/>
      <w:r w:rsidRPr="007E3728">
        <w:rPr>
          <w:vertAlign w:val="superscript"/>
        </w:rPr>
        <w:t>e</w:t>
      </w:r>
      <w:proofErr w:type="gramEnd"/>
      <w:r>
        <w:t xml:space="preserve"> The TGA may test a number of samples of each product per reporting period.</w:t>
      </w:r>
    </w:p>
    <w:p w:rsidR="003B3EC1" w:rsidRPr="007E3728" w:rsidRDefault="003B3EC1" w:rsidP="007E3728">
      <w:pPr>
        <w:pStyle w:val="Heading3"/>
        <w:pageBreakBefore/>
        <w:spacing w:before="0"/>
        <w:rPr>
          <w:color w:val="auto"/>
        </w:rPr>
      </w:pPr>
      <w:bookmarkStart w:id="38" w:name="_Toc69725959"/>
      <w:r w:rsidRPr="007E3728">
        <w:rPr>
          <w:color w:val="auto"/>
        </w:rPr>
        <w:lastRenderedPageBreak/>
        <w:t>11.</w:t>
      </w:r>
      <w:r w:rsidRPr="007E3728">
        <w:rPr>
          <w:color w:val="auto"/>
        </w:rPr>
        <w:tab/>
        <w:t>Medicine and vaccine adverse event reporting</w:t>
      </w:r>
      <w:bookmarkEnd w:id="38"/>
    </w:p>
    <w:p w:rsidR="003B3EC1" w:rsidRDefault="003B3EC1" w:rsidP="007E3728">
      <w:pPr>
        <w:pStyle w:val="Tabletitle"/>
      </w:pPr>
      <w:r>
        <w:t>Table 39</w:t>
      </w:r>
      <w:r>
        <w:tab/>
        <w:t>Source of notifications of medicine and vaccine adverse reaction for 1 July to 31 December</w:t>
      </w:r>
    </w:p>
    <w:tbl>
      <w:tblPr>
        <w:tblStyle w:val="TableTGAblue"/>
        <w:tblW w:w="0" w:type="auto"/>
        <w:tblLook w:val="04A0" w:firstRow="1" w:lastRow="0" w:firstColumn="1" w:lastColumn="0" w:noHBand="0" w:noVBand="1"/>
      </w:tblPr>
      <w:tblGrid>
        <w:gridCol w:w="5245"/>
        <w:gridCol w:w="1985"/>
        <w:gridCol w:w="1820"/>
      </w:tblGrid>
      <w:tr w:rsidR="007E3728"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7E3728" w:rsidRDefault="007E3728" w:rsidP="00353B01">
            <w:pPr>
              <w:spacing w:before="30" w:after="30"/>
            </w:pPr>
          </w:p>
        </w:tc>
        <w:tc>
          <w:tcPr>
            <w:tcW w:w="1985" w:type="dxa"/>
            <w:tcBorders>
              <w:left w:val="single" w:sz="4" w:space="0" w:color="auto"/>
              <w:right w:val="single" w:sz="4" w:space="0" w:color="auto"/>
            </w:tcBorders>
            <w:shd w:val="clear" w:color="auto" w:fill="6481A0"/>
          </w:tcPr>
          <w:p w:rsidR="007E3728" w:rsidRDefault="007E372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7E3728" w:rsidRDefault="007E372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7E3728"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7E3728" w:rsidRDefault="007E3728" w:rsidP="00353B01">
            <w:pPr>
              <w:spacing w:before="30" w:after="30"/>
            </w:pPr>
          </w:p>
        </w:tc>
        <w:tc>
          <w:tcPr>
            <w:tcW w:w="3805" w:type="dxa"/>
            <w:gridSpan w:val="2"/>
            <w:shd w:val="clear" w:color="auto" w:fill="D1DCEF"/>
          </w:tcPr>
          <w:p w:rsidR="007E3728" w:rsidRPr="00633B0F" w:rsidRDefault="007E3728"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7E3728" w:rsidTr="00793A7C">
        <w:tc>
          <w:tcPr>
            <w:cnfStyle w:val="001000000000" w:firstRow="0" w:lastRow="0" w:firstColumn="1" w:lastColumn="0" w:oddVBand="0" w:evenVBand="0" w:oddHBand="0" w:evenHBand="0" w:firstRowFirstColumn="0" w:firstRowLastColumn="0" w:lastRowFirstColumn="0" w:lastRowLastColumn="0"/>
            <w:tcW w:w="5245" w:type="dxa"/>
            <w:shd w:val="clear" w:color="auto" w:fill="6481A0"/>
          </w:tcPr>
          <w:p w:rsidR="007E3728" w:rsidRPr="00793A7C" w:rsidRDefault="00793A7C" w:rsidP="00353B01">
            <w:pPr>
              <w:spacing w:before="30" w:after="30"/>
              <w:rPr>
                <w:b/>
              </w:rPr>
            </w:pPr>
            <w:r w:rsidRPr="00793A7C">
              <w:rPr>
                <w:b/>
                <w:color w:val="FFFFFF" w:themeColor="background1"/>
              </w:rPr>
              <w:t>Accepted cases total</w:t>
            </w:r>
          </w:p>
        </w:tc>
        <w:tc>
          <w:tcPr>
            <w:tcW w:w="1985" w:type="dxa"/>
            <w:shd w:val="clear" w:color="auto" w:fill="6481A0"/>
          </w:tcPr>
          <w:p w:rsidR="007E3728"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793A7C">
              <w:rPr>
                <w:b/>
                <w:color w:val="FFFFFF" w:themeColor="background1"/>
              </w:rPr>
              <w:t>11,662 (95%)</w:t>
            </w:r>
          </w:p>
        </w:tc>
        <w:tc>
          <w:tcPr>
            <w:tcW w:w="1820" w:type="dxa"/>
            <w:shd w:val="clear" w:color="auto" w:fill="6481A0"/>
          </w:tcPr>
          <w:p w:rsidR="007E3728"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793A7C">
              <w:rPr>
                <w:b/>
                <w:color w:val="FFFFFF" w:themeColor="background1"/>
              </w:rPr>
              <w:t>12,340 (96%)</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353B01">
            <w:pPr>
              <w:spacing w:before="30" w:after="30"/>
            </w:pPr>
            <w:r>
              <w:t>Reports by health professionals (total)</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2,327</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2,445</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793A7C">
            <w:pPr>
              <w:spacing w:before="30" w:after="30"/>
              <w:ind w:left="456"/>
            </w:pPr>
            <w:r>
              <w:t>Medical practitioners</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537</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569</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793A7C">
            <w:pPr>
              <w:spacing w:before="30" w:after="30"/>
              <w:ind w:left="456"/>
            </w:pPr>
            <w:r>
              <w:t>Pharmacists</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1,123</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1,329</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793A7C">
            <w:pPr>
              <w:spacing w:before="30" w:after="30"/>
              <w:ind w:left="456"/>
            </w:pPr>
            <w:r>
              <w:t>Nurses</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221</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363</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793A7C">
            <w:pPr>
              <w:spacing w:before="30" w:after="30"/>
              <w:ind w:left="456"/>
            </w:pPr>
            <w:r>
              <w:t>Others</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249</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113</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793A7C">
            <w:pPr>
              <w:spacing w:before="30" w:after="30"/>
              <w:ind w:left="456"/>
            </w:pPr>
            <w:r>
              <w:t>Unknown</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197</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71</w:t>
            </w:r>
          </w:p>
        </w:tc>
      </w:tr>
      <w:tr w:rsidR="007E3728" w:rsidTr="00353B01">
        <w:tc>
          <w:tcPr>
            <w:cnfStyle w:val="001000000000" w:firstRow="0" w:lastRow="0" w:firstColumn="1" w:lastColumn="0" w:oddVBand="0" w:evenVBand="0" w:oddHBand="0" w:evenHBand="0" w:firstRowFirstColumn="0" w:firstRowLastColumn="0" w:lastRowFirstColumn="0" w:lastRowLastColumn="0"/>
            <w:tcW w:w="5245" w:type="dxa"/>
          </w:tcPr>
          <w:p w:rsidR="007E3728" w:rsidRDefault="00793A7C" w:rsidP="00353B01">
            <w:pPr>
              <w:spacing w:before="30" w:after="30"/>
            </w:pPr>
            <w:r>
              <w:t>Patients/consumers</w:t>
            </w:r>
          </w:p>
        </w:tc>
        <w:tc>
          <w:tcPr>
            <w:tcW w:w="1985" w:type="dxa"/>
          </w:tcPr>
          <w:p w:rsidR="007E3728"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395</w:t>
            </w:r>
          </w:p>
        </w:tc>
        <w:tc>
          <w:tcPr>
            <w:tcW w:w="1820" w:type="dxa"/>
          </w:tcPr>
          <w:p w:rsidR="007E3728"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462</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353B01">
            <w:pPr>
              <w:spacing w:before="30" w:after="30"/>
            </w:pPr>
            <w:r>
              <w:t>Pharmaceutical companies</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7,484</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7,978</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353B01">
            <w:pPr>
              <w:spacing w:before="30" w:after="30"/>
            </w:pPr>
            <w:r>
              <w:t>Other source</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1,456</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1,455</w:t>
            </w:r>
          </w:p>
        </w:tc>
      </w:tr>
      <w:tr w:rsidR="00793A7C" w:rsidTr="00793A7C">
        <w:tc>
          <w:tcPr>
            <w:cnfStyle w:val="001000000000" w:firstRow="0" w:lastRow="0" w:firstColumn="1" w:lastColumn="0" w:oddVBand="0" w:evenVBand="0" w:oddHBand="0" w:evenHBand="0" w:firstRowFirstColumn="0" w:firstRowLastColumn="0" w:lastRowFirstColumn="0" w:lastRowLastColumn="0"/>
            <w:tcW w:w="5245" w:type="dxa"/>
            <w:shd w:val="clear" w:color="auto" w:fill="6481A0"/>
          </w:tcPr>
          <w:p w:rsidR="00793A7C" w:rsidRPr="00793A7C" w:rsidRDefault="00793A7C" w:rsidP="00353B01">
            <w:pPr>
              <w:spacing w:before="30" w:after="30"/>
              <w:rPr>
                <w:b/>
                <w:color w:val="FFFFFF" w:themeColor="background1"/>
              </w:rPr>
            </w:pPr>
            <w:r w:rsidRPr="00793A7C">
              <w:rPr>
                <w:b/>
                <w:color w:val="FFFFFF" w:themeColor="background1"/>
              </w:rPr>
              <w:t>Rejected/withdrawn cases</w:t>
            </w:r>
          </w:p>
        </w:tc>
        <w:tc>
          <w:tcPr>
            <w:tcW w:w="1985" w:type="dxa"/>
            <w:shd w:val="clear" w:color="auto" w:fill="6481A0"/>
          </w:tcPr>
          <w:p w:rsidR="00793A7C"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93A7C">
              <w:rPr>
                <w:b/>
                <w:color w:val="FFFFFF" w:themeColor="background1"/>
              </w:rPr>
              <w:t>633 (5%)</w:t>
            </w:r>
          </w:p>
        </w:tc>
        <w:tc>
          <w:tcPr>
            <w:tcW w:w="1820" w:type="dxa"/>
            <w:shd w:val="clear" w:color="auto" w:fill="6481A0"/>
          </w:tcPr>
          <w:p w:rsidR="00793A7C"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93A7C">
              <w:rPr>
                <w:b/>
                <w:color w:val="FFFFFF" w:themeColor="background1"/>
              </w:rPr>
              <w:t>475 (4%)</w:t>
            </w:r>
          </w:p>
        </w:tc>
      </w:tr>
      <w:tr w:rsidR="007E3728" w:rsidTr="00353B0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7E3728" w:rsidRPr="0084264D" w:rsidRDefault="00793A7C" w:rsidP="00353B01">
            <w:pPr>
              <w:spacing w:before="30" w:after="30"/>
              <w:rPr>
                <w:b/>
                <w:color w:val="auto"/>
              </w:rPr>
            </w:pPr>
            <w:r>
              <w:t>Total received</w:t>
            </w:r>
          </w:p>
        </w:tc>
        <w:tc>
          <w:tcPr>
            <w:tcW w:w="1985" w:type="dxa"/>
            <w:shd w:val="clear" w:color="auto" w:fill="D1DCEF"/>
          </w:tcPr>
          <w:p w:rsidR="007E3728" w:rsidRPr="0084264D"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12,295</w:t>
            </w:r>
          </w:p>
        </w:tc>
        <w:tc>
          <w:tcPr>
            <w:tcW w:w="1820" w:type="dxa"/>
            <w:shd w:val="clear" w:color="auto" w:fill="D1DCEF"/>
          </w:tcPr>
          <w:p w:rsidR="007E3728" w:rsidRPr="0084264D"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12,815</w:t>
            </w:r>
          </w:p>
        </w:tc>
      </w:tr>
      <w:tr w:rsidR="00793A7C" w:rsidTr="00793A7C">
        <w:tc>
          <w:tcPr>
            <w:cnfStyle w:val="001000000000" w:firstRow="0" w:lastRow="0" w:firstColumn="1" w:lastColumn="0" w:oddVBand="0" w:evenVBand="0" w:oddHBand="0" w:evenHBand="0" w:firstRowFirstColumn="0" w:firstRowLastColumn="0" w:lastRowFirstColumn="0" w:lastRowLastColumn="0"/>
            <w:tcW w:w="5245" w:type="dxa"/>
          </w:tcPr>
          <w:p w:rsidR="00793A7C" w:rsidRPr="00793A7C" w:rsidRDefault="00793A7C" w:rsidP="00353B01">
            <w:pPr>
              <w:spacing w:before="30" w:after="30"/>
              <w:rPr>
                <w:b/>
              </w:rPr>
            </w:pPr>
            <w:r>
              <w:t>Average number of reports received weekly</w:t>
            </w:r>
          </w:p>
        </w:tc>
        <w:tc>
          <w:tcPr>
            <w:tcW w:w="1985" w:type="dxa"/>
          </w:tcPr>
          <w:p w:rsidR="00793A7C"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473</w:t>
            </w:r>
          </w:p>
        </w:tc>
        <w:tc>
          <w:tcPr>
            <w:tcW w:w="1820" w:type="dxa"/>
          </w:tcPr>
          <w:p w:rsidR="00793A7C"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493</w:t>
            </w:r>
          </w:p>
        </w:tc>
      </w:tr>
      <w:tr w:rsidR="00793A7C" w:rsidTr="00793A7C">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353B01">
            <w:pPr>
              <w:spacing w:before="30" w:after="30"/>
            </w:pPr>
            <w:r>
              <w:t>Vaccine reports included in this table</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1,706</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1,727</w:t>
            </w:r>
          </w:p>
        </w:tc>
      </w:tr>
    </w:tbl>
    <w:p w:rsidR="003B3EC1" w:rsidRPr="00793A7C" w:rsidRDefault="003B3EC1" w:rsidP="00793A7C">
      <w:pPr>
        <w:pStyle w:val="Heading3"/>
        <w:spacing w:before="480"/>
        <w:rPr>
          <w:color w:val="auto"/>
        </w:rPr>
      </w:pPr>
      <w:bookmarkStart w:id="39" w:name="_Toc69725960"/>
      <w:r w:rsidRPr="00793A7C">
        <w:rPr>
          <w:color w:val="auto"/>
        </w:rPr>
        <w:t>12.</w:t>
      </w:r>
      <w:r w:rsidRPr="00793A7C">
        <w:rPr>
          <w:color w:val="auto"/>
        </w:rPr>
        <w:tab/>
        <w:t>Medical device incident reports</w:t>
      </w:r>
      <w:bookmarkEnd w:id="39"/>
    </w:p>
    <w:p w:rsidR="003B3EC1" w:rsidRDefault="003B3EC1" w:rsidP="003B3EC1">
      <w:r>
        <w:t xml:space="preserve">Processing time </w:t>
      </w:r>
      <w:proofErr w:type="gramStart"/>
      <w:r>
        <w:t>is defined</w:t>
      </w:r>
      <w:proofErr w:type="gramEnd"/>
      <w:r>
        <w:t xml:space="preserve"> as the number of working days from receipt of the notification until the incident has been investigated and resolved.</w:t>
      </w:r>
    </w:p>
    <w:p w:rsidR="003B3EC1" w:rsidRDefault="003B3EC1" w:rsidP="003B3EC1">
      <w:r>
        <w:t>The target timeframe for processing of medical device incident reports is 90 working days. The doubling of the mean processing time is due to the length of time taken to close several investigations that required complex testing in the laboratories and many rounds of expert advice.</w:t>
      </w:r>
    </w:p>
    <w:p w:rsidR="003B3EC1" w:rsidRDefault="003B3EC1" w:rsidP="00793A7C">
      <w:pPr>
        <w:pStyle w:val="Tabletitle"/>
      </w:pPr>
      <w:r>
        <w:t>Table 40</w:t>
      </w:r>
      <w:r>
        <w:tab/>
        <w:t>Completed medical device incident reports and processing time for 1 July to 31 December</w:t>
      </w:r>
    </w:p>
    <w:tbl>
      <w:tblPr>
        <w:tblStyle w:val="TableTGAblue"/>
        <w:tblW w:w="0" w:type="auto"/>
        <w:tblLook w:val="04A0" w:firstRow="1" w:lastRow="0" w:firstColumn="1" w:lastColumn="0" w:noHBand="0" w:noVBand="1"/>
      </w:tblPr>
      <w:tblGrid>
        <w:gridCol w:w="5245"/>
        <w:gridCol w:w="1985"/>
        <w:gridCol w:w="1820"/>
      </w:tblGrid>
      <w:tr w:rsidR="00793A7C"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793A7C" w:rsidRDefault="00793A7C" w:rsidP="00353B01">
            <w:pPr>
              <w:spacing w:before="30" w:after="30"/>
            </w:pPr>
          </w:p>
        </w:tc>
        <w:tc>
          <w:tcPr>
            <w:tcW w:w="1985" w:type="dxa"/>
            <w:tcBorders>
              <w:left w:val="single" w:sz="4" w:space="0" w:color="auto"/>
              <w:right w:val="single" w:sz="4" w:space="0" w:color="auto"/>
            </w:tcBorders>
            <w:shd w:val="clear" w:color="auto" w:fill="6481A0"/>
          </w:tcPr>
          <w:p w:rsidR="00793A7C" w:rsidRDefault="00793A7C"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793A7C" w:rsidRDefault="00793A7C"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793A7C" w:rsidRDefault="00793A7C" w:rsidP="00353B01">
            <w:pPr>
              <w:spacing w:before="30" w:after="30"/>
            </w:pPr>
          </w:p>
        </w:tc>
        <w:tc>
          <w:tcPr>
            <w:tcW w:w="3805" w:type="dxa"/>
            <w:gridSpan w:val="2"/>
            <w:shd w:val="clear" w:color="auto" w:fill="D1DCEF"/>
          </w:tcPr>
          <w:p w:rsidR="00793A7C" w:rsidRPr="00633B0F" w:rsidRDefault="00793A7C"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353B01">
            <w:pPr>
              <w:spacing w:before="30" w:after="30"/>
            </w:pPr>
            <w:r>
              <w:t>Reports completed</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3,042</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3,520</w:t>
            </w:r>
          </w:p>
        </w:tc>
      </w:tr>
      <w:tr w:rsidR="00793A7C" w:rsidTr="00353B01">
        <w:tc>
          <w:tcPr>
            <w:cnfStyle w:val="001000000000" w:firstRow="0" w:lastRow="0" w:firstColumn="1" w:lastColumn="0" w:oddVBand="0" w:evenVBand="0" w:oddHBand="0" w:evenHBand="0" w:firstRowFirstColumn="0" w:firstRowLastColumn="0" w:lastRowFirstColumn="0" w:lastRowLastColumn="0"/>
            <w:tcW w:w="5245" w:type="dxa"/>
          </w:tcPr>
          <w:p w:rsidR="00793A7C" w:rsidRDefault="00793A7C" w:rsidP="00353B01">
            <w:pPr>
              <w:spacing w:before="30" w:after="30"/>
            </w:pPr>
            <w:r>
              <w:t>Mean TGA processing time</w:t>
            </w:r>
          </w:p>
        </w:tc>
        <w:tc>
          <w:tcPr>
            <w:tcW w:w="1985"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47</w:t>
            </w:r>
          </w:p>
        </w:tc>
        <w:tc>
          <w:tcPr>
            <w:tcW w:w="1820" w:type="dxa"/>
          </w:tcPr>
          <w:p w:rsid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pPr>
            <w:r>
              <w:t>59</w:t>
            </w:r>
          </w:p>
        </w:tc>
      </w:tr>
      <w:tr w:rsidR="00793A7C" w:rsidTr="00793A7C">
        <w:tc>
          <w:tcPr>
            <w:cnfStyle w:val="001000000000" w:firstRow="0" w:lastRow="0" w:firstColumn="1" w:lastColumn="0" w:oddVBand="0" w:evenVBand="0" w:oddHBand="0" w:evenHBand="0" w:firstRowFirstColumn="0" w:firstRowLastColumn="0" w:lastRowFirstColumn="0" w:lastRowLastColumn="0"/>
            <w:tcW w:w="5245" w:type="dxa"/>
          </w:tcPr>
          <w:p w:rsidR="00793A7C" w:rsidRPr="00793A7C" w:rsidRDefault="00793A7C" w:rsidP="00353B01">
            <w:pPr>
              <w:spacing w:before="30" w:after="30"/>
              <w:rPr>
                <w:color w:val="auto"/>
              </w:rPr>
            </w:pPr>
            <w:r>
              <w:t>Percentage processed within target timeframe</w:t>
            </w:r>
          </w:p>
        </w:tc>
        <w:tc>
          <w:tcPr>
            <w:tcW w:w="1985" w:type="dxa"/>
          </w:tcPr>
          <w:p w:rsidR="00793A7C"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93%</w:t>
            </w:r>
          </w:p>
        </w:tc>
        <w:tc>
          <w:tcPr>
            <w:tcW w:w="1820" w:type="dxa"/>
          </w:tcPr>
          <w:p w:rsidR="00793A7C" w:rsidRPr="00793A7C" w:rsidRDefault="00793A7C"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74%</w:t>
            </w:r>
          </w:p>
        </w:tc>
      </w:tr>
    </w:tbl>
    <w:p w:rsidR="003B3EC1" w:rsidRPr="00793A7C" w:rsidRDefault="003B3EC1" w:rsidP="00793A7C">
      <w:pPr>
        <w:pStyle w:val="Heading3"/>
        <w:pageBreakBefore/>
        <w:spacing w:before="0"/>
        <w:rPr>
          <w:color w:val="auto"/>
        </w:rPr>
      </w:pPr>
      <w:bookmarkStart w:id="40" w:name="_Toc69725961"/>
      <w:r w:rsidRPr="00793A7C">
        <w:rPr>
          <w:color w:val="auto"/>
        </w:rPr>
        <w:lastRenderedPageBreak/>
        <w:t>13.</w:t>
      </w:r>
      <w:r w:rsidRPr="00793A7C">
        <w:rPr>
          <w:color w:val="auto"/>
        </w:rPr>
        <w:tab/>
        <w:t>Regulatory compliance</w:t>
      </w:r>
      <w:bookmarkEnd w:id="40"/>
    </w:p>
    <w:p w:rsidR="003B3EC1" w:rsidRDefault="003B3EC1" w:rsidP="003B3EC1">
      <w:r>
        <w:t xml:space="preserve">In October 2020, a new case management system for non-advertising related compliance matters was implemented providing enhanced access to case data. </w:t>
      </w:r>
      <w:proofErr w:type="gramStart"/>
      <w:r>
        <w:t>2019</w:t>
      </w:r>
      <w:proofErr w:type="gramEnd"/>
      <w:r>
        <w:t xml:space="preserve"> comparative data has been restated where appropriate for adjustments to the table format,</w:t>
      </w:r>
      <w:r w:rsidR="001A6DED">
        <w:t xml:space="preserve"> utilising the new IT solution.</w:t>
      </w:r>
    </w:p>
    <w:p w:rsidR="003B3EC1" w:rsidRDefault="003B3EC1" w:rsidP="001A6DED">
      <w:pPr>
        <w:pStyle w:val="Tabletitle"/>
      </w:pPr>
      <w:r>
        <w:t>Table 41</w:t>
      </w:r>
      <w:r>
        <w:tab/>
        <w:t>Different Products investigated 1 July to 31 December</w:t>
      </w:r>
    </w:p>
    <w:tbl>
      <w:tblPr>
        <w:tblStyle w:val="TableTGAblue"/>
        <w:tblW w:w="0" w:type="auto"/>
        <w:tblLook w:val="04A0" w:firstRow="1" w:lastRow="0" w:firstColumn="1" w:lastColumn="0" w:noHBand="0" w:noVBand="1"/>
      </w:tblPr>
      <w:tblGrid>
        <w:gridCol w:w="5245"/>
        <w:gridCol w:w="1985"/>
        <w:gridCol w:w="1820"/>
      </w:tblGrid>
      <w:tr w:rsidR="001A6DED"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1A6DED" w:rsidRDefault="001A6DED" w:rsidP="00353B01">
            <w:pPr>
              <w:spacing w:before="30" w:after="30"/>
            </w:pPr>
          </w:p>
        </w:tc>
        <w:tc>
          <w:tcPr>
            <w:tcW w:w="1985" w:type="dxa"/>
            <w:tcBorders>
              <w:left w:val="single" w:sz="4" w:space="0" w:color="auto"/>
              <w:right w:val="single" w:sz="4" w:space="0" w:color="auto"/>
            </w:tcBorders>
            <w:shd w:val="clear" w:color="auto" w:fill="6481A0"/>
          </w:tcPr>
          <w:p w:rsidR="001A6DED" w:rsidRDefault="001A6DE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1A6DED" w:rsidRDefault="001A6DE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1A6DED" w:rsidRDefault="001A6DED" w:rsidP="00353B01">
            <w:pPr>
              <w:spacing w:before="30" w:after="30"/>
            </w:pPr>
          </w:p>
        </w:tc>
        <w:tc>
          <w:tcPr>
            <w:tcW w:w="3805" w:type="dxa"/>
            <w:gridSpan w:val="2"/>
            <w:shd w:val="clear" w:color="auto" w:fill="D1DCEF"/>
          </w:tcPr>
          <w:p w:rsidR="001A6DED" w:rsidRDefault="001A6DED"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1A6DED" w:rsidRPr="00633B0F" w:rsidRDefault="001A6DED"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Prescription medicines</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2,071 (83%)</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2,388 (90%)</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Schedule 9 medicines</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34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5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Schedule 10 medicines</w:t>
            </w:r>
            <w:r>
              <w:tab/>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27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19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Medical devices</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22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66 (2%)</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Complementary and homeopathic medicines</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311 (12%)</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156 (6%)</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OTC medicines</w:t>
            </w:r>
            <w:r>
              <w:tab/>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25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22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Biological products</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4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1A6DED" w:rsidRPr="001A6DED" w:rsidRDefault="001A6DED" w:rsidP="00353B01">
            <w:pPr>
              <w:spacing w:before="30" w:after="30"/>
              <w:rPr>
                <w:b/>
                <w:color w:val="auto"/>
              </w:rPr>
            </w:pPr>
            <w:proofErr w:type="spellStart"/>
            <w:r w:rsidRPr="001A6DED">
              <w:rPr>
                <w:b/>
              </w:rPr>
              <w:t>Total</w:t>
            </w:r>
            <w:r w:rsidRPr="001A6DED">
              <w:rPr>
                <w:b/>
                <w:vertAlign w:val="superscript"/>
              </w:rPr>
              <w:t>a</w:t>
            </w:r>
            <w:proofErr w:type="spellEnd"/>
          </w:p>
        </w:tc>
        <w:tc>
          <w:tcPr>
            <w:tcW w:w="1985" w:type="dxa"/>
            <w:shd w:val="clear" w:color="auto" w:fill="D1DCEF"/>
          </w:tcPr>
          <w:p w:rsidR="001A6DED" w:rsidRPr="0084264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2,494 (100%)</w:t>
            </w:r>
          </w:p>
        </w:tc>
        <w:tc>
          <w:tcPr>
            <w:tcW w:w="1820" w:type="dxa"/>
            <w:shd w:val="clear" w:color="auto" w:fill="D1DCEF"/>
          </w:tcPr>
          <w:p w:rsidR="001A6DED" w:rsidRPr="0084264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2,658 (100%)</w:t>
            </w:r>
          </w:p>
        </w:tc>
      </w:tr>
    </w:tbl>
    <w:p w:rsidR="003B3EC1" w:rsidRDefault="003B3EC1" w:rsidP="001A6DED">
      <w:pPr>
        <w:pStyle w:val="FootnoteText"/>
        <w:spacing w:before="120"/>
      </w:pPr>
      <w:proofErr w:type="spellStart"/>
      <w:proofErr w:type="gramStart"/>
      <w:r w:rsidRPr="001A6DED">
        <w:rPr>
          <w:vertAlign w:val="superscript"/>
        </w:rPr>
        <w:t>a</w:t>
      </w:r>
      <w:proofErr w:type="spellEnd"/>
      <w:proofErr w:type="gramEnd"/>
      <w:r>
        <w:t xml:space="preserve"> The total number of products is higher than the number of compliance cases managed. One compliance case can include multiple products.</w:t>
      </w:r>
    </w:p>
    <w:p w:rsidR="003B3EC1" w:rsidRDefault="003B3EC1" w:rsidP="001A6DED">
      <w:pPr>
        <w:pStyle w:val="Tabletitle"/>
      </w:pPr>
      <w:r>
        <w:t xml:space="preserve">Table 42 </w:t>
      </w:r>
      <w:r>
        <w:tab/>
        <w:t>Number of compliance actions taken for completed investigations 1 July to 31 December</w:t>
      </w:r>
    </w:p>
    <w:tbl>
      <w:tblPr>
        <w:tblStyle w:val="TableTGAblue"/>
        <w:tblW w:w="0" w:type="auto"/>
        <w:tblLook w:val="04A0" w:firstRow="1" w:lastRow="0" w:firstColumn="1" w:lastColumn="0" w:noHBand="0" w:noVBand="1"/>
      </w:tblPr>
      <w:tblGrid>
        <w:gridCol w:w="5245"/>
        <w:gridCol w:w="1985"/>
        <w:gridCol w:w="1820"/>
      </w:tblGrid>
      <w:tr w:rsidR="001A6DED"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1A6DED" w:rsidRDefault="001A6DED" w:rsidP="00353B01">
            <w:pPr>
              <w:spacing w:before="30" w:after="30"/>
            </w:pPr>
          </w:p>
        </w:tc>
        <w:tc>
          <w:tcPr>
            <w:tcW w:w="1985" w:type="dxa"/>
            <w:tcBorders>
              <w:left w:val="single" w:sz="4" w:space="0" w:color="auto"/>
              <w:right w:val="single" w:sz="4" w:space="0" w:color="auto"/>
            </w:tcBorders>
            <w:shd w:val="clear" w:color="auto" w:fill="6481A0"/>
          </w:tcPr>
          <w:p w:rsidR="001A6DED" w:rsidRDefault="001A6DE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1A6DED" w:rsidRDefault="001A6DED"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1A6DED" w:rsidRDefault="001A6DED" w:rsidP="00353B01">
            <w:pPr>
              <w:spacing w:before="30" w:after="30"/>
            </w:pPr>
          </w:p>
        </w:tc>
        <w:tc>
          <w:tcPr>
            <w:tcW w:w="3805" w:type="dxa"/>
            <w:gridSpan w:val="2"/>
            <w:shd w:val="clear" w:color="auto" w:fill="D1DCEF"/>
          </w:tcPr>
          <w:p w:rsidR="001A6DED" w:rsidRDefault="001A6DED"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1A6DED" w:rsidRPr="00633B0F" w:rsidRDefault="001A6DED"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Criminal prosecution</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Infringement notices issued</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24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100 (2%)</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 xml:space="preserve">Warning letters </w:t>
            </w:r>
            <w:proofErr w:type="spellStart"/>
            <w:r>
              <w:t>issued</w:t>
            </w:r>
            <w:r w:rsidRPr="001A6DED">
              <w:rPr>
                <w:vertAlign w:val="superscript"/>
              </w:rPr>
              <w:t>a</w:t>
            </w:r>
            <w:proofErr w:type="spellEnd"/>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1,402 (48%)</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1,780 (42%)</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Destruction certificates issued</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1,126 (39%)</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1,549 (37%)</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1A6DED">
            <w:pPr>
              <w:spacing w:before="30" w:after="30"/>
            </w:pPr>
            <w:r>
              <w:t>Goods released under the Personal Importation Scheme</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205 (7%)</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687 (16%)</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Referred to external entity</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52 (2%)</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27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Referrals to Commonwealth Department of Public Prosecutions</w:t>
            </w:r>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 (1%)</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2 (1%)</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tcPr>
          <w:p w:rsidR="001A6DED" w:rsidRDefault="001A6DED" w:rsidP="00353B01">
            <w:pPr>
              <w:spacing w:before="30" w:after="30"/>
            </w:pPr>
            <w:r>
              <w:t xml:space="preserve">No offence </w:t>
            </w:r>
            <w:proofErr w:type="spellStart"/>
            <w:r>
              <w:t>identified</w:t>
            </w:r>
            <w:r w:rsidRPr="001A6DED">
              <w:rPr>
                <w:vertAlign w:val="superscript"/>
              </w:rPr>
              <w:t>b</w:t>
            </w:r>
            <w:proofErr w:type="spellEnd"/>
          </w:p>
        </w:tc>
        <w:tc>
          <w:tcPr>
            <w:tcW w:w="1985"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85 (3%)</w:t>
            </w:r>
          </w:p>
        </w:tc>
        <w:tc>
          <w:tcPr>
            <w:tcW w:w="1820" w:type="dxa"/>
          </w:tcPr>
          <w:p w:rsidR="001A6DE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pPr>
            <w:r>
              <w:t>80 (2%)</w:t>
            </w:r>
          </w:p>
        </w:tc>
      </w:tr>
      <w:tr w:rsidR="001A6DED" w:rsidTr="00353B0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1A6DED" w:rsidRPr="001A6DED" w:rsidRDefault="001A6DED" w:rsidP="00353B01">
            <w:pPr>
              <w:spacing w:before="30" w:after="30"/>
              <w:rPr>
                <w:b/>
                <w:color w:val="auto"/>
              </w:rPr>
            </w:pPr>
            <w:r>
              <w:rPr>
                <w:b/>
              </w:rPr>
              <w:t xml:space="preserve">Total </w:t>
            </w:r>
            <w:proofErr w:type="spellStart"/>
            <w:r>
              <w:rPr>
                <w:b/>
              </w:rPr>
              <w:t>completed</w:t>
            </w:r>
            <w:r w:rsidRPr="001A6DED">
              <w:rPr>
                <w:b/>
                <w:vertAlign w:val="superscript"/>
              </w:rPr>
              <w:t>c</w:t>
            </w:r>
            <w:proofErr w:type="spellEnd"/>
          </w:p>
        </w:tc>
        <w:tc>
          <w:tcPr>
            <w:tcW w:w="1985" w:type="dxa"/>
            <w:shd w:val="clear" w:color="auto" w:fill="D1DCEF"/>
          </w:tcPr>
          <w:p w:rsidR="001A6DED" w:rsidRPr="0084264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2,896 (100%)</w:t>
            </w:r>
          </w:p>
        </w:tc>
        <w:tc>
          <w:tcPr>
            <w:tcW w:w="1820" w:type="dxa"/>
            <w:shd w:val="clear" w:color="auto" w:fill="D1DCEF"/>
          </w:tcPr>
          <w:p w:rsidR="001A6DED" w:rsidRPr="0084264D" w:rsidRDefault="001A6DED"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4,227 (100%)</w:t>
            </w:r>
          </w:p>
        </w:tc>
      </w:tr>
    </w:tbl>
    <w:p w:rsidR="003B3EC1" w:rsidRDefault="003B3EC1" w:rsidP="001A6DED">
      <w:pPr>
        <w:pStyle w:val="FootnoteText"/>
        <w:spacing w:before="40"/>
      </w:pPr>
      <w:proofErr w:type="spellStart"/>
      <w:proofErr w:type="gramStart"/>
      <w:r w:rsidRPr="001A6DED">
        <w:rPr>
          <w:vertAlign w:val="superscript"/>
        </w:rPr>
        <w:t>a</w:t>
      </w:r>
      <w:proofErr w:type="spellEnd"/>
      <w:proofErr w:type="gramEnd"/>
      <w:r>
        <w:t xml:space="preserve"> The category ‘warning letters issued’ can also include goods destroyed as prohibited imports and goods re-exported.</w:t>
      </w:r>
    </w:p>
    <w:p w:rsidR="003B3EC1" w:rsidRDefault="003B3EC1" w:rsidP="001A6DED">
      <w:pPr>
        <w:pStyle w:val="FootnoteText"/>
        <w:spacing w:before="40"/>
      </w:pPr>
      <w:r w:rsidRPr="001A6DED">
        <w:rPr>
          <w:vertAlign w:val="superscript"/>
        </w:rPr>
        <w:t>b</w:t>
      </w:r>
      <w:r w:rsidR="001A6DED">
        <w:t xml:space="preserve"> </w:t>
      </w:r>
      <w:r>
        <w:t>A compliance case may be finalised as ‘no offence identified’ where evidence is provided to demonstrate a product is recorded on the ARTG or where the allegation does not fall within the TGA’s regulatory jurisdiction.</w:t>
      </w:r>
    </w:p>
    <w:p w:rsidR="003B3EC1" w:rsidRDefault="003B3EC1" w:rsidP="001A6DED">
      <w:pPr>
        <w:pStyle w:val="FootnoteText"/>
        <w:spacing w:before="40"/>
      </w:pPr>
      <w:proofErr w:type="gramStart"/>
      <w:r w:rsidRPr="001A6DED">
        <w:rPr>
          <w:vertAlign w:val="superscript"/>
        </w:rPr>
        <w:t>c</w:t>
      </w:r>
      <w:proofErr w:type="gramEnd"/>
      <w:r>
        <w:t xml:space="preserve"> The total number of actions is</w:t>
      </w:r>
      <w:r w:rsidR="00865E4F">
        <w:t xml:space="preserve"> </w:t>
      </w:r>
      <w:r>
        <w:t>higher than the number of compliance cases managed. One compliance case can include multiple actions.</w:t>
      </w:r>
    </w:p>
    <w:p w:rsidR="003B3EC1" w:rsidRDefault="003B3EC1" w:rsidP="003B3EC1">
      <w:r>
        <w:t>COVID-19 related therapeutic goods contributed to an increase in the number of referrals from Australian Border Force from 1 July to 31 December 2020.</w:t>
      </w:r>
    </w:p>
    <w:p w:rsidR="003B3EC1" w:rsidRDefault="003B3EC1" w:rsidP="00DF2E31">
      <w:pPr>
        <w:pStyle w:val="Tabletitle"/>
      </w:pPr>
      <w:r>
        <w:lastRenderedPageBreak/>
        <w:t>Table 43</w:t>
      </w:r>
      <w:r>
        <w:tab/>
        <w:t>Offence types related to completed cases for 1 July to 31 December</w:t>
      </w:r>
    </w:p>
    <w:tbl>
      <w:tblPr>
        <w:tblStyle w:val="TableTGAblue"/>
        <w:tblW w:w="0" w:type="auto"/>
        <w:tblLook w:val="04A0" w:firstRow="1" w:lastRow="0" w:firstColumn="1" w:lastColumn="0" w:noHBand="0" w:noVBand="1"/>
      </w:tblPr>
      <w:tblGrid>
        <w:gridCol w:w="5245"/>
        <w:gridCol w:w="1985"/>
        <w:gridCol w:w="1820"/>
      </w:tblGrid>
      <w:tr w:rsidR="00DF2E31"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DF2E31" w:rsidRDefault="00DF2E31" w:rsidP="00353B01">
            <w:pPr>
              <w:spacing w:before="30" w:after="30"/>
            </w:pPr>
          </w:p>
        </w:tc>
        <w:tc>
          <w:tcPr>
            <w:tcW w:w="1985" w:type="dxa"/>
            <w:tcBorders>
              <w:left w:val="single" w:sz="4" w:space="0" w:color="auto"/>
              <w:right w:val="single" w:sz="4" w:space="0" w:color="auto"/>
            </w:tcBorders>
            <w:shd w:val="clear" w:color="auto" w:fill="6481A0"/>
          </w:tcPr>
          <w:p w:rsidR="00DF2E31" w:rsidRDefault="00DF2E31"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DF2E31" w:rsidRDefault="00DF2E31"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DF2E31" w:rsidRDefault="00DF2E31" w:rsidP="00353B01">
            <w:pPr>
              <w:spacing w:before="30" w:after="30"/>
            </w:pPr>
          </w:p>
        </w:tc>
        <w:tc>
          <w:tcPr>
            <w:tcW w:w="3805" w:type="dxa"/>
            <w:gridSpan w:val="2"/>
            <w:shd w:val="clear" w:color="auto" w:fill="D1DCEF"/>
          </w:tcPr>
          <w:p w:rsidR="00DF2E31" w:rsidRDefault="00DF2E31"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DF2E31" w:rsidRPr="00633B0F" w:rsidRDefault="00DF2E31"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Import</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1,553 (86%)</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2,493 (99%)</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Supply</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216 (12%)</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19 (1%)</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Manufacture</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35 (2%)</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2 (1%)</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Export</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6 (1%)</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7 (1%)</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DF2E31" w:rsidRPr="00DF2E31" w:rsidRDefault="00DF2E31" w:rsidP="00353B01">
            <w:pPr>
              <w:spacing w:before="30" w:after="30"/>
              <w:rPr>
                <w:b/>
                <w:color w:val="auto"/>
              </w:rPr>
            </w:pPr>
            <w:r>
              <w:rPr>
                <w:b/>
              </w:rPr>
              <w:t xml:space="preserve">Total </w:t>
            </w:r>
            <w:proofErr w:type="spellStart"/>
            <w:r>
              <w:rPr>
                <w:b/>
              </w:rPr>
              <w:t>completed</w:t>
            </w:r>
            <w:r w:rsidRPr="00DF2E31">
              <w:rPr>
                <w:b/>
                <w:vertAlign w:val="superscript"/>
              </w:rPr>
              <w:t>a</w:t>
            </w:r>
            <w:proofErr w:type="spellEnd"/>
          </w:p>
        </w:tc>
        <w:tc>
          <w:tcPr>
            <w:tcW w:w="1985" w:type="dxa"/>
            <w:shd w:val="clear" w:color="auto" w:fill="D1DCEF"/>
          </w:tcPr>
          <w:p w:rsidR="00DF2E31" w:rsidRP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1,810 (100%)</w:t>
            </w:r>
          </w:p>
        </w:tc>
        <w:tc>
          <w:tcPr>
            <w:tcW w:w="1820" w:type="dxa"/>
            <w:shd w:val="clear" w:color="auto" w:fill="D1DCEF"/>
          </w:tcPr>
          <w:p w:rsidR="00DF2E31" w:rsidRP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2,521 (100%)</w:t>
            </w:r>
          </w:p>
        </w:tc>
      </w:tr>
    </w:tbl>
    <w:p w:rsidR="003B3EC1" w:rsidRDefault="003B3EC1" w:rsidP="00DF2E31">
      <w:pPr>
        <w:pStyle w:val="FootnoteText"/>
        <w:spacing w:before="120"/>
      </w:pPr>
      <w:proofErr w:type="gramStart"/>
      <w:r w:rsidRPr="00DF2E31">
        <w:rPr>
          <w:vertAlign w:val="superscript"/>
        </w:rPr>
        <w:t>a</w:t>
      </w:r>
      <w:proofErr w:type="gramEnd"/>
      <w:r>
        <w:t xml:space="preserve"> </w:t>
      </w:r>
      <w:proofErr w:type="spellStart"/>
      <w:r>
        <w:t>A</w:t>
      </w:r>
      <w:proofErr w:type="spellEnd"/>
      <w:r>
        <w:t xml:space="preserve"> single compliance case can include multiple offence types.</w:t>
      </w:r>
    </w:p>
    <w:p w:rsidR="003B3EC1" w:rsidRPr="00DF2E31" w:rsidRDefault="003B3EC1" w:rsidP="00DF2E31">
      <w:pPr>
        <w:pStyle w:val="Heading3"/>
        <w:spacing w:before="480"/>
        <w:rPr>
          <w:color w:val="auto"/>
        </w:rPr>
      </w:pPr>
      <w:bookmarkStart w:id="41" w:name="_Toc69725962"/>
      <w:r w:rsidRPr="00DF2E31">
        <w:rPr>
          <w:color w:val="auto"/>
        </w:rPr>
        <w:t>14.</w:t>
      </w:r>
      <w:r w:rsidRPr="00DF2E31">
        <w:rPr>
          <w:color w:val="auto"/>
        </w:rPr>
        <w:tab/>
        <w:t>Recalls</w:t>
      </w:r>
      <w:bookmarkEnd w:id="41"/>
    </w:p>
    <w:p w:rsidR="003B3EC1" w:rsidRDefault="003B3EC1" w:rsidP="00DF2E31">
      <w:pPr>
        <w:pStyle w:val="Tabletitle"/>
      </w:pPr>
      <w:r>
        <w:t>Table 44</w:t>
      </w:r>
      <w:r>
        <w:tab/>
        <w:t>Therapeutic goods recalls for 1 July to 31 December</w:t>
      </w:r>
    </w:p>
    <w:tbl>
      <w:tblPr>
        <w:tblStyle w:val="TableTGAblue"/>
        <w:tblW w:w="0" w:type="auto"/>
        <w:tblLook w:val="04A0" w:firstRow="1" w:lastRow="0" w:firstColumn="1" w:lastColumn="0" w:noHBand="0" w:noVBand="1"/>
      </w:tblPr>
      <w:tblGrid>
        <w:gridCol w:w="5245"/>
        <w:gridCol w:w="1985"/>
        <w:gridCol w:w="1820"/>
      </w:tblGrid>
      <w:tr w:rsidR="00DF2E31"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DF2E31" w:rsidRDefault="00DF2E31" w:rsidP="00353B01">
            <w:pPr>
              <w:spacing w:before="30" w:after="30"/>
            </w:pPr>
          </w:p>
        </w:tc>
        <w:tc>
          <w:tcPr>
            <w:tcW w:w="1985" w:type="dxa"/>
            <w:tcBorders>
              <w:left w:val="single" w:sz="4" w:space="0" w:color="auto"/>
              <w:right w:val="single" w:sz="4" w:space="0" w:color="auto"/>
            </w:tcBorders>
            <w:shd w:val="clear" w:color="auto" w:fill="6481A0"/>
          </w:tcPr>
          <w:p w:rsidR="00DF2E31" w:rsidRDefault="00DF2E31"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DF2E31" w:rsidRDefault="00DF2E31"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DF2E31" w:rsidRDefault="00DF2E31" w:rsidP="00353B01">
            <w:pPr>
              <w:spacing w:before="30" w:after="30"/>
            </w:pPr>
          </w:p>
        </w:tc>
        <w:tc>
          <w:tcPr>
            <w:tcW w:w="3805" w:type="dxa"/>
            <w:gridSpan w:val="2"/>
            <w:shd w:val="clear" w:color="auto" w:fill="D1DCEF"/>
          </w:tcPr>
          <w:p w:rsidR="00DF2E31" w:rsidRPr="00633B0F" w:rsidRDefault="00DF2E31"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Medicines</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32 (8%)</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47 (12%)</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Medical devices (including IVDs)</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326 (76%)</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286 (73%)</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Biologicals</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8 (2%)</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 (3%)</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tcPr>
          <w:p w:rsidR="00DF2E31" w:rsidRDefault="00DF2E31" w:rsidP="00353B01">
            <w:pPr>
              <w:spacing w:before="30" w:after="30"/>
            </w:pPr>
            <w:r>
              <w:t>Bloods</w:t>
            </w:r>
          </w:p>
        </w:tc>
        <w:tc>
          <w:tcPr>
            <w:tcW w:w="1985"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60 (14%)</w:t>
            </w:r>
          </w:p>
        </w:tc>
        <w:tc>
          <w:tcPr>
            <w:tcW w:w="1820" w:type="dxa"/>
          </w:tcPr>
          <w:p w:rsid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pPr>
            <w:r>
              <w:t>50 (13%)</w:t>
            </w:r>
          </w:p>
        </w:tc>
      </w:tr>
      <w:tr w:rsidR="00DF2E31" w:rsidTr="00353B0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DF2E31" w:rsidRPr="00DF2E31" w:rsidRDefault="00DF2E31" w:rsidP="00353B01">
            <w:pPr>
              <w:spacing w:before="30" w:after="30"/>
              <w:rPr>
                <w:b/>
                <w:color w:val="auto"/>
              </w:rPr>
            </w:pPr>
            <w:r w:rsidRPr="00DF2E31">
              <w:rPr>
                <w:b/>
              </w:rPr>
              <w:t>Total recalls</w:t>
            </w:r>
          </w:p>
        </w:tc>
        <w:tc>
          <w:tcPr>
            <w:tcW w:w="1985" w:type="dxa"/>
            <w:shd w:val="clear" w:color="auto" w:fill="D1DCEF"/>
          </w:tcPr>
          <w:p w:rsidR="00DF2E31" w:rsidRP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426 (100%)</w:t>
            </w:r>
          </w:p>
        </w:tc>
        <w:tc>
          <w:tcPr>
            <w:tcW w:w="1820" w:type="dxa"/>
            <w:shd w:val="clear" w:color="auto" w:fill="D1DCEF"/>
          </w:tcPr>
          <w:p w:rsidR="00DF2E31" w:rsidRPr="00DF2E31" w:rsidRDefault="00DF2E31"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394 (100%)</w:t>
            </w:r>
          </w:p>
        </w:tc>
      </w:tr>
    </w:tbl>
    <w:p w:rsidR="003B3EC1" w:rsidRDefault="003B3EC1" w:rsidP="00404CD2">
      <w:pPr>
        <w:spacing w:before="240"/>
      </w:pPr>
      <w:r>
        <w:t xml:space="preserve">The total recalls activity dropped by about 8% between 1 July to 31 December 2019 and 1 July to 31 December </w:t>
      </w:r>
      <w:proofErr w:type="gramStart"/>
      <w:r>
        <w:t>2020 .</w:t>
      </w:r>
      <w:proofErr w:type="gramEnd"/>
      <w:r>
        <w:t xml:space="preserve"> However, medicine recall </w:t>
      </w:r>
      <w:proofErr w:type="gramStart"/>
      <w:r>
        <w:t>actions which</w:t>
      </w:r>
      <w:proofErr w:type="gramEnd"/>
      <w:r>
        <w:t xml:space="preserve"> increased from 32 to 47 overall. This was in part due to ‘class wide’ recall actions for products containing the herbal ingredient, </w:t>
      </w:r>
      <w:proofErr w:type="spellStart"/>
      <w:r w:rsidRPr="00404CD2">
        <w:rPr>
          <w:i/>
        </w:rPr>
        <w:t>Fallopia</w:t>
      </w:r>
      <w:proofErr w:type="spellEnd"/>
      <w:r w:rsidRPr="00404CD2">
        <w:rPr>
          <w:i/>
        </w:rPr>
        <w:t xml:space="preserve"> multiflora</w:t>
      </w:r>
      <w:r>
        <w:t xml:space="preserve"> and non-prescription medicine, </w:t>
      </w:r>
      <w:proofErr w:type="spellStart"/>
      <w:r w:rsidRPr="00404CD2">
        <w:rPr>
          <w:i/>
        </w:rPr>
        <w:t>bufexamac</w:t>
      </w:r>
      <w:proofErr w:type="spellEnd"/>
      <w:r>
        <w:t>.</w:t>
      </w:r>
    </w:p>
    <w:p w:rsidR="003B3EC1" w:rsidRPr="00B12978" w:rsidRDefault="003B3EC1" w:rsidP="00B12978">
      <w:pPr>
        <w:pStyle w:val="Heading3"/>
        <w:pageBreakBefore/>
        <w:spacing w:before="0"/>
        <w:rPr>
          <w:color w:val="auto"/>
        </w:rPr>
      </w:pPr>
      <w:bookmarkStart w:id="42" w:name="_Toc69725963"/>
      <w:r w:rsidRPr="00B12978">
        <w:rPr>
          <w:color w:val="auto"/>
        </w:rPr>
        <w:lastRenderedPageBreak/>
        <w:t>15.</w:t>
      </w:r>
      <w:r w:rsidRPr="00B12978">
        <w:rPr>
          <w:color w:val="auto"/>
        </w:rPr>
        <w:tab/>
        <w:t>Pharmacovigilance Inspection Program</w:t>
      </w:r>
      <w:bookmarkEnd w:id="42"/>
      <w:r w:rsidRPr="00B12978">
        <w:rPr>
          <w:color w:val="auto"/>
        </w:rPr>
        <w:t xml:space="preserve"> </w:t>
      </w:r>
    </w:p>
    <w:p w:rsidR="003B3EC1" w:rsidRDefault="003B3EC1" w:rsidP="00B12978">
      <w:pPr>
        <w:pStyle w:val="Tabletitle"/>
      </w:pPr>
      <w:r>
        <w:t>Table 45</w:t>
      </w:r>
      <w:r>
        <w:tab/>
        <w:t>Pharmacovigilance Inspection Program inspections undertaken and deficiencies identified from 1 July to 31 December</w:t>
      </w:r>
    </w:p>
    <w:tbl>
      <w:tblPr>
        <w:tblStyle w:val="TableTGAblue"/>
        <w:tblW w:w="0" w:type="auto"/>
        <w:tblLook w:val="04A0" w:firstRow="1" w:lastRow="0" w:firstColumn="1" w:lastColumn="0" w:noHBand="0" w:noVBand="1"/>
      </w:tblPr>
      <w:tblGrid>
        <w:gridCol w:w="5245"/>
        <w:gridCol w:w="1985"/>
        <w:gridCol w:w="1820"/>
      </w:tblGrid>
      <w:tr w:rsidR="00B12978"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B12978" w:rsidRDefault="00B12978" w:rsidP="00353B01">
            <w:pPr>
              <w:spacing w:before="30" w:after="30"/>
            </w:pPr>
          </w:p>
        </w:tc>
        <w:tc>
          <w:tcPr>
            <w:tcW w:w="1985" w:type="dxa"/>
            <w:tcBorders>
              <w:left w:val="single" w:sz="4" w:space="0" w:color="auto"/>
              <w:right w:val="single" w:sz="4" w:space="0" w:color="auto"/>
            </w:tcBorders>
            <w:shd w:val="clear" w:color="auto" w:fill="6481A0"/>
          </w:tcPr>
          <w:p w:rsidR="00B12978" w:rsidRDefault="00B1297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B12978" w:rsidRDefault="00B1297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B12978" w:rsidRDefault="00B12978" w:rsidP="00353B01">
            <w:pPr>
              <w:spacing w:before="30" w:after="30"/>
            </w:pPr>
          </w:p>
        </w:tc>
        <w:tc>
          <w:tcPr>
            <w:tcW w:w="3805" w:type="dxa"/>
            <w:gridSpan w:val="2"/>
            <w:shd w:val="clear" w:color="auto" w:fill="D1DCEF"/>
          </w:tcPr>
          <w:p w:rsidR="00B12978" w:rsidRPr="00633B0F" w:rsidRDefault="00B12978"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B12978" w:rsidTr="00B12978">
        <w:tc>
          <w:tcPr>
            <w:cnfStyle w:val="001000000000" w:firstRow="0" w:lastRow="0" w:firstColumn="1" w:lastColumn="0" w:oddVBand="0" w:evenVBand="0" w:oddHBand="0" w:evenHBand="0" w:firstRowFirstColumn="0" w:firstRowLastColumn="0" w:lastRowFirstColumn="0" w:lastRowLastColumn="0"/>
            <w:tcW w:w="5245" w:type="dxa"/>
            <w:shd w:val="clear" w:color="auto" w:fill="6481A0"/>
          </w:tcPr>
          <w:p w:rsidR="00B12978" w:rsidRPr="00B12978" w:rsidRDefault="00B12978" w:rsidP="00353B01">
            <w:pPr>
              <w:spacing w:before="30" w:after="30"/>
              <w:rPr>
                <w:b/>
              </w:rPr>
            </w:pPr>
            <w:r w:rsidRPr="00B12978">
              <w:rPr>
                <w:b/>
                <w:color w:val="FFFFFF" w:themeColor="background1"/>
              </w:rPr>
              <w:t>Total completed</w:t>
            </w:r>
          </w:p>
        </w:tc>
        <w:tc>
          <w:tcPr>
            <w:tcW w:w="1985" w:type="dxa"/>
            <w:shd w:val="clear" w:color="auto" w:fill="6481A0"/>
          </w:tcPr>
          <w:p w:rsidR="00B12978" w:rsidRP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B12978">
              <w:rPr>
                <w:b/>
                <w:color w:val="FFFFFF" w:themeColor="background1"/>
              </w:rPr>
              <w:t>5</w:t>
            </w:r>
          </w:p>
        </w:tc>
        <w:tc>
          <w:tcPr>
            <w:tcW w:w="1820" w:type="dxa"/>
            <w:shd w:val="clear" w:color="auto" w:fill="6481A0"/>
          </w:tcPr>
          <w:p w:rsidR="00B12978" w:rsidRP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rPr>
                <w:b/>
              </w:rPr>
            </w:pPr>
            <w:r w:rsidRPr="00B12978">
              <w:rPr>
                <w:b/>
                <w:color w:val="FFFFFF" w:themeColor="background1"/>
              </w:rPr>
              <w:t>3</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30" w:after="30"/>
            </w:pPr>
            <w:r>
              <w:t>Total with completed findings</w:t>
            </w:r>
          </w:p>
        </w:tc>
        <w:tc>
          <w:tcPr>
            <w:tcW w:w="1985"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5</w:t>
            </w:r>
          </w:p>
        </w:tc>
        <w:tc>
          <w:tcPr>
            <w:tcW w:w="1820"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3</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30" w:after="30"/>
            </w:pPr>
            <w:r>
              <w:t xml:space="preserve">Critical </w:t>
            </w:r>
            <w:proofErr w:type="spellStart"/>
            <w:r>
              <w:t>deficiencies</w:t>
            </w:r>
            <w:r w:rsidRPr="00B12978">
              <w:rPr>
                <w:vertAlign w:val="superscript"/>
              </w:rPr>
              <w:t>a</w:t>
            </w:r>
            <w:proofErr w:type="spellEnd"/>
          </w:p>
        </w:tc>
        <w:tc>
          <w:tcPr>
            <w:tcW w:w="1985"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0</w:t>
            </w:r>
          </w:p>
        </w:tc>
        <w:tc>
          <w:tcPr>
            <w:tcW w:w="1820"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30" w:after="30"/>
            </w:pPr>
            <w:r>
              <w:t xml:space="preserve">Major </w:t>
            </w:r>
            <w:proofErr w:type="spellStart"/>
            <w:r>
              <w:t>deficiencies</w:t>
            </w:r>
            <w:r w:rsidRPr="00B12978">
              <w:rPr>
                <w:vertAlign w:val="superscript"/>
              </w:rPr>
              <w:t>b</w:t>
            </w:r>
            <w:proofErr w:type="spellEnd"/>
          </w:p>
        </w:tc>
        <w:tc>
          <w:tcPr>
            <w:tcW w:w="1985"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21</w:t>
            </w:r>
          </w:p>
        </w:tc>
        <w:tc>
          <w:tcPr>
            <w:tcW w:w="1820"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13</w:t>
            </w:r>
          </w:p>
        </w:tc>
      </w:tr>
      <w:tr w:rsidR="00B12978" w:rsidTr="00B12978">
        <w:tc>
          <w:tcPr>
            <w:cnfStyle w:val="001000000000" w:firstRow="0" w:lastRow="0" w:firstColumn="1" w:lastColumn="0" w:oddVBand="0" w:evenVBand="0" w:oddHBand="0" w:evenHBand="0" w:firstRowFirstColumn="0" w:firstRowLastColumn="0" w:lastRowFirstColumn="0" w:lastRowLastColumn="0"/>
            <w:tcW w:w="5245" w:type="dxa"/>
          </w:tcPr>
          <w:p w:rsidR="00B12978" w:rsidRPr="00B12978" w:rsidRDefault="00B12978" w:rsidP="00353B01">
            <w:pPr>
              <w:spacing w:before="30" w:after="30"/>
              <w:rPr>
                <w:color w:val="auto"/>
              </w:rPr>
            </w:pPr>
            <w:r>
              <w:t xml:space="preserve">Minor </w:t>
            </w:r>
            <w:proofErr w:type="spellStart"/>
            <w:r>
              <w:t>deficiencies</w:t>
            </w:r>
            <w:r w:rsidRPr="00B12978">
              <w:rPr>
                <w:vertAlign w:val="superscript"/>
              </w:rPr>
              <w:t>c</w:t>
            </w:r>
            <w:proofErr w:type="spellEnd"/>
          </w:p>
        </w:tc>
        <w:tc>
          <w:tcPr>
            <w:tcW w:w="1985" w:type="dxa"/>
          </w:tcPr>
          <w:p w:rsidR="00B12978" w:rsidRP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17</w:t>
            </w:r>
          </w:p>
        </w:tc>
        <w:tc>
          <w:tcPr>
            <w:tcW w:w="1820" w:type="dxa"/>
          </w:tcPr>
          <w:p w:rsidR="00B12978" w:rsidRP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10</w:t>
            </w:r>
          </w:p>
        </w:tc>
      </w:tr>
      <w:tr w:rsidR="00B12978" w:rsidTr="00B12978">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B12978">
            <w:pPr>
              <w:spacing w:beforeLines="30" w:before="72" w:afterLines="30" w:after="72"/>
            </w:pPr>
            <w:r>
              <w:t>Average deficiencies per inspection</w:t>
            </w:r>
          </w:p>
        </w:tc>
        <w:tc>
          <w:tcPr>
            <w:tcW w:w="1985" w:type="dxa"/>
          </w:tcPr>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0.0 critical</w:t>
            </w:r>
          </w:p>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4.2 major</w:t>
            </w:r>
          </w:p>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3.4 minor</w:t>
            </w:r>
          </w:p>
        </w:tc>
        <w:tc>
          <w:tcPr>
            <w:tcW w:w="1820" w:type="dxa"/>
          </w:tcPr>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0.3 critical</w:t>
            </w:r>
          </w:p>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4.3 major</w:t>
            </w:r>
          </w:p>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3.3 minor</w:t>
            </w:r>
          </w:p>
        </w:tc>
      </w:tr>
    </w:tbl>
    <w:p w:rsidR="003B3EC1" w:rsidRDefault="003B3EC1" w:rsidP="00B12978">
      <w:pPr>
        <w:pStyle w:val="FootnoteText"/>
        <w:spacing w:before="120"/>
      </w:pPr>
      <w:r w:rsidRPr="00B12978">
        <w:rPr>
          <w:vertAlign w:val="superscript"/>
        </w:rPr>
        <w:t>a</w:t>
      </w:r>
      <w:r>
        <w:t xml:space="preserve"> </w:t>
      </w:r>
      <w:proofErr w:type="spellStart"/>
      <w:r>
        <w:t>A</w:t>
      </w:r>
      <w:proofErr w:type="spellEnd"/>
      <w:r>
        <w:t xml:space="preserve"> deficiency in pharmacovigilance systems, practices or processes that adversely affects the rights, safety, or well-being of patients, or that poses a potential risk to public health, or that represents a serious violation of applicable legislation and guidelines. Deficiencies classified as critical may include a pattern of deviations classified as major. A critical deficiency also occurs when a sponsor </w:t>
      </w:r>
      <w:proofErr w:type="gramStart"/>
      <w:r>
        <w:t>is observed</w:t>
      </w:r>
      <w:proofErr w:type="gramEnd"/>
      <w:r>
        <w:t xml:space="preserve"> to have engaged in fraud, misrepresentation, or falsification of data.</w:t>
      </w:r>
    </w:p>
    <w:p w:rsidR="003B3EC1" w:rsidRDefault="003B3EC1" w:rsidP="00B12978">
      <w:pPr>
        <w:pStyle w:val="FootnoteText"/>
        <w:spacing w:before="120"/>
      </w:pPr>
      <w:proofErr w:type="gramStart"/>
      <w:r w:rsidRPr="00B12978">
        <w:rPr>
          <w:vertAlign w:val="superscript"/>
        </w:rPr>
        <w:t>b</w:t>
      </w:r>
      <w:proofErr w:type="gramEnd"/>
      <w:r>
        <w:t xml:space="preserve"> A deficiency in pharmacovigilance systems, practices, or processes that could potentially adversely affect the rights, safety, or well-being of patients, or</w:t>
      </w:r>
      <w:r w:rsidR="00B12978">
        <w:t xml:space="preserve"> </w:t>
      </w:r>
      <w:r>
        <w:t>that could potentially pose a risk to public health, or that represents a violation of applicable legislation and guidelines. Deficiencies classified as major may include a pattern of deviations classified as minor.</w:t>
      </w:r>
    </w:p>
    <w:p w:rsidR="003B3EC1" w:rsidRDefault="003B3EC1" w:rsidP="00B12978">
      <w:pPr>
        <w:pStyle w:val="FootnoteText"/>
        <w:spacing w:before="120"/>
      </w:pPr>
      <w:proofErr w:type="gramStart"/>
      <w:r w:rsidRPr="00B12978">
        <w:rPr>
          <w:vertAlign w:val="superscript"/>
        </w:rPr>
        <w:t>c</w:t>
      </w:r>
      <w:proofErr w:type="gramEnd"/>
      <w:r>
        <w:t xml:space="preserve"> A deficiency in pharmacovigilance systems, practices or processes that would not be expected to adversely affect the rights, safety, or well-being of patients. A deficiency may be minor either because it is judged as minor or because there is insufficient information to classify it as major or critical.</w:t>
      </w:r>
    </w:p>
    <w:p w:rsidR="003B3EC1" w:rsidRPr="00B12978" w:rsidRDefault="003B3EC1" w:rsidP="00B12978">
      <w:pPr>
        <w:pStyle w:val="Heading3"/>
        <w:spacing w:before="360"/>
        <w:rPr>
          <w:color w:val="auto"/>
        </w:rPr>
      </w:pPr>
      <w:bookmarkStart w:id="43" w:name="_Toc69725964"/>
      <w:r w:rsidRPr="00B12978">
        <w:rPr>
          <w:color w:val="auto"/>
        </w:rPr>
        <w:t>16.</w:t>
      </w:r>
      <w:r w:rsidRPr="00B12978">
        <w:rPr>
          <w:color w:val="auto"/>
        </w:rPr>
        <w:tab/>
        <w:t>Reporting of medicine shortages</w:t>
      </w:r>
      <w:bookmarkEnd w:id="43"/>
    </w:p>
    <w:p w:rsidR="003B3EC1" w:rsidRDefault="00B12978" w:rsidP="00B12978">
      <w:pPr>
        <w:pStyle w:val="Tabletitle"/>
      </w:pPr>
      <w:r>
        <w:t>Table 46</w:t>
      </w:r>
      <w:r>
        <w:tab/>
        <w:t>New medicine shorta</w:t>
      </w:r>
      <w:r w:rsidR="003B3EC1">
        <w:t xml:space="preserve">ge reports by month </w:t>
      </w:r>
      <w:r>
        <w:t xml:space="preserve">for July to </w:t>
      </w:r>
      <w:proofErr w:type="spellStart"/>
      <w:r>
        <w:t>December</w:t>
      </w:r>
      <w:r w:rsidR="003B3EC1" w:rsidRPr="00B12978">
        <w:rPr>
          <w:vertAlign w:val="superscript"/>
        </w:rPr>
        <w:t>a</w:t>
      </w:r>
      <w:proofErr w:type="spellEnd"/>
    </w:p>
    <w:tbl>
      <w:tblPr>
        <w:tblStyle w:val="TableTGAblue"/>
        <w:tblW w:w="0" w:type="auto"/>
        <w:tblLook w:val="04A0" w:firstRow="1" w:lastRow="0" w:firstColumn="1" w:lastColumn="0" w:noHBand="0" w:noVBand="1"/>
      </w:tblPr>
      <w:tblGrid>
        <w:gridCol w:w="5245"/>
        <w:gridCol w:w="1985"/>
        <w:gridCol w:w="1820"/>
      </w:tblGrid>
      <w:tr w:rsidR="00B12978"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B12978" w:rsidRDefault="00B12978" w:rsidP="00353B01">
            <w:pPr>
              <w:spacing w:before="30" w:after="30"/>
            </w:pPr>
          </w:p>
        </w:tc>
        <w:tc>
          <w:tcPr>
            <w:tcW w:w="1985" w:type="dxa"/>
            <w:tcBorders>
              <w:left w:val="single" w:sz="4" w:space="0" w:color="auto"/>
              <w:right w:val="single" w:sz="4" w:space="0" w:color="auto"/>
            </w:tcBorders>
            <w:shd w:val="clear" w:color="auto" w:fill="6481A0"/>
          </w:tcPr>
          <w:p w:rsidR="00B12978" w:rsidRDefault="00B1297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B12978" w:rsidRDefault="00B1297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B12978" w:rsidRDefault="00B12978" w:rsidP="00353B01">
            <w:pPr>
              <w:spacing w:before="30" w:after="30"/>
            </w:pPr>
          </w:p>
        </w:tc>
        <w:tc>
          <w:tcPr>
            <w:tcW w:w="3805" w:type="dxa"/>
            <w:gridSpan w:val="2"/>
            <w:shd w:val="clear" w:color="auto" w:fill="D1DCEF"/>
          </w:tcPr>
          <w:p w:rsidR="00B12978" w:rsidRPr="00633B0F" w:rsidRDefault="00B12978"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30" w:after="30"/>
            </w:pPr>
            <w:r>
              <w:t>July</w:t>
            </w:r>
          </w:p>
        </w:tc>
        <w:tc>
          <w:tcPr>
            <w:tcW w:w="1985"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131</w:t>
            </w:r>
          </w:p>
        </w:tc>
        <w:tc>
          <w:tcPr>
            <w:tcW w:w="1820"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112</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30" w:after="30"/>
            </w:pPr>
            <w:r>
              <w:t>August</w:t>
            </w:r>
          </w:p>
        </w:tc>
        <w:tc>
          <w:tcPr>
            <w:tcW w:w="1985"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89</w:t>
            </w:r>
          </w:p>
        </w:tc>
        <w:tc>
          <w:tcPr>
            <w:tcW w:w="1820"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120</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30" w:after="30"/>
            </w:pPr>
            <w:r>
              <w:t>September</w:t>
            </w:r>
          </w:p>
        </w:tc>
        <w:tc>
          <w:tcPr>
            <w:tcW w:w="1985"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129</w:t>
            </w:r>
          </w:p>
        </w:tc>
        <w:tc>
          <w:tcPr>
            <w:tcW w:w="1820" w:type="dxa"/>
          </w:tcPr>
          <w:p w:rsid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pPr>
            <w:r>
              <w:t>111</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Pr="00B12978" w:rsidRDefault="00B12978" w:rsidP="00353B01">
            <w:pPr>
              <w:spacing w:before="30" w:after="30"/>
              <w:rPr>
                <w:color w:val="auto"/>
              </w:rPr>
            </w:pPr>
            <w:r>
              <w:t>October</w:t>
            </w:r>
          </w:p>
        </w:tc>
        <w:tc>
          <w:tcPr>
            <w:tcW w:w="1985" w:type="dxa"/>
          </w:tcPr>
          <w:p w:rsidR="00B12978" w:rsidRP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149</w:t>
            </w:r>
          </w:p>
        </w:tc>
        <w:tc>
          <w:tcPr>
            <w:tcW w:w="1820" w:type="dxa"/>
          </w:tcPr>
          <w:p w:rsidR="00B12978" w:rsidRPr="00B12978" w:rsidRDefault="00B12978" w:rsidP="00277E36">
            <w:pPr>
              <w:spacing w:before="30" w:after="30"/>
              <w:jc w:val="right"/>
              <w:cnfStyle w:val="000000000000" w:firstRow="0" w:lastRow="0" w:firstColumn="0" w:lastColumn="0" w:oddVBand="0" w:evenVBand="0" w:oddHBand="0" w:evenHBand="0" w:firstRowFirstColumn="0" w:firstRowLastColumn="0" w:lastRowFirstColumn="0" w:lastRowLastColumn="0"/>
              <w:rPr>
                <w:color w:val="auto"/>
              </w:rPr>
            </w:pPr>
            <w:r>
              <w:t>82</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Lines="30" w:before="72" w:afterLines="30" w:after="72"/>
            </w:pPr>
            <w:r>
              <w:t>November</w:t>
            </w:r>
          </w:p>
        </w:tc>
        <w:tc>
          <w:tcPr>
            <w:tcW w:w="1985" w:type="dxa"/>
          </w:tcPr>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117</w:t>
            </w:r>
          </w:p>
        </w:tc>
        <w:tc>
          <w:tcPr>
            <w:tcW w:w="1820" w:type="dxa"/>
          </w:tcPr>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123</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B12978" w:rsidP="00353B01">
            <w:pPr>
              <w:spacing w:beforeLines="30" w:before="72" w:afterLines="30" w:after="72"/>
            </w:pPr>
            <w:r>
              <w:t>December</w:t>
            </w:r>
          </w:p>
        </w:tc>
        <w:tc>
          <w:tcPr>
            <w:tcW w:w="1985" w:type="dxa"/>
          </w:tcPr>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150</w:t>
            </w:r>
          </w:p>
        </w:tc>
        <w:tc>
          <w:tcPr>
            <w:tcW w:w="1820" w:type="dxa"/>
          </w:tcPr>
          <w:p w:rsid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pPr>
            <w:r>
              <w:t>110</w:t>
            </w:r>
          </w:p>
        </w:tc>
      </w:tr>
      <w:tr w:rsidR="00B12978" w:rsidTr="00B12978">
        <w:tc>
          <w:tcPr>
            <w:cnfStyle w:val="001000000000" w:firstRow="0" w:lastRow="0" w:firstColumn="1" w:lastColumn="0" w:oddVBand="0" w:evenVBand="0" w:oddHBand="0" w:evenHBand="0" w:firstRowFirstColumn="0" w:firstRowLastColumn="0" w:lastRowFirstColumn="0" w:lastRowLastColumn="0"/>
            <w:tcW w:w="5245" w:type="dxa"/>
            <w:shd w:val="clear" w:color="auto" w:fill="D8E2F0"/>
          </w:tcPr>
          <w:p w:rsidR="00B12978" w:rsidRPr="00B12978" w:rsidRDefault="00B12978" w:rsidP="00353B01">
            <w:pPr>
              <w:spacing w:beforeLines="30" w:before="72" w:afterLines="30" w:after="72"/>
              <w:rPr>
                <w:b/>
              </w:rPr>
            </w:pPr>
            <w:r w:rsidRPr="00B12978">
              <w:rPr>
                <w:b/>
              </w:rPr>
              <w:t>Total reports</w:t>
            </w:r>
          </w:p>
        </w:tc>
        <w:tc>
          <w:tcPr>
            <w:tcW w:w="1985" w:type="dxa"/>
            <w:shd w:val="clear" w:color="auto" w:fill="D8E2F0"/>
          </w:tcPr>
          <w:p w:rsidR="00B12978" w:rsidRP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rPr>
                <w:b/>
              </w:rPr>
            </w:pPr>
            <w:r w:rsidRPr="00B12978">
              <w:rPr>
                <w:b/>
              </w:rPr>
              <w:t>765</w:t>
            </w:r>
          </w:p>
        </w:tc>
        <w:tc>
          <w:tcPr>
            <w:tcW w:w="1820" w:type="dxa"/>
            <w:shd w:val="clear" w:color="auto" w:fill="D8E2F0"/>
          </w:tcPr>
          <w:p w:rsidR="00B12978" w:rsidRPr="00B12978" w:rsidRDefault="00B12978" w:rsidP="00277E36">
            <w:pPr>
              <w:spacing w:beforeLines="30" w:before="72" w:afterLines="30" w:after="72"/>
              <w:jc w:val="right"/>
              <w:cnfStyle w:val="000000000000" w:firstRow="0" w:lastRow="0" w:firstColumn="0" w:lastColumn="0" w:oddVBand="0" w:evenVBand="0" w:oddHBand="0" w:evenHBand="0" w:firstRowFirstColumn="0" w:firstRowLastColumn="0" w:lastRowFirstColumn="0" w:lastRowLastColumn="0"/>
              <w:rPr>
                <w:b/>
              </w:rPr>
            </w:pPr>
            <w:r w:rsidRPr="00B12978">
              <w:rPr>
                <w:b/>
              </w:rPr>
              <w:t>658</w:t>
            </w:r>
          </w:p>
        </w:tc>
      </w:tr>
    </w:tbl>
    <w:p w:rsidR="003B3EC1" w:rsidRDefault="003B3EC1" w:rsidP="00B12978">
      <w:pPr>
        <w:pStyle w:val="FootnoteText"/>
        <w:spacing w:before="120"/>
      </w:pPr>
      <w:proofErr w:type="gramStart"/>
      <w:r w:rsidRPr="00B12978">
        <w:rPr>
          <w:vertAlign w:val="superscript"/>
        </w:rPr>
        <w:t>a</w:t>
      </w:r>
      <w:proofErr w:type="gramEnd"/>
      <w:r>
        <w:t xml:space="preserve"> New reports only. Does not include updates of previously reported shortages. Mandatory reporting of all shortages of prescription medicines and certain over-the-counter medicines commenced on 1 January 2019.</w:t>
      </w:r>
    </w:p>
    <w:p w:rsidR="003B3EC1" w:rsidRDefault="003B3EC1" w:rsidP="00B12978">
      <w:pPr>
        <w:pStyle w:val="Tabletitle"/>
      </w:pPr>
      <w:r>
        <w:lastRenderedPageBreak/>
        <w:t>Table 47</w:t>
      </w:r>
      <w:r>
        <w:tab/>
        <w:t>Number of medicine shortage reports a</w:t>
      </w:r>
      <w:r w:rsidR="00865E4F">
        <w:t xml:space="preserve"> </w:t>
      </w:r>
      <w:r>
        <w:t>by shortage reason 1 July to 31 December</w:t>
      </w:r>
    </w:p>
    <w:tbl>
      <w:tblPr>
        <w:tblStyle w:val="TableTGAblue"/>
        <w:tblW w:w="0" w:type="auto"/>
        <w:tblLook w:val="04A0" w:firstRow="1" w:lastRow="0" w:firstColumn="1" w:lastColumn="0" w:noHBand="0" w:noVBand="1"/>
      </w:tblPr>
      <w:tblGrid>
        <w:gridCol w:w="5245"/>
        <w:gridCol w:w="1985"/>
        <w:gridCol w:w="1820"/>
      </w:tblGrid>
      <w:tr w:rsidR="00B12978" w:rsidTr="00353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vMerge w:val="restart"/>
            <w:tcBorders>
              <w:top w:val="nil"/>
              <w:left w:val="nil"/>
              <w:right w:val="single" w:sz="4" w:space="0" w:color="auto"/>
            </w:tcBorders>
            <w:shd w:val="clear" w:color="auto" w:fill="auto"/>
          </w:tcPr>
          <w:p w:rsidR="00B12978" w:rsidRDefault="00B12978" w:rsidP="00353B01">
            <w:pPr>
              <w:spacing w:before="30" w:after="30"/>
            </w:pPr>
          </w:p>
        </w:tc>
        <w:tc>
          <w:tcPr>
            <w:tcW w:w="1985" w:type="dxa"/>
            <w:tcBorders>
              <w:left w:val="single" w:sz="4" w:space="0" w:color="auto"/>
              <w:right w:val="single" w:sz="4" w:space="0" w:color="auto"/>
            </w:tcBorders>
            <w:shd w:val="clear" w:color="auto" w:fill="6481A0"/>
          </w:tcPr>
          <w:p w:rsidR="00B12978" w:rsidRDefault="00B1297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2019</w:t>
            </w:r>
          </w:p>
        </w:tc>
        <w:tc>
          <w:tcPr>
            <w:tcW w:w="1820" w:type="dxa"/>
            <w:tcBorders>
              <w:left w:val="single" w:sz="4" w:space="0" w:color="auto"/>
            </w:tcBorders>
            <w:shd w:val="clear" w:color="auto" w:fill="6481A0"/>
          </w:tcPr>
          <w:p w:rsidR="00B12978" w:rsidRDefault="00B12978" w:rsidP="00277E36">
            <w:pPr>
              <w:spacing w:before="30" w:after="30"/>
              <w:jc w:val="right"/>
              <w:cnfStyle w:val="100000000000" w:firstRow="1" w:lastRow="0" w:firstColumn="0" w:lastColumn="0" w:oddVBand="0" w:evenVBand="0" w:oddHBand="0" w:evenHBand="0" w:firstRowFirstColumn="0" w:firstRowLastColumn="0" w:lastRowFirstColumn="0" w:lastRowLastColumn="0"/>
            </w:pPr>
            <w:r>
              <w:t>2020</w:t>
            </w:r>
            <w:r w:rsidRPr="0084264D">
              <w:rPr>
                <w:vertAlign w:val="superscript"/>
              </w:rPr>
              <w:t>a</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vMerge/>
            <w:tcBorders>
              <w:left w:val="nil"/>
            </w:tcBorders>
          </w:tcPr>
          <w:p w:rsidR="00B12978" w:rsidRDefault="00B12978" w:rsidP="00353B01">
            <w:pPr>
              <w:spacing w:before="30" w:after="30"/>
            </w:pPr>
          </w:p>
        </w:tc>
        <w:tc>
          <w:tcPr>
            <w:tcW w:w="3805" w:type="dxa"/>
            <w:gridSpan w:val="2"/>
            <w:shd w:val="clear" w:color="auto" w:fill="D1DCEF"/>
          </w:tcPr>
          <w:p w:rsidR="00B12978" w:rsidRDefault="00B12978"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E761C3">
              <w:rPr>
                <w:b/>
              </w:rPr>
              <w:t>1 July to 31 December</w:t>
            </w:r>
          </w:p>
          <w:p w:rsidR="00B12978" w:rsidRPr="00633B0F" w:rsidRDefault="00B12978" w:rsidP="00277E36">
            <w:pPr>
              <w:spacing w:before="30" w:after="30"/>
              <w:jc w:val="center"/>
              <w:cnfStyle w:val="000000000000" w:firstRow="0" w:lastRow="0" w:firstColumn="0" w:lastColumn="0" w:oddVBand="0" w:evenVBand="0" w:oddHBand="0" w:evenHBand="0" w:firstRowFirstColumn="0" w:firstRowLastColumn="0" w:lastRowFirstColumn="0" w:lastRowLastColumn="0"/>
              <w:rPr>
                <w:b/>
              </w:rPr>
            </w:pPr>
            <w:r w:rsidRPr="00633B0F">
              <w:rPr>
                <w:b/>
              </w:rPr>
              <w:t>Number (% of total)</w:t>
            </w:r>
          </w:p>
        </w:tc>
      </w:tr>
      <w:tr w:rsidR="00FD7CC0" w:rsidTr="00FD7CC0">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6481A0"/>
          </w:tcPr>
          <w:p w:rsidR="00FD7CC0" w:rsidRPr="00FD7CC0" w:rsidRDefault="00FD7CC0" w:rsidP="008E6C84">
            <w:pPr>
              <w:spacing w:before="30" w:after="30"/>
              <w:rPr>
                <w:b/>
              </w:rPr>
            </w:pPr>
            <w:r w:rsidRPr="00FD7CC0">
              <w:rPr>
                <w:b/>
                <w:color w:val="FFFFFF" w:themeColor="background1"/>
              </w:rPr>
              <w:t>Shortages Reported</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FD7CC0" w:rsidP="00353B01">
            <w:pPr>
              <w:spacing w:before="30" w:after="30"/>
            </w:pPr>
            <w:r>
              <w:t>New - Commercial changes</w:t>
            </w:r>
          </w:p>
        </w:tc>
        <w:tc>
          <w:tcPr>
            <w:tcW w:w="1985"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820"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50</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FD7CC0" w:rsidP="00353B01">
            <w:pPr>
              <w:spacing w:before="30" w:after="30"/>
            </w:pPr>
            <w:r>
              <w:t>New - Manufacturer related</w:t>
            </w:r>
          </w:p>
        </w:tc>
        <w:tc>
          <w:tcPr>
            <w:tcW w:w="1985"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820"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249</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FD7CC0" w:rsidP="00353B01">
            <w:pPr>
              <w:spacing w:before="30" w:after="30"/>
            </w:pPr>
            <w:r>
              <w:t>New - other</w:t>
            </w:r>
          </w:p>
        </w:tc>
        <w:tc>
          <w:tcPr>
            <w:tcW w:w="1985"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820"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237</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FD7CC0" w:rsidP="00353B01">
            <w:pPr>
              <w:spacing w:before="30" w:after="30"/>
            </w:pPr>
            <w:r>
              <w:t>New - Product Recall</w:t>
            </w:r>
          </w:p>
        </w:tc>
        <w:tc>
          <w:tcPr>
            <w:tcW w:w="1985"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820"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1</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tcPr>
          <w:p w:rsidR="00B12978" w:rsidRDefault="00FD7CC0" w:rsidP="00353B01">
            <w:pPr>
              <w:spacing w:before="30" w:after="30"/>
            </w:pPr>
            <w:r>
              <w:t>New - Unexpected increase in demand</w:t>
            </w:r>
          </w:p>
        </w:tc>
        <w:tc>
          <w:tcPr>
            <w:tcW w:w="1985"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N/A</w:t>
            </w:r>
          </w:p>
        </w:tc>
        <w:tc>
          <w:tcPr>
            <w:tcW w:w="1820" w:type="dxa"/>
          </w:tcPr>
          <w:p w:rsidR="00B12978"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pPr>
            <w:r>
              <w:t>121</w:t>
            </w:r>
          </w:p>
        </w:tc>
      </w:tr>
      <w:tr w:rsidR="00B12978" w:rsidTr="00353B01">
        <w:tc>
          <w:tcPr>
            <w:cnfStyle w:val="001000000000" w:firstRow="0" w:lastRow="0" w:firstColumn="1" w:lastColumn="0" w:oddVBand="0" w:evenVBand="0" w:oddHBand="0" w:evenHBand="0" w:firstRowFirstColumn="0" w:firstRowLastColumn="0" w:lastRowFirstColumn="0" w:lastRowLastColumn="0"/>
            <w:tcW w:w="5245" w:type="dxa"/>
            <w:shd w:val="clear" w:color="auto" w:fill="D1DCEF"/>
          </w:tcPr>
          <w:p w:rsidR="00B12978" w:rsidRPr="00FD7CC0" w:rsidRDefault="00FD7CC0" w:rsidP="00353B01">
            <w:pPr>
              <w:spacing w:before="30" w:after="30"/>
              <w:rPr>
                <w:b/>
                <w:color w:val="auto"/>
              </w:rPr>
            </w:pPr>
            <w:r w:rsidRPr="00FD7CC0">
              <w:rPr>
                <w:b/>
              </w:rPr>
              <w:t>Total</w:t>
            </w:r>
          </w:p>
        </w:tc>
        <w:tc>
          <w:tcPr>
            <w:tcW w:w="1985" w:type="dxa"/>
            <w:shd w:val="clear" w:color="auto" w:fill="D1DCEF"/>
          </w:tcPr>
          <w:p w:rsidR="00B12978" w:rsidRPr="0084264D"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765</w:t>
            </w:r>
            <w:r w:rsidRPr="00FD7CC0">
              <w:rPr>
                <w:vertAlign w:val="superscript"/>
              </w:rPr>
              <w:t>b</w:t>
            </w:r>
          </w:p>
        </w:tc>
        <w:tc>
          <w:tcPr>
            <w:tcW w:w="1820" w:type="dxa"/>
            <w:shd w:val="clear" w:color="auto" w:fill="D1DCEF"/>
          </w:tcPr>
          <w:p w:rsidR="00B12978" w:rsidRPr="0084264D" w:rsidRDefault="00FD7CC0" w:rsidP="00277E36">
            <w:pPr>
              <w:spacing w:before="30" w:after="30"/>
              <w:jc w:val="right"/>
              <w:cnfStyle w:val="000000000000" w:firstRow="0" w:lastRow="0" w:firstColumn="0" w:lastColumn="0" w:oddVBand="0" w:evenVBand="0" w:oddHBand="0" w:evenHBand="0" w:firstRowFirstColumn="0" w:firstRowLastColumn="0" w:lastRowFirstColumn="0" w:lastRowLastColumn="0"/>
              <w:rPr>
                <w:i/>
                <w:color w:val="auto"/>
              </w:rPr>
            </w:pPr>
            <w:r>
              <w:t>658</w:t>
            </w:r>
          </w:p>
        </w:tc>
      </w:tr>
    </w:tbl>
    <w:p w:rsidR="003B3EC1" w:rsidRDefault="003B3EC1" w:rsidP="00FD7CC0">
      <w:pPr>
        <w:pStyle w:val="FootnoteText"/>
        <w:spacing w:before="120"/>
      </w:pPr>
      <w:proofErr w:type="gramStart"/>
      <w:r w:rsidRPr="00FD7CC0">
        <w:rPr>
          <w:vertAlign w:val="superscript"/>
        </w:rPr>
        <w:t>a</w:t>
      </w:r>
      <w:proofErr w:type="gramEnd"/>
      <w:r>
        <w:t xml:space="preserve"> New reports only. Does not include updates of previously reported shortages. Mandatory reporting of all shortages of prescription medicines and select over-the-counter medicines commenced on 1 January 2019.</w:t>
      </w:r>
    </w:p>
    <w:p w:rsidR="003B3EC1" w:rsidRDefault="003B3EC1" w:rsidP="00FD7CC0">
      <w:pPr>
        <w:pStyle w:val="FootnoteText"/>
        <w:spacing w:before="120"/>
      </w:pPr>
      <w:proofErr w:type="gramStart"/>
      <w:r w:rsidRPr="00FD7CC0">
        <w:rPr>
          <w:vertAlign w:val="superscript"/>
        </w:rPr>
        <w:t>b</w:t>
      </w:r>
      <w:proofErr w:type="gramEnd"/>
      <w:r>
        <w:t xml:space="preserve"> Shortage reasons commenced being collected in 2020.</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CB0F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CB0F08">
            <w:bookmarkStart w:id="44" w:name="ColumnTitle_4"/>
            <w:r w:rsidRPr="00215D48">
              <w:t>Version</w:t>
            </w:r>
          </w:p>
        </w:tc>
        <w:tc>
          <w:tcPr>
            <w:tcW w:w="3242" w:type="dxa"/>
          </w:tcPr>
          <w:p w:rsidR="001A3190" w:rsidRPr="00215D48" w:rsidRDefault="001A3190" w:rsidP="00CB0F08">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CB0F08">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CB0F08">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4"/>
      <w:tr w:rsidR="001A3190" w:rsidRPr="00215D48" w:rsidTr="00CB0F08">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CB0F08">
            <w:r w:rsidRPr="00215D48">
              <w:t>V1.0</w:t>
            </w:r>
          </w:p>
        </w:tc>
        <w:tc>
          <w:tcPr>
            <w:tcW w:w="3242" w:type="dxa"/>
          </w:tcPr>
          <w:p w:rsidR="001A3190" w:rsidRPr="00215D48" w:rsidRDefault="001A3190" w:rsidP="00CB0F08">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FD7CC0" w:rsidP="00CB0F08">
            <w:pPr>
              <w:cnfStyle w:val="000000000000" w:firstRow="0" w:lastRow="0" w:firstColumn="0" w:lastColumn="0" w:oddVBand="0" w:evenVBand="0" w:oddHBand="0" w:evenHBand="0" w:firstRowFirstColumn="0" w:firstRowLastColumn="0" w:lastRowFirstColumn="0" w:lastRowLastColumn="0"/>
            </w:pPr>
            <w:r w:rsidRPr="00FD7CC0">
              <w:t>Reporting and Collaboration Services</w:t>
            </w:r>
          </w:p>
        </w:tc>
        <w:tc>
          <w:tcPr>
            <w:tcW w:w="1808" w:type="dxa"/>
          </w:tcPr>
          <w:p w:rsidR="001A3190" w:rsidRPr="00215D48" w:rsidRDefault="00FD7CC0" w:rsidP="00926B0E">
            <w:pPr>
              <w:cnfStyle w:val="000000000000" w:firstRow="0" w:lastRow="0" w:firstColumn="0" w:lastColumn="0" w:oddVBand="0" w:evenVBand="0" w:oddHBand="0" w:evenHBand="0" w:firstRowFirstColumn="0" w:firstRowLastColumn="0" w:lastRowFirstColumn="0" w:lastRowLastColumn="0"/>
            </w:pPr>
            <w:r>
              <w:t>31/03/2021</w:t>
            </w:r>
          </w:p>
        </w:tc>
      </w:tr>
    </w:tbl>
    <w:p w:rsidR="00F401EF" w:rsidRPr="00215D48" w:rsidRDefault="00F401EF" w:rsidP="00706634">
      <w:pPr>
        <w:spacing w:before="0" w:after="0" w:line="240" w:lineRule="auto"/>
        <w:rPr>
          <w:sz w:val="20"/>
        </w:rPr>
        <w:sectPr w:rsidR="00F401EF" w:rsidRPr="00215D48" w:rsidSect="0029069E">
          <w:headerReference w:type="default" r:id="rId16"/>
          <w:footerReference w:type="default" r:id="rId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CB0F08">
        <w:trPr>
          <w:trHeight w:hRule="exact" w:val="565"/>
          <w:jc w:val="center"/>
        </w:trPr>
        <w:tc>
          <w:tcPr>
            <w:tcW w:w="9145" w:type="dxa"/>
          </w:tcPr>
          <w:p w:rsidR="00C50E5C" w:rsidRPr="00215D48" w:rsidRDefault="00C50E5C" w:rsidP="00CB0F08">
            <w:pPr>
              <w:pStyle w:val="TGASignoff"/>
            </w:pPr>
            <w:r w:rsidRPr="00215D48">
              <w:lastRenderedPageBreak/>
              <w:t>Therapeutic Goods Administration</w:t>
            </w:r>
          </w:p>
        </w:tc>
      </w:tr>
      <w:tr w:rsidR="00C50E5C" w:rsidRPr="00215D48" w:rsidTr="00CB0F08">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18" w:history="1">
              <w:r w:rsidRPr="00215D48">
                <w:rPr>
                  <w:rStyle w:val="Hyperlink"/>
                </w:rPr>
                <w:t>info@tga.gov.au</w:t>
              </w:r>
            </w:hyperlink>
            <w:r w:rsidR="00865E4F">
              <w:t xml:space="preserve"> </w:t>
            </w:r>
            <w:r w:rsidRPr="00215D48">
              <w:t>Phone: 1800 020 653</w:t>
            </w:r>
            <w:r w:rsidR="00865E4F">
              <w:t xml:space="preserve"> </w:t>
            </w:r>
            <w:r w:rsidRPr="00215D48">
              <w:t xml:space="preserve">Fax: </w:t>
            </w:r>
            <w:r w:rsidR="001A3190" w:rsidRPr="00BA0DFC">
              <w:t>02 6203 1605</w:t>
            </w:r>
          </w:p>
          <w:p w:rsidR="00C50E5C" w:rsidRPr="00215D48" w:rsidRDefault="00B356BA">
            <w:pPr>
              <w:pStyle w:val="Address"/>
              <w:jc w:val="center"/>
              <w:rPr>
                <w:rStyle w:val="Hyperlink"/>
                <w:b/>
                <w:color w:val="auto"/>
                <w:sz w:val="22"/>
                <w:u w:val="none"/>
              </w:rPr>
            </w:pPr>
            <w:hyperlink r:id="rId19" w:history="1">
              <w:r w:rsidR="00215D48" w:rsidRPr="00C4721A">
                <w:rPr>
                  <w:rStyle w:val="Hyperlink"/>
                  <w:b/>
                </w:rPr>
                <w:t>https://www.tga.gov.au</w:t>
              </w:r>
            </w:hyperlink>
          </w:p>
        </w:tc>
      </w:tr>
      <w:tr w:rsidR="00C50E5C" w:rsidRPr="00215D48" w:rsidTr="00CB0F08">
        <w:trPr>
          <w:trHeight w:val="251"/>
          <w:jc w:val="center"/>
        </w:trPr>
        <w:tc>
          <w:tcPr>
            <w:tcW w:w="9145" w:type="dxa"/>
            <w:tcMar>
              <w:top w:w="28" w:type="dxa"/>
            </w:tcMar>
          </w:tcPr>
          <w:p w:rsidR="00C50E5C" w:rsidRPr="00215D48" w:rsidRDefault="00C50E5C" w:rsidP="00EB5622">
            <w:pPr>
              <w:pStyle w:val="Address"/>
              <w:jc w:val="center"/>
            </w:pPr>
            <w:r w:rsidRPr="00215D48">
              <w:t xml:space="preserve">Reference/Publication </w:t>
            </w:r>
            <w:r w:rsidR="004464A7">
              <w:t>D20-3939672</w:t>
            </w:r>
          </w:p>
        </w:tc>
      </w:tr>
    </w:tbl>
    <w:p w:rsidR="00706634" w:rsidRPr="00215D48" w:rsidRDefault="00706634" w:rsidP="004A3084">
      <w:pPr>
        <w:rPr>
          <w:sz w:val="20"/>
        </w:rPr>
      </w:pPr>
    </w:p>
    <w:sectPr w:rsidR="00706634" w:rsidRPr="00215D48" w:rsidSect="0029069E">
      <w:headerReference w:type="first" r:id="rId20"/>
      <w:footerReference w:type="first" r:id="rId2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B01" w:rsidRDefault="00353B01" w:rsidP="00C40A36">
      <w:pPr>
        <w:spacing w:after="0"/>
      </w:pPr>
      <w:r>
        <w:separator/>
      </w:r>
    </w:p>
  </w:endnote>
  <w:endnote w:type="continuationSeparator" w:id="0">
    <w:p w:rsidR="00353B01" w:rsidRDefault="00353B0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53B01" w:rsidRPr="00257138" w:rsidTr="000B30E5">
      <w:trPr>
        <w:trHeight w:val="423"/>
      </w:trPr>
      <w:tc>
        <w:tcPr>
          <w:tcW w:w="4360" w:type="dxa"/>
          <w:tcBorders>
            <w:top w:val="single" w:sz="4" w:space="0" w:color="auto"/>
          </w:tcBorders>
        </w:tcPr>
        <w:p w:rsidR="00353B01" w:rsidRDefault="00353B01" w:rsidP="000B30E5">
          <w:pPr>
            <w:pStyle w:val="Footer"/>
          </w:pPr>
        </w:p>
        <w:p w:rsidR="00353B01" w:rsidRPr="00257138" w:rsidRDefault="00353B01"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353B01" w:rsidRDefault="00353B01" w:rsidP="000B30E5">
              <w:pPr>
                <w:pStyle w:val="Footer"/>
                <w:jc w:val="right"/>
              </w:pPr>
            </w:p>
            <w:p w:rsidR="00353B01" w:rsidRPr="00257138" w:rsidRDefault="00353B01"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6</w:t>
                </w:r>
              </w:fldSimple>
            </w:p>
          </w:sdtContent>
        </w:sdt>
      </w:tc>
    </w:tr>
    <w:tr w:rsidR="00353B01" w:rsidRPr="00257138" w:rsidTr="000B30E5">
      <w:trPr>
        <w:trHeight w:val="263"/>
      </w:trPr>
      <w:tc>
        <w:tcPr>
          <w:tcW w:w="4360" w:type="dxa"/>
        </w:tcPr>
        <w:p w:rsidR="00353B01" w:rsidRPr="00257138" w:rsidRDefault="00353B01" w:rsidP="000B30E5">
          <w:pPr>
            <w:pStyle w:val="Footer"/>
          </w:pPr>
          <w:r w:rsidRPr="00257138">
            <w:t xml:space="preserve">V1.0 </w:t>
          </w:r>
          <w:r>
            <w:t>Month</w:t>
          </w:r>
          <w:r w:rsidRPr="00257138">
            <w:t xml:space="preserve"> 201</w:t>
          </w:r>
          <w:r>
            <w:t>2</w:t>
          </w:r>
        </w:p>
      </w:tc>
      <w:tc>
        <w:tcPr>
          <w:tcW w:w="4360" w:type="dxa"/>
        </w:tcPr>
        <w:p w:rsidR="00353B01" w:rsidRPr="00257138" w:rsidRDefault="00353B01" w:rsidP="000B30E5">
          <w:pPr>
            <w:pStyle w:val="Footer"/>
            <w:jc w:val="right"/>
          </w:pPr>
        </w:p>
      </w:tc>
    </w:tr>
  </w:tbl>
  <w:p w:rsidR="00353B01" w:rsidRPr="00826007" w:rsidRDefault="00353B01"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01" w:rsidRDefault="00353B01"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353B01" w:rsidRPr="004A3084" w:rsidTr="00030D34">
      <w:trPr>
        <w:trHeight w:val="423"/>
      </w:trPr>
      <w:tc>
        <w:tcPr>
          <w:tcW w:w="7338" w:type="dxa"/>
          <w:tcBorders>
            <w:top w:val="single" w:sz="4" w:space="0" w:color="auto"/>
          </w:tcBorders>
        </w:tcPr>
        <w:p w:rsidR="00353B01" w:rsidRPr="004A3084" w:rsidRDefault="00353B01" w:rsidP="00F54CA9">
          <w:pPr>
            <w:pStyle w:val="Footer"/>
          </w:pPr>
          <w:r w:rsidRPr="00C0160D">
            <w:t>Half Yearly Performance Snapshot: 1 July to 31 December 2020</w:t>
          </w:r>
        </w:p>
      </w:tc>
      <w:tc>
        <w:tcPr>
          <w:tcW w:w="1734" w:type="dxa"/>
          <w:tcBorders>
            <w:top w:val="single" w:sz="4" w:space="0" w:color="auto"/>
          </w:tcBorders>
        </w:tcPr>
        <w:sdt>
          <w:sdtPr>
            <w:id w:val="11571659"/>
            <w:docPartObj>
              <w:docPartGallery w:val="Page Numbers (Top of Page)"/>
              <w:docPartUnique/>
            </w:docPartObj>
          </w:sdtPr>
          <w:sdtEndPr/>
          <w:sdtContent>
            <w:p w:rsidR="00353B01" w:rsidRPr="004A3084" w:rsidRDefault="00353B01" w:rsidP="00231E8D">
              <w:pPr>
                <w:pStyle w:val="Footer"/>
                <w:jc w:val="right"/>
              </w:pPr>
              <w:r w:rsidRPr="004A3084">
                <w:t xml:space="preserve">Page </w:t>
              </w:r>
              <w:r>
                <w:fldChar w:fldCharType="begin"/>
              </w:r>
              <w:r>
                <w:instrText xml:space="preserve"> PAGE </w:instrText>
              </w:r>
              <w:r>
                <w:fldChar w:fldCharType="separate"/>
              </w:r>
              <w:r w:rsidR="00B356BA">
                <w:rPr>
                  <w:noProof/>
                </w:rPr>
                <w:t>24</w:t>
              </w:r>
              <w:r>
                <w:rPr>
                  <w:noProof/>
                </w:rPr>
                <w:fldChar w:fldCharType="end"/>
              </w:r>
              <w:r w:rsidRPr="004A3084">
                <w:t xml:space="preserve"> of </w:t>
              </w:r>
              <w:fldSimple w:instr=" NUMPAGES  ">
                <w:r w:rsidR="00B356BA">
                  <w:rPr>
                    <w:noProof/>
                  </w:rPr>
                  <w:t>46</w:t>
                </w:r>
              </w:fldSimple>
            </w:p>
          </w:sdtContent>
        </w:sdt>
      </w:tc>
    </w:tr>
  </w:tbl>
  <w:p w:rsidR="00353B01" w:rsidRPr="00826007" w:rsidRDefault="00353B01"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01" w:rsidRPr="008E3C43" w:rsidRDefault="00353B0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B01" w:rsidRDefault="00353B01" w:rsidP="00C40A36">
      <w:pPr>
        <w:spacing w:after="0"/>
      </w:pPr>
      <w:r>
        <w:separator/>
      </w:r>
    </w:p>
  </w:footnote>
  <w:footnote w:type="continuationSeparator" w:id="0">
    <w:p w:rsidR="00353B01" w:rsidRDefault="00353B01" w:rsidP="00C40A36">
      <w:pPr>
        <w:spacing w:after="0"/>
      </w:pPr>
      <w:r>
        <w:continuationSeparator/>
      </w:r>
    </w:p>
  </w:footnote>
  <w:footnote w:id="1">
    <w:p w:rsidR="00353B01" w:rsidRDefault="00353B01">
      <w:pPr>
        <w:pStyle w:val="FootnoteText"/>
      </w:pPr>
      <w:r>
        <w:rPr>
          <w:rStyle w:val="FootnoteReference"/>
        </w:rPr>
        <w:footnoteRef/>
      </w:r>
      <w:r>
        <w:t xml:space="preserve"> </w:t>
      </w:r>
      <w:r w:rsidRPr="003B3EC1">
        <w:t>Approved inclusions excludes device change requests, manufacturer’s evidence and Other Therapeutic Goods (OTG’s).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01" w:rsidRDefault="00B356BA"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353B01"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53B01" w:rsidRPr="002B29B2" w:rsidTr="00F71E1E">
      <w:trPr>
        <w:trHeight w:hRule="exact" w:val="8845"/>
      </w:trPr>
      <w:tc>
        <w:tcPr>
          <w:tcW w:w="11964" w:type="dxa"/>
          <w:vAlign w:val="center"/>
        </w:tcPr>
        <w:p w:rsidR="00353B01" w:rsidRPr="002B29B2" w:rsidRDefault="00B356BA" w:rsidP="006A2426">
          <w:pPr>
            <w:ind w:left="-57"/>
            <w:rPr>
              <w:noProof/>
            </w:rPr>
          </w:pPr>
          <w:sdt>
            <w:sdtPr>
              <w:rPr>
                <w:noProof/>
              </w:rPr>
              <w:id w:val="1926993388"/>
              <w:showingPlcHdr/>
              <w:picture/>
            </w:sdtPr>
            <w:sdtEndPr/>
            <w:sdtContent>
              <w:r w:rsidR="00353B01">
                <w:rPr>
                  <w:noProof/>
                  <w:lang w:eastAsia="en-AU"/>
                </w:rPr>
                <w:drawing>
                  <wp:inline distT="0" distB="0" distL="0" distR="0">
                    <wp:extent cx="1273175" cy="1273175"/>
                    <wp:effectExtent l="0" t="0" r="317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inline>
                </w:drawing>
              </w:r>
            </w:sdtContent>
          </w:sdt>
        </w:p>
      </w:tc>
    </w:tr>
  </w:tbl>
  <w:p w:rsidR="00353B01" w:rsidRDefault="00353B01" w:rsidP="006D03E5">
    <w:pPr>
      <w:rPr>
        <w:noProof/>
      </w:rPr>
    </w:pPr>
    <w:r w:rsidRPr="002B29B2">
      <w:rPr>
        <w:noProof/>
        <w:lang w:eastAsia="en-AU"/>
      </w:rPr>
      <w:drawing>
        <wp:anchor distT="0" distB="0" distL="114300" distR="114300" simplePos="0" relativeHeight="251666432" behindDoc="0" locked="0" layoutInCell="0" allowOverlap="1" wp14:anchorId="01136898" wp14:editId="60A03AFA">
          <wp:simplePos x="0" y="0"/>
          <wp:positionH relativeFrom="page">
            <wp:align>right</wp:align>
          </wp:positionH>
          <wp:positionV relativeFrom="page">
            <wp:posOffset>8010</wp:posOffset>
          </wp:positionV>
          <wp:extent cx="7552055" cy="106819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2055" cy="10681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01" w:rsidRDefault="00353B01"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01" w:rsidRPr="00FE501F" w:rsidRDefault="00353B0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B0"/>
    <w:rsid w:val="00002031"/>
    <w:rsid w:val="000040BA"/>
    <w:rsid w:val="00004734"/>
    <w:rsid w:val="00006B22"/>
    <w:rsid w:val="00010E4D"/>
    <w:rsid w:val="0001276A"/>
    <w:rsid w:val="00016BEB"/>
    <w:rsid w:val="000246AE"/>
    <w:rsid w:val="00025C67"/>
    <w:rsid w:val="00030D34"/>
    <w:rsid w:val="00032FFB"/>
    <w:rsid w:val="000343CA"/>
    <w:rsid w:val="0005559E"/>
    <w:rsid w:val="00062A41"/>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0242"/>
    <w:rsid w:val="001210F1"/>
    <w:rsid w:val="00125091"/>
    <w:rsid w:val="00125318"/>
    <w:rsid w:val="001305A2"/>
    <w:rsid w:val="00133238"/>
    <w:rsid w:val="00140FE3"/>
    <w:rsid w:val="0014197B"/>
    <w:rsid w:val="0014247A"/>
    <w:rsid w:val="001447CD"/>
    <w:rsid w:val="00144F3F"/>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A6DED"/>
    <w:rsid w:val="001B09F9"/>
    <w:rsid w:val="001B6448"/>
    <w:rsid w:val="001C3A9E"/>
    <w:rsid w:val="001D7224"/>
    <w:rsid w:val="001E07CF"/>
    <w:rsid w:val="001E275A"/>
    <w:rsid w:val="001E59F1"/>
    <w:rsid w:val="001F124F"/>
    <w:rsid w:val="001F20F9"/>
    <w:rsid w:val="001F49EB"/>
    <w:rsid w:val="001F6CBA"/>
    <w:rsid w:val="00201D4E"/>
    <w:rsid w:val="00215D48"/>
    <w:rsid w:val="00216047"/>
    <w:rsid w:val="00217091"/>
    <w:rsid w:val="00220B8A"/>
    <w:rsid w:val="002257F3"/>
    <w:rsid w:val="00231E8D"/>
    <w:rsid w:val="00233456"/>
    <w:rsid w:val="002339A5"/>
    <w:rsid w:val="00235517"/>
    <w:rsid w:val="00237691"/>
    <w:rsid w:val="002406B9"/>
    <w:rsid w:val="00247FB9"/>
    <w:rsid w:val="00257138"/>
    <w:rsid w:val="00257848"/>
    <w:rsid w:val="0027084A"/>
    <w:rsid w:val="00277E36"/>
    <w:rsid w:val="00286434"/>
    <w:rsid w:val="00286C59"/>
    <w:rsid w:val="00286D6B"/>
    <w:rsid w:val="0029069E"/>
    <w:rsid w:val="00290795"/>
    <w:rsid w:val="002942D1"/>
    <w:rsid w:val="002A0556"/>
    <w:rsid w:val="002A592C"/>
    <w:rsid w:val="002A5B3A"/>
    <w:rsid w:val="002A687A"/>
    <w:rsid w:val="002B1638"/>
    <w:rsid w:val="002B25CB"/>
    <w:rsid w:val="002B29B2"/>
    <w:rsid w:val="002C376C"/>
    <w:rsid w:val="002C6E9C"/>
    <w:rsid w:val="002D2AF7"/>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3B01"/>
    <w:rsid w:val="00357700"/>
    <w:rsid w:val="0036361E"/>
    <w:rsid w:val="003664BF"/>
    <w:rsid w:val="003728F3"/>
    <w:rsid w:val="00376793"/>
    <w:rsid w:val="0038176C"/>
    <w:rsid w:val="003843F6"/>
    <w:rsid w:val="00390900"/>
    <w:rsid w:val="00393398"/>
    <w:rsid w:val="003A2DDF"/>
    <w:rsid w:val="003B362C"/>
    <w:rsid w:val="003B3EC1"/>
    <w:rsid w:val="003B7E39"/>
    <w:rsid w:val="003C58DC"/>
    <w:rsid w:val="003D3B63"/>
    <w:rsid w:val="003D696C"/>
    <w:rsid w:val="003D6B56"/>
    <w:rsid w:val="003E0A89"/>
    <w:rsid w:val="003E3208"/>
    <w:rsid w:val="003F0B04"/>
    <w:rsid w:val="003F2E95"/>
    <w:rsid w:val="003F45B9"/>
    <w:rsid w:val="0040134E"/>
    <w:rsid w:val="00404B57"/>
    <w:rsid w:val="00404CD2"/>
    <w:rsid w:val="00406DB9"/>
    <w:rsid w:val="00416BCB"/>
    <w:rsid w:val="00426E74"/>
    <w:rsid w:val="004339FD"/>
    <w:rsid w:val="00440A2D"/>
    <w:rsid w:val="00442B25"/>
    <w:rsid w:val="00442DA9"/>
    <w:rsid w:val="004464A7"/>
    <w:rsid w:val="00446846"/>
    <w:rsid w:val="0045040C"/>
    <w:rsid w:val="004564A7"/>
    <w:rsid w:val="004617BF"/>
    <w:rsid w:val="00472C5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0CB7"/>
    <w:rsid w:val="00523FB1"/>
    <w:rsid w:val="00525165"/>
    <w:rsid w:val="00530354"/>
    <w:rsid w:val="00535D83"/>
    <w:rsid w:val="0054053C"/>
    <w:rsid w:val="00541FD8"/>
    <w:rsid w:val="005423EF"/>
    <w:rsid w:val="00542474"/>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B0FB7"/>
    <w:rsid w:val="005C5570"/>
    <w:rsid w:val="005C5FD4"/>
    <w:rsid w:val="005C79A4"/>
    <w:rsid w:val="005C7A29"/>
    <w:rsid w:val="005D1689"/>
    <w:rsid w:val="005D248B"/>
    <w:rsid w:val="005D5442"/>
    <w:rsid w:val="005D55A3"/>
    <w:rsid w:val="005E5568"/>
    <w:rsid w:val="005F1862"/>
    <w:rsid w:val="005F458A"/>
    <w:rsid w:val="005F5830"/>
    <w:rsid w:val="00610D73"/>
    <w:rsid w:val="00616354"/>
    <w:rsid w:val="00625015"/>
    <w:rsid w:val="00627036"/>
    <w:rsid w:val="00633B0F"/>
    <w:rsid w:val="006403B1"/>
    <w:rsid w:val="00640FC3"/>
    <w:rsid w:val="00642020"/>
    <w:rsid w:val="0065200D"/>
    <w:rsid w:val="0065337B"/>
    <w:rsid w:val="0065419D"/>
    <w:rsid w:val="006604D8"/>
    <w:rsid w:val="00664A5B"/>
    <w:rsid w:val="00667942"/>
    <w:rsid w:val="00680C08"/>
    <w:rsid w:val="0068741A"/>
    <w:rsid w:val="006931B1"/>
    <w:rsid w:val="006A0A61"/>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3CF4"/>
    <w:rsid w:val="00723BF8"/>
    <w:rsid w:val="00724E0E"/>
    <w:rsid w:val="00732FEE"/>
    <w:rsid w:val="0074253D"/>
    <w:rsid w:val="0074429B"/>
    <w:rsid w:val="00745B37"/>
    <w:rsid w:val="007477F8"/>
    <w:rsid w:val="00751EBD"/>
    <w:rsid w:val="00753687"/>
    <w:rsid w:val="00753A56"/>
    <w:rsid w:val="0075524A"/>
    <w:rsid w:val="007615BC"/>
    <w:rsid w:val="007622D7"/>
    <w:rsid w:val="00762F05"/>
    <w:rsid w:val="00764FC4"/>
    <w:rsid w:val="007652FF"/>
    <w:rsid w:val="00771329"/>
    <w:rsid w:val="00773EF7"/>
    <w:rsid w:val="00774C19"/>
    <w:rsid w:val="00774E1D"/>
    <w:rsid w:val="0077675A"/>
    <w:rsid w:val="00780355"/>
    <w:rsid w:val="00785721"/>
    <w:rsid w:val="00793A59"/>
    <w:rsid w:val="00793A7C"/>
    <w:rsid w:val="00795DC5"/>
    <w:rsid w:val="007A2162"/>
    <w:rsid w:val="007B3C16"/>
    <w:rsid w:val="007C0F3D"/>
    <w:rsid w:val="007C1AF7"/>
    <w:rsid w:val="007D2AAF"/>
    <w:rsid w:val="007E175B"/>
    <w:rsid w:val="007E3728"/>
    <w:rsid w:val="007F17AF"/>
    <w:rsid w:val="007F2054"/>
    <w:rsid w:val="00806AA1"/>
    <w:rsid w:val="00816164"/>
    <w:rsid w:val="00821776"/>
    <w:rsid w:val="00826007"/>
    <w:rsid w:val="008320C3"/>
    <w:rsid w:val="008321F5"/>
    <w:rsid w:val="00832369"/>
    <w:rsid w:val="00834660"/>
    <w:rsid w:val="00836BC2"/>
    <w:rsid w:val="0084264D"/>
    <w:rsid w:val="0085641B"/>
    <w:rsid w:val="0085691E"/>
    <w:rsid w:val="00857136"/>
    <w:rsid w:val="00865E4F"/>
    <w:rsid w:val="00896018"/>
    <w:rsid w:val="008A2B9D"/>
    <w:rsid w:val="008A4F0A"/>
    <w:rsid w:val="008A5E0B"/>
    <w:rsid w:val="008A6D59"/>
    <w:rsid w:val="008A7095"/>
    <w:rsid w:val="008B1A25"/>
    <w:rsid w:val="008B30B0"/>
    <w:rsid w:val="008B4B03"/>
    <w:rsid w:val="008B553E"/>
    <w:rsid w:val="008B596F"/>
    <w:rsid w:val="008C159F"/>
    <w:rsid w:val="008C1623"/>
    <w:rsid w:val="008C31C7"/>
    <w:rsid w:val="008C51A9"/>
    <w:rsid w:val="008C63C5"/>
    <w:rsid w:val="008C7541"/>
    <w:rsid w:val="008E3C43"/>
    <w:rsid w:val="008E3FF2"/>
    <w:rsid w:val="008E6C84"/>
    <w:rsid w:val="008F1CCC"/>
    <w:rsid w:val="008F2967"/>
    <w:rsid w:val="008F3AE6"/>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958AC"/>
    <w:rsid w:val="00996C1C"/>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2C69"/>
    <w:rsid w:val="00A644D1"/>
    <w:rsid w:val="00A73A8D"/>
    <w:rsid w:val="00A77452"/>
    <w:rsid w:val="00A87334"/>
    <w:rsid w:val="00AA3EB9"/>
    <w:rsid w:val="00AC2B40"/>
    <w:rsid w:val="00AC2BB2"/>
    <w:rsid w:val="00AC2C3C"/>
    <w:rsid w:val="00AC3BD9"/>
    <w:rsid w:val="00AC3D45"/>
    <w:rsid w:val="00AC4603"/>
    <w:rsid w:val="00AD5831"/>
    <w:rsid w:val="00AE0CC0"/>
    <w:rsid w:val="00AE5AB2"/>
    <w:rsid w:val="00AE65EB"/>
    <w:rsid w:val="00AF1D94"/>
    <w:rsid w:val="00AF60C5"/>
    <w:rsid w:val="00AF69CB"/>
    <w:rsid w:val="00B009C6"/>
    <w:rsid w:val="00B00ACB"/>
    <w:rsid w:val="00B01548"/>
    <w:rsid w:val="00B01551"/>
    <w:rsid w:val="00B12978"/>
    <w:rsid w:val="00B147DA"/>
    <w:rsid w:val="00B21D29"/>
    <w:rsid w:val="00B21FC5"/>
    <w:rsid w:val="00B23323"/>
    <w:rsid w:val="00B24FF5"/>
    <w:rsid w:val="00B25034"/>
    <w:rsid w:val="00B26139"/>
    <w:rsid w:val="00B33863"/>
    <w:rsid w:val="00B356BA"/>
    <w:rsid w:val="00B37D17"/>
    <w:rsid w:val="00B4175E"/>
    <w:rsid w:val="00B50249"/>
    <w:rsid w:val="00B510E1"/>
    <w:rsid w:val="00B54C25"/>
    <w:rsid w:val="00B7269A"/>
    <w:rsid w:val="00B76B91"/>
    <w:rsid w:val="00B87BB7"/>
    <w:rsid w:val="00B946A9"/>
    <w:rsid w:val="00B9484C"/>
    <w:rsid w:val="00B94CFB"/>
    <w:rsid w:val="00BA0DFC"/>
    <w:rsid w:val="00BB1D72"/>
    <w:rsid w:val="00BB3E30"/>
    <w:rsid w:val="00BC1CAB"/>
    <w:rsid w:val="00BC622A"/>
    <w:rsid w:val="00BD0B28"/>
    <w:rsid w:val="00BD5BBA"/>
    <w:rsid w:val="00BE0A78"/>
    <w:rsid w:val="00BE243C"/>
    <w:rsid w:val="00BE79F0"/>
    <w:rsid w:val="00BF046D"/>
    <w:rsid w:val="00BF43F2"/>
    <w:rsid w:val="00BF5D04"/>
    <w:rsid w:val="00C0160D"/>
    <w:rsid w:val="00C13563"/>
    <w:rsid w:val="00C14835"/>
    <w:rsid w:val="00C1617C"/>
    <w:rsid w:val="00C23477"/>
    <w:rsid w:val="00C234E6"/>
    <w:rsid w:val="00C24FC6"/>
    <w:rsid w:val="00C2728C"/>
    <w:rsid w:val="00C3408D"/>
    <w:rsid w:val="00C404A6"/>
    <w:rsid w:val="00C40A36"/>
    <w:rsid w:val="00C44419"/>
    <w:rsid w:val="00C45E7B"/>
    <w:rsid w:val="00C471B1"/>
    <w:rsid w:val="00C4743E"/>
    <w:rsid w:val="00C50E5C"/>
    <w:rsid w:val="00C61683"/>
    <w:rsid w:val="00C6316B"/>
    <w:rsid w:val="00C634A9"/>
    <w:rsid w:val="00C71313"/>
    <w:rsid w:val="00C7475B"/>
    <w:rsid w:val="00C76805"/>
    <w:rsid w:val="00C772FF"/>
    <w:rsid w:val="00C801AF"/>
    <w:rsid w:val="00C80256"/>
    <w:rsid w:val="00C85953"/>
    <w:rsid w:val="00C87DC4"/>
    <w:rsid w:val="00CA7F9C"/>
    <w:rsid w:val="00CB0F08"/>
    <w:rsid w:val="00CB6BC0"/>
    <w:rsid w:val="00CB73C5"/>
    <w:rsid w:val="00CC1B7C"/>
    <w:rsid w:val="00CC727F"/>
    <w:rsid w:val="00CD1F02"/>
    <w:rsid w:val="00CD30CC"/>
    <w:rsid w:val="00CD6FCC"/>
    <w:rsid w:val="00CE5067"/>
    <w:rsid w:val="00CE5BB0"/>
    <w:rsid w:val="00CE6AAA"/>
    <w:rsid w:val="00CF15C3"/>
    <w:rsid w:val="00CF2B6F"/>
    <w:rsid w:val="00CF4791"/>
    <w:rsid w:val="00CF6860"/>
    <w:rsid w:val="00D017ED"/>
    <w:rsid w:val="00D11F5C"/>
    <w:rsid w:val="00D14C2F"/>
    <w:rsid w:val="00D153B1"/>
    <w:rsid w:val="00D20C54"/>
    <w:rsid w:val="00D224FE"/>
    <w:rsid w:val="00D229BA"/>
    <w:rsid w:val="00D25F22"/>
    <w:rsid w:val="00D27857"/>
    <w:rsid w:val="00D30526"/>
    <w:rsid w:val="00D3646E"/>
    <w:rsid w:val="00D55652"/>
    <w:rsid w:val="00D64401"/>
    <w:rsid w:val="00D6493E"/>
    <w:rsid w:val="00D653A9"/>
    <w:rsid w:val="00D76300"/>
    <w:rsid w:val="00D76B69"/>
    <w:rsid w:val="00D85417"/>
    <w:rsid w:val="00D9141E"/>
    <w:rsid w:val="00D97863"/>
    <w:rsid w:val="00DA1124"/>
    <w:rsid w:val="00DA24C7"/>
    <w:rsid w:val="00DA381C"/>
    <w:rsid w:val="00DA4CD9"/>
    <w:rsid w:val="00DA5500"/>
    <w:rsid w:val="00DB5DA5"/>
    <w:rsid w:val="00DC2176"/>
    <w:rsid w:val="00DD75A3"/>
    <w:rsid w:val="00DD76DE"/>
    <w:rsid w:val="00DE02AE"/>
    <w:rsid w:val="00DE6A0C"/>
    <w:rsid w:val="00DE6C04"/>
    <w:rsid w:val="00DF1D7F"/>
    <w:rsid w:val="00DF2E31"/>
    <w:rsid w:val="00DF45B9"/>
    <w:rsid w:val="00DF6BE8"/>
    <w:rsid w:val="00E02FB4"/>
    <w:rsid w:val="00E1198B"/>
    <w:rsid w:val="00E11E4D"/>
    <w:rsid w:val="00E1340C"/>
    <w:rsid w:val="00E177F4"/>
    <w:rsid w:val="00E20571"/>
    <w:rsid w:val="00E21651"/>
    <w:rsid w:val="00E22953"/>
    <w:rsid w:val="00E235F7"/>
    <w:rsid w:val="00E239D4"/>
    <w:rsid w:val="00E26119"/>
    <w:rsid w:val="00E30C88"/>
    <w:rsid w:val="00E32A5C"/>
    <w:rsid w:val="00E33BAA"/>
    <w:rsid w:val="00E40B22"/>
    <w:rsid w:val="00E42F87"/>
    <w:rsid w:val="00E44652"/>
    <w:rsid w:val="00E4588F"/>
    <w:rsid w:val="00E46DA3"/>
    <w:rsid w:val="00E47660"/>
    <w:rsid w:val="00E67774"/>
    <w:rsid w:val="00E761C3"/>
    <w:rsid w:val="00E80CB2"/>
    <w:rsid w:val="00EA16DE"/>
    <w:rsid w:val="00EA1F09"/>
    <w:rsid w:val="00EA2ED8"/>
    <w:rsid w:val="00EA406B"/>
    <w:rsid w:val="00EA7E1D"/>
    <w:rsid w:val="00EB0798"/>
    <w:rsid w:val="00EB40AD"/>
    <w:rsid w:val="00EB40DF"/>
    <w:rsid w:val="00EB4CBC"/>
    <w:rsid w:val="00EB5622"/>
    <w:rsid w:val="00EB586E"/>
    <w:rsid w:val="00EB5FC8"/>
    <w:rsid w:val="00EB6CAF"/>
    <w:rsid w:val="00ED555A"/>
    <w:rsid w:val="00ED5A41"/>
    <w:rsid w:val="00ED6A67"/>
    <w:rsid w:val="00EF3F86"/>
    <w:rsid w:val="00EF578B"/>
    <w:rsid w:val="00EF6895"/>
    <w:rsid w:val="00F033EC"/>
    <w:rsid w:val="00F04F68"/>
    <w:rsid w:val="00F0622D"/>
    <w:rsid w:val="00F06FA8"/>
    <w:rsid w:val="00F12670"/>
    <w:rsid w:val="00F14B27"/>
    <w:rsid w:val="00F2301F"/>
    <w:rsid w:val="00F27030"/>
    <w:rsid w:val="00F274A2"/>
    <w:rsid w:val="00F31011"/>
    <w:rsid w:val="00F3148D"/>
    <w:rsid w:val="00F35298"/>
    <w:rsid w:val="00F3529E"/>
    <w:rsid w:val="00F401EF"/>
    <w:rsid w:val="00F427F0"/>
    <w:rsid w:val="00F47E37"/>
    <w:rsid w:val="00F54CA9"/>
    <w:rsid w:val="00F554B4"/>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D63FD"/>
    <w:rsid w:val="00FD7CC0"/>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071F4A53"/>
  <w15:docId w15:val="{39A6C783-26F3-49A2-A84B-1B921E1A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B3EC1"/>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DC2176"/>
    <w:pPr>
      <w:keepNext/>
      <w:keepLines/>
      <w:spacing w:before="240" w:after="120"/>
      <w:outlineLvl w:val="2"/>
    </w:pPr>
    <w:rPr>
      <w:rFonts w:ascii="Arial" w:eastAsia="Times New Roman" w:hAnsi="Arial"/>
      <w:b/>
      <w:bCs/>
      <w:color w:val="004672"/>
      <w:sz w:val="28"/>
      <w:szCs w:val="32"/>
    </w:rPr>
  </w:style>
  <w:style w:type="paragraph" w:styleId="Heading4">
    <w:name w:val="heading 4"/>
    <w:basedOn w:val="Normal"/>
    <w:next w:val="Normal"/>
    <w:link w:val="Heading4Char"/>
    <w:qFormat/>
    <w:rsid w:val="00865E4F"/>
    <w:pPr>
      <w:keepNext/>
      <w:keepLines/>
      <w:spacing w:before="360" w:after="120"/>
      <w:outlineLvl w:val="3"/>
    </w:pPr>
    <w:rPr>
      <w:rFonts w:ascii="Segoe UI Semibold" w:hAnsi="Segoe UI Semibold"/>
      <w:bCs/>
      <w:sz w:val="26"/>
      <w:szCs w:val="26"/>
    </w:rPr>
  </w:style>
  <w:style w:type="paragraph" w:styleId="Heading5">
    <w:name w:val="heading 5"/>
    <w:basedOn w:val="Normal"/>
    <w:next w:val="Normal"/>
    <w:link w:val="Heading5Char"/>
    <w:uiPriority w:val="9"/>
    <w:rsid w:val="006A0A61"/>
    <w:pPr>
      <w:keepNext/>
      <w:keepLines/>
      <w:spacing w:before="240" w:after="120"/>
      <w:outlineLvl w:val="4"/>
    </w:pPr>
    <w:rPr>
      <w:rFonts w:ascii="Segoe UI Semibold" w:eastAsia="Times New Roman" w:hAnsi="Segoe UI Semibold"/>
      <w:bCs/>
      <w:color w:val="004672"/>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3B3EC1"/>
    <w:rPr>
      <w:rFonts w:ascii="Arial" w:eastAsia="Times New Roman" w:hAnsi="Arial"/>
      <w:b/>
      <w:bCs/>
      <w:sz w:val="38"/>
      <w:szCs w:val="38"/>
      <w:lang w:eastAsia="en-US"/>
    </w:rPr>
  </w:style>
  <w:style w:type="character" w:customStyle="1" w:styleId="Heading3Char">
    <w:name w:val="Heading 3 Char"/>
    <w:basedOn w:val="DefaultParagraphFont"/>
    <w:link w:val="Heading3"/>
    <w:rsid w:val="00DC2176"/>
    <w:rPr>
      <w:rFonts w:ascii="Arial" w:eastAsia="Times New Roman" w:hAnsi="Arial"/>
      <w:b/>
      <w:bCs/>
      <w:color w:val="004672"/>
      <w:sz w:val="28"/>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865E4F"/>
    <w:rPr>
      <w:rFonts w:ascii="Segoe UI Semibold" w:hAnsi="Segoe UI Semibold"/>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6A0A61"/>
    <w:rPr>
      <w:rFonts w:ascii="Segoe UI Semibold" w:eastAsia="Times New Roman" w:hAnsi="Segoe UI Semibold"/>
      <w:bCs/>
      <w:color w:val="004672"/>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CF6860"/>
    <w:pPr>
      <w:keepNext/>
      <w:ind w:left="993" w:hanging="993"/>
    </w:pPr>
    <w:rPr>
      <w:rFonts w:ascii="Segoe UI Semibold" w:hAnsi="Segoe UI Semibold"/>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customStyle="1" w:styleId="Title-intropage">
    <w:name w:val="Title - intro page"/>
    <w:basedOn w:val="Normal"/>
    <w:uiPriority w:val="99"/>
    <w:rsid w:val="008B30B0"/>
    <w:pPr>
      <w:suppressAutoHyphens/>
      <w:autoSpaceDE w:val="0"/>
      <w:autoSpaceDN w:val="0"/>
      <w:adjustRightInd w:val="0"/>
      <w:spacing w:before="0" w:after="57" w:line="288" w:lineRule="auto"/>
      <w:textAlignment w:val="center"/>
    </w:pPr>
    <w:rPr>
      <w:rFonts w:ascii="Segoe UI" w:hAnsi="Segoe UI" w:cs="Segoe UI"/>
      <w:color w:val="63819F"/>
      <w:spacing w:val="-22"/>
      <w:sz w:val="74"/>
      <w:szCs w:val="74"/>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 TargetMode="Externa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 mean approval time'!$A$3</c:f>
              <c:strCache>
                <c:ptCount val="1"/>
                <c:pt idx="0">
                  <c:v>A - New chemical entity/New biological entity/Biosimilar</c:v>
                </c:pt>
              </c:strCache>
            </c:strRef>
          </c:tx>
          <c:spPr>
            <a:solidFill>
              <a:schemeClr val="accent1">
                <a:lumMod val="75000"/>
              </a:schemeClr>
            </a:solidFill>
            <a:ln>
              <a:noFill/>
            </a:ln>
            <a:effectLst/>
          </c:spPr>
          <c:invertIfNegative val="0"/>
          <c:dLbls>
            <c:dLbl>
              <c:idx val="0"/>
              <c:layout>
                <c:manualLayout>
                  <c:x val="-2.2511200328522579E-17"/>
                  <c:y val="4.2784994499511456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8F9-43C8-92CA-85D490F6B4CB}"/>
                </c:ext>
              </c:extLst>
            </c:dLbl>
            <c:dLbl>
              <c:idx val="1"/>
              <c:layout>
                <c:manualLayout>
                  <c:x val="-9.0044801314090317E-17"/>
                  <c:y val="-6.3730183913412227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8F9-43C8-92CA-85D490F6B4C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2 mean approval time'!$B$2:$C$2</c:f>
              <c:strCache>
                <c:ptCount val="2"/>
                <c:pt idx="0">
                  <c:v>July to December 2019</c:v>
                </c:pt>
                <c:pt idx="1">
                  <c:v>July to December 2020</c:v>
                </c:pt>
              </c:strCache>
            </c:strRef>
          </c:cat>
          <c:val>
            <c:numRef>
              <c:f>'Figure 2 mean approval time'!$B$3:$C$3</c:f>
              <c:numCache>
                <c:formatCode>#,##0</c:formatCode>
                <c:ptCount val="2"/>
                <c:pt idx="0">
                  <c:v>201</c:v>
                </c:pt>
                <c:pt idx="1">
                  <c:v>182</c:v>
                </c:pt>
              </c:numCache>
            </c:numRef>
          </c:val>
          <c:extLst>
            <c:ext xmlns:c16="http://schemas.microsoft.com/office/drawing/2014/chart" uri="{C3380CC4-5D6E-409C-BE32-E72D297353CC}">
              <c16:uniqueId val="{00000002-88F9-43C8-92CA-85D490F6B4CB}"/>
            </c:ext>
          </c:extLst>
        </c:ser>
        <c:ser>
          <c:idx val="1"/>
          <c:order val="1"/>
          <c:tx>
            <c:strRef>
              <c:f>'Figure 2 mean approval time'!$A$4</c:f>
              <c:strCache>
                <c:ptCount val="1"/>
                <c:pt idx="0">
                  <c:v>C - Extension of indications</c:v>
                </c:pt>
              </c:strCache>
            </c:strRef>
          </c:tx>
          <c:spPr>
            <a:solidFill>
              <a:schemeClr val="accent5"/>
            </a:solidFill>
            <a:ln>
              <a:noFill/>
            </a:ln>
            <a:effectLst/>
          </c:spPr>
          <c:invertIfNegative val="0"/>
          <c:dLbls>
            <c:dLbl>
              <c:idx val="0"/>
              <c:layout>
                <c:manualLayout>
                  <c:x val="0"/>
                  <c:y val="7.2799350285368417E-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8F9-43C8-92CA-85D490F6B4CB}"/>
                </c:ext>
              </c:extLst>
            </c:dLbl>
            <c:dLbl>
              <c:idx val="1"/>
              <c:layout>
                <c:manualLayout>
                  <c:x val="-2.4557956777996972E-3"/>
                  <c:y val="-1.347403028553616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8F9-43C8-92CA-85D490F6B4C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2 mean approval time'!$B$2:$C$2</c:f>
              <c:strCache>
                <c:ptCount val="2"/>
                <c:pt idx="0">
                  <c:v>July to December 2019</c:v>
                </c:pt>
                <c:pt idx="1">
                  <c:v>July to December 2020</c:v>
                </c:pt>
              </c:strCache>
            </c:strRef>
          </c:cat>
          <c:val>
            <c:numRef>
              <c:f>'Figure 2 mean approval time'!$B$4:$C$4</c:f>
              <c:numCache>
                <c:formatCode>#,##0</c:formatCode>
                <c:ptCount val="2"/>
                <c:pt idx="0">
                  <c:v>170.61290322580649</c:v>
                </c:pt>
                <c:pt idx="1">
                  <c:v>176.38888888888891</c:v>
                </c:pt>
              </c:numCache>
            </c:numRef>
          </c:val>
          <c:extLst>
            <c:ext xmlns:c16="http://schemas.microsoft.com/office/drawing/2014/chart" uri="{C3380CC4-5D6E-409C-BE32-E72D297353CC}">
              <c16:uniqueId val="{00000005-88F9-43C8-92CA-85D490F6B4CB}"/>
            </c:ext>
          </c:extLst>
        </c:ser>
        <c:ser>
          <c:idx val="2"/>
          <c:order val="2"/>
          <c:tx>
            <c:strRef>
              <c:f>'Figure 2 mean approval time'!$A$5</c:f>
              <c:strCache>
                <c:ptCount val="1"/>
                <c:pt idx="0">
                  <c:v>D - New generic medicine</c:v>
                </c:pt>
              </c:strCache>
            </c:strRef>
          </c:tx>
          <c:spPr>
            <a:solidFill>
              <a:schemeClr val="accent5">
                <a:tint val="65000"/>
              </a:schemeClr>
            </a:solidFill>
            <a:ln>
              <a:noFill/>
            </a:ln>
            <a:effectLst/>
          </c:spPr>
          <c:invertIfNegative val="0"/>
          <c:dLbls>
            <c:dLbl>
              <c:idx val="0"/>
              <c:layout>
                <c:manualLayout>
                  <c:x val="-4.5022400657045159E-17"/>
                  <c:y val="7.2799350285366791E-4"/>
                </c:manualLayout>
              </c:layout>
              <c:tx>
                <c:rich>
                  <a:bodyPr/>
                  <a:lstStyle/>
                  <a:p>
                    <a:fld id="{69BF1900-1D61-48A1-AF63-EB0D9DA69A21}" type="VALUE">
                      <a:rPr lang="en-US" sz="1000" b="1">
                        <a:solidFill>
                          <a:sysClr val="windowText" lastClr="000000"/>
                        </a:solidFill>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88F9-43C8-92CA-85D490F6B4CB}"/>
                </c:ext>
              </c:extLst>
            </c:dLbl>
            <c:dLbl>
              <c:idx val="1"/>
              <c:layout>
                <c:manualLayout>
                  <c:x val="0"/>
                  <c:y val="-6.3730183913412383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8F9-43C8-92CA-85D490F6B4C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2 mean approval time'!$B$2:$C$2</c:f>
              <c:strCache>
                <c:ptCount val="2"/>
                <c:pt idx="0">
                  <c:v>July to December 2019</c:v>
                </c:pt>
                <c:pt idx="1">
                  <c:v>July to December 2020</c:v>
                </c:pt>
              </c:strCache>
            </c:strRef>
          </c:cat>
          <c:val>
            <c:numRef>
              <c:f>'Figure 2 mean approval time'!$B$5:$C$5</c:f>
              <c:numCache>
                <c:formatCode>#,##0</c:formatCode>
                <c:ptCount val="2"/>
                <c:pt idx="0">
                  <c:v>187.58333333333329</c:v>
                </c:pt>
                <c:pt idx="1">
                  <c:v>158.23809523809521</c:v>
                </c:pt>
              </c:numCache>
            </c:numRef>
          </c:val>
          <c:extLst>
            <c:ext xmlns:c16="http://schemas.microsoft.com/office/drawing/2014/chart" uri="{C3380CC4-5D6E-409C-BE32-E72D297353CC}">
              <c16:uniqueId val="{00000008-88F9-43C8-92CA-85D490F6B4CB}"/>
            </c:ext>
          </c:extLst>
        </c:ser>
        <c:dLbls>
          <c:dLblPos val="inEnd"/>
          <c:showLegendKey val="0"/>
          <c:showVal val="1"/>
          <c:showCatName val="0"/>
          <c:showSerName val="0"/>
          <c:showPercent val="0"/>
          <c:showBubbleSize val="0"/>
        </c:dLbls>
        <c:gapWidth val="150"/>
        <c:axId val="652009736"/>
        <c:axId val="652013344"/>
      </c:barChart>
      <c:catAx>
        <c:axId val="652009736"/>
        <c:scaling>
          <c:orientation val="minMax"/>
        </c:scaling>
        <c:delete val="0"/>
        <c:axPos val="b"/>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52013344"/>
        <c:crosses val="autoZero"/>
        <c:auto val="0"/>
        <c:lblAlgn val="ctr"/>
        <c:lblOffset val="100"/>
        <c:noMultiLvlLbl val="0"/>
      </c:catAx>
      <c:valAx>
        <c:axId val="652013344"/>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w="12700">
            <a:solidFill>
              <a:schemeClr val="tx1"/>
            </a:solid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2009736"/>
        <c:crossesAt val="1"/>
        <c:crossBetween val="between"/>
      </c:valAx>
      <c:spPr>
        <a:noFill/>
        <a:ln>
          <a:noFill/>
        </a:ln>
        <a:effectLst/>
      </c:spPr>
    </c:plotArea>
    <c:legend>
      <c:legendPos val="b"/>
      <c:layout>
        <c:manualLayout>
          <c:xMode val="edge"/>
          <c:yMode val="edge"/>
          <c:x val="0.13160435004563525"/>
          <c:y val="0.80561427247477257"/>
          <c:w val="0.80945655368717417"/>
          <c:h val="0.173082691842642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313481380755058E-2"/>
          <c:y val="3.6354820321536106E-2"/>
          <c:w val="0.85496632640873216"/>
          <c:h val="0.62681824820954568"/>
        </c:manualLayout>
      </c:layout>
      <c:barChart>
        <c:barDir val="col"/>
        <c:grouping val="clustered"/>
        <c:varyColors val="0"/>
        <c:ser>
          <c:idx val="0"/>
          <c:order val="0"/>
          <c:tx>
            <c:strRef>
              <c:f>'Figure 3 medain approval time'!$A$2</c:f>
              <c:strCache>
                <c:ptCount val="1"/>
                <c:pt idx="0">
                  <c:v>A - New chemical entity/New biological entity/Biosimilar</c:v>
                </c:pt>
              </c:strCache>
            </c:strRef>
          </c:tx>
          <c:spPr>
            <a:solidFill>
              <a:schemeClr val="accent5">
                <a:shade val="65000"/>
              </a:schemeClr>
            </a:solidFill>
            <a:ln>
              <a:noFill/>
            </a:ln>
            <a:effectLst/>
          </c:spPr>
          <c:invertIfNegative val="0"/>
          <c:dLbls>
            <c:dLbl>
              <c:idx val="0"/>
              <c:layout>
                <c:manualLayout>
                  <c:x val="-1.5968063872255488E-3"/>
                  <c:y val="-4.4606135152186835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18F-4249-B151-5B9D0DB1AAD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 medain approval time'!$B$1:$C$1</c:f>
              <c:strCache>
                <c:ptCount val="2"/>
                <c:pt idx="0">
                  <c:v>July to December 2019</c:v>
                </c:pt>
                <c:pt idx="1">
                  <c:v>July to December 2020</c:v>
                </c:pt>
              </c:strCache>
            </c:strRef>
          </c:cat>
          <c:val>
            <c:numRef>
              <c:f>'Figure 3 medain approval time'!$B$2:$C$2</c:f>
              <c:numCache>
                <c:formatCode>#,##0</c:formatCode>
                <c:ptCount val="2"/>
                <c:pt idx="0">
                  <c:v>198</c:v>
                </c:pt>
                <c:pt idx="1">
                  <c:v>196</c:v>
                </c:pt>
              </c:numCache>
            </c:numRef>
          </c:val>
          <c:extLst>
            <c:ext xmlns:c16="http://schemas.microsoft.com/office/drawing/2014/chart" uri="{C3380CC4-5D6E-409C-BE32-E72D297353CC}">
              <c16:uniqueId val="{00000001-B18F-4249-B151-5B9D0DB1AADD}"/>
            </c:ext>
          </c:extLst>
        </c:ser>
        <c:ser>
          <c:idx val="1"/>
          <c:order val="1"/>
          <c:tx>
            <c:strRef>
              <c:f>'Figure 3 medain approval time'!$A$3</c:f>
              <c:strCache>
                <c:ptCount val="1"/>
                <c:pt idx="0">
                  <c:v>C - Extension of indications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 medain approval time'!$B$1:$C$1</c:f>
              <c:strCache>
                <c:ptCount val="2"/>
                <c:pt idx="0">
                  <c:v>July to December 2019</c:v>
                </c:pt>
                <c:pt idx="1">
                  <c:v>July to December 2020</c:v>
                </c:pt>
              </c:strCache>
            </c:strRef>
          </c:cat>
          <c:val>
            <c:numRef>
              <c:f>'Figure 3 medain approval time'!$B$3:$C$3</c:f>
              <c:numCache>
                <c:formatCode>#,##0</c:formatCode>
                <c:ptCount val="2"/>
                <c:pt idx="0">
                  <c:v>176</c:v>
                </c:pt>
                <c:pt idx="1">
                  <c:v>194.5</c:v>
                </c:pt>
              </c:numCache>
            </c:numRef>
          </c:val>
          <c:extLst>
            <c:ext xmlns:c16="http://schemas.microsoft.com/office/drawing/2014/chart" uri="{C3380CC4-5D6E-409C-BE32-E72D297353CC}">
              <c16:uniqueId val="{00000002-B18F-4249-B151-5B9D0DB1AADD}"/>
            </c:ext>
          </c:extLst>
        </c:ser>
        <c:ser>
          <c:idx val="2"/>
          <c:order val="2"/>
          <c:tx>
            <c:strRef>
              <c:f>'Figure 3 medain approval time'!$A$4</c:f>
              <c:strCache>
                <c:ptCount val="1"/>
                <c:pt idx="0">
                  <c:v>D - New generic medicine</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 medain approval time'!$B$1:$C$1</c:f>
              <c:strCache>
                <c:ptCount val="2"/>
                <c:pt idx="0">
                  <c:v>July to December 2019</c:v>
                </c:pt>
                <c:pt idx="1">
                  <c:v>July to December 2020</c:v>
                </c:pt>
              </c:strCache>
            </c:strRef>
          </c:cat>
          <c:val>
            <c:numRef>
              <c:f>'Figure 3 medain approval time'!$B$4:$C$4</c:f>
              <c:numCache>
                <c:formatCode>#,##0</c:formatCode>
                <c:ptCount val="2"/>
                <c:pt idx="0">
                  <c:v>173</c:v>
                </c:pt>
                <c:pt idx="1">
                  <c:v>152</c:v>
                </c:pt>
              </c:numCache>
            </c:numRef>
          </c:val>
          <c:extLst>
            <c:ext xmlns:c16="http://schemas.microsoft.com/office/drawing/2014/chart" uri="{C3380CC4-5D6E-409C-BE32-E72D297353CC}">
              <c16:uniqueId val="{00000003-B18F-4249-B151-5B9D0DB1AADD}"/>
            </c:ext>
          </c:extLst>
        </c:ser>
        <c:dLbls>
          <c:showLegendKey val="0"/>
          <c:showVal val="0"/>
          <c:showCatName val="0"/>
          <c:showSerName val="0"/>
          <c:showPercent val="0"/>
          <c:showBubbleSize val="0"/>
        </c:dLbls>
        <c:gapWidth val="150"/>
        <c:axId val="688595192"/>
        <c:axId val="688592896"/>
      </c:barChart>
      <c:catAx>
        <c:axId val="688595192"/>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88592896"/>
        <c:crosses val="autoZero"/>
        <c:auto val="1"/>
        <c:lblAlgn val="ctr"/>
        <c:lblOffset val="100"/>
        <c:noMultiLvlLbl val="0"/>
      </c:catAx>
      <c:valAx>
        <c:axId val="688592896"/>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88595192"/>
        <c:crosses val="autoZero"/>
        <c:crossBetween val="between"/>
      </c:valAx>
      <c:spPr>
        <a:noFill/>
        <a:ln>
          <a:noFill/>
        </a:ln>
        <a:effectLst/>
      </c:spPr>
    </c:plotArea>
    <c:legend>
      <c:legendPos val="b"/>
      <c:layout>
        <c:manualLayout>
          <c:xMode val="edge"/>
          <c:yMode val="edge"/>
          <c:x val="0.10312516653037973"/>
          <c:y val="0.77763107788156094"/>
          <c:w val="0.77532625282304823"/>
          <c:h val="0.145476788853698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7653-F6C8-4E14-A5C8-DF5E882A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518</TotalTime>
  <Pages>46</Pages>
  <Words>10618</Words>
  <Characters>57338</Characters>
  <Application>Microsoft Office Word</Application>
  <DocSecurity>0</DocSecurity>
  <Lines>2492</Lines>
  <Paragraphs>2059</Paragraphs>
  <ScaleCrop>false</ScaleCrop>
  <HeadingPairs>
    <vt:vector size="2" baseType="variant">
      <vt:variant>
        <vt:lpstr>Title</vt:lpstr>
      </vt:variant>
      <vt:variant>
        <vt:i4>1</vt:i4>
      </vt:variant>
    </vt:vector>
  </HeadingPairs>
  <TitlesOfParts>
    <vt:vector size="1" baseType="lpstr">
      <vt:lpstr>Therapeutic Goods Administration Half Yearly Performance Snapshot, 1 July to 31 December 2020</vt:lpstr>
    </vt:vector>
  </TitlesOfParts>
  <Company>TGA</Company>
  <LinksUpToDate>false</LinksUpToDate>
  <CharactersWithSpaces>65897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Administration Half Yearly Performance Snapshot, 1 July to 31 December 2020</dc:title>
  <dc:subject>therapeutic goods regulation</dc:subject>
  <dc:creator>Therapeutic Goods Administration</dc:creator>
  <cp:lastPrinted>2010-12-20T22:59:00Z</cp:lastPrinted>
  <dcterms:created xsi:type="dcterms:W3CDTF">2021-04-16T01:29:00Z</dcterms:created>
  <dcterms:modified xsi:type="dcterms:W3CDTF">2021-04-20T01:09:00Z</dcterms:modified>
</cp:coreProperties>
</file>