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D26" w:rsidRPr="00143C34" w:rsidRDefault="001826EB" w:rsidP="002E40F0">
      <w:pPr>
        <w:pStyle w:val="StyleBodyCalibriLinespacingsingl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5pt;height:13.45pt">
            <v:imagedata r:id="rId8" o:title="BT_1000x858px"/>
          </v:shape>
        </w:pict>
      </w:r>
      <w:r w:rsidR="00033D26" w:rsidRPr="00143C34">
        <w:t xml:space="preserve">This medicinal product is subject to additional monitoring. This will allow quick identification of new safety information. Healthcare professionals are asked to report any suspected adverse </w:t>
      </w:r>
      <w:r w:rsidR="00472AEF" w:rsidRPr="00143C34">
        <w:t>events</w:t>
      </w:r>
      <w:r w:rsidR="00033D26" w:rsidRPr="00143C34">
        <w:t xml:space="preserve">. See </w:t>
      </w:r>
      <w:r w:rsidR="00472AEF" w:rsidRPr="00143C34">
        <w:t>S</w:t>
      </w:r>
      <w:r w:rsidR="00033D26" w:rsidRPr="00143C34">
        <w:t xml:space="preserve">ection 4.8 for how to report </w:t>
      </w:r>
      <w:r w:rsidR="0068398E" w:rsidRPr="00143C34">
        <w:t>adverse events</w:t>
      </w:r>
      <w:r w:rsidR="00033D26" w:rsidRPr="00143C34">
        <w:t>.</w:t>
      </w:r>
    </w:p>
    <w:p w:rsidR="00174D43" w:rsidRPr="002E40F0" w:rsidRDefault="00174D43" w:rsidP="002E40F0">
      <w:pPr>
        <w:pStyle w:val="StyleHeading1LatinCambriaAutoAllcaps"/>
      </w:pPr>
      <w:r w:rsidRPr="005A4F0B">
        <w:rPr>
          <w:rFonts w:eastAsia="SimSun"/>
          <w:lang w:val="en-AU"/>
        </w:rPr>
        <w:t>AUSTRALIAN PI – AJOVY</w:t>
      </w:r>
      <w:r w:rsidR="00947F4C" w:rsidRPr="00143C34">
        <w:rPr>
          <w:rFonts w:eastAsia="SimSun"/>
          <w:vertAlign w:val="superscript"/>
          <w:lang w:val="en-AU"/>
        </w:rPr>
        <w:t>®</w:t>
      </w:r>
      <w:r w:rsidRPr="002E40F0">
        <w:t xml:space="preserve"> (FREMANEZUMAB) </w:t>
      </w:r>
      <w:r w:rsidR="0068398E" w:rsidRPr="002E40F0">
        <w:t>SOLUTION FOR INJECTION</w:t>
      </w:r>
    </w:p>
    <w:p w:rsidR="00812D16" w:rsidRPr="00FD2FBF" w:rsidRDefault="00812D16" w:rsidP="002E40F0">
      <w:pPr>
        <w:pStyle w:val="StyleHeading1LatinCambria12ptAutoSmallcapsLeft"/>
        <w:rPr>
          <w:rFonts w:eastAsia="Calibri"/>
          <w:lang w:val="en-AU"/>
        </w:rPr>
      </w:pPr>
      <w:r w:rsidRPr="00FD2FBF">
        <w:rPr>
          <w:rFonts w:eastAsia="Calibri"/>
          <w:lang w:val="en-AU"/>
        </w:rPr>
        <w:t>1.</w:t>
      </w:r>
      <w:r w:rsidRPr="00FD2FBF">
        <w:rPr>
          <w:rFonts w:eastAsia="Calibri"/>
          <w:lang w:val="en-AU"/>
        </w:rPr>
        <w:tab/>
        <w:t>NAME OF THE MEDICI</w:t>
      </w:r>
      <w:r w:rsidR="00174D43" w:rsidRPr="00FD2FBF">
        <w:rPr>
          <w:rFonts w:eastAsia="Calibri"/>
          <w:lang w:val="en-AU"/>
        </w:rPr>
        <w:t>NE</w:t>
      </w:r>
    </w:p>
    <w:p w:rsidR="00812D16" w:rsidRPr="00143C34" w:rsidRDefault="00D2768D" w:rsidP="002E40F0">
      <w:pPr>
        <w:pStyle w:val="StyleBodyCalibriLinespacingsingle"/>
        <w:rPr>
          <w:noProof/>
        </w:rPr>
      </w:pPr>
      <w:r w:rsidRPr="00143C34">
        <w:rPr>
          <w:noProof/>
        </w:rPr>
        <w:t>Fremanezumab</w:t>
      </w:r>
    </w:p>
    <w:p w:rsidR="00812D16" w:rsidRPr="00FD2FBF" w:rsidRDefault="00812D16" w:rsidP="002E40F0">
      <w:pPr>
        <w:pStyle w:val="StyleHeading1LatinCambria12ptAutoSmallcapsLeft"/>
        <w:rPr>
          <w:rFonts w:eastAsia="Calibri"/>
          <w:lang w:val="en-AU"/>
        </w:rPr>
      </w:pPr>
      <w:r w:rsidRPr="00FD2FBF">
        <w:rPr>
          <w:rFonts w:eastAsia="Calibri"/>
          <w:lang w:val="en-AU"/>
        </w:rPr>
        <w:t>2.</w:t>
      </w:r>
      <w:r w:rsidRPr="00FD2FBF">
        <w:rPr>
          <w:rFonts w:eastAsia="Calibri"/>
          <w:lang w:val="en-AU"/>
        </w:rPr>
        <w:tab/>
        <w:t>QUALITATIVE AND QUANTITATIVE COMPOSITION</w:t>
      </w:r>
    </w:p>
    <w:p w:rsidR="00812D16" w:rsidRPr="00143C34" w:rsidRDefault="002C09CB" w:rsidP="002E40F0">
      <w:pPr>
        <w:pStyle w:val="StyleBodyCalibriLinespacingsingle"/>
        <w:rPr>
          <w:noProof/>
        </w:rPr>
      </w:pPr>
      <w:r w:rsidRPr="00143C34">
        <w:rPr>
          <w:noProof/>
        </w:rPr>
        <w:t xml:space="preserve">One </w:t>
      </w:r>
      <w:r w:rsidR="004F6ECB" w:rsidRPr="00143C34">
        <w:rPr>
          <w:noProof/>
        </w:rPr>
        <w:t>pre-filled syringe contains 225</w:t>
      </w:r>
      <w:r w:rsidR="004145B8" w:rsidRPr="00143C34">
        <w:rPr>
          <w:noProof/>
        </w:rPr>
        <w:t> </w:t>
      </w:r>
      <w:r w:rsidRPr="00143C34">
        <w:rPr>
          <w:noProof/>
        </w:rPr>
        <w:t>mg fremanezumab in 1.5 m</w:t>
      </w:r>
      <w:r w:rsidR="00A77877">
        <w:rPr>
          <w:noProof/>
        </w:rPr>
        <w:t>L</w:t>
      </w:r>
      <w:r w:rsidR="00E94771" w:rsidRPr="00143C34">
        <w:rPr>
          <w:noProof/>
        </w:rPr>
        <w:t xml:space="preserve"> (150 mg/m</w:t>
      </w:r>
      <w:r w:rsidR="00A77877">
        <w:rPr>
          <w:noProof/>
        </w:rPr>
        <w:t>L</w:t>
      </w:r>
      <w:r w:rsidR="00E94771" w:rsidRPr="00143C34">
        <w:rPr>
          <w:noProof/>
        </w:rPr>
        <w:t>)</w:t>
      </w:r>
      <w:r w:rsidRPr="00143C34">
        <w:rPr>
          <w:noProof/>
        </w:rPr>
        <w:t>.</w:t>
      </w:r>
    </w:p>
    <w:p w:rsidR="004F6ECB" w:rsidRPr="00143C34" w:rsidRDefault="004F6ECB" w:rsidP="002E40F0">
      <w:pPr>
        <w:pStyle w:val="StyleBodyCalibriLinespacingsingle"/>
        <w:rPr>
          <w:noProof/>
        </w:rPr>
      </w:pPr>
      <w:r w:rsidRPr="00143C34">
        <w:rPr>
          <w:noProof/>
        </w:rPr>
        <w:t xml:space="preserve">Fremanezumab is a </w:t>
      </w:r>
      <w:r w:rsidR="003742C6" w:rsidRPr="00143C34">
        <w:rPr>
          <w:noProof/>
        </w:rPr>
        <w:t xml:space="preserve">fully </w:t>
      </w:r>
      <w:r w:rsidRPr="00143C34">
        <w:rPr>
          <w:noProof/>
        </w:rPr>
        <w:t xml:space="preserve">humanised monoclonal antibody produced in </w:t>
      </w:r>
      <w:r w:rsidR="00A802F4" w:rsidRPr="00143C34">
        <w:rPr>
          <w:noProof/>
        </w:rPr>
        <w:t>Chinese Hamster Ovary (CHO)</w:t>
      </w:r>
      <w:r w:rsidRPr="00143C34">
        <w:rPr>
          <w:noProof/>
        </w:rPr>
        <w:t xml:space="preserve"> cells by recombinant DNA technology.</w:t>
      </w:r>
    </w:p>
    <w:p w:rsidR="00812D16" w:rsidRPr="00143C34" w:rsidRDefault="00812D16" w:rsidP="002E40F0">
      <w:pPr>
        <w:pStyle w:val="StyleBodyCalibriLinespacingsingle"/>
        <w:rPr>
          <w:noProof/>
        </w:rPr>
      </w:pPr>
      <w:r w:rsidRPr="00143C34">
        <w:rPr>
          <w:noProof/>
        </w:rPr>
        <w:t xml:space="preserve">For the full list of excipients, see </w:t>
      </w:r>
      <w:r w:rsidR="008E6716" w:rsidRPr="00143C34">
        <w:rPr>
          <w:noProof/>
        </w:rPr>
        <w:t>S</w:t>
      </w:r>
      <w:r w:rsidRPr="00143C34">
        <w:rPr>
          <w:noProof/>
        </w:rPr>
        <w:t>ection 6.1</w:t>
      </w:r>
      <w:r w:rsidR="008E6716" w:rsidRPr="00143C34">
        <w:rPr>
          <w:noProof/>
        </w:rPr>
        <w:t xml:space="preserve"> “List of excipients”</w:t>
      </w:r>
      <w:r w:rsidRPr="00143C34">
        <w:rPr>
          <w:noProof/>
        </w:rPr>
        <w:t>.</w:t>
      </w:r>
    </w:p>
    <w:p w:rsidR="00812D16" w:rsidRPr="00FD2FBF" w:rsidRDefault="00812D16" w:rsidP="002E40F0">
      <w:pPr>
        <w:pStyle w:val="StyleHeading1LatinCambria12ptAutoSmallcapsLeft"/>
        <w:rPr>
          <w:rFonts w:eastAsia="Calibri"/>
          <w:lang w:val="en-AU"/>
        </w:rPr>
      </w:pPr>
      <w:r w:rsidRPr="00FD2FBF">
        <w:rPr>
          <w:rFonts w:eastAsia="Calibri"/>
          <w:lang w:val="en-AU"/>
        </w:rPr>
        <w:t>3.</w:t>
      </w:r>
      <w:r w:rsidRPr="00FD2FBF">
        <w:rPr>
          <w:rFonts w:eastAsia="Calibri"/>
          <w:lang w:val="en-AU"/>
        </w:rPr>
        <w:tab/>
        <w:t>PHARMACEUTICAL</w:t>
      </w:r>
      <w:r w:rsidR="00870505" w:rsidRPr="00FD2FBF">
        <w:rPr>
          <w:rFonts w:eastAsia="Calibri"/>
          <w:lang w:val="en-AU"/>
        </w:rPr>
        <w:t xml:space="preserve"> FORM</w:t>
      </w:r>
    </w:p>
    <w:p w:rsidR="00812D16" w:rsidRPr="00143C34" w:rsidRDefault="0068398E" w:rsidP="002E40F0">
      <w:pPr>
        <w:pStyle w:val="StyleBodyCalibriLinespacingsingle"/>
        <w:rPr>
          <w:noProof/>
        </w:rPr>
      </w:pPr>
      <w:r w:rsidRPr="00143C34">
        <w:rPr>
          <w:noProof/>
        </w:rPr>
        <w:t>AJOVY is a sterile, preservative-free s</w:t>
      </w:r>
      <w:r w:rsidR="00870505" w:rsidRPr="00143C34">
        <w:rPr>
          <w:noProof/>
        </w:rPr>
        <w:t>olution for injection in pre-filled syringe</w:t>
      </w:r>
      <w:r w:rsidR="00CD41EC" w:rsidRPr="00143C34">
        <w:rPr>
          <w:noProof/>
        </w:rPr>
        <w:t>.</w:t>
      </w:r>
    </w:p>
    <w:p w:rsidR="002F28AD" w:rsidRPr="006B4557" w:rsidRDefault="00CD41EC" w:rsidP="00204AAB">
      <w:pPr>
        <w:spacing w:line="240" w:lineRule="auto"/>
        <w:rPr>
          <w:noProof/>
          <w:szCs w:val="22"/>
        </w:rPr>
      </w:pPr>
      <w:r w:rsidRPr="00143C34">
        <w:rPr>
          <w:rFonts w:asciiTheme="minorHAnsi" w:hAnsiTheme="minorHAnsi" w:cstheme="minorHAnsi"/>
          <w:noProof/>
          <w:szCs w:val="22"/>
        </w:rPr>
        <w:t>AJOVY is a c</w:t>
      </w:r>
      <w:r w:rsidR="002C09CB" w:rsidRPr="00143C34">
        <w:rPr>
          <w:rFonts w:asciiTheme="minorHAnsi" w:hAnsiTheme="minorHAnsi" w:cstheme="minorHAnsi"/>
          <w:noProof/>
          <w:szCs w:val="22"/>
        </w:rPr>
        <w:t>lear</w:t>
      </w:r>
      <w:r w:rsidR="005D6E6E" w:rsidRPr="00143C34">
        <w:rPr>
          <w:rFonts w:asciiTheme="minorHAnsi" w:hAnsiTheme="minorHAnsi" w:cstheme="minorHAnsi"/>
          <w:noProof/>
          <w:szCs w:val="22"/>
        </w:rPr>
        <w:t xml:space="preserve"> to opalescent</w:t>
      </w:r>
      <w:r w:rsidR="002C09CB" w:rsidRPr="00143C34">
        <w:rPr>
          <w:rFonts w:asciiTheme="minorHAnsi" w:hAnsiTheme="minorHAnsi" w:cstheme="minorHAnsi"/>
          <w:noProof/>
          <w:szCs w:val="22"/>
        </w:rPr>
        <w:t>, colo</w:t>
      </w:r>
      <w:r w:rsidR="0059113A" w:rsidRPr="00143C34">
        <w:rPr>
          <w:rFonts w:asciiTheme="minorHAnsi" w:hAnsiTheme="minorHAnsi" w:cstheme="minorHAnsi"/>
          <w:noProof/>
          <w:szCs w:val="22"/>
        </w:rPr>
        <w:t>u</w:t>
      </w:r>
      <w:r w:rsidR="002C09CB" w:rsidRPr="00143C34">
        <w:rPr>
          <w:rFonts w:asciiTheme="minorHAnsi" w:hAnsiTheme="minorHAnsi" w:cstheme="minorHAnsi"/>
          <w:noProof/>
          <w:szCs w:val="22"/>
        </w:rPr>
        <w:t xml:space="preserve">rless to </w:t>
      </w:r>
      <w:r w:rsidR="005D6E6E" w:rsidRPr="00143C34">
        <w:rPr>
          <w:rFonts w:asciiTheme="minorHAnsi" w:hAnsiTheme="minorHAnsi" w:cstheme="minorHAnsi"/>
          <w:noProof/>
          <w:szCs w:val="22"/>
        </w:rPr>
        <w:t xml:space="preserve">slightly </w:t>
      </w:r>
      <w:r w:rsidR="002C09CB" w:rsidRPr="00143C34">
        <w:rPr>
          <w:rFonts w:asciiTheme="minorHAnsi" w:hAnsiTheme="minorHAnsi" w:cstheme="minorHAnsi"/>
          <w:noProof/>
          <w:szCs w:val="22"/>
        </w:rPr>
        <w:t>yellow solution</w:t>
      </w:r>
      <w:r w:rsidR="0059113A" w:rsidRPr="00143C34">
        <w:rPr>
          <w:rFonts w:asciiTheme="minorHAnsi" w:hAnsiTheme="minorHAnsi" w:cstheme="minorHAnsi"/>
          <w:noProof/>
          <w:szCs w:val="22"/>
        </w:rPr>
        <w:t xml:space="preserve"> with a pH of</w:t>
      </w:r>
      <w:r w:rsidR="00386505" w:rsidRPr="00143C34">
        <w:rPr>
          <w:rFonts w:asciiTheme="minorHAnsi" w:hAnsiTheme="minorHAnsi" w:cstheme="minorHAnsi"/>
          <w:noProof/>
          <w:szCs w:val="22"/>
        </w:rPr>
        <w:t xml:space="preserve"> 5.5 and an osmolal</w:t>
      </w:r>
      <w:r w:rsidR="0033789B" w:rsidRPr="00143C34">
        <w:rPr>
          <w:rFonts w:asciiTheme="minorHAnsi" w:hAnsiTheme="minorHAnsi" w:cstheme="minorHAnsi"/>
          <w:noProof/>
          <w:szCs w:val="22"/>
        </w:rPr>
        <w:t xml:space="preserve">ity </w:t>
      </w:r>
      <w:r w:rsidR="00386505" w:rsidRPr="00143C34">
        <w:rPr>
          <w:rFonts w:asciiTheme="minorHAnsi" w:hAnsiTheme="minorHAnsi" w:cstheme="minorHAnsi"/>
          <w:noProof/>
          <w:szCs w:val="22"/>
        </w:rPr>
        <w:t>of 300</w:t>
      </w:r>
      <w:r w:rsidR="00386505" w:rsidRPr="00143C34">
        <w:rPr>
          <w:rFonts w:asciiTheme="minorHAnsi" w:hAnsiTheme="minorHAnsi" w:cstheme="minorHAnsi"/>
          <w:noProof/>
          <w:szCs w:val="22"/>
        </w:rPr>
        <w:noBreakHyphen/>
      </w:r>
      <w:r w:rsidR="005D6E6E" w:rsidRPr="00143C34">
        <w:rPr>
          <w:rFonts w:asciiTheme="minorHAnsi" w:hAnsiTheme="minorHAnsi" w:cstheme="minorHAnsi"/>
          <w:noProof/>
          <w:szCs w:val="22"/>
        </w:rPr>
        <w:t xml:space="preserve">450 </w:t>
      </w:r>
      <w:r w:rsidR="00386505" w:rsidRPr="00143C34">
        <w:rPr>
          <w:rFonts w:asciiTheme="minorHAnsi" w:hAnsiTheme="minorHAnsi" w:cstheme="minorHAnsi"/>
          <w:noProof/>
          <w:szCs w:val="22"/>
        </w:rPr>
        <w:t>mOsm/kg.</w:t>
      </w:r>
    </w:p>
    <w:p w:rsidR="00812D16" w:rsidRPr="006B4557" w:rsidRDefault="00812D16" w:rsidP="002E40F0">
      <w:pPr>
        <w:pStyle w:val="StyleHeading1LatinCambriaAutoAllcaps"/>
        <w:rPr>
          <w:noProof/>
        </w:rPr>
      </w:pPr>
      <w:r w:rsidRPr="00143C34">
        <w:rPr>
          <w:rFonts w:eastAsia="Times New Roman"/>
          <w:lang w:val="en-AU"/>
        </w:rPr>
        <w:t>4.</w:t>
      </w:r>
      <w:r w:rsidRPr="002E40F0">
        <w:tab/>
        <w:t>C</w:t>
      </w:r>
      <w:r w:rsidR="00855481" w:rsidRPr="002E40F0">
        <w:t>LINIC</w:t>
      </w:r>
      <w:r w:rsidR="00855481" w:rsidRPr="005574FF">
        <w:rPr>
          <w:rFonts w:eastAsia="Times New Roman"/>
          <w:lang w:val="en-AU"/>
        </w:rPr>
        <w:t>AL</w:t>
      </w:r>
      <w:r w:rsidR="00870505" w:rsidRPr="005574FF">
        <w:rPr>
          <w:rFonts w:eastAsia="Times New Roman"/>
          <w:lang w:val="en-AU"/>
        </w:rPr>
        <w:t xml:space="preserve"> PARTICULARS</w:t>
      </w:r>
    </w:p>
    <w:p w:rsidR="00174D43" w:rsidRPr="002E40F0" w:rsidRDefault="00812D16" w:rsidP="002E40F0">
      <w:pPr>
        <w:pStyle w:val="StyleHeading2LatinCambria12ptAutoSmallcaps"/>
        <w:rPr>
          <w:rFonts w:eastAsia="Calibri"/>
          <w:color w:val="000000" w:themeColor="text1"/>
          <w:lang w:val="en-AU"/>
        </w:rPr>
      </w:pPr>
      <w:r w:rsidRPr="00D2768D">
        <w:rPr>
          <w:rFonts w:eastAsia="Calibri"/>
          <w:lang w:val="en-AU"/>
        </w:rPr>
        <w:t>4.1</w:t>
      </w:r>
      <w:r w:rsidRPr="00D2768D">
        <w:rPr>
          <w:rFonts w:eastAsia="Calibri"/>
          <w:lang w:val="en-AU"/>
        </w:rPr>
        <w:tab/>
      </w:r>
      <w:r w:rsidR="00211595" w:rsidRPr="00D2768D">
        <w:rPr>
          <w:rFonts w:eastAsia="Calibri"/>
          <w:lang w:val="en-AU"/>
        </w:rPr>
        <w:t>THERAPEUTIC INDICATIONS</w:t>
      </w:r>
    </w:p>
    <w:p w:rsidR="00174D43" w:rsidRPr="00143C34" w:rsidRDefault="00174D43" w:rsidP="002E40F0">
      <w:pPr>
        <w:pStyle w:val="StyleBodyCalibriLinespacingsingle"/>
        <w:rPr>
          <w:noProof/>
        </w:rPr>
      </w:pPr>
      <w:r w:rsidRPr="00143C34">
        <w:rPr>
          <w:noProof/>
        </w:rPr>
        <w:t>AJOVY is indicated for the preventive treatment of migraine in adult</w:t>
      </w:r>
      <w:r w:rsidR="00BD65C5">
        <w:rPr>
          <w:noProof/>
        </w:rPr>
        <w:t>s</w:t>
      </w:r>
      <w:r w:rsidR="005574FF">
        <w:rPr>
          <w:noProof/>
        </w:rPr>
        <w:t>.</w:t>
      </w:r>
    </w:p>
    <w:p w:rsidR="0038093E" w:rsidRPr="0038093E" w:rsidRDefault="00855481" w:rsidP="0038093E">
      <w:pPr>
        <w:pStyle w:val="Heading2"/>
        <w:keepNext w:val="0"/>
        <w:keepLines w:val="0"/>
        <w:tabs>
          <w:tab w:val="clear" w:pos="567"/>
        </w:tabs>
        <w:spacing w:before="0" w:after="120" w:line="276" w:lineRule="auto"/>
        <w:ind w:left="578" w:hanging="578"/>
        <w:rPr>
          <w:rFonts w:ascii="Cambria" w:eastAsia="Calibri" w:hAnsi="Cambria" w:cs="Calibri"/>
          <w:bCs w:val="0"/>
          <w:smallCaps/>
          <w:color w:val="auto"/>
          <w:sz w:val="24"/>
          <w:szCs w:val="22"/>
          <w:lang w:val="en-AU"/>
        </w:rPr>
      </w:pPr>
      <w:r w:rsidRPr="00D2768D">
        <w:rPr>
          <w:rFonts w:ascii="Cambria" w:eastAsia="Calibri" w:hAnsi="Cambria" w:cs="Calibri"/>
          <w:bCs w:val="0"/>
          <w:smallCaps/>
          <w:color w:val="auto"/>
          <w:sz w:val="24"/>
          <w:szCs w:val="22"/>
          <w:lang w:val="en-AU"/>
        </w:rPr>
        <w:t>4.2</w:t>
      </w:r>
      <w:r w:rsidRPr="00D2768D">
        <w:rPr>
          <w:rFonts w:ascii="Cambria" w:eastAsia="Calibri" w:hAnsi="Cambria" w:cs="Calibri"/>
          <w:bCs w:val="0"/>
          <w:smallCaps/>
          <w:color w:val="auto"/>
          <w:sz w:val="24"/>
          <w:szCs w:val="22"/>
          <w:lang w:val="en-AU"/>
        </w:rPr>
        <w:tab/>
      </w:r>
      <w:r w:rsidR="00211595" w:rsidRPr="00D2768D">
        <w:rPr>
          <w:rFonts w:ascii="Cambria" w:eastAsia="Calibri" w:hAnsi="Cambria" w:cs="Calibri"/>
          <w:bCs w:val="0"/>
          <w:smallCaps/>
          <w:color w:val="auto"/>
          <w:sz w:val="24"/>
          <w:szCs w:val="22"/>
          <w:lang w:val="en-AU"/>
        </w:rPr>
        <w:t>DOSE AND METHOD OF ADMINISTRATION</w:t>
      </w:r>
    </w:p>
    <w:p w:rsidR="00CD41EC" w:rsidRPr="00143C34" w:rsidRDefault="00211595" w:rsidP="002E40F0">
      <w:pPr>
        <w:spacing w:before="120" w:after="120" w:line="240" w:lineRule="auto"/>
        <w:rPr>
          <w:rFonts w:asciiTheme="minorHAnsi" w:hAnsiTheme="minorHAnsi" w:cstheme="minorHAnsi"/>
          <w:b/>
          <w:szCs w:val="22"/>
          <w:u w:val="single"/>
        </w:rPr>
      </w:pPr>
      <w:r w:rsidRPr="00143C34">
        <w:rPr>
          <w:rFonts w:asciiTheme="minorHAnsi" w:hAnsiTheme="minorHAnsi" w:cstheme="minorHAnsi"/>
          <w:b/>
          <w:szCs w:val="22"/>
          <w:u w:val="single"/>
        </w:rPr>
        <w:t>Dosage</w:t>
      </w:r>
    </w:p>
    <w:p w:rsidR="0038093E" w:rsidRDefault="0038093E" w:rsidP="002E40F0">
      <w:pPr>
        <w:pStyle w:val="StyleBodyCalibriLinespacingsingle"/>
      </w:pPr>
      <w:r>
        <w:t>AJOVY</w:t>
      </w:r>
      <w:r w:rsidRPr="0038093E">
        <w:t xml:space="preserve"> should be initiated by a physician experienced in the diagnosis and treatment of</w:t>
      </w:r>
      <w:r w:rsidR="00874971">
        <w:t xml:space="preserve"> </w:t>
      </w:r>
      <w:r w:rsidRPr="0038093E">
        <w:t>migraine.</w:t>
      </w:r>
    </w:p>
    <w:p w:rsidR="0084242F" w:rsidRPr="00143C34" w:rsidRDefault="0084242F" w:rsidP="00DE414B">
      <w:pPr>
        <w:spacing w:line="240" w:lineRule="auto"/>
        <w:rPr>
          <w:rFonts w:asciiTheme="minorHAnsi" w:hAnsiTheme="minorHAnsi" w:cstheme="minorHAnsi"/>
          <w:szCs w:val="22"/>
        </w:rPr>
      </w:pPr>
      <w:r w:rsidRPr="00143C34">
        <w:rPr>
          <w:rFonts w:asciiTheme="minorHAnsi" w:hAnsiTheme="minorHAnsi" w:cstheme="minorHAnsi"/>
          <w:szCs w:val="22"/>
        </w:rPr>
        <w:t>AJOVY should</w:t>
      </w:r>
      <w:r w:rsidR="00CD41EC" w:rsidRPr="00143C34">
        <w:rPr>
          <w:rFonts w:asciiTheme="minorHAnsi" w:hAnsiTheme="minorHAnsi" w:cstheme="minorHAnsi"/>
          <w:szCs w:val="22"/>
        </w:rPr>
        <w:t xml:space="preserve"> </w:t>
      </w:r>
      <w:r w:rsidR="00CD41EC" w:rsidRPr="00143C34">
        <w:rPr>
          <w:rFonts w:asciiTheme="minorHAnsi" w:hAnsiTheme="minorHAnsi" w:cstheme="minorHAnsi"/>
          <w:b/>
          <w:szCs w:val="22"/>
        </w:rPr>
        <w:t>only</w:t>
      </w:r>
      <w:r w:rsidRPr="00143C34">
        <w:rPr>
          <w:rFonts w:asciiTheme="minorHAnsi" w:hAnsiTheme="minorHAnsi" w:cstheme="minorHAnsi"/>
          <w:szCs w:val="22"/>
        </w:rPr>
        <w:t xml:space="preserve"> be administered by subcutaneous injection.</w:t>
      </w:r>
    </w:p>
    <w:p w:rsidR="00B75F33" w:rsidRPr="00143C34" w:rsidRDefault="00B75F33" w:rsidP="002E40F0">
      <w:pPr>
        <w:pStyle w:val="StyleBodyCalibriLinespacingsingle"/>
        <w:spacing w:before="120"/>
      </w:pPr>
      <w:r w:rsidRPr="00143C34">
        <w:t xml:space="preserve">Two dosing </w:t>
      </w:r>
      <w:r w:rsidR="00DE414B" w:rsidRPr="00143C34">
        <w:t>options</w:t>
      </w:r>
      <w:r w:rsidRPr="00143C34">
        <w:t xml:space="preserve"> are available:</w:t>
      </w:r>
    </w:p>
    <w:p w:rsidR="003F347D" w:rsidRPr="00143C34" w:rsidRDefault="003F347D" w:rsidP="002E40F0">
      <w:pPr>
        <w:pStyle w:val="StyleBodyCalibriLinespacingsingle"/>
      </w:pPr>
      <w:r w:rsidRPr="00143C34">
        <w:t>225 mg once monthly (monthly dosing)</w:t>
      </w:r>
      <w:r w:rsidR="00BC011A">
        <w:t>;</w:t>
      </w:r>
      <w:r w:rsidRPr="00143C34">
        <w:t xml:space="preserve"> or</w:t>
      </w:r>
    </w:p>
    <w:p w:rsidR="003F347D" w:rsidRPr="00143C34" w:rsidRDefault="003F347D" w:rsidP="002E40F0">
      <w:pPr>
        <w:pStyle w:val="StyleBodyCalibriLinespacingsingle"/>
      </w:pPr>
      <w:r w:rsidRPr="00143C34">
        <w:t>675 mg every three months (quarterly dosing)</w:t>
      </w:r>
    </w:p>
    <w:p w:rsidR="00003A43" w:rsidRDefault="008852C9" w:rsidP="002E40F0">
      <w:pPr>
        <w:pStyle w:val="StyleBodyCalibriLinespacingsingle"/>
      </w:pPr>
      <w:r w:rsidRPr="00143C34">
        <w:t xml:space="preserve">When switching </w:t>
      </w:r>
      <w:r w:rsidR="00053177" w:rsidRPr="00143C34">
        <w:t xml:space="preserve">dosing </w:t>
      </w:r>
      <w:r w:rsidRPr="00143C34">
        <w:t>regimens, the first dose of the new regimen should be administered on the next scheduled do</w:t>
      </w:r>
      <w:r w:rsidR="002E40F0">
        <w:t>sing date of the prior regimen.</w:t>
      </w:r>
    </w:p>
    <w:p w:rsidR="00CB0D52" w:rsidRPr="00143C34" w:rsidRDefault="00CB0D52" w:rsidP="002E40F0">
      <w:pPr>
        <w:pStyle w:val="StyleBodyCalibriLinespacingsingle"/>
      </w:pPr>
      <w:r w:rsidRPr="00CB0D52">
        <w:t xml:space="preserve">The treatment benefit should be assessed </w:t>
      </w:r>
      <w:r w:rsidR="0017480A">
        <w:t>8-</w:t>
      </w:r>
      <w:r w:rsidRPr="00CB0D52">
        <w:t>12 weeks after initiation of treatment. Any further decision to continue treatment should be taken on an individual patient basis. Evaluation of the need to continue treatment is recommended regularly thereafter.</w:t>
      </w:r>
    </w:p>
    <w:p w:rsidR="000D73BF" w:rsidRPr="00143C34" w:rsidRDefault="000D73BF" w:rsidP="00F3743E">
      <w:pPr>
        <w:pageBreakBefore/>
        <w:spacing w:line="240" w:lineRule="auto"/>
        <w:rPr>
          <w:rFonts w:asciiTheme="minorHAnsi" w:hAnsiTheme="minorHAnsi" w:cstheme="minorHAnsi"/>
          <w:bCs/>
          <w:i/>
          <w:iCs/>
          <w:szCs w:val="22"/>
        </w:rPr>
      </w:pPr>
      <w:r w:rsidRPr="00143C34">
        <w:rPr>
          <w:rFonts w:asciiTheme="minorHAnsi" w:hAnsiTheme="minorHAnsi" w:cstheme="minorHAnsi"/>
          <w:bCs/>
          <w:i/>
          <w:iCs/>
          <w:szCs w:val="22"/>
        </w:rPr>
        <w:lastRenderedPageBreak/>
        <w:t>Missed dose</w:t>
      </w:r>
    </w:p>
    <w:p w:rsidR="00A67B9B" w:rsidRPr="007C73C4" w:rsidRDefault="003D427D" w:rsidP="002E40F0">
      <w:pPr>
        <w:pStyle w:val="StyleBodyCalibriLinespacingsingle"/>
      </w:pPr>
      <w:r w:rsidRPr="00143C34">
        <w:t>If a</w:t>
      </w:r>
      <w:r w:rsidR="002B6A8D" w:rsidRPr="00143C34">
        <w:t>n</w:t>
      </w:r>
      <w:r w:rsidRPr="00143C34">
        <w:t xml:space="preserve"> </w:t>
      </w:r>
      <w:r w:rsidR="00DE414B" w:rsidRPr="00143C34">
        <w:t>AJOVY</w:t>
      </w:r>
      <w:r w:rsidRPr="00143C34">
        <w:t xml:space="preserve"> injection is missed on the planned date, dosing should resume as soon as possible on the indicated dose and regimen. A double dose must not be administered to make up for a missed dose.</w:t>
      </w:r>
    </w:p>
    <w:p w:rsidR="00174D43" w:rsidRPr="00143C34" w:rsidRDefault="002E40F0" w:rsidP="00174D43">
      <w:pPr>
        <w:spacing w:line="240" w:lineRule="auto"/>
        <w:rPr>
          <w:rFonts w:asciiTheme="minorHAnsi" w:hAnsiTheme="minorHAnsi" w:cstheme="minorHAnsi"/>
          <w:b/>
          <w:szCs w:val="22"/>
          <w:u w:val="single"/>
        </w:rPr>
      </w:pPr>
      <w:r>
        <w:rPr>
          <w:rFonts w:asciiTheme="minorHAnsi" w:hAnsiTheme="minorHAnsi" w:cstheme="minorHAnsi"/>
          <w:b/>
          <w:szCs w:val="22"/>
          <w:u w:val="single"/>
        </w:rPr>
        <w:t>Method of administration</w:t>
      </w:r>
    </w:p>
    <w:p w:rsidR="00174D43" w:rsidRPr="00143C34" w:rsidRDefault="00174D43" w:rsidP="002E40F0">
      <w:pPr>
        <w:pStyle w:val="StyleBodyCalibriLinespacingsingle"/>
        <w:rPr>
          <w:noProof/>
        </w:rPr>
      </w:pPr>
      <w:r w:rsidRPr="00143C34">
        <w:rPr>
          <w:noProof/>
        </w:rPr>
        <w:t>Subcutaneous use.</w:t>
      </w:r>
    </w:p>
    <w:p w:rsidR="00811585" w:rsidRPr="00143C34" w:rsidRDefault="005A1E21" w:rsidP="00811585">
      <w:pPr>
        <w:spacing w:line="240" w:lineRule="auto"/>
        <w:rPr>
          <w:rFonts w:asciiTheme="minorHAnsi" w:hAnsiTheme="minorHAnsi" w:cstheme="minorHAnsi"/>
          <w:noProof/>
          <w:szCs w:val="22"/>
          <w:u w:val="single"/>
        </w:rPr>
      </w:pPr>
      <w:r w:rsidRPr="00143C34">
        <w:rPr>
          <w:rFonts w:asciiTheme="minorHAnsi" w:hAnsiTheme="minorHAnsi" w:cstheme="minorHAnsi"/>
          <w:b/>
          <w:szCs w:val="22"/>
        </w:rPr>
        <w:t>Instructions for use</w:t>
      </w:r>
    </w:p>
    <w:p w:rsidR="00811585" w:rsidRPr="009B78BD" w:rsidRDefault="00811585" w:rsidP="002E40F0">
      <w:pPr>
        <w:pStyle w:val="StyleBodyCalibriLinespacingsingle"/>
        <w:rPr>
          <w:noProof/>
        </w:rPr>
      </w:pPr>
      <w:r w:rsidRPr="009B78BD">
        <w:rPr>
          <w:noProof/>
        </w:rPr>
        <w:t>AJOVY may be administered by healthcare professionals, patients, and/or caregivers. Provide</w:t>
      </w:r>
      <w:r w:rsidR="00BC011A">
        <w:rPr>
          <w:noProof/>
        </w:rPr>
        <w:t xml:space="preserve"> </w:t>
      </w:r>
      <w:r w:rsidRPr="009B78BD">
        <w:rPr>
          <w:noProof/>
        </w:rPr>
        <w:t>proper training to patients and/or caregivers on the preparation and administration of AJOVY</w:t>
      </w:r>
      <w:r w:rsidR="00BC011A">
        <w:rPr>
          <w:noProof/>
        </w:rPr>
        <w:t xml:space="preserve"> </w:t>
      </w:r>
      <w:r w:rsidR="00BE6F9B" w:rsidRPr="009B78BD">
        <w:rPr>
          <w:noProof/>
        </w:rPr>
        <w:t>p</w:t>
      </w:r>
      <w:r w:rsidRPr="009B78BD">
        <w:rPr>
          <w:noProof/>
        </w:rPr>
        <w:t xml:space="preserve">re-filled </w:t>
      </w:r>
      <w:r w:rsidR="00BE6F9B" w:rsidRPr="009B78BD">
        <w:rPr>
          <w:noProof/>
        </w:rPr>
        <w:t>s</w:t>
      </w:r>
      <w:r w:rsidRPr="009B78BD">
        <w:rPr>
          <w:noProof/>
        </w:rPr>
        <w:t>yringe prior to use according to the Instructions For Use. Instruct patients and/or</w:t>
      </w:r>
      <w:r w:rsidR="00BC011A">
        <w:rPr>
          <w:noProof/>
        </w:rPr>
        <w:t xml:space="preserve"> </w:t>
      </w:r>
      <w:r w:rsidRPr="009B78BD">
        <w:rPr>
          <w:noProof/>
        </w:rPr>
        <w:t>caregivers to read and follow the Instructions For Use each time they use AJOVY Pre-filled</w:t>
      </w:r>
      <w:r w:rsidR="00BC011A">
        <w:rPr>
          <w:noProof/>
        </w:rPr>
        <w:t xml:space="preserve"> </w:t>
      </w:r>
      <w:r w:rsidRPr="009B78BD">
        <w:rPr>
          <w:noProof/>
        </w:rPr>
        <w:t>Syringe.</w:t>
      </w:r>
    </w:p>
    <w:p w:rsidR="00811585" w:rsidRPr="009B78BD" w:rsidRDefault="002052B3" w:rsidP="00811585">
      <w:pPr>
        <w:spacing w:line="240" w:lineRule="auto"/>
        <w:rPr>
          <w:rFonts w:asciiTheme="minorHAnsi" w:hAnsiTheme="minorHAnsi" w:cstheme="minorHAnsi"/>
          <w:noProof/>
          <w:szCs w:val="22"/>
        </w:rPr>
      </w:pPr>
      <w:r>
        <w:rPr>
          <w:rFonts w:asciiTheme="minorHAnsi" w:eastAsia="SimSun" w:hAnsiTheme="minorHAnsi" w:cstheme="minorHAnsi"/>
          <w:color w:val="000000"/>
          <w:szCs w:val="22"/>
          <w:lang w:val="en-US" w:eastAsia="de-CH" w:bidi="he-IL"/>
        </w:rPr>
        <w:t>AJOVY</w:t>
      </w:r>
      <w:r w:rsidR="00833B31">
        <w:rPr>
          <w:rFonts w:asciiTheme="minorHAnsi" w:eastAsia="SimSun" w:hAnsiTheme="minorHAnsi" w:cstheme="minorHAnsi"/>
          <w:color w:val="000000"/>
          <w:szCs w:val="22"/>
          <w:lang w:val="en-US" w:eastAsia="de-CH" w:bidi="he-IL"/>
        </w:rPr>
        <w:t xml:space="preserve"> </w:t>
      </w:r>
      <w:r w:rsidR="00811585" w:rsidRPr="009B78BD">
        <w:rPr>
          <w:rFonts w:asciiTheme="minorHAnsi" w:eastAsia="SimSun" w:hAnsiTheme="minorHAnsi" w:cstheme="minorHAnsi"/>
          <w:color w:val="000000"/>
          <w:szCs w:val="22"/>
          <w:lang w:val="en-US" w:eastAsia="de-CH" w:bidi="he-IL"/>
        </w:rPr>
        <w:t>is for single use</w:t>
      </w:r>
      <w:r w:rsidR="00833B31">
        <w:rPr>
          <w:rFonts w:asciiTheme="minorHAnsi" w:eastAsia="SimSun" w:hAnsiTheme="minorHAnsi" w:cstheme="minorHAnsi"/>
          <w:color w:val="000000"/>
          <w:szCs w:val="22"/>
          <w:lang w:val="en-US" w:eastAsia="de-CH" w:bidi="he-IL"/>
        </w:rPr>
        <w:t xml:space="preserve"> in one patient</w:t>
      </w:r>
      <w:r w:rsidR="00811585" w:rsidRPr="009B78BD">
        <w:rPr>
          <w:rFonts w:asciiTheme="minorHAnsi" w:eastAsia="SimSun" w:hAnsiTheme="minorHAnsi" w:cstheme="minorHAnsi"/>
          <w:color w:val="000000"/>
          <w:szCs w:val="22"/>
          <w:lang w:val="en-US" w:eastAsia="de-CH" w:bidi="he-IL"/>
        </w:rPr>
        <w:t xml:space="preserve"> only.</w:t>
      </w:r>
      <w:r w:rsidR="00833B31">
        <w:rPr>
          <w:rFonts w:asciiTheme="minorHAnsi" w:eastAsia="SimSun" w:hAnsiTheme="minorHAnsi" w:cstheme="minorHAnsi"/>
          <w:color w:val="000000"/>
          <w:szCs w:val="22"/>
          <w:lang w:val="en-US" w:eastAsia="de-CH" w:bidi="he-IL"/>
        </w:rPr>
        <w:t xml:space="preserve"> Discard any residue.</w:t>
      </w:r>
      <w:r w:rsidR="00811585" w:rsidRPr="009B78BD">
        <w:rPr>
          <w:rFonts w:asciiTheme="minorHAnsi" w:eastAsia="SimSun" w:hAnsiTheme="minorHAnsi" w:cstheme="minorHAnsi"/>
          <w:color w:val="000000"/>
          <w:szCs w:val="22"/>
          <w:lang w:val="en-US" w:eastAsia="de-CH" w:bidi="he-IL"/>
        </w:rPr>
        <w:t xml:space="preserve"> </w:t>
      </w:r>
      <w:r w:rsidR="00811585" w:rsidRPr="009B78BD">
        <w:rPr>
          <w:rFonts w:asciiTheme="minorHAnsi" w:hAnsiTheme="minorHAnsi" w:cstheme="minorHAnsi"/>
          <w:noProof/>
          <w:szCs w:val="22"/>
        </w:rPr>
        <w:t>Follow clean injection technique every time AJOVY is administered.</w:t>
      </w:r>
    </w:p>
    <w:p w:rsidR="005A1E21" w:rsidRPr="009B78BD" w:rsidRDefault="005A1E21" w:rsidP="002E40F0">
      <w:pPr>
        <w:pStyle w:val="StyleBodyCalibriLinespacingsingle"/>
        <w:spacing w:before="120"/>
        <w:rPr>
          <w:noProof/>
        </w:rPr>
      </w:pPr>
      <w:r w:rsidRPr="009B78BD">
        <w:rPr>
          <w:noProof/>
        </w:rPr>
        <w:t>Remove AJOVY from the refrigerator. Prior to use, allow AJOVY to reach room temperature</w:t>
      </w:r>
      <w:r w:rsidR="00451C44" w:rsidRPr="009B78BD">
        <w:rPr>
          <w:noProof/>
        </w:rPr>
        <w:t xml:space="preserve"> for 30 minutes</w:t>
      </w:r>
      <w:r w:rsidRPr="009B78BD">
        <w:rPr>
          <w:noProof/>
        </w:rPr>
        <w:t>. Do NOT use AJOVY if it has been</w:t>
      </w:r>
      <w:r w:rsidR="003B17E3">
        <w:rPr>
          <w:noProof/>
        </w:rPr>
        <w:t xml:space="preserve"> stored unrefrigerated</w:t>
      </w:r>
      <w:r w:rsidRPr="009B78BD">
        <w:rPr>
          <w:noProof/>
        </w:rPr>
        <w:t xml:space="preserve"> for </w:t>
      </w:r>
      <w:r w:rsidR="003B17E3">
        <w:rPr>
          <w:noProof/>
        </w:rPr>
        <w:t>14</w:t>
      </w:r>
      <w:r w:rsidRPr="009B78BD">
        <w:rPr>
          <w:noProof/>
        </w:rPr>
        <w:t xml:space="preserve"> </w:t>
      </w:r>
      <w:r w:rsidR="003B17E3">
        <w:rPr>
          <w:noProof/>
        </w:rPr>
        <w:t>days</w:t>
      </w:r>
      <w:r w:rsidRPr="009B78BD">
        <w:rPr>
          <w:noProof/>
        </w:rPr>
        <w:t xml:space="preserve"> or longer</w:t>
      </w:r>
      <w:r w:rsidR="00EF0B4B">
        <w:rPr>
          <w:noProof/>
        </w:rPr>
        <w:t>,</w:t>
      </w:r>
      <w:r w:rsidR="003B17E3">
        <w:rPr>
          <w:noProof/>
        </w:rPr>
        <w:t xml:space="preserve"> </w:t>
      </w:r>
      <w:r w:rsidR="00EF0B4B">
        <w:rPr>
          <w:noProof/>
        </w:rPr>
        <w:t xml:space="preserve">or </w:t>
      </w:r>
      <w:r w:rsidR="003B17E3">
        <w:rPr>
          <w:noProof/>
        </w:rPr>
        <w:t>at temperatures higher than 30</w:t>
      </w:r>
      <w:r w:rsidR="003B17E3" w:rsidRPr="009B78BD">
        <w:rPr>
          <w:noProof/>
        </w:rPr>
        <w:t>°C</w:t>
      </w:r>
      <w:r w:rsidRPr="009B78BD">
        <w:rPr>
          <w:noProof/>
        </w:rPr>
        <w:t>.</w:t>
      </w:r>
    </w:p>
    <w:p w:rsidR="00D162FF" w:rsidRPr="009B78BD" w:rsidRDefault="00D162FF" w:rsidP="00D162FF">
      <w:pPr>
        <w:tabs>
          <w:tab w:val="clear" w:pos="567"/>
        </w:tabs>
        <w:autoSpaceDE w:val="0"/>
        <w:autoSpaceDN w:val="0"/>
        <w:adjustRightInd w:val="0"/>
        <w:spacing w:line="240" w:lineRule="auto"/>
        <w:rPr>
          <w:rFonts w:asciiTheme="minorHAnsi" w:eastAsia="SimSun" w:hAnsiTheme="minorHAnsi" w:cstheme="minorHAnsi"/>
          <w:color w:val="000000"/>
          <w:szCs w:val="22"/>
          <w:lang w:val="en-US" w:eastAsia="de-CH" w:bidi="he-IL"/>
        </w:rPr>
      </w:pPr>
      <w:r w:rsidRPr="009B78BD">
        <w:rPr>
          <w:rFonts w:asciiTheme="minorHAnsi" w:eastAsia="SimSun" w:hAnsiTheme="minorHAnsi" w:cstheme="minorHAnsi"/>
          <w:color w:val="000000"/>
          <w:szCs w:val="22"/>
          <w:lang w:val="en-US" w:eastAsia="de-CH" w:bidi="he-IL"/>
        </w:rPr>
        <w:t xml:space="preserve">The pre-filled syringe should </w:t>
      </w:r>
      <w:r w:rsidRPr="009B78BD">
        <w:rPr>
          <w:rFonts w:asciiTheme="minorHAnsi" w:eastAsia="SimSun" w:hAnsiTheme="minorHAnsi" w:cstheme="minorHAnsi"/>
          <w:b/>
          <w:color w:val="000000"/>
          <w:szCs w:val="22"/>
          <w:lang w:val="en-US" w:eastAsia="de-CH" w:bidi="he-IL"/>
        </w:rPr>
        <w:t>not</w:t>
      </w:r>
      <w:r w:rsidRPr="009B78BD">
        <w:rPr>
          <w:rFonts w:asciiTheme="minorHAnsi" w:eastAsia="SimSun" w:hAnsiTheme="minorHAnsi" w:cstheme="minorHAnsi"/>
          <w:color w:val="000000"/>
          <w:szCs w:val="22"/>
          <w:lang w:val="en-US" w:eastAsia="de-CH" w:bidi="he-IL"/>
        </w:rPr>
        <w:t xml:space="preserve"> be shaken.</w:t>
      </w:r>
    </w:p>
    <w:p w:rsidR="005A1E21" w:rsidRPr="009B78BD" w:rsidRDefault="005A1E21" w:rsidP="002E40F0">
      <w:pPr>
        <w:pStyle w:val="StyleBodyCalibriLinespacingsingle"/>
        <w:spacing w:before="120"/>
        <w:rPr>
          <w:noProof/>
        </w:rPr>
      </w:pPr>
      <w:r w:rsidRPr="009B78BD">
        <w:rPr>
          <w:noProof/>
        </w:rPr>
        <w:t>Visually inspect AJOVY for particles or discolo</w:t>
      </w:r>
      <w:r w:rsidR="00CD5F15">
        <w:rPr>
          <w:noProof/>
        </w:rPr>
        <w:t>u</w:t>
      </w:r>
      <w:r w:rsidRPr="009B78BD">
        <w:rPr>
          <w:noProof/>
        </w:rPr>
        <w:t>ration prior to administration. AJOVY is a clear</w:t>
      </w:r>
      <w:r w:rsidR="00BC011A">
        <w:rPr>
          <w:noProof/>
        </w:rPr>
        <w:t xml:space="preserve"> </w:t>
      </w:r>
      <w:r w:rsidRPr="009B78BD">
        <w:rPr>
          <w:noProof/>
        </w:rPr>
        <w:t>to opalescent, colo</w:t>
      </w:r>
      <w:r w:rsidR="00CD5F15">
        <w:rPr>
          <w:noProof/>
        </w:rPr>
        <w:t>u</w:t>
      </w:r>
      <w:r w:rsidRPr="009B78BD">
        <w:rPr>
          <w:noProof/>
        </w:rPr>
        <w:t>rless to slightly yellow solution. Do not use if the solution is cloudy,</w:t>
      </w:r>
      <w:r w:rsidR="00BC011A">
        <w:rPr>
          <w:noProof/>
        </w:rPr>
        <w:t xml:space="preserve"> </w:t>
      </w:r>
      <w:r w:rsidRPr="009B78BD">
        <w:rPr>
          <w:noProof/>
        </w:rPr>
        <w:t>discolo</w:t>
      </w:r>
      <w:r w:rsidR="00CD5F15">
        <w:rPr>
          <w:noProof/>
        </w:rPr>
        <w:t>u</w:t>
      </w:r>
      <w:r w:rsidRPr="009B78BD">
        <w:rPr>
          <w:noProof/>
        </w:rPr>
        <w:t>red, or contains particles. Do not use if AJOVY is frozen.</w:t>
      </w:r>
    </w:p>
    <w:p w:rsidR="005A1E21" w:rsidRPr="009B78BD" w:rsidRDefault="005A1E21" w:rsidP="002E40F0">
      <w:pPr>
        <w:pStyle w:val="StyleBodyCalibriLinespacingsingle"/>
        <w:rPr>
          <w:noProof/>
        </w:rPr>
      </w:pPr>
      <w:r w:rsidRPr="009B78BD">
        <w:rPr>
          <w:noProof/>
        </w:rPr>
        <w:t>Administer AJOVY by subcutaneous injection into areas of the abdomen, thigh, or upper arm</w:t>
      </w:r>
      <w:r w:rsidR="00BC011A">
        <w:rPr>
          <w:noProof/>
        </w:rPr>
        <w:t xml:space="preserve"> </w:t>
      </w:r>
      <w:r w:rsidRPr="009B78BD">
        <w:rPr>
          <w:noProof/>
        </w:rPr>
        <w:t>that are not tender, bruised, red, or indurated. For multiple injections, do not use the same</w:t>
      </w:r>
      <w:r w:rsidR="00BC011A">
        <w:rPr>
          <w:noProof/>
        </w:rPr>
        <w:t xml:space="preserve"> </w:t>
      </w:r>
      <w:r w:rsidRPr="009B78BD">
        <w:rPr>
          <w:noProof/>
        </w:rPr>
        <w:t>injection site.</w:t>
      </w:r>
    </w:p>
    <w:p w:rsidR="005A1E21" w:rsidRPr="009B78BD" w:rsidRDefault="005A1E21" w:rsidP="002E40F0">
      <w:pPr>
        <w:pStyle w:val="StyleBodyCalibriLinespacingsingle"/>
        <w:rPr>
          <w:noProof/>
        </w:rPr>
      </w:pPr>
      <w:r w:rsidRPr="009B78BD">
        <w:rPr>
          <w:noProof/>
        </w:rPr>
        <w:t>Do not co-administer AJOVY with other injectable drugs at the same injection site.</w:t>
      </w:r>
    </w:p>
    <w:p w:rsidR="003D427D" w:rsidRPr="00143C34" w:rsidRDefault="00174D43" w:rsidP="00204AAB">
      <w:pPr>
        <w:spacing w:line="240" w:lineRule="auto"/>
        <w:rPr>
          <w:rFonts w:asciiTheme="minorHAnsi" w:hAnsiTheme="minorHAnsi" w:cstheme="minorHAnsi"/>
          <w:szCs w:val="22"/>
          <w:u w:val="single"/>
        </w:rPr>
      </w:pPr>
      <w:r w:rsidRPr="00143C34">
        <w:rPr>
          <w:rFonts w:asciiTheme="minorHAnsi" w:hAnsiTheme="minorHAnsi" w:cstheme="minorHAnsi"/>
          <w:b/>
          <w:szCs w:val="22"/>
        </w:rPr>
        <w:t>Dosage Adjustments</w:t>
      </w:r>
    </w:p>
    <w:p w:rsidR="00174D43" w:rsidRPr="00143C34" w:rsidRDefault="00174D43" w:rsidP="002E40F0">
      <w:pPr>
        <w:autoSpaceDE w:val="0"/>
        <w:autoSpaceDN w:val="0"/>
        <w:adjustRightInd w:val="0"/>
        <w:spacing w:before="120" w:line="240" w:lineRule="auto"/>
        <w:rPr>
          <w:rFonts w:asciiTheme="minorHAnsi" w:hAnsiTheme="minorHAnsi" w:cstheme="minorHAnsi"/>
          <w:bCs/>
          <w:i/>
          <w:szCs w:val="22"/>
        </w:rPr>
      </w:pPr>
      <w:r w:rsidRPr="00143C34">
        <w:rPr>
          <w:rFonts w:asciiTheme="minorHAnsi" w:hAnsiTheme="minorHAnsi" w:cstheme="minorHAnsi"/>
          <w:bCs/>
          <w:i/>
          <w:szCs w:val="22"/>
        </w:rPr>
        <w:t>Renal or hepatic impairment</w:t>
      </w:r>
    </w:p>
    <w:p w:rsidR="00174D43" w:rsidRPr="002E40F0" w:rsidRDefault="00174D43" w:rsidP="00174D43">
      <w:pPr>
        <w:autoSpaceDE w:val="0"/>
        <w:autoSpaceDN w:val="0"/>
        <w:adjustRightInd w:val="0"/>
        <w:spacing w:line="240" w:lineRule="auto"/>
        <w:rPr>
          <w:rFonts w:asciiTheme="minorHAnsi" w:hAnsiTheme="minorHAnsi" w:cstheme="minorHAnsi"/>
          <w:bCs/>
          <w:iCs/>
          <w:color w:val="000000" w:themeColor="text1"/>
          <w:szCs w:val="22"/>
        </w:rPr>
      </w:pPr>
      <w:r w:rsidRPr="00143C34">
        <w:rPr>
          <w:rFonts w:asciiTheme="minorHAnsi" w:hAnsiTheme="minorHAnsi" w:cstheme="minorHAnsi"/>
          <w:szCs w:val="22"/>
        </w:rPr>
        <w:t>No dose adjustment is required in patients with renal or hepatic impairment</w:t>
      </w:r>
      <w:r w:rsidR="00021BA0" w:rsidRPr="00143C34">
        <w:rPr>
          <w:rFonts w:asciiTheme="minorHAnsi" w:hAnsiTheme="minorHAnsi" w:cstheme="minorHAnsi"/>
          <w:szCs w:val="22"/>
        </w:rPr>
        <w:t>.</w:t>
      </w:r>
    </w:p>
    <w:p w:rsidR="00812D16" w:rsidRPr="00143C34" w:rsidRDefault="00812D16" w:rsidP="002E40F0">
      <w:pPr>
        <w:spacing w:before="120" w:line="240" w:lineRule="auto"/>
        <w:rPr>
          <w:rFonts w:asciiTheme="minorHAnsi" w:hAnsiTheme="minorHAnsi" w:cstheme="minorHAnsi"/>
          <w:bCs/>
          <w:i/>
          <w:iCs/>
          <w:szCs w:val="22"/>
        </w:rPr>
      </w:pPr>
      <w:r w:rsidRPr="00143C34">
        <w:rPr>
          <w:rFonts w:asciiTheme="minorHAnsi" w:hAnsiTheme="minorHAnsi" w:cstheme="minorHAnsi"/>
          <w:bCs/>
          <w:i/>
          <w:iCs/>
          <w:szCs w:val="22"/>
        </w:rPr>
        <w:t>Paediatric population</w:t>
      </w:r>
    </w:p>
    <w:p w:rsidR="00812D16" w:rsidRPr="00143C34" w:rsidRDefault="00B458A8" w:rsidP="007217D2">
      <w:pPr>
        <w:autoSpaceDE w:val="0"/>
        <w:autoSpaceDN w:val="0"/>
        <w:adjustRightInd w:val="0"/>
        <w:spacing w:line="240" w:lineRule="auto"/>
        <w:rPr>
          <w:rFonts w:asciiTheme="minorHAnsi" w:hAnsiTheme="minorHAnsi" w:cstheme="minorHAnsi"/>
          <w:noProof/>
          <w:szCs w:val="22"/>
        </w:rPr>
      </w:pPr>
      <w:r w:rsidRPr="00143C34">
        <w:rPr>
          <w:rFonts w:asciiTheme="minorHAnsi" w:hAnsiTheme="minorHAnsi" w:cstheme="minorHAnsi"/>
          <w:szCs w:val="22"/>
        </w:rPr>
        <w:t>The safety and efficacy</w:t>
      </w:r>
      <w:r w:rsidR="00812D16" w:rsidRPr="00143C34">
        <w:rPr>
          <w:rFonts w:asciiTheme="minorHAnsi" w:hAnsiTheme="minorHAnsi" w:cstheme="minorHAnsi"/>
          <w:szCs w:val="22"/>
        </w:rPr>
        <w:t xml:space="preserve"> of</w:t>
      </w:r>
      <w:r w:rsidRPr="00143C34">
        <w:rPr>
          <w:rFonts w:asciiTheme="minorHAnsi" w:hAnsiTheme="minorHAnsi" w:cstheme="minorHAnsi"/>
          <w:szCs w:val="22"/>
        </w:rPr>
        <w:t xml:space="preserve"> </w:t>
      </w:r>
      <w:r w:rsidR="00DE414B" w:rsidRPr="00143C34">
        <w:rPr>
          <w:rFonts w:asciiTheme="minorHAnsi" w:hAnsiTheme="minorHAnsi" w:cstheme="minorHAnsi"/>
          <w:szCs w:val="22"/>
        </w:rPr>
        <w:t>AJOVY</w:t>
      </w:r>
      <w:r w:rsidR="00812D16" w:rsidRPr="00143C34">
        <w:rPr>
          <w:rFonts w:asciiTheme="minorHAnsi" w:hAnsiTheme="minorHAnsi" w:cstheme="minorHAnsi"/>
          <w:color w:val="00B050"/>
          <w:szCs w:val="22"/>
        </w:rPr>
        <w:t xml:space="preserve"> </w:t>
      </w:r>
      <w:r w:rsidR="00812D16" w:rsidRPr="00143C34">
        <w:rPr>
          <w:rFonts w:asciiTheme="minorHAnsi" w:hAnsiTheme="minorHAnsi" w:cstheme="minorHAnsi"/>
          <w:szCs w:val="22"/>
        </w:rPr>
        <w:t xml:space="preserve">in children </w:t>
      </w:r>
      <w:r w:rsidR="003961AD" w:rsidRPr="00143C34">
        <w:rPr>
          <w:rFonts w:asciiTheme="minorHAnsi" w:hAnsiTheme="minorHAnsi" w:cstheme="minorHAnsi"/>
          <w:szCs w:val="22"/>
        </w:rPr>
        <w:t>and adolescents</w:t>
      </w:r>
      <w:r w:rsidRPr="00143C34">
        <w:rPr>
          <w:rFonts w:asciiTheme="minorHAnsi" w:hAnsiTheme="minorHAnsi" w:cstheme="minorHAnsi"/>
          <w:szCs w:val="22"/>
        </w:rPr>
        <w:t xml:space="preserve"> below the age of 18 years have not yet been established.</w:t>
      </w:r>
      <w:r w:rsidR="00812D16" w:rsidRPr="00143C34">
        <w:rPr>
          <w:rFonts w:asciiTheme="minorHAnsi" w:hAnsiTheme="minorHAnsi" w:cstheme="minorHAnsi"/>
          <w:szCs w:val="22"/>
        </w:rPr>
        <w:t xml:space="preserve"> </w:t>
      </w:r>
      <w:r w:rsidRPr="00143C34">
        <w:rPr>
          <w:rFonts w:asciiTheme="minorHAnsi" w:hAnsiTheme="minorHAnsi" w:cstheme="minorHAnsi"/>
          <w:szCs w:val="22"/>
        </w:rPr>
        <w:t>No data are available.</w:t>
      </w:r>
    </w:p>
    <w:p w:rsidR="00CD08AF" w:rsidRPr="00143C34" w:rsidRDefault="00CD08AF" w:rsidP="002E40F0">
      <w:pPr>
        <w:autoSpaceDE w:val="0"/>
        <w:autoSpaceDN w:val="0"/>
        <w:adjustRightInd w:val="0"/>
        <w:spacing w:before="120" w:line="240" w:lineRule="auto"/>
        <w:rPr>
          <w:rFonts w:asciiTheme="minorHAnsi" w:hAnsiTheme="minorHAnsi" w:cstheme="minorHAnsi"/>
          <w:bCs/>
          <w:i/>
          <w:szCs w:val="22"/>
        </w:rPr>
      </w:pPr>
      <w:r w:rsidRPr="00143C34">
        <w:rPr>
          <w:rFonts w:asciiTheme="minorHAnsi" w:hAnsiTheme="minorHAnsi" w:cstheme="minorHAnsi"/>
          <w:bCs/>
          <w:i/>
          <w:szCs w:val="22"/>
        </w:rPr>
        <w:t>Elderly</w:t>
      </w:r>
    </w:p>
    <w:p w:rsidR="00CD08AF" w:rsidRPr="002E40F0" w:rsidRDefault="002650A9" w:rsidP="00E46754">
      <w:pPr>
        <w:autoSpaceDE w:val="0"/>
        <w:autoSpaceDN w:val="0"/>
        <w:adjustRightInd w:val="0"/>
        <w:spacing w:line="240" w:lineRule="auto"/>
        <w:rPr>
          <w:rFonts w:asciiTheme="minorHAnsi" w:hAnsiTheme="minorHAnsi" w:cstheme="minorHAnsi"/>
          <w:bCs/>
          <w:iCs/>
          <w:color w:val="000000" w:themeColor="text1"/>
          <w:szCs w:val="22"/>
        </w:rPr>
      </w:pPr>
      <w:r w:rsidRPr="00143C34">
        <w:rPr>
          <w:rFonts w:asciiTheme="minorHAnsi" w:hAnsiTheme="minorHAnsi" w:cstheme="minorHAnsi"/>
          <w:szCs w:val="22"/>
        </w:rPr>
        <w:t xml:space="preserve">There </w:t>
      </w:r>
      <w:r w:rsidR="00E46754" w:rsidRPr="00143C34">
        <w:rPr>
          <w:rFonts w:asciiTheme="minorHAnsi" w:hAnsiTheme="minorHAnsi" w:cstheme="minorHAnsi"/>
          <w:szCs w:val="22"/>
        </w:rPr>
        <w:t>is</w:t>
      </w:r>
      <w:r w:rsidR="001C48CA" w:rsidRPr="00143C34">
        <w:rPr>
          <w:rFonts w:asciiTheme="minorHAnsi" w:hAnsiTheme="minorHAnsi" w:cstheme="minorHAnsi"/>
          <w:szCs w:val="22"/>
        </w:rPr>
        <w:t xml:space="preserve"> </w:t>
      </w:r>
      <w:r w:rsidRPr="00143C34">
        <w:rPr>
          <w:rFonts w:asciiTheme="minorHAnsi" w:hAnsiTheme="minorHAnsi" w:cstheme="minorHAnsi"/>
          <w:szCs w:val="22"/>
        </w:rPr>
        <w:t xml:space="preserve">limited data available on the use of </w:t>
      </w:r>
      <w:r w:rsidR="00DE414B" w:rsidRPr="00143C34">
        <w:rPr>
          <w:rFonts w:asciiTheme="minorHAnsi" w:hAnsiTheme="minorHAnsi" w:cstheme="minorHAnsi"/>
          <w:szCs w:val="22"/>
        </w:rPr>
        <w:t>AJOVY</w:t>
      </w:r>
      <w:r w:rsidRPr="00143C34">
        <w:rPr>
          <w:rFonts w:asciiTheme="minorHAnsi" w:hAnsiTheme="minorHAnsi" w:cstheme="minorHAnsi"/>
          <w:szCs w:val="22"/>
        </w:rPr>
        <w:t xml:space="preserve"> in patients </w:t>
      </w:r>
      <w:r w:rsidR="00AF0E61" w:rsidRPr="00143C34">
        <w:rPr>
          <w:rFonts w:asciiTheme="minorHAnsi" w:hAnsiTheme="minorHAnsi" w:cstheme="minorHAnsi"/>
          <w:szCs w:val="22"/>
        </w:rPr>
        <w:sym w:font="Symbol" w:char="F0B3"/>
      </w:r>
      <w:r w:rsidR="00AF0E61" w:rsidRPr="00143C34">
        <w:rPr>
          <w:rFonts w:asciiTheme="minorHAnsi" w:hAnsiTheme="minorHAnsi" w:cstheme="minorHAnsi"/>
          <w:szCs w:val="22"/>
        </w:rPr>
        <w:t>65</w:t>
      </w:r>
      <w:r w:rsidRPr="00143C34">
        <w:rPr>
          <w:rFonts w:asciiTheme="minorHAnsi" w:hAnsiTheme="minorHAnsi" w:cstheme="minorHAnsi"/>
          <w:szCs w:val="22"/>
        </w:rPr>
        <w:t xml:space="preserve"> years of age.</w:t>
      </w:r>
      <w:r w:rsidR="00AF0E61" w:rsidRPr="00143C34">
        <w:rPr>
          <w:rFonts w:asciiTheme="minorHAnsi" w:hAnsiTheme="minorHAnsi" w:cstheme="minorHAnsi"/>
          <w:szCs w:val="22"/>
        </w:rPr>
        <w:t xml:space="preserve"> </w:t>
      </w:r>
      <w:r w:rsidR="00EC38D2" w:rsidRPr="00143C34">
        <w:rPr>
          <w:rFonts w:asciiTheme="minorHAnsi" w:hAnsiTheme="minorHAnsi" w:cstheme="minorHAnsi"/>
          <w:szCs w:val="22"/>
        </w:rPr>
        <w:t>Based on the results of</w:t>
      </w:r>
      <w:r w:rsidR="002B43A8" w:rsidRPr="00143C34">
        <w:rPr>
          <w:rFonts w:asciiTheme="minorHAnsi" w:hAnsiTheme="minorHAnsi" w:cstheme="minorHAnsi"/>
          <w:szCs w:val="22"/>
        </w:rPr>
        <w:t xml:space="preserve"> population </w:t>
      </w:r>
      <w:r w:rsidR="007739DF" w:rsidRPr="00143C34">
        <w:rPr>
          <w:rFonts w:asciiTheme="minorHAnsi" w:hAnsiTheme="minorHAnsi" w:cstheme="minorHAnsi"/>
          <w:szCs w:val="22"/>
        </w:rPr>
        <w:t>pharmacokinetic</w:t>
      </w:r>
      <w:r w:rsidR="002B43A8" w:rsidRPr="00143C34">
        <w:rPr>
          <w:rFonts w:asciiTheme="minorHAnsi" w:hAnsiTheme="minorHAnsi" w:cstheme="minorHAnsi"/>
          <w:szCs w:val="22"/>
        </w:rPr>
        <w:t xml:space="preserve"> analysis</w:t>
      </w:r>
      <w:r w:rsidRPr="00143C34">
        <w:rPr>
          <w:rFonts w:asciiTheme="minorHAnsi" w:hAnsiTheme="minorHAnsi" w:cstheme="minorHAnsi"/>
          <w:szCs w:val="22"/>
        </w:rPr>
        <w:t xml:space="preserve">, no dose adjustment is </w:t>
      </w:r>
      <w:r w:rsidR="00A248F5" w:rsidRPr="00143C34">
        <w:rPr>
          <w:rFonts w:asciiTheme="minorHAnsi" w:hAnsiTheme="minorHAnsi" w:cstheme="minorHAnsi"/>
          <w:szCs w:val="22"/>
        </w:rPr>
        <w:t>required</w:t>
      </w:r>
      <w:r w:rsidR="00021BA0" w:rsidRPr="00143C34">
        <w:rPr>
          <w:rFonts w:asciiTheme="minorHAnsi" w:hAnsiTheme="minorHAnsi" w:cstheme="minorHAnsi"/>
          <w:szCs w:val="22"/>
        </w:rPr>
        <w:t>.</w:t>
      </w:r>
    </w:p>
    <w:p w:rsidR="00812D16" w:rsidRPr="002E40F0" w:rsidRDefault="00812D16" w:rsidP="002E40F0">
      <w:pPr>
        <w:pStyle w:val="StyleHeading2LatinCambria12ptAutoSmallcaps"/>
        <w:rPr>
          <w:noProof/>
          <w:color w:val="000000" w:themeColor="text1"/>
        </w:rPr>
      </w:pPr>
      <w:r w:rsidRPr="00D2768D">
        <w:rPr>
          <w:rFonts w:eastAsia="Calibri"/>
          <w:lang w:val="en-AU"/>
        </w:rPr>
        <w:t>4.3</w:t>
      </w:r>
      <w:r w:rsidRPr="00D2768D">
        <w:rPr>
          <w:rFonts w:eastAsia="Calibri"/>
          <w:lang w:val="en-AU"/>
        </w:rPr>
        <w:tab/>
      </w:r>
      <w:r w:rsidR="00211595" w:rsidRPr="00D2768D">
        <w:rPr>
          <w:rFonts w:eastAsia="Calibri"/>
          <w:lang w:val="en-AU"/>
        </w:rPr>
        <w:t>CONTRAINDICATIONS</w:t>
      </w:r>
    </w:p>
    <w:p w:rsidR="00143C34" w:rsidRDefault="00812D16" w:rsidP="002E40F0">
      <w:pPr>
        <w:pStyle w:val="StyleBodyCalibriLinespacingsingle"/>
      </w:pPr>
      <w:r w:rsidRPr="00143C34">
        <w:t>Hypersensit</w:t>
      </w:r>
      <w:r w:rsidR="00C15B75" w:rsidRPr="00143C34">
        <w:t>ivity to the active substance</w:t>
      </w:r>
      <w:r w:rsidRPr="00143C34">
        <w:t xml:space="preserve"> or to any of the excipients listed in </w:t>
      </w:r>
      <w:r w:rsidR="00414F28" w:rsidRPr="00143C34">
        <w:t>S</w:t>
      </w:r>
      <w:r w:rsidRPr="00143C34">
        <w:t>ection 6.1</w:t>
      </w:r>
      <w:r w:rsidR="009556AE" w:rsidRPr="00143C34">
        <w:t>.</w:t>
      </w:r>
    </w:p>
    <w:p w:rsidR="002B6A8D" w:rsidRPr="002E40F0" w:rsidRDefault="00812D16" w:rsidP="002E40F0">
      <w:pPr>
        <w:pStyle w:val="StyleHeading2LatinCambria12ptAutoSmallcaps"/>
        <w:rPr>
          <w:noProof/>
          <w:color w:val="000000" w:themeColor="text1"/>
        </w:rPr>
      </w:pPr>
      <w:r w:rsidRPr="00D2768D">
        <w:rPr>
          <w:rFonts w:eastAsia="Calibri"/>
          <w:lang w:val="en-AU"/>
        </w:rPr>
        <w:t>4.4</w:t>
      </w:r>
      <w:r w:rsidRPr="00D2768D">
        <w:rPr>
          <w:rFonts w:eastAsia="Calibri"/>
          <w:lang w:val="en-AU"/>
        </w:rPr>
        <w:tab/>
      </w:r>
      <w:r w:rsidR="00211595" w:rsidRPr="00D2768D">
        <w:rPr>
          <w:rFonts w:eastAsia="Calibri"/>
          <w:lang w:val="en-AU"/>
        </w:rPr>
        <w:t>SPECIAL WARNINGS AND PRECAUTIONS FOR USE</w:t>
      </w:r>
    </w:p>
    <w:p w:rsidR="0094158F" w:rsidRDefault="00B91CF1" w:rsidP="001C4626">
      <w:pPr>
        <w:rPr>
          <w:rFonts w:asciiTheme="minorHAnsi" w:hAnsiTheme="minorHAnsi" w:cstheme="minorHAnsi"/>
          <w:noProof/>
          <w:szCs w:val="22"/>
        </w:rPr>
      </w:pPr>
      <w:r w:rsidRPr="001C4626">
        <w:rPr>
          <w:rFonts w:asciiTheme="minorHAnsi" w:hAnsiTheme="minorHAnsi" w:cstheme="minorHAnsi"/>
          <w:noProof/>
          <w:szCs w:val="22"/>
        </w:rPr>
        <w:t>In order to improve traceability of biological medicinal products, the name and the batch number of the administered prod</w:t>
      </w:r>
      <w:r w:rsidR="002E40F0">
        <w:rPr>
          <w:rFonts w:asciiTheme="minorHAnsi" w:hAnsiTheme="minorHAnsi" w:cstheme="minorHAnsi"/>
          <w:noProof/>
          <w:szCs w:val="22"/>
        </w:rPr>
        <w:t>uct should be clearly recorded.</w:t>
      </w:r>
    </w:p>
    <w:p w:rsidR="0094158F" w:rsidRPr="00FD2FBF" w:rsidRDefault="0094158F" w:rsidP="00E010DA">
      <w:pPr>
        <w:pStyle w:val="StyleHeading3LatinCambriaAutoBefore0ptAfter6p"/>
        <w:pageBreakBefore/>
        <w:rPr>
          <w:lang w:val="en-AU"/>
        </w:rPr>
      </w:pPr>
      <w:r w:rsidRPr="00FD2FBF">
        <w:rPr>
          <w:lang w:val="en-AU"/>
        </w:rPr>
        <w:lastRenderedPageBreak/>
        <w:t>Identified p</w:t>
      </w:r>
      <w:r w:rsidR="00BE6F9B" w:rsidRPr="00FD2FBF">
        <w:rPr>
          <w:lang w:val="en-AU"/>
        </w:rPr>
        <w:t>r</w:t>
      </w:r>
      <w:r w:rsidRPr="00FD2FBF">
        <w:rPr>
          <w:lang w:val="en-AU"/>
        </w:rPr>
        <w:t>ecautions</w:t>
      </w:r>
    </w:p>
    <w:p w:rsidR="00A10D26" w:rsidRDefault="00E64BFD" w:rsidP="007A4638">
      <w:pPr>
        <w:rPr>
          <w:rFonts w:asciiTheme="minorHAnsi" w:hAnsiTheme="minorHAnsi" w:cstheme="minorHAnsi"/>
          <w:bCs/>
          <w:i/>
          <w:noProof/>
          <w:szCs w:val="22"/>
        </w:rPr>
      </w:pPr>
      <w:r w:rsidRPr="0098071F">
        <w:rPr>
          <w:rFonts w:asciiTheme="minorHAnsi" w:hAnsiTheme="minorHAnsi" w:cstheme="minorHAnsi"/>
          <w:bCs/>
          <w:i/>
          <w:noProof/>
          <w:szCs w:val="22"/>
        </w:rPr>
        <w:t>Hypersensitivity</w:t>
      </w:r>
    </w:p>
    <w:p w:rsidR="007A4638" w:rsidRDefault="00DD030C" w:rsidP="002E40F0">
      <w:pPr>
        <w:spacing w:before="120" w:after="120"/>
        <w:rPr>
          <w:rFonts w:asciiTheme="minorHAnsi" w:hAnsiTheme="minorHAnsi" w:cstheme="minorHAnsi"/>
          <w:bCs/>
        </w:rPr>
      </w:pPr>
      <w:r w:rsidRPr="007A4638">
        <w:rPr>
          <w:rFonts w:asciiTheme="minorHAnsi" w:hAnsiTheme="minorHAnsi" w:cstheme="minorHAnsi"/>
          <w:bCs/>
        </w:rPr>
        <w:t>H</w:t>
      </w:r>
      <w:r w:rsidR="00E64BFD" w:rsidRPr="007A4638">
        <w:rPr>
          <w:rFonts w:asciiTheme="minorHAnsi" w:hAnsiTheme="minorHAnsi" w:cstheme="minorHAnsi"/>
          <w:bCs/>
        </w:rPr>
        <w:t xml:space="preserve">ypersensitivity reactions were reported with </w:t>
      </w:r>
      <w:r w:rsidR="00762971" w:rsidRPr="007A4638">
        <w:rPr>
          <w:rFonts w:asciiTheme="minorHAnsi" w:hAnsiTheme="minorHAnsi" w:cstheme="minorHAnsi"/>
          <w:bCs/>
        </w:rPr>
        <w:t>AJOVY</w:t>
      </w:r>
      <w:r w:rsidR="00E64BFD" w:rsidRPr="007A4638">
        <w:rPr>
          <w:rFonts w:asciiTheme="minorHAnsi" w:hAnsiTheme="minorHAnsi" w:cstheme="minorHAnsi"/>
          <w:bCs/>
        </w:rPr>
        <w:t xml:space="preserve"> in less than 1% of patients in clinical trials. If a hypersensitivity reaction occurs, discontinuation of </w:t>
      </w:r>
      <w:r w:rsidR="00762971" w:rsidRPr="007A4638">
        <w:rPr>
          <w:rFonts w:asciiTheme="minorHAnsi" w:hAnsiTheme="minorHAnsi" w:cstheme="minorHAnsi"/>
          <w:bCs/>
        </w:rPr>
        <w:t>AJOVY</w:t>
      </w:r>
      <w:r w:rsidR="00E64BFD" w:rsidRPr="007A4638">
        <w:rPr>
          <w:rFonts w:asciiTheme="minorHAnsi" w:hAnsiTheme="minorHAnsi" w:cstheme="minorHAnsi"/>
          <w:bCs/>
        </w:rPr>
        <w:t xml:space="preserve"> administration should be considered and appropriate therapy should be initiated.</w:t>
      </w:r>
    </w:p>
    <w:p w:rsidR="00BE1776" w:rsidRDefault="00BE1776" w:rsidP="002E40F0">
      <w:pPr>
        <w:spacing w:before="180" w:after="120"/>
        <w:rPr>
          <w:rFonts w:asciiTheme="minorHAnsi" w:hAnsiTheme="minorHAnsi" w:cstheme="minorHAnsi"/>
          <w:bCs/>
        </w:rPr>
      </w:pPr>
      <w:r w:rsidRPr="00BE1776">
        <w:rPr>
          <w:rFonts w:asciiTheme="minorHAnsi" w:hAnsiTheme="minorHAnsi" w:cstheme="minorHAnsi"/>
          <w:bCs/>
          <w:i/>
          <w:noProof/>
          <w:szCs w:val="22"/>
        </w:rPr>
        <w:t>Major cardiovascular diseases</w:t>
      </w:r>
    </w:p>
    <w:p w:rsidR="00BE1776" w:rsidRDefault="00BE1776" w:rsidP="00BE1776">
      <w:pPr>
        <w:rPr>
          <w:rFonts w:asciiTheme="minorHAnsi" w:hAnsiTheme="minorHAnsi" w:cstheme="minorHAnsi"/>
          <w:bCs/>
        </w:rPr>
      </w:pPr>
      <w:r w:rsidRPr="00BE1776">
        <w:rPr>
          <w:rFonts w:asciiTheme="minorHAnsi" w:hAnsiTheme="minorHAnsi" w:cstheme="minorHAnsi"/>
          <w:bCs/>
        </w:rPr>
        <w:t>Patients with certain major cardiovascular diseases were excluded from clinical studies (see section 5.1). No safety data are available in these patients.</w:t>
      </w:r>
    </w:p>
    <w:p w:rsidR="005574FF" w:rsidRDefault="0094158F" w:rsidP="002E40F0">
      <w:pPr>
        <w:pStyle w:val="StyleHeading3LatinCambriaAutoBefore0ptAfter6p"/>
        <w:rPr>
          <w:lang w:val="en-AU"/>
        </w:rPr>
      </w:pPr>
      <w:r w:rsidRPr="005574FF">
        <w:rPr>
          <w:lang w:val="en-AU"/>
        </w:rPr>
        <w:t>Use in the elderly</w:t>
      </w:r>
    </w:p>
    <w:p w:rsidR="003930FC" w:rsidRDefault="003930FC" w:rsidP="003930FC">
      <w:pPr>
        <w:rPr>
          <w:rFonts w:asciiTheme="minorHAnsi" w:hAnsiTheme="minorHAnsi" w:cstheme="minorHAnsi"/>
          <w:szCs w:val="22"/>
        </w:rPr>
      </w:pPr>
      <w:r w:rsidRPr="00721AB8">
        <w:rPr>
          <w:rFonts w:asciiTheme="minorHAnsi" w:hAnsiTheme="minorHAnsi" w:cstheme="minorHAnsi"/>
          <w:szCs w:val="22"/>
        </w:rPr>
        <w:t>No data available</w:t>
      </w:r>
    </w:p>
    <w:p w:rsidR="003930FC" w:rsidRDefault="003930FC" w:rsidP="002E40F0">
      <w:pPr>
        <w:pStyle w:val="StyleHeading3LatinCambriaAutoBefore0ptAfter6p"/>
        <w:rPr>
          <w:lang w:val="en-AU"/>
        </w:rPr>
      </w:pPr>
      <w:r w:rsidRPr="005574FF">
        <w:rPr>
          <w:lang w:val="en-AU"/>
        </w:rPr>
        <w:t>Paediatric use</w:t>
      </w:r>
    </w:p>
    <w:p w:rsidR="003930FC" w:rsidRPr="00A07D1B" w:rsidRDefault="003930FC" w:rsidP="00A07D1B">
      <w:pPr>
        <w:spacing w:before="120" w:after="120" w:line="240" w:lineRule="auto"/>
        <w:rPr>
          <w:rFonts w:asciiTheme="minorHAnsi" w:hAnsiTheme="minorHAnsi" w:cstheme="minorHAnsi"/>
          <w:szCs w:val="22"/>
        </w:rPr>
      </w:pPr>
      <w:r w:rsidRPr="00721AB8">
        <w:rPr>
          <w:rFonts w:asciiTheme="minorHAnsi" w:hAnsiTheme="minorHAnsi" w:cstheme="minorHAnsi"/>
          <w:szCs w:val="22"/>
        </w:rPr>
        <w:t>No data av</w:t>
      </w:r>
      <w:r w:rsidRPr="00A07D1B">
        <w:rPr>
          <w:rFonts w:asciiTheme="minorHAnsi" w:hAnsiTheme="minorHAnsi" w:cstheme="minorHAnsi"/>
          <w:szCs w:val="22"/>
        </w:rPr>
        <w:t>ailable</w:t>
      </w:r>
    </w:p>
    <w:p w:rsidR="003930FC" w:rsidRPr="00A07D1B" w:rsidRDefault="003930FC" w:rsidP="001A3A27">
      <w:pPr>
        <w:pStyle w:val="StyleHeading3LatinCambriaAuto"/>
        <w:rPr>
          <w:color w:val="000000" w:themeColor="text1"/>
          <w:lang w:val="en-AU"/>
        </w:rPr>
      </w:pPr>
      <w:r w:rsidRPr="00143C34">
        <w:rPr>
          <w:rFonts w:eastAsia="Times New Roman"/>
          <w:lang w:val="en-AU"/>
        </w:rPr>
        <w:t>Effects on laboratory tests</w:t>
      </w:r>
    </w:p>
    <w:p w:rsidR="003930FC" w:rsidRPr="00721AB8" w:rsidRDefault="003930FC" w:rsidP="003930FC">
      <w:pPr>
        <w:rPr>
          <w:rFonts w:asciiTheme="minorHAnsi" w:hAnsiTheme="minorHAnsi" w:cstheme="minorHAnsi"/>
          <w:szCs w:val="22"/>
        </w:rPr>
      </w:pPr>
      <w:r w:rsidRPr="00721AB8">
        <w:rPr>
          <w:rFonts w:asciiTheme="minorHAnsi" w:hAnsiTheme="minorHAnsi" w:cstheme="minorHAnsi"/>
          <w:szCs w:val="22"/>
        </w:rPr>
        <w:t>No data available</w:t>
      </w:r>
    </w:p>
    <w:p w:rsidR="00812D16" w:rsidRPr="005E35DD" w:rsidRDefault="00812D16" w:rsidP="002E40F0">
      <w:pPr>
        <w:pStyle w:val="StyleHeading2LatinCambria12ptAutoSmallcaps"/>
        <w:rPr>
          <w:rFonts w:eastAsia="Calibri"/>
          <w:lang w:val="en-AU"/>
        </w:rPr>
      </w:pPr>
      <w:r w:rsidRPr="005574FF">
        <w:rPr>
          <w:rFonts w:eastAsia="Calibri"/>
          <w:lang w:val="en-AU"/>
        </w:rPr>
        <w:t>4.5</w:t>
      </w:r>
      <w:r w:rsidRPr="005574FF">
        <w:rPr>
          <w:rFonts w:eastAsia="Calibri"/>
          <w:lang w:val="en-AU"/>
        </w:rPr>
        <w:tab/>
      </w:r>
      <w:r w:rsidR="00211595" w:rsidRPr="005574FF">
        <w:rPr>
          <w:rFonts w:eastAsia="Calibri"/>
          <w:lang w:val="en-AU"/>
        </w:rPr>
        <w:t>INTERACTIONS WITH OTHER MEDICINES AND OTHER FORMS OF INTERACTION</w:t>
      </w:r>
    </w:p>
    <w:p w:rsidR="003961AD" w:rsidRDefault="003961AD" w:rsidP="002E40F0">
      <w:pPr>
        <w:pStyle w:val="StyleBodyCalibriLinespacingsingle"/>
      </w:pPr>
      <w:r w:rsidRPr="00143C34">
        <w:t xml:space="preserve">No formal clinical drug interaction studies have been performed with </w:t>
      </w:r>
      <w:r w:rsidR="00762971" w:rsidRPr="00143C34">
        <w:t>AJOVY</w:t>
      </w:r>
      <w:r w:rsidR="00000DE2">
        <w:t>.</w:t>
      </w:r>
    </w:p>
    <w:p w:rsidR="00BD65C5" w:rsidRPr="00143C34" w:rsidRDefault="00BD65C5" w:rsidP="002E40F0">
      <w:pPr>
        <w:pStyle w:val="StyleBodyCalibriLinespacingsingle"/>
      </w:pPr>
      <w:r w:rsidRPr="00143C34">
        <w:t>The safety and efficacy of AJOVY has been evaluated in patients concurrently taking acute migraine</w:t>
      </w:r>
    </w:p>
    <w:p w:rsidR="00BD65C5" w:rsidRPr="00143C34" w:rsidRDefault="00BD65C5" w:rsidP="002E40F0">
      <w:pPr>
        <w:pStyle w:val="StyleBodyCalibriLinespacingsingle"/>
      </w:pPr>
      <w:r w:rsidRPr="00143C34">
        <w:t>treatments (specifically analgesics, ergots, and triptans) and preventive migraine medications. In</w:t>
      </w:r>
    </w:p>
    <w:p w:rsidR="00BD65C5" w:rsidRPr="00143C34" w:rsidRDefault="00BD65C5" w:rsidP="002E40F0">
      <w:pPr>
        <w:pStyle w:val="StyleBodyCalibriLinespacingsingle"/>
      </w:pPr>
      <w:r w:rsidRPr="00143C34">
        <w:t>population pharmacokinetic analysis, concomitant use of these medications was not found to influence</w:t>
      </w:r>
      <w:r>
        <w:t xml:space="preserve"> </w:t>
      </w:r>
      <w:r w:rsidRPr="00143C34">
        <w:t>fremanezumab exposure.</w:t>
      </w:r>
    </w:p>
    <w:p w:rsidR="001C7EC4" w:rsidRPr="00143C34" w:rsidRDefault="001C7EC4" w:rsidP="003961AD">
      <w:pPr>
        <w:spacing w:line="240" w:lineRule="auto"/>
        <w:rPr>
          <w:rFonts w:asciiTheme="minorHAnsi" w:hAnsiTheme="minorHAnsi" w:cstheme="minorHAnsi"/>
          <w:b/>
          <w:i/>
          <w:szCs w:val="22"/>
        </w:rPr>
      </w:pPr>
      <w:r w:rsidRPr="00143C34">
        <w:rPr>
          <w:rFonts w:asciiTheme="minorHAnsi" w:hAnsiTheme="minorHAnsi" w:cstheme="minorHAnsi"/>
          <w:b/>
          <w:i/>
          <w:szCs w:val="22"/>
        </w:rPr>
        <w:t>CYP450 Substrates</w:t>
      </w:r>
    </w:p>
    <w:p w:rsidR="002B43A8" w:rsidRPr="00143C34" w:rsidRDefault="00FF7B1B" w:rsidP="00000DE2">
      <w:pPr>
        <w:pStyle w:val="StyleBodyCalibriLinespacingsingle"/>
        <w:spacing w:before="120"/>
      </w:pPr>
      <w:r w:rsidRPr="00143C34">
        <w:t xml:space="preserve">Monoclonal antibodies </w:t>
      </w:r>
      <w:r w:rsidR="002B43A8" w:rsidRPr="00143C34">
        <w:t xml:space="preserve">are not metabolised by cytochrome P450 (CYP) enzymes. Fremanezumab is expected to be metabolised in the same manner as other endogenous proteins; degraded into small peptides and amino acids via catabolic pathways. Therefore, direct pharmacokinetic interactions via the CYP pathway are not expected between </w:t>
      </w:r>
      <w:r w:rsidR="00762971" w:rsidRPr="00143C34">
        <w:rPr>
          <w:szCs w:val="22"/>
        </w:rPr>
        <w:t>AJOVY</w:t>
      </w:r>
      <w:r w:rsidR="002B43A8" w:rsidRPr="00143C34">
        <w:t xml:space="preserve"> and co-administered small molecular weight medicinal products.</w:t>
      </w:r>
    </w:p>
    <w:p w:rsidR="00812D16" w:rsidRPr="006B4557" w:rsidRDefault="00812D16" w:rsidP="002E40F0">
      <w:pPr>
        <w:pStyle w:val="StyleHeading2LatinCambria12ptAutoSmallcaps"/>
        <w:rPr>
          <w:noProof/>
        </w:rPr>
      </w:pPr>
      <w:r w:rsidRPr="005574FF">
        <w:rPr>
          <w:rFonts w:eastAsia="Calibri"/>
          <w:lang w:val="en-AU"/>
        </w:rPr>
        <w:t>4.6</w:t>
      </w:r>
      <w:r w:rsidRPr="005574FF">
        <w:rPr>
          <w:rFonts w:eastAsia="Calibri"/>
          <w:lang w:val="en-AU"/>
        </w:rPr>
        <w:tab/>
      </w:r>
      <w:r w:rsidR="00211595" w:rsidRPr="005574FF">
        <w:rPr>
          <w:rFonts w:eastAsia="Calibri"/>
          <w:lang w:val="en-AU"/>
        </w:rPr>
        <w:t>FERTILITY, PREGNANCY AND LACTATION</w:t>
      </w:r>
    </w:p>
    <w:p w:rsidR="008E6716" w:rsidRPr="005574FF" w:rsidRDefault="008E6716" w:rsidP="002E40F0">
      <w:pPr>
        <w:pStyle w:val="StyleHeading3LatinCambriaAutoBefore0ptAfter6p"/>
        <w:rPr>
          <w:lang w:val="en-AU"/>
        </w:rPr>
      </w:pPr>
      <w:r w:rsidRPr="005574FF">
        <w:rPr>
          <w:lang w:val="en-AU"/>
        </w:rPr>
        <w:t>Effects on Fertility</w:t>
      </w:r>
    </w:p>
    <w:p w:rsidR="008E6716" w:rsidRPr="00000DE2" w:rsidRDefault="008E6716" w:rsidP="00000DE2">
      <w:pPr>
        <w:spacing w:before="120" w:after="120" w:line="240" w:lineRule="auto"/>
        <w:rPr>
          <w:rFonts w:asciiTheme="minorHAnsi" w:hAnsiTheme="minorHAnsi" w:cstheme="minorHAnsi"/>
          <w:noProof/>
          <w:color w:val="000000" w:themeColor="text1"/>
          <w:szCs w:val="22"/>
        </w:rPr>
      </w:pPr>
      <w:r w:rsidRPr="00143C34">
        <w:rPr>
          <w:rFonts w:asciiTheme="minorHAnsi" w:hAnsiTheme="minorHAnsi" w:cstheme="minorHAnsi"/>
          <w:szCs w:val="22"/>
        </w:rPr>
        <w:t>There are no fertility data in humans. Available non-clinical data do not suggest an effect on fertility.</w:t>
      </w:r>
      <w:r w:rsidR="00BC011A">
        <w:rPr>
          <w:rFonts w:asciiTheme="minorHAnsi" w:hAnsiTheme="minorHAnsi" w:cstheme="minorHAnsi"/>
          <w:szCs w:val="22"/>
        </w:rPr>
        <w:t xml:space="preserve"> </w:t>
      </w:r>
      <w:r w:rsidR="00EE0CEF" w:rsidRPr="00EE0CEF">
        <w:rPr>
          <w:rFonts w:asciiTheme="minorHAnsi" w:hAnsiTheme="minorHAnsi" w:cstheme="minorHAnsi"/>
          <w:szCs w:val="22"/>
        </w:rPr>
        <w:t>In a combined fertility/embryofetal development study in rats, fremanezumab had no effect on fertility at exposures corresponding to 22 (females) to 45 (males) times those achieved clinically at a 225</w:t>
      </w:r>
      <w:r w:rsidR="00BC011A">
        <w:rPr>
          <w:rFonts w:asciiTheme="minorHAnsi" w:hAnsiTheme="minorHAnsi" w:cstheme="minorHAnsi"/>
          <w:szCs w:val="22"/>
        </w:rPr>
        <w:t xml:space="preserve"> </w:t>
      </w:r>
      <w:r w:rsidR="00EE0CEF" w:rsidRPr="00EE0CEF">
        <w:rPr>
          <w:rFonts w:asciiTheme="minorHAnsi" w:hAnsiTheme="minorHAnsi" w:cstheme="minorHAnsi"/>
          <w:szCs w:val="22"/>
        </w:rPr>
        <w:t>mg/month dose (based on AUC).</w:t>
      </w:r>
    </w:p>
    <w:p w:rsidR="005574FF" w:rsidRPr="00000DE2" w:rsidRDefault="008E6716" w:rsidP="001A3A27">
      <w:pPr>
        <w:pStyle w:val="StyleHeading3LatinCambriaAuto"/>
        <w:rPr>
          <w:color w:val="000000" w:themeColor="text1"/>
          <w:lang w:val="en-AU"/>
        </w:rPr>
      </w:pPr>
      <w:r w:rsidRPr="005574FF">
        <w:rPr>
          <w:rFonts w:eastAsia="Times New Roman"/>
          <w:lang w:val="en-AU"/>
        </w:rPr>
        <w:lastRenderedPageBreak/>
        <w:t xml:space="preserve">Use in </w:t>
      </w:r>
      <w:r w:rsidR="00812D16" w:rsidRPr="005574FF">
        <w:rPr>
          <w:rFonts w:eastAsia="Times New Roman"/>
          <w:lang w:val="en-AU"/>
        </w:rPr>
        <w:t>Pregnancy</w:t>
      </w:r>
      <w:r w:rsidR="00D2768D" w:rsidRPr="005574FF">
        <w:rPr>
          <w:rFonts w:eastAsia="Times New Roman"/>
          <w:lang w:val="en-AU"/>
        </w:rPr>
        <w:t xml:space="preserve"> - </w:t>
      </w:r>
      <w:r w:rsidR="00BA4A61" w:rsidRPr="00143C34">
        <w:rPr>
          <w:rFonts w:eastAsia="Times New Roman"/>
          <w:lang w:val="en-AU"/>
        </w:rPr>
        <w:t>Pregnancy Category B1</w:t>
      </w:r>
    </w:p>
    <w:p w:rsidR="00EE0CEF" w:rsidRDefault="003074EC" w:rsidP="002E40F0">
      <w:pPr>
        <w:pStyle w:val="StyleBodyCalibriLinespacingsingle"/>
        <w:rPr>
          <w:rFonts w:eastAsia="SimSun"/>
          <w:lang w:val="en-US" w:eastAsia="de-CH" w:bidi="he-IL"/>
        </w:rPr>
      </w:pPr>
      <w:r w:rsidRPr="00143C34">
        <w:rPr>
          <w:rFonts w:eastAsia="SimSun"/>
          <w:lang w:val="en-US" w:eastAsia="de-CH" w:bidi="he-IL"/>
        </w:rPr>
        <w:t xml:space="preserve">There are </w:t>
      </w:r>
      <w:r w:rsidR="00323F8A" w:rsidRPr="00323F8A">
        <w:rPr>
          <w:rFonts w:eastAsia="SimSun"/>
          <w:lang w:val="en-US" w:eastAsia="de-CH" w:bidi="he-IL"/>
        </w:rPr>
        <w:t>limited data</w:t>
      </w:r>
      <w:r w:rsidRPr="00143C34">
        <w:rPr>
          <w:rFonts w:eastAsia="SimSun"/>
          <w:lang w:val="en-US" w:eastAsia="de-CH" w:bidi="he-IL"/>
        </w:rPr>
        <w:t xml:space="preserve"> from the use of </w:t>
      </w:r>
      <w:r w:rsidR="00762971" w:rsidRPr="00143C34">
        <w:t xml:space="preserve">AJOVY </w:t>
      </w:r>
      <w:r w:rsidRPr="00143C34">
        <w:rPr>
          <w:rFonts w:eastAsia="SimSun"/>
          <w:lang w:val="en-US" w:eastAsia="de-CH" w:bidi="he-IL"/>
        </w:rPr>
        <w:t>in pregnant women. Animal studies do not indicate direct or indirect harmful effects with respect to reproductive toxicity</w:t>
      </w:r>
      <w:r w:rsidR="00EE0CEF">
        <w:rPr>
          <w:rFonts w:eastAsia="SimSun"/>
          <w:lang w:val="en-US" w:eastAsia="de-CH" w:bidi="he-IL"/>
        </w:rPr>
        <w:t>.</w:t>
      </w:r>
      <w:r w:rsidRPr="00143C34">
        <w:rPr>
          <w:rFonts w:eastAsia="SimSun"/>
          <w:lang w:val="en-US" w:eastAsia="de-CH" w:bidi="he-IL"/>
        </w:rPr>
        <w:t xml:space="preserve"> </w:t>
      </w:r>
      <w:r w:rsidR="00EE0CEF" w:rsidRPr="00EE0CEF">
        <w:rPr>
          <w:rFonts w:eastAsia="SimSun"/>
          <w:lang w:val="en-US" w:eastAsia="de-CH" w:bidi="he-IL"/>
        </w:rPr>
        <w:t>In embryo-fetal development (EFD) studies in NZW rabbits and SD rats fremanezumab was administered subcutaneously (achieving exposures approximately 20 times those achieved clinically at a 225 mg/month dose) during the organogenesis period of the pregnancy and was well tolerated and did not induce any maternal or embryo-fetal toxicity at any dose level in either animal species.</w:t>
      </w:r>
    </w:p>
    <w:p w:rsidR="00EE0CEF" w:rsidRDefault="00EE0CEF" w:rsidP="002E40F0">
      <w:pPr>
        <w:pStyle w:val="StyleBodyCalibriLinespacingsingle"/>
        <w:rPr>
          <w:rFonts w:eastAsia="SimSun"/>
          <w:lang w:val="en-US" w:eastAsia="de-CH" w:bidi="he-IL"/>
        </w:rPr>
      </w:pPr>
      <w:r w:rsidRPr="00EE0CEF">
        <w:rPr>
          <w:rFonts w:eastAsia="SimSun"/>
          <w:lang w:val="en-US" w:eastAsia="de-CH" w:bidi="he-IL"/>
        </w:rPr>
        <w:t>Data from an embryo-fetal development study in rabbits demonstrated that fremanezumab crossed the placenta. Concentrations of fremanezumab in newborns were about 9% to 23% exposure relative to the maternal exposure.</w:t>
      </w:r>
    </w:p>
    <w:p w:rsidR="00EE0CEF" w:rsidRDefault="007518E0" w:rsidP="00000DE2">
      <w:pPr>
        <w:tabs>
          <w:tab w:val="clear" w:pos="567"/>
        </w:tabs>
        <w:autoSpaceDE w:val="0"/>
        <w:autoSpaceDN w:val="0"/>
        <w:adjustRightInd w:val="0"/>
        <w:spacing w:before="120" w:after="120" w:line="240" w:lineRule="auto"/>
        <w:rPr>
          <w:rFonts w:asciiTheme="minorHAnsi" w:eastAsia="SimSun" w:hAnsiTheme="minorHAnsi" w:cstheme="minorHAnsi"/>
          <w:szCs w:val="22"/>
          <w:lang w:val="en-US" w:eastAsia="de-CH" w:bidi="he-IL"/>
        </w:rPr>
      </w:pPr>
      <w:r w:rsidRPr="007518E0">
        <w:rPr>
          <w:rFonts w:asciiTheme="minorHAnsi" w:eastAsia="SimSun" w:hAnsiTheme="minorHAnsi" w:cstheme="minorHAnsi"/>
          <w:szCs w:val="22"/>
          <w:lang w:val="en-US" w:eastAsia="de-CH" w:bidi="he-IL"/>
        </w:rPr>
        <w:t>In a pre- and postnatal development study in rats (achieving fremanezumab exposures 20 times that achieved clinically at a 225 mg/month dose), no maternal effects were noted as well no effects on F</w:t>
      </w:r>
      <w:r w:rsidRPr="00F71249">
        <w:rPr>
          <w:rFonts w:asciiTheme="minorHAnsi" w:eastAsia="SimSun" w:hAnsiTheme="minorHAnsi" w:cstheme="minorHAnsi"/>
          <w:szCs w:val="22"/>
          <w:vertAlign w:val="subscript"/>
          <w:lang w:val="en-US" w:eastAsia="de-CH" w:bidi="he-IL"/>
        </w:rPr>
        <w:t>1</w:t>
      </w:r>
      <w:r w:rsidRPr="007518E0">
        <w:rPr>
          <w:rFonts w:asciiTheme="minorHAnsi" w:eastAsia="SimSun" w:hAnsiTheme="minorHAnsi" w:cstheme="minorHAnsi"/>
          <w:szCs w:val="22"/>
          <w:lang w:val="en-US" w:eastAsia="de-CH" w:bidi="he-IL"/>
        </w:rPr>
        <w:t xml:space="preserve"> offspring follo</w:t>
      </w:r>
      <w:r w:rsidR="00000DE2">
        <w:rPr>
          <w:rFonts w:asciiTheme="minorHAnsi" w:eastAsia="SimSun" w:hAnsiTheme="minorHAnsi" w:cstheme="minorHAnsi"/>
          <w:szCs w:val="22"/>
          <w:lang w:val="en-US" w:eastAsia="de-CH" w:bidi="he-IL"/>
        </w:rPr>
        <w:t>wing subcutaneous weekly dosing</w:t>
      </w:r>
      <w:r w:rsidRPr="007518E0">
        <w:rPr>
          <w:rFonts w:asciiTheme="minorHAnsi" w:eastAsia="SimSun" w:hAnsiTheme="minorHAnsi" w:cstheme="minorHAnsi"/>
          <w:szCs w:val="22"/>
          <w:lang w:val="en-US" w:eastAsia="de-CH" w:bidi="he-IL"/>
        </w:rPr>
        <w:t>.</w:t>
      </w:r>
    </w:p>
    <w:p w:rsidR="003C25CC" w:rsidRPr="00143C34" w:rsidRDefault="003F347D" w:rsidP="00000DE2">
      <w:pPr>
        <w:pStyle w:val="StyleBodyCalibriLinespacingsingle"/>
        <w:spacing w:before="120"/>
      </w:pPr>
      <w:r w:rsidRPr="00143C34">
        <w:t xml:space="preserve">Fremanezumab has a long half-life (see </w:t>
      </w:r>
      <w:r w:rsidR="001C7EC4" w:rsidRPr="00143C34">
        <w:t>S</w:t>
      </w:r>
      <w:r w:rsidRPr="00143C34">
        <w:t>ection 5.2</w:t>
      </w:r>
      <w:r w:rsidR="00021BA0" w:rsidRPr="00143C34">
        <w:t xml:space="preserve"> PHARMACOKINETIC PROPERTIES</w:t>
      </w:r>
      <w:r w:rsidRPr="00143C34">
        <w:t>). This should be taken into consideration</w:t>
      </w:r>
      <w:r w:rsidR="00BA4A61" w:rsidRPr="00143C34">
        <w:t xml:space="preserve"> for women who are pregnant or intend to become pregnant while using AJOVY</w:t>
      </w:r>
      <w:r w:rsidRPr="00143C34">
        <w:t>.</w:t>
      </w:r>
    </w:p>
    <w:p w:rsidR="003074EC" w:rsidRPr="00143C34" w:rsidRDefault="00771028" w:rsidP="002E40F0">
      <w:pPr>
        <w:pStyle w:val="StyleBodyCalibriLinespacingsingle"/>
      </w:pPr>
      <w:r w:rsidRPr="00143C34">
        <w:t>Monoclonal antibodies, such as AJOVY,</w:t>
      </w:r>
      <w:r w:rsidR="00BC4074" w:rsidRPr="00143C34">
        <w:t xml:space="preserve"> </w:t>
      </w:r>
      <w:r w:rsidRPr="00143C34">
        <w:t xml:space="preserve">are transported across the placenta in a linear fashion as pregnancy progresses. Therefore, </w:t>
      </w:r>
      <w:r w:rsidR="003C6256" w:rsidRPr="00143C34">
        <w:t>exposure of the</w:t>
      </w:r>
      <w:r w:rsidRPr="00143C34">
        <w:t xml:space="preserve"> </w:t>
      </w:r>
      <w:r w:rsidR="007461F4" w:rsidRPr="00143C34">
        <w:t>fetus</w:t>
      </w:r>
      <w:r w:rsidRPr="00143C34">
        <w:t xml:space="preserve"> </w:t>
      </w:r>
      <w:r w:rsidR="004C28EC" w:rsidRPr="00143C34">
        <w:t xml:space="preserve">is </w:t>
      </w:r>
      <w:r w:rsidRPr="00143C34">
        <w:t>likely to be greater during the second and third trimester of pregnancy.</w:t>
      </w:r>
    </w:p>
    <w:p w:rsidR="007461F4" w:rsidRPr="00BD65C5" w:rsidRDefault="008E6716" w:rsidP="002E40F0">
      <w:pPr>
        <w:pStyle w:val="StyleHeading3LatinCambriaAutoBefore0ptAfter6p"/>
        <w:rPr>
          <w:lang w:val="en-AU"/>
        </w:rPr>
      </w:pPr>
      <w:r w:rsidRPr="00BD65C5">
        <w:rPr>
          <w:lang w:val="en-AU"/>
        </w:rPr>
        <w:t>Use in Lactation</w:t>
      </w:r>
    </w:p>
    <w:p w:rsidR="005E35DD" w:rsidRDefault="003074EC" w:rsidP="002E40F0">
      <w:pPr>
        <w:pStyle w:val="StyleBodyCalibriLinespacingsingle"/>
        <w:rPr>
          <w:rFonts w:eastAsia="SimSun"/>
          <w:lang w:val="en-US" w:eastAsia="de-CH" w:bidi="he-IL"/>
        </w:rPr>
      </w:pPr>
      <w:r w:rsidRPr="00143C34">
        <w:rPr>
          <w:rFonts w:eastAsia="SimSun"/>
          <w:lang w:val="en-US" w:eastAsia="de-CH" w:bidi="he-IL"/>
        </w:rPr>
        <w:t xml:space="preserve">It is unknown whether </w:t>
      </w:r>
      <w:r w:rsidR="00F20839" w:rsidRPr="00143C34">
        <w:rPr>
          <w:rFonts w:eastAsia="SimSun"/>
          <w:lang w:val="en-US" w:eastAsia="de-CH" w:bidi="he-IL"/>
        </w:rPr>
        <w:t>fremanezumab is excreted in human milk</w:t>
      </w:r>
      <w:r w:rsidR="0062366E" w:rsidRPr="00143C34">
        <w:rPr>
          <w:rFonts w:eastAsia="SimSun"/>
          <w:lang w:val="en-US" w:eastAsia="de-CH" w:bidi="he-IL"/>
        </w:rPr>
        <w:t xml:space="preserve">. A risk to the </w:t>
      </w:r>
      <w:r w:rsidR="00BD65C5">
        <w:rPr>
          <w:rFonts w:eastAsia="SimSun"/>
          <w:lang w:val="en-US" w:eastAsia="de-CH" w:bidi="he-IL"/>
        </w:rPr>
        <w:t>breastfed</w:t>
      </w:r>
      <w:r w:rsidR="0062366E" w:rsidRPr="00143C34">
        <w:rPr>
          <w:rFonts w:eastAsia="SimSun"/>
          <w:lang w:val="en-US" w:eastAsia="de-CH" w:bidi="he-IL"/>
        </w:rPr>
        <w:t xml:space="preserve"> child cannot be excluded. A decision must be made whether to discontinue breast-feeding or to discontinue/abstain from </w:t>
      </w:r>
      <w:r w:rsidR="00762971" w:rsidRPr="00143C34">
        <w:t>AJOVY</w:t>
      </w:r>
      <w:r w:rsidR="0062366E" w:rsidRPr="00143C34">
        <w:rPr>
          <w:rFonts w:eastAsia="SimSun"/>
          <w:lang w:val="en-US" w:eastAsia="de-CH" w:bidi="he-IL"/>
        </w:rPr>
        <w:t xml:space="preserve"> therapy taking into account the benefit of breastfeeding for the child and the benefit of therapy for the woman.</w:t>
      </w:r>
    </w:p>
    <w:p w:rsidR="00812D16" w:rsidRPr="00A3136F" w:rsidRDefault="00812D16" w:rsidP="002E40F0">
      <w:pPr>
        <w:pStyle w:val="StyleHeading2LatinCambria12ptAutoSmallcaps"/>
        <w:rPr>
          <w:noProof/>
        </w:rPr>
      </w:pPr>
      <w:r w:rsidRPr="005574FF">
        <w:rPr>
          <w:rFonts w:eastAsia="Calibri"/>
          <w:lang w:val="en-AU"/>
        </w:rPr>
        <w:t>4.7</w:t>
      </w:r>
      <w:r w:rsidRPr="005574FF">
        <w:rPr>
          <w:rFonts w:eastAsia="Calibri"/>
          <w:lang w:val="en-AU"/>
        </w:rPr>
        <w:tab/>
      </w:r>
      <w:r w:rsidR="00211595" w:rsidRPr="005574FF">
        <w:rPr>
          <w:rFonts w:eastAsia="Calibri"/>
          <w:lang w:val="en-AU"/>
        </w:rPr>
        <w:t xml:space="preserve"> EFFECTS ON ABILITY TO DRIVE AND USE MACHINES</w:t>
      </w:r>
    </w:p>
    <w:p w:rsidR="00812D16" w:rsidRPr="00143C34" w:rsidRDefault="00762971" w:rsidP="002E40F0">
      <w:pPr>
        <w:pStyle w:val="StyleBodyCalibriLinespacingsingle"/>
        <w:rPr>
          <w:rFonts w:eastAsia="SimSun"/>
          <w:lang w:val="en-US" w:eastAsia="de-CH" w:bidi="he-IL"/>
        </w:rPr>
      </w:pPr>
      <w:r w:rsidRPr="00143C34">
        <w:rPr>
          <w:rFonts w:eastAsia="SimSun"/>
          <w:lang w:val="en-US" w:eastAsia="de-CH" w:bidi="he-IL"/>
        </w:rPr>
        <w:t>AJOVY</w:t>
      </w:r>
      <w:r w:rsidR="00FD0234" w:rsidRPr="00143C34">
        <w:rPr>
          <w:rFonts w:eastAsia="SimSun"/>
          <w:lang w:val="en-US" w:eastAsia="de-CH" w:bidi="he-IL"/>
        </w:rPr>
        <w:t xml:space="preserve"> has </w:t>
      </w:r>
      <w:r w:rsidR="00812D16" w:rsidRPr="00143C34">
        <w:rPr>
          <w:rFonts w:eastAsia="SimSun"/>
          <w:lang w:val="en-US" w:eastAsia="de-CH" w:bidi="he-IL"/>
        </w:rPr>
        <w:t>no or negligible infl</w:t>
      </w:r>
      <w:r w:rsidR="00FD0234" w:rsidRPr="00143C34">
        <w:rPr>
          <w:rFonts w:eastAsia="SimSun"/>
          <w:lang w:val="en-US" w:eastAsia="de-CH" w:bidi="he-IL"/>
        </w:rPr>
        <w:t xml:space="preserve">uence </w:t>
      </w:r>
      <w:r w:rsidR="00812D16" w:rsidRPr="00143C34">
        <w:rPr>
          <w:rFonts w:eastAsia="SimSun"/>
          <w:lang w:val="en-US" w:eastAsia="de-CH" w:bidi="he-IL"/>
        </w:rPr>
        <w:t>on the abili</w:t>
      </w:r>
      <w:r w:rsidR="00FD0234" w:rsidRPr="00143C34">
        <w:rPr>
          <w:rFonts w:eastAsia="SimSun"/>
          <w:lang w:val="en-US" w:eastAsia="de-CH" w:bidi="he-IL"/>
        </w:rPr>
        <w:t>ty to drive and use machines.</w:t>
      </w:r>
    </w:p>
    <w:p w:rsidR="00812D16" w:rsidRDefault="00855481" w:rsidP="002E40F0">
      <w:pPr>
        <w:pStyle w:val="StyleHeading2LatinCambria12ptAutoSmallcaps"/>
        <w:rPr>
          <w:noProof/>
        </w:rPr>
      </w:pPr>
      <w:r w:rsidRPr="005574FF">
        <w:rPr>
          <w:rFonts w:eastAsia="Calibri"/>
          <w:lang w:val="en-AU"/>
        </w:rPr>
        <w:t>4.8</w:t>
      </w:r>
      <w:r w:rsidRPr="005574FF">
        <w:rPr>
          <w:rFonts w:eastAsia="Calibri"/>
          <w:lang w:val="en-AU"/>
        </w:rPr>
        <w:tab/>
      </w:r>
      <w:r w:rsidR="00211595" w:rsidRPr="005574FF">
        <w:rPr>
          <w:rFonts w:eastAsia="Calibri"/>
          <w:lang w:val="en-AU"/>
        </w:rPr>
        <w:t xml:space="preserve"> ADVERSE EFFECTS (UNDESIRABLE EFFECTS)</w:t>
      </w:r>
    </w:p>
    <w:p w:rsidR="009233AC" w:rsidRDefault="009233AC" w:rsidP="00D2768D">
      <w:pPr>
        <w:autoSpaceDE w:val="0"/>
        <w:autoSpaceDN w:val="0"/>
        <w:adjustRightInd w:val="0"/>
        <w:spacing w:line="240" w:lineRule="auto"/>
        <w:rPr>
          <w:rFonts w:asciiTheme="minorHAnsi" w:hAnsiTheme="minorHAnsi" w:cstheme="minorHAnsi"/>
          <w:b/>
          <w:i/>
          <w:szCs w:val="22"/>
        </w:rPr>
      </w:pPr>
      <w:r w:rsidRPr="009233AC">
        <w:rPr>
          <w:rFonts w:asciiTheme="minorHAnsi" w:hAnsiTheme="minorHAnsi" w:cstheme="minorHAnsi"/>
          <w:b/>
          <w:i/>
          <w:szCs w:val="22"/>
        </w:rPr>
        <w:t>Reporting suspected adverse effects</w:t>
      </w:r>
    </w:p>
    <w:p w:rsidR="00D2768D" w:rsidRPr="00143C34" w:rsidRDefault="00D2768D" w:rsidP="00000DE2">
      <w:pPr>
        <w:autoSpaceDE w:val="0"/>
        <w:autoSpaceDN w:val="0"/>
        <w:adjustRightInd w:val="0"/>
        <w:spacing w:before="120" w:after="120" w:line="240" w:lineRule="auto"/>
        <w:jc w:val="both"/>
        <w:rPr>
          <w:rFonts w:asciiTheme="minorHAnsi" w:hAnsiTheme="minorHAnsi" w:cstheme="minorHAnsi"/>
          <w:noProof/>
          <w:szCs w:val="22"/>
        </w:rPr>
      </w:pPr>
      <w:r w:rsidRPr="00143C34">
        <w:rPr>
          <w:rFonts w:asciiTheme="minorHAnsi" w:hAnsiTheme="minorHAnsi" w:cstheme="minorHAnsi"/>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at </w:t>
      </w:r>
      <w:hyperlink r:id="rId9" w:history="1">
        <w:r w:rsidRPr="00143C34">
          <w:rPr>
            <w:rStyle w:val="Hyperlink"/>
            <w:rFonts w:asciiTheme="minorHAnsi" w:hAnsiTheme="minorHAnsi" w:cstheme="minorHAnsi"/>
            <w:szCs w:val="22"/>
          </w:rPr>
          <w:t>www.tga.gov.au/reporting-problems</w:t>
        </w:r>
      </w:hyperlink>
      <w:r w:rsidRPr="00143C34">
        <w:rPr>
          <w:rFonts w:asciiTheme="minorHAnsi" w:hAnsiTheme="minorHAnsi" w:cstheme="minorHAnsi"/>
          <w:szCs w:val="22"/>
        </w:rPr>
        <w:t>.</w:t>
      </w:r>
    </w:p>
    <w:p w:rsidR="00033D26" w:rsidRPr="00143C34" w:rsidRDefault="00FD0234" w:rsidP="00204AAB">
      <w:pPr>
        <w:autoSpaceDE w:val="0"/>
        <w:autoSpaceDN w:val="0"/>
        <w:adjustRightInd w:val="0"/>
        <w:spacing w:line="240" w:lineRule="auto"/>
        <w:jc w:val="both"/>
        <w:rPr>
          <w:rFonts w:asciiTheme="minorHAnsi" w:hAnsiTheme="minorHAnsi" w:cstheme="minorHAnsi"/>
          <w:szCs w:val="22"/>
          <w:u w:val="single"/>
        </w:rPr>
      </w:pPr>
      <w:r w:rsidRPr="00143C34">
        <w:rPr>
          <w:rFonts w:asciiTheme="minorHAnsi" w:hAnsiTheme="minorHAnsi" w:cstheme="minorHAnsi"/>
          <w:szCs w:val="22"/>
          <w:u w:val="single"/>
        </w:rPr>
        <w:t>Summary of the safety profile</w:t>
      </w:r>
    </w:p>
    <w:p w:rsidR="00F04C88" w:rsidRPr="00143C34" w:rsidRDefault="00F04C88" w:rsidP="00000DE2">
      <w:pPr>
        <w:autoSpaceDE w:val="0"/>
        <w:autoSpaceDN w:val="0"/>
        <w:adjustRightInd w:val="0"/>
        <w:spacing w:after="120" w:line="240" w:lineRule="auto"/>
        <w:jc w:val="both"/>
        <w:rPr>
          <w:rFonts w:asciiTheme="minorHAnsi" w:hAnsiTheme="minorHAnsi" w:cstheme="minorHAnsi"/>
          <w:szCs w:val="22"/>
          <w:u w:val="single"/>
        </w:rPr>
      </w:pPr>
      <w:r w:rsidRPr="00143C34">
        <w:rPr>
          <w:rFonts w:asciiTheme="minorHAnsi" w:hAnsiTheme="minorHAnsi" w:cstheme="minorHAnsi"/>
          <w:bCs/>
          <w:noProof/>
          <w:szCs w:val="22"/>
        </w:rPr>
        <w:t>The most frequently reported a</w:t>
      </w:r>
      <w:r w:rsidR="005D270D" w:rsidRPr="00143C34">
        <w:rPr>
          <w:rFonts w:asciiTheme="minorHAnsi" w:hAnsiTheme="minorHAnsi" w:cstheme="minorHAnsi"/>
          <w:bCs/>
          <w:noProof/>
          <w:szCs w:val="22"/>
        </w:rPr>
        <w:t>dverse</w:t>
      </w:r>
      <w:r w:rsidR="003C3A76" w:rsidRPr="00143C34">
        <w:rPr>
          <w:rFonts w:asciiTheme="minorHAnsi" w:hAnsiTheme="minorHAnsi" w:cstheme="minorHAnsi"/>
          <w:bCs/>
          <w:noProof/>
          <w:szCs w:val="22"/>
        </w:rPr>
        <w:t xml:space="preserve"> events</w:t>
      </w:r>
      <w:r w:rsidR="007C03D6" w:rsidRPr="00143C34">
        <w:rPr>
          <w:rFonts w:asciiTheme="minorHAnsi" w:hAnsiTheme="minorHAnsi" w:cstheme="minorHAnsi"/>
          <w:bCs/>
          <w:noProof/>
          <w:szCs w:val="22"/>
        </w:rPr>
        <w:t xml:space="preserve"> were </w:t>
      </w:r>
      <w:r w:rsidR="00642032" w:rsidRPr="00143C34">
        <w:rPr>
          <w:rFonts w:asciiTheme="minorHAnsi" w:hAnsiTheme="minorHAnsi" w:cstheme="minorHAnsi"/>
          <w:bCs/>
          <w:noProof/>
          <w:szCs w:val="22"/>
        </w:rPr>
        <w:t xml:space="preserve">local reactions at the </w:t>
      </w:r>
      <w:r w:rsidR="007C03D6" w:rsidRPr="00143C34">
        <w:rPr>
          <w:rFonts w:asciiTheme="minorHAnsi" w:hAnsiTheme="minorHAnsi" w:cstheme="minorHAnsi"/>
          <w:bCs/>
          <w:noProof/>
          <w:szCs w:val="22"/>
        </w:rPr>
        <w:t xml:space="preserve">injection site </w:t>
      </w:r>
      <w:r w:rsidR="00BE1776">
        <w:t xml:space="preserve">[pain </w:t>
      </w:r>
      <w:r w:rsidR="00BE1776" w:rsidRPr="00BE1776">
        <w:rPr>
          <w:rFonts w:asciiTheme="minorHAnsi" w:hAnsiTheme="minorHAnsi" w:cstheme="minorHAnsi"/>
          <w:bCs/>
          <w:noProof/>
          <w:szCs w:val="22"/>
        </w:rPr>
        <w:t xml:space="preserve">(24%), induration (17%), erythema (16%) and pruritus </w:t>
      </w:r>
      <w:r w:rsidR="00207A30">
        <w:rPr>
          <w:rFonts w:asciiTheme="minorHAnsi" w:hAnsiTheme="minorHAnsi" w:cstheme="minorHAnsi"/>
          <w:bCs/>
          <w:noProof/>
          <w:szCs w:val="22"/>
        </w:rPr>
        <w:t>(</w:t>
      </w:r>
      <w:r w:rsidR="00BE1776" w:rsidRPr="00BE1776">
        <w:rPr>
          <w:rFonts w:asciiTheme="minorHAnsi" w:hAnsiTheme="minorHAnsi" w:cstheme="minorHAnsi"/>
          <w:bCs/>
          <w:noProof/>
          <w:szCs w:val="22"/>
        </w:rPr>
        <w:t>2%)].</w:t>
      </w:r>
    </w:p>
    <w:p w:rsidR="00FD0234" w:rsidRPr="00143C34" w:rsidRDefault="00FD0234" w:rsidP="00B62A0E">
      <w:pPr>
        <w:autoSpaceDE w:val="0"/>
        <w:autoSpaceDN w:val="0"/>
        <w:adjustRightInd w:val="0"/>
        <w:spacing w:line="240" w:lineRule="auto"/>
        <w:jc w:val="both"/>
        <w:rPr>
          <w:rFonts w:asciiTheme="minorHAnsi" w:hAnsiTheme="minorHAnsi" w:cstheme="minorHAnsi"/>
          <w:szCs w:val="22"/>
          <w:u w:val="single"/>
        </w:rPr>
      </w:pPr>
      <w:r w:rsidRPr="00143C34">
        <w:rPr>
          <w:rFonts w:asciiTheme="minorHAnsi" w:hAnsiTheme="minorHAnsi" w:cstheme="minorHAnsi"/>
          <w:szCs w:val="22"/>
          <w:u w:val="single"/>
        </w:rPr>
        <w:t xml:space="preserve">Tabulated </w:t>
      </w:r>
      <w:r w:rsidR="00B62A0E" w:rsidRPr="00143C34">
        <w:rPr>
          <w:rFonts w:asciiTheme="minorHAnsi" w:hAnsiTheme="minorHAnsi" w:cstheme="minorHAnsi"/>
          <w:szCs w:val="22"/>
          <w:u w:val="single"/>
        </w:rPr>
        <w:t>list</w:t>
      </w:r>
      <w:r w:rsidR="0025080E" w:rsidRPr="00143C34">
        <w:rPr>
          <w:rFonts w:asciiTheme="minorHAnsi" w:hAnsiTheme="minorHAnsi" w:cstheme="minorHAnsi"/>
          <w:szCs w:val="22"/>
          <w:u w:val="single"/>
        </w:rPr>
        <w:t xml:space="preserve"> of adverse</w:t>
      </w:r>
      <w:r w:rsidR="003C3A76" w:rsidRPr="00143C34">
        <w:rPr>
          <w:rFonts w:asciiTheme="minorHAnsi" w:hAnsiTheme="minorHAnsi" w:cstheme="minorHAnsi"/>
          <w:szCs w:val="22"/>
          <w:u w:val="single"/>
        </w:rPr>
        <w:t xml:space="preserve"> events</w:t>
      </w:r>
    </w:p>
    <w:p w:rsidR="004B41FB" w:rsidRPr="00143C34" w:rsidRDefault="003C3A76" w:rsidP="002E40F0">
      <w:pPr>
        <w:pStyle w:val="StyleBodyCalibriLinespacingsingle"/>
        <w:rPr>
          <w:rFonts w:eastAsia="SimSun"/>
          <w:lang w:val="en-US" w:eastAsia="de-CH" w:bidi="he-IL"/>
        </w:rPr>
      </w:pPr>
      <w:r w:rsidRPr="00143C34">
        <w:t>Adverse events</w:t>
      </w:r>
      <w:r w:rsidR="004B41FB" w:rsidRPr="00143C34">
        <w:t xml:space="preserve"> from clinical studies are presented according to</w:t>
      </w:r>
      <w:r w:rsidRPr="00143C34">
        <w:t xml:space="preserve"> the</w:t>
      </w:r>
      <w:r w:rsidR="004B41FB" w:rsidRPr="00143C34">
        <w:t xml:space="preserve"> MedDRA system organ classification. </w:t>
      </w:r>
      <w:r w:rsidR="004B41FB" w:rsidRPr="00143C34">
        <w:rPr>
          <w:rFonts w:eastAsia="SimSun"/>
          <w:lang w:val="en-US" w:eastAsia="de-CH" w:bidi="he-IL"/>
        </w:rPr>
        <w:t>Within each system organ class</w:t>
      </w:r>
      <w:r w:rsidR="007461F4" w:rsidRPr="00143C34">
        <w:rPr>
          <w:rFonts w:eastAsia="SimSun"/>
          <w:lang w:val="en-US" w:eastAsia="de-CH" w:bidi="he-IL"/>
        </w:rPr>
        <w:t>, events</w:t>
      </w:r>
      <w:r w:rsidRPr="00143C34">
        <w:rPr>
          <w:rFonts w:eastAsia="SimSun"/>
          <w:lang w:val="en-US" w:eastAsia="de-CH" w:bidi="he-IL"/>
        </w:rPr>
        <w:t xml:space="preserve"> </w:t>
      </w:r>
      <w:r w:rsidR="004B41FB" w:rsidRPr="00143C34">
        <w:rPr>
          <w:rFonts w:eastAsia="SimSun"/>
          <w:lang w:val="en-US" w:eastAsia="de-CH" w:bidi="he-IL"/>
        </w:rPr>
        <w:t xml:space="preserve">are ranked by frequency, most </w:t>
      </w:r>
      <w:r w:rsidR="007461F4" w:rsidRPr="00143C34">
        <w:rPr>
          <w:rFonts w:eastAsia="SimSun"/>
          <w:lang w:val="en-US" w:eastAsia="de-CH" w:bidi="he-IL"/>
        </w:rPr>
        <w:t>frequent events</w:t>
      </w:r>
      <w:r w:rsidRPr="00143C34">
        <w:rPr>
          <w:rFonts w:eastAsia="SimSun"/>
          <w:lang w:val="en-US" w:eastAsia="de-CH" w:bidi="he-IL"/>
        </w:rPr>
        <w:t xml:space="preserve"> </w:t>
      </w:r>
      <w:r w:rsidR="004B41FB" w:rsidRPr="00143C34">
        <w:rPr>
          <w:rFonts w:eastAsia="SimSun"/>
          <w:lang w:val="en-US" w:eastAsia="de-CH" w:bidi="he-IL"/>
        </w:rPr>
        <w:t>first. Within each</w:t>
      </w:r>
      <w:r w:rsidR="00AF0E61" w:rsidRPr="00143C34">
        <w:rPr>
          <w:rFonts w:eastAsia="SimSun"/>
          <w:lang w:val="en-US" w:eastAsia="de-CH" w:bidi="he-IL"/>
        </w:rPr>
        <w:t xml:space="preserve"> </w:t>
      </w:r>
      <w:r w:rsidR="004B41FB" w:rsidRPr="00143C34">
        <w:rPr>
          <w:rFonts w:eastAsia="SimSun"/>
          <w:lang w:val="en-US" w:eastAsia="de-CH" w:bidi="he-IL"/>
        </w:rPr>
        <w:t xml:space="preserve">frequency grouping, </w:t>
      </w:r>
      <w:r w:rsidR="007461F4" w:rsidRPr="00143C34">
        <w:rPr>
          <w:rFonts w:eastAsia="SimSun"/>
          <w:lang w:val="en-US" w:eastAsia="de-CH" w:bidi="he-IL"/>
        </w:rPr>
        <w:t>a</w:t>
      </w:r>
      <w:r w:rsidRPr="00143C34">
        <w:rPr>
          <w:rFonts w:eastAsia="SimSun"/>
          <w:lang w:val="en-US" w:eastAsia="de-CH" w:bidi="he-IL"/>
        </w:rPr>
        <w:t>dverse events</w:t>
      </w:r>
      <w:r w:rsidR="004B41FB" w:rsidRPr="00143C34">
        <w:rPr>
          <w:rFonts w:eastAsia="SimSun"/>
          <w:lang w:val="en-US" w:eastAsia="de-CH" w:bidi="he-IL"/>
        </w:rPr>
        <w:t xml:space="preserve"> are presented in the order of decreasing seriousness. Frequency categories are based on the following convention: very common (</w:t>
      </w:r>
      <w:r w:rsidR="004B41FB" w:rsidRPr="00143C34">
        <w:rPr>
          <w:rFonts w:eastAsia="SimSun" w:hint="eastAsia"/>
          <w:lang w:val="en-US" w:eastAsia="de-CH" w:bidi="he-IL"/>
        </w:rPr>
        <w:sym w:font="Symbol" w:char="F0B3"/>
      </w:r>
      <w:r w:rsidR="004B41FB" w:rsidRPr="00143C34">
        <w:rPr>
          <w:rFonts w:eastAsia="SimSun"/>
          <w:lang w:val="en-US" w:eastAsia="de-CH" w:bidi="he-IL"/>
        </w:rPr>
        <w:t>1/10); common (</w:t>
      </w:r>
      <w:r w:rsidR="004B41FB" w:rsidRPr="00143C34">
        <w:rPr>
          <w:rFonts w:eastAsia="SimSun" w:hint="eastAsia"/>
          <w:lang w:val="en-US" w:eastAsia="de-CH" w:bidi="he-IL"/>
        </w:rPr>
        <w:sym w:font="Symbol" w:char="F0B3"/>
      </w:r>
      <w:r w:rsidR="004B41FB" w:rsidRPr="00143C34">
        <w:rPr>
          <w:rFonts w:eastAsia="SimSun"/>
          <w:lang w:val="en-US" w:eastAsia="de-CH" w:bidi="he-IL"/>
        </w:rPr>
        <w:t xml:space="preserve">1/100 to </w:t>
      </w:r>
      <w:r w:rsidR="004B41FB" w:rsidRPr="00143C34">
        <w:rPr>
          <w:rFonts w:eastAsia="SimSun"/>
          <w:lang w:val="en-US" w:eastAsia="de-CH" w:bidi="he-IL"/>
        </w:rPr>
        <w:sym w:font="Symbol" w:char="F03C"/>
      </w:r>
      <w:r w:rsidR="004B41FB" w:rsidRPr="00143C34">
        <w:rPr>
          <w:rFonts w:eastAsia="SimSun"/>
          <w:lang w:val="en-US" w:eastAsia="de-CH" w:bidi="he-IL"/>
        </w:rPr>
        <w:t>1/10); uncommon (</w:t>
      </w:r>
      <w:r w:rsidR="004B41FB" w:rsidRPr="00143C34">
        <w:rPr>
          <w:rFonts w:eastAsia="SimSun" w:hint="eastAsia"/>
          <w:lang w:val="en-US" w:eastAsia="de-CH" w:bidi="he-IL"/>
        </w:rPr>
        <w:sym w:font="Symbol" w:char="F0B3"/>
      </w:r>
      <w:r w:rsidR="004B41FB" w:rsidRPr="00143C34">
        <w:rPr>
          <w:rFonts w:eastAsia="SimSun"/>
          <w:lang w:val="en-US" w:eastAsia="de-CH" w:bidi="he-IL"/>
        </w:rPr>
        <w:t xml:space="preserve">1/1,000 to </w:t>
      </w:r>
      <w:r w:rsidR="004B41FB" w:rsidRPr="00143C34">
        <w:rPr>
          <w:rFonts w:eastAsia="SimSun"/>
          <w:lang w:val="en-US" w:eastAsia="de-CH" w:bidi="he-IL"/>
        </w:rPr>
        <w:sym w:font="Symbol" w:char="F03C"/>
      </w:r>
      <w:r w:rsidR="004B41FB" w:rsidRPr="00143C34">
        <w:rPr>
          <w:rFonts w:eastAsia="SimSun"/>
          <w:lang w:val="en-US" w:eastAsia="de-CH" w:bidi="he-IL"/>
        </w:rPr>
        <w:t>1/100); rare (</w:t>
      </w:r>
      <w:r w:rsidR="004B41FB" w:rsidRPr="00143C34">
        <w:rPr>
          <w:rFonts w:eastAsia="SimSun" w:hint="eastAsia"/>
          <w:lang w:val="en-US" w:eastAsia="de-CH" w:bidi="he-IL"/>
        </w:rPr>
        <w:sym w:font="Symbol" w:char="F0B3"/>
      </w:r>
      <w:r w:rsidR="004B41FB" w:rsidRPr="00143C34">
        <w:rPr>
          <w:rFonts w:eastAsia="SimSun"/>
          <w:lang w:val="en-US" w:eastAsia="de-CH" w:bidi="he-IL"/>
        </w:rPr>
        <w:t xml:space="preserve">1/10,000 to </w:t>
      </w:r>
      <w:r w:rsidR="004B41FB" w:rsidRPr="00143C34">
        <w:rPr>
          <w:rFonts w:eastAsia="SimSun"/>
          <w:lang w:val="en-US" w:eastAsia="de-CH" w:bidi="he-IL"/>
        </w:rPr>
        <w:sym w:font="Symbol" w:char="F03C"/>
      </w:r>
      <w:r w:rsidR="004B41FB" w:rsidRPr="00143C34">
        <w:rPr>
          <w:rFonts w:eastAsia="SimSun"/>
          <w:lang w:val="en-US" w:eastAsia="de-CH" w:bidi="he-IL"/>
        </w:rPr>
        <w:t>1/1,000); very rare (</w:t>
      </w:r>
      <w:r w:rsidR="004B41FB" w:rsidRPr="00143C34">
        <w:rPr>
          <w:rFonts w:eastAsia="SimSun"/>
          <w:lang w:val="en-US" w:eastAsia="de-CH" w:bidi="he-IL"/>
        </w:rPr>
        <w:sym w:font="Symbol" w:char="F03C"/>
      </w:r>
      <w:r w:rsidR="004B41FB" w:rsidRPr="00143C34">
        <w:rPr>
          <w:rFonts w:eastAsia="SimSun"/>
          <w:lang w:val="en-US" w:eastAsia="de-CH" w:bidi="he-IL"/>
        </w:rPr>
        <w:t>1/10,000).</w:t>
      </w:r>
    </w:p>
    <w:p w:rsidR="00947F4C" w:rsidRPr="00143C34" w:rsidRDefault="004B41FB" w:rsidP="00811585">
      <w:pPr>
        <w:autoSpaceDE w:val="0"/>
        <w:autoSpaceDN w:val="0"/>
        <w:adjustRightInd w:val="0"/>
        <w:spacing w:line="240" w:lineRule="auto"/>
        <w:jc w:val="both"/>
        <w:rPr>
          <w:rFonts w:asciiTheme="minorHAnsi" w:hAnsiTheme="minorHAnsi" w:cstheme="minorHAnsi"/>
          <w:szCs w:val="22"/>
        </w:rPr>
      </w:pPr>
      <w:r w:rsidRPr="00143C34">
        <w:rPr>
          <w:rFonts w:asciiTheme="minorHAnsi" w:hAnsiTheme="minorHAnsi" w:cstheme="minorHAnsi"/>
        </w:rPr>
        <w:lastRenderedPageBreak/>
        <w:t xml:space="preserve">The safety of </w:t>
      </w:r>
      <w:r w:rsidR="00762971" w:rsidRPr="00143C34">
        <w:rPr>
          <w:rFonts w:asciiTheme="minorHAnsi" w:hAnsiTheme="minorHAnsi" w:cstheme="minorHAnsi"/>
          <w:szCs w:val="22"/>
        </w:rPr>
        <w:t>AJOVY</w:t>
      </w:r>
      <w:r w:rsidRPr="00143C34">
        <w:rPr>
          <w:rFonts w:asciiTheme="minorHAnsi" w:hAnsiTheme="minorHAnsi" w:cstheme="minorHAnsi"/>
        </w:rPr>
        <w:t xml:space="preserve"> was evaluated in </w:t>
      </w:r>
      <w:r w:rsidR="009B4062" w:rsidRPr="00143C34">
        <w:rPr>
          <w:rFonts w:asciiTheme="minorHAnsi" w:hAnsiTheme="minorHAnsi" w:cstheme="minorHAnsi"/>
        </w:rPr>
        <w:t xml:space="preserve">all completed and ongoing </w:t>
      </w:r>
      <w:r w:rsidR="0005469C" w:rsidRPr="00143C34">
        <w:rPr>
          <w:rFonts w:asciiTheme="minorHAnsi" w:hAnsiTheme="minorHAnsi" w:cstheme="minorHAnsi"/>
        </w:rPr>
        <w:t xml:space="preserve">clinical </w:t>
      </w:r>
      <w:r w:rsidR="009B4062" w:rsidRPr="00143C34">
        <w:rPr>
          <w:rFonts w:asciiTheme="minorHAnsi" w:hAnsiTheme="minorHAnsi" w:cstheme="minorHAnsi"/>
        </w:rPr>
        <w:t xml:space="preserve">studies for all indications.  In the </w:t>
      </w:r>
      <w:r w:rsidR="00012B54" w:rsidRPr="00143C34">
        <w:rPr>
          <w:rFonts w:asciiTheme="minorHAnsi" w:hAnsiTheme="minorHAnsi" w:cstheme="minorHAnsi"/>
        </w:rPr>
        <w:t>four</w:t>
      </w:r>
      <w:r w:rsidRPr="00143C34">
        <w:rPr>
          <w:rFonts w:asciiTheme="minorHAnsi" w:hAnsiTheme="minorHAnsi" w:cstheme="minorHAnsi"/>
        </w:rPr>
        <w:t xml:space="preserve"> placebo controlled trials and </w:t>
      </w:r>
      <w:r w:rsidR="009B4062" w:rsidRPr="00143C34">
        <w:rPr>
          <w:rFonts w:asciiTheme="minorHAnsi" w:hAnsiTheme="minorHAnsi" w:cstheme="minorHAnsi"/>
        </w:rPr>
        <w:t>the</w:t>
      </w:r>
      <w:r w:rsidR="00375B32" w:rsidRPr="00143C34">
        <w:rPr>
          <w:rFonts w:asciiTheme="minorHAnsi" w:hAnsiTheme="minorHAnsi" w:cstheme="minorHAnsi"/>
        </w:rPr>
        <w:t xml:space="preserve"> single</w:t>
      </w:r>
      <w:r w:rsidR="009B4062" w:rsidRPr="00143C34">
        <w:rPr>
          <w:rFonts w:asciiTheme="minorHAnsi" w:hAnsiTheme="minorHAnsi" w:cstheme="minorHAnsi"/>
        </w:rPr>
        <w:t xml:space="preserve"> </w:t>
      </w:r>
      <w:r w:rsidRPr="00143C34">
        <w:rPr>
          <w:rFonts w:asciiTheme="minorHAnsi" w:hAnsiTheme="minorHAnsi" w:cstheme="minorHAnsi"/>
        </w:rPr>
        <w:t>long-term study</w:t>
      </w:r>
      <w:r w:rsidR="009B4062" w:rsidRPr="00143C34">
        <w:rPr>
          <w:rFonts w:asciiTheme="minorHAnsi" w:hAnsiTheme="minorHAnsi" w:cstheme="minorHAnsi"/>
        </w:rPr>
        <w:t xml:space="preserve"> for migraine</w:t>
      </w:r>
      <w:r w:rsidRPr="00143C34">
        <w:rPr>
          <w:rFonts w:asciiTheme="minorHAnsi" w:hAnsiTheme="minorHAnsi" w:cstheme="minorHAnsi"/>
        </w:rPr>
        <w:t>, a total of 2</w:t>
      </w:r>
      <w:r w:rsidR="00C15B75" w:rsidRPr="00143C34">
        <w:rPr>
          <w:rFonts w:asciiTheme="minorHAnsi" w:hAnsiTheme="minorHAnsi" w:cstheme="minorHAnsi"/>
        </w:rPr>
        <w:t>,</w:t>
      </w:r>
      <w:r w:rsidRPr="00143C34">
        <w:rPr>
          <w:rFonts w:asciiTheme="minorHAnsi" w:hAnsiTheme="minorHAnsi" w:cstheme="minorHAnsi"/>
        </w:rPr>
        <w:t xml:space="preserve">512 patients received at least 1 dose of </w:t>
      </w:r>
      <w:r w:rsidR="00012B54" w:rsidRPr="00143C34">
        <w:rPr>
          <w:rFonts w:asciiTheme="minorHAnsi" w:hAnsiTheme="minorHAnsi" w:cstheme="minorHAnsi"/>
        </w:rPr>
        <w:t>AJOVY</w:t>
      </w:r>
      <w:r w:rsidRPr="00143C34">
        <w:rPr>
          <w:rFonts w:asciiTheme="minorHAnsi" w:hAnsiTheme="minorHAnsi" w:cstheme="minorHAnsi"/>
        </w:rPr>
        <w:t xml:space="preserve"> with </w:t>
      </w:r>
      <w:r w:rsidRPr="00143C34">
        <w:rPr>
          <w:rFonts w:asciiTheme="minorHAnsi" w:hAnsiTheme="minorHAnsi" w:cstheme="minorHAnsi"/>
          <w:lang w:eastAsia="en-PH"/>
        </w:rPr>
        <w:t>the mean (</w:t>
      </w:r>
      <w:r w:rsidR="00C15B75" w:rsidRPr="00143C34">
        <w:rPr>
          <w:rFonts w:asciiTheme="minorHAnsi" w:hAnsiTheme="minorHAnsi" w:cstheme="minorHAnsi"/>
          <w:lang w:eastAsia="en-PH"/>
        </w:rPr>
        <w:t xml:space="preserve">standard deviation </w:t>
      </w:r>
      <w:r w:rsidR="00C15B75" w:rsidRPr="00143C34">
        <w:rPr>
          <w:rFonts w:asciiTheme="minorHAnsi" w:hAnsiTheme="minorHAnsi" w:cstheme="minorHAnsi"/>
          <w:lang w:eastAsia="en-PH"/>
        </w:rPr>
        <w:sym w:font="Symbol" w:char="F05B"/>
      </w:r>
      <w:r w:rsidRPr="00143C34">
        <w:rPr>
          <w:rFonts w:asciiTheme="minorHAnsi" w:hAnsiTheme="minorHAnsi" w:cstheme="minorHAnsi"/>
          <w:lang w:eastAsia="en-PH"/>
        </w:rPr>
        <w:t>SD</w:t>
      </w:r>
      <w:r w:rsidR="00C15B75" w:rsidRPr="00143C34">
        <w:rPr>
          <w:rFonts w:asciiTheme="minorHAnsi" w:hAnsiTheme="minorHAnsi" w:cstheme="minorHAnsi"/>
          <w:lang w:eastAsia="en-PH"/>
        </w:rPr>
        <w:sym w:font="Symbol" w:char="F05D"/>
      </w:r>
      <w:r w:rsidRPr="00143C34">
        <w:rPr>
          <w:rFonts w:asciiTheme="minorHAnsi" w:hAnsiTheme="minorHAnsi" w:cstheme="minorHAnsi"/>
          <w:lang w:eastAsia="en-PH"/>
        </w:rPr>
        <w:t xml:space="preserve">) duration of exposure </w:t>
      </w:r>
      <w:r w:rsidR="00323F8A" w:rsidRPr="00323F8A">
        <w:rPr>
          <w:rFonts w:asciiTheme="minorHAnsi" w:hAnsiTheme="minorHAnsi" w:cstheme="minorHAnsi"/>
          <w:lang w:eastAsia="en-PH"/>
        </w:rPr>
        <w:t>of 244.8</w:t>
      </w:r>
      <w:r w:rsidRPr="00143C34">
        <w:rPr>
          <w:rFonts w:asciiTheme="minorHAnsi" w:hAnsiTheme="minorHAnsi" w:cstheme="minorHAnsi"/>
          <w:lang w:eastAsia="en-PH"/>
        </w:rPr>
        <w:t xml:space="preserve"> (</w:t>
      </w:r>
      <w:r w:rsidR="00947F4C" w:rsidRPr="00143C34">
        <w:rPr>
          <w:rFonts w:asciiTheme="minorHAnsi" w:hAnsiTheme="minorHAnsi" w:cstheme="minorHAnsi"/>
          <w:lang w:eastAsia="en-PH"/>
        </w:rPr>
        <w:t>121.24</w:t>
      </w:r>
      <w:r w:rsidRPr="00143C34">
        <w:rPr>
          <w:rFonts w:asciiTheme="minorHAnsi" w:hAnsiTheme="minorHAnsi" w:cstheme="minorHAnsi"/>
          <w:lang w:eastAsia="en-PH"/>
        </w:rPr>
        <w:t>) days. A total of 2</w:t>
      </w:r>
      <w:r w:rsidR="00C15B75" w:rsidRPr="00143C34">
        <w:rPr>
          <w:rFonts w:asciiTheme="minorHAnsi" w:hAnsiTheme="minorHAnsi" w:cstheme="minorHAnsi"/>
          <w:lang w:eastAsia="en-PH"/>
        </w:rPr>
        <w:t>,</w:t>
      </w:r>
      <w:r w:rsidRPr="00143C34">
        <w:rPr>
          <w:rFonts w:asciiTheme="minorHAnsi" w:hAnsiTheme="minorHAnsi" w:cstheme="minorHAnsi"/>
          <w:lang w:eastAsia="en-PH"/>
        </w:rPr>
        <w:t>2</w:t>
      </w:r>
      <w:r w:rsidR="00947F4C" w:rsidRPr="00143C34">
        <w:rPr>
          <w:rFonts w:asciiTheme="minorHAnsi" w:hAnsiTheme="minorHAnsi" w:cstheme="minorHAnsi"/>
          <w:lang w:eastAsia="en-PH"/>
        </w:rPr>
        <w:t>8</w:t>
      </w:r>
      <w:r w:rsidRPr="00143C34">
        <w:rPr>
          <w:rFonts w:asciiTheme="minorHAnsi" w:hAnsiTheme="minorHAnsi" w:cstheme="minorHAnsi"/>
          <w:lang w:eastAsia="en-PH"/>
        </w:rPr>
        <w:t>9 patients (</w:t>
      </w:r>
      <w:r w:rsidR="00947F4C" w:rsidRPr="00143C34">
        <w:rPr>
          <w:rFonts w:asciiTheme="minorHAnsi" w:hAnsiTheme="minorHAnsi" w:cstheme="minorHAnsi"/>
          <w:lang w:eastAsia="en-PH"/>
        </w:rPr>
        <w:t>91</w:t>
      </w:r>
      <w:r w:rsidRPr="00143C34">
        <w:rPr>
          <w:rFonts w:asciiTheme="minorHAnsi" w:hAnsiTheme="minorHAnsi" w:cstheme="minorHAnsi"/>
          <w:lang w:eastAsia="en-PH"/>
        </w:rPr>
        <w:t xml:space="preserve">%) received treatment with </w:t>
      </w:r>
      <w:r w:rsidR="00012B54" w:rsidRPr="00143C34">
        <w:rPr>
          <w:rFonts w:asciiTheme="minorHAnsi" w:hAnsiTheme="minorHAnsi" w:cstheme="minorHAnsi"/>
          <w:lang w:eastAsia="en-PH"/>
        </w:rPr>
        <w:t>AJOVY</w:t>
      </w:r>
      <w:r w:rsidRPr="00143C34">
        <w:rPr>
          <w:rFonts w:asciiTheme="minorHAnsi" w:hAnsiTheme="minorHAnsi" w:cstheme="minorHAnsi"/>
          <w:lang w:eastAsia="en-PH"/>
        </w:rPr>
        <w:t xml:space="preserve"> for </w:t>
      </w:r>
      <w:r w:rsidRPr="00143C34">
        <w:rPr>
          <w:rFonts w:asciiTheme="minorHAnsi" w:hAnsiTheme="minorHAnsi" w:cstheme="minorHAnsi"/>
          <w:lang w:eastAsia="en-PH"/>
        </w:rPr>
        <w:sym w:font="Symbol" w:char="F0B3"/>
      </w:r>
      <w:r w:rsidRPr="00143C34">
        <w:rPr>
          <w:rFonts w:asciiTheme="minorHAnsi" w:hAnsiTheme="minorHAnsi" w:cstheme="minorHAnsi"/>
          <w:lang w:eastAsia="en-PH"/>
        </w:rPr>
        <w:t>3 months,</w:t>
      </w:r>
      <w:r w:rsidR="00785F4C">
        <w:rPr>
          <w:rFonts w:asciiTheme="minorHAnsi" w:hAnsiTheme="minorHAnsi" w:cstheme="minorHAnsi"/>
          <w:lang w:eastAsia="en-PH"/>
        </w:rPr>
        <w:t xml:space="preserve"> </w:t>
      </w:r>
      <w:r w:rsidRPr="00143C34">
        <w:rPr>
          <w:rFonts w:asciiTheme="minorHAnsi" w:hAnsiTheme="minorHAnsi" w:cstheme="minorHAnsi"/>
          <w:lang w:eastAsia="en-PH"/>
        </w:rPr>
        <w:t>1</w:t>
      </w:r>
      <w:r w:rsidR="00C15B75" w:rsidRPr="00143C34">
        <w:rPr>
          <w:rFonts w:asciiTheme="minorHAnsi" w:hAnsiTheme="minorHAnsi" w:cstheme="minorHAnsi"/>
          <w:lang w:eastAsia="en-PH"/>
        </w:rPr>
        <w:t>,</w:t>
      </w:r>
      <w:r w:rsidR="00947F4C" w:rsidRPr="00143C34">
        <w:rPr>
          <w:rFonts w:asciiTheme="minorHAnsi" w:hAnsiTheme="minorHAnsi" w:cstheme="minorHAnsi"/>
          <w:lang w:eastAsia="en-PH"/>
        </w:rPr>
        <w:t>731</w:t>
      </w:r>
      <w:r w:rsidRPr="00143C34">
        <w:rPr>
          <w:rFonts w:asciiTheme="minorHAnsi" w:hAnsiTheme="minorHAnsi" w:cstheme="minorHAnsi"/>
          <w:lang w:eastAsia="en-PH"/>
        </w:rPr>
        <w:t xml:space="preserve"> patients (</w:t>
      </w:r>
      <w:r w:rsidR="00947F4C" w:rsidRPr="00143C34">
        <w:rPr>
          <w:rFonts w:asciiTheme="minorHAnsi" w:hAnsiTheme="minorHAnsi" w:cstheme="minorHAnsi"/>
          <w:lang w:eastAsia="en-PH"/>
        </w:rPr>
        <w:t>69</w:t>
      </w:r>
      <w:r w:rsidRPr="00143C34">
        <w:rPr>
          <w:rFonts w:asciiTheme="minorHAnsi" w:hAnsiTheme="minorHAnsi" w:cstheme="minorHAnsi"/>
          <w:lang w:eastAsia="en-PH"/>
        </w:rPr>
        <w:t xml:space="preserve">%) received treatment with </w:t>
      </w:r>
      <w:r w:rsidR="00012B54" w:rsidRPr="00143C34">
        <w:rPr>
          <w:rFonts w:asciiTheme="minorHAnsi" w:hAnsiTheme="minorHAnsi" w:cstheme="minorHAnsi"/>
          <w:lang w:eastAsia="en-PH"/>
        </w:rPr>
        <w:t>AJOVY</w:t>
      </w:r>
      <w:r w:rsidRPr="00143C34">
        <w:rPr>
          <w:rFonts w:asciiTheme="minorHAnsi" w:hAnsiTheme="minorHAnsi" w:cstheme="minorHAnsi"/>
          <w:lang w:eastAsia="en-PH"/>
        </w:rPr>
        <w:t xml:space="preserve"> for </w:t>
      </w:r>
      <w:r w:rsidRPr="00143C34">
        <w:rPr>
          <w:rFonts w:asciiTheme="minorHAnsi" w:hAnsiTheme="minorHAnsi" w:cstheme="minorHAnsi"/>
          <w:lang w:eastAsia="en-PH"/>
        </w:rPr>
        <w:sym w:font="Symbol" w:char="F0B3"/>
      </w:r>
      <w:r w:rsidRPr="00143C34">
        <w:rPr>
          <w:rFonts w:asciiTheme="minorHAnsi" w:hAnsiTheme="minorHAnsi" w:cstheme="minorHAnsi"/>
          <w:lang w:eastAsia="en-PH"/>
        </w:rPr>
        <w:t xml:space="preserve">6 months, and </w:t>
      </w:r>
      <w:r w:rsidR="00947F4C" w:rsidRPr="00143C34">
        <w:rPr>
          <w:rFonts w:asciiTheme="minorHAnsi" w:hAnsiTheme="minorHAnsi" w:cstheme="minorHAnsi"/>
          <w:lang w:eastAsia="en-PH"/>
        </w:rPr>
        <w:t>775</w:t>
      </w:r>
      <w:r w:rsidRPr="00143C34">
        <w:rPr>
          <w:rFonts w:asciiTheme="minorHAnsi" w:hAnsiTheme="minorHAnsi" w:cstheme="minorHAnsi"/>
          <w:lang w:eastAsia="en-PH"/>
        </w:rPr>
        <w:t xml:space="preserve"> patients (</w:t>
      </w:r>
      <w:r w:rsidR="00947F4C" w:rsidRPr="00143C34">
        <w:rPr>
          <w:rFonts w:asciiTheme="minorHAnsi" w:hAnsiTheme="minorHAnsi" w:cstheme="minorHAnsi"/>
          <w:lang w:eastAsia="en-PH"/>
        </w:rPr>
        <w:t>31</w:t>
      </w:r>
      <w:r w:rsidRPr="00143C34">
        <w:rPr>
          <w:rFonts w:asciiTheme="minorHAnsi" w:hAnsiTheme="minorHAnsi" w:cstheme="minorHAnsi"/>
          <w:lang w:eastAsia="en-PH"/>
        </w:rPr>
        <w:t xml:space="preserve">%) received treatment with </w:t>
      </w:r>
      <w:r w:rsidR="00012B54" w:rsidRPr="00143C34">
        <w:rPr>
          <w:rFonts w:asciiTheme="minorHAnsi" w:hAnsiTheme="minorHAnsi" w:cstheme="minorHAnsi"/>
          <w:lang w:eastAsia="en-PH"/>
        </w:rPr>
        <w:t>AJOVY</w:t>
      </w:r>
      <w:r w:rsidRPr="00143C34">
        <w:rPr>
          <w:rFonts w:asciiTheme="minorHAnsi" w:hAnsiTheme="minorHAnsi" w:cstheme="minorHAnsi"/>
          <w:lang w:eastAsia="en-PH"/>
        </w:rPr>
        <w:t xml:space="preserve"> for </w:t>
      </w:r>
      <w:r w:rsidRPr="00143C34">
        <w:rPr>
          <w:rFonts w:asciiTheme="minorHAnsi" w:hAnsiTheme="minorHAnsi" w:cstheme="minorHAnsi"/>
          <w:lang w:eastAsia="en-PH"/>
        </w:rPr>
        <w:sym w:font="Symbol" w:char="F0B3"/>
      </w:r>
      <w:r w:rsidRPr="00143C34">
        <w:rPr>
          <w:rFonts w:asciiTheme="minorHAnsi" w:hAnsiTheme="minorHAnsi" w:cstheme="minorHAnsi"/>
          <w:lang w:eastAsia="en-PH"/>
        </w:rPr>
        <w:t>12 months.</w:t>
      </w:r>
    </w:p>
    <w:p w:rsidR="00375B32" w:rsidRDefault="005D270D" w:rsidP="00000DE2">
      <w:pPr>
        <w:pStyle w:val="StyleBodyCalibriLinespacingsingle"/>
        <w:spacing w:before="120"/>
      </w:pPr>
      <w:r w:rsidRPr="00143C34">
        <w:t>The following A</w:t>
      </w:r>
      <w:r w:rsidR="00BD754C">
        <w:t>dverse events</w:t>
      </w:r>
      <w:r w:rsidRPr="00143C34">
        <w:t xml:space="preserve"> have been identified in the AJOVY clinical development programme. Table 1</w:t>
      </w:r>
      <w:r w:rsidR="00BD754C">
        <w:t xml:space="preserve"> </w:t>
      </w:r>
      <w:r w:rsidRPr="00143C34">
        <w:t>depicts the relative frequencies of A</w:t>
      </w:r>
      <w:r w:rsidR="00BD754C">
        <w:t>dverse events</w:t>
      </w:r>
      <w:r w:rsidRPr="00143C34">
        <w:t xml:space="preserve"> in AJOVY and placebo treated patients.</w:t>
      </w:r>
    </w:p>
    <w:p w:rsidR="00B8332F" w:rsidRPr="00DE414B" w:rsidRDefault="007F37D8" w:rsidP="00216162">
      <w:pPr>
        <w:autoSpaceDE w:val="0"/>
        <w:autoSpaceDN w:val="0"/>
        <w:adjustRightInd w:val="0"/>
        <w:spacing w:after="120" w:line="240" w:lineRule="auto"/>
        <w:jc w:val="both"/>
        <w:rPr>
          <w:b/>
          <w:bCs/>
          <w:szCs w:val="22"/>
          <w:vertAlign w:val="superscript"/>
        </w:rPr>
      </w:pPr>
      <w:r w:rsidRPr="00DE414B">
        <w:rPr>
          <w:b/>
          <w:bCs/>
          <w:szCs w:val="22"/>
        </w:rPr>
        <w:t>Table 1: Adverse</w:t>
      </w:r>
      <w:r w:rsidR="00375B32">
        <w:rPr>
          <w:b/>
          <w:bCs/>
          <w:szCs w:val="22"/>
        </w:rPr>
        <w:t xml:space="preserve"> </w:t>
      </w:r>
      <w:r w:rsidR="00074D2D">
        <w:rPr>
          <w:b/>
          <w:bCs/>
          <w:szCs w:val="22"/>
        </w:rPr>
        <w:t>events</w:t>
      </w:r>
      <w:r w:rsidR="0025080E">
        <w:rPr>
          <w:b/>
          <w:bCs/>
          <w:szCs w:val="22"/>
        </w:rPr>
        <w:t xml:space="preserve"> occurring</w:t>
      </w:r>
      <w:r w:rsidR="00375B32">
        <w:rPr>
          <w:b/>
          <w:bCs/>
          <w:szCs w:val="22"/>
        </w:rPr>
        <w:t xml:space="preserve"> </w:t>
      </w:r>
      <w:r w:rsidR="00B8332F" w:rsidRPr="00DE414B">
        <w:rPr>
          <w:b/>
          <w:bCs/>
          <w:szCs w:val="22"/>
        </w:rPr>
        <w:t>in clinical studies</w:t>
      </w:r>
      <w:r w:rsidR="00B8332F" w:rsidRPr="00DE414B">
        <w:rPr>
          <w:b/>
          <w:bCs/>
          <w:szCs w:val="22"/>
          <w:vertAlign w:val="superscript"/>
        </w:rPr>
        <w: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835"/>
        <w:gridCol w:w="2268"/>
        <w:gridCol w:w="2300"/>
      </w:tblGrid>
      <w:tr w:rsidR="00B8332F" w:rsidRPr="00DE414B" w:rsidTr="00C25805">
        <w:tc>
          <w:tcPr>
            <w:tcW w:w="4536" w:type="dxa"/>
            <w:gridSpan w:val="2"/>
            <w:vMerge w:val="restart"/>
            <w:shd w:val="clear" w:color="auto" w:fill="auto"/>
          </w:tcPr>
          <w:p w:rsidR="00B8332F" w:rsidRPr="00DE414B" w:rsidRDefault="00B8332F" w:rsidP="00C25805">
            <w:pPr>
              <w:rPr>
                <w:b/>
                <w:bCs/>
                <w:szCs w:val="22"/>
              </w:rPr>
            </w:pPr>
            <w:r w:rsidRPr="00DE414B">
              <w:rPr>
                <w:b/>
                <w:bCs/>
                <w:szCs w:val="22"/>
              </w:rPr>
              <w:t>System Organ Class</w:t>
            </w:r>
          </w:p>
        </w:tc>
        <w:tc>
          <w:tcPr>
            <w:tcW w:w="2268" w:type="dxa"/>
            <w:shd w:val="clear" w:color="auto" w:fill="auto"/>
          </w:tcPr>
          <w:p w:rsidR="00B8332F" w:rsidRPr="00DE414B" w:rsidRDefault="00012B54" w:rsidP="00C25805">
            <w:pPr>
              <w:rPr>
                <w:b/>
                <w:bCs/>
                <w:szCs w:val="22"/>
              </w:rPr>
            </w:pPr>
            <w:r>
              <w:rPr>
                <w:b/>
                <w:bCs/>
                <w:szCs w:val="22"/>
              </w:rPr>
              <w:t>AJOVY</w:t>
            </w:r>
            <w:r w:rsidR="003F347D">
              <w:rPr>
                <w:b/>
                <w:bCs/>
                <w:szCs w:val="22"/>
              </w:rPr>
              <w:t xml:space="preserve"> </w:t>
            </w:r>
            <w:r w:rsidR="003F347D" w:rsidRPr="00DE414B">
              <w:rPr>
                <w:b/>
                <w:bCs/>
                <w:szCs w:val="22"/>
              </w:rPr>
              <w:t>N=1702</w:t>
            </w:r>
          </w:p>
        </w:tc>
        <w:tc>
          <w:tcPr>
            <w:tcW w:w="2300" w:type="dxa"/>
            <w:shd w:val="clear" w:color="auto" w:fill="auto"/>
          </w:tcPr>
          <w:p w:rsidR="00B8332F" w:rsidRPr="00DE414B" w:rsidRDefault="00B8332F" w:rsidP="003F347D">
            <w:pPr>
              <w:rPr>
                <w:b/>
                <w:bCs/>
                <w:szCs w:val="22"/>
              </w:rPr>
            </w:pPr>
            <w:r w:rsidRPr="00DE414B">
              <w:rPr>
                <w:b/>
                <w:bCs/>
                <w:szCs w:val="22"/>
              </w:rPr>
              <w:t>Placebo</w:t>
            </w:r>
            <w:r w:rsidR="003F347D">
              <w:rPr>
                <w:b/>
                <w:bCs/>
                <w:szCs w:val="22"/>
              </w:rPr>
              <w:t xml:space="preserve"> </w:t>
            </w:r>
            <w:r w:rsidR="003F347D" w:rsidRPr="00DE414B">
              <w:rPr>
                <w:b/>
                <w:bCs/>
                <w:szCs w:val="22"/>
              </w:rPr>
              <w:t>N=861</w:t>
            </w:r>
          </w:p>
        </w:tc>
      </w:tr>
      <w:tr w:rsidR="00B8332F" w:rsidRPr="00DE414B" w:rsidTr="00C25805">
        <w:tc>
          <w:tcPr>
            <w:tcW w:w="4536" w:type="dxa"/>
            <w:gridSpan w:val="2"/>
            <w:vMerge/>
            <w:shd w:val="clear" w:color="auto" w:fill="auto"/>
          </w:tcPr>
          <w:p w:rsidR="00B8332F" w:rsidRPr="00DE414B" w:rsidRDefault="00B8332F" w:rsidP="00C25805">
            <w:pPr>
              <w:rPr>
                <w:b/>
                <w:bCs/>
                <w:szCs w:val="22"/>
              </w:rPr>
            </w:pPr>
          </w:p>
        </w:tc>
        <w:tc>
          <w:tcPr>
            <w:tcW w:w="2268" w:type="dxa"/>
            <w:shd w:val="clear" w:color="auto" w:fill="auto"/>
          </w:tcPr>
          <w:p w:rsidR="00B8332F" w:rsidRPr="00DE414B" w:rsidRDefault="00B8332F" w:rsidP="00C25805">
            <w:pPr>
              <w:rPr>
                <w:b/>
                <w:bCs/>
                <w:szCs w:val="22"/>
              </w:rPr>
            </w:pPr>
            <w:r w:rsidRPr="00DE414B">
              <w:rPr>
                <w:b/>
                <w:bCs/>
                <w:szCs w:val="22"/>
              </w:rPr>
              <w:t>n (%)</w:t>
            </w:r>
          </w:p>
        </w:tc>
        <w:tc>
          <w:tcPr>
            <w:tcW w:w="2300" w:type="dxa"/>
            <w:shd w:val="clear" w:color="auto" w:fill="auto"/>
          </w:tcPr>
          <w:p w:rsidR="00B8332F" w:rsidRPr="00DE414B" w:rsidRDefault="00B8332F" w:rsidP="00C25805">
            <w:pPr>
              <w:rPr>
                <w:b/>
                <w:bCs/>
                <w:szCs w:val="22"/>
              </w:rPr>
            </w:pPr>
            <w:r w:rsidRPr="00DE414B">
              <w:rPr>
                <w:b/>
                <w:bCs/>
                <w:szCs w:val="22"/>
              </w:rPr>
              <w:t>n (%)</w:t>
            </w:r>
          </w:p>
        </w:tc>
      </w:tr>
      <w:tr w:rsidR="00B8332F" w:rsidRPr="00DE414B" w:rsidTr="00C25805">
        <w:tc>
          <w:tcPr>
            <w:tcW w:w="9104" w:type="dxa"/>
            <w:gridSpan w:val="4"/>
            <w:shd w:val="clear" w:color="auto" w:fill="auto"/>
          </w:tcPr>
          <w:p w:rsidR="00B8332F" w:rsidRPr="00DE414B" w:rsidRDefault="00B8332F" w:rsidP="00C25805">
            <w:pPr>
              <w:rPr>
                <w:b/>
                <w:bCs/>
                <w:szCs w:val="22"/>
                <w:lang w:val="en-US"/>
              </w:rPr>
            </w:pPr>
            <w:r w:rsidRPr="00DE414B">
              <w:rPr>
                <w:b/>
                <w:bCs/>
                <w:szCs w:val="22"/>
                <w:lang w:val="en-US"/>
              </w:rPr>
              <w:t>General Disorders and Administration Site Conditions</w:t>
            </w:r>
          </w:p>
        </w:tc>
      </w:tr>
      <w:tr w:rsidR="00B8332F" w:rsidRPr="00DE414B" w:rsidTr="00C25805">
        <w:tc>
          <w:tcPr>
            <w:tcW w:w="1701" w:type="dxa"/>
            <w:vMerge w:val="restart"/>
            <w:shd w:val="clear" w:color="auto" w:fill="auto"/>
          </w:tcPr>
          <w:p w:rsidR="00B8332F" w:rsidRPr="00DE414B" w:rsidRDefault="00B8332F" w:rsidP="00C25805">
            <w:pPr>
              <w:rPr>
                <w:szCs w:val="22"/>
                <w:lang w:val="en-US"/>
              </w:rPr>
            </w:pPr>
            <w:r w:rsidRPr="00DE414B">
              <w:rPr>
                <w:szCs w:val="22"/>
                <w:lang w:val="en-US"/>
              </w:rPr>
              <w:t>Very Common</w:t>
            </w:r>
          </w:p>
        </w:tc>
        <w:tc>
          <w:tcPr>
            <w:tcW w:w="2835" w:type="dxa"/>
            <w:shd w:val="clear" w:color="auto" w:fill="auto"/>
          </w:tcPr>
          <w:p w:rsidR="00B8332F" w:rsidRPr="00DE414B" w:rsidRDefault="00BE1776" w:rsidP="00C25805">
            <w:pPr>
              <w:rPr>
                <w:szCs w:val="22"/>
                <w:lang w:val="en-US"/>
              </w:rPr>
            </w:pPr>
            <w:r>
              <w:rPr>
                <w:szCs w:val="22"/>
                <w:lang w:val="en-US"/>
              </w:rPr>
              <w:t>Injection Site Pain</w:t>
            </w:r>
          </w:p>
        </w:tc>
        <w:tc>
          <w:tcPr>
            <w:tcW w:w="2268" w:type="dxa"/>
            <w:shd w:val="clear" w:color="auto" w:fill="auto"/>
          </w:tcPr>
          <w:p w:rsidR="00B8332F" w:rsidRPr="00DE414B" w:rsidRDefault="00BD754C" w:rsidP="00C25805">
            <w:pPr>
              <w:rPr>
                <w:szCs w:val="22"/>
                <w:lang w:val="en-US"/>
              </w:rPr>
            </w:pPr>
            <w:r w:rsidRPr="00BD754C">
              <w:rPr>
                <w:szCs w:val="22"/>
                <w:lang w:val="en-US"/>
              </w:rPr>
              <w:t>413 (24)</w:t>
            </w:r>
          </w:p>
        </w:tc>
        <w:tc>
          <w:tcPr>
            <w:tcW w:w="2300" w:type="dxa"/>
            <w:shd w:val="clear" w:color="auto" w:fill="auto"/>
          </w:tcPr>
          <w:p w:rsidR="00B8332F" w:rsidRPr="00DE414B" w:rsidRDefault="00BD754C" w:rsidP="00C25805">
            <w:pPr>
              <w:rPr>
                <w:szCs w:val="22"/>
                <w:lang w:val="en-US"/>
              </w:rPr>
            </w:pPr>
            <w:r w:rsidRPr="00BD754C">
              <w:rPr>
                <w:szCs w:val="22"/>
                <w:lang w:val="en-US"/>
              </w:rPr>
              <w:t>189 (22)</w:t>
            </w:r>
          </w:p>
        </w:tc>
      </w:tr>
      <w:tr w:rsidR="00BE1776" w:rsidRPr="00DE414B" w:rsidTr="00C25805">
        <w:tc>
          <w:tcPr>
            <w:tcW w:w="1701" w:type="dxa"/>
            <w:vMerge/>
            <w:shd w:val="clear" w:color="auto" w:fill="auto"/>
          </w:tcPr>
          <w:p w:rsidR="00BE1776" w:rsidRPr="00DE414B" w:rsidRDefault="00BE1776" w:rsidP="00C25805">
            <w:pPr>
              <w:rPr>
                <w:szCs w:val="22"/>
                <w:lang w:val="en-US"/>
              </w:rPr>
            </w:pPr>
          </w:p>
        </w:tc>
        <w:tc>
          <w:tcPr>
            <w:tcW w:w="2835" w:type="dxa"/>
            <w:shd w:val="clear" w:color="auto" w:fill="auto"/>
          </w:tcPr>
          <w:p w:rsidR="00BE1776" w:rsidRPr="00DE414B" w:rsidRDefault="00BE1776" w:rsidP="00BD754C">
            <w:pPr>
              <w:rPr>
                <w:szCs w:val="22"/>
                <w:lang w:val="en-US"/>
              </w:rPr>
            </w:pPr>
            <w:r w:rsidRPr="00DE414B">
              <w:rPr>
                <w:szCs w:val="22"/>
                <w:lang w:val="en-US"/>
              </w:rPr>
              <w:t>Injection Site Induration</w:t>
            </w:r>
          </w:p>
        </w:tc>
        <w:tc>
          <w:tcPr>
            <w:tcW w:w="2268" w:type="dxa"/>
            <w:shd w:val="clear" w:color="auto" w:fill="auto"/>
          </w:tcPr>
          <w:p w:rsidR="00BE1776" w:rsidRPr="00DE414B" w:rsidRDefault="00BE1776" w:rsidP="00BD754C">
            <w:pPr>
              <w:rPr>
                <w:szCs w:val="22"/>
                <w:lang w:val="en-US"/>
              </w:rPr>
            </w:pPr>
            <w:r w:rsidRPr="00DE414B">
              <w:rPr>
                <w:szCs w:val="22"/>
                <w:lang w:val="en-US"/>
              </w:rPr>
              <w:t>292 (17)</w:t>
            </w:r>
          </w:p>
        </w:tc>
        <w:tc>
          <w:tcPr>
            <w:tcW w:w="2300" w:type="dxa"/>
            <w:shd w:val="clear" w:color="auto" w:fill="auto"/>
          </w:tcPr>
          <w:p w:rsidR="00BE1776" w:rsidRPr="00DE414B" w:rsidRDefault="00BE1776" w:rsidP="00BD754C">
            <w:pPr>
              <w:rPr>
                <w:szCs w:val="22"/>
                <w:lang w:val="en-US"/>
              </w:rPr>
            </w:pPr>
            <w:r w:rsidRPr="00DE414B">
              <w:rPr>
                <w:szCs w:val="22"/>
                <w:lang w:val="en-US"/>
              </w:rPr>
              <w:t>113 (13)</w:t>
            </w:r>
          </w:p>
        </w:tc>
      </w:tr>
      <w:tr w:rsidR="00B8332F" w:rsidRPr="00DE414B" w:rsidTr="00C25805">
        <w:tc>
          <w:tcPr>
            <w:tcW w:w="1701" w:type="dxa"/>
            <w:vMerge/>
            <w:shd w:val="clear" w:color="auto" w:fill="auto"/>
          </w:tcPr>
          <w:p w:rsidR="00B8332F" w:rsidRPr="00DE414B" w:rsidRDefault="00B8332F" w:rsidP="00C25805">
            <w:pPr>
              <w:rPr>
                <w:szCs w:val="22"/>
                <w:lang w:val="en-US"/>
              </w:rPr>
            </w:pPr>
          </w:p>
        </w:tc>
        <w:tc>
          <w:tcPr>
            <w:tcW w:w="2835" w:type="dxa"/>
            <w:shd w:val="clear" w:color="auto" w:fill="auto"/>
          </w:tcPr>
          <w:p w:rsidR="00B8332F" w:rsidRPr="00DE414B" w:rsidRDefault="00B8332F" w:rsidP="00C25805">
            <w:pPr>
              <w:rPr>
                <w:szCs w:val="22"/>
                <w:lang w:val="en-US"/>
              </w:rPr>
            </w:pPr>
            <w:r w:rsidRPr="00DE414B">
              <w:rPr>
                <w:szCs w:val="22"/>
                <w:lang w:val="en-US"/>
              </w:rPr>
              <w:t>Injection Site Erythema</w:t>
            </w:r>
          </w:p>
        </w:tc>
        <w:tc>
          <w:tcPr>
            <w:tcW w:w="2268" w:type="dxa"/>
            <w:shd w:val="clear" w:color="auto" w:fill="auto"/>
          </w:tcPr>
          <w:p w:rsidR="00B8332F" w:rsidRPr="00DE414B" w:rsidRDefault="00B8332F" w:rsidP="00C25805">
            <w:pPr>
              <w:rPr>
                <w:szCs w:val="22"/>
                <w:lang w:val="en-US"/>
              </w:rPr>
            </w:pPr>
            <w:r w:rsidRPr="00DE414B">
              <w:rPr>
                <w:szCs w:val="22"/>
                <w:lang w:val="en-US"/>
              </w:rPr>
              <w:t>273 (16)</w:t>
            </w:r>
          </w:p>
        </w:tc>
        <w:tc>
          <w:tcPr>
            <w:tcW w:w="2300" w:type="dxa"/>
            <w:shd w:val="clear" w:color="auto" w:fill="auto"/>
          </w:tcPr>
          <w:p w:rsidR="00B8332F" w:rsidRPr="00DE414B" w:rsidRDefault="00B8332F" w:rsidP="00C25805">
            <w:pPr>
              <w:rPr>
                <w:szCs w:val="22"/>
                <w:lang w:val="en-US"/>
              </w:rPr>
            </w:pPr>
            <w:r w:rsidRPr="00DE414B">
              <w:rPr>
                <w:szCs w:val="22"/>
                <w:lang w:val="en-US"/>
              </w:rPr>
              <w:t>104 (12)</w:t>
            </w:r>
          </w:p>
        </w:tc>
      </w:tr>
      <w:tr w:rsidR="00B8332F" w:rsidRPr="00DE414B" w:rsidTr="00C25805">
        <w:tc>
          <w:tcPr>
            <w:tcW w:w="1701" w:type="dxa"/>
            <w:shd w:val="clear" w:color="auto" w:fill="auto"/>
          </w:tcPr>
          <w:p w:rsidR="00B8332F" w:rsidRPr="00DE414B" w:rsidRDefault="00B8332F" w:rsidP="00C25805">
            <w:pPr>
              <w:rPr>
                <w:szCs w:val="22"/>
                <w:lang w:val="en-US"/>
              </w:rPr>
            </w:pPr>
            <w:r w:rsidRPr="00DE414B">
              <w:rPr>
                <w:szCs w:val="22"/>
                <w:lang w:val="en-US"/>
              </w:rPr>
              <w:t>Common</w:t>
            </w:r>
          </w:p>
        </w:tc>
        <w:tc>
          <w:tcPr>
            <w:tcW w:w="2835" w:type="dxa"/>
            <w:shd w:val="clear" w:color="auto" w:fill="auto"/>
          </w:tcPr>
          <w:p w:rsidR="00B8332F" w:rsidRPr="00DE414B" w:rsidRDefault="00B8332F" w:rsidP="00C25805">
            <w:pPr>
              <w:rPr>
                <w:szCs w:val="22"/>
                <w:lang w:val="en-US"/>
              </w:rPr>
            </w:pPr>
            <w:r w:rsidRPr="00DE414B">
              <w:rPr>
                <w:szCs w:val="22"/>
                <w:lang w:val="en-US"/>
              </w:rPr>
              <w:t>Injection Site Pruritus</w:t>
            </w:r>
          </w:p>
        </w:tc>
        <w:tc>
          <w:tcPr>
            <w:tcW w:w="2268" w:type="dxa"/>
            <w:shd w:val="clear" w:color="auto" w:fill="auto"/>
          </w:tcPr>
          <w:p w:rsidR="00B8332F" w:rsidRPr="00DE414B" w:rsidRDefault="00B8332F" w:rsidP="00C25805">
            <w:pPr>
              <w:rPr>
                <w:szCs w:val="22"/>
                <w:lang w:val="en-US"/>
              </w:rPr>
            </w:pPr>
            <w:r w:rsidRPr="00DE414B">
              <w:rPr>
                <w:szCs w:val="22"/>
                <w:lang w:val="en-US"/>
              </w:rPr>
              <w:t>30 (2)</w:t>
            </w:r>
          </w:p>
        </w:tc>
        <w:tc>
          <w:tcPr>
            <w:tcW w:w="2300" w:type="dxa"/>
            <w:shd w:val="clear" w:color="auto" w:fill="auto"/>
          </w:tcPr>
          <w:p w:rsidR="00B8332F" w:rsidRPr="00DE414B" w:rsidRDefault="00B8332F" w:rsidP="00C25805">
            <w:pPr>
              <w:rPr>
                <w:szCs w:val="22"/>
                <w:lang w:val="en-US"/>
              </w:rPr>
            </w:pPr>
            <w:r w:rsidRPr="00DE414B">
              <w:rPr>
                <w:szCs w:val="22"/>
                <w:lang w:val="en-US"/>
              </w:rPr>
              <w:t>2 (&lt;1)</w:t>
            </w:r>
          </w:p>
        </w:tc>
      </w:tr>
      <w:tr w:rsidR="005D270D" w:rsidRPr="00DE414B" w:rsidTr="00C25805">
        <w:tc>
          <w:tcPr>
            <w:tcW w:w="1701" w:type="dxa"/>
            <w:shd w:val="clear" w:color="auto" w:fill="auto"/>
          </w:tcPr>
          <w:p w:rsidR="005D270D" w:rsidRPr="00DE414B" w:rsidRDefault="005D270D" w:rsidP="00C25805">
            <w:pPr>
              <w:rPr>
                <w:szCs w:val="22"/>
                <w:lang w:val="en-US"/>
              </w:rPr>
            </w:pPr>
            <w:r w:rsidRPr="005D270D">
              <w:rPr>
                <w:szCs w:val="22"/>
                <w:lang w:val="en-US"/>
              </w:rPr>
              <w:t>Uncommon</w:t>
            </w:r>
          </w:p>
        </w:tc>
        <w:tc>
          <w:tcPr>
            <w:tcW w:w="2835" w:type="dxa"/>
            <w:shd w:val="clear" w:color="auto" w:fill="auto"/>
          </w:tcPr>
          <w:p w:rsidR="005D270D" w:rsidRPr="00DE414B" w:rsidRDefault="005D270D" w:rsidP="00C25805">
            <w:pPr>
              <w:rPr>
                <w:szCs w:val="22"/>
                <w:lang w:val="en-US"/>
              </w:rPr>
            </w:pPr>
            <w:r>
              <w:rPr>
                <w:rFonts w:ascii="TimesNewRomanPSMT" w:eastAsia="SimSun" w:hAnsi="TimesNewRomanPSMT" w:cs="TimesNewRomanPSMT"/>
                <w:szCs w:val="22"/>
                <w:lang w:val="en-AU" w:eastAsia="en-GB"/>
              </w:rPr>
              <w:t>Injection Site Rash</w:t>
            </w:r>
          </w:p>
        </w:tc>
        <w:tc>
          <w:tcPr>
            <w:tcW w:w="2268" w:type="dxa"/>
            <w:shd w:val="clear" w:color="auto" w:fill="auto"/>
          </w:tcPr>
          <w:p w:rsidR="005D270D" w:rsidRPr="00DE414B" w:rsidRDefault="005D270D" w:rsidP="00C25805">
            <w:pPr>
              <w:rPr>
                <w:szCs w:val="22"/>
                <w:lang w:val="en-US"/>
              </w:rPr>
            </w:pPr>
            <w:r>
              <w:rPr>
                <w:rFonts w:ascii="TimesNewRomanPSMT" w:eastAsia="SimSun" w:hAnsi="TimesNewRomanPSMT" w:cs="TimesNewRomanPSMT"/>
                <w:szCs w:val="22"/>
                <w:lang w:val="en-AU" w:eastAsia="en-GB"/>
              </w:rPr>
              <w:t>13 (&lt;1)</w:t>
            </w:r>
          </w:p>
        </w:tc>
        <w:tc>
          <w:tcPr>
            <w:tcW w:w="2300" w:type="dxa"/>
            <w:shd w:val="clear" w:color="auto" w:fill="auto"/>
          </w:tcPr>
          <w:p w:rsidR="005D270D" w:rsidRPr="00DE414B" w:rsidRDefault="005D270D" w:rsidP="00C25805">
            <w:pPr>
              <w:rPr>
                <w:szCs w:val="22"/>
                <w:lang w:val="en-US"/>
              </w:rPr>
            </w:pPr>
            <w:r>
              <w:rPr>
                <w:rFonts w:ascii="TimesNewRomanPSMT" w:eastAsia="SimSun" w:hAnsi="TimesNewRomanPSMT" w:cs="TimesNewRomanPSMT"/>
                <w:szCs w:val="22"/>
                <w:lang w:val="en-AU" w:eastAsia="en-GB"/>
              </w:rPr>
              <w:t>0</w:t>
            </w:r>
          </w:p>
        </w:tc>
      </w:tr>
    </w:tbl>
    <w:p w:rsidR="00B8332F" w:rsidRDefault="00B8332F" w:rsidP="00717207">
      <w:pPr>
        <w:autoSpaceDE w:val="0"/>
        <w:autoSpaceDN w:val="0"/>
        <w:adjustRightInd w:val="0"/>
        <w:spacing w:after="120" w:line="240" w:lineRule="auto"/>
        <w:jc w:val="both"/>
        <w:rPr>
          <w:szCs w:val="22"/>
        </w:rPr>
      </w:pPr>
      <w:r w:rsidRPr="00DE414B">
        <w:rPr>
          <w:szCs w:val="22"/>
          <w:vertAlign w:val="superscript"/>
        </w:rPr>
        <w:t>a</w:t>
      </w:r>
      <w:r w:rsidRPr="00DE414B">
        <w:rPr>
          <w:szCs w:val="22"/>
        </w:rPr>
        <w:t xml:space="preserve"> </w:t>
      </w:r>
      <w:r w:rsidRPr="00DE414B">
        <w:rPr>
          <w:sz w:val="20"/>
        </w:rPr>
        <w:t xml:space="preserve">Double-blind, placebo-controlled studies (phase II and phase III) in patients with episodic and chronic migraine exposed to </w:t>
      </w:r>
      <w:r w:rsidR="00012B54">
        <w:rPr>
          <w:sz w:val="20"/>
        </w:rPr>
        <w:t>AJOVY</w:t>
      </w:r>
      <w:r w:rsidRPr="00DE414B">
        <w:rPr>
          <w:sz w:val="20"/>
        </w:rPr>
        <w:t xml:space="preserve"> or placebo for up to 52 weeks of treatment duration.</w:t>
      </w:r>
    </w:p>
    <w:p w:rsidR="00A10D26" w:rsidRDefault="00FD0234" w:rsidP="00A10D26">
      <w:pPr>
        <w:autoSpaceDE w:val="0"/>
        <w:autoSpaceDN w:val="0"/>
        <w:adjustRightInd w:val="0"/>
        <w:spacing w:line="240" w:lineRule="auto"/>
        <w:jc w:val="both"/>
        <w:rPr>
          <w:rFonts w:asciiTheme="minorHAnsi" w:hAnsiTheme="minorHAnsi" w:cstheme="minorHAnsi"/>
          <w:szCs w:val="22"/>
          <w:u w:val="single"/>
        </w:rPr>
      </w:pPr>
      <w:r w:rsidRPr="00143C34">
        <w:rPr>
          <w:rFonts w:asciiTheme="minorHAnsi" w:hAnsiTheme="minorHAnsi" w:cstheme="minorHAnsi"/>
          <w:szCs w:val="22"/>
          <w:u w:val="single"/>
        </w:rPr>
        <w:t xml:space="preserve">Description of selected </w:t>
      </w:r>
      <w:r w:rsidR="007461F4" w:rsidRPr="00143C34">
        <w:rPr>
          <w:rFonts w:asciiTheme="minorHAnsi" w:hAnsiTheme="minorHAnsi" w:cstheme="minorHAnsi"/>
          <w:szCs w:val="22"/>
          <w:u w:val="single"/>
        </w:rPr>
        <w:t>adverse events</w:t>
      </w:r>
    </w:p>
    <w:p w:rsidR="00A10D26" w:rsidRDefault="007F37D8" w:rsidP="00A10D26">
      <w:pPr>
        <w:rPr>
          <w:rFonts w:asciiTheme="minorHAnsi" w:hAnsiTheme="minorHAnsi" w:cstheme="minorHAnsi"/>
          <w:i/>
          <w:lang w:val="en-US"/>
        </w:rPr>
      </w:pPr>
      <w:r w:rsidRPr="00A10D26">
        <w:rPr>
          <w:rFonts w:asciiTheme="minorHAnsi" w:hAnsiTheme="minorHAnsi" w:cstheme="minorHAnsi"/>
          <w:i/>
          <w:lang w:val="en-US"/>
        </w:rPr>
        <w:t>Injection site reactions</w:t>
      </w:r>
    </w:p>
    <w:p w:rsidR="005E35DD" w:rsidRDefault="00B8332F" w:rsidP="00717207">
      <w:pPr>
        <w:spacing w:after="120"/>
        <w:rPr>
          <w:rFonts w:asciiTheme="minorHAnsi" w:hAnsiTheme="minorHAnsi" w:cstheme="minorHAnsi"/>
          <w:lang w:val="en-US"/>
        </w:rPr>
      </w:pPr>
      <w:r w:rsidRPr="00143C34">
        <w:rPr>
          <w:rFonts w:asciiTheme="minorHAnsi" w:hAnsiTheme="minorHAnsi" w:cstheme="minorHAnsi"/>
          <w:lang w:val="en-US"/>
        </w:rPr>
        <w:t>The most frequent</w:t>
      </w:r>
      <w:r w:rsidR="006A1F6F" w:rsidRPr="00143C34">
        <w:rPr>
          <w:rFonts w:asciiTheme="minorHAnsi" w:hAnsiTheme="minorHAnsi" w:cstheme="minorHAnsi"/>
          <w:lang w:val="en-US"/>
        </w:rPr>
        <w:t>ly observed</w:t>
      </w:r>
      <w:r w:rsidRPr="00143C34">
        <w:rPr>
          <w:rFonts w:asciiTheme="minorHAnsi" w:hAnsiTheme="minorHAnsi" w:cstheme="minorHAnsi"/>
          <w:lang w:val="en-US"/>
        </w:rPr>
        <w:t xml:space="preserve"> </w:t>
      </w:r>
      <w:r w:rsidR="009133E0" w:rsidRPr="00143C34">
        <w:rPr>
          <w:rFonts w:asciiTheme="minorHAnsi" w:hAnsiTheme="minorHAnsi" w:cstheme="minorHAnsi"/>
          <w:lang w:val="en-US"/>
        </w:rPr>
        <w:t xml:space="preserve">local reactions at the </w:t>
      </w:r>
      <w:r w:rsidRPr="00143C34">
        <w:rPr>
          <w:rFonts w:asciiTheme="minorHAnsi" w:hAnsiTheme="minorHAnsi" w:cstheme="minorHAnsi"/>
          <w:lang w:val="en-US"/>
        </w:rPr>
        <w:t>injection site were</w:t>
      </w:r>
      <w:r w:rsidR="00BE1776">
        <w:rPr>
          <w:rFonts w:asciiTheme="minorHAnsi" w:hAnsiTheme="minorHAnsi" w:cstheme="minorHAnsi"/>
          <w:lang w:val="en-US"/>
        </w:rPr>
        <w:t xml:space="preserve"> pain,</w:t>
      </w:r>
      <w:r w:rsidRPr="00143C34">
        <w:rPr>
          <w:rFonts w:asciiTheme="minorHAnsi" w:hAnsiTheme="minorHAnsi" w:cstheme="minorHAnsi"/>
          <w:lang w:val="en-US"/>
        </w:rPr>
        <w:t xml:space="preserve"> induration and erythema. These reactions were predominantly mild to moderate in severity.</w:t>
      </w:r>
      <w:r w:rsidR="00BE1776">
        <w:rPr>
          <w:rFonts w:asciiTheme="minorHAnsi" w:hAnsiTheme="minorHAnsi" w:cstheme="minorHAnsi"/>
          <w:lang w:val="en-US"/>
        </w:rPr>
        <w:t xml:space="preserve"> </w:t>
      </w:r>
      <w:r w:rsidR="00BE1776" w:rsidRPr="00BE1776">
        <w:rPr>
          <w:rFonts w:asciiTheme="minorHAnsi" w:hAnsiTheme="minorHAnsi" w:cstheme="minorHAnsi"/>
          <w:lang w:val="en-US"/>
        </w:rPr>
        <w:t>Pain, induration and erythema were typically observed immediately after injection while pruritus and rash appeared within a median of 24 and 48 hours, respectively. All injection site reactions resolved, mostly within a few hours or days. Injection site reactions generally did not necessitate discontinuation of the medicinal product.</w:t>
      </w:r>
    </w:p>
    <w:p w:rsidR="00B63E4E" w:rsidRPr="00143C34" w:rsidRDefault="00B63E4E" w:rsidP="00B63E4E">
      <w:pPr>
        <w:autoSpaceDE w:val="0"/>
        <w:autoSpaceDN w:val="0"/>
        <w:adjustRightInd w:val="0"/>
        <w:spacing w:line="240" w:lineRule="auto"/>
        <w:rPr>
          <w:rFonts w:asciiTheme="minorHAnsi" w:hAnsiTheme="minorHAnsi" w:cstheme="minorHAnsi"/>
          <w:i/>
          <w:iCs/>
          <w:u w:val="single"/>
        </w:rPr>
      </w:pPr>
      <w:r w:rsidRPr="00143C34">
        <w:rPr>
          <w:rFonts w:asciiTheme="minorHAnsi" w:hAnsiTheme="minorHAnsi" w:cstheme="minorHAnsi"/>
          <w:i/>
          <w:iCs/>
          <w:u w:val="single"/>
        </w:rPr>
        <w:t>Immunogenicity</w:t>
      </w:r>
    </w:p>
    <w:p w:rsidR="00B63E4E" w:rsidRPr="00143C34" w:rsidRDefault="00B63E4E" w:rsidP="00B63E4E">
      <w:pPr>
        <w:autoSpaceDE w:val="0"/>
        <w:autoSpaceDN w:val="0"/>
        <w:rPr>
          <w:rFonts w:asciiTheme="minorHAnsi" w:hAnsiTheme="minorHAnsi" w:cstheme="minorHAnsi"/>
          <w:szCs w:val="22"/>
        </w:rPr>
      </w:pPr>
      <w:r w:rsidRPr="00143C34">
        <w:rPr>
          <w:rFonts w:asciiTheme="minorHAnsi" w:hAnsiTheme="minorHAnsi" w:cstheme="minorHAnsi"/>
          <w:szCs w:val="22"/>
        </w:rPr>
        <w:t>Clinical immunogenicity of AJOVY was monitored by analysing anti-drug antibodies (ADA) and</w:t>
      </w:r>
    </w:p>
    <w:p w:rsidR="003257A4" w:rsidRPr="009140D3" w:rsidRDefault="00B63E4E" w:rsidP="00A10D26">
      <w:pPr>
        <w:rPr>
          <w:rFonts w:asciiTheme="minorHAnsi" w:hAnsiTheme="minorHAnsi" w:cstheme="minorHAnsi"/>
          <w:lang w:val="en-US"/>
        </w:rPr>
      </w:pPr>
      <w:r w:rsidRPr="00143C34">
        <w:rPr>
          <w:rFonts w:asciiTheme="minorHAnsi" w:hAnsiTheme="minorHAnsi" w:cstheme="minorHAnsi"/>
          <w:szCs w:val="22"/>
        </w:rPr>
        <w:t xml:space="preserve">neutralising antibodies in drug-treated patients. In placebo-controlled studies, 0.4 % of patients (6 out of 1,701) treated with AJOVY developed anti-drug antibodies (ADA). </w:t>
      </w:r>
      <w:r w:rsidRPr="00143C34">
        <w:rPr>
          <w:rFonts w:asciiTheme="minorHAnsi" w:hAnsiTheme="minorHAnsi" w:cstheme="minorHAnsi"/>
          <w:color w:val="000000"/>
        </w:rPr>
        <w:t>The antibody responses were of low titer</w:t>
      </w:r>
      <w:r w:rsidRPr="00143C34">
        <w:rPr>
          <w:rFonts w:asciiTheme="minorHAnsi" w:hAnsiTheme="minorHAnsi" w:cstheme="minorHAnsi"/>
          <w:szCs w:val="22"/>
        </w:rPr>
        <w:t xml:space="preserve">. One of these 6 patients developed neutralising antibodies. There was no detectable effect of ADA formation on the safety of fremanezumab. </w:t>
      </w:r>
      <w:r w:rsidRPr="00143C34">
        <w:rPr>
          <w:rFonts w:asciiTheme="minorHAnsi" w:hAnsiTheme="minorHAnsi" w:cstheme="minorHAnsi"/>
        </w:rPr>
        <w:t xml:space="preserve">To date, for the ongoing long-term study </w:t>
      </w:r>
      <w:r w:rsidRPr="00143C34">
        <w:rPr>
          <w:rFonts w:asciiTheme="minorHAnsi" w:hAnsiTheme="minorHAnsi" w:cstheme="minorHAnsi"/>
        </w:rPr>
        <w:sym w:font="Symbol" w:char="F05B"/>
      </w:r>
      <w:r w:rsidRPr="00143C34">
        <w:rPr>
          <w:rFonts w:asciiTheme="minorHAnsi" w:hAnsiTheme="minorHAnsi" w:cstheme="minorHAnsi"/>
        </w:rPr>
        <w:t>Study 3</w:t>
      </w:r>
      <w:r w:rsidRPr="00143C34">
        <w:rPr>
          <w:rFonts w:asciiTheme="minorHAnsi" w:hAnsiTheme="minorHAnsi" w:cstheme="minorHAnsi"/>
        </w:rPr>
        <w:sym w:font="Symbol" w:char="F05D"/>
      </w:r>
      <w:r w:rsidRPr="00143C34">
        <w:rPr>
          <w:rFonts w:asciiTheme="minorHAnsi" w:hAnsiTheme="minorHAnsi" w:cstheme="minorHAnsi"/>
        </w:rPr>
        <w:t xml:space="preserve">, ADA were detected in </w:t>
      </w:r>
      <w:r w:rsidR="003376FD">
        <w:rPr>
          <w:rFonts w:asciiTheme="minorHAnsi" w:hAnsiTheme="minorHAnsi" w:cstheme="minorHAnsi"/>
        </w:rPr>
        <w:t>2</w:t>
      </w:r>
      <w:r w:rsidRPr="00143C34">
        <w:rPr>
          <w:rFonts w:asciiTheme="minorHAnsi" w:hAnsiTheme="minorHAnsi" w:cstheme="minorHAnsi"/>
        </w:rPr>
        <w:t>% of patients (3</w:t>
      </w:r>
      <w:r w:rsidR="003376FD">
        <w:rPr>
          <w:rFonts w:asciiTheme="minorHAnsi" w:hAnsiTheme="minorHAnsi" w:cstheme="minorHAnsi"/>
        </w:rPr>
        <w:t>8</w:t>
      </w:r>
      <w:r w:rsidRPr="00143C34">
        <w:rPr>
          <w:rFonts w:asciiTheme="minorHAnsi" w:hAnsiTheme="minorHAnsi" w:cstheme="minorHAnsi"/>
        </w:rPr>
        <w:t xml:space="preserve"> out of 1,888)</w:t>
      </w:r>
      <w:r w:rsidR="003B7EC4">
        <w:rPr>
          <w:rFonts w:asciiTheme="minorHAnsi" w:hAnsiTheme="minorHAnsi" w:cstheme="minorHAnsi"/>
        </w:rPr>
        <w:t>with 0.95% of the patients developing neutralising antibodies</w:t>
      </w:r>
      <w:r w:rsidRPr="00143C34">
        <w:rPr>
          <w:rFonts w:asciiTheme="minorHAnsi" w:hAnsiTheme="minorHAnsi" w:cstheme="minorHAnsi"/>
        </w:rPr>
        <w:t xml:space="preserve">. </w:t>
      </w:r>
      <w:r w:rsidRPr="00143C34">
        <w:rPr>
          <w:rFonts w:asciiTheme="minorHAnsi" w:hAnsiTheme="minorHAnsi" w:cstheme="minorHAnsi"/>
          <w:color w:val="000000"/>
        </w:rPr>
        <w:t>There were no significant adverse events related to ADA development in patients with treatment-emergent ADA.</w:t>
      </w:r>
      <w:r w:rsidR="009140D3">
        <w:rPr>
          <w:rFonts w:asciiTheme="minorHAnsi" w:hAnsiTheme="minorHAnsi" w:cstheme="minorHAnsi"/>
          <w:color w:val="000000"/>
        </w:rPr>
        <w:t xml:space="preserve"> </w:t>
      </w:r>
      <w:r w:rsidR="009140D3" w:rsidRPr="009140D3">
        <w:rPr>
          <w:rFonts w:asciiTheme="minorHAnsi" w:hAnsiTheme="minorHAnsi" w:cstheme="minorHAnsi"/>
          <w:color w:val="000000"/>
        </w:rPr>
        <w:t>The safety and efficacy of fremanezumab were not affected by ADA development.</w:t>
      </w:r>
    </w:p>
    <w:p w:rsidR="00255E01" w:rsidRDefault="00812D16" w:rsidP="002E40F0">
      <w:pPr>
        <w:pStyle w:val="StyleHeading2LatinCambria12ptAutoSmallcaps"/>
      </w:pPr>
      <w:r w:rsidRPr="005574FF">
        <w:rPr>
          <w:rFonts w:eastAsia="Calibri"/>
          <w:lang w:val="en-AU"/>
        </w:rPr>
        <w:t>4.9</w:t>
      </w:r>
      <w:r w:rsidRPr="005574FF">
        <w:rPr>
          <w:rFonts w:eastAsia="Calibri"/>
          <w:lang w:val="en-AU"/>
        </w:rPr>
        <w:tab/>
      </w:r>
      <w:r w:rsidR="00211595" w:rsidRPr="005574FF">
        <w:rPr>
          <w:rFonts w:eastAsia="Calibri"/>
          <w:lang w:val="en-AU"/>
        </w:rPr>
        <w:t>OVERDOSE</w:t>
      </w:r>
    </w:p>
    <w:p w:rsidR="00D8479D" w:rsidRPr="00143C34" w:rsidRDefault="00F7715F" w:rsidP="002E40F0">
      <w:pPr>
        <w:pStyle w:val="StyleBodyCalibriLinespacingsingle"/>
        <w:rPr>
          <w:lang w:val="en-US"/>
        </w:rPr>
      </w:pPr>
      <w:r w:rsidRPr="00143C34">
        <w:rPr>
          <w:lang w:val="en-US"/>
        </w:rPr>
        <w:t xml:space="preserve">Doses up to 2000 mg have been administered intravenously in clinical trials without dose-limiting toxicity. </w:t>
      </w:r>
      <w:r w:rsidR="00B62A0E" w:rsidRPr="00143C34">
        <w:rPr>
          <w:lang w:val="en-US"/>
        </w:rPr>
        <w:t>In case of overdose, it is recommended that the patient be monitored for any signs or symptoms of adverse effects and given appropriate symptomatic treatment</w:t>
      </w:r>
      <w:r w:rsidR="00E46754" w:rsidRPr="00143C34">
        <w:rPr>
          <w:lang w:val="en-US"/>
        </w:rPr>
        <w:t xml:space="preserve"> if necessary</w:t>
      </w:r>
      <w:r w:rsidR="00B62A0E" w:rsidRPr="00143C34">
        <w:rPr>
          <w:lang w:val="en-US"/>
        </w:rPr>
        <w:t>.</w:t>
      </w:r>
    </w:p>
    <w:p w:rsidR="00D8479D" w:rsidRPr="00986DD8" w:rsidRDefault="008E6716" w:rsidP="002E40F0">
      <w:pPr>
        <w:pStyle w:val="StyleBodyCalibriLinespacingsingle"/>
        <w:rPr>
          <w:lang w:val="en-US"/>
        </w:rPr>
      </w:pPr>
      <w:r w:rsidRPr="00143C34">
        <w:rPr>
          <w:lang w:val="en-US"/>
        </w:rPr>
        <w:t>For information on the management of overdose, contact the Poisons Information Centre on 13 11 26 (Australia).</w:t>
      </w:r>
    </w:p>
    <w:p w:rsidR="00812D16" w:rsidRPr="00FD2FBF" w:rsidRDefault="00812D16" w:rsidP="00FD2FBF">
      <w:pPr>
        <w:pStyle w:val="Heading2"/>
        <w:keepNext w:val="0"/>
        <w:keepLines w:val="0"/>
        <w:tabs>
          <w:tab w:val="clear" w:pos="567"/>
        </w:tabs>
        <w:spacing w:before="0" w:after="120" w:line="276" w:lineRule="auto"/>
        <w:ind w:left="578" w:hanging="578"/>
        <w:rPr>
          <w:rFonts w:ascii="Cambria" w:eastAsia="Calibri" w:hAnsi="Cambria" w:cs="Calibri"/>
          <w:bCs w:val="0"/>
          <w:smallCaps/>
          <w:color w:val="auto"/>
          <w:sz w:val="24"/>
          <w:szCs w:val="22"/>
          <w:lang w:val="en-AU"/>
        </w:rPr>
      </w:pPr>
      <w:r w:rsidRPr="00FD2FBF">
        <w:rPr>
          <w:rFonts w:ascii="Cambria" w:eastAsia="Calibri" w:hAnsi="Cambria" w:cs="Calibri"/>
          <w:bCs w:val="0"/>
          <w:smallCaps/>
          <w:color w:val="auto"/>
          <w:sz w:val="24"/>
          <w:szCs w:val="22"/>
          <w:lang w:val="en-AU"/>
        </w:rPr>
        <w:t>5.</w:t>
      </w:r>
      <w:r w:rsidRPr="00FD2FBF">
        <w:rPr>
          <w:rFonts w:ascii="Cambria" w:eastAsia="Calibri" w:hAnsi="Cambria" w:cs="Calibri"/>
          <w:bCs w:val="0"/>
          <w:smallCaps/>
          <w:color w:val="auto"/>
          <w:sz w:val="24"/>
          <w:szCs w:val="22"/>
          <w:lang w:val="en-AU"/>
        </w:rPr>
        <w:tab/>
        <w:t>PHARMACOLOGICAL PROPERTIES</w:t>
      </w:r>
    </w:p>
    <w:p w:rsidR="00812D16" w:rsidRPr="00FD2FBF" w:rsidRDefault="00812D16" w:rsidP="00143C34">
      <w:pPr>
        <w:pStyle w:val="Heading2"/>
        <w:keepNext w:val="0"/>
        <w:keepLines w:val="0"/>
        <w:tabs>
          <w:tab w:val="clear" w:pos="567"/>
        </w:tabs>
        <w:spacing w:before="0" w:after="120" w:line="276" w:lineRule="auto"/>
        <w:ind w:left="578" w:hanging="578"/>
        <w:rPr>
          <w:rFonts w:ascii="Cambria" w:eastAsia="Calibri" w:hAnsi="Cambria" w:cs="Calibri"/>
          <w:bCs w:val="0"/>
          <w:smallCaps/>
          <w:color w:val="auto"/>
          <w:sz w:val="24"/>
          <w:szCs w:val="22"/>
          <w:lang w:val="en-AU"/>
        </w:rPr>
      </w:pPr>
      <w:r w:rsidRPr="00FD2FBF">
        <w:rPr>
          <w:rFonts w:ascii="Cambria" w:eastAsia="Calibri" w:hAnsi="Cambria" w:cs="Calibri"/>
          <w:bCs w:val="0"/>
          <w:smallCaps/>
          <w:color w:val="auto"/>
          <w:sz w:val="24"/>
          <w:szCs w:val="22"/>
          <w:lang w:val="en-AU"/>
        </w:rPr>
        <w:t xml:space="preserve">5.1 </w:t>
      </w:r>
      <w:r w:rsidRPr="00FD2FBF">
        <w:rPr>
          <w:rFonts w:ascii="Cambria" w:eastAsia="Calibri" w:hAnsi="Cambria" w:cs="Calibri"/>
          <w:bCs w:val="0"/>
          <w:smallCaps/>
          <w:color w:val="auto"/>
          <w:sz w:val="24"/>
          <w:szCs w:val="22"/>
          <w:lang w:val="en-AU"/>
        </w:rPr>
        <w:tab/>
      </w:r>
      <w:r w:rsidR="00211595" w:rsidRPr="00FD2FBF">
        <w:rPr>
          <w:rFonts w:ascii="Cambria" w:eastAsia="Calibri" w:hAnsi="Cambria" w:cs="Calibri"/>
          <w:bCs w:val="0"/>
          <w:smallCaps/>
          <w:color w:val="auto"/>
          <w:sz w:val="24"/>
          <w:szCs w:val="22"/>
          <w:lang w:val="en-AU"/>
        </w:rPr>
        <w:t>PHARMACODYNAMIC PROPERTIES</w:t>
      </w:r>
    </w:p>
    <w:p w:rsidR="00812D16" w:rsidRPr="00143C34" w:rsidRDefault="00812D16" w:rsidP="00D5044C">
      <w:pPr>
        <w:spacing w:line="240" w:lineRule="auto"/>
        <w:outlineLvl w:val="0"/>
        <w:rPr>
          <w:rFonts w:asciiTheme="minorHAnsi" w:hAnsiTheme="minorHAnsi" w:cstheme="minorHAnsi"/>
          <w:noProof/>
          <w:szCs w:val="22"/>
        </w:rPr>
      </w:pPr>
      <w:r w:rsidRPr="00143C34">
        <w:rPr>
          <w:rFonts w:asciiTheme="minorHAnsi" w:hAnsiTheme="minorHAnsi" w:cstheme="minorHAnsi"/>
        </w:rPr>
        <w:t xml:space="preserve">Pharmacotherapeutic group: </w:t>
      </w:r>
      <w:r w:rsidR="00AA0DFA">
        <w:rPr>
          <w:rFonts w:asciiTheme="minorHAnsi" w:hAnsiTheme="minorHAnsi" w:cstheme="minorHAnsi"/>
          <w:noProof/>
          <w:szCs w:val="22"/>
        </w:rPr>
        <w:t>Analgesics,</w:t>
      </w:r>
      <w:r w:rsidR="00490DA4">
        <w:rPr>
          <w:rFonts w:asciiTheme="minorHAnsi" w:hAnsiTheme="minorHAnsi" w:cstheme="minorHAnsi"/>
          <w:noProof/>
          <w:szCs w:val="22"/>
        </w:rPr>
        <w:t xml:space="preserve"> </w:t>
      </w:r>
      <w:r w:rsidR="00AA0DFA">
        <w:rPr>
          <w:rFonts w:asciiTheme="minorHAnsi" w:hAnsiTheme="minorHAnsi" w:cstheme="minorHAnsi"/>
          <w:noProof/>
          <w:szCs w:val="22"/>
        </w:rPr>
        <w:t>antimigraine preparations,</w:t>
      </w:r>
      <w:r w:rsidR="00D5044C" w:rsidRPr="00143C34" w:rsidDel="00D5044C">
        <w:rPr>
          <w:rFonts w:asciiTheme="minorHAnsi" w:hAnsiTheme="minorHAnsi" w:cstheme="minorHAnsi"/>
          <w:bCs/>
          <w:noProof/>
          <w:szCs w:val="22"/>
        </w:rPr>
        <w:t xml:space="preserve"> </w:t>
      </w:r>
      <w:r w:rsidRPr="00143C34">
        <w:rPr>
          <w:rFonts w:asciiTheme="minorHAnsi" w:hAnsiTheme="minorHAnsi" w:cstheme="minorHAnsi"/>
          <w:noProof/>
          <w:szCs w:val="22"/>
        </w:rPr>
        <w:t xml:space="preserve">ATC code: </w:t>
      </w:r>
      <w:r w:rsidR="00AA0DFA" w:rsidRPr="00AA0DFA">
        <w:rPr>
          <w:rFonts w:ascii="Calibri" w:eastAsia="SimSun" w:hAnsi="Calibri" w:cs="Calibri"/>
          <w:szCs w:val="22"/>
          <w:lang w:val="en-AU" w:eastAsia="en-GB"/>
        </w:rPr>
        <w:t xml:space="preserve"> </w:t>
      </w:r>
      <w:r w:rsidR="00AA0DFA">
        <w:rPr>
          <w:rFonts w:ascii="Calibri" w:eastAsia="SimSun" w:hAnsi="Calibri" w:cs="Calibri"/>
          <w:szCs w:val="22"/>
          <w:lang w:val="en-AU" w:eastAsia="en-GB"/>
        </w:rPr>
        <w:t>N02CD03.</w:t>
      </w:r>
    </w:p>
    <w:p w:rsidR="00D2768D" w:rsidRPr="00FD2FBF" w:rsidRDefault="00812D16" w:rsidP="002E40F0">
      <w:pPr>
        <w:pStyle w:val="StyleHeading3LatinCambriaAutoBefore0ptAfter6p"/>
        <w:rPr>
          <w:lang w:val="en-AU"/>
        </w:rPr>
      </w:pPr>
      <w:r w:rsidRPr="00FD2FBF">
        <w:rPr>
          <w:lang w:val="en-AU"/>
        </w:rPr>
        <w:lastRenderedPageBreak/>
        <w:t>Mechanism of action</w:t>
      </w:r>
    </w:p>
    <w:p w:rsidR="00FE3250" w:rsidRPr="00143C34" w:rsidRDefault="00FE3250" w:rsidP="002E40F0">
      <w:pPr>
        <w:pStyle w:val="StyleBodyCalibriLinespacingsingle"/>
      </w:pPr>
      <w:r w:rsidRPr="00143C34">
        <w:t>Fremanezumab is a fully humanis</w:t>
      </w:r>
      <w:r w:rsidR="00AF6397" w:rsidRPr="00143C34">
        <w:t>ed IgG2Δa</w:t>
      </w:r>
      <w:r w:rsidRPr="00143C34">
        <w:t>/kappa</w:t>
      </w:r>
      <w:r w:rsidR="00AF6397" w:rsidRPr="00143C34">
        <w:t xml:space="preserve"> monoclonal antibody</w:t>
      </w:r>
      <w:r w:rsidR="00890FE5" w:rsidRPr="00143C34">
        <w:t xml:space="preserve"> produced by recombinant DNA technology that is</w:t>
      </w:r>
      <w:r w:rsidR="00AF6397" w:rsidRPr="00143C34">
        <w:t xml:space="preserve"> derived from a murine precursor. Fremanezumab potent</w:t>
      </w:r>
      <w:r w:rsidR="001B5126" w:rsidRPr="00143C34">
        <w:t>ly and</w:t>
      </w:r>
      <w:r w:rsidR="00AF6397" w:rsidRPr="00143C34">
        <w:t xml:space="preserve"> selective</w:t>
      </w:r>
      <w:r w:rsidR="001B5126" w:rsidRPr="00143C34">
        <w:t>ly binds the</w:t>
      </w:r>
      <w:r w:rsidR="00AF6397" w:rsidRPr="00143C34">
        <w:t xml:space="preserve"> </w:t>
      </w:r>
      <w:r w:rsidR="00FD7DEE" w:rsidRPr="00143C34">
        <w:t>calcitonin gene-related peptide (</w:t>
      </w:r>
      <w:r w:rsidR="00AF6397" w:rsidRPr="00143C34">
        <w:t>CGRP</w:t>
      </w:r>
      <w:r w:rsidR="00FD7DEE" w:rsidRPr="00143C34">
        <w:t>)</w:t>
      </w:r>
      <w:r w:rsidR="00AF6397" w:rsidRPr="00143C34">
        <w:t xml:space="preserve"> ligand and blocks both CGRP isoforms (α-and β-CGRP) from binding to the CGRP receptor </w:t>
      </w:r>
      <w:r w:rsidR="00AF6397" w:rsidRPr="00143C34">
        <w:rPr>
          <w:noProof/>
          <w:lang w:eastAsia="sv-SE"/>
        </w:rPr>
        <w:t xml:space="preserve">preventing </w:t>
      </w:r>
      <w:r w:rsidR="00782F22" w:rsidRPr="00143C34">
        <w:rPr>
          <w:noProof/>
          <w:lang w:eastAsia="sv-SE"/>
        </w:rPr>
        <w:t xml:space="preserve">the </w:t>
      </w:r>
      <w:r w:rsidR="00AF6397" w:rsidRPr="00143C34">
        <w:rPr>
          <w:noProof/>
          <w:lang w:eastAsia="sv-SE"/>
        </w:rPr>
        <w:t>activation of the trigeminal system</w:t>
      </w:r>
      <w:r w:rsidR="00AF6397" w:rsidRPr="00143C34">
        <w:t>.</w:t>
      </w:r>
      <w:r w:rsidR="00AF6397" w:rsidRPr="00143C34">
        <w:rPr>
          <w:noProof/>
          <w:lang w:eastAsia="sv-SE"/>
        </w:rPr>
        <w:t xml:space="preserve"> While the precise mechanism of action by which fremanezumab prevents migraine</w:t>
      </w:r>
      <w:r w:rsidR="00DE512A" w:rsidRPr="00143C34">
        <w:rPr>
          <w:noProof/>
          <w:lang w:eastAsia="sv-SE"/>
        </w:rPr>
        <w:t xml:space="preserve"> attacks</w:t>
      </w:r>
      <w:r w:rsidR="00AF6397" w:rsidRPr="00143C34">
        <w:rPr>
          <w:noProof/>
          <w:lang w:eastAsia="sv-SE"/>
        </w:rPr>
        <w:t xml:space="preserve"> is unknown, it is believed that</w:t>
      </w:r>
      <w:r w:rsidR="00DE512A" w:rsidRPr="00143C34">
        <w:rPr>
          <w:noProof/>
          <w:lang w:eastAsia="sv-SE"/>
        </w:rPr>
        <w:t xml:space="preserve"> prevention of migraine is obtained by its effect modulating the</w:t>
      </w:r>
      <w:r w:rsidR="00AF6397" w:rsidRPr="00143C34">
        <w:rPr>
          <w:noProof/>
          <w:lang w:eastAsia="sv-SE"/>
        </w:rPr>
        <w:t xml:space="preserve"> trigeminal </w:t>
      </w:r>
      <w:r w:rsidR="00DE512A" w:rsidRPr="00143C34">
        <w:rPr>
          <w:noProof/>
          <w:lang w:eastAsia="sv-SE"/>
        </w:rPr>
        <w:t>system</w:t>
      </w:r>
      <w:r w:rsidR="00AF6397" w:rsidRPr="00143C34">
        <w:rPr>
          <w:noProof/>
          <w:lang w:eastAsia="sv-SE"/>
        </w:rPr>
        <w:t>.</w:t>
      </w:r>
    </w:p>
    <w:p w:rsidR="00C80CC5" w:rsidRPr="00143C34" w:rsidRDefault="00AF6397" w:rsidP="002E40F0">
      <w:pPr>
        <w:pStyle w:val="StyleBodyCalibriLinespacingsingle"/>
      </w:pPr>
      <w:r w:rsidRPr="00143C34">
        <w:t>Fremanezumab is highly specific for CGRP and does not bind to closely related family members (e.g., amylin, calcitonin, intermedin and adrenomedullin).</w:t>
      </w:r>
    </w:p>
    <w:p w:rsidR="00812D16" w:rsidRPr="00143C34" w:rsidRDefault="00812D16" w:rsidP="00204AAB">
      <w:pPr>
        <w:autoSpaceDE w:val="0"/>
        <w:autoSpaceDN w:val="0"/>
        <w:adjustRightInd w:val="0"/>
        <w:spacing w:line="240" w:lineRule="auto"/>
        <w:rPr>
          <w:rFonts w:asciiTheme="minorHAnsi" w:hAnsiTheme="minorHAnsi" w:cstheme="minorHAnsi"/>
          <w:szCs w:val="22"/>
        </w:rPr>
      </w:pPr>
      <w:r w:rsidRPr="00143C34">
        <w:rPr>
          <w:rFonts w:asciiTheme="minorHAnsi" w:hAnsiTheme="minorHAnsi" w:cstheme="minorHAnsi"/>
          <w:szCs w:val="22"/>
          <w:u w:val="single"/>
        </w:rPr>
        <w:t>Pharmacodynamic effects</w:t>
      </w:r>
    </w:p>
    <w:p w:rsidR="00355CCC" w:rsidRDefault="00A248F5" w:rsidP="00204AAB">
      <w:pPr>
        <w:autoSpaceDE w:val="0"/>
        <w:autoSpaceDN w:val="0"/>
        <w:adjustRightInd w:val="0"/>
        <w:spacing w:line="240" w:lineRule="auto"/>
        <w:rPr>
          <w:szCs w:val="22"/>
        </w:rPr>
      </w:pPr>
      <w:r w:rsidRPr="00143C34">
        <w:rPr>
          <w:rFonts w:asciiTheme="minorHAnsi" w:hAnsiTheme="minorHAnsi" w:cstheme="minorHAnsi"/>
          <w:szCs w:val="22"/>
        </w:rPr>
        <w:t>Fremanezumab binds to the C-terminus of CGRP preventing interaction with the CGRP receptor and thereby inhibits physiological signalling of the CGRP receptor.</w:t>
      </w:r>
      <w:r w:rsidR="00BC011A">
        <w:rPr>
          <w:rFonts w:asciiTheme="minorHAnsi" w:hAnsiTheme="minorHAnsi" w:cstheme="minorHAnsi"/>
        </w:rPr>
        <w:t xml:space="preserve"> </w:t>
      </w:r>
      <w:r w:rsidR="00355CCC" w:rsidRPr="00143C34">
        <w:rPr>
          <w:rFonts w:asciiTheme="minorHAnsi" w:hAnsiTheme="minorHAnsi" w:cstheme="minorHAnsi"/>
        </w:rPr>
        <w:t>The relationship between the pharmacodynamic activity and the mechanism(s) by which fremanezumab exerts its clinical effects is unknown.</w:t>
      </w:r>
    </w:p>
    <w:p w:rsidR="00812D16" w:rsidRDefault="00812D16" w:rsidP="002E40F0">
      <w:pPr>
        <w:pStyle w:val="StyleHeading3LatinCambriaAutoBefore0ptAfter6p"/>
        <w:rPr>
          <w:lang w:val="en-AU"/>
        </w:rPr>
      </w:pPr>
      <w:r w:rsidRPr="005574FF">
        <w:rPr>
          <w:lang w:val="en-AU"/>
        </w:rPr>
        <w:t xml:space="preserve">Clinical </w:t>
      </w:r>
      <w:r w:rsidR="00021BA0" w:rsidRPr="005574FF">
        <w:rPr>
          <w:lang w:val="en-AU"/>
        </w:rPr>
        <w:t>trials</w:t>
      </w:r>
    </w:p>
    <w:p w:rsidR="00345244" w:rsidRPr="00CB0D52" w:rsidRDefault="00345244" w:rsidP="00345244">
      <w:pPr>
        <w:rPr>
          <w:rFonts w:asciiTheme="minorHAnsi" w:hAnsiTheme="minorHAnsi" w:cstheme="minorHAnsi"/>
          <w:szCs w:val="22"/>
        </w:rPr>
      </w:pPr>
      <w:r w:rsidRPr="00CB0D52">
        <w:rPr>
          <w:rFonts w:asciiTheme="minorHAnsi" w:hAnsiTheme="minorHAnsi" w:cstheme="minorHAnsi"/>
          <w:szCs w:val="22"/>
        </w:rPr>
        <w:t>Patients with certain major cardiovascular diseases were excluded from clinical studies. No safety data are available in these patients.</w:t>
      </w:r>
    </w:p>
    <w:p w:rsidR="00385A17" w:rsidRPr="00143C34" w:rsidRDefault="00385A17" w:rsidP="001A3A27">
      <w:pPr>
        <w:pStyle w:val="StyleBodyCalibriBoldLinespacingsingle"/>
      </w:pPr>
      <w:r w:rsidRPr="00143C34">
        <w:t>Efficacy</w:t>
      </w:r>
    </w:p>
    <w:p w:rsidR="00F61947" w:rsidRPr="00143C34" w:rsidRDefault="00D65228" w:rsidP="002E40F0">
      <w:pPr>
        <w:pStyle w:val="StyleBodyCalibriLinespacingsingle"/>
      </w:pPr>
      <w:r w:rsidRPr="00143C34">
        <w:t>The efficacy of AJOVY was assessed in two</w:t>
      </w:r>
      <w:r w:rsidR="00385A17" w:rsidRPr="00143C34">
        <w:t xml:space="preserve"> randomis</w:t>
      </w:r>
      <w:r w:rsidRPr="00143C34">
        <w:t xml:space="preserve">ed, 12-week, double-blind, placebo-controlled </w:t>
      </w:r>
      <w:r w:rsidR="00385A17" w:rsidRPr="00143C34">
        <w:t xml:space="preserve">phase III </w:t>
      </w:r>
      <w:r w:rsidRPr="00143C34">
        <w:t>studies in adult patients</w:t>
      </w:r>
      <w:r w:rsidR="00BB75A4" w:rsidRPr="00143C34">
        <w:t xml:space="preserve"> with episodic </w:t>
      </w:r>
      <w:r w:rsidR="002114ED" w:rsidRPr="00143C34">
        <w:t xml:space="preserve">(Study 1) </w:t>
      </w:r>
      <w:r w:rsidR="00BB75A4" w:rsidRPr="00143C34">
        <w:t>and chronic migraine</w:t>
      </w:r>
      <w:r w:rsidR="002114ED" w:rsidRPr="00143C34">
        <w:t xml:space="preserve"> (Study 2)</w:t>
      </w:r>
      <w:r w:rsidRPr="00143C34">
        <w:t>.</w:t>
      </w:r>
    </w:p>
    <w:p w:rsidR="00BB75A4" w:rsidRPr="00143C34" w:rsidRDefault="00BB75A4" w:rsidP="00BB75A4">
      <w:pPr>
        <w:autoSpaceDE w:val="0"/>
        <w:autoSpaceDN w:val="0"/>
        <w:adjustRightInd w:val="0"/>
        <w:spacing w:line="240" w:lineRule="auto"/>
        <w:rPr>
          <w:rFonts w:asciiTheme="minorHAnsi" w:hAnsiTheme="minorHAnsi" w:cstheme="minorHAnsi"/>
          <w:i/>
          <w:iCs/>
          <w:u w:val="single"/>
        </w:rPr>
      </w:pPr>
      <w:r w:rsidRPr="00143C34">
        <w:rPr>
          <w:rFonts w:asciiTheme="minorHAnsi" w:hAnsiTheme="minorHAnsi" w:cstheme="minorHAnsi"/>
          <w:i/>
          <w:iCs/>
          <w:u w:val="single"/>
        </w:rPr>
        <w:t>Episodic Migraine</w:t>
      </w:r>
    </w:p>
    <w:p w:rsidR="00BB75A4" w:rsidRPr="00143C34" w:rsidRDefault="00BB75A4" w:rsidP="002E40F0">
      <w:pPr>
        <w:pStyle w:val="StyleBodyCalibriLinespacingsingle"/>
      </w:pPr>
      <w:r w:rsidRPr="00143C34">
        <w:rPr>
          <w:szCs w:val="24"/>
        </w:rPr>
        <w:t xml:space="preserve">Study 1 included adults with a history of episodic </w:t>
      </w:r>
      <w:r w:rsidRPr="00143C34">
        <w:t xml:space="preserve">migraine (patients with </w:t>
      </w:r>
      <w:r w:rsidR="005669A4" w:rsidRPr="00143C34">
        <w:t>less than</w:t>
      </w:r>
      <w:r w:rsidR="00A6230F" w:rsidRPr="00143C34">
        <w:t xml:space="preserve"> </w:t>
      </w:r>
      <w:r w:rsidRPr="00143C34">
        <w:t xml:space="preserve">15 headache days per month). </w:t>
      </w:r>
      <w:r w:rsidR="00385A17" w:rsidRPr="00143C34">
        <w:rPr>
          <w:szCs w:val="24"/>
        </w:rPr>
        <w:t>All patients were randomis</w:t>
      </w:r>
      <w:r w:rsidRPr="00143C34">
        <w:rPr>
          <w:szCs w:val="24"/>
        </w:rPr>
        <w:t xml:space="preserve">ed to one of three arms: </w:t>
      </w:r>
      <w:r w:rsidRPr="00143C34">
        <w:t>675 mg</w:t>
      </w:r>
      <w:r w:rsidR="00385A17" w:rsidRPr="00143C34">
        <w:t xml:space="preserve"> fremanezumab</w:t>
      </w:r>
      <w:r w:rsidRPr="00143C34">
        <w:t xml:space="preserve"> every three months (quarterly), 225 mg </w:t>
      </w:r>
      <w:r w:rsidR="00385A17" w:rsidRPr="00143C34">
        <w:t>fremanezumab once a month (</w:t>
      </w:r>
      <w:r w:rsidRPr="00143C34">
        <w:t>monthly</w:t>
      </w:r>
      <w:r w:rsidR="00385A17" w:rsidRPr="00143C34">
        <w:t>)</w:t>
      </w:r>
      <w:r w:rsidRPr="00143C34">
        <w:t xml:space="preserve">, or </w:t>
      </w:r>
      <w:r w:rsidRPr="00143C34">
        <w:rPr>
          <w:szCs w:val="24"/>
        </w:rPr>
        <w:t>monthly administration of placebo</w:t>
      </w:r>
      <w:r w:rsidR="0083262B" w:rsidRPr="00143C34">
        <w:rPr>
          <w:szCs w:val="24"/>
        </w:rPr>
        <w:t xml:space="preserve"> administered via subcutaneous injection</w:t>
      </w:r>
      <w:r w:rsidRPr="00143C34">
        <w:t xml:space="preserve">. </w:t>
      </w:r>
      <w:r w:rsidRPr="00143C34">
        <w:rPr>
          <w:szCs w:val="24"/>
        </w:rPr>
        <w:t xml:space="preserve">Patients were allowed to use acute headache treatments during the study. </w:t>
      </w:r>
      <w:r w:rsidRPr="00143C34">
        <w:t>A sub-set of patients (21%) w</w:t>
      </w:r>
      <w:r w:rsidR="001415C3" w:rsidRPr="00143C34">
        <w:t>ere</w:t>
      </w:r>
      <w:r w:rsidRPr="00143C34">
        <w:t xml:space="preserve"> also allowed to use one concomitant, preventive medication</w:t>
      </w:r>
      <w:r w:rsidR="007461F4" w:rsidRPr="00143C34">
        <w:t>,</w:t>
      </w:r>
      <w:r w:rsidR="00CA69A6" w:rsidRPr="00143C34">
        <w:t>consistent with patient treatment outside of controlled clinical settings</w:t>
      </w:r>
      <w:r w:rsidRPr="00143C34">
        <w:t>.</w:t>
      </w:r>
    </w:p>
    <w:p w:rsidR="00BB75A4" w:rsidRPr="00143C34" w:rsidRDefault="00BB75A4" w:rsidP="002E40F0">
      <w:pPr>
        <w:pStyle w:val="StyleBodyCalibriLinespacingsingle"/>
      </w:pPr>
      <w:r w:rsidRPr="00143C34">
        <w:t>In Study 1, a total of 875 patients (742 females, 133 males), ranging in age fr</w:t>
      </w:r>
      <w:r w:rsidR="006A1938" w:rsidRPr="00143C34">
        <w:t>om 18 to 70 years, were randomis</w:t>
      </w:r>
      <w:r w:rsidRPr="00143C34">
        <w:t xml:space="preserve">ed. A total of 791 patients completed the 12-week double-blind </w:t>
      </w:r>
      <w:r w:rsidR="006A1938" w:rsidRPr="00143C34">
        <w:t>treatment period</w:t>
      </w:r>
      <w:r w:rsidRPr="00143C34">
        <w:t>.</w:t>
      </w:r>
    </w:p>
    <w:p w:rsidR="00BB75A4" w:rsidRPr="00143C34" w:rsidRDefault="00BB75A4" w:rsidP="002E40F0">
      <w:pPr>
        <w:pStyle w:val="StyleBodyCalibriLinespacingsingle"/>
      </w:pPr>
      <w:r w:rsidRPr="00143C34">
        <w:t>The primary efficacy endpoint was the mean change from baseline in the monthly average number of migraine days during the 12-week</w:t>
      </w:r>
      <w:r w:rsidR="006A1938" w:rsidRPr="00143C34">
        <w:t xml:space="preserve"> treatment</w:t>
      </w:r>
      <w:r w:rsidRPr="00143C34">
        <w:t xml:space="preserve"> period</w:t>
      </w:r>
      <w:r w:rsidR="00B91CF1" w:rsidRPr="00143C34">
        <w:t>.</w:t>
      </w:r>
      <w:r w:rsidR="001415C3" w:rsidRPr="00143C34">
        <w:t xml:space="preserve"> </w:t>
      </w:r>
      <w:r w:rsidRPr="00143C34">
        <w:t>Both monthly and quarterly dosing regimens of AJOVY demonstrated statistically significant and clinically meaningful improvement from baseline compared to placebo</w:t>
      </w:r>
      <w:r w:rsidR="006A1938" w:rsidRPr="00143C34">
        <w:t xml:space="preserve"> at all time points over the 12-</w:t>
      </w:r>
      <w:r w:rsidRPr="00143C34">
        <w:t>week</w:t>
      </w:r>
      <w:r w:rsidR="006A1938" w:rsidRPr="00143C34">
        <w:t xml:space="preserve"> treatment</w:t>
      </w:r>
      <w:r w:rsidRPr="00143C34">
        <w:t xml:space="preserve"> period (</w:t>
      </w:r>
      <w:r w:rsidR="006A1938" w:rsidRPr="00143C34">
        <w:t xml:space="preserve">see </w:t>
      </w:r>
      <w:r w:rsidRPr="00143C34">
        <w:t>Figure 1).</w:t>
      </w:r>
    </w:p>
    <w:p w:rsidR="007C73C4" w:rsidRDefault="00BB75A4" w:rsidP="001A3A27">
      <w:pPr>
        <w:pageBreakBefore/>
        <w:autoSpaceDE w:val="0"/>
        <w:autoSpaceDN w:val="0"/>
        <w:adjustRightInd w:val="0"/>
        <w:spacing w:after="120" w:line="240" w:lineRule="auto"/>
        <w:rPr>
          <w:b/>
          <w:bCs/>
        </w:rPr>
      </w:pPr>
      <w:r>
        <w:rPr>
          <w:b/>
          <w:bCs/>
        </w:rPr>
        <w:lastRenderedPageBreak/>
        <w:t xml:space="preserve">Figure 1: </w:t>
      </w:r>
      <w:r w:rsidRPr="00BB75A4">
        <w:rPr>
          <w:b/>
          <w:bCs/>
        </w:rPr>
        <w:t>Mean Change from Baseline in the Monthly Average Number of Migraine Days for Study 1</w:t>
      </w:r>
    </w:p>
    <w:p w:rsidR="00363E61" w:rsidRDefault="00FD2FBF" w:rsidP="00BB75A4">
      <w:pPr>
        <w:autoSpaceDE w:val="0"/>
        <w:autoSpaceDN w:val="0"/>
        <w:adjustRightInd w:val="0"/>
        <w:spacing w:line="240" w:lineRule="auto"/>
        <w:rPr>
          <w:sz w:val="24"/>
          <w:szCs w:val="24"/>
        </w:rPr>
      </w:pPr>
      <w:r>
        <w:rPr>
          <w:noProof/>
          <w:lang w:val="en-AU" w:eastAsia="en-AU"/>
        </w:rPr>
        <w:drawing>
          <wp:inline distT="0" distB="0" distL="0" distR="0" wp14:anchorId="10BCBEE0" wp14:editId="33F358CA">
            <wp:extent cx="5760085" cy="29748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60085" cy="2974813"/>
                    </a:xfrm>
                    <a:prstGeom prst="rect">
                      <a:avLst/>
                    </a:prstGeom>
                  </pic:spPr>
                </pic:pic>
              </a:graphicData>
            </a:graphic>
          </wp:inline>
        </w:drawing>
      </w:r>
    </w:p>
    <w:p w:rsidR="00BB75A4" w:rsidRPr="00B27564" w:rsidRDefault="00746C62" w:rsidP="001A3A27">
      <w:pPr>
        <w:autoSpaceDE w:val="0"/>
        <w:autoSpaceDN w:val="0"/>
        <w:adjustRightInd w:val="0"/>
        <w:spacing w:before="120" w:after="120" w:line="240" w:lineRule="auto"/>
        <w:rPr>
          <w:color w:val="000000"/>
          <w:sz w:val="20"/>
          <w:szCs w:val="18"/>
        </w:rPr>
      </w:pPr>
      <w:r w:rsidRPr="00B27564">
        <w:rPr>
          <w:color w:val="000000"/>
          <w:sz w:val="20"/>
          <w:szCs w:val="18"/>
        </w:rPr>
        <w:t xml:space="preserve">Mean at baseline (monthly average number of migraine days): Placebo: </w:t>
      </w:r>
      <w:r w:rsidR="0010071E" w:rsidRPr="00B27564">
        <w:rPr>
          <w:color w:val="000000"/>
          <w:sz w:val="20"/>
          <w:szCs w:val="18"/>
        </w:rPr>
        <w:t>9.1</w:t>
      </w:r>
      <w:r w:rsidRPr="00B27564">
        <w:rPr>
          <w:color w:val="000000"/>
          <w:sz w:val="20"/>
          <w:szCs w:val="18"/>
        </w:rPr>
        <w:t xml:space="preserve">, AJOVY Quarterly: </w:t>
      </w:r>
      <w:r w:rsidR="0010071E" w:rsidRPr="00B27564">
        <w:rPr>
          <w:color w:val="000000"/>
          <w:sz w:val="20"/>
          <w:szCs w:val="18"/>
        </w:rPr>
        <w:t>9.2</w:t>
      </w:r>
      <w:r w:rsidRPr="00B27564">
        <w:rPr>
          <w:color w:val="000000"/>
          <w:sz w:val="20"/>
          <w:szCs w:val="18"/>
        </w:rPr>
        <w:t>, AJOVY Monthly:</w:t>
      </w:r>
      <w:r w:rsidR="0010071E" w:rsidRPr="00B27564">
        <w:rPr>
          <w:color w:val="000000"/>
          <w:sz w:val="20"/>
          <w:szCs w:val="18"/>
        </w:rPr>
        <w:t xml:space="preserve"> 8.9</w:t>
      </w:r>
      <w:r w:rsidRPr="00B27564">
        <w:rPr>
          <w:color w:val="000000"/>
          <w:sz w:val="20"/>
          <w:szCs w:val="18"/>
        </w:rPr>
        <w:t>.</w:t>
      </w:r>
    </w:p>
    <w:p w:rsidR="00BB75A4" w:rsidRPr="00143C34" w:rsidRDefault="00BB75A4" w:rsidP="002E40F0">
      <w:pPr>
        <w:pStyle w:val="StyleBodyCalibriLinespacingsingle"/>
      </w:pPr>
      <w:r w:rsidRPr="00143C34">
        <w:t>AJOVY treatment demonstrated statistically significant and clinically meaningful improvements from baseline compared to placebo for all key efficacy variables (</w:t>
      </w:r>
      <w:r w:rsidR="00B56E20" w:rsidRPr="00143C34">
        <w:t xml:space="preserve">see </w:t>
      </w:r>
      <w:r w:rsidRPr="00143C34">
        <w:t>Table 2).</w:t>
      </w:r>
    </w:p>
    <w:p w:rsidR="00BB75A4" w:rsidRDefault="00BB75A4" w:rsidP="001A3A27">
      <w:pPr>
        <w:autoSpaceDE w:val="0"/>
        <w:autoSpaceDN w:val="0"/>
        <w:adjustRightInd w:val="0"/>
        <w:spacing w:after="120" w:line="240" w:lineRule="auto"/>
        <w:rPr>
          <w:b/>
          <w:bCs/>
        </w:rPr>
      </w:pPr>
      <w:r>
        <w:rPr>
          <w:b/>
          <w:bCs/>
        </w:rPr>
        <w:t>Table 2</w:t>
      </w:r>
      <w:r w:rsidRPr="00BB75A4">
        <w:rPr>
          <w:b/>
          <w:bCs/>
        </w:rPr>
        <w:t>: Key Efficacy Variables for Study 1</w:t>
      </w:r>
    </w:p>
    <w:tbl>
      <w:tblPr>
        <w:tblW w:w="90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092"/>
        <w:gridCol w:w="1930"/>
        <w:gridCol w:w="1890"/>
        <w:gridCol w:w="1170"/>
      </w:tblGrid>
      <w:tr w:rsidR="00BB75A4" w:rsidRPr="00872A66" w:rsidTr="001D06B3">
        <w:trPr>
          <w:trHeight w:val="862"/>
          <w:tblHeader/>
        </w:trPr>
        <w:tc>
          <w:tcPr>
            <w:tcW w:w="4092" w:type="dxa"/>
            <w:shd w:val="clear" w:color="auto" w:fill="auto"/>
          </w:tcPr>
          <w:p w:rsidR="00BB75A4" w:rsidRPr="00872A66" w:rsidRDefault="00BB75A4" w:rsidP="001D06B3">
            <w:pPr>
              <w:pStyle w:val="C-TableHeader"/>
              <w:jc w:val="center"/>
              <w:rPr>
                <w:rFonts w:eastAsia="MS Mincho"/>
              </w:rPr>
            </w:pPr>
            <w:r w:rsidRPr="00872A66">
              <w:rPr>
                <w:rFonts w:eastAsia="MS Mincho"/>
              </w:rPr>
              <w:t>Study 1</w:t>
            </w:r>
            <w:r w:rsidRPr="00872A66">
              <w:rPr>
                <w:rFonts w:eastAsia="MS Mincho"/>
              </w:rPr>
              <w:br/>
              <w:t>Efficacy Endpoint</w:t>
            </w:r>
          </w:p>
        </w:tc>
        <w:tc>
          <w:tcPr>
            <w:tcW w:w="1930" w:type="dxa"/>
            <w:shd w:val="clear" w:color="auto" w:fill="auto"/>
          </w:tcPr>
          <w:p w:rsidR="00BB75A4" w:rsidRPr="00872A66" w:rsidRDefault="00BB75A4" w:rsidP="001D06B3">
            <w:pPr>
              <w:pStyle w:val="C-TableHeader"/>
              <w:jc w:val="center"/>
              <w:rPr>
                <w:rFonts w:eastAsia="MS Mincho"/>
              </w:rPr>
            </w:pPr>
            <w:r>
              <w:rPr>
                <w:rFonts w:eastAsia="MS Mincho"/>
              </w:rPr>
              <w:t>AJOVY</w:t>
            </w:r>
            <w:r w:rsidRPr="00872A66">
              <w:rPr>
                <w:rFonts w:eastAsia="MS Mincho"/>
              </w:rPr>
              <w:br/>
            </w:r>
            <w:r>
              <w:rPr>
                <w:rFonts w:eastAsia="MS Mincho"/>
              </w:rPr>
              <w:t>Monthly</w:t>
            </w:r>
            <w:r w:rsidRPr="00872A66">
              <w:rPr>
                <w:rFonts w:eastAsia="MS Mincho"/>
              </w:rPr>
              <w:br/>
              <w:t>(N=</w:t>
            </w:r>
            <w:r>
              <w:rPr>
                <w:rFonts w:eastAsia="MS Mincho"/>
              </w:rPr>
              <w:t>287</w:t>
            </w:r>
            <w:r w:rsidRPr="00872A66">
              <w:rPr>
                <w:rFonts w:eastAsia="MS Mincho"/>
              </w:rPr>
              <w:t>)</w:t>
            </w:r>
          </w:p>
        </w:tc>
        <w:tc>
          <w:tcPr>
            <w:tcW w:w="1890" w:type="dxa"/>
            <w:shd w:val="clear" w:color="auto" w:fill="auto"/>
          </w:tcPr>
          <w:p w:rsidR="00BB75A4" w:rsidRPr="00872A66" w:rsidRDefault="00BB75A4" w:rsidP="001D06B3">
            <w:pPr>
              <w:pStyle w:val="C-TableHeader"/>
              <w:jc w:val="center"/>
              <w:rPr>
                <w:rFonts w:eastAsia="MS Mincho"/>
              </w:rPr>
            </w:pPr>
            <w:r>
              <w:rPr>
                <w:rFonts w:eastAsia="MS Mincho"/>
              </w:rPr>
              <w:t>AJOVY</w:t>
            </w:r>
            <w:r w:rsidRPr="00872A66">
              <w:rPr>
                <w:rFonts w:eastAsia="MS Mincho"/>
              </w:rPr>
              <w:br/>
            </w:r>
            <w:r>
              <w:rPr>
                <w:rFonts w:eastAsia="MS Mincho"/>
              </w:rPr>
              <w:t>Quarterly</w:t>
            </w:r>
            <w:r w:rsidRPr="00872A66">
              <w:rPr>
                <w:rFonts w:eastAsia="MS Mincho"/>
              </w:rPr>
              <w:br/>
              <w:t>(N=</w:t>
            </w:r>
            <w:r>
              <w:rPr>
                <w:rFonts w:eastAsia="MS Mincho"/>
              </w:rPr>
              <w:t>288</w:t>
            </w:r>
            <w:r w:rsidRPr="00872A66">
              <w:rPr>
                <w:rFonts w:eastAsia="MS Mincho"/>
              </w:rPr>
              <w:t>)</w:t>
            </w:r>
          </w:p>
        </w:tc>
        <w:tc>
          <w:tcPr>
            <w:tcW w:w="1170" w:type="dxa"/>
            <w:shd w:val="clear" w:color="auto" w:fill="auto"/>
          </w:tcPr>
          <w:p w:rsidR="00BB75A4" w:rsidRPr="00872A66" w:rsidRDefault="00BB75A4" w:rsidP="001D06B3">
            <w:pPr>
              <w:pStyle w:val="C-TableHeader"/>
              <w:jc w:val="center"/>
              <w:rPr>
                <w:rFonts w:eastAsia="MS Mincho"/>
              </w:rPr>
            </w:pPr>
            <w:r w:rsidRPr="00872A66">
              <w:rPr>
                <w:rFonts w:eastAsia="MS Mincho"/>
              </w:rPr>
              <w:t>Placebo</w:t>
            </w:r>
            <w:r w:rsidRPr="00872A66">
              <w:rPr>
                <w:rFonts w:eastAsia="MS Mincho"/>
              </w:rPr>
              <w:br/>
            </w:r>
            <w:r w:rsidRPr="00872A66">
              <w:rPr>
                <w:rFonts w:eastAsia="MS Mincho"/>
              </w:rPr>
              <w:br/>
              <w:t>(N=290)</w:t>
            </w:r>
          </w:p>
        </w:tc>
      </w:tr>
      <w:tr w:rsidR="00BB75A4" w:rsidRPr="00872A66" w:rsidTr="001D06B3">
        <w:trPr>
          <w:trHeight w:val="277"/>
        </w:trPr>
        <w:tc>
          <w:tcPr>
            <w:tcW w:w="4092" w:type="dxa"/>
            <w:shd w:val="clear" w:color="auto" w:fill="auto"/>
          </w:tcPr>
          <w:p w:rsidR="00BB75A4" w:rsidRPr="00872A66" w:rsidRDefault="00BB75A4" w:rsidP="001D06B3">
            <w:pPr>
              <w:pStyle w:val="C-TableText"/>
              <w:rPr>
                <w:rFonts w:eastAsia="MS Mincho"/>
              </w:rPr>
            </w:pPr>
            <w:r w:rsidRPr="00872A66">
              <w:rPr>
                <w:rFonts w:eastAsia="MS Mincho"/>
              </w:rPr>
              <w:t>Change from baseline in monthly average number of migraine days</w:t>
            </w:r>
            <w:r w:rsidR="00B56E20">
              <w:rPr>
                <w:rFonts w:eastAsia="MS Mincho"/>
              </w:rPr>
              <w:t>***</w:t>
            </w:r>
          </w:p>
        </w:tc>
        <w:tc>
          <w:tcPr>
            <w:tcW w:w="1930" w:type="dxa"/>
            <w:shd w:val="clear" w:color="auto" w:fill="auto"/>
            <w:vAlign w:val="center"/>
          </w:tcPr>
          <w:p w:rsidR="00BB75A4" w:rsidRPr="00872A66" w:rsidRDefault="00BB75A4" w:rsidP="001D06B3">
            <w:pPr>
              <w:pStyle w:val="C-TableText"/>
              <w:jc w:val="center"/>
              <w:rPr>
                <w:rFonts w:eastAsia="MS Mincho"/>
              </w:rPr>
            </w:pPr>
            <w:r w:rsidRPr="00872A66">
              <w:rPr>
                <w:rFonts w:eastAsia="MS Mincho"/>
              </w:rPr>
              <w:t>-3.7**</w:t>
            </w:r>
          </w:p>
        </w:tc>
        <w:tc>
          <w:tcPr>
            <w:tcW w:w="1890" w:type="dxa"/>
            <w:shd w:val="clear" w:color="auto" w:fill="auto"/>
            <w:vAlign w:val="center"/>
          </w:tcPr>
          <w:p w:rsidR="00BB75A4" w:rsidRPr="00872A66" w:rsidRDefault="00BB75A4" w:rsidP="001D06B3">
            <w:pPr>
              <w:pStyle w:val="C-TableText"/>
              <w:jc w:val="center"/>
              <w:rPr>
                <w:rFonts w:eastAsia="MS Mincho"/>
              </w:rPr>
            </w:pPr>
            <w:r>
              <w:rPr>
                <w:rFonts w:eastAsia="MS Mincho"/>
              </w:rPr>
              <w:t>-3.4</w:t>
            </w:r>
            <w:r w:rsidRPr="00872A66">
              <w:rPr>
                <w:rFonts w:eastAsia="MS Mincho"/>
              </w:rPr>
              <w:t>**</w:t>
            </w:r>
          </w:p>
        </w:tc>
        <w:tc>
          <w:tcPr>
            <w:tcW w:w="1170" w:type="dxa"/>
            <w:shd w:val="clear" w:color="auto" w:fill="auto"/>
            <w:vAlign w:val="center"/>
          </w:tcPr>
          <w:p w:rsidR="00BB75A4" w:rsidRPr="00872A66" w:rsidRDefault="00BB75A4" w:rsidP="001D06B3">
            <w:pPr>
              <w:pStyle w:val="C-TableText"/>
              <w:jc w:val="center"/>
              <w:rPr>
                <w:rFonts w:eastAsia="MS Mincho"/>
              </w:rPr>
            </w:pPr>
            <w:r w:rsidRPr="00872A66">
              <w:rPr>
                <w:rFonts w:eastAsia="MS Mincho"/>
              </w:rPr>
              <w:t>-2.2</w:t>
            </w:r>
          </w:p>
        </w:tc>
      </w:tr>
      <w:tr w:rsidR="00BB75A4" w:rsidRPr="00872A66" w:rsidTr="001D06B3">
        <w:trPr>
          <w:trHeight w:val="277"/>
        </w:trPr>
        <w:tc>
          <w:tcPr>
            <w:tcW w:w="4092" w:type="dxa"/>
            <w:shd w:val="clear" w:color="auto" w:fill="auto"/>
          </w:tcPr>
          <w:p w:rsidR="00BB75A4" w:rsidRPr="00872A66" w:rsidRDefault="00BB75A4" w:rsidP="001D06B3">
            <w:pPr>
              <w:pStyle w:val="C-TableText"/>
              <w:rPr>
                <w:rFonts w:eastAsia="MS Mincho"/>
              </w:rPr>
            </w:pPr>
            <w:r w:rsidRPr="00872A66">
              <w:rPr>
                <w:rFonts w:eastAsia="MS Mincho"/>
              </w:rPr>
              <w:t xml:space="preserve">Reduction of at least 50% in monthly </w:t>
            </w:r>
            <w:r>
              <w:rPr>
                <w:rFonts w:eastAsia="MS Mincho"/>
              </w:rPr>
              <w:t xml:space="preserve">average </w:t>
            </w:r>
            <w:r w:rsidRPr="00872A66">
              <w:rPr>
                <w:rFonts w:eastAsia="MS Mincho"/>
              </w:rPr>
              <w:t>number of migraine days</w:t>
            </w:r>
          </w:p>
        </w:tc>
        <w:tc>
          <w:tcPr>
            <w:tcW w:w="1930" w:type="dxa"/>
            <w:shd w:val="clear" w:color="auto" w:fill="auto"/>
            <w:vAlign w:val="center"/>
          </w:tcPr>
          <w:p w:rsidR="00BB75A4" w:rsidRPr="00872A66" w:rsidRDefault="00BB75A4" w:rsidP="001D06B3">
            <w:pPr>
              <w:pStyle w:val="C-TableText"/>
              <w:jc w:val="center"/>
              <w:rPr>
                <w:rFonts w:eastAsia="MS Mincho"/>
              </w:rPr>
            </w:pPr>
            <w:r w:rsidRPr="00872A66">
              <w:rPr>
                <w:rFonts w:eastAsia="MS Mincho"/>
              </w:rPr>
              <w:t>47.7%**</w:t>
            </w:r>
          </w:p>
        </w:tc>
        <w:tc>
          <w:tcPr>
            <w:tcW w:w="1890" w:type="dxa"/>
            <w:shd w:val="clear" w:color="auto" w:fill="auto"/>
            <w:vAlign w:val="center"/>
          </w:tcPr>
          <w:p w:rsidR="00BB75A4" w:rsidRPr="00872A66" w:rsidRDefault="00BB75A4" w:rsidP="001D06B3">
            <w:pPr>
              <w:pStyle w:val="C-TableText"/>
              <w:jc w:val="center"/>
              <w:rPr>
                <w:rFonts w:eastAsia="MS Mincho"/>
              </w:rPr>
            </w:pPr>
            <w:r w:rsidRPr="00872A66">
              <w:rPr>
                <w:rFonts w:eastAsia="MS Mincho"/>
              </w:rPr>
              <w:t>44.4%**</w:t>
            </w:r>
          </w:p>
        </w:tc>
        <w:tc>
          <w:tcPr>
            <w:tcW w:w="1170" w:type="dxa"/>
            <w:shd w:val="clear" w:color="auto" w:fill="auto"/>
            <w:vAlign w:val="center"/>
          </w:tcPr>
          <w:p w:rsidR="00BB75A4" w:rsidRPr="00872A66" w:rsidRDefault="00BB75A4" w:rsidP="001D06B3">
            <w:pPr>
              <w:pStyle w:val="C-TableText"/>
              <w:jc w:val="center"/>
              <w:rPr>
                <w:rFonts w:eastAsia="MS Mincho"/>
              </w:rPr>
            </w:pPr>
            <w:r w:rsidRPr="00872A66">
              <w:rPr>
                <w:rFonts w:eastAsia="MS Mincho"/>
              </w:rPr>
              <w:t>27.9%</w:t>
            </w:r>
          </w:p>
        </w:tc>
      </w:tr>
      <w:tr w:rsidR="00BB75A4" w:rsidRPr="00872A66" w:rsidTr="001D06B3">
        <w:trPr>
          <w:trHeight w:val="292"/>
        </w:trPr>
        <w:tc>
          <w:tcPr>
            <w:tcW w:w="4092" w:type="dxa"/>
            <w:shd w:val="clear" w:color="auto" w:fill="auto"/>
          </w:tcPr>
          <w:p w:rsidR="00BB75A4" w:rsidRPr="00872A66" w:rsidRDefault="00BB75A4" w:rsidP="001D06B3">
            <w:pPr>
              <w:pStyle w:val="C-TableText"/>
              <w:rPr>
                <w:rFonts w:eastAsia="MS Mincho"/>
              </w:rPr>
            </w:pPr>
            <w:r w:rsidRPr="00872A66">
              <w:rPr>
                <w:rFonts w:eastAsia="MS Mincho"/>
              </w:rPr>
              <w:t>Change from baseline in monthly average number of days of acute headache medication</w:t>
            </w:r>
          </w:p>
        </w:tc>
        <w:tc>
          <w:tcPr>
            <w:tcW w:w="1930" w:type="dxa"/>
            <w:shd w:val="clear" w:color="auto" w:fill="auto"/>
            <w:vAlign w:val="center"/>
          </w:tcPr>
          <w:p w:rsidR="00BB75A4" w:rsidRPr="00872A66" w:rsidRDefault="00BB75A4" w:rsidP="001D06B3">
            <w:pPr>
              <w:pStyle w:val="C-TableText"/>
              <w:jc w:val="center"/>
              <w:rPr>
                <w:rFonts w:eastAsia="MS Mincho"/>
              </w:rPr>
            </w:pPr>
            <w:r w:rsidRPr="00872A66">
              <w:rPr>
                <w:rFonts w:eastAsia="MS Mincho"/>
              </w:rPr>
              <w:t>-3.0**</w:t>
            </w:r>
          </w:p>
        </w:tc>
        <w:tc>
          <w:tcPr>
            <w:tcW w:w="1890" w:type="dxa"/>
            <w:shd w:val="clear" w:color="auto" w:fill="auto"/>
            <w:vAlign w:val="center"/>
          </w:tcPr>
          <w:p w:rsidR="00BB75A4" w:rsidRPr="00872A66" w:rsidRDefault="00BB75A4" w:rsidP="001D06B3">
            <w:pPr>
              <w:pStyle w:val="C-TableText"/>
              <w:jc w:val="center"/>
              <w:rPr>
                <w:rFonts w:eastAsia="MS Mincho"/>
              </w:rPr>
            </w:pPr>
            <w:r w:rsidRPr="00872A66">
              <w:rPr>
                <w:rFonts w:eastAsia="MS Mincho"/>
              </w:rPr>
              <w:t>-2.9**</w:t>
            </w:r>
          </w:p>
        </w:tc>
        <w:tc>
          <w:tcPr>
            <w:tcW w:w="1170" w:type="dxa"/>
            <w:shd w:val="clear" w:color="auto" w:fill="auto"/>
            <w:vAlign w:val="center"/>
          </w:tcPr>
          <w:p w:rsidR="00BB75A4" w:rsidRPr="00872A66" w:rsidRDefault="00BB75A4" w:rsidP="001D06B3">
            <w:pPr>
              <w:pStyle w:val="C-TableText"/>
              <w:jc w:val="center"/>
              <w:rPr>
                <w:rFonts w:eastAsia="MS Mincho"/>
              </w:rPr>
            </w:pPr>
            <w:r w:rsidRPr="00872A66">
              <w:rPr>
                <w:rFonts w:eastAsia="MS Mincho"/>
              </w:rPr>
              <w:t>-1.6</w:t>
            </w:r>
          </w:p>
        </w:tc>
      </w:tr>
      <w:tr w:rsidR="00BB75A4" w:rsidRPr="00872A66" w:rsidTr="001D06B3">
        <w:trPr>
          <w:trHeight w:val="277"/>
        </w:trPr>
        <w:tc>
          <w:tcPr>
            <w:tcW w:w="4092" w:type="dxa"/>
            <w:shd w:val="clear" w:color="auto" w:fill="auto"/>
          </w:tcPr>
          <w:p w:rsidR="00BB75A4" w:rsidRPr="00872A66" w:rsidRDefault="00BB75A4" w:rsidP="001D06B3">
            <w:pPr>
              <w:pStyle w:val="C-TableText"/>
              <w:rPr>
                <w:rFonts w:eastAsia="MS Mincho"/>
              </w:rPr>
            </w:pPr>
            <w:r w:rsidRPr="00872A66">
              <w:rPr>
                <w:rFonts w:eastAsia="MS Mincho"/>
              </w:rPr>
              <w:t>Change from baseline in monthly average number of migraine days at 4 weeks after 1</w:t>
            </w:r>
            <w:r w:rsidRPr="00872A66">
              <w:rPr>
                <w:rFonts w:eastAsia="MS Mincho"/>
                <w:vertAlign w:val="superscript"/>
              </w:rPr>
              <w:t>st</w:t>
            </w:r>
            <w:r w:rsidRPr="00872A66">
              <w:rPr>
                <w:rFonts w:eastAsia="MS Mincho"/>
              </w:rPr>
              <w:t xml:space="preserve"> dose</w:t>
            </w:r>
          </w:p>
        </w:tc>
        <w:tc>
          <w:tcPr>
            <w:tcW w:w="1930" w:type="dxa"/>
            <w:shd w:val="clear" w:color="auto" w:fill="auto"/>
            <w:vAlign w:val="center"/>
          </w:tcPr>
          <w:p w:rsidR="00BB75A4" w:rsidRPr="00872A66" w:rsidRDefault="00BB75A4" w:rsidP="001D06B3">
            <w:pPr>
              <w:pStyle w:val="C-TableText"/>
              <w:jc w:val="center"/>
              <w:rPr>
                <w:rFonts w:eastAsia="MS Mincho"/>
              </w:rPr>
            </w:pPr>
            <w:r w:rsidRPr="00872A66">
              <w:rPr>
                <w:rFonts w:eastAsia="MS Mincho"/>
              </w:rPr>
              <w:t>-3.5**</w:t>
            </w:r>
          </w:p>
        </w:tc>
        <w:tc>
          <w:tcPr>
            <w:tcW w:w="1890" w:type="dxa"/>
            <w:shd w:val="clear" w:color="auto" w:fill="auto"/>
            <w:vAlign w:val="center"/>
          </w:tcPr>
          <w:p w:rsidR="00BB75A4" w:rsidRPr="00872A66" w:rsidRDefault="00BB75A4" w:rsidP="001D06B3">
            <w:pPr>
              <w:pStyle w:val="C-TableText"/>
              <w:jc w:val="center"/>
              <w:rPr>
                <w:rFonts w:eastAsia="MS Mincho"/>
              </w:rPr>
            </w:pPr>
            <w:r w:rsidRPr="00872A66">
              <w:rPr>
                <w:rFonts w:eastAsia="MS Mincho"/>
              </w:rPr>
              <w:t>-3.3**</w:t>
            </w:r>
          </w:p>
        </w:tc>
        <w:tc>
          <w:tcPr>
            <w:tcW w:w="1170" w:type="dxa"/>
            <w:shd w:val="clear" w:color="auto" w:fill="auto"/>
            <w:vAlign w:val="center"/>
          </w:tcPr>
          <w:p w:rsidR="00BB75A4" w:rsidRPr="00872A66" w:rsidRDefault="00BB75A4" w:rsidP="001D06B3">
            <w:pPr>
              <w:pStyle w:val="C-TableText"/>
              <w:jc w:val="center"/>
              <w:rPr>
                <w:rFonts w:eastAsia="MS Mincho"/>
              </w:rPr>
            </w:pPr>
            <w:r w:rsidRPr="00872A66">
              <w:rPr>
                <w:rFonts w:eastAsia="MS Mincho"/>
              </w:rPr>
              <w:t>-1.7</w:t>
            </w:r>
          </w:p>
        </w:tc>
      </w:tr>
      <w:tr w:rsidR="00BB75A4" w:rsidRPr="00872A66" w:rsidTr="001D06B3">
        <w:trPr>
          <w:trHeight w:val="570"/>
        </w:trPr>
        <w:tc>
          <w:tcPr>
            <w:tcW w:w="4092" w:type="dxa"/>
            <w:shd w:val="clear" w:color="auto" w:fill="auto"/>
          </w:tcPr>
          <w:p w:rsidR="00BB75A4" w:rsidRPr="00872A66" w:rsidRDefault="00BB75A4" w:rsidP="001D06B3">
            <w:pPr>
              <w:pStyle w:val="C-TableText"/>
              <w:rPr>
                <w:rFonts w:eastAsia="MS Mincho"/>
              </w:rPr>
            </w:pPr>
            <w:r w:rsidRPr="00872A66">
              <w:rPr>
                <w:rFonts w:eastAsia="MS Mincho"/>
              </w:rPr>
              <w:t>Change from baseline in the monthly average</w:t>
            </w:r>
            <w:r>
              <w:rPr>
                <w:rFonts w:eastAsia="MS Mincho"/>
              </w:rPr>
              <w:t xml:space="preserve"> number</w:t>
            </w:r>
            <w:r w:rsidRPr="00872A66">
              <w:rPr>
                <w:rFonts w:eastAsia="MS Mincho"/>
              </w:rPr>
              <w:t xml:space="preserve"> of migraine days in patients without concomitant migraine preventive medication</w:t>
            </w:r>
          </w:p>
        </w:tc>
        <w:tc>
          <w:tcPr>
            <w:tcW w:w="1930" w:type="dxa"/>
            <w:shd w:val="clear" w:color="auto" w:fill="auto"/>
            <w:vAlign w:val="center"/>
          </w:tcPr>
          <w:p w:rsidR="00BB75A4" w:rsidRPr="00872A66" w:rsidRDefault="00BB75A4" w:rsidP="001D06B3">
            <w:pPr>
              <w:pStyle w:val="C-TableText"/>
              <w:jc w:val="center"/>
              <w:rPr>
                <w:rFonts w:eastAsia="MS Mincho"/>
              </w:rPr>
            </w:pPr>
            <w:r w:rsidRPr="00872A66">
              <w:rPr>
                <w:rFonts w:eastAsia="MS Mincho"/>
              </w:rPr>
              <w:t>-3.7**</w:t>
            </w:r>
          </w:p>
        </w:tc>
        <w:tc>
          <w:tcPr>
            <w:tcW w:w="1890" w:type="dxa"/>
            <w:shd w:val="clear" w:color="auto" w:fill="auto"/>
            <w:vAlign w:val="center"/>
          </w:tcPr>
          <w:p w:rsidR="00BB75A4" w:rsidRPr="00872A66" w:rsidRDefault="00BB75A4" w:rsidP="001D06B3">
            <w:pPr>
              <w:pStyle w:val="C-TableText"/>
              <w:jc w:val="center"/>
              <w:rPr>
                <w:rFonts w:eastAsia="MS Mincho"/>
              </w:rPr>
            </w:pPr>
            <w:r w:rsidRPr="00872A66">
              <w:rPr>
                <w:rFonts w:eastAsia="MS Mincho"/>
              </w:rPr>
              <w:t>-3.5**</w:t>
            </w:r>
          </w:p>
        </w:tc>
        <w:tc>
          <w:tcPr>
            <w:tcW w:w="1170" w:type="dxa"/>
            <w:shd w:val="clear" w:color="auto" w:fill="auto"/>
            <w:vAlign w:val="center"/>
          </w:tcPr>
          <w:p w:rsidR="00BB75A4" w:rsidRPr="00872A66" w:rsidRDefault="00BB75A4" w:rsidP="001D06B3">
            <w:pPr>
              <w:pStyle w:val="C-TableText"/>
              <w:jc w:val="center"/>
              <w:rPr>
                <w:rFonts w:eastAsia="MS Mincho"/>
              </w:rPr>
            </w:pPr>
            <w:r w:rsidRPr="00872A66">
              <w:rPr>
                <w:rFonts w:eastAsia="MS Mincho"/>
              </w:rPr>
              <w:t>-2.4</w:t>
            </w:r>
          </w:p>
        </w:tc>
      </w:tr>
      <w:tr w:rsidR="00BB75A4" w:rsidRPr="00872A66" w:rsidTr="001D06B3">
        <w:trPr>
          <w:trHeight w:val="292"/>
        </w:trPr>
        <w:tc>
          <w:tcPr>
            <w:tcW w:w="4092" w:type="dxa"/>
            <w:shd w:val="clear" w:color="auto" w:fill="auto"/>
          </w:tcPr>
          <w:p w:rsidR="00BB75A4" w:rsidRPr="00872A66" w:rsidRDefault="00BB75A4" w:rsidP="001D06B3">
            <w:pPr>
              <w:pStyle w:val="C-TableText"/>
              <w:rPr>
                <w:rFonts w:eastAsia="MS Mincho"/>
              </w:rPr>
            </w:pPr>
            <w:r w:rsidRPr="00872A66">
              <w:rPr>
                <w:rFonts w:eastAsia="MS Mincho"/>
              </w:rPr>
              <w:t>Change from baseline in disability scores (Migraine Disability Assessment)</w:t>
            </w:r>
          </w:p>
        </w:tc>
        <w:tc>
          <w:tcPr>
            <w:tcW w:w="1930" w:type="dxa"/>
            <w:shd w:val="clear" w:color="auto" w:fill="auto"/>
            <w:vAlign w:val="center"/>
          </w:tcPr>
          <w:p w:rsidR="00BB75A4" w:rsidRPr="00872A66" w:rsidRDefault="00BB75A4" w:rsidP="001D06B3">
            <w:pPr>
              <w:pStyle w:val="C-TableText"/>
              <w:jc w:val="center"/>
              <w:rPr>
                <w:rFonts w:eastAsia="MS Mincho"/>
              </w:rPr>
            </w:pPr>
            <w:r w:rsidRPr="00872A66">
              <w:rPr>
                <w:rFonts w:eastAsia="MS Mincho"/>
              </w:rPr>
              <w:t>-24.6*</w:t>
            </w:r>
          </w:p>
        </w:tc>
        <w:tc>
          <w:tcPr>
            <w:tcW w:w="1890" w:type="dxa"/>
            <w:shd w:val="clear" w:color="auto" w:fill="auto"/>
            <w:vAlign w:val="center"/>
          </w:tcPr>
          <w:p w:rsidR="00BB75A4" w:rsidRPr="00872A66" w:rsidRDefault="00BB75A4" w:rsidP="001D06B3">
            <w:pPr>
              <w:pStyle w:val="C-TableText"/>
              <w:jc w:val="center"/>
              <w:rPr>
                <w:rFonts w:eastAsia="MS Mincho"/>
              </w:rPr>
            </w:pPr>
            <w:r w:rsidRPr="00872A66">
              <w:rPr>
                <w:rFonts w:eastAsia="MS Mincho"/>
              </w:rPr>
              <w:t>-23.0*</w:t>
            </w:r>
          </w:p>
        </w:tc>
        <w:tc>
          <w:tcPr>
            <w:tcW w:w="1170" w:type="dxa"/>
            <w:shd w:val="clear" w:color="auto" w:fill="auto"/>
            <w:vAlign w:val="center"/>
          </w:tcPr>
          <w:p w:rsidR="00BB75A4" w:rsidRPr="00872A66" w:rsidRDefault="00BB75A4" w:rsidP="001D06B3">
            <w:pPr>
              <w:pStyle w:val="C-TableText"/>
              <w:jc w:val="center"/>
              <w:rPr>
                <w:rFonts w:eastAsia="MS Mincho"/>
              </w:rPr>
            </w:pPr>
            <w:r w:rsidRPr="00872A66">
              <w:rPr>
                <w:rFonts w:eastAsia="MS Mincho"/>
              </w:rPr>
              <w:t>-17.5</w:t>
            </w:r>
          </w:p>
        </w:tc>
      </w:tr>
    </w:tbl>
    <w:p w:rsidR="00B70608" w:rsidRDefault="00B70608" w:rsidP="00B70608">
      <w:pPr>
        <w:pStyle w:val="C-Footnote"/>
      </w:pPr>
      <w:r>
        <w:t>* Significantly different from placebo (p&lt;0.0025)</w:t>
      </w:r>
    </w:p>
    <w:p w:rsidR="00B70608" w:rsidRDefault="00B70608" w:rsidP="00B70608">
      <w:pPr>
        <w:pStyle w:val="C-Footnote"/>
      </w:pPr>
      <w:r>
        <w:t>** Significantly different from placebo (p&lt;0.0001)</w:t>
      </w:r>
    </w:p>
    <w:p w:rsidR="00B70608" w:rsidRDefault="00B70608" w:rsidP="00B70608">
      <w:pPr>
        <w:pStyle w:val="C-Footnote"/>
      </w:pPr>
      <w:r>
        <w:t>*** Primary efficacy endpoint</w:t>
      </w:r>
    </w:p>
    <w:p w:rsidR="00705253" w:rsidRPr="00143C34" w:rsidRDefault="00CD54A4" w:rsidP="00705253">
      <w:pPr>
        <w:rPr>
          <w:rFonts w:asciiTheme="minorHAnsi" w:hAnsiTheme="minorHAnsi" w:cstheme="minorHAnsi"/>
          <w:szCs w:val="24"/>
        </w:rPr>
      </w:pPr>
      <w:r w:rsidRPr="00143C34">
        <w:rPr>
          <w:rFonts w:asciiTheme="minorHAnsi" w:hAnsiTheme="minorHAnsi" w:cstheme="minorHAnsi"/>
          <w:szCs w:val="24"/>
        </w:rPr>
        <w:lastRenderedPageBreak/>
        <w:t>On average in a given month, more than 67% of episodic migraine patients treated with AJOVY achieved at least a 25% reduction in monthly migraine days (compared to 53% of placebo), while more than 25% of patients achieved at least a 75% reduction in monthly migraine days (compared to 15% of placebo), and more than 8% of patients achieved a 100% reduction in monthly migraine da</w:t>
      </w:r>
      <w:r w:rsidR="001A3A27">
        <w:rPr>
          <w:rFonts w:asciiTheme="minorHAnsi" w:hAnsiTheme="minorHAnsi" w:cstheme="minorHAnsi"/>
          <w:szCs w:val="24"/>
        </w:rPr>
        <w:t>ys (compared to 4% of placebo).</w:t>
      </w:r>
    </w:p>
    <w:p w:rsidR="00BB75A4" w:rsidRPr="00143C34" w:rsidRDefault="00BB75A4" w:rsidP="001A3A27">
      <w:pPr>
        <w:autoSpaceDE w:val="0"/>
        <w:autoSpaceDN w:val="0"/>
        <w:adjustRightInd w:val="0"/>
        <w:spacing w:before="180" w:line="240" w:lineRule="auto"/>
        <w:rPr>
          <w:rFonts w:asciiTheme="minorHAnsi" w:hAnsiTheme="minorHAnsi" w:cstheme="minorHAnsi"/>
          <w:i/>
          <w:iCs/>
          <w:u w:val="single"/>
          <w:lang w:val="en-US"/>
        </w:rPr>
      </w:pPr>
      <w:r w:rsidRPr="00143C34">
        <w:rPr>
          <w:rFonts w:asciiTheme="minorHAnsi" w:hAnsiTheme="minorHAnsi" w:cstheme="minorHAnsi"/>
          <w:i/>
          <w:iCs/>
          <w:u w:val="single"/>
          <w:lang w:val="en-US"/>
        </w:rPr>
        <w:t>Chronic Migraine</w:t>
      </w:r>
    </w:p>
    <w:p w:rsidR="00BB75A4" w:rsidRPr="00143C34" w:rsidRDefault="00DA244B" w:rsidP="002E40F0">
      <w:pPr>
        <w:pStyle w:val="StyleBodyCalibriLinespacingsingle"/>
      </w:pPr>
      <w:r w:rsidRPr="00143C34">
        <w:t xml:space="preserve">Study 2 included adults with a history of chronic migraine (patients with 15 headache days or higher per month). </w:t>
      </w:r>
      <w:r w:rsidR="00B56E20" w:rsidRPr="00143C34">
        <w:t>All patients were randomis</w:t>
      </w:r>
      <w:r w:rsidRPr="00143C34">
        <w:t>ed to one of three arms: 675 mg</w:t>
      </w:r>
      <w:r w:rsidR="00B56E20" w:rsidRPr="00143C34">
        <w:t xml:space="preserve"> fremanezumab</w:t>
      </w:r>
      <w:r w:rsidRPr="00143C34">
        <w:t xml:space="preserve"> for the starting dose followed by 225 mg</w:t>
      </w:r>
      <w:r w:rsidR="00B56E20" w:rsidRPr="00143C34">
        <w:t xml:space="preserve"> fremanezumab</w:t>
      </w:r>
      <w:r w:rsidRPr="00143C34">
        <w:t xml:space="preserve"> </w:t>
      </w:r>
      <w:r w:rsidR="00B56E20" w:rsidRPr="00143C34">
        <w:t>once a month (</w:t>
      </w:r>
      <w:r w:rsidRPr="00143C34">
        <w:t>monthly</w:t>
      </w:r>
      <w:r w:rsidR="00B56E20" w:rsidRPr="00143C34">
        <w:t>)</w:t>
      </w:r>
      <w:r w:rsidRPr="00143C34">
        <w:t>, 675 mg</w:t>
      </w:r>
      <w:r w:rsidR="009B621C" w:rsidRPr="00143C34">
        <w:t xml:space="preserve"> fremanezumab</w:t>
      </w:r>
      <w:r w:rsidRPr="00143C34">
        <w:t xml:space="preserve"> every three months</w:t>
      </w:r>
      <w:r w:rsidR="00B56E20" w:rsidRPr="00143C34">
        <w:t xml:space="preserve"> (quarterly)</w:t>
      </w:r>
      <w:r w:rsidRPr="00143C34">
        <w:t>, or monthly administration of placebo</w:t>
      </w:r>
      <w:r w:rsidR="0083262B" w:rsidRPr="00143C34">
        <w:t xml:space="preserve"> administered via subcutaneous injection</w:t>
      </w:r>
      <w:r w:rsidRPr="00143C34">
        <w:t>. Patients were allowed to use acute headache treatments during the study. A sub-set of patients (21%) w</w:t>
      </w:r>
      <w:r w:rsidR="001415C3" w:rsidRPr="00143C34">
        <w:t>ere</w:t>
      </w:r>
      <w:r w:rsidRPr="00143C34">
        <w:t xml:space="preserve"> also allowed to use one con</w:t>
      </w:r>
      <w:r w:rsidR="0025080E" w:rsidRPr="00143C34">
        <w:t>comitant, preventive medication,</w:t>
      </w:r>
      <w:r w:rsidR="00CA69A6" w:rsidRPr="00143C34">
        <w:t xml:space="preserve"> consistent with patient treatment outside of controlled clinical settings.</w:t>
      </w:r>
    </w:p>
    <w:p w:rsidR="00DA244B" w:rsidRPr="00143C34" w:rsidRDefault="00DA244B" w:rsidP="002E40F0">
      <w:pPr>
        <w:pStyle w:val="StyleBodyCalibriLinespacingsingle"/>
      </w:pPr>
      <w:r w:rsidRPr="00143C34">
        <w:t>In Study 2, a total of 1,130 patients (991 females, 139 males), ranging in age fr</w:t>
      </w:r>
      <w:r w:rsidR="00B56E20" w:rsidRPr="00143C34">
        <w:t>om 18 to 70 years, were randomis</w:t>
      </w:r>
      <w:r w:rsidRPr="00143C34">
        <w:t xml:space="preserve">ed. A total of 1,034 patients completed the 12-week double-blind </w:t>
      </w:r>
      <w:r w:rsidR="00B56E20" w:rsidRPr="00143C34">
        <w:t>treatment period</w:t>
      </w:r>
      <w:r w:rsidRPr="00143C34">
        <w:t>.</w:t>
      </w:r>
    </w:p>
    <w:p w:rsidR="00363E61" w:rsidRDefault="00DA244B" w:rsidP="002E40F0">
      <w:pPr>
        <w:pStyle w:val="StyleBodyCalibriLinespacingsingle"/>
        <w:rPr>
          <w:iCs/>
        </w:rPr>
      </w:pPr>
      <w:r w:rsidRPr="00143C34">
        <w:t xml:space="preserve">The primary efficacy endpoint was the mean change from baseline in the monthly average number of headache days of at least moderate severity during the 12-week </w:t>
      </w:r>
      <w:r w:rsidR="00B56E20" w:rsidRPr="00143C34">
        <w:t xml:space="preserve">treatment </w:t>
      </w:r>
      <w:r w:rsidRPr="00143C34">
        <w:t>period</w:t>
      </w:r>
      <w:r w:rsidR="001415C3" w:rsidRPr="00143C34">
        <w:t xml:space="preserve"> (See Table 3)</w:t>
      </w:r>
      <w:r w:rsidRPr="00143C34">
        <w:t xml:space="preserve">. Both monthly and quarterly dosing regimens </w:t>
      </w:r>
      <w:r w:rsidR="00B56E20" w:rsidRPr="00143C34">
        <w:t>of AJOVY</w:t>
      </w:r>
      <w:r w:rsidRPr="00143C34">
        <w:t xml:space="preserve"> demonstrated statistically significant and clinically meaningful improvement from baseline compared to placebo </w:t>
      </w:r>
      <w:r w:rsidR="00B56E20" w:rsidRPr="00143C34">
        <w:rPr>
          <w:szCs w:val="24"/>
        </w:rPr>
        <w:t>at all time points over the 12-</w:t>
      </w:r>
      <w:r w:rsidRPr="00143C34">
        <w:rPr>
          <w:szCs w:val="24"/>
        </w:rPr>
        <w:t>week</w:t>
      </w:r>
      <w:r w:rsidR="00B56E20" w:rsidRPr="00143C34">
        <w:rPr>
          <w:szCs w:val="24"/>
        </w:rPr>
        <w:t xml:space="preserve"> treatment</w:t>
      </w:r>
      <w:r w:rsidRPr="00143C34">
        <w:rPr>
          <w:szCs w:val="24"/>
        </w:rPr>
        <w:t xml:space="preserve"> period</w:t>
      </w:r>
      <w:r w:rsidRPr="00143C34">
        <w:t xml:space="preserve"> (</w:t>
      </w:r>
      <w:r w:rsidR="00B56E20" w:rsidRPr="00143C34">
        <w:t xml:space="preserve">see </w:t>
      </w:r>
      <w:r w:rsidRPr="00143C34">
        <w:rPr>
          <w:iCs/>
        </w:rPr>
        <w:t>Figure 2).</w:t>
      </w:r>
    </w:p>
    <w:p w:rsidR="00FD2FBF" w:rsidRDefault="00DA244B" w:rsidP="00BB75A4">
      <w:pPr>
        <w:autoSpaceDE w:val="0"/>
        <w:autoSpaceDN w:val="0"/>
        <w:adjustRightInd w:val="0"/>
        <w:spacing w:line="240" w:lineRule="auto"/>
        <w:rPr>
          <w:sz w:val="24"/>
          <w:szCs w:val="24"/>
        </w:rPr>
      </w:pPr>
      <w:r>
        <w:rPr>
          <w:b/>
          <w:bCs/>
        </w:rPr>
        <w:t xml:space="preserve">Figure 2: </w:t>
      </w:r>
      <w:r w:rsidRPr="00DA244B">
        <w:rPr>
          <w:b/>
          <w:bCs/>
        </w:rPr>
        <w:t>Mean Change from Baseline in the Monthly Average Number of Headache Days of At Least Moderate Severity for Study 2</w:t>
      </w:r>
      <w:bookmarkStart w:id="0" w:name="IDX"/>
      <w:bookmarkEnd w:id="0"/>
    </w:p>
    <w:p w:rsidR="00FD2FBF" w:rsidRDefault="00FD2FBF" w:rsidP="00BB75A4">
      <w:pPr>
        <w:autoSpaceDE w:val="0"/>
        <w:autoSpaceDN w:val="0"/>
        <w:adjustRightInd w:val="0"/>
        <w:spacing w:line="240" w:lineRule="auto"/>
        <w:rPr>
          <w:sz w:val="24"/>
          <w:szCs w:val="24"/>
        </w:rPr>
      </w:pPr>
      <w:r>
        <w:rPr>
          <w:noProof/>
          <w:lang w:val="en-AU" w:eastAsia="en-AU"/>
        </w:rPr>
        <w:drawing>
          <wp:inline distT="0" distB="0" distL="0" distR="0" wp14:anchorId="19A206D1" wp14:editId="77EC33B3">
            <wp:extent cx="5760085" cy="29237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60085" cy="2923735"/>
                    </a:xfrm>
                    <a:prstGeom prst="rect">
                      <a:avLst/>
                    </a:prstGeom>
                  </pic:spPr>
                </pic:pic>
              </a:graphicData>
            </a:graphic>
          </wp:inline>
        </w:drawing>
      </w:r>
    </w:p>
    <w:p w:rsidR="00746C62" w:rsidRPr="00746C62" w:rsidRDefault="00746C62" w:rsidP="001A3A27">
      <w:pPr>
        <w:autoSpaceDE w:val="0"/>
        <w:autoSpaceDN w:val="0"/>
        <w:adjustRightInd w:val="0"/>
        <w:spacing w:before="120" w:after="120" w:line="240" w:lineRule="auto"/>
        <w:rPr>
          <w:szCs w:val="22"/>
        </w:rPr>
      </w:pPr>
      <w:r w:rsidRPr="00746C62">
        <w:rPr>
          <w:color w:val="000000"/>
          <w:sz w:val="20"/>
          <w:szCs w:val="18"/>
        </w:rPr>
        <w:t>Mean at baseline (monthly average number of</w:t>
      </w:r>
      <w:r>
        <w:rPr>
          <w:color w:val="000000"/>
          <w:sz w:val="20"/>
          <w:szCs w:val="18"/>
        </w:rPr>
        <w:t xml:space="preserve"> headache</w:t>
      </w:r>
      <w:r w:rsidRPr="00746C62">
        <w:rPr>
          <w:color w:val="000000"/>
          <w:sz w:val="20"/>
          <w:szCs w:val="18"/>
        </w:rPr>
        <w:t xml:space="preserve"> days</w:t>
      </w:r>
      <w:r>
        <w:rPr>
          <w:color w:val="000000"/>
          <w:sz w:val="20"/>
          <w:szCs w:val="18"/>
        </w:rPr>
        <w:t xml:space="preserve"> of at least moderate severity</w:t>
      </w:r>
      <w:r w:rsidRPr="00746C62">
        <w:rPr>
          <w:color w:val="000000"/>
          <w:sz w:val="20"/>
          <w:szCs w:val="18"/>
        </w:rPr>
        <w:t>): Placebo: 13.3, AJOVY Quarterly: 13.2, AJOVY Monthly:</w:t>
      </w:r>
      <w:r w:rsidR="003F030B">
        <w:rPr>
          <w:color w:val="000000"/>
          <w:sz w:val="20"/>
          <w:szCs w:val="18"/>
        </w:rPr>
        <w:t xml:space="preserve"> </w:t>
      </w:r>
      <w:r w:rsidRPr="00746C62">
        <w:rPr>
          <w:color w:val="000000"/>
          <w:sz w:val="20"/>
          <w:szCs w:val="18"/>
        </w:rPr>
        <w:t>12.8.</w:t>
      </w:r>
    </w:p>
    <w:p w:rsidR="00DA244B" w:rsidRPr="00143C34" w:rsidRDefault="00DA244B" w:rsidP="002E40F0">
      <w:pPr>
        <w:pStyle w:val="StyleBodyCalibriLinespacingsingle"/>
      </w:pPr>
      <w:r w:rsidRPr="00143C34">
        <w:t>AJOVY treatment demonstrated statistically significant and clinically meaningful improvements from baseline compared to placebo for all key efficacy variables.</w:t>
      </w:r>
    </w:p>
    <w:p w:rsidR="00DA244B" w:rsidRDefault="00DA244B" w:rsidP="001A3A27">
      <w:pPr>
        <w:pageBreakBefore/>
        <w:autoSpaceDE w:val="0"/>
        <w:autoSpaceDN w:val="0"/>
        <w:adjustRightInd w:val="0"/>
        <w:spacing w:after="120" w:line="240" w:lineRule="auto"/>
        <w:rPr>
          <w:b/>
          <w:bCs/>
        </w:rPr>
      </w:pPr>
      <w:r>
        <w:rPr>
          <w:b/>
          <w:bCs/>
          <w:lang w:val="en-US"/>
        </w:rPr>
        <w:lastRenderedPageBreak/>
        <w:t xml:space="preserve">Table 3: </w:t>
      </w:r>
      <w:r w:rsidRPr="00DA244B">
        <w:rPr>
          <w:b/>
          <w:bCs/>
        </w:rPr>
        <w:t>Key Efficacy Variables for Study 2</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666"/>
        <w:gridCol w:w="1962"/>
        <w:gridCol w:w="1970"/>
        <w:gridCol w:w="1115"/>
      </w:tblGrid>
      <w:tr w:rsidR="00DA244B" w:rsidRPr="00872A66" w:rsidTr="001D06B3">
        <w:trPr>
          <w:tblHeader/>
        </w:trPr>
        <w:tc>
          <w:tcPr>
            <w:tcW w:w="2402" w:type="pct"/>
            <w:shd w:val="clear" w:color="auto" w:fill="auto"/>
          </w:tcPr>
          <w:p w:rsidR="00DA244B" w:rsidRPr="00872A66" w:rsidRDefault="00DA244B" w:rsidP="001D06B3">
            <w:pPr>
              <w:pStyle w:val="C-TableHeader"/>
              <w:jc w:val="center"/>
              <w:rPr>
                <w:rFonts w:eastAsia="MS Mincho"/>
              </w:rPr>
            </w:pPr>
            <w:r w:rsidRPr="00872A66">
              <w:rPr>
                <w:rFonts w:eastAsia="MS Mincho"/>
              </w:rPr>
              <w:t>Study 2</w:t>
            </w:r>
            <w:r w:rsidRPr="00872A66">
              <w:rPr>
                <w:rFonts w:eastAsia="MS Mincho"/>
              </w:rPr>
              <w:br/>
              <w:t>Efficacy Endpoint</w:t>
            </w:r>
          </w:p>
        </w:tc>
        <w:tc>
          <w:tcPr>
            <w:tcW w:w="1010" w:type="pct"/>
            <w:shd w:val="clear" w:color="auto" w:fill="auto"/>
          </w:tcPr>
          <w:p w:rsidR="00DA244B" w:rsidRPr="00872A66" w:rsidRDefault="00DA244B" w:rsidP="001D06B3">
            <w:pPr>
              <w:pStyle w:val="C-TableHeader"/>
              <w:jc w:val="center"/>
              <w:rPr>
                <w:rFonts w:eastAsia="MS Mincho"/>
              </w:rPr>
            </w:pPr>
            <w:r>
              <w:rPr>
                <w:rFonts w:eastAsia="MS Mincho"/>
              </w:rPr>
              <w:t>AJOVY</w:t>
            </w:r>
            <w:r w:rsidRPr="00872A66">
              <w:rPr>
                <w:rFonts w:eastAsia="MS Mincho"/>
              </w:rPr>
              <w:br/>
            </w:r>
            <w:r>
              <w:rPr>
                <w:rFonts w:eastAsia="MS Mincho"/>
              </w:rPr>
              <w:t>Monthly</w:t>
            </w:r>
            <w:r w:rsidRPr="00872A66">
              <w:rPr>
                <w:rFonts w:eastAsia="MS Mincho"/>
              </w:rPr>
              <w:br/>
              <w:t>(N=375)</w:t>
            </w:r>
          </w:p>
        </w:tc>
        <w:tc>
          <w:tcPr>
            <w:tcW w:w="1014" w:type="pct"/>
            <w:shd w:val="clear" w:color="auto" w:fill="auto"/>
          </w:tcPr>
          <w:p w:rsidR="00DA244B" w:rsidRPr="00872A66" w:rsidRDefault="00DA244B" w:rsidP="001D06B3">
            <w:pPr>
              <w:pStyle w:val="C-TableHeader"/>
              <w:jc w:val="center"/>
              <w:rPr>
                <w:rFonts w:eastAsia="MS Mincho"/>
              </w:rPr>
            </w:pPr>
            <w:r>
              <w:rPr>
                <w:rFonts w:eastAsia="MS Mincho"/>
              </w:rPr>
              <w:t>AJOVY</w:t>
            </w:r>
            <w:r w:rsidRPr="00872A66">
              <w:rPr>
                <w:rFonts w:eastAsia="MS Mincho"/>
              </w:rPr>
              <w:br/>
            </w:r>
            <w:r>
              <w:rPr>
                <w:rFonts w:eastAsia="MS Mincho"/>
              </w:rPr>
              <w:t>Quarterly</w:t>
            </w:r>
            <w:r w:rsidRPr="00872A66">
              <w:rPr>
                <w:rFonts w:eastAsia="MS Mincho"/>
              </w:rPr>
              <w:br/>
              <w:t>(N=375)</w:t>
            </w:r>
          </w:p>
        </w:tc>
        <w:tc>
          <w:tcPr>
            <w:tcW w:w="574" w:type="pct"/>
            <w:shd w:val="clear" w:color="auto" w:fill="auto"/>
          </w:tcPr>
          <w:p w:rsidR="00DA244B" w:rsidRPr="00872A66" w:rsidRDefault="00DA244B" w:rsidP="001D06B3">
            <w:pPr>
              <w:pStyle w:val="C-TableHeader"/>
              <w:jc w:val="center"/>
              <w:rPr>
                <w:rFonts w:eastAsia="MS Mincho"/>
              </w:rPr>
            </w:pPr>
            <w:r w:rsidRPr="00872A66">
              <w:rPr>
                <w:rFonts w:eastAsia="MS Mincho"/>
              </w:rPr>
              <w:t>Placebo</w:t>
            </w:r>
            <w:r w:rsidRPr="00872A66">
              <w:rPr>
                <w:rFonts w:eastAsia="MS Mincho"/>
              </w:rPr>
              <w:br/>
            </w:r>
            <w:r w:rsidRPr="00872A66">
              <w:rPr>
                <w:rFonts w:eastAsia="MS Mincho"/>
              </w:rPr>
              <w:br/>
              <w:t>(N=371)</w:t>
            </w:r>
          </w:p>
        </w:tc>
      </w:tr>
      <w:tr w:rsidR="00DA244B" w:rsidRPr="00872A66" w:rsidTr="001D06B3">
        <w:tc>
          <w:tcPr>
            <w:tcW w:w="2402" w:type="pct"/>
            <w:shd w:val="clear" w:color="auto" w:fill="auto"/>
          </w:tcPr>
          <w:p w:rsidR="00DA244B" w:rsidRPr="00872A66" w:rsidRDefault="00DA244B" w:rsidP="001D06B3">
            <w:pPr>
              <w:pStyle w:val="C-TableText"/>
              <w:rPr>
                <w:rFonts w:eastAsia="MS Mincho"/>
              </w:rPr>
            </w:pPr>
            <w:r w:rsidRPr="00872A66">
              <w:rPr>
                <w:rFonts w:eastAsia="MS Mincho"/>
              </w:rPr>
              <w:t>Change from baseline in the monthly average number of headache days of at least moderate severity</w:t>
            </w:r>
            <w:r w:rsidR="00B56E20">
              <w:rPr>
                <w:rFonts w:eastAsia="MS Mincho"/>
              </w:rPr>
              <w:t>***</w:t>
            </w:r>
          </w:p>
        </w:tc>
        <w:tc>
          <w:tcPr>
            <w:tcW w:w="1010" w:type="pct"/>
            <w:shd w:val="clear" w:color="auto" w:fill="auto"/>
            <w:vAlign w:val="center"/>
          </w:tcPr>
          <w:p w:rsidR="00DA244B" w:rsidRPr="00872A66" w:rsidRDefault="00DA244B" w:rsidP="001D06B3">
            <w:pPr>
              <w:pStyle w:val="C-TableText"/>
              <w:jc w:val="center"/>
              <w:rPr>
                <w:rFonts w:eastAsia="MS Mincho"/>
              </w:rPr>
            </w:pPr>
            <w:r w:rsidRPr="00872A66">
              <w:rPr>
                <w:rFonts w:eastAsia="MS Mincho"/>
              </w:rPr>
              <w:t>-4.6**</w:t>
            </w:r>
          </w:p>
        </w:tc>
        <w:tc>
          <w:tcPr>
            <w:tcW w:w="1014" w:type="pct"/>
            <w:shd w:val="clear" w:color="auto" w:fill="auto"/>
            <w:vAlign w:val="center"/>
          </w:tcPr>
          <w:p w:rsidR="00DA244B" w:rsidRPr="00872A66" w:rsidRDefault="00DA244B" w:rsidP="001D06B3">
            <w:pPr>
              <w:pStyle w:val="C-TableText"/>
              <w:jc w:val="center"/>
              <w:rPr>
                <w:rFonts w:eastAsia="MS Mincho"/>
              </w:rPr>
            </w:pPr>
            <w:r w:rsidRPr="00872A66">
              <w:rPr>
                <w:rFonts w:eastAsia="MS Mincho"/>
              </w:rPr>
              <w:t>-4.3**</w:t>
            </w:r>
          </w:p>
        </w:tc>
        <w:tc>
          <w:tcPr>
            <w:tcW w:w="574" w:type="pct"/>
            <w:shd w:val="clear" w:color="auto" w:fill="auto"/>
            <w:vAlign w:val="center"/>
          </w:tcPr>
          <w:p w:rsidR="00DA244B" w:rsidRPr="00872A66" w:rsidRDefault="00DA244B" w:rsidP="001D06B3">
            <w:pPr>
              <w:pStyle w:val="C-TableText"/>
              <w:jc w:val="center"/>
              <w:rPr>
                <w:rFonts w:eastAsia="MS Mincho"/>
              </w:rPr>
            </w:pPr>
            <w:r w:rsidRPr="00872A66">
              <w:rPr>
                <w:rFonts w:eastAsia="MS Mincho"/>
              </w:rPr>
              <w:t>-2.5</w:t>
            </w:r>
          </w:p>
        </w:tc>
      </w:tr>
      <w:tr w:rsidR="00DA244B" w:rsidRPr="00872A66" w:rsidTr="001D06B3">
        <w:tc>
          <w:tcPr>
            <w:tcW w:w="2402" w:type="pct"/>
            <w:shd w:val="clear" w:color="auto" w:fill="auto"/>
          </w:tcPr>
          <w:p w:rsidR="00DA244B" w:rsidRPr="00872A66" w:rsidRDefault="00DA244B" w:rsidP="001D06B3">
            <w:pPr>
              <w:pStyle w:val="C-TableText"/>
              <w:rPr>
                <w:rFonts w:eastAsia="MS Mincho"/>
              </w:rPr>
            </w:pPr>
            <w:r w:rsidRPr="00872A66">
              <w:rPr>
                <w:rFonts w:eastAsia="MS Mincho"/>
              </w:rPr>
              <w:t>Change from baseline in the monthly average</w:t>
            </w:r>
            <w:r>
              <w:rPr>
                <w:rFonts w:eastAsia="MS Mincho"/>
              </w:rPr>
              <w:t xml:space="preserve"> number</w:t>
            </w:r>
            <w:r w:rsidRPr="00872A66">
              <w:rPr>
                <w:rFonts w:eastAsia="MS Mincho"/>
              </w:rPr>
              <w:t xml:space="preserve"> of migraine days in patients</w:t>
            </w:r>
          </w:p>
        </w:tc>
        <w:tc>
          <w:tcPr>
            <w:tcW w:w="1010" w:type="pct"/>
            <w:shd w:val="clear" w:color="auto" w:fill="auto"/>
            <w:vAlign w:val="center"/>
          </w:tcPr>
          <w:p w:rsidR="00DA244B" w:rsidRPr="00872A66" w:rsidRDefault="00DA244B" w:rsidP="001D06B3">
            <w:pPr>
              <w:pStyle w:val="C-TableText"/>
              <w:jc w:val="center"/>
              <w:rPr>
                <w:rFonts w:eastAsia="MS Mincho"/>
              </w:rPr>
            </w:pPr>
            <w:r w:rsidRPr="00872A66">
              <w:rPr>
                <w:rFonts w:eastAsia="MS Mincho"/>
              </w:rPr>
              <w:t>-5.0**</w:t>
            </w:r>
          </w:p>
        </w:tc>
        <w:tc>
          <w:tcPr>
            <w:tcW w:w="1014" w:type="pct"/>
            <w:shd w:val="clear" w:color="auto" w:fill="auto"/>
            <w:vAlign w:val="center"/>
          </w:tcPr>
          <w:p w:rsidR="00DA244B" w:rsidRPr="00872A66" w:rsidRDefault="00DA244B" w:rsidP="001D06B3">
            <w:pPr>
              <w:pStyle w:val="C-TableText"/>
              <w:jc w:val="center"/>
              <w:rPr>
                <w:rFonts w:eastAsia="MS Mincho"/>
              </w:rPr>
            </w:pPr>
            <w:r w:rsidRPr="00872A66">
              <w:rPr>
                <w:rFonts w:eastAsia="MS Mincho"/>
              </w:rPr>
              <w:t>-4.9**</w:t>
            </w:r>
          </w:p>
        </w:tc>
        <w:tc>
          <w:tcPr>
            <w:tcW w:w="574" w:type="pct"/>
            <w:shd w:val="clear" w:color="auto" w:fill="auto"/>
            <w:vAlign w:val="center"/>
          </w:tcPr>
          <w:p w:rsidR="00DA244B" w:rsidRPr="00872A66" w:rsidRDefault="00DA244B" w:rsidP="001D06B3">
            <w:pPr>
              <w:pStyle w:val="C-TableText"/>
              <w:jc w:val="center"/>
              <w:rPr>
                <w:rFonts w:eastAsia="MS Mincho"/>
              </w:rPr>
            </w:pPr>
            <w:r w:rsidRPr="00872A66">
              <w:rPr>
                <w:rFonts w:eastAsia="MS Mincho"/>
              </w:rPr>
              <w:t>-3.2</w:t>
            </w:r>
          </w:p>
        </w:tc>
      </w:tr>
      <w:tr w:rsidR="00DA244B" w:rsidRPr="00872A66" w:rsidTr="001D06B3">
        <w:tc>
          <w:tcPr>
            <w:tcW w:w="2402" w:type="pct"/>
            <w:shd w:val="clear" w:color="auto" w:fill="auto"/>
          </w:tcPr>
          <w:p w:rsidR="00DA244B" w:rsidRPr="00872A66" w:rsidRDefault="00DA244B" w:rsidP="001D06B3">
            <w:pPr>
              <w:pStyle w:val="C-TableText"/>
              <w:rPr>
                <w:rFonts w:eastAsia="MS Mincho"/>
              </w:rPr>
            </w:pPr>
            <w:r w:rsidRPr="00872A66">
              <w:rPr>
                <w:rFonts w:eastAsia="MS Mincho"/>
              </w:rPr>
              <w:t>Change from baseline in monthly average number of headache days of at least moderate severity at 4 weeks after 1</w:t>
            </w:r>
            <w:r w:rsidRPr="00872A66">
              <w:rPr>
                <w:rFonts w:eastAsia="MS Mincho"/>
                <w:vertAlign w:val="superscript"/>
              </w:rPr>
              <w:t>st</w:t>
            </w:r>
            <w:r w:rsidRPr="00872A66">
              <w:rPr>
                <w:rFonts w:eastAsia="MS Mincho"/>
              </w:rPr>
              <w:t xml:space="preserve"> dose</w:t>
            </w:r>
          </w:p>
        </w:tc>
        <w:tc>
          <w:tcPr>
            <w:tcW w:w="2024" w:type="pct"/>
            <w:gridSpan w:val="2"/>
            <w:shd w:val="clear" w:color="auto" w:fill="auto"/>
            <w:vAlign w:val="center"/>
          </w:tcPr>
          <w:p w:rsidR="00DA244B" w:rsidRPr="00872A66" w:rsidRDefault="00DA244B" w:rsidP="001D06B3">
            <w:pPr>
              <w:pStyle w:val="C-TableText"/>
              <w:jc w:val="center"/>
              <w:rPr>
                <w:rFonts w:eastAsia="MS Mincho"/>
              </w:rPr>
            </w:pPr>
            <w:r w:rsidRPr="00872A66">
              <w:rPr>
                <w:rFonts w:eastAsia="MS Mincho"/>
              </w:rPr>
              <w:t>-4.6**</w:t>
            </w:r>
          </w:p>
        </w:tc>
        <w:tc>
          <w:tcPr>
            <w:tcW w:w="574" w:type="pct"/>
            <w:shd w:val="clear" w:color="auto" w:fill="auto"/>
            <w:vAlign w:val="center"/>
          </w:tcPr>
          <w:p w:rsidR="00DA244B" w:rsidRPr="00872A66" w:rsidRDefault="00DA244B" w:rsidP="001D06B3">
            <w:pPr>
              <w:pStyle w:val="C-TableText"/>
              <w:jc w:val="center"/>
              <w:rPr>
                <w:rFonts w:eastAsia="MS Mincho"/>
              </w:rPr>
            </w:pPr>
            <w:r w:rsidRPr="00872A66">
              <w:rPr>
                <w:rFonts w:eastAsia="MS Mincho"/>
              </w:rPr>
              <w:t>-2.3</w:t>
            </w:r>
          </w:p>
        </w:tc>
      </w:tr>
      <w:tr w:rsidR="00DA244B" w:rsidRPr="00872A66" w:rsidTr="001D06B3">
        <w:tc>
          <w:tcPr>
            <w:tcW w:w="2402" w:type="pct"/>
            <w:shd w:val="clear" w:color="auto" w:fill="auto"/>
          </w:tcPr>
          <w:p w:rsidR="00DA244B" w:rsidRPr="00872A66" w:rsidRDefault="00DA244B" w:rsidP="001D06B3">
            <w:pPr>
              <w:pStyle w:val="C-TableText"/>
              <w:rPr>
                <w:rFonts w:eastAsia="MS Mincho"/>
              </w:rPr>
            </w:pPr>
            <w:r w:rsidRPr="00872A66">
              <w:rPr>
                <w:rFonts w:eastAsia="MS Mincho"/>
              </w:rPr>
              <w:t xml:space="preserve">Reduction of at least 50% in monthly </w:t>
            </w:r>
            <w:r>
              <w:rPr>
                <w:rFonts w:eastAsia="MS Mincho"/>
              </w:rPr>
              <w:t xml:space="preserve">average </w:t>
            </w:r>
            <w:r w:rsidRPr="00872A66">
              <w:rPr>
                <w:rFonts w:eastAsia="MS Mincho"/>
              </w:rPr>
              <w:t>number of headache days of at least moderate severity</w:t>
            </w:r>
          </w:p>
        </w:tc>
        <w:tc>
          <w:tcPr>
            <w:tcW w:w="1010" w:type="pct"/>
            <w:shd w:val="clear" w:color="auto" w:fill="auto"/>
            <w:vAlign w:val="center"/>
          </w:tcPr>
          <w:p w:rsidR="00DA244B" w:rsidRPr="00872A66" w:rsidRDefault="00DA244B" w:rsidP="001D06B3">
            <w:pPr>
              <w:pStyle w:val="C-TableText"/>
              <w:jc w:val="center"/>
              <w:rPr>
                <w:rFonts w:eastAsia="MS Mincho"/>
              </w:rPr>
            </w:pPr>
            <w:r w:rsidRPr="00872A66">
              <w:rPr>
                <w:rFonts w:eastAsia="MS Mincho"/>
              </w:rPr>
              <w:t>40.8%**</w:t>
            </w:r>
          </w:p>
        </w:tc>
        <w:tc>
          <w:tcPr>
            <w:tcW w:w="1014" w:type="pct"/>
            <w:shd w:val="clear" w:color="auto" w:fill="auto"/>
            <w:vAlign w:val="center"/>
          </w:tcPr>
          <w:p w:rsidR="00DA244B" w:rsidRPr="00872A66" w:rsidRDefault="00DA244B" w:rsidP="001D06B3">
            <w:pPr>
              <w:pStyle w:val="C-TableText"/>
              <w:jc w:val="center"/>
              <w:rPr>
                <w:rFonts w:eastAsia="MS Mincho"/>
              </w:rPr>
            </w:pPr>
            <w:r w:rsidRPr="00872A66">
              <w:rPr>
                <w:rFonts w:eastAsia="MS Mincho"/>
              </w:rPr>
              <w:t>37.6%**</w:t>
            </w:r>
          </w:p>
        </w:tc>
        <w:tc>
          <w:tcPr>
            <w:tcW w:w="574" w:type="pct"/>
            <w:shd w:val="clear" w:color="auto" w:fill="auto"/>
            <w:vAlign w:val="center"/>
          </w:tcPr>
          <w:p w:rsidR="00DA244B" w:rsidRPr="00872A66" w:rsidRDefault="00DA244B" w:rsidP="001D06B3">
            <w:pPr>
              <w:pStyle w:val="C-TableText"/>
              <w:jc w:val="center"/>
              <w:rPr>
                <w:rFonts w:eastAsia="MS Mincho"/>
              </w:rPr>
            </w:pPr>
            <w:r w:rsidRPr="00872A66">
              <w:rPr>
                <w:rFonts w:eastAsia="MS Mincho"/>
              </w:rPr>
              <w:t>18.1%</w:t>
            </w:r>
          </w:p>
        </w:tc>
      </w:tr>
      <w:tr w:rsidR="00DA244B" w:rsidRPr="00872A66" w:rsidTr="001D06B3">
        <w:tc>
          <w:tcPr>
            <w:tcW w:w="2402" w:type="pct"/>
            <w:shd w:val="clear" w:color="auto" w:fill="auto"/>
          </w:tcPr>
          <w:p w:rsidR="00DA244B" w:rsidRPr="00872A66" w:rsidRDefault="00DA244B" w:rsidP="001D06B3">
            <w:pPr>
              <w:pStyle w:val="C-TableText"/>
              <w:rPr>
                <w:rFonts w:eastAsia="MS Mincho"/>
              </w:rPr>
            </w:pPr>
            <w:r w:rsidRPr="00872A66">
              <w:rPr>
                <w:rFonts w:eastAsia="MS Mincho"/>
              </w:rPr>
              <w:t>Change from baseline in monthly average number of days of acute headache medication</w:t>
            </w:r>
          </w:p>
        </w:tc>
        <w:tc>
          <w:tcPr>
            <w:tcW w:w="1010" w:type="pct"/>
            <w:shd w:val="clear" w:color="auto" w:fill="auto"/>
            <w:vAlign w:val="center"/>
          </w:tcPr>
          <w:p w:rsidR="00DA244B" w:rsidRPr="00872A66" w:rsidRDefault="00DA244B" w:rsidP="001D06B3">
            <w:pPr>
              <w:pStyle w:val="C-TableText"/>
              <w:jc w:val="center"/>
              <w:rPr>
                <w:rFonts w:eastAsia="MS Mincho"/>
              </w:rPr>
            </w:pPr>
            <w:r w:rsidRPr="00872A66">
              <w:rPr>
                <w:rFonts w:eastAsia="MS Mincho"/>
              </w:rPr>
              <w:t>-4.2**</w:t>
            </w:r>
          </w:p>
        </w:tc>
        <w:tc>
          <w:tcPr>
            <w:tcW w:w="1014" w:type="pct"/>
            <w:shd w:val="clear" w:color="auto" w:fill="auto"/>
            <w:vAlign w:val="center"/>
          </w:tcPr>
          <w:p w:rsidR="00DA244B" w:rsidRPr="00872A66" w:rsidRDefault="00DA244B" w:rsidP="001D06B3">
            <w:pPr>
              <w:pStyle w:val="C-TableText"/>
              <w:jc w:val="center"/>
              <w:rPr>
                <w:rFonts w:eastAsia="MS Mincho"/>
              </w:rPr>
            </w:pPr>
            <w:r w:rsidRPr="00872A66">
              <w:rPr>
                <w:rFonts w:eastAsia="MS Mincho"/>
              </w:rPr>
              <w:t>-3.7**</w:t>
            </w:r>
          </w:p>
        </w:tc>
        <w:tc>
          <w:tcPr>
            <w:tcW w:w="574" w:type="pct"/>
            <w:shd w:val="clear" w:color="auto" w:fill="auto"/>
            <w:vAlign w:val="center"/>
          </w:tcPr>
          <w:p w:rsidR="00DA244B" w:rsidRPr="00872A66" w:rsidRDefault="00DA244B" w:rsidP="001D06B3">
            <w:pPr>
              <w:pStyle w:val="C-TableText"/>
              <w:jc w:val="center"/>
              <w:rPr>
                <w:rFonts w:eastAsia="MS Mincho"/>
              </w:rPr>
            </w:pPr>
            <w:r w:rsidRPr="00872A66">
              <w:rPr>
                <w:rFonts w:eastAsia="MS Mincho"/>
              </w:rPr>
              <w:t>-1.9</w:t>
            </w:r>
          </w:p>
        </w:tc>
      </w:tr>
      <w:tr w:rsidR="00DA244B" w:rsidRPr="00872A66" w:rsidTr="001D06B3">
        <w:tc>
          <w:tcPr>
            <w:tcW w:w="2402" w:type="pct"/>
            <w:shd w:val="clear" w:color="auto" w:fill="auto"/>
          </w:tcPr>
          <w:p w:rsidR="00DA244B" w:rsidRPr="00872A66" w:rsidRDefault="00DA244B" w:rsidP="001D06B3">
            <w:pPr>
              <w:pStyle w:val="C-TableText"/>
              <w:rPr>
                <w:rFonts w:eastAsia="MS Mincho"/>
              </w:rPr>
            </w:pPr>
            <w:r w:rsidRPr="00872A66">
              <w:rPr>
                <w:rFonts w:eastAsia="MS Mincho"/>
              </w:rPr>
              <w:t>Change from baseline in the monthly average</w:t>
            </w:r>
            <w:r>
              <w:rPr>
                <w:rFonts w:eastAsia="MS Mincho"/>
              </w:rPr>
              <w:t xml:space="preserve"> number</w:t>
            </w:r>
            <w:r w:rsidRPr="00872A66">
              <w:rPr>
                <w:rFonts w:eastAsia="MS Mincho"/>
              </w:rPr>
              <w:t xml:space="preserve"> of headache days of at least moderate severity in patients without concomitant migraine preventive medication</w:t>
            </w:r>
          </w:p>
        </w:tc>
        <w:tc>
          <w:tcPr>
            <w:tcW w:w="1010" w:type="pct"/>
            <w:shd w:val="clear" w:color="auto" w:fill="auto"/>
            <w:vAlign w:val="center"/>
          </w:tcPr>
          <w:p w:rsidR="00DA244B" w:rsidRPr="00872A66" w:rsidRDefault="00DA244B" w:rsidP="001D06B3">
            <w:pPr>
              <w:pStyle w:val="C-TableText"/>
              <w:jc w:val="center"/>
              <w:rPr>
                <w:rFonts w:eastAsia="MS Mincho"/>
              </w:rPr>
            </w:pPr>
            <w:r w:rsidRPr="00872A66">
              <w:rPr>
                <w:rFonts w:eastAsia="MS Mincho"/>
              </w:rPr>
              <w:t>-4.8**</w:t>
            </w:r>
          </w:p>
        </w:tc>
        <w:tc>
          <w:tcPr>
            <w:tcW w:w="1014" w:type="pct"/>
            <w:shd w:val="clear" w:color="auto" w:fill="auto"/>
            <w:vAlign w:val="center"/>
          </w:tcPr>
          <w:p w:rsidR="00DA244B" w:rsidRPr="00872A66" w:rsidRDefault="00DA244B" w:rsidP="001D06B3">
            <w:pPr>
              <w:pStyle w:val="C-TableText"/>
              <w:jc w:val="center"/>
              <w:rPr>
                <w:rFonts w:eastAsia="MS Mincho"/>
              </w:rPr>
            </w:pPr>
            <w:r w:rsidRPr="00872A66">
              <w:rPr>
                <w:rFonts w:eastAsia="MS Mincho"/>
              </w:rPr>
              <w:t>-4.6**</w:t>
            </w:r>
          </w:p>
        </w:tc>
        <w:tc>
          <w:tcPr>
            <w:tcW w:w="574" w:type="pct"/>
            <w:shd w:val="clear" w:color="auto" w:fill="auto"/>
            <w:vAlign w:val="center"/>
          </w:tcPr>
          <w:p w:rsidR="00DA244B" w:rsidRPr="00872A66" w:rsidRDefault="00DA244B" w:rsidP="001D06B3">
            <w:pPr>
              <w:pStyle w:val="C-TableText"/>
              <w:jc w:val="center"/>
              <w:rPr>
                <w:rFonts w:eastAsia="MS Mincho"/>
              </w:rPr>
            </w:pPr>
            <w:r w:rsidRPr="00872A66">
              <w:rPr>
                <w:rFonts w:eastAsia="MS Mincho"/>
              </w:rPr>
              <w:t>-2.6</w:t>
            </w:r>
          </w:p>
        </w:tc>
      </w:tr>
      <w:tr w:rsidR="00DA244B" w:rsidRPr="00872A66" w:rsidTr="001D06B3">
        <w:tc>
          <w:tcPr>
            <w:tcW w:w="2402" w:type="pct"/>
            <w:shd w:val="clear" w:color="auto" w:fill="auto"/>
          </w:tcPr>
          <w:p w:rsidR="00DA244B" w:rsidRPr="00872A66" w:rsidRDefault="00DA244B" w:rsidP="001D06B3">
            <w:pPr>
              <w:pStyle w:val="C-TableText"/>
              <w:rPr>
                <w:rFonts w:eastAsia="MS Mincho"/>
              </w:rPr>
            </w:pPr>
            <w:r w:rsidRPr="00872A66">
              <w:rPr>
                <w:rFonts w:eastAsia="MS Mincho"/>
              </w:rPr>
              <w:t>Change from baseline in disability scores (6-Item Headache Impact Test)</w:t>
            </w:r>
          </w:p>
        </w:tc>
        <w:tc>
          <w:tcPr>
            <w:tcW w:w="1010" w:type="pct"/>
            <w:shd w:val="clear" w:color="auto" w:fill="auto"/>
            <w:vAlign w:val="center"/>
          </w:tcPr>
          <w:p w:rsidR="00DA244B" w:rsidRPr="00872A66" w:rsidRDefault="00DA244B" w:rsidP="001D06B3">
            <w:pPr>
              <w:pStyle w:val="C-TableText"/>
              <w:jc w:val="center"/>
              <w:rPr>
                <w:rFonts w:eastAsia="MS Mincho"/>
              </w:rPr>
            </w:pPr>
            <w:r w:rsidRPr="00872A66">
              <w:rPr>
                <w:rFonts w:eastAsia="MS Mincho"/>
              </w:rPr>
              <w:t>-6.8**</w:t>
            </w:r>
          </w:p>
        </w:tc>
        <w:tc>
          <w:tcPr>
            <w:tcW w:w="1014" w:type="pct"/>
            <w:shd w:val="clear" w:color="auto" w:fill="auto"/>
            <w:vAlign w:val="center"/>
          </w:tcPr>
          <w:p w:rsidR="00DA244B" w:rsidRPr="00872A66" w:rsidRDefault="00DA244B" w:rsidP="001D06B3">
            <w:pPr>
              <w:pStyle w:val="C-TableText"/>
              <w:jc w:val="center"/>
              <w:rPr>
                <w:rFonts w:eastAsia="MS Mincho"/>
              </w:rPr>
            </w:pPr>
            <w:r w:rsidRPr="00872A66">
              <w:rPr>
                <w:rFonts w:eastAsia="MS Mincho"/>
              </w:rPr>
              <w:t>-6.4*</w:t>
            </w:r>
          </w:p>
        </w:tc>
        <w:tc>
          <w:tcPr>
            <w:tcW w:w="574" w:type="pct"/>
            <w:shd w:val="clear" w:color="auto" w:fill="auto"/>
            <w:vAlign w:val="center"/>
          </w:tcPr>
          <w:p w:rsidR="00DA244B" w:rsidRPr="00872A66" w:rsidRDefault="00DA244B" w:rsidP="001D06B3">
            <w:pPr>
              <w:pStyle w:val="C-TableText"/>
              <w:jc w:val="center"/>
              <w:rPr>
                <w:rFonts w:eastAsia="MS Mincho"/>
              </w:rPr>
            </w:pPr>
            <w:r w:rsidRPr="00872A66">
              <w:rPr>
                <w:rFonts w:eastAsia="MS Mincho"/>
              </w:rPr>
              <w:t>-4.5</w:t>
            </w:r>
          </w:p>
        </w:tc>
      </w:tr>
    </w:tbl>
    <w:p w:rsidR="00B70608" w:rsidRDefault="00B70608" w:rsidP="00B70608">
      <w:pPr>
        <w:pStyle w:val="C-Footnote"/>
      </w:pPr>
      <w:r>
        <w:t xml:space="preserve">* Significantly </w:t>
      </w:r>
      <w:r w:rsidRPr="00667123">
        <w:t>different from placebo (p=0.0001)</w:t>
      </w:r>
    </w:p>
    <w:p w:rsidR="00B70608" w:rsidRPr="00DA244B" w:rsidRDefault="00B70608" w:rsidP="00B70608">
      <w:pPr>
        <w:pStyle w:val="C-Footnote"/>
      </w:pPr>
      <w:r>
        <w:t xml:space="preserve">** Significantly </w:t>
      </w:r>
      <w:r w:rsidRPr="00667123">
        <w:t>different from placebo (p&lt;0.0001)</w:t>
      </w:r>
    </w:p>
    <w:p w:rsidR="00221DDD" w:rsidRDefault="00B70608" w:rsidP="00935E32">
      <w:pPr>
        <w:pStyle w:val="C-Footnote"/>
      </w:pPr>
      <w:r>
        <w:t>*** Primary efficacy endpoint</w:t>
      </w:r>
    </w:p>
    <w:p w:rsidR="005E34D8" w:rsidRPr="00143C34" w:rsidRDefault="005E34D8" w:rsidP="001A3A27">
      <w:pPr>
        <w:spacing w:before="120" w:after="120"/>
        <w:rPr>
          <w:rFonts w:asciiTheme="minorHAnsi" w:hAnsiTheme="minorHAnsi" w:cstheme="minorHAnsi"/>
        </w:rPr>
      </w:pPr>
      <w:r w:rsidRPr="00143C34">
        <w:rPr>
          <w:rFonts w:asciiTheme="minorHAnsi" w:hAnsiTheme="minorHAnsi" w:cstheme="minorHAnsi"/>
        </w:rPr>
        <w:t xml:space="preserve">On average in a given month, more than 61% of chronic migraine patients treated with AJOVY achieved at least a 25% reduction in  monthly headache days of at least moderate severity (compared to 46% of placebo), while more than 20% of patients achieved at least a 75% reduction in monthly headache days of at least moderate severity (compared to 10% of placebo), and more than 7% of patients achieved a 100% reduction in monthly headache days of at least moderate severity (compared to 4% of placebo). </w:t>
      </w:r>
    </w:p>
    <w:p w:rsidR="00074D53" w:rsidRPr="00874971" w:rsidRDefault="00074D53" w:rsidP="00AA34E6">
      <w:pPr>
        <w:autoSpaceDE w:val="0"/>
        <w:autoSpaceDN w:val="0"/>
        <w:adjustRightInd w:val="0"/>
        <w:spacing w:line="240" w:lineRule="auto"/>
        <w:jc w:val="both"/>
        <w:rPr>
          <w:rFonts w:asciiTheme="minorHAnsi" w:hAnsiTheme="minorHAnsi" w:cstheme="minorHAnsi"/>
          <w:i/>
          <w:lang w:eastAsia="en-PH"/>
        </w:rPr>
      </w:pPr>
      <w:r w:rsidRPr="00874971">
        <w:rPr>
          <w:rFonts w:asciiTheme="minorHAnsi" w:hAnsiTheme="minorHAnsi" w:cstheme="minorHAnsi"/>
          <w:i/>
          <w:lang w:eastAsia="en-PH"/>
        </w:rPr>
        <w:t>Long-term open label study (study 3)</w:t>
      </w:r>
    </w:p>
    <w:p w:rsidR="00FB0F7A" w:rsidRPr="00143C34" w:rsidRDefault="00FB0F7A" w:rsidP="00AA34E6">
      <w:pPr>
        <w:autoSpaceDE w:val="0"/>
        <w:autoSpaceDN w:val="0"/>
        <w:adjustRightInd w:val="0"/>
        <w:spacing w:line="240" w:lineRule="auto"/>
        <w:jc w:val="both"/>
        <w:rPr>
          <w:rFonts w:asciiTheme="minorHAnsi" w:hAnsiTheme="minorHAnsi" w:cstheme="minorHAnsi"/>
          <w:lang w:eastAsia="en-PH"/>
        </w:rPr>
      </w:pPr>
      <w:r w:rsidRPr="00FB0F7A">
        <w:rPr>
          <w:rFonts w:asciiTheme="minorHAnsi" w:hAnsiTheme="minorHAnsi" w:cstheme="minorHAnsi"/>
          <w:lang w:eastAsia="en-PH"/>
        </w:rPr>
        <w:t>For all episodic and chronic migraine patients, efficacy was sustained for up to 12 additional months in the long-term open label study (Study 3), in which patients received 225 mg fremanezumab monthly or 675 mg quarterly. 79% of patients completed the 12-month treatment period of Study 3. Pooled across the two dosing regimens, a reduction of 6.6 monthly migraine days was observed after 15 months relative to Study 1 and Study 2 baseline. 61% of patients completing Study 3 achieved a 50% response in the last month of the study. No safety signal was observed during the 15-month combined treatment period.</w:t>
      </w:r>
    </w:p>
    <w:p w:rsidR="00385A17" w:rsidRPr="00143C34" w:rsidRDefault="00F07D34" w:rsidP="001A3A27">
      <w:pPr>
        <w:autoSpaceDE w:val="0"/>
        <w:autoSpaceDN w:val="0"/>
        <w:adjustRightInd w:val="0"/>
        <w:spacing w:before="180" w:line="240" w:lineRule="auto"/>
        <w:rPr>
          <w:rFonts w:asciiTheme="minorHAnsi" w:hAnsiTheme="minorHAnsi" w:cstheme="minorHAnsi"/>
          <w:i/>
          <w:iCs/>
          <w:u w:val="single"/>
          <w:lang w:val="en-US"/>
        </w:rPr>
      </w:pPr>
      <w:r w:rsidRPr="00143C34">
        <w:rPr>
          <w:rFonts w:asciiTheme="minorHAnsi" w:hAnsiTheme="minorHAnsi" w:cstheme="minorHAnsi"/>
          <w:i/>
          <w:iCs/>
          <w:u w:val="single"/>
          <w:lang w:val="en-US"/>
        </w:rPr>
        <w:t>Intrinsic and extrinsic factors</w:t>
      </w:r>
    </w:p>
    <w:p w:rsidR="00133FF6" w:rsidRPr="00143C34" w:rsidRDefault="00133FF6" w:rsidP="002E40F0">
      <w:pPr>
        <w:pStyle w:val="StyleBodyCalibriLinespacingsingle"/>
        <w:rPr>
          <w:lang w:val="en-US"/>
        </w:rPr>
      </w:pPr>
      <w:r w:rsidRPr="00143C34">
        <w:rPr>
          <w:szCs w:val="22"/>
        </w:rPr>
        <w:t>The efficacy and safety of AJOVY was demonstrated regardless of age, gender, race</w:t>
      </w:r>
      <w:r w:rsidR="00125D3C" w:rsidRPr="00143C34">
        <w:rPr>
          <w:szCs w:val="22"/>
        </w:rPr>
        <w:t xml:space="preserve">, </w:t>
      </w:r>
      <w:r w:rsidR="00125D3C" w:rsidRPr="00143C34">
        <w:t>use of concomitant preventive medications, use of topiramate for migraine in the past, and use of onabotulinumtoxin A for migraine in the past.</w:t>
      </w:r>
    </w:p>
    <w:p w:rsidR="00812D16" w:rsidRPr="008A1008" w:rsidRDefault="00812D16" w:rsidP="002E40F0">
      <w:pPr>
        <w:pStyle w:val="StyleHeading2LatinCambria12ptAutoSmallcaps"/>
        <w:rPr>
          <w:noProof/>
        </w:rPr>
      </w:pPr>
      <w:r w:rsidRPr="005574FF">
        <w:rPr>
          <w:rFonts w:eastAsia="Calibri"/>
          <w:lang w:val="en-US"/>
        </w:rPr>
        <w:lastRenderedPageBreak/>
        <w:t>5.2</w:t>
      </w:r>
      <w:r w:rsidRPr="005574FF">
        <w:rPr>
          <w:rFonts w:eastAsia="Calibri"/>
          <w:lang w:val="en-US"/>
        </w:rPr>
        <w:tab/>
      </w:r>
      <w:r w:rsidR="00771E60" w:rsidRPr="005574FF">
        <w:rPr>
          <w:rFonts w:eastAsia="Calibri"/>
          <w:lang w:val="en-US"/>
        </w:rPr>
        <w:t xml:space="preserve"> PHARMACOKINETIC PROPERTIES</w:t>
      </w:r>
    </w:p>
    <w:p w:rsidR="00812D16" w:rsidRPr="001A3A27" w:rsidRDefault="00C669D6" w:rsidP="001A3A27">
      <w:pPr>
        <w:pStyle w:val="StyleHeading3LatinCambriaAuto"/>
        <w:rPr>
          <w:color w:val="000000" w:themeColor="text1"/>
          <w:lang w:val="en-AU"/>
        </w:rPr>
      </w:pPr>
      <w:r w:rsidRPr="005574FF">
        <w:rPr>
          <w:rFonts w:eastAsia="Times New Roman"/>
          <w:lang w:val="en-AU"/>
        </w:rPr>
        <w:t>Absorption</w:t>
      </w:r>
    </w:p>
    <w:p w:rsidR="00C669D6" w:rsidRPr="00143C34" w:rsidRDefault="00183F45" w:rsidP="00FF7B1B">
      <w:pPr>
        <w:autoSpaceDE w:val="0"/>
        <w:autoSpaceDN w:val="0"/>
        <w:adjustRightInd w:val="0"/>
        <w:spacing w:line="240" w:lineRule="auto"/>
        <w:rPr>
          <w:rFonts w:asciiTheme="minorHAnsi" w:hAnsiTheme="minorHAnsi" w:cstheme="minorHAnsi"/>
          <w:szCs w:val="22"/>
        </w:rPr>
      </w:pPr>
      <w:r w:rsidRPr="00143C34">
        <w:rPr>
          <w:rFonts w:asciiTheme="minorHAnsi" w:hAnsiTheme="minorHAnsi" w:cstheme="minorHAnsi"/>
        </w:rPr>
        <w:t>After single subcutaneous administrations of 225 mg, 675 mg, and 900 mg fremanezumab, median time to maximum concentrations (t</w:t>
      </w:r>
      <w:r w:rsidRPr="00143C34">
        <w:rPr>
          <w:rFonts w:asciiTheme="minorHAnsi" w:hAnsiTheme="minorHAnsi" w:cstheme="minorHAnsi"/>
          <w:vertAlign w:val="subscript"/>
        </w:rPr>
        <w:t>max</w:t>
      </w:r>
      <w:r w:rsidRPr="00143C34">
        <w:rPr>
          <w:rFonts w:asciiTheme="minorHAnsi" w:hAnsiTheme="minorHAnsi" w:cstheme="minorHAnsi"/>
        </w:rPr>
        <w:t>) was 5 to 7 days.</w:t>
      </w:r>
      <w:r w:rsidR="0008661B">
        <w:rPr>
          <w:rFonts w:asciiTheme="minorHAnsi" w:hAnsiTheme="minorHAnsi" w:cstheme="minorHAnsi"/>
        </w:rPr>
        <w:t xml:space="preserve"> The absolute bioavailability of fremanezumab after subcutaneous administration was about 55% as determined by subcutaneous vs. intravenous administrations of 225 mg and 900 mg</w:t>
      </w:r>
      <w:r w:rsidRPr="00143C34">
        <w:rPr>
          <w:rFonts w:asciiTheme="minorHAnsi" w:hAnsiTheme="minorHAnsi" w:cstheme="minorHAnsi"/>
        </w:rPr>
        <w:t>. Dose proportionality, based on population pharmacokinetics, was observed between 225 mg to 900 mg. Steady state was achieved by approximately 168 days (about 6 months)</w:t>
      </w:r>
      <w:r w:rsidRPr="00143C34" w:rsidDel="005B239B">
        <w:rPr>
          <w:rFonts w:asciiTheme="minorHAnsi" w:hAnsiTheme="minorHAnsi" w:cstheme="minorHAnsi"/>
        </w:rPr>
        <w:t xml:space="preserve"> </w:t>
      </w:r>
      <w:r w:rsidRPr="00143C34">
        <w:rPr>
          <w:rFonts w:asciiTheme="minorHAnsi" w:hAnsiTheme="minorHAnsi" w:cstheme="minorHAnsi"/>
        </w:rPr>
        <w:t>following 225 mg subcutaneous monthly and 675 mg subcutaneous quarterly dose regimens. Median ac</w:t>
      </w:r>
      <w:r w:rsidR="00FB394D" w:rsidRPr="00143C34">
        <w:rPr>
          <w:rFonts w:asciiTheme="minorHAnsi" w:hAnsiTheme="minorHAnsi" w:cstheme="minorHAnsi"/>
        </w:rPr>
        <w:t xml:space="preserve">cumulation ratio, based on once monthly and once </w:t>
      </w:r>
      <w:r w:rsidRPr="00143C34">
        <w:rPr>
          <w:rFonts w:asciiTheme="minorHAnsi" w:hAnsiTheme="minorHAnsi" w:cstheme="minorHAnsi"/>
        </w:rPr>
        <w:t>quarterly dosing regimens, is approximately 2.3 and 1.2, respectively.</w:t>
      </w:r>
    </w:p>
    <w:p w:rsidR="00812D16" w:rsidRPr="001A3A27" w:rsidRDefault="00C669D6" w:rsidP="001A3A27">
      <w:pPr>
        <w:pStyle w:val="StyleHeading3LatinCambriaAuto"/>
        <w:rPr>
          <w:color w:val="000000" w:themeColor="text1"/>
          <w:lang w:val="en-AU"/>
        </w:rPr>
      </w:pPr>
      <w:r w:rsidRPr="005574FF">
        <w:rPr>
          <w:rFonts w:eastAsia="Times New Roman"/>
          <w:lang w:val="en-AU"/>
        </w:rPr>
        <w:t>Distribution</w:t>
      </w:r>
    </w:p>
    <w:p w:rsidR="00C669D6" w:rsidRPr="00143C34" w:rsidRDefault="00183F45" w:rsidP="002E40F0">
      <w:pPr>
        <w:pStyle w:val="StyleBodyCalibriLinespacingsingle"/>
        <w:rPr>
          <w:szCs w:val="22"/>
        </w:rPr>
      </w:pPr>
      <w:r w:rsidRPr="00143C34">
        <w:t>Fremanezumab has a</w:t>
      </w:r>
      <w:r w:rsidR="007135A0">
        <w:t>n apparent</w:t>
      </w:r>
      <w:r w:rsidRPr="00143C34">
        <w:t xml:space="preserve"> volume of distribution of approximately 6 lit</w:t>
      </w:r>
      <w:r w:rsidR="009169CF">
        <w:t>re</w:t>
      </w:r>
      <w:r w:rsidRPr="00143C34">
        <w:t xml:space="preserve">s (for a patient at </w:t>
      </w:r>
      <w:r w:rsidR="00C946BB" w:rsidRPr="00143C34">
        <w:t>a</w:t>
      </w:r>
      <w:r w:rsidR="00A908CA" w:rsidRPr="00143C34">
        <w:t xml:space="preserve"> </w:t>
      </w:r>
      <w:r w:rsidR="00FB394D" w:rsidRPr="00143C34">
        <w:t>weight of 71 </w:t>
      </w:r>
      <w:r w:rsidRPr="00143C34">
        <w:t>kg), suggesting minimal distribution to the extravascular tissues.</w:t>
      </w:r>
    </w:p>
    <w:p w:rsidR="00CA69A6" w:rsidRPr="005574FF" w:rsidRDefault="00086DA4" w:rsidP="001A3A27">
      <w:pPr>
        <w:pStyle w:val="StyleHeading3LatinCambriaAuto"/>
        <w:rPr>
          <w:lang w:val="en-AU"/>
        </w:rPr>
      </w:pPr>
      <w:r w:rsidRPr="005574FF">
        <w:rPr>
          <w:rFonts w:eastAsia="Times New Roman"/>
          <w:lang w:val="en-AU"/>
        </w:rPr>
        <w:t>Metabolism</w:t>
      </w:r>
    </w:p>
    <w:p w:rsidR="00C669D6" w:rsidRPr="00143C34" w:rsidRDefault="00183F45" w:rsidP="002E40F0">
      <w:pPr>
        <w:pStyle w:val="StyleBodyCalibriLinespacingsingle"/>
      </w:pPr>
      <w:r w:rsidRPr="00143C34">
        <w:t xml:space="preserve">Similar to other monoclonal antibodies, fremanezumab is </w:t>
      </w:r>
      <w:r w:rsidR="005F3CE4" w:rsidRPr="00143C34">
        <w:t xml:space="preserve">expected to be </w:t>
      </w:r>
      <w:r w:rsidRPr="00143C34">
        <w:t>degraded by enzymatic proteolysis into small peptides and amino acids</w:t>
      </w:r>
      <w:r w:rsidR="00574BD8" w:rsidRPr="00143C34">
        <w:t xml:space="preserve"> (see</w:t>
      </w:r>
      <w:r w:rsidR="00086DA4" w:rsidRPr="00143C34">
        <w:t xml:space="preserve"> S</w:t>
      </w:r>
      <w:r w:rsidR="00574BD8" w:rsidRPr="00143C34">
        <w:t>ection 4.5</w:t>
      </w:r>
      <w:r w:rsidR="005A1E21" w:rsidRPr="00143C34">
        <w:t xml:space="preserve"> INTERACTIONS WITH OTHER MEDICINES AND OTHER FORMS OF INTERACTIONS</w:t>
      </w:r>
      <w:r w:rsidR="00574BD8" w:rsidRPr="00143C34">
        <w:t>)</w:t>
      </w:r>
      <w:r w:rsidR="005F3CE4" w:rsidRPr="00143C34">
        <w:t>.</w:t>
      </w:r>
    </w:p>
    <w:p w:rsidR="00812D16" w:rsidRPr="005574FF" w:rsidRDefault="00C669D6" w:rsidP="001A3A27">
      <w:pPr>
        <w:pStyle w:val="StyleHeading3LatinCambriaAuto"/>
        <w:rPr>
          <w:lang w:val="en-AU"/>
        </w:rPr>
      </w:pPr>
      <w:r w:rsidRPr="005574FF">
        <w:rPr>
          <w:rFonts w:eastAsia="Times New Roman"/>
          <w:lang w:val="en-AU"/>
        </w:rPr>
        <w:t>Elimination</w:t>
      </w:r>
    </w:p>
    <w:p w:rsidR="00A67B9B" w:rsidRPr="00A67B9B" w:rsidRDefault="005F3CE4" w:rsidP="002E40F0">
      <w:pPr>
        <w:pStyle w:val="StyleBodyCalibriLinespacingsingle"/>
      </w:pPr>
      <w:r w:rsidRPr="00143C34">
        <w:t xml:space="preserve">As fremanezumab binds to a soluble target, it is not expected to </w:t>
      </w:r>
      <w:r w:rsidR="00FF7B1B" w:rsidRPr="00143C34">
        <w:t xml:space="preserve">be eliminated </w:t>
      </w:r>
      <w:r w:rsidRPr="00143C34">
        <w:t>through a target-mediated clearance. Fremanezumab</w:t>
      </w:r>
      <w:r w:rsidR="007135A0">
        <w:t xml:space="preserve"> has an apparent</w:t>
      </w:r>
      <w:r w:rsidRPr="00143C34">
        <w:t xml:space="preserve"> clearance </w:t>
      </w:r>
      <w:r w:rsidR="007135A0">
        <w:t>of</w:t>
      </w:r>
      <w:r w:rsidRPr="00143C34">
        <w:t xml:space="preserve"> approximately 0.141 L/day (for a patient at </w:t>
      </w:r>
      <w:r w:rsidR="00117966" w:rsidRPr="00143C34">
        <w:t>a</w:t>
      </w:r>
      <w:r w:rsidR="00FB394D" w:rsidRPr="00143C34">
        <w:t xml:space="preserve"> </w:t>
      </w:r>
      <w:r w:rsidRPr="00143C34">
        <w:t>weight of 71 kg). Fremanezumab has an estimated half-life of 31 days.</w:t>
      </w:r>
    </w:p>
    <w:p w:rsidR="00C669D6" w:rsidRPr="00FD2FBF" w:rsidRDefault="00301B0E" w:rsidP="00204AAB">
      <w:pPr>
        <w:spacing w:line="240" w:lineRule="auto"/>
        <w:rPr>
          <w:rFonts w:asciiTheme="minorHAnsi" w:hAnsiTheme="minorHAnsi" w:cstheme="minorHAnsi"/>
          <w:b/>
          <w:iCs/>
          <w:noProof/>
          <w:szCs w:val="22"/>
          <w:u w:val="single"/>
        </w:rPr>
      </w:pPr>
      <w:r w:rsidRPr="00FD2FBF">
        <w:rPr>
          <w:rFonts w:asciiTheme="minorHAnsi" w:hAnsiTheme="minorHAnsi" w:cstheme="minorHAnsi"/>
          <w:b/>
          <w:iCs/>
          <w:noProof/>
          <w:szCs w:val="22"/>
          <w:u w:val="single"/>
        </w:rPr>
        <w:t>Special populations</w:t>
      </w:r>
    </w:p>
    <w:p w:rsidR="00086DA4" w:rsidRPr="00143C34" w:rsidRDefault="007739DF" w:rsidP="002E40F0">
      <w:pPr>
        <w:pStyle w:val="StyleBodyCalibriLinespacingsingle"/>
        <w:rPr>
          <w:noProof/>
        </w:rPr>
      </w:pPr>
      <w:r w:rsidRPr="00143C34">
        <w:rPr>
          <w:noProof/>
        </w:rPr>
        <w:t>A population pharmacokinetic analysis looking at age, race, gender, and weight was conducted on data from 2,287 subjects. No dose adjustments are re</w:t>
      </w:r>
      <w:r w:rsidR="00FB394D" w:rsidRPr="00143C34">
        <w:rPr>
          <w:noProof/>
        </w:rPr>
        <w:t>quired</w:t>
      </w:r>
      <w:r w:rsidRPr="00143C34">
        <w:rPr>
          <w:noProof/>
        </w:rPr>
        <w:t xml:space="preserve"> for AJOVY.</w:t>
      </w:r>
    </w:p>
    <w:p w:rsidR="00301B0E" w:rsidRPr="00143C34" w:rsidRDefault="001D645B" w:rsidP="00301B0E">
      <w:pPr>
        <w:autoSpaceDE w:val="0"/>
        <w:autoSpaceDN w:val="0"/>
        <w:adjustRightInd w:val="0"/>
        <w:spacing w:line="240" w:lineRule="auto"/>
        <w:rPr>
          <w:rFonts w:asciiTheme="minorHAnsi" w:hAnsiTheme="minorHAnsi" w:cstheme="minorHAnsi"/>
          <w:bCs/>
          <w:i/>
          <w:szCs w:val="22"/>
        </w:rPr>
      </w:pPr>
      <w:r w:rsidRPr="00143C34">
        <w:rPr>
          <w:rFonts w:asciiTheme="minorHAnsi" w:hAnsiTheme="minorHAnsi" w:cstheme="minorHAnsi"/>
          <w:bCs/>
          <w:i/>
          <w:szCs w:val="22"/>
        </w:rPr>
        <w:t>Renal or hepatic impairment</w:t>
      </w:r>
    </w:p>
    <w:p w:rsidR="001D645B" w:rsidRPr="00143C34" w:rsidRDefault="007739DF" w:rsidP="002E40F0">
      <w:pPr>
        <w:pStyle w:val="StyleBodyCalibriLinespacingsingle"/>
        <w:rPr>
          <w:iCs/>
          <w:szCs w:val="22"/>
        </w:rPr>
      </w:pPr>
      <w:r w:rsidRPr="00143C34">
        <w:t xml:space="preserve">Since monoclonal antibodies are not known to be eliminated via renal pathways </w:t>
      </w:r>
      <w:r w:rsidR="00F533B4" w:rsidRPr="00143C34">
        <w:t xml:space="preserve">or </w:t>
      </w:r>
      <w:r w:rsidRPr="00143C34">
        <w:t xml:space="preserve">metabolised in the liver, renal and hepatic impairment are not expected to impact the pharmacokinetics of fremanezumab. No clinical studies were conducted to assess the effect of renal </w:t>
      </w:r>
      <w:r w:rsidR="00F533B4" w:rsidRPr="00143C34">
        <w:t xml:space="preserve">or </w:t>
      </w:r>
      <w:r w:rsidRPr="00143C34">
        <w:t>hepatic impairment on the pharmacokinetics of fremanezumab.</w:t>
      </w:r>
    </w:p>
    <w:p w:rsidR="00812D16" w:rsidRPr="001F6423" w:rsidRDefault="00812D16" w:rsidP="002E40F0">
      <w:pPr>
        <w:pStyle w:val="StyleHeading2LatinCambria12ptAutoSmallcaps"/>
        <w:rPr>
          <w:noProof/>
        </w:rPr>
      </w:pPr>
      <w:r w:rsidRPr="005574FF">
        <w:rPr>
          <w:rFonts w:eastAsia="Calibri"/>
          <w:lang w:val="en-US"/>
        </w:rPr>
        <w:t>5.3</w:t>
      </w:r>
      <w:r w:rsidRPr="005574FF">
        <w:rPr>
          <w:rFonts w:eastAsia="Calibri"/>
          <w:lang w:val="en-US"/>
        </w:rPr>
        <w:tab/>
      </w:r>
      <w:r w:rsidR="00771E60" w:rsidRPr="005574FF">
        <w:rPr>
          <w:rFonts w:eastAsia="Calibri"/>
          <w:lang w:val="en-US"/>
        </w:rPr>
        <w:t>PRECLINICAL SAFETY DATA</w:t>
      </w:r>
    </w:p>
    <w:p w:rsidR="000B5162" w:rsidRPr="00143C34" w:rsidRDefault="00812D16" w:rsidP="002E40F0">
      <w:pPr>
        <w:pStyle w:val="StyleBodyCalibriLinespacingsingle"/>
        <w:rPr>
          <w:noProof/>
        </w:rPr>
      </w:pPr>
      <w:r w:rsidRPr="00143C34">
        <w:rPr>
          <w:noProof/>
        </w:rPr>
        <w:t>Non-clinical data reveal no special hazard for humans based on conventional studies of safety pharmacology, repe</w:t>
      </w:r>
      <w:r w:rsidR="000B5162" w:rsidRPr="00143C34">
        <w:rPr>
          <w:noProof/>
        </w:rPr>
        <w:t>ated dose toxicity</w:t>
      </w:r>
      <w:r w:rsidR="00512B45" w:rsidRPr="00143C34">
        <w:rPr>
          <w:noProof/>
        </w:rPr>
        <w:t xml:space="preserve"> or</w:t>
      </w:r>
      <w:r w:rsidRPr="00143C34">
        <w:rPr>
          <w:noProof/>
        </w:rPr>
        <w:t xml:space="preserve"> toxicity t</w:t>
      </w:r>
      <w:r w:rsidR="000B5162" w:rsidRPr="00143C34">
        <w:rPr>
          <w:noProof/>
        </w:rPr>
        <w:t>o reproduction and development</w:t>
      </w:r>
      <w:r w:rsidR="00512B45" w:rsidRPr="00143C34">
        <w:rPr>
          <w:noProof/>
        </w:rPr>
        <w:t xml:space="preserve"> in studies conducted in rats and monkeys</w:t>
      </w:r>
      <w:r w:rsidR="000B5162" w:rsidRPr="00143C34">
        <w:rPr>
          <w:noProof/>
        </w:rPr>
        <w:t>.</w:t>
      </w:r>
    </w:p>
    <w:p w:rsidR="00512B45" w:rsidRPr="00143C34" w:rsidRDefault="00512B45" w:rsidP="002E40F0">
      <w:pPr>
        <w:pStyle w:val="StyleBodyCalibriLinespacingsingle"/>
        <w:rPr>
          <w:noProof/>
        </w:rPr>
      </w:pPr>
      <w:r w:rsidRPr="00143C34">
        <w:rPr>
          <w:noProof/>
        </w:rPr>
        <w:t>Intravenous and subcutaneous repeated administrations to rats (up to 3 months) and monkeys (up to 6 months) did not induce toxic effect and no target organs were identified (including injection sites). In the pivotal 6-month chronic toxicity study in monkeys at the NOAEL</w:t>
      </w:r>
      <w:r w:rsidR="00CA69A6" w:rsidRPr="00143C34">
        <w:rPr>
          <w:noProof/>
        </w:rPr>
        <w:t xml:space="preserve"> (No Observed Adverse Effects Level)</w:t>
      </w:r>
      <w:r w:rsidRPr="00143C34">
        <w:rPr>
          <w:noProof/>
        </w:rPr>
        <w:t xml:space="preserve"> dose of 300 mg/kg/week (at</w:t>
      </w:r>
      <w:r w:rsidR="00CA69A6" w:rsidRPr="00143C34">
        <w:rPr>
          <w:noProof/>
        </w:rPr>
        <w:t xml:space="preserve"> </w:t>
      </w:r>
      <w:r w:rsidRPr="00143C34">
        <w:rPr>
          <w:noProof/>
        </w:rPr>
        <w:t>least 158 times the exposure achieved at MRHD</w:t>
      </w:r>
      <w:r w:rsidR="00CA69A6" w:rsidRPr="00143C34">
        <w:rPr>
          <w:noProof/>
        </w:rPr>
        <w:t xml:space="preserve"> (Maximum Recorded Human Dose)</w:t>
      </w:r>
      <w:r w:rsidRPr="00143C34">
        <w:rPr>
          <w:noProof/>
        </w:rPr>
        <w:t xml:space="preserve"> on an AUC</w:t>
      </w:r>
      <w:r w:rsidR="00CA69A6" w:rsidRPr="00143C34">
        <w:rPr>
          <w:noProof/>
        </w:rPr>
        <w:t xml:space="preserve"> (Area Under the Curve)</w:t>
      </w:r>
      <w:r w:rsidRPr="00143C34">
        <w:rPr>
          <w:noProof/>
        </w:rPr>
        <w:t xml:space="preserve"> basis)</w:t>
      </w:r>
      <w:r w:rsidR="00CA69A6" w:rsidRPr="00143C34">
        <w:rPr>
          <w:noProof/>
        </w:rPr>
        <w:t>)</w:t>
      </w:r>
      <w:r w:rsidRPr="00143C34">
        <w:rPr>
          <w:noProof/>
        </w:rPr>
        <w:t xml:space="preserve"> subcutaneous weekly dosing was</w:t>
      </w:r>
      <w:r w:rsidR="00C265E3">
        <w:rPr>
          <w:noProof/>
        </w:rPr>
        <w:t xml:space="preserve"> </w:t>
      </w:r>
      <w:r w:rsidRPr="00143C34">
        <w:rPr>
          <w:noProof/>
        </w:rPr>
        <w:t>well tolerated.</w:t>
      </w:r>
    </w:p>
    <w:p w:rsidR="00512B45" w:rsidRPr="00143C34" w:rsidRDefault="00512B45" w:rsidP="002E40F0">
      <w:pPr>
        <w:pStyle w:val="StyleBodyCalibriLinespacingsingle"/>
        <w:rPr>
          <w:noProof/>
        </w:rPr>
      </w:pPr>
      <w:r w:rsidRPr="00143C34">
        <w:rPr>
          <w:noProof/>
        </w:rPr>
        <w:t>Safety pharmacology studies to assess cardiovascular (CV) effects in cynomolgus monkeys</w:t>
      </w:r>
      <w:r w:rsidR="001A3A27">
        <w:rPr>
          <w:noProof/>
        </w:rPr>
        <w:t xml:space="preserve"> </w:t>
      </w:r>
      <w:r w:rsidRPr="00143C34">
        <w:rPr>
          <w:noProof/>
        </w:rPr>
        <w:t>demonstrated no CV effects following single and repeated administrations. No effect on CNS</w:t>
      </w:r>
    </w:p>
    <w:p w:rsidR="00512B45" w:rsidRPr="00143C34" w:rsidRDefault="00512B45" w:rsidP="002E40F0">
      <w:pPr>
        <w:pStyle w:val="StyleBodyCalibriLinespacingsingle"/>
        <w:rPr>
          <w:noProof/>
        </w:rPr>
      </w:pPr>
      <w:r w:rsidRPr="00143C34">
        <w:rPr>
          <w:noProof/>
        </w:rPr>
        <w:lastRenderedPageBreak/>
        <w:t>and respiratory function was noted following a single administration to SD</w:t>
      </w:r>
      <w:r w:rsidR="00212DF6" w:rsidRPr="00143C34">
        <w:rPr>
          <w:noProof/>
        </w:rPr>
        <w:t xml:space="preserve"> (Sprague Dawley) </w:t>
      </w:r>
      <w:r w:rsidRPr="00143C34">
        <w:rPr>
          <w:noProof/>
        </w:rPr>
        <w:t>rats</w:t>
      </w:r>
    </w:p>
    <w:p w:rsidR="00512B45" w:rsidRPr="00FD2FBF" w:rsidRDefault="00512B45" w:rsidP="002E40F0">
      <w:pPr>
        <w:pStyle w:val="StyleHeading3LatinCambriaAutoBefore0ptAfter6p"/>
        <w:rPr>
          <w:lang w:val="en-AU"/>
        </w:rPr>
      </w:pPr>
      <w:r w:rsidRPr="00FD2FBF">
        <w:rPr>
          <w:lang w:val="en-AU"/>
        </w:rPr>
        <w:t>Genotoxicity</w:t>
      </w:r>
    </w:p>
    <w:p w:rsidR="00512B45" w:rsidRPr="00143C34" w:rsidRDefault="000B5162" w:rsidP="002E40F0">
      <w:pPr>
        <w:pStyle w:val="StyleBodyCalibriLinespacingsingle"/>
        <w:rPr>
          <w:noProof/>
        </w:rPr>
      </w:pPr>
      <w:r w:rsidRPr="00143C34">
        <w:rPr>
          <w:noProof/>
        </w:rPr>
        <w:t>As fremanezumab is a monoclonal antibody, no genotoxicity studies have been conducted.</w:t>
      </w:r>
    </w:p>
    <w:p w:rsidR="00512B45" w:rsidRPr="00FD2FBF" w:rsidRDefault="00512B45" w:rsidP="002E40F0">
      <w:pPr>
        <w:pStyle w:val="StyleHeading3LatinCambriaAutoBefore0ptAfter6p"/>
        <w:rPr>
          <w:lang w:val="en-AU"/>
        </w:rPr>
      </w:pPr>
      <w:r w:rsidRPr="00FD2FBF">
        <w:rPr>
          <w:lang w:val="en-AU"/>
        </w:rPr>
        <w:t>Carcinogenicity</w:t>
      </w:r>
    </w:p>
    <w:p w:rsidR="00812D16" w:rsidRPr="00143C34" w:rsidRDefault="00512B45" w:rsidP="002E40F0">
      <w:pPr>
        <w:pStyle w:val="StyleBodyCalibriLinespacingsingle"/>
        <w:rPr>
          <w:noProof/>
        </w:rPr>
      </w:pPr>
      <w:r w:rsidRPr="00143C34">
        <w:rPr>
          <w:noProof/>
        </w:rPr>
        <w:t xml:space="preserve">As fremanezumab is a monoclonal antibody </w:t>
      </w:r>
      <w:r w:rsidR="00B0215A" w:rsidRPr="00143C34">
        <w:rPr>
          <w:noProof/>
        </w:rPr>
        <w:t>no</w:t>
      </w:r>
      <w:r w:rsidRPr="00143C34">
        <w:rPr>
          <w:noProof/>
        </w:rPr>
        <w:t xml:space="preserve"> carcinogenicity studies have been conducted.</w:t>
      </w:r>
    </w:p>
    <w:p w:rsidR="00812D16" w:rsidRPr="006B4557" w:rsidRDefault="00812D16" w:rsidP="002E40F0">
      <w:pPr>
        <w:pStyle w:val="StyleHeading1LatinCambriaAutoAllcaps"/>
        <w:rPr>
          <w:noProof/>
        </w:rPr>
      </w:pPr>
      <w:r w:rsidRPr="00FD2FBF">
        <w:rPr>
          <w:rFonts w:eastAsia="Times New Roman"/>
          <w:lang w:val="en-US"/>
        </w:rPr>
        <w:t>6.</w:t>
      </w:r>
      <w:r w:rsidRPr="00FD2FBF">
        <w:rPr>
          <w:rFonts w:eastAsia="Times New Roman"/>
          <w:lang w:val="en-US"/>
        </w:rPr>
        <w:tab/>
        <w:t>PHARMACEUTICAL PARTICULARS</w:t>
      </w:r>
    </w:p>
    <w:p w:rsidR="00212DF6" w:rsidRPr="00B31C8C" w:rsidRDefault="00812D16" w:rsidP="002E40F0">
      <w:pPr>
        <w:pStyle w:val="StyleHeading2LatinCambria12ptAutoSmallcaps"/>
        <w:rPr>
          <w:noProof/>
        </w:rPr>
      </w:pPr>
      <w:r w:rsidRPr="00021BA0">
        <w:rPr>
          <w:rFonts w:eastAsia="Calibri"/>
          <w:lang w:val="en-US"/>
        </w:rPr>
        <w:t>6.1</w:t>
      </w:r>
      <w:r w:rsidRPr="00021BA0">
        <w:rPr>
          <w:rFonts w:eastAsia="Calibri"/>
          <w:lang w:val="en-US"/>
        </w:rPr>
        <w:tab/>
      </w:r>
      <w:r w:rsidR="00771E60" w:rsidRPr="00021BA0">
        <w:rPr>
          <w:rFonts w:eastAsia="Calibri"/>
          <w:lang w:val="en-US"/>
        </w:rPr>
        <w:t>LIST OF EXCIPIENTS</w:t>
      </w:r>
    </w:p>
    <w:p w:rsidR="00931D1A" w:rsidRPr="00143C34" w:rsidRDefault="00212DF6" w:rsidP="002E40F0">
      <w:pPr>
        <w:pStyle w:val="StyleBodyCalibriLinespacingsingle"/>
        <w:rPr>
          <w:noProof/>
        </w:rPr>
      </w:pPr>
      <w:r w:rsidRPr="00143C34">
        <w:rPr>
          <w:noProof/>
        </w:rPr>
        <w:t>H</w:t>
      </w:r>
      <w:r w:rsidR="00931D1A" w:rsidRPr="00143C34">
        <w:rPr>
          <w:noProof/>
        </w:rPr>
        <w:t>istidine</w:t>
      </w:r>
    </w:p>
    <w:p w:rsidR="00C15B75" w:rsidRPr="00143C34" w:rsidRDefault="00212DF6" w:rsidP="002E40F0">
      <w:pPr>
        <w:pStyle w:val="StyleBodyCalibriLinespacingsingle"/>
        <w:rPr>
          <w:noProof/>
        </w:rPr>
      </w:pPr>
      <w:r w:rsidRPr="00143C34">
        <w:rPr>
          <w:noProof/>
        </w:rPr>
        <w:t>H</w:t>
      </w:r>
      <w:r w:rsidR="00C15B75" w:rsidRPr="00143C34">
        <w:rPr>
          <w:noProof/>
        </w:rPr>
        <w:t>istidine hydrochloride monohydrate</w:t>
      </w:r>
    </w:p>
    <w:p w:rsidR="00931D1A" w:rsidRPr="00143C34" w:rsidRDefault="00931D1A" w:rsidP="002E40F0">
      <w:pPr>
        <w:pStyle w:val="StyleBodyCalibriLinespacingsingle"/>
        <w:rPr>
          <w:noProof/>
        </w:rPr>
      </w:pPr>
      <w:r w:rsidRPr="00143C34">
        <w:rPr>
          <w:noProof/>
        </w:rPr>
        <w:t>Sucrose</w:t>
      </w:r>
    </w:p>
    <w:p w:rsidR="0025080E" w:rsidRPr="00143C34" w:rsidRDefault="00DF62D6" w:rsidP="002E40F0">
      <w:pPr>
        <w:pStyle w:val="StyleBodyCalibriLinespacingsingle"/>
        <w:rPr>
          <w:noProof/>
        </w:rPr>
      </w:pPr>
      <w:r w:rsidRPr="00143C34">
        <w:rPr>
          <w:noProof/>
        </w:rPr>
        <w:t>Disodium edetate</w:t>
      </w:r>
    </w:p>
    <w:p w:rsidR="00931D1A" w:rsidRPr="00143C34" w:rsidRDefault="00931D1A" w:rsidP="002E40F0">
      <w:pPr>
        <w:pStyle w:val="StyleBodyCalibriLinespacingsingle"/>
        <w:rPr>
          <w:noProof/>
        </w:rPr>
      </w:pPr>
      <w:r w:rsidRPr="00143C34">
        <w:rPr>
          <w:noProof/>
        </w:rPr>
        <w:t>Polysorbate 80</w:t>
      </w:r>
    </w:p>
    <w:p w:rsidR="00812D16" w:rsidRDefault="00931D1A" w:rsidP="002E40F0">
      <w:pPr>
        <w:pStyle w:val="StyleBodyCalibriLinespacingsingle"/>
        <w:rPr>
          <w:noProof/>
        </w:rPr>
      </w:pPr>
      <w:r w:rsidRPr="00143C34">
        <w:rPr>
          <w:noProof/>
        </w:rPr>
        <w:t>Water for injections</w:t>
      </w:r>
    </w:p>
    <w:p w:rsidR="00812D16" w:rsidRPr="00DE414B" w:rsidRDefault="00812D16" w:rsidP="002E40F0">
      <w:pPr>
        <w:pStyle w:val="StyleHeading2LatinCambria12ptAutoSmallcaps"/>
        <w:rPr>
          <w:noProof/>
        </w:rPr>
      </w:pPr>
      <w:r w:rsidRPr="00021BA0">
        <w:rPr>
          <w:rFonts w:eastAsia="Calibri"/>
          <w:lang w:val="en-US"/>
        </w:rPr>
        <w:t>6.2</w:t>
      </w:r>
      <w:r w:rsidRPr="00021BA0">
        <w:rPr>
          <w:rFonts w:eastAsia="Calibri"/>
          <w:lang w:val="en-US"/>
        </w:rPr>
        <w:tab/>
      </w:r>
      <w:r w:rsidR="00771E60" w:rsidRPr="00021BA0">
        <w:rPr>
          <w:rFonts w:eastAsia="Calibri"/>
          <w:lang w:val="en-US"/>
        </w:rPr>
        <w:t>INCOMPATIBILITIES</w:t>
      </w:r>
    </w:p>
    <w:p w:rsidR="004E7172" w:rsidRPr="00143C34" w:rsidRDefault="00394565" w:rsidP="002E40F0">
      <w:pPr>
        <w:pStyle w:val="StyleBodyCalibriLinespacingsingle"/>
        <w:rPr>
          <w:noProof/>
        </w:rPr>
      </w:pPr>
      <w:r w:rsidRPr="00143C34">
        <w:rPr>
          <w:noProof/>
        </w:rPr>
        <w:t>Not applicable.</w:t>
      </w:r>
    </w:p>
    <w:p w:rsidR="00812D16" w:rsidRPr="00021BA0" w:rsidRDefault="00812D16" w:rsidP="00143C34">
      <w:pPr>
        <w:pStyle w:val="Heading2"/>
        <w:tabs>
          <w:tab w:val="clear" w:pos="567"/>
        </w:tabs>
        <w:spacing w:before="0" w:after="120" w:line="276" w:lineRule="auto"/>
        <w:ind w:left="578" w:hanging="578"/>
        <w:rPr>
          <w:rFonts w:ascii="Cambria" w:eastAsia="Calibri" w:hAnsi="Cambria" w:cs="Calibri"/>
          <w:bCs w:val="0"/>
          <w:smallCaps/>
          <w:color w:val="auto"/>
          <w:sz w:val="24"/>
          <w:szCs w:val="22"/>
          <w:lang w:val="en-US"/>
        </w:rPr>
      </w:pPr>
      <w:r w:rsidRPr="00021BA0">
        <w:rPr>
          <w:rFonts w:ascii="Cambria" w:eastAsia="Calibri" w:hAnsi="Cambria" w:cs="Calibri"/>
          <w:bCs w:val="0"/>
          <w:smallCaps/>
          <w:color w:val="auto"/>
          <w:sz w:val="24"/>
          <w:szCs w:val="22"/>
          <w:lang w:val="en-US"/>
        </w:rPr>
        <w:t>6.3</w:t>
      </w:r>
      <w:r w:rsidRPr="00021BA0">
        <w:rPr>
          <w:rFonts w:ascii="Cambria" w:eastAsia="Calibri" w:hAnsi="Cambria" w:cs="Calibri"/>
          <w:bCs w:val="0"/>
          <w:smallCaps/>
          <w:color w:val="auto"/>
          <w:sz w:val="24"/>
          <w:szCs w:val="22"/>
          <w:lang w:val="en-US"/>
        </w:rPr>
        <w:tab/>
      </w:r>
      <w:r w:rsidR="00771E60" w:rsidRPr="00021BA0">
        <w:rPr>
          <w:rFonts w:ascii="Cambria" w:eastAsia="Calibri" w:hAnsi="Cambria" w:cs="Calibri"/>
          <w:bCs w:val="0"/>
          <w:smallCaps/>
          <w:color w:val="auto"/>
          <w:sz w:val="24"/>
          <w:szCs w:val="22"/>
          <w:lang w:val="en-US"/>
        </w:rPr>
        <w:t>SHELF LIFE</w:t>
      </w:r>
    </w:p>
    <w:p w:rsidR="00143C34" w:rsidRPr="00143C34" w:rsidRDefault="00161B7B" w:rsidP="002E40F0">
      <w:pPr>
        <w:pStyle w:val="StyleBodyCalibriLinespacingsingle"/>
        <w:rPr>
          <w:noProof/>
        </w:rPr>
      </w:pPr>
      <w:r w:rsidRPr="00143C34">
        <w:rPr>
          <w:noProof/>
        </w:rPr>
        <w:t>In Australia, information on the shelf life can be found on the public summary of the Australian Register of Therapeutic Goods (ARTG). The expiry date can be found on the packaging.</w:t>
      </w:r>
    </w:p>
    <w:p w:rsidR="005108A3" w:rsidRPr="00DE414B" w:rsidRDefault="00812D16" w:rsidP="001A3A27">
      <w:pPr>
        <w:pStyle w:val="StyleHeading2LatinCambria12ptAutoSmallcaps"/>
        <w:rPr>
          <w:noProof/>
        </w:rPr>
      </w:pPr>
      <w:r w:rsidRPr="00021BA0">
        <w:rPr>
          <w:rFonts w:eastAsia="Calibri"/>
          <w:lang w:val="en-US"/>
        </w:rPr>
        <w:t>6.4</w:t>
      </w:r>
      <w:r w:rsidRPr="00021BA0">
        <w:rPr>
          <w:rFonts w:eastAsia="Calibri"/>
          <w:lang w:val="en-US"/>
        </w:rPr>
        <w:tab/>
      </w:r>
      <w:r w:rsidR="00771E60" w:rsidRPr="00021BA0">
        <w:rPr>
          <w:rFonts w:eastAsia="Calibri"/>
          <w:lang w:val="en-US"/>
        </w:rPr>
        <w:t>SPECIAL PRECAUTIONS FOR STORAGE</w:t>
      </w:r>
    </w:p>
    <w:p w:rsidR="009E53FF" w:rsidRPr="00143C34" w:rsidRDefault="00F42374" w:rsidP="00FD2FBF">
      <w:pPr>
        <w:spacing w:line="240" w:lineRule="auto"/>
        <w:rPr>
          <w:rFonts w:asciiTheme="minorHAnsi" w:eastAsia="SimSun" w:hAnsiTheme="minorHAnsi" w:cstheme="minorHAnsi"/>
          <w:color w:val="000000"/>
          <w:szCs w:val="22"/>
          <w:lang w:val="en-US" w:eastAsia="de-CH" w:bidi="he-IL"/>
        </w:rPr>
      </w:pPr>
      <w:r w:rsidRPr="00143C34">
        <w:rPr>
          <w:rFonts w:asciiTheme="minorHAnsi" w:hAnsiTheme="minorHAnsi" w:cstheme="minorHAnsi"/>
          <w:szCs w:val="22"/>
        </w:rPr>
        <w:t>Store in a refrigerator (2°C to 8°C).</w:t>
      </w:r>
      <w:r w:rsidR="00143C34">
        <w:rPr>
          <w:rFonts w:asciiTheme="minorHAnsi" w:eastAsia="SimSun" w:hAnsiTheme="minorHAnsi" w:cstheme="minorHAnsi"/>
          <w:color w:val="000000"/>
          <w:szCs w:val="22"/>
          <w:lang w:val="en-US" w:eastAsia="de-CH" w:bidi="he-IL"/>
        </w:rPr>
        <w:t xml:space="preserve"> </w:t>
      </w:r>
      <w:r w:rsidRPr="00143C34">
        <w:rPr>
          <w:rFonts w:asciiTheme="minorHAnsi" w:eastAsia="SimSun" w:hAnsiTheme="minorHAnsi" w:cstheme="minorHAnsi"/>
          <w:color w:val="000000"/>
          <w:szCs w:val="22"/>
          <w:lang w:val="en-US" w:eastAsia="de-CH" w:bidi="he-IL"/>
        </w:rPr>
        <w:t>Do</w:t>
      </w:r>
      <w:r w:rsidR="009E53FF" w:rsidRPr="00143C34">
        <w:rPr>
          <w:rFonts w:asciiTheme="minorHAnsi" w:eastAsia="SimSun" w:hAnsiTheme="minorHAnsi" w:cstheme="minorHAnsi"/>
          <w:color w:val="000000"/>
          <w:szCs w:val="22"/>
          <w:lang w:val="en-US" w:eastAsia="de-CH" w:bidi="he-IL"/>
        </w:rPr>
        <w:t xml:space="preserve"> not freeze.</w:t>
      </w:r>
    </w:p>
    <w:p w:rsidR="005D4A62" w:rsidRPr="00143C34" w:rsidRDefault="005D4A62" w:rsidP="009E53FF">
      <w:pPr>
        <w:tabs>
          <w:tab w:val="clear" w:pos="567"/>
        </w:tabs>
        <w:autoSpaceDE w:val="0"/>
        <w:autoSpaceDN w:val="0"/>
        <w:adjustRightInd w:val="0"/>
        <w:spacing w:line="240" w:lineRule="auto"/>
        <w:rPr>
          <w:rFonts w:asciiTheme="minorHAnsi" w:eastAsia="SimSun" w:hAnsiTheme="minorHAnsi" w:cstheme="minorHAnsi"/>
          <w:color w:val="000000"/>
          <w:szCs w:val="22"/>
          <w:lang w:val="en-US" w:eastAsia="de-CH" w:bidi="he-IL"/>
        </w:rPr>
      </w:pPr>
      <w:r w:rsidRPr="00143C34">
        <w:rPr>
          <w:rFonts w:asciiTheme="minorHAnsi" w:eastAsia="SimSun" w:hAnsiTheme="minorHAnsi" w:cstheme="minorHAnsi"/>
          <w:color w:val="000000"/>
          <w:szCs w:val="22"/>
          <w:lang w:val="en-US" w:eastAsia="de-CH" w:bidi="he-IL"/>
        </w:rPr>
        <w:t>Keep the pre-filled syringe(s) in the outer carton in order to protect from light.</w:t>
      </w:r>
    </w:p>
    <w:p w:rsidR="00143C34" w:rsidRPr="00143C34" w:rsidRDefault="00041EF2" w:rsidP="009E53FF">
      <w:pPr>
        <w:tabs>
          <w:tab w:val="clear" w:pos="567"/>
        </w:tabs>
        <w:autoSpaceDE w:val="0"/>
        <w:autoSpaceDN w:val="0"/>
        <w:adjustRightInd w:val="0"/>
        <w:spacing w:line="240" w:lineRule="auto"/>
        <w:rPr>
          <w:rFonts w:asciiTheme="minorHAnsi" w:eastAsia="SimSun" w:hAnsiTheme="minorHAnsi" w:cstheme="minorHAnsi"/>
          <w:color w:val="000000"/>
          <w:szCs w:val="22"/>
          <w:lang w:val="en-US" w:eastAsia="de-CH" w:bidi="he-IL"/>
        </w:rPr>
      </w:pPr>
      <w:r w:rsidRPr="00143C34">
        <w:rPr>
          <w:rFonts w:asciiTheme="minorHAnsi" w:eastAsia="SimSun" w:hAnsiTheme="minorHAnsi" w:cstheme="minorHAnsi"/>
          <w:color w:val="000000"/>
          <w:szCs w:val="22"/>
          <w:lang w:val="en-US" w:eastAsia="de-CH" w:bidi="he-IL"/>
        </w:rPr>
        <w:t xml:space="preserve">AJOVY may be stored unrefrigerated for up to </w:t>
      </w:r>
      <w:r w:rsidR="006D56B6">
        <w:rPr>
          <w:rFonts w:asciiTheme="minorHAnsi" w:eastAsia="SimSun" w:hAnsiTheme="minorHAnsi" w:cstheme="minorHAnsi"/>
          <w:color w:val="000000"/>
          <w:szCs w:val="22"/>
          <w:lang w:val="en-US" w:eastAsia="de-CH" w:bidi="he-IL"/>
        </w:rPr>
        <w:t>14</w:t>
      </w:r>
      <w:r w:rsidRPr="00143C34">
        <w:rPr>
          <w:rFonts w:asciiTheme="minorHAnsi" w:eastAsia="SimSun" w:hAnsiTheme="minorHAnsi" w:cstheme="minorHAnsi"/>
          <w:color w:val="000000"/>
          <w:szCs w:val="22"/>
          <w:lang w:val="en-US" w:eastAsia="de-CH" w:bidi="he-IL"/>
        </w:rPr>
        <w:t xml:space="preserve"> </w:t>
      </w:r>
      <w:r w:rsidR="006D56B6">
        <w:rPr>
          <w:rFonts w:asciiTheme="minorHAnsi" w:eastAsia="SimSun" w:hAnsiTheme="minorHAnsi" w:cstheme="minorHAnsi"/>
          <w:color w:val="000000"/>
          <w:szCs w:val="22"/>
          <w:lang w:val="en-US" w:eastAsia="de-CH" w:bidi="he-IL"/>
        </w:rPr>
        <w:t>days</w:t>
      </w:r>
      <w:r w:rsidRPr="00143C34">
        <w:rPr>
          <w:rFonts w:asciiTheme="minorHAnsi" w:eastAsia="SimSun" w:hAnsiTheme="minorHAnsi" w:cstheme="minorHAnsi"/>
          <w:color w:val="000000"/>
          <w:szCs w:val="22"/>
          <w:lang w:val="en-US" w:eastAsia="de-CH" w:bidi="he-IL"/>
        </w:rPr>
        <w:t xml:space="preserve"> at a temperature up to </w:t>
      </w:r>
      <w:r w:rsidR="006D56B6">
        <w:rPr>
          <w:rFonts w:asciiTheme="minorHAnsi" w:eastAsia="SimSun" w:hAnsiTheme="minorHAnsi" w:cstheme="minorHAnsi"/>
          <w:color w:val="000000"/>
          <w:szCs w:val="22"/>
          <w:lang w:val="en-US" w:eastAsia="de-CH" w:bidi="he-IL"/>
        </w:rPr>
        <w:t>30</w:t>
      </w:r>
      <w:r w:rsidRPr="00143C34">
        <w:rPr>
          <w:rFonts w:asciiTheme="minorHAnsi" w:eastAsia="SimSun" w:hAnsiTheme="minorHAnsi" w:cstheme="minorHAnsi"/>
          <w:color w:val="000000"/>
          <w:szCs w:val="22"/>
          <w:lang w:val="en-US" w:eastAsia="de-CH" w:bidi="he-IL"/>
        </w:rPr>
        <w:t xml:space="preserve">°C. AJOVY must be discarded if not used within </w:t>
      </w:r>
      <w:r w:rsidR="006D56B6">
        <w:rPr>
          <w:rFonts w:asciiTheme="minorHAnsi" w:eastAsia="SimSun" w:hAnsiTheme="minorHAnsi" w:cstheme="minorHAnsi"/>
          <w:color w:val="000000"/>
          <w:szCs w:val="22"/>
          <w:lang w:val="en-US" w:eastAsia="de-CH" w:bidi="he-IL"/>
        </w:rPr>
        <w:t>14</w:t>
      </w:r>
      <w:r w:rsidRPr="00143C34">
        <w:rPr>
          <w:rFonts w:asciiTheme="minorHAnsi" w:eastAsia="SimSun" w:hAnsiTheme="minorHAnsi" w:cstheme="minorHAnsi"/>
          <w:color w:val="000000"/>
          <w:szCs w:val="22"/>
          <w:lang w:val="en-US" w:eastAsia="de-CH" w:bidi="he-IL"/>
        </w:rPr>
        <w:t xml:space="preserve"> </w:t>
      </w:r>
      <w:r w:rsidR="006D56B6">
        <w:rPr>
          <w:rFonts w:asciiTheme="minorHAnsi" w:eastAsia="SimSun" w:hAnsiTheme="minorHAnsi" w:cstheme="minorHAnsi"/>
          <w:color w:val="000000"/>
          <w:szCs w:val="22"/>
          <w:lang w:val="en-US" w:eastAsia="de-CH" w:bidi="he-IL"/>
        </w:rPr>
        <w:t>days</w:t>
      </w:r>
      <w:r w:rsidRPr="00143C34">
        <w:rPr>
          <w:rFonts w:asciiTheme="minorHAnsi" w:eastAsia="SimSun" w:hAnsiTheme="minorHAnsi" w:cstheme="minorHAnsi"/>
          <w:color w:val="000000"/>
          <w:szCs w:val="22"/>
          <w:lang w:val="en-US" w:eastAsia="de-CH" w:bidi="he-IL"/>
        </w:rPr>
        <w:t xml:space="preserve"> of removal from refrigeration.</w:t>
      </w:r>
    </w:p>
    <w:p w:rsidR="00812D16" w:rsidRPr="005158BB" w:rsidRDefault="00F9016F" w:rsidP="001A3A27">
      <w:pPr>
        <w:pStyle w:val="StyleHeading2LatinCambria12ptAutoSmallcaps"/>
        <w:rPr>
          <w:rFonts w:eastAsia="Calibri"/>
          <w:lang w:val="en-AU"/>
        </w:rPr>
      </w:pPr>
      <w:r w:rsidRPr="005158BB">
        <w:rPr>
          <w:rFonts w:eastAsia="Calibri"/>
          <w:lang w:val="en-AU"/>
        </w:rPr>
        <w:t>6.5</w:t>
      </w:r>
      <w:r w:rsidRPr="005158BB">
        <w:rPr>
          <w:rFonts w:eastAsia="Calibri"/>
          <w:lang w:val="en-AU"/>
        </w:rPr>
        <w:tab/>
      </w:r>
      <w:bookmarkStart w:id="1" w:name="_GoBack"/>
      <w:bookmarkEnd w:id="1"/>
      <w:r w:rsidR="00771E60" w:rsidRPr="005158BB">
        <w:rPr>
          <w:rFonts w:eastAsia="Calibri"/>
          <w:lang w:val="en-AU"/>
        </w:rPr>
        <w:t>NATURE AND CONTENTS OF CONTAINER</w:t>
      </w:r>
    </w:p>
    <w:p w:rsidR="005744BF" w:rsidRPr="00143C34" w:rsidRDefault="007C574B" w:rsidP="002E40F0">
      <w:pPr>
        <w:pStyle w:val="StyleBodyCalibriLinespacingsingle"/>
      </w:pPr>
      <w:r w:rsidRPr="00143C34">
        <w:t>1.5 m</w:t>
      </w:r>
      <w:r w:rsidR="00A77877">
        <w:t>L</w:t>
      </w:r>
      <w:r w:rsidRPr="00143C34">
        <w:t xml:space="preserve"> solution in a </w:t>
      </w:r>
      <w:r w:rsidR="00A802F4" w:rsidRPr="00143C34">
        <w:t>2.25 m</w:t>
      </w:r>
      <w:r w:rsidR="00A77877">
        <w:t>L</w:t>
      </w:r>
      <w:r w:rsidR="00A802F4" w:rsidRPr="00143C34">
        <w:t xml:space="preserve"> T</w:t>
      </w:r>
      <w:r w:rsidRPr="00143C34">
        <w:t>ype I glass syringe</w:t>
      </w:r>
      <w:r w:rsidR="00A802F4" w:rsidRPr="00143C34">
        <w:t xml:space="preserve"> with plunger stopper (</w:t>
      </w:r>
      <w:r w:rsidR="00D112F3" w:rsidRPr="00143C34">
        <w:t>bromobutyl rubber</w:t>
      </w:r>
      <w:r w:rsidR="00A802F4" w:rsidRPr="00143C34">
        <w:t>)</w:t>
      </w:r>
      <w:r w:rsidR="00D112F3" w:rsidRPr="00143C34">
        <w:t xml:space="preserve"> </w:t>
      </w:r>
      <w:r w:rsidR="000C68FA" w:rsidRPr="00143C34">
        <w:t>and</w:t>
      </w:r>
      <w:r w:rsidR="00D112F3" w:rsidRPr="00143C34">
        <w:t xml:space="preserve"> needle</w:t>
      </w:r>
      <w:r w:rsidRPr="00143C34">
        <w:t xml:space="preserve">. </w:t>
      </w:r>
      <w:r w:rsidR="0003414E" w:rsidRPr="00143C34">
        <w:t xml:space="preserve">The pre-filled syringe cap is not </w:t>
      </w:r>
      <w:r w:rsidR="001A3A27">
        <w:t>made with natural rubber latex.</w:t>
      </w:r>
    </w:p>
    <w:p w:rsidR="00A10D26" w:rsidRDefault="007049E8" w:rsidP="002E40F0">
      <w:pPr>
        <w:pStyle w:val="StyleBodyCalibriLinespacingsingle"/>
        <w:rPr>
          <w:noProof/>
        </w:rPr>
      </w:pPr>
      <w:r w:rsidRPr="00143C34">
        <w:t xml:space="preserve">Pack sizes of </w:t>
      </w:r>
      <w:r w:rsidR="009D33DD">
        <w:t>one 225mg/</w:t>
      </w:r>
      <w:r w:rsidR="00B63E4E">
        <w:t>1.5</w:t>
      </w:r>
      <w:r w:rsidR="009D33DD">
        <w:t xml:space="preserve">mL </w:t>
      </w:r>
      <w:r w:rsidRPr="00143C34">
        <w:t xml:space="preserve">or </w:t>
      </w:r>
      <w:r w:rsidR="009D33DD">
        <w:t>three 225mg/</w:t>
      </w:r>
      <w:r w:rsidR="00B63E4E">
        <w:t>1.5</w:t>
      </w:r>
      <w:r w:rsidR="009D33DD">
        <w:t>mL</w:t>
      </w:r>
      <w:r w:rsidR="007C574B" w:rsidRPr="00143C34">
        <w:t xml:space="preserve"> pre-filled syringes.</w:t>
      </w:r>
      <w:r w:rsidR="007C574B" w:rsidRPr="00143C34">
        <w:rPr>
          <w:noProof/>
        </w:rPr>
        <w:t xml:space="preserve"> </w:t>
      </w:r>
      <w:r w:rsidR="00812D16" w:rsidRPr="00143C34">
        <w:rPr>
          <w:noProof/>
        </w:rPr>
        <w:t xml:space="preserve">Not </w:t>
      </w:r>
      <w:r w:rsidR="00301B0E" w:rsidRPr="00143C34">
        <w:rPr>
          <w:noProof/>
        </w:rPr>
        <w:t>all pack sizes may be marketed.</w:t>
      </w:r>
      <w:bookmarkStart w:id="2" w:name="OLE_LINK1"/>
    </w:p>
    <w:p w:rsidR="00161B7B" w:rsidRDefault="00812D16" w:rsidP="002E40F0">
      <w:pPr>
        <w:pStyle w:val="StyleHeading2LatinCambria12ptAutoSmallcaps"/>
      </w:pPr>
      <w:r w:rsidRPr="005158BB">
        <w:rPr>
          <w:rFonts w:eastAsia="Calibri"/>
          <w:lang w:val="en-AU"/>
        </w:rPr>
        <w:t>6.6</w:t>
      </w:r>
      <w:r w:rsidRPr="005158BB">
        <w:rPr>
          <w:rFonts w:eastAsia="Calibri"/>
          <w:lang w:val="en-AU"/>
        </w:rPr>
        <w:tab/>
      </w:r>
      <w:r w:rsidR="00771E60" w:rsidRPr="005158BB">
        <w:rPr>
          <w:rFonts w:eastAsia="Calibri"/>
          <w:lang w:val="en-AU"/>
        </w:rPr>
        <w:t>S</w:t>
      </w:r>
      <w:r w:rsidR="001A3A27">
        <w:rPr>
          <w:rFonts w:eastAsia="Calibri"/>
          <w:lang w:val="en-AU"/>
        </w:rPr>
        <w:t>PECIAL PRECAUTIONS FOR DISPOSAL</w:t>
      </w:r>
    </w:p>
    <w:p w:rsidR="00161B7B" w:rsidRPr="00143C34" w:rsidRDefault="00161B7B" w:rsidP="00161B7B">
      <w:pPr>
        <w:shd w:val="clear" w:color="auto" w:fill="FFFFFF"/>
        <w:tabs>
          <w:tab w:val="clear" w:pos="567"/>
        </w:tabs>
        <w:spacing w:line="240" w:lineRule="auto"/>
        <w:rPr>
          <w:rFonts w:asciiTheme="minorHAnsi" w:hAnsiTheme="minorHAnsi" w:cstheme="minorHAnsi"/>
          <w:szCs w:val="22"/>
        </w:rPr>
      </w:pPr>
      <w:r w:rsidRPr="00143C34">
        <w:rPr>
          <w:rFonts w:asciiTheme="minorHAnsi" w:hAnsiTheme="minorHAnsi" w:cstheme="minorHAnsi"/>
          <w:szCs w:val="22"/>
        </w:rPr>
        <w:t xml:space="preserve">Dispose of carefully in a sharps container.  Do not throw away (dispose of) loose needles, syringes, or prefilled </w:t>
      </w:r>
      <w:r w:rsidR="009B78BD">
        <w:rPr>
          <w:rFonts w:asciiTheme="minorHAnsi" w:hAnsiTheme="minorHAnsi" w:cstheme="minorHAnsi"/>
          <w:szCs w:val="22"/>
        </w:rPr>
        <w:t>syringes in your household rubbish</w:t>
      </w:r>
      <w:r w:rsidR="001A3A27">
        <w:rPr>
          <w:rFonts w:asciiTheme="minorHAnsi" w:hAnsiTheme="minorHAnsi" w:cstheme="minorHAnsi"/>
          <w:szCs w:val="22"/>
        </w:rPr>
        <w:t>.</w:t>
      </w:r>
    </w:p>
    <w:p w:rsidR="004E7172" w:rsidRDefault="00161B7B" w:rsidP="00143C34">
      <w:pPr>
        <w:shd w:val="clear" w:color="auto" w:fill="FFFFFF"/>
        <w:tabs>
          <w:tab w:val="clear" w:pos="567"/>
        </w:tabs>
        <w:spacing w:line="240" w:lineRule="auto"/>
        <w:rPr>
          <w:rFonts w:asciiTheme="minorHAnsi" w:hAnsiTheme="minorHAnsi" w:cstheme="minorHAnsi"/>
          <w:szCs w:val="22"/>
        </w:rPr>
      </w:pPr>
      <w:r w:rsidRPr="00143C34">
        <w:rPr>
          <w:rFonts w:asciiTheme="minorHAnsi" w:hAnsiTheme="minorHAnsi" w:cstheme="minorHAnsi"/>
          <w:szCs w:val="22"/>
        </w:rPr>
        <w:t>Do not recycle used sharps disposal container.</w:t>
      </w:r>
    </w:p>
    <w:bookmarkEnd w:id="2"/>
    <w:p w:rsidR="00143C34" w:rsidRPr="00FD2FBF" w:rsidRDefault="00DF62D6" w:rsidP="002E40F0">
      <w:pPr>
        <w:pStyle w:val="StyleHeading2LatinCambria12ptAutoSmallcaps"/>
        <w:rPr>
          <w:rFonts w:eastAsia="Calibri"/>
          <w:lang w:val="en-US"/>
        </w:rPr>
      </w:pPr>
      <w:r w:rsidRPr="005158BB">
        <w:rPr>
          <w:rFonts w:eastAsia="Calibri"/>
          <w:lang w:val="en-AU"/>
        </w:rPr>
        <w:lastRenderedPageBreak/>
        <w:t xml:space="preserve">6.7 </w:t>
      </w:r>
      <w:r w:rsidR="00771E60" w:rsidRPr="005158BB">
        <w:rPr>
          <w:rFonts w:eastAsia="Calibri"/>
          <w:lang w:val="en-AU"/>
        </w:rPr>
        <w:t>PHYSIOCHEMICAL PROPERTIES</w:t>
      </w:r>
    </w:p>
    <w:p w:rsidR="009F561F" w:rsidRPr="00021BA0" w:rsidRDefault="009F561F" w:rsidP="002E40F0">
      <w:pPr>
        <w:pStyle w:val="StyleHeading3LatinCambriaAutoBefore0ptAfter6p"/>
        <w:rPr>
          <w:lang w:val="en-US"/>
        </w:rPr>
      </w:pPr>
      <w:r w:rsidRPr="00021BA0">
        <w:rPr>
          <w:lang w:val="en-US"/>
        </w:rPr>
        <w:t>Chemical Structure</w:t>
      </w:r>
    </w:p>
    <w:p w:rsidR="009D33DD" w:rsidRDefault="00A65814" w:rsidP="00A10D26">
      <w:pPr>
        <w:shd w:val="clear" w:color="auto" w:fill="FFFFFF"/>
        <w:tabs>
          <w:tab w:val="clear" w:pos="567"/>
        </w:tabs>
        <w:spacing w:line="240" w:lineRule="auto"/>
        <w:rPr>
          <w:rFonts w:asciiTheme="minorHAnsi" w:hAnsiTheme="minorHAnsi" w:cstheme="minorHAnsi"/>
          <w:szCs w:val="22"/>
        </w:rPr>
      </w:pPr>
      <w:r w:rsidRPr="00A65814">
        <w:rPr>
          <w:rFonts w:asciiTheme="minorHAnsi" w:hAnsiTheme="minorHAnsi" w:cstheme="minorHAnsi"/>
          <w:szCs w:val="22"/>
        </w:rPr>
        <w:t>C</w:t>
      </w:r>
      <w:r w:rsidRPr="00A65814">
        <w:rPr>
          <w:rFonts w:asciiTheme="minorHAnsi" w:hAnsiTheme="minorHAnsi" w:cstheme="minorHAnsi"/>
          <w:szCs w:val="22"/>
          <w:vertAlign w:val="subscript"/>
        </w:rPr>
        <w:t>6470</w:t>
      </w:r>
      <w:r w:rsidRPr="00A65814">
        <w:rPr>
          <w:rFonts w:asciiTheme="minorHAnsi" w:hAnsiTheme="minorHAnsi" w:cstheme="minorHAnsi"/>
          <w:szCs w:val="22"/>
        </w:rPr>
        <w:t>H</w:t>
      </w:r>
      <w:r w:rsidRPr="00A65814">
        <w:rPr>
          <w:rFonts w:asciiTheme="minorHAnsi" w:hAnsiTheme="minorHAnsi" w:cstheme="minorHAnsi"/>
          <w:szCs w:val="22"/>
          <w:vertAlign w:val="subscript"/>
        </w:rPr>
        <w:t>9952</w:t>
      </w:r>
      <w:r w:rsidRPr="00A65814">
        <w:rPr>
          <w:rFonts w:asciiTheme="minorHAnsi" w:hAnsiTheme="minorHAnsi" w:cstheme="minorHAnsi"/>
          <w:szCs w:val="22"/>
        </w:rPr>
        <w:t>N</w:t>
      </w:r>
      <w:r w:rsidRPr="00A65814">
        <w:rPr>
          <w:rFonts w:asciiTheme="minorHAnsi" w:hAnsiTheme="minorHAnsi" w:cstheme="minorHAnsi"/>
          <w:szCs w:val="22"/>
          <w:vertAlign w:val="subscript"/>
        </w:rPr>
        <w:t>1716</w:t>
      </w:r>
      <w:r w:rsidRPr="00A65814">
        <w:rPr>
          <w:rFonts w:asciiTheme="minorHAnsi" w:hAnsiTheme="minorHAnsi" w:cstheme="minorHAnsi"/>
          <w:szCs w:val="22"/>
        </w:rPr>
        <w:t>O</w:t>
      </w:r>
      <w:r w:rsidRPr="00A65814">
        <w:rPr>
          <w:rFonts w:asciiTheme="minorHAnsi" w:hAnsiTheme="minorHAnsi" w:cstheme="minorHAnsi"/>
          <w:szCs w:val="22"/>
          <w:vertAlign w:val="subscript"/>
        </w:rPr>
        <w:t>2016</w:t>
      </w:r>
      <w:r w:rsidRPr="00A65814">
        <w:rPr>
          <w:rFonts w:asciiTheme="minorHAnsi" w:hAnsiTheme="minorHAnsi" w:cstheme="minorHAnsi"/>
          <w:szCs w:val="22"/>
        </w:rPr>
        <w:t>S</w:t>
      </w:r>
      <w:r w:rsidRPr="00A65814">
        <w:rPr>
          <w:rFonts w:asciiTheme="minorHAnsi" w:hAnsiTheme="minorHAnsi" w:cstheme="minorHAnsi"/>
          <w:szCs w:val="22"/>
          <w:vertAlign w:val="subscript"/>
        </w:rPr>
        <w:t>46</w:t>
      </w:r>
    </w:p>
    <w:p w:rsidR="009F561F" w:rsidRPr="00021BA0" w:rsidRDefault="009F561F" w:rsidP="002E40F0">
      <w:pPr>
        <w:pStyle w:val="StyleHeading3LatinCambriaAutoBefore0ptAfter6p"/>
        <w:rPr>
          <w:lang w:val="en-US"/>
        </w:rPr>
      </w:pPr>
      <w:r w:rsidRPr="00021BA0">
        <w:rPr>
          <w:lang w:val="en-US"/>
        </w:rPr>
        <w:t>CAS number</w:t>
      </w:r>
    </w:p>
    <w:p w:rsidR="00812D16" w:rsidRDefault="009F561F" w:rsidP="00935E32">
      <w:pPr>
        <w:shd w:val="clear" w:color="auto" w:fill="FFFFFF"/>
        <w:tabs>
          <w:tab w:val="clear" w:pos="567"/>
        </w:tabs>
        <w:spacing w:line="240" w:lineRule="auto"/>
        <w:rPr>
          <w:rFonts w:asciiTheme="minorHAnsi" w:hAnsiTheme="minorHAnsi" w:cstheme="minorHAnsi"/>
          <w:szCs w:val="22"/>
        </w:rPr>
      </w:pPr>
      <w:r w:rsidRPr="00143C34">
        <w:rPr>
          <w:rFonts w:asciiTheme="minorHAnsi" w:hAnsiTheme="minorHAnsi" w:cstheme="minorHAnsi"/>
          <w:szCs w:val="22"/>
        </w:rPr>
        <w:t>1655501-53-3</w:t>
      </w:r>
    </w:p>
    <w:p w:rsidR="0013768E" w:rsidRPr="005574FF" w:rsidRDefault="0013768E" w:rsidP="00834995">
      <w:pPr>
        <w:pStyle w:val="StyleHeading1LatinCambriaAutoAllcaps"/>
        <w:rPr>
          <w:lang w:val="en-US"/>
        </w:rPr>
      </w:pPr>
      <w:r w:rsidRPr="005574FF">
        <w:rPr>
          <w:rFonts w:eastAsia="Times New Roman"/>
          <w:lang w:val="en-US"/>
        </w:rPr>
        <w:t>7. MEDICINE SCHEDULE (POISONS STANDARD)</w:t>
      </w:r>
    </w:p>
    <w:p w:rsidR="0013768E" w:rsidRDefault="0013768E" w:rsidP="00143C34">
      <w:pPr>
        <w:shd w:val="clear" w:color="auto" w:fill="FFFFFF"/>
        <w:tabs>
          <w:tab w:val="clear" w:pos="567"/>
        </w:tabs>
        <w:spacing w:line="240" w:lineRule="auto"/>
        <w:rPr>
          <w:rFonts w:asciiTheme="minorHAnsi" w:hAnsiTheme="minorHAnsi" w:cstheme="minorHAnsi"/>
          <w:szCs w:val="22"/>
        </w:rPr>
      </w:pPr>
      <w:r w:rsidRPr="00143C34">
        <w:rPr>
          <w:rFonts w:asciiTheme="minorHAnsi" w:hAnsiTheme="minorHAnsi" w:cstheme="minorHAnsi"/>
          <w:szCs w:val="22"/>
        </w:rPr>
        <w:t>Schedule 4 – Prescription Only</w:t>
      </w:r>
    </w:p>
    <w:p w:rsidR="00812D16" w:rsidRPr="00FD2FBF" w:rsidRDefault="0013768E" w:rsidP="00834995">
      <w:pPr>
        <w:pStyle w:val="StyleHeading1LatinCambriaAutoAllcaps"/>
        <w:rPr>
          <w:rFonts w:eastAsia="Times New Roman"/>
          <w:lang w:val="en-US"/>
        </w:rPr>
      </w:pPr>
      <w:r w:rsidRPr="00FD2FBF">
        <w:rPr>
          <w:rFonts w:eastAsia="Times New Roman"/>
          <w:lang w:val="en-US"/>
        </w:rPr>
        <w:t>8</w:t>
      </w:r>
      <w:r w:rsidR="00812D16" w:rsidRPr="00FD2FBF">
        <w:rPr>
          <w:rFonts w:eastAsia="Times New Roman"/>
          <w:lang w:val="en-US"/>
        </w:rPr>
        <w:t>.</w:t>
      </w:r>
      <w:r w:rsidR="00812D16" w:rsidRPr="00FD2FBF">
        <w:rPr>
          <w:rFonts w:eastAsia="Times New Roman"/>
          <w:lang w:val="en-US"/>
        </w:rPr>
        <w:tab/>
      </w:r>
      <w:r w:rsidRPr="00FD2FBF">
        <w:rPr>
          <w:rFonts w:eastAsia="Times New Roman"/>
          <w:lang w:val="en-US"/>
        </w:rPr>
        <w:t>SPONSOR</w:t>
      </w:r>
    </w:p>
    <w:p w:rsidR="00DF62D6" w:rsidRPr="00143C34" w:rsidRDefault="00DF62D6" w:rsidP="002E40F0">
      <w:pPr>
        <w:pStyle w:val="StyleBodyCalibriLinespacingsingle"/>
        <w:rPr>
          <w:noProof/>
        </w:rPr>
      </w:pPr>
      <w:r w:rsidRPr="00143C34">
        <w:rPr>
          <w:noProof/>
        </w:rPr>
        <w:t>Teva Pharma Australia Pty Ltd</w:t>
      </w:r>
    </w:p>
    <w:p w:rsidR="00DF62D6" w:rsidRPr="00143C34" w:rsidRDefault="00DF62D6" w:rsidP="002E40F0">
      <w:pPr>
        <w:pStyle w:val="StyleBodyCalibriLinespacingsingle"/>
        <w:rPr>
          <w:noProof/>
        </w:rPr>
      </w:pPr>
      <w:r w:rsidRPr="00143C34">
        <w:rPr>
          <w:noProof/>
        </w:rPr>
        <w:t>37 Epping Rd</w:t>
      </w:r>
    </w:p>
    <w:p w:rsidR="00DF62D6" w:rsidRPr="00143C34" w:rsidRDefault="00DF62D6" w:rsidP="002E40F0">
      <w:pPr>
        <w:pStyle w:val="StyleBodyCalibriLinespacingsingle"/>
        <w:rPr>
          <w:noProof/>
        </w:rPr>
      </w:pPr>
      <w:r w:rsidRPr="00143C34">
        <w:rPr>
          <w:noProof/>
        </w:rPr>
        <w:t>Macquarie Park, NSW, 2113</w:t>
      </w:r>
    </w:p>
    <w:p w:rsidR="0013768E" w:rsidRPr="00143C34" w:rsidRDefault="0013768E" w:rsidP="002E40F0">
      <w:pPr>
        <w:pStyle w:val="StyleBodyCalibriLinespacingsingle"/>
        <w:rPr>
          <w:noProof/>
        </w:rPr>
      </w:pPr>
      <w:r w:rsidRPr="00143C34">
        <w:rPr>
          <w:noProof/>
        </w:rPr>
        <w:t xml:space="preserve">Ph: 1800 288 382 </w:t>
      </w:r>
    </w:p>
    <w:p w:rsidR="009E53FF" w:rsidRPr="009E53FF" w:rsidRDefault="001826EB" w:rsidP="00161B7B">
      <w:pPr>
        <w:spacing w:line="240" w:lineRule="auto"/>
        <w:rPr>
          <w:bCs/>
          <w:noProof/>
          <w:szCs w:val="22"/>
        </w:rPr>
      </w:pPr>
      <w:hyperlink r:id="rId12" w:history="1">
        <w:r w:rsidR="00CB0D52" w:rsidRPr="00CB0D52">
          <w:rPr>
            <w:rStyle w:val="Hyperlink"/>
            <w:rFonts w:asciiTheme="minorHAnsi" w:hAnsiTheme="minorHAnsi" w:cstheme="minorHAnsi"/>
            <w:noProof/>
            <w:szCs w:val="22"/>
          </w:rPr>
          <w:t>www.tevapharma.com</w:t>
        </w:r>
      </w:hyperlink>
      <w:r w:rsidR="00161B7B" w:rsidRPr="00143C34">
        <w:rPr>
          <w:rStyle w:val="Hyperlink"/>
          <w:rFonts w:asciiTheme="minorHAnsi" w:hAnsiTheme="minorHAnsi" w:cstheme="minorHAnsi"/>
          <w:noProof/>
          <w:szCs w:val="22"/>
        </w:rPr>
        <w:t>.au</w:t>
      </w:r>
    </w:p>
    <w:p w:rsidR="00812D16" w:rsidRPr="00FD2FBF" w:rsidRDefault="00812D16" w:rsidP="00834995">
      <w:pPr>
        <w:pStyle w:val="StyleHeading1LatinCambriaAutoAllcaps"/>
        <w:rPr>
          <w:rFonts w:eastAsia="Times New Roman"/>
          <w:lang w:val="en-US"/>
        </w:rPr>
      </w:pPr>
      <w:r w:rsidRPr="00FD2FBF">
        <w:rPr>
          <w:rFonts w:eastAsia="Times New Roman"/>
          <w:lang w:val="en-US"/>
        </w:rPr>
        <w:t>9.</w:t>
      </w:r>
      <w:r w:rsidRPr="00FD2FBF">
        <w:rPr>
          <w:rFonts w:eastAsia="Times New Roman"/>
          <w:lang w:val="en-US"/>
        </w:rPr>
        <w:tab/>
        <w:t xml:space="preserve">DATE OF </w:t>
      </w:r>
      <w:r w:rsidR="00143C34" w:rsidRPr="00143C34">
        <w:rPr>
          <w:rFonts w:eastAsia="Times New Roman"/>
          <w:lang w:val="en-US"/>
        </w:rPr>
        <w:t>FIRST APPROVAL</w:t>
      </w:r>
    </w:p>
    <w:p w:rsidR="00812D16" w:rsidRPr="006B4557" w:rsidRDefault="00EE723E" w:rsidP="00204AAB">
      <w:pPr>
        <w:spacing w:line="240" w:lineRule="auto"/>
        <w:rPr>
          <w:noProof/>
          <w:szCs w:val="22"/>
        </w:rPr>
      </w:pPr>
      <w:r>
        <w:rPr>
          <w:rFonts w:asciiTheme="minorHAnsi" w:hAnsiTheme="minorHAnsi" w:cstheme="minorHAnsi"/>
          <w:noProof/>
          <w:szCs w:val="22"/>
        </w:rPr>
        <w:t>20</w:t>
      </w:r>
      <w:r w:rsidR="00CB1CEB" w:rsidRPr="00CB1CEB">
        <w:rPr>
          <w:rFonts w:asciiTheme="minorHAnsi" w:hAnsiTheme="minorHAnsi" w:cstheme="minorHAnsi"/>
          <w:noProof/>
          <w:szCs w:val="22"/>
          <w:vertAlign w:val="superscript"/>
        </w:rPr>
        <w:t>th</w:t>
      </w:r>
      <w:r w:rsidR="00CB1CEB">
        <w:rPr>
          <w:rFonts w:asciiTheme="minorHAnsi" w:hAnsiTheme="minorHAnsi" w:cstheme="minorHAnsi"/>
          <w:noProof/>
          <w:szCs w:val="22"/>
        </w:rPr>
        <w:t xml:space="preserve"> </w:t>
      </w:r>
      <w:r>
        <w:rPr>
          <w:rFonts w:asciiTheme="minorHAnsi" w:hAnsiTheme="minorHAnsi" w:cstheme="minorHAnsi"/>
          <w:noProof/>
          <w:szCs w:val="22"/>
        </w:rPr>
        <w:t>Sep</w:t>
      </w:r>
      <w:r w:rsidR="00CB1CEB">
        <w:rPr>
          <w:rFonts w:asciiTheme="minorHAnsi" w:hAnsiTheme="minorHAnsi" w:cstheme="minorHAnsi"/>
          <w:noProof/>
          <w:szCs w:val="22"/>
        </w:rPr>
        <w:t>tember</w:t>
      </w:r>
      <w:r>
        <w:rPr>
          <w:rFonts w:asciiTheme="minorHAnsi" w:hAnsiTheme="minorHAnsi" w:cstheme="minorHAnsi"/>
          <w:noProof/>
          <w:szCs w:val="22"/>
        </w:rPr>
        <w:t xml:space="preserve"> 2019</w:t>
      </w:r>
    </w:p>
    <w:p w:rsidR="001E41CD" w:rsidRDefault="00812D16" w:rsidP="00603ECA">
      <w:pPr>
        <w:pStyle w:val="StyleHeading1LatinCambriaAutoAllcaps"/>
        <w:rPr>
          <w:rFonts w:eastAsia="Times New Roman"/>
          <w:lang w:val="en-US"/>
        </w:rPr>
      </w:pPr>
      <w:r w:rsidRPr="005574FF">
        <w:rPr>
          <w:rFonts w:eastAsia="Times New Roman"/>
          <w:lang w:val="en-US"/>
        </w:rPr>
        <w:t>10.</w:t>
      </w:r>
      <w:r w:rsidRPr="005574FF">
        <w:rPr>
          <w:rFonts w:eastAsia="Times New Roman"/>
          <w:lang w:val="en-US"/>
        </w:rPr>
        <w:tab/>
        <w:t xml:space="preserve">DATE OF REVISION </w:t>
      </w:r>
    </w:p>
    <w:p w:rsidR="005C4310" w:rsidRPr="00935E32" w:rsidRDefault="005C4310" w:rsidP="00603ECA">
      <w:pPr>
        <w:autoSpaceDE w:val="0"/>
        <w:autoSpaceDN w:val="0"/>
        <w:adjustRightInd w:val="0"/>
        <w:spacing w:after="120" w:line="240" w:lineRule="auto"/>
        <w:rPr>
          <w:rFonts w:asciiTheme="minorHAnsi" w:hAnsiTheme="minorHAnsi" w:cstheme="minorHAnsi"/>
          <w:iCs/>
          <w:lang w:val="en-US"/>
        </w:rPr>
      </w:pPr>
      <w:r w:rsidRPr="00935E32">
        <w:rPr>
          <w:rFonts w:asciiTheme="minorHAnsi" w:hAnsiTheme="minorHAnsi" w:cstheme="minorHAnsi"/>
          <w:b/>
          <w:iCs/>
          <w:lang w:val="en-US"/>
        </w:rPr>
        <w:t>Summary table of changes</w:t>
      </w:r>
    </w:p>
    <w:tbl>
      <w:tblPr>
        <w:tblStyle w:val="LightGrid"/>
        <w:tblW w:w="0" w:type="auto"/>
        <w:tblInd w:w="108" w:type="dxa"/>
        <w:tblCellMar>
          <w:top w:w="57" w:type="dxa"/>
          <w:bottom w:w="57" w:type="dxa"/>
        </w:tblCellMar>
        <w:tblLook w:val="06A0" w:firstRow="1" w:lastRow="0" w:firstColumn="1" w:lastColumn="0" w:noHBand="1" w:noVBand="1"/>
      </w:tblPr>
      <w:tblGrid>
        <w:gridCol w:w="1276"/>
        <w:gridCol w:w="7858"/>
      </w:tblGrid>
      <w:tr w:rsidR="005C4310" w:rsidRPr="00497C85" w:rsidTr="009E44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F2F2F2" w:themeFill="background1" w:themeFillShade="F2"/>
            <w:vAlign w:val="center"/>
          </w:tcPr>
          <w:p w:rsidR="005C4310" w:rsidRPr="00497C85" w:rsidRDefault="005C4310" w:rsidP="00BA2673">
            <w:pPr>
              <w:rPr>
                <w:lang w:val="en-US"/>
              </w:rPr>
            </w:pPr>
            <w:r w:rsidRPr="00497C85">
              <w:rPr>
                <w:lang w:val="en-US"/>
              </w:rPr>
              <w:t>Section Changed</w:t>
            </w:r>
          </w:p>
        </w:tc>
        <w:tc>
          <w:tcPr>
            <w:tcW w:w="7858" w:type="dxa"/>
            <w:shd w:val="clear" w:color="auto" w:fill="F2F2F2" w:themeFill="background1" w:themeFillShade="F2"/>
            <w:vAlign w:val="center"/>
          </w:tcPr>
          <w:p w:rsidR="005C4310" w:rsidRPr="00497C85" w:rsidRDefault="005C4310" w:rsidP="00BA2673">
            <w:pPr>
              <w:cnfStyle w:val="100000000000" w:firstRow="1" w:lastRow="0" w:firstColumn="0" w:lastColumn="0" w:oddVBand="0" w:evenVBand="0" w:oddHBand="0" w:evenHBand="0" w:firstRowFirstColumn="0" w:firstRowLastColumn="0" w:lastRowFirstColumn="0" w:lastRowLastColumn="0"/>
              <w:rPr>
                <w:lang w:val="en-US"/>
              </w:rPr>
            </w:pPr>
            <w:r w:rsidRPr="00497C85">
              <w:rPr>
                <w:lang w:val="en-US"/>
              </w:rPr>
              <w:t>Summary of new information</w:t>
            </w:r>
          </w:p>
        </w:tc>
      </w:tr>
      <w:tr w:rsidR="005C4310" w:rsidRPr="00497C85" w:rsidTr="009E44FA">
        <w:tc>
          <w:tcPr>
            <w:cnfStyle w:val="001000000000" w:firstRow="0" w:lastRow="0" w:firstColumn="1" w:lastColumn="0" w:oddVBand="0" w:evenVBand="0" w:oddHBand="0" w:evenHBand="0" w:firstRowFirstColumn="0" w:firstRowLastColumn="0" w:lastRowFirstColumn="0" w:lastRowLastColumn="0"/>
            <w:tcW w:w="1276" w:type="dxa"/>
            <w:vAlign w:val="center"/>
          </w:tcPr>
          <w:p w:rsidR="005C4310" w:rsidRPr="00497C85" w:rsidRDefault="005C4310" w:rsidP="00BA2673">
            <w:pPr>
              <w:rPr>
                <w:lang w:val="en-US"/>
              </w:rPr>
            </w:pPr>
          </w:p>
        </w:tc>
        <w:tc>
          <w:tcPr>
            <w:tcW w:w="7858" w:type="dxa"/>
            <w:vAlign w:val="center"/>
          </w:tcPr>
          <w:p w:rsidR="005C4310" w:rsidRPr="00497C85" w:rsidRDefault="005C4310" w:rsidP="00BA2673">
            <w:pPr>
              <w:cnfStyle w:val="000000000000" w:firstRow="0" w:lastRow="0" w:firstColumn="0" w:lastColumn="0" w:oddVBand="0" w:evenVBand="0" w:oddHBand="0" w:evenHBand="0" w:firstRowFirstColumn="0" w:firstRowLastColumn="0" w:lastRowFirstColumn="0" w:lastRowLastColumn="0"/>
              <w:rPr>
                <w:lang w:val="en-US"/>
              </w:rPr>
            </w:pPr>
          </w:p>
        </w:tc>
      </w:tr>
      <w:tr w:rsidR="005C4310" w:rsidRPr="00497C85" w:rsidTr="009E44FA">
        <w:tc>
          <w:tcPr>
            <w:cnfStyle w:val="001000000000" w:firstRow="0" w:lastRow="0" w:firstColumn="1" w:lastColumn="0" w:oddVBand="0" w:evenVBand="0" w:oddHBand="0" w:evenHBand="0" w:firstRowFirstColumn="0" w:firstRowLastColumn="0" w:lastRowFirstColumn="0" w:lastRowLastColumn="0"/>
            <w:tcW w:w="1276" w:type="dxa"/>
            <w:vAlign w:val="center"/>
          </w:tcPr>
          <w:p w:rsidR="005C4310" w:rsidRPr="00497C85" w:rsidRDefault="005C4310" w:rsidP="00BA2673">
            <w:pPr>
              <w:rPr>
                <w:lang w:val="en-US"/>
              </w:rPr>
            </w:pPr>
          </w:p>
        </w:tc>
        <w:tc>
          <w:tcPr>
            <w:tcW w:w="7858" w:type="dxa"/>
            <w:vAlign w:val="center"/>
          </w:tcPr>
          <w:p w:rsidR="005C4310" w:rsidRPr="00497C85" w:rsidRDefault="005C4310" w:rsidP="00BA2673">
            <w:pPr>
              <w:cnfStyle w:val="000000000000" w:firstRow="0" w:lastRow="0" w:firstColumn="0" w:lastColumn="0" w:oddVBand="0" w:evenVBand="0" w:oddHBand="0" w:evenHBand="0" w:firstRowFirstColumn="0" w:firstRowLastColumn="0" w:lastRowFirstColumn="0" w:lastRowLastColumn="0"/>
              <w:rPr>
                <w:lang w:val="en-US"/>
              </w:rPr>
            </w:pPr>
          </w:p>
        </w:tc>
      </w:tr>
      <w:tr w:rsidR="005C4310" w:rsidRPr="00497C85" w:rsidTr="009E44FA">
        <w:tc>
          <w:tcPr>
            <w:cnfStyle w:val="001000000000" w:firstRow="0" w:lastRow="0" w:firstColumn="1" w:lastColumn="0" w:oddVBand="0" w:evenVBand="0" w:oddHBand="0" w:evenHBand="0" w:firstRowFirstColumn="0" w:firstRowLastColumn="0" w:lastRowFirstColumn="0" w:lastRowLastColumn="0"/>
            <w:tcW w:w="1276" w:type="dxa"/>
            <w:vAlign w:val="center"/>
          </w:tcPr>
          <w:p w:rsidR="005C4310" w:rsidRPr="00497C85" w:rsidRDefault="005C4310" w:rsidP="00BA2673">
            <w:pPr>
              <w:rPr>
                <w:lang w:val="en-US"/>
              </w:rPr>
            </w:pPr>
          </w:p>
        </w:tc>
        <w:tc>
          <w:tcPr>
            <w:tcW w:w="7858" w:type="dxa"/>
            <w:vAlign w:val="center"/>
          </w:tcPr>
          <w:p w:rsidR="005C4310" w:rsidRPr="00497C85" w:rsidRDefault="005C4310" w:rsidP="00BA2673">
            <w:pPr>
              <w:cnfStyle w:val="000000000000" w:firstRow="0" w:lastRow="0" w:firstColumn="0" w:lastColumn="0" w:oddVBand="0" w:evenVBand="0" w:oddHBand="0" w:evenHBand="0" w:firstRowFirstColumn="0" w:firstRowLastColumn="0" w:lastRowFirstColumn="0" w:lastRowLastColumn="0"/>
              <w:rPr>
                <w:lang w:val="en-US"/>
              </w:rPr>
            </w:pPr>
          </w:p>
        </w:tc>
      </w:tr>
    </w:tbl>
    <w:p w:rsidR="00812D16" w:rsidRPr="00EB595B" w:rsidRDefault="00812D16" w:rsidP="00603ECA">
      <w:pPr>
        <w:numPr>
          <w:ilvl w:val="12"/>
          <w:numId w:val="0"/>
        </w:numPr>
        <w:spacing w:line="240" w:lineRule="auto"/>
        <w:ind w:right="-2"/>
        <w:rPr>
          <w:noProof/>
          <w:szCs w:val="22"/>
        </w:rPr>
      </w:pPr>
    </w:p>
    <w:sectPr w:rsidR="00812D16" w:rsidRPr="00EB595B" w:rsidSect="00A67B9B">
      <w:headerReference w:type="default" r:id="rId13"/>
      <w:footerReference w:type="default" r:id="rId14"/>
      <w:footerReference w:type="first" r:id="rId15"/>
      <w:endnotePr>
        <w:numFmt w:val="decimal"/>
      </w:endnotePr>
      <w:pgSz w:w="11907" w:h="16840" w:code="9"/>
      <w:pgMar w:top="993" w:right="992" w:bottom="1134" w:left="1418" w:header="737" w:footer="42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54C" w:rsidRDefault="00BD754C">
      <w:r>
        <w:separator/>
      </w:r>
    </w:p>
  </w:endnote>
  <w:endnote w:type="continuationSeparator" w:id="0">
    <w:p w:rsidR="00BD754C" w:rsidRDefault="00BD754C">
      <w:r>
        <w:continuationSeparator/>
      </w:r>
    </w:p>
  </w:endnote>
  <w:endnote w:type="continuationNotice" w:id="1">
    <w:p w:rsidR="00BD754C" w:rsidRDefault="00BD754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NewRoman">
    <w:altName w:val="MS Gothic"/>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377301990"/>
      <w:docPartObj>
        <w:docPartGallery w:val="Page Numbers (Bottom of Page)"/>
        <w:docPartUnique/>
      </w:docPartObj>
    </w:sdtPr>
    <w:sdtEndPr>
      <w:rPr>
        <w:noProof/>
      </w:rPr>
    </w:sdtEndPr>
    <w:sdtContent>
      <w:p w:rsidR="00BD754C" w:rsidRDefault="00BD754C" w:rsidP="009E44FA">
        <w:pPr>
          <w:pStyle w:val="Footer"/>
          <w:ind w:right="-1"/>
          <w:rPr>
            <w:noProof w:val="0"/>
          </w:rPr>
        </w:pPr>
        <w:r w:rsidRPr="009E44FA">
          <w:rPr>
            <w:noProof w:val="0"/>
            <w:sz w:val="18"/>
          </w:rPr>
          <w:t xml:space="preserve">Teva Pharma Australia Pty Limited                </w:t>
        </w:r>
        <w:r w:rsidR="009E44FA">
          <w:rPr>
            <w:noProof w:val="0"/>
            <w:sz w:val="18"/>
          </w:rPr>
          <w:t xml:space="preserve">    </w:t>
        </w:r>
        <w:r w:rsidR="007C73C4">
          <w:rPr>
            <w:noProof w:val="0"/>
            <w:sz w:val="18"/>
          </w:rPr>
          <w:t xml:space="preserve">           </w:t>
        </w:r>
        <w:r w:rsidRPr="009E44FA">
          <w:rPr>
            <w:noProof w:val="0"/>
            <w:sz w:val="18"/>
          </w:rPr>
          <w:t xml:space="preserve">Version </w:t>
        </w:r>
        <w:r w:rsidR="00EE723E" w:rsidRPr="009E44FA">
          <w:rPr>
            <w:noProof w:val="0"/>
            <w:sz w:val="18"/>
          </w:rPr>
          <w:t>1.0</w:t>
        </w:r>
        <w:r w:rsidRPr="009E44FA">
          <w:rPr>
            <w:noProof w:val="0"/>
            <w:sz w:val="18"/>
          </w:rPr>
          <w:t xml:space="preserve">                                                   </w:t>
        </w:r>
        <w:r w:rsidR="009E44FA" w:rsidRPr="009E44FA">
          <w:rPr>
            <w:noProof w:val="0"/>
            <w:sz w:val="18"/>
          </w:rPr>
          <w:t xml:space="preserve">                   </w:t>
        </w:r>
        <w:r w:rsidRPr="009E44FA">
          <w:rPr>
            <w:noProof w:val="0"/>
            <w:sz w:val="18"/>
          </w:rPr>
          <w:fldChar w:fldCharType="begin"/>
        </w:r>
        <w:r w:rsidRPr="009E44FA">
          <w:rPr>
            <w:sz w:val="18"/>
          </w:rPr>
          <w:instrText xml:space="preserve"> PAGE   \* MERGEFORMAT </w:instrText>
        </w:r>
        <w:r w:rsidRPr="009E44FA">
          <w:rPr>
            <w:noProof w:val="0"/>
            <w:sz w:val="18"/>
          </w:rPr>
          <w:fldChar w:fldCharType="separate"/>
        </w:r>
        <w:r w:rsidR="001826EB">
          <w:rPr>
            <w:sz w:val="18"/>
          </w:rPr>
          <w:t>12</w:t>
        </w:r>
        <w:r w:rsidRPr="009E44FA">
          <w:rPr>
            <w:sz w:val="18"/>
          </w:rPr>
          <w:fldChar w:fldCharType="end"/>
        </w:r>
        <w:r>
          <w:rPr>
            <w:noProof w:val="0"/>
          </w:rPr>
          <w:t xml:space="preserve">                                                                                               </w:t>
        </w:r>
      </w:p>
    </w:sdtContent>
  </w:sdt>
  <w:p w:rsidR="00BD754C" w:rsidRDefault="00BD754C">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54C" w:rsidRDefault="00BD754C" w:rsidP="008B5281">
    <w:pPr>
      <w:pStyle w:val="Footer"/>
    </w:pPr>
    <w:r>
      <w:rPr>
        <w:rFonts w:asciiTheme="minorHAnsi" w:hAnsiTheme="minorHAnsi" w:cstheme="minorHAnsi"/>
        <w:noProof w:val="0"/>
        <w:sz w:val="20"/>
      </w:rPr>
      <w:t xml:space="preserve">                  </w:t>
    </w:r>
  </w:p>
  <w:p w:rsidR="00BD754C" w:rsidRDefault="00BD754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54C" w:rsidRDefault="00BD754C">
      <w:r>
        <w:separator/>
      </w:r>
    </w:p>
  </w:footnote>
  <w:footnote w:type="continuationSeparator" w:id="0">
    <w:p w:rsidR="00BD754C" w:rsidRDefault="00BD754C">
      <w:r>
        <w:continuationSeparator/>
      </w:r>
    </w:p>
  </w:footnote>
  <w:footnote w:type="continuationNotice" w:id="1">
    <w:p w:rsidR="00BD754C" w:rsidRDefault="00BD754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0" w:type="auto"/>
      <w:shd w:val="clear" w:color="auto" w:fill="E4F2E0"/>
      <w:tblLook w:val="04A0" w:firstRow="1" w:lastRow="0" w:firstColumn="1" w:lastColumn="0" w:noHBand="0" w:noVBand="1"/>
    </w:tblPr>
    <w:tblGrid>
      <w:gridCol w:w="8720"/>
    </w:tblGrid>
    <w:tr w:rsidR="002E40F0" w:rsidRPr="002E40F0" w:rsidTr="00331567">
      <w:tc>
        <w:tcPr>
          <w:tcW w:w="8720" w:type="dxa"/>
          <w:shd w:val="clear" w:color="auto" w:fill="E4F2E0"/>
        </w:tcPr>
        <w:p w:rsidR="002E40F0" w:rsidRPr="002E40F0" w:rsidRDefault="002E40F0" w:rsidP="002E40F0">
          <w:pPr>
            <w:tabs>
              <w:tab w:val="clear" w:pos="567"/>
            </w:tabs>
            <w:spacing w:before="180" w:after="180" w:line="240" w:lineRule="atLeast"/>
            <w:rPr>
              <w:rFonts w:eastAsia="Cambria"/>
            </w:rPr>
          </w:pPr>
          <w:r w:rsidRPr="002E40F0">
            <w:rPr>
              <w:rFonts w:eastAsia="Cambria"/>
              <w:b/>
              <w:sz w:val="20"/>
            </w:rPr>
            <w:t>Attachment 1: Product information for AusPAR Ajovy Fremanezumab Teva Pharma Australia Pty Ltd PM-2018-03494-1-1</w:t>
          </w:r>
          <w:r>
            <w:rPr>
              <w:rFonts w:eastAsia="Cambria"/>
              <w:b/>
              <w:sz w:val="20"/>
            </w:rPr>
            <w:t xml:space="preserve"> </w:t>
          </w:r>
          <w:r w:rsidRPr="002E40F0">
            <w:rPr>
              <w:rFonts w:eastAsia="Cambria"/>
              <w:b/>
              <w:sz w:val="20"/>
            </w:rPr>
            <w:t xml:space="preserve">Final 18 December 2019. </w:t>
          </w:r>
          <w:r w:rsidRPr="002E40F0">
            <w:rPr>
              <w:rFonts w:eastAsia="Cambria"/>
              <w:b/>
              <w:sz w:val="18"/>
              <w:szCs w:val="18"/>
            </w:rPr>
            <w:t>This is the Product Information that was approved with the submission described in this AusPAR. It may have been superseded. For the most recent PI, please refer to the TGA website at &lt;</w:t>
          </w:r>
          <w:hyperlink r:id="rId1" w:history="1">
            <w:r w:rsidRPr="002E40F0">
              <w:rPr>
                <w:rFonts w:eastAsia="Cambria"/>
                <w:color w:val="0000FF"/>
                <w:sz w:val="18"/>
                <w:szCs w:val="18"/>
                <w:u w:val="single"/>
              </w:rPr>
              <w:t>https://www.tga.gov.au/product-information-pi</w:t>
            </w:r>
          </w:hyperlink>
          <w:r w:rsidRPr="002E40F0">
            <w:rPr>
              <w:rFonts w:eastAsia="Cambria"/>
              <w:color w:val="0000FF"/>
              <w:sz w:val="18"/>
              <w:szCs w:val="18"/>
              <w:u w:val="single"/>
            </w:rPr>
            <w:t>&gt;</w:t>
          </w:r>
        </w:p>
      </w:tc>
    </w:tr>
  </w:tbl>
  <w:p w:rsidR="002E40F0" w:rsidRDefault="002E40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DD82A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C62B0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39205E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35C042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FF4D04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FC0D4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6C464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BE053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8029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780F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BEF7223"/>
    <w:multiLevelType w:val="hybridMultilevel"/>
    <w:tmpl w:val="930EE534"/>
    <w:lvl w:ilvl="0" w:tplc="E8BC3A22">
      <w:start w:val="1"/>
      <w:numFmt w:val="lowerLetter"/>
      <w:lvlText w:val="%1)"/>
      <w:lvlJc w:val="left"/>
      <w:pPr>
        <w:ind w:left="720" w:hanging="360"/>
      </w:pPr>
      <w:rPr>
        <w:rFonts w:hint="default"/>
        <w:b/>
        <w:i w:val="0"/>
        <w:color w:val="auto"/>
      </w:rPr>
    </w:lvl>
    <w:lvl w:ilvl="1" w:tplc="0214155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CF6A1E"/>
    <w:multiLevelType w:val="hybridMultilevel"/>
    <w:tmpl w:val="CE343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A7028C"/>
    <w:multiLevelType w:val="hybridMultilevel"/>
    <w:tmpl w:val="A2A07B56"/>
    <w:lvl w:ilvl="0" w:tplc="F6828640">
      <w:start w:val="1"/>
      <w:numFmt w:val="bullet"/>
      <w:lvlText w:val=""/>
      <w:lvlJc w:val="left"/>
      <w:pPr>
        <w:ind w:left="720" w:hanging="360"/>
      </w:pPr>
      <w:rPr>
        <w:rFonts w:ascii="Symbol" w:hAnsi="Symbol" w:cs="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044310"/>
    <w:multiLevelType w:val="hybridMultilevel"/>
    <w:tmpl w:val="1B804E36"/>
    <w:lvl w:ilvl="0" w:tplc="1C78A6D0">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09C5DA8"/>
    <w:multiLevelType w:val="hybridMultilevel"/>
    <w:tmpl w:val="7D36E71C"/>
    <w:lvl w:ilvl="0" w:tplc="08070001">
      <w:start w:val="1"/>
      <w:numFmt w:val="bullet"/>
      <w:lvlText w:val=""/>
      <w:lvlJc w:val="left"/>
      <w:pPr>
        <w:ind w:left="360" w:hanging="360"/>
      </w:pPr>
      <w:rPr>
        <w:rFonts w:ascii="Symbol" w:hAnsi="Symbol" w:hint="default"/>
      </w:rPr>
    </w:lvl>
    <w:lvl w:ilvl="1" w:tplc="08070001">
      <w:start w:val="1"/>
      <w:numFmt w:val="bullet"/>
      <w:lvlText w:val=""/>
      <w:lvlJc w:val="left"/>
      <w:pPr>
        <w:ind w:left="1080" w:hanging="360"/>
      </w:pPr>
      <w:rPr>
        <w:rFonts w:ascii="Symbol" w:hAnsi="Symbol"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486D5248"/>
    <w:multiLevelType w:val="hybridMultilevel"/>
    <w:tmpl w:val="DACC588E"/>
    <w:lvl w:ilvl="0" w:tplc="F6828640">
      <w:start w:val="1"/>
      <w:numFmt w:val="bullet"/>
      <w:lvlText w:val=""/>
      <w:lvlJc w:val="left"/>
      <w:pPr>
        <w:ind w:left="720" w:hanging="360"/>
      </w:pPr>
      <w:rPr>
        <w:rFonts w:ascii="Symbol" w:hAnsi="Symbol" w:cs="Symbol" w:hint="default"/>
        <w:color w:val="auto"/>
      </w:rPr>
    </w:lvl>
    <w:lvl w:ilvl="1" w:tplc="0214155A">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F1471B"/>
    <w:multiLevelType w:val="hybridMultilevel"/>
    <w:tmpl w:val="CE3A19B0"/>
    <w:lvl w:ilvl="0" w:tplc="F6828640">
      <w:start w:val="1"/>
      <w:numFmt w:val="bullet"/>
      <w:lvlText w:val=""/>
      <w:lvlJc w:val="left"/>
      <w:pPr>
        <w:ind w:left="360" w:hanging="360"/>
      </w:pPr>
      <w:rPr>
        <w:rFonts w:ascii="Symbol" w:hAnsi="Symbol" w:cs="Symbol"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61A7181C"/>
    <w:multiLevelType w:val="hybridMultilevel"/>
    <w:tmpl w:val="957C4ADE"/>
    <w:lvl w:ilvl="0" w:tplc="04090001">
      <w:start w:val="1"/>
      <w:numFmt w:val="bullet"/>
      <w:lvlText w:val=""/>
      <w:lvlJc w:val="left"/>
      <w:pPr>
        <w:ind w:left="720" w:hanging="360"/>
      </w:pPr>
      <w:rPr>
        <w:rFonts w:ascii="Symbol" w:hAnsi="Symbol" w:hint="default"/>
      </w:rPr>
    </w:lvl>
    <w:lvl w:ilvl="1" w:tplc="0214155A">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B877FF"/>
    <w:multiLevelType w:val="multilevel"/>
    <w:tmpl w:val="608E8A7E"/>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pStyle w:val="C-BulletIndented2"/>
      <w:lvlText w:val="○"/>
      <w:lvlJc w:val="left"/>
      <w:pPr>
        <w:tabs>
          <w:tab w:val="num" w:pos="1800"/>
        </w:tabs>
        <w:ind w:left="1800" w:hanging="360"/>
      </w:pPr>
      <w:rPr>
        <w:rFonts w:ascii="Times New Roman" w:hAnsi="Times New Roman" w:cs="Times New Roman"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20" w15:restartNumberingAfterBreak="0">
    <w:nsid w:val="6A924392"/>
    <w:multiLevelType w:val="hybridMultilevel"/>
    <w:tmpl w:val="052E2D3C"/>
    <w:lvl w:ilvl="0" w:tplc="55D65F18">
      <w:start w:val="1"/>
      <w:numFmt w:val="lowerLetter"/>
      <w:lvlText w:val="%1)"/>
      <w:lvlJc w:val="left"/>
      <w:pPr>
        <w:ind w:left="720" w:hanging="360"/>
      </w:pPr>
      <w:rPr>
        <w:rFonts w:hint="default"/>
        <w:color w:val="auto"/>
      </w:rPr>
    </w:lvl>
    <w:lvl w:ilvl="1" w:tplc="0214155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E26A4C"/>
    <w:multiLevelType w:val="hybridMultilevel"/>
    <w:tmpl w:val="930EE534"/>
    <w:lvl w:ilvl="0" w:tplc="E8BC3A22">
      <w:start w:val="1"/>
      <w:numFmt w:val="lowerLetter"/>
      <w:lvlText w:val="%1)"/>
      <w:lvlJc w:val="left"/>
      <w:pPr>
        <w:ind w:left="720" w:hanging="360"/>
      </w:pPr>
      <w:rPr>
        <w:rFonts w:hint="default"/>
        <w:b/>
        <w:i w:val="0"/>
        <w:color w:val="auto"/>
      </w:rPr>
    </w:lvl>
    <w:lvl w:ilvl="1" w:tplc="0214155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37062B"/>
    <w:multiLevelType w:val="hybridMultilevel"/>
    <w:tmpl w:val="2118E81C"/>
    <w:lvl w:ilvl="0" w:tplc="77C8D2FA">
      <w:start w:val="1"/>
      <w:numFmt w:val="lowerLetter"/>
      <w:lvlText w:val="%1)"/>
      <w:lvlJc w:val="left"/>
      <w:pPr>
        <w:ind w:left="720" w:hanging="360"/>
      </w:pPr>
      <w:rPr>
        <w:rFonts w:hint="default"/>
        <w:b/>
        <w:i w:val="0"/>
        <w:color w:val="auto"/>
      </w:rPr>
    </w:lvl>
    <w:lvl w:ilvl="1" w:tplc="0214155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vlJc w:val="left"/>
        <w:pPr>
          <w:ind w:left="720" w:hanging="360"/>
        </w:pPr>
      </w:lvl>
    </w:lvlOverride>
  </w:num>
  <w:num w:numId="2">
    <w:abstractNumId w:val="10"/>
    <w:lvlOverride w:ilvl="0">
      <w:lvl w:ilvl="0">
        <w:start w:val="1"/>
        <w:numFmt w:val="bullet"/>
        <w:lvlText w:val="-"/>
        <w:legacy w:legacy="1" w:legacySpace="0" w:legacyIndent="360"/>
        <w:lvlJc w:val="left"/>
        <w:pPr>
          <w:ind w:left="360" w:hanging="360"/>
        </w:pPr>
      </w:lvl>
    </w:lvlOverride>
  </w:num>
  <w:num w:numId="3">
    <w:abstractNumId w:val="15"/>
  </w:num>
  <w:num w:numId="4">
    <w:abstractNumId w:val="17"/>
  </w:num>
  <w:num w:numId="5">
    <w:abstractNumId w:val="19"/>
  </w:num>
  <w:num w:numId="6">
    <w:abstractNumId w:val="20"/>
  </w:num>
  <w:num w:numId="7">
    <w:abstractNumId w:val="18"/>
  </w:num>
  <w:num w:numId="8">
    <w:abstractNumId w:val="12"/>
  </w:num>
  <w:num w:numId="9">
    <w:abstractNumId w:val="13"/>
  </w:num>
  <w:num w:numId="10">
    <w:abstractNumId w:val="16"/>
  </w:num>
  <w:num w:numId="11">
    <w:abstractNumId w:val="11"/>
  </w:num>
  <w:num w:numId="12">
    <w:abstractNumId w:val="22"/>
  </w:num>
  <w:num w:numId="13">
    <w:abstractNumId w:val="21"/>
  </w:num>
  <w:num w:numId="14">
    <w:abstractNumId w:val="14"/>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0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6017"/>
  </w:hdrShapeDefaults>
  <w:footnotePr>
    <w:footnote w:id="-1"/>
    <w:footnote w:id="0"/>
    <w:footnote w:id="1"/>
  </w:footnotePr>
  <w:endnotePr>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Registered" w:val="-1"/>
    <w:docVar w:name="Version" w:val="0"/>
  </w:docVars>
  <w:rsids>
    <w:rsidRoot w:val="00812D16"/>
    <w:rsid w:val="00000D62"/>
    <w:rsid w:val="00000DE2"/>
    <w:rsid w:val="0000138E"/>
    <w:rsid w:val="00001587"/>
    <w:rsid w:val="0000362A"/>
    <w:rsid w:val="000038B6"/>
    <w:rsid w:val="00003A43"/>
    <w:rsid w:val="00003A90"/>
    <w:rsid w:val="00003AEF"/>
    <w:rsid w:val="000051F5"/>
    <w:rsid w:val="00005701"/>
    <w:rsid w:val="00006741"/>
    <w:rsid w:val="00007528"/>
    <w:rsid w:val="0001164F"/>
    <w:rsid w:val="00012B54"/>
    <w:rsid w:val="00013D49"/>
    <w:rsid w:val="00014869"/>
    <w:rsid w:val="000150D3"/>
    <w:rsid w:val="000166C1"/>
    <w:rsid w:val="00017C41"/>
    <w:rsid w:val="0002006B"/>
    <w:rsid w:val="000209F1"/>
    <w:rsid w:val="00020AE8"/>
    <w:rsid w:val="000212BB"/>
    <w:rsid w:val="00021BA0"/>
    <w:rsid w:val="00022504"/>
    <w:rsid w:val="00023A2C"/>
    <w:rsid w:val="00025EBE"/>
    <w:rsid w:val="00026BF2"/>
    <w:rsid w:val="000271F6"/>
    <w:rsid w:val="000279CC"/>
    <w:rsid w:val="00030445"/>
    <w:rsid w:val="000318C7"/>
    <w:rsid w:val="00033D26"/>
    <w:rsid w:val="00033FDB"/>
    <w:rsid w:val="0003414E"/>
    <w:rsid w:val="000344F6"/>
    <w:rsid w:val="00034588"/>
    <w:rsid w:val="00037422"/>
    <w:rsid w:val="0003747C"/>
    <w:rsid w:val="00041EF2"/>
    <w:rsid w:val="00042263"/>
    <w:rsid w:val="000426E7"/>
    <w:rsid w:val="00043505"/>
    <w:rsid w:val="00043C70"/>
    <w:rsid w:val="00043E88"/>
    <w:rsid w:val="00044042"/>
    <w:rsid w:val="00044CAF"/>
    <w:rsid w:val="000474D2"/>
    <w:rsid w:val="000479C5"/>
    <w:rsid w:val="00050DFD"/>
    <w:rsid w:val="00053177"/>
    <w:rsid w:val="000531CE"/>
    <w:rsid w:val="00053764"/>
    <w:rsid w:val="00053809"/>
    <w:rsid w:val="00053914"/>
    <w:rsid w:val="0005469C"/>
    <w:rsid w:val="00054756"/>
    <w:rsid w:val="00055271"/>
    <w:rsid w:val="000556C8"/>
    <w:rsid w:val="00055B79"/>
    <w:rsid w:val="000560C5"/>
    <w:rsid w:val="00056C49"/>
    <w:rsid w:val="00056FE0"/>
    <w:rsid w:val="00060090"/>
    <w:rsid w:val="000603C8"/>
    <w:rsid w:val="0006040C"/>
    <w:rsid w:val="000608A4"/>
    <w:rsid w:val="00060AA1"/>
    <w:rsid w:val="00061FEE"/>
    <w:rsid w:val="000631FD"/>
    <w:rsid w:val="000635C4"/>
    <w:rsid w:val="000643D3"/>
    <w:rsid w:val="00067B16"/>
    <w:rsid w:val="00071F8A"/>
    <w:rsid w:val="0007294E"/>
    <w:rsid w:val="00073E04"/>
    <w:rsid w:val="0007401B"/>
    <w:rsid w:val="00074D2D"/>
    <w:rsid w:val="00074D53"/>
    <w:rsid w:val="000757B2"/>
    <w:rsid w:val="0007628D"/>
    <w:rsid w:val="00081DAB"/>
    <w:rsid w:val="00083F0A"/>
    <w:rsid w:val="0008661B"/>
    <w:rsid w:val="00086DA4"/>
    <w:rsid w:val="00091299"/>
    <w:rsid w:val="00092829"/>
    <w:rsid w:val="00092B09"/>
    <w:rsid w:val="0009351E"/>
    <w:rsid w:val="0009479A"/>
    <w:rsid w:val="00094AD6"/>
    <w:rsid w:val="00095D61"/>
    <w:rsid w:val="00095E44"/>
    <w:rsid w:val="00096D8D"/>
    <w:rsid w:val="0009730E"/>
    <w:rsid w:val="0009755A"/>
    <w:rsid w:val="0009778B"/>
    <w:rsid w:val="000A0674"/>
    <w:rsid w:val="000A1232"/>
    <w:rsid w:val="000A30E5"/>
    <w:rsid w:val="000A40D0"/>
    <w:rsid w:val="000B0097"/>
    <w:rsid w:val="000B101F"/>
    <w:rsid w:val="000B1F4B"/>
    <w:rsid w:val="000B2764"/>
    <w:rsid w:val="000B2F27"/>
    <w:rsid w:val="000B2F58"/>
    <w:rsid w:val="000B37A8"/>
    <w:rsid w:val="000B5162"/>
    <w:rsid w:val="000B51D9"/>
    <w:rsid w:val="000C03FB"/>
    <w:rsid w:val="000C05DA"/>
    <w:rsid w:val="000C308F"/>
    <w:rsid w:val="000C409C"/>
    <w:rsid w:val="000C4DE5"/>
    <w:rsid w:val="000C4FC8"/>
    <w:rsid w:val="000C5A4E"/>
    <w:rsid w:val="000C635D"/>
    <w:rsid w:val="000C65BD"/>
    <w:rsid w:val="000C68FA"/>
    <w:rsid w:val="000C7B9D"/>
    <w:rsid w:val="000C7F49"/>
    <w:rsid w:val="000D1AEE"/>
    <w:rsid w:val="000D1F4F"/>
    <w:rsid w:val="000D4189"/>
    <w:rsid w:val="000D4D07"/>
    <w:rsid w:val="000D6E80"/>
    <w:rsid w:val="000D73BF"/>
    <w:rsid w:val="000D7535"/>
    <w:rsid w:val="000E0844"/>
    <w:rsid w:val="000E165D"/>
    <w:rsid w:val="000E1BAF"/>
    <w:rsid w:val="000E1DAE"/>
    <w:rsid w:val="000E203C"/>
    <w:rsid w:val="000E223E"/>
    <w:rsid w:val="000E2491"/>
    <w:rsid w:val="000E2EA9"/>
    <w:rsid w:val="000E46A3"/>
    <w:rsid w:val="000E4E88"/>
    <w:rsid w:val="000E51C5"/>
    <w:rsid w:val="000E5726"/>
    <w:rsid w:val="000E6C94"/>
    <w:rsid w:val="000E7669"/>
    <w:rsid w:val="000F1399"/>
    <w:rsid w:val="000F18E1"/>
    <w:rsid w:val="000F1BB2"/>
    <w:rsid w:val="000F217A"/>
    <w:rsid w:val="000F2607"/>
    <w:rsid w:val="000F3F94"/>
    <w:rsid w:val="000F5235"/>
    <w:rsid w:val="000F5B21"/>
    <w:rsid w:val="0010071E"/>
    <w:rsid w:val="00103501"/>
    <w:rsid w:val="00103B2D"/>
    <w:rsid w:val="00103CD2"/>
    <w:rsid w:val="00104061"/>
    <w:rsid w:val="00106B18"/>
    <w:rsid w:val="00107186"/>
    <w:rsid w:val="00107236"/>
    <w:rsid w:val="001074B3"/>
    <w:rsid w:val="001101A2"/>
    <w:rsid w:val="001106F7"/>
    <w:rsid w:val="001108A9"/>
    <w:rsid w:val="00112EDA"/>
    <w:rsid w:val="00114174"/>
    <w:rsid w:val="00117966"/>
    <w:rsid w:val="00117B4A"/>
    <w:rsid w:val="00117C1D"/>
    <w:rsid w:val="001208F0"/>
    <w:rsid w:val="00121CD0"/>
    <w:rsid w:val="00123688"/>
    <w:rsid w:val="00125D3C"/>
    <w:rsid w:val="0012697A"/>
    <w:rsid w:val="00127F47"/>
    <w:rsid w:val="00132445"/>
    <w:rsid w:val="00133572"/>
    <w:rsid w:val="00133E10"/>
    <w:rsid w:val="00133FF6"/>
    <w:rsid w:val="00134E4A"/>
    <w:rsid w:val="001364FB"/>
    <w:rsid w:val="001365F2"/>
    <w:rsid w:val="00136D7A"/>
    <w:rsid w:val="001374C5"/>
    <w:rsid w:val="0013768E"/>
    <w:rsid w:val="00141470"/>
    <w:rsid w:val="00141540"/>
    <w:rsid w:val="001415C3"/>
    <w:rsid w:val="00141B9D"/>
    <w:rsid w:val="00143C34"/>
    <w:rsid w:val="001447F7"/>
    <w:rsid w:val="001449DF"/>
    <w:rsid w:val="0014569B"/>
    <w:rsid w:val="001470E0"/>
    <w:rsid w:val="00147973"/>
    <w:rsid w:val="00147C56"/>
    <w:rsid w:val="00150060"/>
    <w:rsid w:val="001544A7"/>
    <w:rsid w:val="00154C69"/>
    <w:rsid w:val="001569CD"/>
    <w:rsid w:val="0015704C"/>
    <w:rsid w:val="00157895"/>
    <w:rsid w:val="00161701"/>
    <w:rsid w:val="00161B7B"/>
    <w:rsid w:val="00161E87"/>
    <w:rsid w:val="001633CD"/>
    <w:rsid w:val="0016566C"/>
    <w:rsid w:val="00166588"/>
    <w:rsid w:val="00167DE4"/>
    <w:rsid w:val="0017000F"/>
    <w:rsid w:val="001711EA"/>
    <w:rsid w:val="001727F0"/>
    <w:rsid w:val="00172B06"/>
    <w:rsid w:val="0017347E"/>
    <w:rsid w:val="0017480A"/>
    <w:rsid w:val="00174D43"/>
    <w:rsid w:val="001752D8"/>
    <w:rsid w:val="00175931"/>
    <w:rsid w:val="00176B25"/>
    <w:rsid w:val="00180FFA"/>
    <w:rsid w:val="00181F88"/>
    <w:rsid w:val="0018238B"/>
    <w:rsid w:val="001826EB"/>
    <w:rsid w:val="00183419"/>
    <w:rsid w:val="0018394A"/>
    <w:rsid w:val="00183F45"/>
    <w:rsid w:val="00184DCC"/>
    <w:rsid w:val="00186A9D"/>
    <w:rsid w:val="00186F33"/>
    <w:rsid w:val="001874A6"/>
    <w:rsid w:val="0018765B"/>
    <w:rsid w:val="001904AE"/>
    <w:rsid w:val="00190913"/>
    <w:rsid w:val="0019236A"/>
    <w:rsid w:val="00192455"/>
    <w:rsid w:val="00193B21"/>
    <w:rsid w:val="00193DD3"/>
    <w:rsid w:val="001948AA"/>
    <w:rsid w:val="00195CC2"/>
    <w:rsid w:val="00195F65"/>
    <w:rsid w:val="00196F9C"/>
    <w:rsid w:val="001A07E2"/>
    <w:rsid w:val="001A0A5D"/>
    <w:rsid w:val="001A2018"/>
    <w:rsid w:val="001A3A27"/>
    <w:rsid w:val="001A4D82"/>
    <w:rsid w:val="001A56F1"/>
    <w:rsid w:val="001A5B56"/>
    <w:rsid w:val="001A5D0E"/>
    <w:rsid w:val="001B01C8"/>
    <w:rsid w:val="001B0B52"/>
    <w:rsid w:val="001B13F6"/>
    <w:rsid w:val="001B1747"/>
    <w:rsid w:val="001B1DBF"/>
    <w:rsid w:val="001B2D44"/>
    <w:rsid w:val="001B5126"/>
    <w:rsid w:val="001B752A"/>
    <w:rsid w:val="001C12FB"/>
    <w:rsid w:val="001C2810"/>
    <w:rsid w:val="001C2DB4"/>
    <w:rsid w:val="001C3228"/>
    <w:rsid w:val="001C35E9"/>
    <w:rsid w:val="001C36BD"/>
    <w:rsid w:val="001C3733"/>
    <w:rsid w:val="001C3846"/>
    <w:rsid w:val="001C4626"/>
    <w:rsid w:val="001C48CA"/>
    <w:rsid w:val="001C49B3"/>
    <w:rsid w:val="001C5B30"/>
    <w:rsid w:val="001C7EC4"/>
    <w:rsid w:val="001D06B3"/>
    <w:rsid w:val="001D2953"/>
    <w:rsid w:val="001D3C05"/>
    <w:rsid w:val="001D645B"/>
    <w:rsid w:val="001D6AF4"/>
    <w:rsid w:val="001E0CC1"/>
    <w:rsid w:val="001E1C10"/>
    <w:rsid w:val="001E2B2B"/>
    <w:rsid w:val="001E3CC0"/>
    <w:rsid w:val="001E41CD"/>
    <w:rsid w:val="001E77C3"/>
    <w:rsid w:val="001F090B"/>
    <w:rsid w:val="001F0C8C"/>
    <w:rsid w:val="001F0F73"/>
    <w:rsid w:val="001F180A"/>
    <w:rsid w:val="001F1A28"/>
    <w:rsid w:val="001F1AD0"/>
    <w:rsid w:val="001F35E8"/>
    <w:rsid w:val="001F4014"/>
    <w:rsid w:val="001F445E"/>
    <w:rsid w:val="001F6423"/>
    <w:rsid w:val="001F6EFC"/>
    <w:rsid w:val="00201213"/>
    <w:rsid w:val="0020165E"/>
    <w:rsid w:val="0020272E"/>
    <w:rsid w:val="00202E50"/>
    <w:rsid w:val="0020305F"/>
    <w:rsid w:val="00203EB1"/>
    <w:rsid w:val="00204AAB"/>
    <w:rsid w:val="00205180"/>
    <w:rsid w:val="002052B3"/>
    <w:rsid w:val="00207A30"/>
    <w:rsid w:val="00207F81"/>
    <w:rsid w:val="002109F4"/>
    <w:rsid w:val="00210EAD"/>
    <w:rsid w:val="002114ED"/>
    <w:rsid w:val="00211595"/>
    <w:rsid w:val="00211FDA"/>
    <w:rsid w:val="0021296F"/>
    <w:rsid w:val="00212DF6"/>
    <w:rsid w:val="00213B46"/>
    <w:rsid w:val="002148CA"/>
    <w:rsid w:val="00215195"/>
    <w:rsid w:val="00215AF2"/>
    <w:rsid w:val="00215FC6"/>
    <w:rsid w:val="00215FDA"/>
    <w:rsid w:val="002160C2"/>
    <w:rsid w:val="00216162"/>
    <w:rsid w:val="002166B8"/>
    <w:rsid w:val="00221DDD"/>
    <w:rsid w:val="00222BB9"/>
    <w:rsid w:val="002231E0"/>
    <w:rsid w:val="002247E6"/>
    <w:rsid w:val="002258D6"/>
    <w:rsid w:val="00226E00"/>
    <w:rsid w:val="002274FB"/>
    <w:rsid w:val="002309D2"/>
    <w:rsid w:val="00231B61"/>
    <w:rsid w:val="0023315B"/>
    <w:rsid w:val="002344DD"/>
    <w:rsid w:val="002347FE"/>
    <w:rsid w:val="002360D3"/>
    <w:rsid w:val="002403BA"/>
    <w:rsid w:val="0024178D"/>
    <w:rsid w:val="00242EAA"/>
    <w:rsid w:val="0024392B"/>
    <w:rsid w:val="002450C6"/>
    <w:rsid w:val="00245DCF"/>
    <w:rsid w:val="00246C65"/>
    <w:rsid w:val="00246EF4"/>
    <w:rsid w:val="0024721F"/>
    <w:rsid w:val="0025080E"/>
    <w:rsid w:val="0025129F"/>
    <w:rsid w:val="002514A7"/>
    <w:rsid w:val="00251A10"/>
    <w:rsid w:val="00252B04"/>
    <w:rsid w:val="00252BFF"/>
    <w:rsid w:val="00253732"/>
    <w:rsid w:val="002542A8"/>
    <w:rsid w:val="00255E01"/>
    <w:rsid w:val="00256389"/>
    <w:rsid w:val="002566CC"/>
    <w:rsid w:val="002607C4"/>
    <w:rsid w:val="00260A11"/>
    <w:rsid w:val="0026169A"/>
    <w:rsid w:val="00262763"/>
    <w:rsid w:val="002645EC"/>
    <w:rsid w:val="00264BEA"/>
    <w:rsid w:val="002650A9"/>
    <w:rsid w:val="00267850"/>
    <w:rsid w:val="00271032"/>
    <w:rsid w:val="00272D60"/>
    <w:rsid w:val="00273E3E"/>
    <w:rsid w:val="00274147"/>
    <w:rsid w:val="00274822"/>
    <w:rsid w:val="00275189"/>
    <w:rsid w:val="002756DC"/>
    <w:rsid w:val="00276137"/>
    <w:rsid w:val="00276412"/>
    <w:rsid w:val="00276437"/>
    <w:rsid w:val="00280053"/>
    <w:rsid w:val="002801E6"/>
    <w:rsid w:val="0028063F"/>
    <w:rsid w:val="00280740"/>
    <w:rsid w:val="00280F9E"/>
    <w:rsid w:val="00283B02"/>
    <w:rsid w:val="00283C5D"/>
    <w:rsid w:val="002844B0"/>
    <w:rsid w:val="00286322"/>
    <w:rsid w:val="00295B1D"/>
    <w:rsid w:val="00296B03"/>
    <w:rsid w:val="00296C1F"/>
    <w:rsid w:val="002A12BC"/>
    <w:rsid w:val="002A2B79"/>
    <w:rsid w:val="002A41E6"/>
    <w:rsid w:val="002A44C8"/>
    <w:rsid w:val="002A52A9"/>
    <w:rsid w:val="002A545A"/>
    <w:rsid w:val="002A55F0"/>
    <w:rsid w:val="002A5E48"/>
    <w:rsid w:val="002A6266"/>
    <w:rsid w:val="002A75BB"/>
    <w:rsid w:val="002B0059"/>
    <w:rsid w:val="002B0455"/>
    <w:rsid w:val="002B1B39"/>
    <w:rsid w:val="002B261C"/>
    <w:rsid w:val="002B2BEE"/>
    <w:rsid w:val="002B35C5"/>
    <w:rsid w:val="002B3935"/>
    <w:rsid w:val="002B406A"/>
    <w:rsid w:val="002B41D4"/>
    <w:rsid w:val="002B43A8"/>
    <w:rsid w:val="002B543F"/>
    <w:rsid w:val="002B6165"/>
    <w:rsid w:val="002B6A8D"/>
    <w:rsid w:val="002B7D73"/>
    <w:rsid w:val="002C06E3"/>
    <w:rsid w:val="002C0801"/>
    <w:rsid w:val="002C09CB"/>
    <w:rsid w:val="002C145F"/>
    <w:rsid w:val="002C1651"/>
    <w:rsid w:val="002C29D5"/>
    <w:rsid w:val="002C33B3"/>
    <w:rsid w:val="002C44B0"/>
    <w:rsid w:val="002C4E07"/>
    <w:rsid w:val="002D0586"/>
    <w:rsid w:val="002D1023"/>
    <w:rsid w:val="002D1459"/>
    <w:rsid w:val="002D1470"/>
    <w:rsid w:val="002D21CF"/>
    <w:rsid w:val="002D3DB7"/>
    <w:rsid w:val="002D4705"/>
    <w:rsid w:val="002D59F8"/>
    <w:rsid w:val="002D5B65"/>
    <w:rsid w:val="002D6396"/>
    <w:rsid w:val="002D7E5E"/>
    <w:rsid w:val="002E07BA"/>
    <w:rsid w:val="002E07EF"/>
    <w:rsid w:val="002E0D06"/>
    <w:rsid w:val="002E16A7"/>
    <w:rsid w:val="002E1810"/>
    <w:rsid w:val="002E40F0"/>
    <w:rsid w:val="002E4E94"/>
    <w:rsid w:val="002E580A"/>
    <w:rsid w:val="002F1F28"/>
    <w:rsid w:val="002F28AD"/>
    <w:rsid w:val="002F43CA"/>
    <w:rsid w:val="002F57AA"/>
    <w:rsid w:val="002F5ABE"/>
    <w:rsid w:val="002F6EF7"/>
    <w:rsid w:val="002F714C"/>
    <w:rsid w:val="002F77BF"/>
    <w:rsid w:val="003004A2"/>
    <w:rsid w:val="00301B0E"/>
    <w:rsid w:val="00303DD5"/>
    <w:rsid w:val="00305AC0"/>
    <w:rsid w:val="003074EC"/>
    <w:rsid w:val="00307B74"/>
    <w:rsid w:val="00310764"/>
    <w:rsid w:val="00310A46"/>
    <w:rsid w:val="0031149B"/>
    <w:rsid w:val="00311BFD"/>
    <w:rsid w:val="0031284C"/>
    <w:rsid w:val="003133D9"/>
    <w:rsid w:val="00314718"/>
    <w:rsid w:val="0031488A"/>
    <w:rsid w:val="00314F3B"/>
    <w:rsid w:val="003175E1"/>
    <w:rsid w:val="00320203"/>
    <w:rsid w:val="00320A5D"/>
    <w:rsid w:val="003213B2"/>
    <w:rsid w:val="00322002"/>
    <w:rsid w:val="00323F8A"/>
    <w:rsid w:val="003247B0"/>
    <w:rsid w:val="00324CD0"/>
    <w:rsid w:val="003257A4"/>
    <w:rsid w:val="00325926"/>
    <w:rsid w:val="00325E81"/>
    <w:rsid w:val="00326948"/>
    <w:rsid w:val="00327052"/>
    <w:rsid w:val="00327E73"/>
    <w:rsid w:val="00331A96"/>
    <w:rsid w:val="003337E5"/>
    <w:rsid w:val="0033486D"/>
    <w:rsid w:val="00335228"/>
    <w:rsid w:val="003367C4"/>
    <w:rsid w:val="00336D8E"/>
    <w:rsid w:val="003376B3"/>
    <w:rsid w:val="003376FD"/>
    <w:rsid w:val="0033789B"/>
    <w:rsid w:val="00340C13"/>
    <w:rsid w:val="00342684"/>
    <w:rsid w:val="00342DBA"/>
    <w:rsid w:val="003444CD"/>
    <w:rsid w:val="00345244"/>
    <w:rsid w:val="00345F9C"/>
    <w:rsid w:val="00347776"/>
    <w:rsid w:val="00351A91"/>
    <w:rsid w:val="003520C4"/>
    <w:rsid w:val="00352F77"/>
    <w:rsid w:val="003533AE"/>
    <w:rsid w:val="00355CCC"/>
    <w:rsid w:val="00355D16"/>
    <w:rsid w:val="00355E14"/>
    <w:rsid w:val="003571E8"/>
    <w:rsid w:val="00357C5E"/>
    <w:rsid w:val="003608BD"/>
    <w:rsid w:val="00361280"/>
    <w:rsid w:val="003615F1"/>
    <w:rsid w:val="00361A6E"/>
    <w:rsid w:val="00361E0E"/>
    <w:rsid w:val="003626AF"/>
    <w:rsid w:val="00363D7F"/>
    <w:rsid w:val="00363E61"/>
    <w:rsid w:val="0036557B"/>
    <w:rsid w:val="0036655E"/>
    <w:rsid w:val="003673F5"/>
    <w:rsid w:val="00367C66"/>
    <w:rsid w:val="003700B2"/>
    <w:rsid w:val="0037233D"/>
    <w:rsid w:val="003736EF"/>
    <w:rsid w:val="003737E3"/>
    <w:rsid w:val="003742C6"/>
    <w:rsid w:val="00375B32"/>
    <w:rsid w:val="0038093E"/>
    <w:rsid w:val="00380A1A"/>
    <w:rsid w:val="00380D80"/>
    <w:rsid w:val="003814FC"/>
    <w:rsid w:val="003820C5"/>
    <w:rsid w:val="00382BF3"/>
    <w:rsid w:val="0038500E"/>
    <w:rsid w:val="00385989"/>
    <w:rsid w:val="00385A17"/>
    <w:rsid w:val="00386505"/>
    <w:rsid w:val="0038761D"/>
    <w:rsid w:val="00387C1F"/>
    <w:rsid w:val="0039015E"/>
    <w:rsid w:val="003906F8"/>
    <w:rsid w:val="00390F22"/>
    <w:rsid w:val="003930FC"/>
    <w:rsid w:val="003935EE"/>
    <w:rsid w:val="00393EE9"/>
    <w:rsid w:val="0039408A"/>
    <w:rsid w:val="00394565"/>
    <w:rsid w:val="003945F5"/>
    <w:rsid w:val="00394754"/>
    <w:rsid w:val="003961AD"/>
    <w:rsid w:val="0039673D"/>
    <w:rsid w:val="003975DA"/>
    <w:rsid w:val="00397893"/>
    <w:rsid w:val="00397DEA"/>
    <w:rsid w:val="003A0DAB"/>
    <w:rsid w:val="003A1314"/>
    <w:rsid w:val="003A1B07"/>
    <w:rsid w:val="003A2407"/>
    <w:rsid w:val="003A2CF0"/>
    <w:rsid w:val="003A33D3"/>
    <w:rsid w:val="003A3880"/>
    <w:rsid w:val="003A4B52"/>
    <w:rsid w:val="003A5BC5"/>
    <w:rsid w:val="003A5D55"/>
    <w:rsid w:val="003A6A0F"/>
    <w:rsid w:val="003A75E6"/>
    <w:rsid w:val="003B17E3"/>
    <w:rsid w:val="003B255B"/>
    <w:rsid w:val="003B3317"/>
    <w:rsid w:val="003B4B2F"/>
    <w:rsid w:val="003B4C50"/>
    <w:rsid w:val="003B52D4"/>
    <w:rsid w:val="003B5CED"/>
    <w:rsid w:val="003B616D"/>
    <w:rsid w:val="003B7EC4"/>
    <w:rsid w:val="003C1CA5"/>
    <w:rsid w:val="003C1EC7"/>
    <w:rsid w:val="003C25CC"/>
    <w:rsid w:val="003C3A76"/>
    <w:rsid w:val="003C3D8E"/>
    <w:rsid w:val="003C5E61"/>
    <w:rsid w:val="003C6256"/>
    <w:rsid w:val="003C64A0"/>
    <w:rsid w:val="003C6F0B"/>
    <w:rsid w:val="003C7BA3"/>
    <w:rsid w:val="003C7F58"/>
    <w:rsid w:val="003D329C"/>
    <w:rsid w:val="003D3642"/>
    <w:rsid w:val="003D427D"/>
    <w:rsid w:val="003D4E9C"/>
    <w:rsid w:val="003D5EE8"/>
    <w:rsid w:val="003D7B4D"/>
    <w:rsid w:val="003E0D78"/>
    <w:rsid w:val="003E1CB1"/>
    <w:rsid w:val="003E3A1D"/>
    <w:rsid w:val="003E5ECC"/>
    <w:rsid w:val="003E6CA0"/>
    <w:rsid w:val="003E736C"/>
    <w:rsid w:val="003F030B"/>
    <w:rsid w:val="003F1F41"/>
    <w:rsid w:val="003F2ECB"/>
    <w:rsid w:val="003F2F76"/>
    <w:rsid w:val="003F2FDE"/>
    <w:rsid w:val="003F330B"/>
    <w:rsid w:val="003F347D"/>
    <w:rsid w:val="003F6FDF"/>
    <w:rsid w:val="00400B47"/>
    <w:rsid w:val="00400D72"/>
    <w:rsid w:val="004016F5"/>
    <w:rsid w:val="0040289A"/>
    <w:rsid w:val="00403F2D"/>
    <w:rsid w:val="0040417E"/>
    <w:rsid w:val="004045AA"/>
    <w:rsid w:val="00405279"/>
    <w:rsid w:val="0040549A"/>
    <w:rsid w:val="00405CC9"/>
    <w:rsid w:val="0040711E"/>
    <w:rsid w:val="00407D67"/>
    <w:rsid w:val="00412450"/>
    <w:rsid w:val="00412AB9"/>
    <w:rsid w:val="004135C1"/>
    <w:rsid w:val="004138DE"/>
    <w:rsid w:val="00413B39"/>
    <w:rsid w:val="004145B8"/>
    <w:rsid w:val="00414B2F"/>
    <w:rsid w:val="00414F28"/>
    <w:rsid w:val="00415E58"/>
    <w:rsid w:val="00416231"/>
    <w:rsid w:val="004208AB"/>
    <w:rsid w:val="004219EF"/>
    <w:rsid w:val="00421A72"/>
    <w:rsid w:val="00421ACE"/>
    <w:rsid w:val="00424348"/>
    <w:rsid w:val="00426CD9"/>
    <w:rsid w:val="00430FEB"/>
    <w:rsid w:val="004310EE"/>
    <w:rsid w:val="004321D3"/>
    <w:rsid w:val="00432F73"/>
    <w:rsid w:val="00433677"/>
    <w:rsid w:val="004340D5"/>
    <w:rsid w:val="00434880"/>
    <w:rsid w:val="00434A21"/>
    <w:rsid w:val="0043526D"/>
    <w:rsid w:val="004359FB"/>
    <w:rsid w:val="00436C68"/>
    <w:rsid w:val="004439A6"/>
    <w:rsid w:val="00443CE4"/>
    <w:rsid w:val="004460E9"/>
    <w:rsid w:val="00447B6F"/>
    <w:rsid w:val="004506DC"/>
    <w:rsid w:val="00450962"/>
    <w:rsid w:val="00451C38"/>
    <w:rsid w:val="00451C44"/>
    <w:rsid w:val="00453623"/>
    <w:rsid w:val="00453C11"/>
    <w:rsid w:val="00453EB4"/>
    <w:rsid w:val="004557B0"/>
    <w:rsid w:val="004559BD"/>
    <w:rsid w:val="00457946"/>
    <w:rsid w:val="00457D8B"/>
    <w:rsid w:val="00460A17"/>
    <w:rsid w:val="0046120A"/>
    <w:rsid w:val="00462F79"/>
    <w:rsid w:val="00463438"/>
    <w:rsid w:val="00463ECE"/>
    <w:rsid w:val="00465388"/>
    <w:rsid w:val="0046540E"/>
    <w:rsid w:val="004677C9"/>
    <w:rsid w:val="00467955"/>
    <w:rsid w:val="00470CB5"/>
    <w:rsid w:val="00471EAB"/>
    <w:rsid w:val="004723EE"/>
    <w:rsid w:val="00472AEF"/>
    <w:rsid w:val="00473AD9"/>
    <w:rsid w:val="0047544D"/>
    <w:rsid w:val="00475869"/>
    <w:rsid w:val="00475A92"/>
    <w:rsid w:val="004776A4"/>
    <w:rsid w:val="00477BB9"/>
    <w:rsid w:val="00480504"/>
    <w:rsid w:val="0048141C"/>
    <w:rsid w:val="00481910"/>
    <w:rsid w:val="00481E5A"/>
    <w:rsid w:val="004859EE"/>
    <w:rsid w:val="00486407"/>
    <w:rsid w:val="00487366"/>
    <w:rsid w:val="004873E4"/>
    <w:rsid w:val="0049072C"/>
    <w:rsid w:val="00490DA4"/>
    <w:rsid w:val="00490FD1"/>
    <w:rsid w:val="0049100D"/>
    <w:rsid w:val="0049118F"/>
    <w:rsid w:val="00491AD2"/>
    <w:rsid w:val="004935C0"/>
    <w:rsid w:val="004939BE"/>
    <w:rsid w:val="00493B43"/>
    <w:rsid w:val="00494C27"/>
    <w:rsid w:val="00494EB1"/>
    <w:rsid w:val="00496414"/>
    <w:rsid w:val="00496FA4"/>
    <w:rsid w:val="00497A38"/>
    <w:rsid w:val="004A22CB"/>
    <w:rsid w:val="004A45BD"/>
    <w:rsid w:val="004A4656"/>
    <w:rsid w:val="004A497A"/>
    <w:rsid w:val="004A77B0"/>
    <w:rsid w:val="004B08A9"/>
    <w:rsid w:val="004B188D"/>
    <w:rsid w:val="004B1CED"/>
    <w:rsid w:val="004B34A7"/>
    <w:rsid w:val="004B3600"/>
    <w:rsid w:val="004B3B06"/>
    <w:rsid w:val="004B3ED5"/>
    <w:rsid w:val="004B41FB"/>
    <w:rsid w:val="004B4643"/>
    <w:rsid w:val="004B5A60"/>
    <w:rsid w:val="004B7C25"/>
    <w:rsid w:val="004B7F67"/>
    <w:rsid w:val="004C06BE"/>
    <w:rsid w:val="004C0938"/>
    <w:rsid w:val="004C196B"/>
    <w:rsid w:val="004C1994"/>
    <w:rsid w:val="004C28EC"/>
    <w:rsid w:val="004C570A"/>
    <w:rsid w:val="004C70FC"/>
    <w:rsid w:val="004D022C"/>
    <w:rsid w:val="004D2675"/>
    <w:rsid w:val="004D4080"/>
    <w:rsid w:val="004E05FD"/>
    <w:rsid w:val="004E1A0D"/>
    <w:rsid w:val="004E23F5"/>
    <w:rsid w:val="004E25F9"/>
    <w:rsid w:val="004E3E0B"/>
    <w:rsid w:val="004E5418"/>
    <w:rsid w:val="004E63E5"/>
    <w:rsid w:val="004E6A47"/>
    <w:rsid w:val="004E6B76"/>
    <w:rsid w:val="004E7172"/>
    <w:rsid w:val="004F1437"/>
    <w:rsid w:val="004F1F2D"/>
    <w:rsid w:val="004F3540"/>
    <w:rsid w:val="004F49EB"/>
    <w:rsid w:val="004F4ECE"/>
    <w:rsid w:val="004F52DB"/>
    <w:rsid w:val="004F5624"/>
    <w:rsid w:val="004F574F"/>
    <w:rsid w:val="004F5DA4"/>
    <w:rsid w:val="004F62B2"/>
    <w:rsid w:val="004F6424"/>
    <w:rsid w:val="004F69B1"/>
    <w:rsid w:val="004F6ECB"/>
    <w:rsid w:val="00502F6F"/>
    <w:rsid w:val="005030FC"/>
    <w:rsid w:val="005040CD"/>
    <w:rsid w:val="00504229"/>
    <w:rsid w:val="00505229"/>
    <w:rsid w:val="00507F98"/>
    <w:rsid w:val="005108A3"/>
    <w:rsid w:val="00510DB5"/>
    <w:rsid w:val="00510F6E"/>
    <w:rsid w:val="00511422"/>
    <w:rsid w:val="005118AE"/>
    <w:rsid w:val="0051212F"/>
    <w:rsid w:val="00512B45"/>
    <w:rsid w:val="00512E70"/>
    <w:rsid w:val="0051307F"/>
    <w:rsid w:val="00514193"/>
    <w:rsid w:val="0051587A"/>
    <w:rsid w:val="005158BB"/>
    <w:rsid w:val="005158FA"/>
    <w:rsid w:val="005169AD"/>
    <w:rsid w:val="00516CC8"/>
    <w:rsid w:val="005208B9"/>
    <w:rsid w:val="00520C40"/>
    <w:rsid w:val="005221F0"/>
    <w:rsid w:val="00524807"/>
    <w:rsid w:val="005252FE"/>
    <w:rsid w:val="005257A1"/>
    <w:rsid w:val="00525FF9"/>
    <w:rsid w:val="0053094A"/>
    <w:rsid w:val="00532B10"/>
    <w:rsid w:val="00532C41"/>
    <w:rsid w:val="00532D3F"/>
    <w:rsid w:val="0053386D"/>
    <w:rsid w:val="00534700"/>
    <w:rsid w:val="00535517"/>
    <w:rsid w:val="00535FE8"/>
    <w:rsid w:val="0053791F"/>
    <w:rsid w:val="00546622"/>
    <w:rsid w:val="00547538"/>
    <w:rsid w:val="005518C0"/>
    <w:rsid w:val="00553BFA"/>
    <w:rsid w:val="00554D05"/>
    <w:rsid w:val="0055596B"/>
    <w:rsid w:val="005560B8"/>
    <w:rsid w:val="005574AA"/>
    <w:rsid w:val="005574FF"/>
    <w:rsid w:val="0056077E"/>
    <w:rsid w:val="00560EDA"/>
    <w:rsid w:val="005629EE"/>
    <w:rsid w:val="005648FA"/>
    <w:rsid w:val="00564D50"/>
    <w:rsid w:val="005669A4"/>
    <w:rsid w:val="00567346"/>
    <w:rsid w:val="0057371B"/>
    <w:rsid w:val="005744BF"/>
    <w:rsid w:val="00574BD8"/>
    <w:rsid w:val="00575EB8"/>
    <w:rsid w:val="0057613A"/>
    <w:rsid w:val="00576E44"/>
    <w:rsid w:val="005814E7"/>
    <w:rsid w:val="00582A9B"/>
    <w:rsid w:val="005832AB"/>
    <w:rsid w:val="0058437C"/>
    <w:rsid w:val="00590C53"/>
    <w:rsid w:val="0059113A"/>
    <w:rsid w:val="00592AFA"/>
    <w:rsid w:val="00592E0C"/>
    <w:rsid w:val="005935F4"/>
    <w:rsid w:val="00593E0A"/>
    <w:rsid w:val="0059457E"/>
    <w:rsid w:val="005A0EA0"/>
    <w:rsid w:val="005A167F"/>
    <w:rsid w:val="005A1E21"/>
    <w:rsid w:val="005A2BEB"/>
    <w:rsid w:val="005A346E"/>
    <w:rsid w:val="005A3D89"/>
    <w:rsid w:val="005A4F0B"/>
    <w:rsid w:val="005A6127"/>
    <w:rsid w:val="005A6C3A"/>
    <w:rsid w:val="005A73CF"/>
    <w:rsid w:val="005A7DF3"/>
    <w:rsid w:val="005B0EE2"/>
    <w:rsid w:val="005B2842"/>
    <w:rsid w:val="005B34FB"/>
    <w:rsid w:val="005B3EB1"/>
    <w:rsid w:val="005B3F32"/>
    <w:rsid w:val="005B3F6F"/>
    <w:rsid w:val="005B5FB6"/>
    <w:rsid w:val="005B61F0"/>
    <w:rsid w:val="005B63DA"/>
    <w:rsid w:val="005B798B"/>
    <w:rsid w:val="005C1FAE"/>
    <w:rsid w:val="005C39E8"/>
    <w:rsid w:val="005C4310"/>
    <w:rsid w:val="005C5660"/>
    <w:rsid w:val="005C71D6"/>
    <w:rsid w:val="005C71E4"/>
    <w:rsid w:val="005C72E3"/>
    <w:rsid w:val="005D11B2"/>
    <w:rsid w:val="005D270D"/>
    <w:rsid w:val="005D4A62"/>
    <w:rsid w:val="005D4B68"/>
    <w:rsid w:val="005D6E6E"/>
    <w:rsid w:val="005E11C1"/>
    <w:rsid w:val="005E1C60"/>
    <w:rsid w:val="005E2563"/>
    <w:rsid w:val="005E34D8"/>
    <w:rsid w:val="005E35DD"/>
    <w:rsid w:val="005E394C"/>
    <w:rsid w:val="005E3B34"/>
    <w:rsid w:val="005E3E2C"/>
    <w:rsid w:val="005E42BF"/>
    <w:rsid w:val="005E4E70"/>
    <w:rsid w:val="005E5126"/>
    <w:rsid w:val="005E5426"/>
    <w:rsid w:val="005E65BB"/>
    <w:rsid w:val="005F0786"/>
    <w:rsid w:val="005F0DA0"/>
    <w:rsid w:val="005F2767"/>
    <w:rsid w:val="005F3CE4"/>
    <w:rsid w:val="005F4006"/>
    <w:rsid w:val="005F4790"/>
    <w:rsid w:val="005F4914"/>
    <w:rsid w:val="005F4E20"/>
    <w:rsid w:val="005F62B7"/>
    <w:rsid w:val="005F67FC"/>
    <w:rsid w:val="005F6869"/>
    <w:rsid w:val="005F6BB9"/>
    <w:rsid w:val="00603148"/>
    <w:rsid w:val="00603ECA"/>
    <w:rsid w:val="006047CA"/>
    <w:rsid w:val="00606FC7"/>
    <w:rsid w:val="00610456"/>
    <w:rsid w:val="00611473"/>
    <w:rsid w:val="00611B36"/>
    <w:rsid w:val="00613A34"/>
    <w:rsid w:val="00615ADA"/>
    <w:rsid w:val="006165DC"/>
    <w:rsid w:val="00616951"/>
    <w:rsid w:val="006221CD"/>
    <w:rsid w:val="00622220"/>
    <w:rsid w:val="0062366E"/>
    <w:rsid w:val="00624BB7"/>
    <w:rsid w:val="006266A9"/>
    <w:rsid w:val="00626F30"/>
    <w:rsid w:val="00630426"/>
    <w:rsid w:val="00630CC6"/>
    <w:rsid w:val="006316C1"/>
    <w:rsid w:val="00631ED4"/>
    <w:rsid w:val="00633BC7"/>
    <w:rsid w:val="00634422"/>
    <w:rsid w:val="00635AC7"/>
    <w:rsid w:val="00635E9C"/>
    <w:rsid w:val="00636813"/>
    <w:rsid w:val="0063753F"/>
    <w:rsid w:val="00637B41"/>
    <w:rsid w:val="006414EE"/>
    <w:rsid w:val="00642032"/>
    <w:rsid w:val="0064224B"/>
    <w:rsid w:val="00642524"/>
    <w:rsid w:val="00642D0A"/>
    <w:rsid w:val="0064630E"/>
    <w:rsid w:val="00646FE1"/>
    <w:rsid w:val="00647075"/>
    <w:rsid w:val="0065086B"/>
    <w:rsid w:val="006514CE"/>
    <w:rsid w:val="0065581D"/>
    <w:rsid w:val="00655C2F"/>
    <w:rsid w:val="0065703E"/>
    <w:rsid w:val="00660403"/>
    <w:rsid w:val="00660B41"/>
    <w:rsid w:val="00661140"/>
    <w:rsid w:val="00662616"/>
    <w:rsid w:val="006636AE"/>
    <w:rsid w:val="00663B48"/>
    <w:rsid w:val="00666DA9"/>
    <w:rsid w:val="006710DD"/>
    <w:rsid w:val="00671FC9"/>
    <w:rsid w:val="00673200"/>
    <w:rsid w:val="0067499C"/>
    <w:rsid w:val="0067501E"/>
    <w:rsid w:val="006756C0"/>
    <w:rsid w:val="006773D2"/>
    <w:rsid w:val="00680581"/>
    <w:rsid w:val="00680A56"/>
    <w:rsid w:val="00681A41"/>
    <w:rsid w:val="006821B2"/>
    <w:rsid w:val="006838C0"/>
    <w:rsid w:val="0068398E"/>
    <w:rsid w:val="00683E51"/>
    <w:rsid w:val="00685856"/>
    <w:rsid w:val="00685901"/>
    <w:rsid w:val="00685BB9"/>
    <w:rsid w:val="00687E06"/>
    <w:rsid w:val="00690127"/>
    <w:rsid w:val="00691BFF"/>
    <w:rsid w:val="006953C1"/>
    <w:rsid w:val="00696146"/>
    <w:rsid w:val="00696EB2"/>
    <w:rsid w:val="0069741A"/>
    <w:rsid w:val="006A0031"/>
    <w:rsid w:val="006A04E1"/>
    <w:rsid w:val="006A0DEA"/>
    <w:rsid w:val="006A16E9"/>
    <w:rsid w:val="006A1938"/>
    <w:rsid w:val="006A1F6F"/>
    <w:rsid w:val="006A23A2"/>
    <w:rsid w:val="006A3F02"/>
    <w:rsid w:val="006A51FF"/>
    <w:rsid w:val="006A5450"/>
    <w:rsid w:val="006A5485"/>
    <w:rsid w:val="006A68F0"/>
    <w:rsid w:val="006B0199"/>
    <w:rsid w:val="006B0A32"/>
    <w:rsid w:val="006B0BD8"/>
    <w:rsid w:val="006B4557"/>
    <w:rsid w:val="006B71F6"/>
    <w:rsid w:val="006C0251"/>
    <w:rsid w:val="006C0320"/>
    <w:rsid w:val="006C1732"/>
    <w:rsid w:val="006C2B9A"/>
    <w:rsid w:val="006C39BB"/>
    <w:rsid w:val="006C4502"/>
    <w:rsid w:val="006C6114"/>
    <w:rsid w:val="006D0152"/>
    <w:rsid w:val="006D2288"/>
    <w:rsid w:val="006D4464"/>
    <w:rsid w:val="006D4729"/>
    <w:rsid w:val="006D56B6"/>
    <w:rsid w:val="006D5E91"/>
    <w:rsid w:val="006D7E87"/>
    <w:rsid w:val="006E0C23"/>
    <w:rsid w:val="006E13B4"/>
    <w:rsid w:val="006E14E6"/>
    <w:rsid w:val="006E1AEE"/>
    <w:rsid w:val="006E1D88"/>
    <w:rsid w:val="006E2F52"/>
    <w:rsid w:val="006E32A9"/>
    <w:rsid w:val="006E3930"/>
    <w:rsid w:val="006E3B9C"/>
    <w:rsid w:val="006E51A2"/>
    <w:rsid w:val="006E7425"/>
    <w:rsid w:val="006F0DE2"/>
    <w:rsid w:val="006F11BD"/>
    <w:rsid w:val="006F1B0C"/>
    <w:rsid w:val="006F25B4"/>
    <w:rsid w:val="006F32C7"/>
    <w:rsid w:val="006F3392"/>
    <w:rsid w:val="006F3495"/>
    <w:rsid w:val="006F417D"/>
    <w:rsid w:val="006F50E3"/>
    <w:rsid w:val="006F5C83"/>
    <w:rsid w:val="006F67CC"/>
    <w:rsid w:val="006F6B89"/>
    <w:rsid w:val="00701C2D"/>
    <w:rsid w:val="00702162"/>
    <w:rsid w:val="00702787"/>
    <w:rsid w:val="00702ED8"/>
    <w:rsid w:val="00703930"/>
    <w:rsid w:val="007049E8"/>
    <w:rsid w:val="00704C6E"/>
    <w:rsid w:val="00705253"/>
    <w:rsid w:val="007053CD"/>
    <w:rsid w:val="0070610E"/>
    <w:rsid w:val="00707759"/>
    <w:rsid w:val="00710081"/>
    <w:rsid w:val="00710B0D"/>
    <w:rsid w:val="0071246B"/>
    <w:rsid w:val="007135A0"/>
    <w:rsid w:val="00713CB5"/>
    <w:rsid w:val="00714E3F"/>
    <w:rsid w:val="0071558B"/>
    <w:rsid w:val="00715D05"/>
    <w:rsid w:val="00716911"/>
    <w:rsid w:val="007169EC"/>
    <w:rsid w:val="00717207"/>
    <w:rsid w:val="0071776A"/>
    <w:rsid w:val="00721189"/>
    <w:rsid w:val="007217D2"/>
    <w:rsid w:val="00721AB8"/>
    <w:rsid w:val="007221C3"/>
    <w:rsid w:val="007227E4"/>
    <w:rsid w:val="00722F2C"/>
    <w:rsid w:val="00724E95"/>
    <w:rsid w:val="007254D1"/>
    <w:rsid w:val="00725B32"/>
    <w:rsid w:val="00725B3C"/>
    <w:rsid w:val="00733709"/>
    <w:rsid w:val="00733D54"/>
    <w:rsid w:val="00734CEE"/>
    <w:rsid w:val="00736A4F"/>
    <w:rsid w:val="00737753"/>
    <w:rsid w:val="00737768"/>
    <w:rsid w:val="00737FFA"/>
    <w:rsid w:val="00740BB8"/>
    <w:rsid w:val="00740CE9"/>
    <w:rsid w:val="007428E3"/>
    <w:rsid w:val="0074352F"/>
    <w:rsid w:val="007438EC"/>
    <w:rsid w:val="0074394E"/>
    <w:rsid w:val="0074422D"/>
    <w:rsid w:val="007461F4"/>
    <w:rsid w:val="00746C62"/>
    <w:rsid w:val="00750D0A"/>
    <w:rsid w:val="007518E0"/>
    <w:rsid w:val="00751C40"/>
    <w:rsid w:val="00751D93"/>
    <w:rsid w:val="00752135"/>
    <w:rsid w:val="00752300"/>
    <w:rsid w:val="00753BF5"/>
    <w:rsid w:val="007546F8"/>
    <w:rsid w:val="0075579B"/>
    <w:rsid w:val="00755BAB"/>
    <w:rsid w:val="0076080E"/>
    <w:rsid w:val="00762971"/>
    <w:rsid w:val="00762C79"/>
    <w:rsid w:val="0076411D"/>
    <w:rsid w:val="007670F8"/>
    <w:rsid w:val="007671D4"/>
    <w:rsid w:val="00770A85"/>
    <w:rsid w:val="00770D2D"/>
    <w:rsid w:val="00771028"/>
    <w:rsid w:val="00771E60"/>
    <w:rsid w:val="007739DF"/>
    <w:rsid w:val="00773DC9"/>
    <w:rsid w:val="0077572E"/>
    <w:rsid w:val="00777BE4"/>
    <w:rsid w:val="0078031B"/>
    <w:rsid w:val="00782F22"/>
    <w:rsid w:val="00784F44"/>
    <w:rsid w:val="00785A9A"/>
    <w:rsid w:val="00785F4C"/>
    <w:rsid w:val="00786672"/>
    <w:rsid w:val="007870BF"/>
    <w:rsid w:val="007872CF"/>
    <w:rsid w:val="00787F55"/>
    <w:rsid w:val="0079201C"/>
    <w:rsid w:val="0079307F"/>
    <w:rsid w:val="00793587"/>
    <w:rsid w:val="007940C5"/>
    <w:rsid w:val="007947C4"/>
    <w:rsid w:val="00795237"/>
    <w:rsid w:val="00795812"/>
    <w:rsid w:val="00795CE1"/>
    <w:rsid w:val="007A0646"/>
    <w:rsid w:val="007A06AC"/>
    <w:rsid w:val="007A0DA1"/>
    <w:rsid w:val="007A1A05"/>
    <w:rsid w:val="007A1B2F"/>
    <w:rsid w:val="007A4636"/>
    <w:rsid w:val="007A4638"/>
    <w:rsid w:val="007A47BB"/>
    <w:rsid w:val="007A5719"/>
    <w:rsid w:val="007A7377"/>
    <w:rsid w:val="007A755E"/>
    <w:rsid w:val="007B1014"/>
    <w:rsid w:val="007B103F"/>
    <w:rsid w:val="007B1484"/>
    <w:rsid w:val="007B1A10"/>
    <w:rsid w:val="007B31AB"/>
    <w:rsid w:val="007B3268"/>
    <w:rsid w:val="007B3475"/>
    <w:rsid w:val="007B37F1"/>
    <w:rsid w:val="007B42D3"/>
    <w:rsid w:val="007B46D9"/>
    <w:rsid w:val="007B6659"/>
    <w:rsid w:val="007B6C39"/>
    <w:rsid w:val="007B76AB"/>
    <w:rsid w:val="007B7DBD"/>
    <w:rsid w:val="007B7E2D"/>
    <w:rsid w:val="007C03D6"/>
    <w:rsid w:val="007C09EA"/>
    <w:rsid w:val="007C1031"/>
    <w:rsid w:val="007C1C9F"/>
    <w:rsid w:val="007C264B"/>
    <w:rsid w:val="007C43BF"/>
    <w:rsid w:val="007C45D3"/>
    <w:rsid w:val="007C574B"/>
    <w:rsid w:val="007C597B"/>
    <w:rsid w:val="007C73C4"/>
    <w:rsid w:val="007C760C"/>
    <w:rsid w:val="007D08FD"/>
    <w:rsid w:val="007D1560"/>
    <w:rsid w:val="007D1584"/>
    <w:rsid w:val="007D2044"/>
    <w:rsid w:val="007D4F33"/>
    <w:rsid w:val="007D554B"/>
    <w:rsid w:val="007D65C7"/>
    <w:rsid w:val="007D74D2"/>
    <w:rsid w:val="007D79B5"/>
    <w:rsid w:val="007E2334"/>
    <w:rsid w:val="007E23CE"/>
    <w:rsid w:val="007E2CE7"/>
    <w:rsid w:val="007E43D0"/>
    <w:rsid w:val="007E4F00"/>
    <w:rsid w:val="007E54F8"/>
    <w:rsid w:val="007E5987"/>
    <w:rsid w:val="007E5BD8"/>
    <w:rsid w:val="007E621B"/>
    <w:rsid w:val="007E7BF9"/>
    <w:rsid w:val="007F02BC"/>
    <w:rsid w:val="007F0CE4"/>
    <w:rsid w:val="007F1D17"/>
    <w:rsid w:val="007F20D7"/>
    <w:rsid w:val="007F2E65"/>
    <w:rsid w:val="007F37D8"/>
    <w:rsid w:val="007F43BA"/>
    <w:rsid w:val="007F45D1"/>
    <w:rsid w:val="007F4CC0"/>
    <w:rsid w:val="007F58D5"/>
    <w:rsid w:val="007F64BE"/>
    <w:rsid w:val="007F6DC3"/>
    <w:rsid w:val="008006B4"/>
    <w:rsid w:val="008015B6"/>
    <w:rsid w:val="00803FD4"/>
    <w:rsid w:val="0080481C"/>
    <w:rsid w:val="00804C54"/>
    <w:rsid w:val="008056DD"/>
    <w:rsid w:val="008108A5"/>
    <w:rsid w:val="0081104C"/>
    <w:rsid w:val="00811585"/>
    <w:rsid w:val="008121F2"/>
    <w:rsid w:val="00812D16"/>
    <w:rsid w:val="008151A8"/>
    <w:rsid w:val="00816C51"/>
    <w:rsid w:val="00821865"/>
    <w:rsid w:val="008225EB"/>
    <w:rsid w:val="0082327D"/>
    <w:rsid w:val="0082433D"/>
    <w:rsid w:val="00826509"/>
    <w:rsid w:val="0083262B"/>
    <w:rsid w:val="008330EF"/>
    <w:rsid w:val="0083354D"/>
    <w:rsid w:val="00833B31"/>
    <w:rsid w:val="00833D74"/>
    <w:rsid w:val="00834995"/>
    <w:rsid w:val="0083561B"/>
    <w:rsid w:val="00836FB7"/>
    <w:rsid w:val="008373C4"/>
    <w:rsid w:val="00837D78"/>
    <w:rsid w:val="00840D79"/>
    <w:rsid w:val="00841077"/>
    <w:rsid w:val="0084242F"/>
    <w:rsid w:val="00842A21"/>
    <w:rsid w:val="00845DAD"/>
    <w:rsid w:val="00846D21"/>
    <w:rsid w:val="008475D8"/>
    <w:rsid w:val="00851377"/>
    <w:rsid w:val="00852439"/>
    <w:rsid w:val="0085437C"/>
    <w:rsid w:val="00854B2F"/>
    <w:rsid w:val="00855481"/>
    <w:rsid w:val="00856354"/>
    <w:rsid w:val="00856667"/>
    <w:rsid w:val="008568E1"/>
    <w:rsid w:val="00856BE9"/>
    <w:rsid w:val="008578F8"/>
    <w:rsid w:val="00860566"/>
    <w:rsid w:val="0086129A"/>
    <w:rsid w:val="0086165C"/>
    <w:rsid w:val="00861804"/>
    <w:rsid w:val="00861B26"/>
    <w:rsid w:val="00862EED"/>
    <w:rsid w:val="008643FC"/>
    <w:rsid w:val="008649B9"/>
    <w:rsid w:val="00864A4A"/>
    <w:rsid w:val="00864FDB"/>
    <w:rsid w:val="00866C2A"/>
    <w:rsid w:val="0086784F"/>
    <w:rsid w:val="008701D6"/>
    <w:rsid w:val="0087037B"/>
    <w:rsid w:val="00870394"/>
    <w:rsid w:val="00870505"/>
    <w:rsid w:val="0087073B"/>
    <w:rsid w:val="0087331A"/>
    <w:rsid w:val="00873967"/>
    <w:rsid w:val="008743BB"/>
    <w:rsid w:val="00874971"/>
    <w:rsid w:val="00875461"/>
    <w:rsid w:val="008768EB"/>
    <w:rsid w:val="008770D4"/>
    <w:rsid w:val="008800E5"/>
    <w:rsid w:val="0088127F"/>
    <w:rsid w:val="008815EF"/>
    <w:rsid w:val="00882655"/>
    <w:rsid w:val="00883ED5"/>
    <w:rsid w:val="008844BC"/>
    <w:rsid w:val="00884C14"/>
    <w:rsid w:val="00885273"/>
    <w:rsid w:val="008852C9"/>
    <w:rsid w:val="00885F2C"/>
    <w:rsid w:val="00886386"/>
    <w:rsid w:val="0088701C"/>
    <w:rsid w:val="00890FE5"/>
    <w:rsid w:val="008919E7"/>
    <w:rsid w:val="00891A50"/>
    <w:rsid w:val="00892459"/>
    <w:rsid w:val="008929AA"/>
    <w:rsid w:val="00892AA5"/>
    <w:rsid w:val="0089499B"/>
    <w:rsid w:val="00894ACA"/>
    <w:rsid w:val="00894BA0"/>
    <w:rsid w:val="00894EC5"/>
    <w:rsid w:val="00896658"/>
    <w:rsid w:val="008967B5"/>
    <w:rsid w:val="00897D9C"/>
    <w:rsid w:val="008A02E1"/>
    <w:rsid w:val="008A03AC"/>
    <w:rsid w:val="008A1008"/>
    <w:rsid w:val="008A305C"/>
    <w:rsid w:val="008A345A"/>
    <w:rsid w:val="008A3892"/>
    <w:rsid w:val="008A3DB9"/>
    <w:rsid w:val="008A6A5C"/>
    <w:rsid w:val="008A7316"/>
    <w:rsid w:val="008B4A1C"/>
    <w:rsid w:val="008B500A"/>
    <w:rsid w:val="008B5281"/>
    <w:rsid w:val="008C090B"/>
    <w:rsid w:val="008C1610"/>
    <w:rsid w:val="008C2376"/>
    <w:rsid w:val="008C2F1E"/>
    <w:rsid w:val="008C30E5"/>
    <w:rsid w:val="008C3AF7"/>
    <w:rsid w:val="008C3B5B"/>
    <w:rsid w:val="008C409F"/>
    <w:rsid w:val="008C5B7F"/>
    <w:rsid w:val="008C602D"/>
    <w:rsid w:val="008C6BCC"/>
    <w:rsid w:val="008C73D0"/>
    <w:rsid w:val="008D098D"/>
    <w:rsid w:val="008D135A"/>
    <w:rsid w:val="008D1D16"/>
    <w:rsid w:val="008D2205"/>
    <w:rsid w:val="008D2331"/>
    <w:rsid w:val="008D347F"/>
    <w:rsid w:val="008D34B6"/>
    <w:rsid w:val="008D35AD"/>
    <w:rsid w:val="008D36CD"/>
    <w:rsid w:val="008D4380"/>
    <w:rsid w:val="008D48D1"/>
    <w:rsid w:val="008D5120"/>
    <w:rsid w:val="008D6BE8"/>
    <w:rsid w:val="008D7479"/>
    <w:rsid w:val="008D7F4F"/>
    <w:rsid w:val="008E27E9"/>
    <w:rsid w:val="008E42DE"/>
    <w:rsid w:val="008E6716"/>
    <w:rsid w:val="008E6CE5"/>
    <w:rsid w:val="008F2C49"/>
    <w:rsid w:val="008F36F0"/>
    <w:rsid w:val="008F66BC"/>
    <w:rsid w:val="008F7CFF"/>
    <w:rsid w:val="008F7ED1"/>
    <w:rsid w:val="00901C8D"/>
    <w:rsid w:val="00904A4D"/>
    <w:rsid w:val="00905643"/>
    <w:rsid w:val="00905EE9"/>
    <w:rsid w:val="009065F4"/>
    <w:rsid w:val="00906C30"/>
    <w:rsid w:val="009075A7"/>
    <w:rsid w:val="00907DFB"/>
    <w:rsid w:val="00910624"/>
    <w:rsid w:val="00910FBA"/>
    <w:rsid w:val="00910FC4"/>
    <w:rsid w:val="00911D39"/>
    <w:rsid w:val="00912B9F"/>
    <w:rsid w:val="009133E0"/>
    <w:rsid w:val="00914067"/>
    <w:rsid w:val="009140D3"/>
    <w:rsid w:val="009169CF"/>
    <w:rsid w:val="00916C5D"/>
    <w:rsid w:val="00917C0F"/>
    <w:rsid w:val="0092040E"/>
    <w:rsid w:val="00920B98"/>
    <w:rsid w:val="00920C6C"/>
    <w:rsid w:val="00921897"/>
    <w:rsid w:val="00921C6D"/>
    <w:rsid w:val="009227D9"/>
    <w:rsid w:val="009233AC"/>
    <w:rsid w:val="00923C44"/>
    <w:rsid w:val="00926E86"/>
    <w:rsid w:val="00927791"/>
    <w:rsid w:val="0092791E"/>
    <w:rsid w:val="00930607"/>
    <w:rsid w:val="00930D0A"/>
    <w:rsid w:val="00931D1A"/>
    <w:rsid w:val="009329BA"/>
    <w:rsid w:val="0093304D"/>
    <w:rsid w:val="00934AD4"/>
    <w:rsid w:val="00934E94"/>
    <w:rsid w:val="00934E99"/>
    <w:rsid w:val="00935E32"/>
    <w:rsid w:val="00936939"/>
    <w:rsid w:val="0094053B"/>
    <w:rsid w:val="0094158F"/>
    <w:rsid w:val="00942040"/>
    <w:rsid w:val="00942C9F"/>
    <w:rsid w:val="00943BDF"/>
    <w:rsid w:val="00943F98"/>
    <w:rsid w:val="00945631"/>
    <w:rsid w:val="00947549"/>
    <w:rsid w:val="00947CF3"/>
    <w:rsid w:val="00947F4C"/>
    <w:rsid w:val="00950C3F"/>
    <w:rsid w:val="00955279"/>
    <w:rsid w:val="009556AE"/>
    <w:rsid w:val="00956419"/>
    <w:rsid w:val="0095793C"/>
    <w:rsid w:val="009603A4"/>
    <w:rsid w:val="0096111E"/>
    <w:rsid w:val="00961125"/>
    <w:rsid w:val="00961B8E"/>
    <w:rsid w:val="009623D8"/>
    <w:rsid w:val="00963362"/>
    <w:rsid w:val="00963BD1"/>
    <w:rsid w:val="00966AB8"/>
    <w:rsid w:val="00966B1F"/>
    <w:rsid w:val="00967994"/>
    <w:rsid w:val="009707FA"/>
    <w:rsid w:val="00970A7E"/>
    <w:rsid w:val="0097116E"/>
    <w:rsid w:val="00974518"/>
    <w:rsid w:val="0097576F"/>
    <w:rsid w:val="00977475"/>
    <w:rsid w:val="0098071F"/>
    <w:rsid w:val="00980F6F"/>
    <w:rsid w:val="00980FE0"/>
    <w:rsid w:val="00983559"/>
    <w:rsid w:val="00983A9C"/>
    <w:rsid w:val="00983E5B"/>
    <w:rsid w:val="009842B3"/>
    <w:rsid w:val="0098479A"/>
    <w:rsid w:val="00985F8B"/>
    <w:rsid w:val="00986DD8"/>
    <w:rsid w:val="00990B70"/>
    <w:rsid w:val="00990C3B"/>
    <w:rsid w:val="00990F36"/>
    <w:rsid w:val="00991CBD"/>
    <w:rsid w:val="009921E6"/>
    <w:rsid w:val="009928B7"/>
    <w:rsid w:val="00992B99"/>
    <w:rsid w:val="0099321A"/>
    <w:rsid w:val="00993CDD"/>
    <w:rsid w:val="00994615"/>
    <w:rsid w:val="009947E8"/>
    <w:rsid w:val="009960B7"/>
    <w:rsid w:val="00996286"/>
    <w:rsid w:val="00996F08"/>
    <w:rsid w:val="009972FE"/>
    <w:rsid w:val="009A1A38"/>
    <w:rsid w:val="009A54BC"/>
    <w:rsid w:val="009B4062"/>
    <w:rsid w:val="009B536C"/>
    <w:rsid w:val="009B5C19"/>
    <w:rsid w:val="009B621C"/>
    <w:rsid w:val="009B6496"/>
    <w:rsid w:val="009B77D7"/>
    <w:rsid w:val="009B78BD"/>
    <w:rsid w:val="009C01DA"/>
    <w:rsid w:val="009C02D1"/>
    <w:rsid w:val="009C1528"/>
    <w:rsid w:val="009C20CC"/>
    <w:rsid w:val="009C2BDF"/>
    <w:rsid w:val="009C3558"/>
    <w:rsid w:val="009C38B1"/>
    <w:rsid w:val="009C562E"/>
    <w:rsid w:val="009C5E44"/>
    <w:rsid w:val="009C5EA2"/>
    <w:rsid w:val="009C7047"/>
    <w:rsid w:val="009C7531"/>
    <w:rsid w:val="009D168F"/>
    <w:rsid w:val="009D220C"/>
    <w:rsid w:val="009D221F"/>
    <w:rsid w:val="009D33DD"/>
    <w:rsid w:val="009D69B7"/>
    <w:rsid w:val="009E09F0"/>
    <w:rsid w:val="009E19E8"/>
    <w:rsid w:val="009E377C"/>
    <w:rsid w:val="009E411C"/>
    <w:rsid w:val="009E44FA"/>
    <w:rsid w:val="009E458A"/>
    <w:rsid w:val="009E5316"/>
    <w:rsid w:val="009E53FF"/>
    <w:rsid w:val="009E5D7C"/>
    <w:rsid w:val="009E5DFC"/>
    <w:rsid w:val="009E74B8"/>
    <w:rsid w:val="009F0863"/>
    <w:rsid w:val="009F1789"/>
    <w:rsid w:val="009F19FB"/>
    <w:rsid w:val="009F2049"/>
    <w:rsid w:val="009F2586"/>
    <w:rsid w:val="009F2E3B"/>
    <w:rsid w:val="009F36D2"/>
    <w:rsid w:val="009F39E9"/>
    <w:rsid w:val="009F3B6B"/>
    <w:rsid w:val="009F4504"/>
    <w:rsid w:val="009F4AEA"/>
    <w:rsid w:val="009F502C"/>
    <w:rsid w:val="009F5254"/>
    <w:rsid w:val="009F561F"/>
    <w:rsid w:val="009F58B5"/>
    <w:rsid w:val="009F5CC9"/>
    <w:rsid w:val="009F603B"/>
    <w:rsid w:val="009F6987"/>
    <w:rsid w:val="009F720F"/>
    <w:rsid w:val="009F7B70"/>
    <w:rsid w:val="00A010E7"/>
    <w:rsid w:val="00A01A17"/>
    <w:rsid w:val="00A01A60"/>
    <w:rsid w:val="00A03D43"/>
    <w:rsid w:val="00A04D66"/>
    <w:rsid w:val="00A06E6E"/>
    <w:rsid w:val="00A076F9"/>
    <w:rsid w:val="00A07997"/>
    <w:rsid w:val="00A07D1B"/>
    <w:rsid w:val="00A07F87"/>
    <w:rsid w:val="00A10AFD"/>
    <w:rsid w:val="00A10D26"/>
    <w:rsid w:val="00A13659"/>
    <w:rsid w:val="00A1637F"/>
    <w:rsid w:val="00A17B38"/>
    <w:rsid w:val="00A206ED"/>
    <w:rsid w:val="00A20806"/>
    <w:rsid w:val="00A20C7F"/>
    <w:rsid w:val="00A21D41"/>
    <w:rsid w:val="00A22858"/>
    <w:rsid w:val="00A22DBA"/>
    <w:rsid w:val="00A2315E"/>
    <w:rsid w:val="00A2329D"/>
    <w:rsid w:val="00A248F5"/>
    <w:rsid w:val="00A2490E"/>
    <w:rsid w:val="00A25442"/>
    <w:rsid w:val="00A25539"/>
    <w:rsid w:val="00A25BFF"/>
    <w:rsid w:val="00A26648"/>
    <w:rsid w:val="00A26F79"/>
    <w:rsid w:val="00A27522"/>
    <w:rsid w:val="00A278B7"/>
    <w:rsid w:val="00A3136F"/>
    <w:rsid w:val="00A32EE8"/>
    <w:rsid w:val="00A34D0C"/>
    <w:rsid w:val="00A34D76"/>
    <w:rsid w:val="00A35125"/>
    <w:rsid w:val="00A365D0"/>
    <w:rsid w:val="00A3682D"/>
    <w:rsid w:val="00A402B8"/>
    <w:rsid w:val="00A4043E"/>
    <w:rsid w:val="00A41848"/>
    <w:rsid w:val="00A42DA7"/>
    <w:rsid w:val="00A437D9"/>
    <w:rsid w:val="00A43C16"/>
    <w:rsid w:val="00A443A6"/>
    <w:rsid w:val="00A455B6"/>
    <w:rsid w:val="00A45A1A"/>
    <w:rsid w:val="00A45E61"/>
    <w:rsid w:val="00A47F32"/>
    <w:rsid w:val="00A52C77"/>
    <w:rsid w:val="00A53220"/>
    <w:rsid w:val="00A538E6"/>
    <w:rsid w:val="00A54514"/>
    <w:rsid w:val="00A56102"/>
    <w:rsid w:val="00A561A0"/>
    <w:rsid w:val="00A56800"/>
    <w:rsid w:val="00A56D7E"/>
    <w:rsid w:val="00A57404"/>
    <w:rsid w:val="00A575BD"/>
    <w:rsid w:val="00A60EEC"/>
    <w:rsid w:val="00A62017"/>
    <w:rsid w:val="00A6230F"/>
    <w:rsid w:val="00A630BA"/>
    <w:rsid w:val="00A63B83"/>
    <w:rsid w:val="00A64349"/>
    <w:rsid w:val="00A643C6"/>
    <w:rsid w:val="00A65814"/>
    <w:rsid w:val="00A65BD9"/>
    <w:rsid w:val="00A66718"/>
    <w:rsid w:val="00A671EF"/>
    <w:rsid w:val="00A67B9B"/>
    <w:rsid w:val="00A67E58"/>
    <w:rsid w:val="00A70B31"/>
    <w:rsid w:val="00A723C7"/>
    <w:rsid w:val="00A72CD4"/>
    <w:rsid w:val="00A73A74"/>
    <w:rsid w:val="00A759FE"/>
    <w:rsid w:val="00A75CF1"/>
    <w:rsid w:val="00A75FE1"/>
    <w:rsid w:val="00A75FE4"/>
    <w:rsid w:val="00A76D67"/>
    <w:rsid w:val="00A77562"/>
    <w:rsid w:val="00A776B8"/>
    <w:rsid w:val="00A77877"/>
    <w:rsid w:val="00A802F4"/>
    <w:rsid w:val="00A81E8F"/>
    <w:rsid w:val="00A81EB6"/>
    <w:rsid w:val="00A82DE9"/>
    <w:rsid w:val="00A837CB"/>
    <w:rsid w:val="00A837FE"/>
    <w:rsid w:val="00A85357"/>
    <w:rsid w:val="00A856B8"/>
    <w:rsid w:val="00A86A99"/>
    <w:rsid w:val="00A871E5"/>
    <w:rsid w:val="00A902DD"/>
    <w:rsid w:val="00A908CA"/>
    <w:rsid w:val="00A91114"/>
    <w:rsid w:val="00A91617"/>
    <w:rsid w:val="00A93C1C"/>
    <w:rsid w:val="00A93FC0"/>
    <w:rsid w:val="00A96FA8"/>
    <w:rsid w:val="00A9770A"/>
    <w:rsid w:val="00AA0A43"/>
    <w:rsid w:val="00AA0DD3"/>
    <w:rsid w:val="00AA0DFA"/>
    <w:rsid w:val="00AA1C07"/>
    <w:rsid w:val="00AA34E6"/>
    <w:rsid w:val="00AA3688"/>
    <w:rsid w:val="00AA4006"/>
    <w:rsid w:val="00AA4F50"/>
    <w:rsid w:val="00AA5887"/>
    <w:rsid w:val="00AB19F8"/>
    <w:rsid w:val="00AB2A61"/>
    <w:rsid w:val="00AB3A12"/>
    <w:rsid w:val="00AB5A8D"/>
    <w:rsid w:val="00AB6642"/>
    <w:rsid w:val="00AC26A9"/>
    <w:rsid w:val="00AC2EFE"/>
    <w:rsid w:val="00AC309E"/>
    <w:rsid w:val="00AC3930"/>
    <w:rsid w:val="00AC3AB1"/>
    <w:rsid w:val="00AC3ED9"/>
    <w:rsid w:val="00AC50A3"/>
    <w:rsid w:val="00AC68C6"/>
    <w:rsid w:val="00AC7612"/>
    <w:rsid w:val="00AC79C1"/>
    <w:rsid w:val="00AC7CA4"/>
    <w:rsid w:val="00AD493B"/>
    <w:rsid w:val="00AD4A64"/>
    <w:rsid w:val="00AD4D4E"/>
    <w:rsid w:val="00AD598F"/>
    <w:rsid w:val="00AD6D09"/>
    <w:rsid w:val="00AE07DA"/>
    <w:rsid w:val="00AE098E"/>
    <w:rsid w:val="00AE0BBA"/>
    <w:rsid w:val="00AE0D0D"/>
    <w:rsid w:val="00AE2291"/>
    <w:rsid w:val="00AE25C8"/>
    <w:rsid w:val="00AE316C"/>
    <w:rsid w:val="00AE4003"/>
    <w:rsid w:val="00AE4113"/>
    <w:rsid w:val="00AE4380"/>
    <w:rsid w:val="00AE4FAC"/>
    <w:rsid w:val="00AE5525"/>
    <w:rsid w:val="00AE6381"/>
    <w:rsid w:val="00AE656F"/>
    <w:rsid w:val="00AE7D78"/>
    <w:rsid w:val="00AF058A"/>
    <w:rsid w:val="00AF0E61"/>
    <w:rsid w:val="00AF26D1"/>
    <w:rsid w:val="00AF41F6"/>
    <w:rsid w:val="00AF438E"/>
    <w:rsid w:val="00AF45CA"/>
    <w:rsid w:val="00AF5CEE"/>
    <w:rsid w:val="00AF6397"/>
    <w:rsid w:val="00AF65E7"/>
    <w:rsid w:val="00AF7506"/>
    <w:rsid w:val="00B007DD"/>
    <w:rsid w:val="00B0098A"/>
    <w:rsid w:val="00B01016"/>
    <w:rsid w:val="00B0146E"/>
    <w:rsid w:val="00B01ACF"/>
    <w:rsid w:val="00B0215A"/>
    <w:rsid w:val="00B02160"/>
    <w:rsid w:val="00B027CB"/>
    <w:rsid w:val="00B0352B"/>
    <w:rsid w:val="00B073E6"/>
    <w:rsid w:val="00B074F8"/>
    <w:rsid w:val="00B1162E"/>
    <w:rsid w:val="00B117B0"/>
    <w:rsid w:val="00B11A3D"/>
    <w:rsid w:val="00B121B0"/>
    <w:rsid w:val="00B13B87"/>
    <w:rsid w:val="00B13CBB"/>
    <w:rsid w:val="00B175F3"/>
    <w:rsid w:val="00B17903"/>
    <w:rsid w:val="00B17FAB"/>
    <w:rsid w:val="00B20837"/>
    <w:rsid w:val="00B21BE7"/>
    <w:rsid w:val="00B223C0"/>
    <w:rsid w:val="00B22C5F"/>
    <w:rsid w:val="00B23687"/>
    <w:rsid w:val="00B240F6"/>
    <w:rsid w:val="00B25710"/>
    <w:rsid w:val="00B27564"/>
    <w:rsid w:val="00B27B03"/>
    <w:rsid w:val="00B31B62"/>
    <w:rsid w:val="00B31C8C"/>
    <w:rsid w:val="00B3208E"/>
    <w:rsid w:val="00B32EBA"/>
    <w:rsid w:val="00B33711"/>
    <w:rsid w:val="00B34889"/>
    <w:rsid w:val="00B37550"/>
    <w:rsid w:val="00B3779E"/>
    <w:rsid w:val="00B402C6"/>
    <w:rsid w:val="00B41DC1"/>
    <w:rsid w:val="00B42F69"/>
    <w:rsid w:val="00B43F40"/>
    <w:rsid w:val="00B458A8"/>
    <w:rsid w:val="00B45D0A"/>
    <w:rsid w:val="00B45E52"/>
    <w:rsid w:val="00B46450"/>
    <w:rsid w:val="00B46EC7"/>
    <w:rsid w:val="00B50A91"/>
    <w:rsid w:val="00B5160B"/>
    <w:rsid w:val="00B51761"/>
    <w:rsid w:val="00B51871"/>
    <w:rsid w:val="00B52022"/>
    <w:rsid w:val="00B52187"/>
    <w:rsid w:val="00B5379D"/>
    <w:rsid w:val="00B54691"/>
    <w:rsid w:val="00B56E20"/>
    <w:rsid w:val="00B60CCD"/>
    <w:rsid w:val="00B62854"/>
    <w:rsid w:val="00B62A0E"/>
    <w:rsid w:val="00B62EF1"/>
    <w:rsid w:val="00B63E4E"/>
    <w:rsid w:val="00B640CC"/>
    <w:rsid w:val="00B645B6"/>
    <w:rsid w:val="00B64B2F"/>
    <w:rsid w:val="00B667BF"/>
    <w:rsid w:val="00B674D6"/>
    <w:rsid w:val="00B6797D"/>
    <w:rsid w:val="00B67F62"/>
    <w:rsid w:val="00B70608"/>
    <w:rsid w:val="00B7245B"/>
    <w:rsid w:val="00B735B8"/>
    <w:rsid w:val="00B73F56"/>
    <w:rsid w:val="00B74858"/>
    <w:rsid w:val="00B752EB"/>
    <w:rsid w:val="00B752ED"/>
    <w:rsid w:val="00B75F33"/>
    <w:rsid w:val="00B77BE4"/>
    <w:rsid w:val="00B812BE"/>
    <w:rsid w:val="00B813D5"/>
    <w:rsid w:val="00B8258D"/>
    <w:rsid w:val="00B825B4"/>
    <w:rsid w:val="00B8332F"/>
    <w:rsid w:val="00B83BBE"/>
    <w:rsid w:val="00B84B6A"/>
    <w:rsid w:val="00B84E7E"/>
    <w:rsid w:val="00B86608"/>
    <w:rsid w:val="00B87847"/>
    <w:rsid w:val="00B90477"/>
    <w:rsid w:val="00B91CF1"/>
    <w:rsid w:val="00B92AA5"/>
    <w:rsid w:val="00B93904"/>
    <w:rsid w:val="00B951E9"/>
    <w:rsid w:val="00B955FE"/>
    <w:rsid w:val="00B96744"/>
    <w:rsid w:val="00BA08B3"/>
    <w:rsid w:val="00BA0B9F"/>
    <w:rsid w:val="00BA1413"/>
    <w:rsid w:val="00BA2673"/>
    <w:rsid w:val="00BA3287"/>
    <w:rsid w:val="00BA4A61"/>
    <w:rsid w:val="00BA6419"/>
    <w:rsid w:val="00BA6550"/>
    <w:rsid w:val="00BA66A6"/>
    <w:rsid w:val="00BA74BD"/>
    <w:rsid w:val="00BB159C"/>
    <w:rsid w:val="00BB3642"/>
    <w:rsid w:val="00BB4A3B"/>
    <w:rsid w:val="00BB59F6"/>
    <w:rsid w:val="00BB5EF0"/>
    <w:rsid w:val="00BB66AB"/>
    <w:rsid w:val="00BB75A4"/>
    <w:rsid w:val="00BB7BBA"/>
    <w:rsid w:val="00BC011A"/>
    <w:rsid w:val="00BC0AD6"/>
    <w:rsid w:val="00BC122E"/>
    <w:rsid w:val="00BC14DE"/>
    <w:rsid w:val="00BC3581"/>
    <w:rsid w:val="00BC3584"/>
    <w:rsid w:val="00BC4074"/>
    <w:rsid w:val="00BC5838"/>
    <w:rsid w:val="00BC6602"/>
    <w:rsid w:val="00BC6DC2"/>
    <w:rsid w:val="00BD0E2E"/>
    <w:rsid w:val="00BD65C5"/>
    <w:rsid w:val="00BD668E"/>
    <w:rsid w:val="00BD754C"/>
    <w:rsid w:val="00BE0B45"/>
    <w:rsid w:val="00BE14F6"/>
    <w:rsid w:val="00BE1776"/>
    <w:rsid w:val="00BE442D"/>
    <w:rsid w:val="00BE4ED6"/>
    <w:rsid w:val="00BE54F3"/>
    <w:rsid w:val="00BE5F67"/>
    <w:rsid w:val="00BE6F9B"/>
    <w:rsid w:val="00BE7920"/>
    <w:rsid w:val="00BF00FA"/>
    <w:rsid w:val="00BF0555"/>
    <w:rsid w:val="00BF0744"/>
    <w:rsid w:val="00BF1E46"/>
    <w:rsid w:val="00BF2A3A"/>
    <w:rsid w:val="00BF2CD1"/>
    <w:rsid w:val="00BF4B6A"/>
    <w:rsid w:val="00BF5135"/>
    <w:rsid w:val="00C00312"/>
    <w:rsid w:val="00C00828"/>
    <w:rsid w:val="00C009D3"/>
    <w:rsid w:val="00C009F5"/>
    <w:rsid w:val="00C01129"/>
    <w:rsid w:val="00C01DD9"/>
    <w:rsid w:val="00C02239"/>
    <w:rsid w:val="00C022E1"/>
    <w:rsid w:val="00C0398D"/>
    <w:rsid w:val="00C05C3D"/>
    <w:rsid w:val="00C071AC"/>
    <w:rsid w:val="00C109A2"/>
    <w:rsid w:val="00C11707"/>
    <w:rsid w:val="00C11E4C"/>
    <w:rsid w:val="00C14954"/>
    <w:rsid w:val="00C15B75"/>
    <w:rsid w:val="00C179B0"/>
    <w:rsid w:val="00C20245"/>
    <w:rsid w:val="00C20CA6"/>
    <w:rsid w:val="00C20EB5"/>
    <w:rsid w:val="00C21AD6"/>
    <w:rsid w:val="00C226F9"/>
    <w:rsid w:val="00C23398"/>
    <w:rsid w:val="00C23A2F"/>
    <w:rsid w:val="00C23B23"/>
    <w:rsid w:val="00C23F1E"/>
    <w:rsid w:val="00C2428B"/>
    <w:rsid w:val="00C25805"/>
    <w:rsid w:val="00C265E3"/>
    <w:rsid w:val="00C26C22"/>
    <w:rsid w:val="00C27B03"/>
    <w:rsid w:val="00C3089B"/>
    <w:rsid w:val="00C34B40"/>
    <w:rsid w:val="00C354EA"/>
    <w:rsid w:val="00C35836"/>
    <w:rsid w:val="00C37DDF"/>
    <w:rsid w:val="00C41CD3"/>
    <w:rsid w:val="00C4324F"/>
    <w:rsid w:val="00C43438"/>
    <w:rsid w:val="00C441BE"/>
    <w:rsid w:val="00C44264"/>
    <w:rsid w:val="00C45BD4"/>
    <w:rsid w:val="00C46251"/>
    <w:rsid w:val="00C4790F"/>
    <w:rsid w:val="00C47FC0"/>
    <w:rsid w:val="00C513D9"/>
    <w:rsid w:val="00C5189F"/>
    <w:rsid w:val="00C51DEE"/>
    <w:rsid w:val="00C528CC"/>
    <w:rsid w:val="00C53ABD"/>
    <w:rsid w:val="00C53AD3"/>
    <w:rsid w:val="00C53C94"/>
    <w:rsid w:val="00C567E6"/>
    <w:rsid w:val="00C57741"/>
    <w:rsid w:val="00C6074F"/>
    <w:rsid w:val="00C62568"/>
    <w:rsid w:val="00C6296C"/>
    <w:rsid w:val="00C64143"/>
    <w:rsid w:val="00C6434D"/>
    <w:rsid w:val="00C65265"/>
    <w:rsid w:val="00C652E5"/>
    <w:rsid w:val="00C669D6"/>
    <w:rsid w:val="00C673ED"/>
    <w:rsid w:val="00C67446"/>
    <w:rsid w:val="00C676D4"/>
    <w:rsid w:val="00C70962"/>
    <w:rsid w:val="00C71674"/>
    <w:rsid w:val="00C73116"/>
    <w:rsid w:val="00C733F7"/>
    <w:rsid w:val="00C76569"/>
    <w:rsid w:val="00C7697F"/>
    <w:rsid w:val="00C80CC5"/>
    <w:rsid w:val="00C8136C"/>
    <w:rsid w:val="00C82FAC"/>
    <w:rsid w:val="00C82FFA"/>
    <w:rsid w:val="00C84032"/>
    <w:rsid w:val="00C84A1B"/>
    <w:rsid w:val="00C85521"/>
    <w:rsid w:val="00C856C0"/>
    <w:rsid w:val="00C85D12"/>
    <w:rsid w:val="00C863EE"/>
    <w:rsid w:val="00C9047D"/>
    <w:rsid w:val="00C91025"/>
    <w:rsid w:val="00C92646"/>
    <w:rsid w:val="00C9316A"/>
    <w:rsid w:val="00C93B5E"/>
    <w:rsid w:val="00C946BB"/>
    <w:rsid w:val="00C94ACC"/>
    <w:rsid w:val="00C95D8D"/>
    <w:rsid w:val="00C97C7F"/>
    <w:rsid w:val="00CA222B"/>
    <w:rsid w:val="00CA2283"/>
    <w:rsid w:val="00CA2AEF"/>
    <w:rsid w:val="00CA2CA3"/>
    <w:rsid w:val="00CA325F"/>
    <w:rsid w:val="00CA33B8"/>
    <w:rsid w:val="00CA69A6"/>
    <w:rsid w:val="00CA6DD8"/>
    <w:rsid w:val="00CB0D52"/>
    <w:rsid w:val="00CB12C9"/>
    <w:rsid w:val="00CB1582"/>
    <w:rsid w:val="00CB1CEB"/>
    <w:rsid w:val="00CB22B7"/>
    <w:rsid w:val="00CB2C3E"/>
    <w:rsid w:val="00CB2D0E"/>
    <w:rsid w:val="00CB31DA"/>
    <w:rsid w:val="00CB4333"/>
    <w:rsid w:val="00CB4C66"/>
    <w:rsid w:val="00CB4DCB"/>
    <w:rsid w:val="00CB5032"/>
    <w:rsid w:val="00CB7DF6"/>
    <w:rsid w:val="00CC1787"/>
    <w:rsid w:val="00CC2A56"/>
    <w:rsid w:val="00CC303F"/>
    <w:rsid w:val="00CC3C96"/>
    <w:rsid w:val="00CC46FA"/>
    <w:rsid w:val="00CC5368"/>
    <w:rsid w:val="00CC59A6"/>
    <w:rsid w:val="00CC670C"/>
    <w:rsid w:val="00CC7A07"/>
    <w:rsid w:val="00CD077C"/>
    <w:rsid w:val="00CD08AF"/>
    <w:rsid w:val="00CD29EB"/>
    <w:rsid w:val="00CD342A"/>
    <w:rsid w:val="00CD3940"/>
    <w:rsid w:val="00CD41EC"/>
    <w:rsid w:val="00CD54A4"/>
    <w:rsid w:val="00CD5F15"/>
    <w:rsid w:val="00CD7C01"/>
    <w:rsid w:val="00CE1688"/>
    <w:rsid w:val="00CE2F14"/>
    <w:rsid w:val="00CE52B8"/>
    <w:rsid w:val="00CE6A0B"/>
    <w:rsid w:val="00CE7BF6"/>
    <w:rsid w:val="00CF0950"/>
    <w:rsid w:val="00CF1606"/>
    <w:rsid w:val="00CF3B07"/>
    <w:rsid w:val="00CF3B7C"/>
    <w:rsid w:val="00CF4C13"/>
    <w:rsid w:val="00CF605B"/>
    <w:rsid w:val="00CF62E0"/>
    <w:rsid w:val="00CF6384"/>
    <w:rsid w:val="00CF6902"/>
    <w:rsid w:val="00D02B8F"/>
    <w:rsid w:val="00D0401F"/>
    <w:rsid w:val="00D065D6"/>
    <w:rsid w:val="00D06C59"/>
    <w:rsid w:val="00D06E88"/>
    <w:rsid w:val="00D07AA3"/>
    <w:rsid w:val="00D112F3"/>
    <w:rsid w:val="00D11F90"/>
    <w:rsid w:val="00D13527"/>
    <w:rsid w:val="00D141BE"/>
    <w:rsid w:val="00D1460C"/>
    <w:rsid w:val="00D15E4E"/>
    <w:rsid w:val="00D162FF"/>
    <w:rsid w:val="00D17601"/>
    <w:rsid w:val="00D179E3"/>
    <w:rsid w:val="00D20462"/>
    <w:rsid w:val="00D20D6E"/>
    <w:rsid w:val="00D21300"/>
    <w:rsid w:val="00D22F7B"/>
    <w:rsid w:val="00D230DC"/>
    <w:rsid w:val="00D26C9A"/>
    <w:rsid w:val="00D2768D"/>
    <w:rsid w:val="00D303E8"/>
    <w:rsid w:val="00D3198D"/>
    <w:rsid w:val="00D31BA6"/>
    <w:rsid w:val="00D335E1"/>
    <w:rsid w:val="00D3545E"/>
    <w:rsid w:val="00D35FEA"/>
    <w:rsid w:val="00D366E4"/>
    <w:rsid w:val="00D37F08"/>
    <w:rsid w:val="00D423AC"/>
    <w:rsid w:val="00D42C65"/>
    <w:rsid w:val="00D42D5A"/>
    <w:rsid w:val="00D44B15"/>
    <w:rsid w:val="00D44DC6"/>
    <w:rsid w:val="00D44FD4"/>
    <w:rsid w:val="00D476EA"/>
    <w:rsid w:val="00D5044C"/>
    <w:rsid w:val="00D514E5"/>
    <w:rsid w:val="00D51648"/>
    <w:rsid w:val="00D53589"/>
    <w:rsid w:val="00D539D5"/>
    <w:rsid w:val="00D544D5"/>
    <w:rsid w:val="00D55329"/>
    <w:rsid w:val="00D57897"/>
    <w:rsid w:val="00D602DE"/>
    <w:rsid w:val="00D60331"/>
    <w:rsid w:val="00D6096A"/>
    <w:rsid w:val="00D60ABE"/>
    <w:rsid w:val="00D60CE5"/>
    <w:rsid w:val="00D61811"/>
    <w:rsid w:val="00D63F9F"/>
    <w:rsid w:val="00D646D3"/>
    <w:rsid w:val="00D65228"/>
    <w:rsid w:val="00D662F2"/>
    <w:rsid w:val="00D665F1"/>
    <w:rsid w:val="00D6711E"/>
    <w:rsid w:val="00D703DE"/>
    <w:rsid w:val="00D71380"/>
    <w:rsid w:val="00D730D4"/>
    <w:rsid w:val="00D73B08"/>
    <w:rsid w:val="00D74402"/>
    <w:rsid w:val="00D75406"/>
    <w:rsid w:val="00D763CD"/>
    <w:rsid w:val="00D77DBC"/>
    <w:rsid w:val="00D80127"/>
    <w:rsid w:val="00D804E2"/>
    <w:rsid w:val="00D805D1"/>
    <w:rsid w:val="00D808F3"/>
    <w:rsid w:val="00D81AEF"/>
    <w:rsid w:val="00D81FB3"/>
    <w:rsid w:val="00D82FD7"/>
    <w:rsid w:val="00D8479D"/>
    <w:rsid w:val="00D84FA6"/>
    <w:rsid w:val="00D85C5F"/>
    <w:rsid w:val="00D85ECC"/>
    <w:rsid w:val="00D864C7"/>
    <w:rsid w:val="00D86EB7"/>
    <w:rsid w:val="00D91E9F"/>
    <w:rsid w:val="00D92025"/>
    <w:rsid w:val="00D9204D"/>
    <w:rsid w:val="00D92B5E"/>
    <w:rsid w:val="00D93388"/>
    <w:rsid w:val="00D93CFF"/>
    <w:rsid w:val="00D95457"/>
    <w:rsid w:val="00D95ADB"/>
    <w:rsid w:val="00D9623B"/>
    <w:rsid w:val="00D97A7B"/>
    <w:rsid w:val="00DA1259"/>
    <w:rsid w:val="00DA1AAD"/>
    <w:rsid w:val="00DA1E08"/>
    <w:rsid w:val="00DA244B"/>
    <w:rsid w:val="00DA4A52"/>
    <w:rsid w:val="00DA4FBC"/>
    <w:rsid w:val="00DA5571"/>
    <w:rsid w:val="00DA5ED1"/>
    <w:rsid w:val="00DA61B9"/>
    <w:rsid w:val="00DA7457"/>
    <w:rsid w:val="00DB1083"/>
    <w:rsid w:val="00DB1B31"/>
    <w:rsid w:val="00DB2995"/>
    <w:rsid w:val="00DB2ED0"/>
    <w:rsid w:val="00DB38F0"/>
    <w:rsid w:val="00DB3EE8"/>
    <w:rsid w:val="00DB4701"/>
    <w:rsid w:val="00DB4E76"/>
    <w:rsid w:val="00DB59C0"/>
    <w:rsid w:val="00DC0146"/>
    <w:rsid w:val="00DC03EE"/>
    <w:rsid w:val="00DC0A01"/>
    <w:rsid w:val="00DC1A42"/>
    <w:rsid w:val="00DC36B8"/>
    <w:rsid w:val="00DC39B7"/>
    <w:rsid w:val="00DC3A8E"/>
    <w:rsid w:val="00DC53F2"/>
    <w:rsid w:val="00DC6B01"/>
    <w:rsid w:val="00DC7797"/>
    <w:rsid w:val="00DC7942"/>
    <w:rsid w:val="00DC7E53"/>
    <w:rsid w:val="00DD030C"/>
    <w:rsid w:val="00DD078A"/>
    <w:rsid w:val="00DD1737"/>
    <w:rsid w:val="00DD17E1"/>
    <w:rsid w:val="00DD34E1"/>
    <w:rsid w:val="00DD3FAB"/>
    <w:rsid w:val="00DD45E7"/>
    <w:rsid w:val="00DD4CCE"/>
    <w:rsid w:val="00DD71F6"/>
    <w:rsid w:val="00DD7667"/>
    <w:rsid w:val="00DD777C"/>
    <w:rsid w:val="00DE0D2F"/>
    <w:rsid w:val="00DE0D75"/>
    <w:rsid w:val="00DE187E"/>
    <w:rsid w:val="00DE19EB"/>
    <w:rsid w:val="00DE3740"/>
    <w:rsid w:val="00DE414B"/>
    <w:rsid w:val="00DE512A"/>
    <w:rsid w:val="00DE557B"/>
    <w:rsid w:val="00DE5B0F"/>
    <w:rsid w:val="00DF0408"/>
    <w:rsid w:val="00DF0BF5"/>
    <w:rsid w:val="00DF0D2A"/>
    <w:rsid w:val="00DF0FE3"/>
    <w:rsid w:val="00DF20C0"/>
    <w:rsid w:val="00DF2C8F"/>
    <w:rsid w:val="00DF2CB1"/>
    <w:rsid w:val="00DF6049"/>
    <w:rsid w:val="00DF62D6"/>
    <w:rsid w:val="00DF69F9"/>
    <w:rsid w:val="00E010DA"/>
    <w:rsid w:val="00E011F9"/>
    <w:rsid w:val="00E02579"/>
    <w:rsid w:val="00E02B50"/>
    <w:rsid w:val="00E04B3F"/>
    <w:rsid w:val="00E05450"/>
    <w:rsid w:val="00E060C1"/>
    <w:rsid w:val="00E06B1E"/>
    <w:rsid w:val="00E07787"/>
    <w:rsid w:val="00E10AAF"/>
    <w:rsid w:val="00E11D49"/>
    <w:rsid w:val="00E1393C"/>
    <w:rsid w:val="00E14166"/>
    <w:rsid w:val="00E14597"/>
    <w:rsid w:val="00E147D5"/>
    <w:rsid w:val="00E14C0E"/>
    <w:rsid w:val="00E16642"/>
    <w:rsid w:val="00E17824"/>
    <w:rsid w:val="00E1787C"/>
    <w:rsid w:val="00E21506"/>
    <w:rsid w:val="00E21D1D"/>
    <w:rsid w:val="00E21F1F"/>
    <w:rsid w:val="00E2249E"/>
    <w:rsid w:val="00E22B76"/>
    <w:rsid w:val="00E234F1"/>
    <w:rsid w:val="00E241ED"/>
    <w:rsid w:val="00E24E3A"/>
    <w:rsid w:val="00E25AF8"/>
    <w:rsid w:val="00E25BDA"/>
    <w:rsid w:val="00E26C55"/>
    <w:rsid w:val="00E26F6C"/>
    <w:rsid w:val="00E31BD0"/>
    <w:rsid w:val="00E34CA3"/>
    <w:rsid w:val="00E353CF"/>
    <w:rsid w:val="00E35C4A"/>
    <w:rsid w:val="00E36C1C"/>
    <w:rsid w:val="00E374A7"/>
    <w:rsid w:val="00E37A0F"/>
    <w:rsid w:val="00E37DA6"/>
    <w:rsid w:val="00E37FE3"/>
    <w:rsid w:val="00E40EB7"/>
    <w:rsid w:val="00E43AAA"/>
    <w:rsid w:val="00E44C62"/>
    <w:rsid w:val="00E45846"/>
    <w:rsid w:val="00E46754"/>
    <w:rsid w:val="00E52BFF"/>
    <w:rsid w:val="00E5387C"/>
    <w:rsid w:val="00E53CA5"/>
    <w:rsid w:val="00E54EF2"/>
    <w:rsid w:val="00E60DC5"/>
    <w:rsid w:val="00E62356"/>
    <w:rsid w:val="00E63559"/>
    <w:rsid w:val="00E64BFD"/>
    <w:rsid w:val="00E67180"/>
    <w:rsid w:val="00E676E2"/>
    <w:rsid w:val="00E721C2"/>
    <w:rsid w:val="00E74D68"/>
    <w:rsid w:val="00E74FA5"/>
    <w:rsid w:val="00E756A8"/>
    <w:rsid w:val="00E76032"/>
    <w:rsid w:val="00E768F2"/>
    <w:rsid w:val="00E76F3B"/>
    <w:rsid w:val="00E7719A"/>
    <w:rsid w:val="00E77C3E"/>
    <w:rsid w:val="00E77E9E"/>
    <w:rsid w:val="00E81DED"/>
    <w:rsid w:val="00E82316"/>
    <w:rsid w:val="00E825B3"/>
    <w:rsid w:val="00E849DE"/>
    <w:rsid w:val="00E85948"/>
    <w:rsid w:val="00E85F8F"/>
    <w:rsid w:val="00E86536"/>
    <w:rsid w:val="00E86853"/>
    <w:rsid w:val="00E86AF9"/>
    <w:rsid w:val="00E86B81"/>
    <w:rsid w:val="00E9049F"/>
    <w:rsid w:val="00E9167E"/>
    <w:rsid w:val="00E922A4"/>
    <w:rsid w:val="00E925CE"/>
    <w:rsid w:val="00E93F3F"/>
    <w:rsid w:val="00E94771"/>
    <w:rsid w:val="00E967CB"/>
    <w:rsid w:val="00EA05D9"/>
    <w:rsid w:val="00EA08E8"/>
    <w:rsid w:val="00EA1104"/>
    <w:rsid w:val="00EA5257"/>
    <w:rsid w:val="00EA59B6"/>
    <w:rsid w:val="00EA644F"/>
    <w:rsid w:val="00EA7415"/>
    <w:rsid w:val="00EB0433"/>
    <w:rsid w:val="00EB167D"/>
    <w:rsid w:val="00EB18C5"/>
    <w:rsid w:val="00EB1B8B"/>
    <w:rsid w:val="00EB24EC"/>
    <w:rsid w:val="00EB3C54"/>
    <w:rsid w:val="00EB4951"/>
    <w:rsid w:val="00EB4AB7"/>
    <w:rsid w:val="00EB595B"/>
    <w:rsid w:val="00EB5A78"/>
    <w:rsid w:val="00EC098E"/>
    <w:rsid w:val="00EC0BCB"/>
    <w:rsid w:val="00EC0E71"/>
    <w:rsid w:val="00EC1B15"/>
    <w:rsid w:val="00EC1DFC"/>
    <w:rsid w:val="00EC38D2"/>
    <w:rsid w:val="00EC4238"/>
    <w:rsid w:val="00ED4711"/>
    <w:rsid w:val="00ED4894"/>
    <w:rsid w:val="00ED613A"/>
    <w:rsid w:val="00ED6CFA"/>
    <w:rsid w:val="00ED6D53"/>
    <w:rsid w:val="00EE0CEF"/>
    <w:rsid w:val="00EE1855"/>
    <w:rsid w:val="00EE1E1F"/>
    <w:rsid w:val="00EE2B68"/>
    <w:rsid w:val="00EE3733"/>
    <w:rsid w:val="00EE395E"/>
    <w:rsid w:val="00EE42C2"/>
    <w:rsid w:val="00EE6D70"/>
    <w:rsid w:val="00EE723E"/>
    <w:rsid w:val="00EF0B4B"/>
    <w:rsid w:val="00EF1386"/>
    <w:rsid w:val="00EF2491"/>
    <w:rsid w:val="00EF256B"/>
    <w:rsid w:val="00EF30D2"/>
    <w:rsid w:val="00EF5277"/>
    <w:rsid w:val="00EF5CAD"/>
    <w:rsid w:val="00EF611F"/>
    <w:rsid w:val="00EF70B4"/>
    <w:rsid w:val="00EF76E1"/>
    <w:rsid w:val="00EF7948"/>
    <w:rsid w:val="00F029AF"/>
    <w:rsid w:val="00F04099"/>
    <w:rsid w:val="00F0444A"/>
    <w:rsid w:val="00F04690"/>
    <w:rsid w:val="00F04C88"/>
    <w:rsid w:val="00F05B66"/>
    <w:rsid w:val="00F07D34"/>
    <w:rsid w:val="00F1030E"/>
    <w:rsid w:val="00F10593"/>
    <w:rsid w:val="00F10925"/>
    <w:rsid w:val="00F11BA7"/>
    <w:rsid w:val="00F1267E"/>
    <w:rsid w:val="00F12F6C"/>
    <w:rsid w:val="00F13116"/>
    <w:rsid w:val="00F13DAE"/>
    <w:rsid w:val="00F157A8"/>
    <w:rsid w:val="00F157D8"/>
    <w:rsid w:val="00F201AD"/>
    <w:rsid w:val="00F20839"/>
    <w:rsid w:val="00F21481"/>
    <w:rsid w:val="00F21B21"/>
    <w:rsid w:val="00F222BB"/>
    <w:rsid w:val="00F2491A"/>
    <w:rsid w:val="00F24EF6"/>
    <w:rsid w:val="00F254E4"/>
    <w:rsid w:val="00F26AAB"/>
    <w:rsid w:val="00F26F5D"/>
    <w:rsid w:val="00F27CA0"/>
    <w:rsid w:val="00F328AB"/>
    <w:rsid w:val="00F3381E"/>
    <w:rsid w:val="00F34C92"/>
    <w:rsid w:val="00F34E9F"/>
    <w:rsid w:val="00F35D19"/>
    <w:rsid w:val="00F3743E"/>
    <w:rsid w:val="00F377AE"/>
    <w:rsid w:val="00F41269"/>
    <w:rsid w:val="00F41319"/>
    <w:rsid w:val="00F42374"/>
    <w:rsid w:val="00F44B13"/>
    <w:rsid w:val="00F45BE7"/>
    <w:rsid w:val="00F463D7"/>
    <w:rsid w:val="00F50163"/>
    <w:rsid w:val="00F510E2"/>
    <w:rsid w:val="00F51170"/>
    <w:rsid w:val="00F515F1"/>
    <w:rsid w:val="00F520BF"/>
    <w:rsid w:val="00F5273A"/>
    <w:rsid w:val="00F52B35"/>
    <w:rsid w:val="00F52D6B"/>
    <w:rsid w:val="00F52E18"/>
    <w:rsid w:val="00F533B4"/>
    <w:rsid w:val="00F535E2"/>
    <w:rsid w:val="00F54516"/>
    <w:rsid w:val="00F546FB"/>
    <w:rsid w:val="00F55121"/>
    <w:rsid w:val="00F55335"/>
    <w:rsid w:val="00F55CF7"/>
    <w:rsid w:val="00F564A7"/>
    <w:rsid w:val="00F567F1"/>
    <w:rsid w:val="00F57D1C"/>
    <w:rsid w:val="00F6077A"/>
    <w:rsid w:val="00F6086A"/>
    <w:rsid w:val="00F6169B"/>
    <w:rsid w:val="00F61947"/>
    <w:rsid w:val="00F61FF0"/>
    <w:rsid w:val="00F62824"/>
    <w:rsid w:val="00F62D7C"/>
    <w:rsid w:val="00F634C8"/>
    <w:rsid w:val="00F643D9"/>
    <w:rsid w:val="00F65A97"/>
    <w:rsid w:val="00F65E85"/>
    <w:rsid w:val="00F67155"/>
    <w:rsid w:val="00F67988"/>
    <w:rsid w:val="00F7058F"/>
    <w:rsid w:val="00F70D21"/>
    <w:rsid w:val="00F70FEF"/>
    <w:rsid w:val="00F71249"/>
    <w:rsid w:val="00F71BB8"/>
    <w:rsid w:val="00F7350D"/>
    <w:rsid w:val="00F7375F"/>
    <w:rsid w:val="00F73F06"/>
    <w:rsid w:val="00F74F3A"/>
    <w:rsid w:val="00F75C02"/>
    <w:rsid w:val="00F7715F"/>
    <w:rsid w:val="00F773B9"/>
    <w:rsid w:val="00F77ECB"/>
    <w:rsid w:val="00F80602"/>
    <w:rsid w:val="00F8065B"/>
    <w:rsid w:val="00F81936"/>
    <w:rsid w:val="00F81BF8"/>
    <w:rsid w:val="00F81E47"/>
    <w:rsid w:val="00F824EF"/>
    <w:rsid w:val="00F8276A"/>
    <w:rsid w:val="00F84408"/>
    <w:rsid w:val="00F8445D"/>
    <w:rsid w:val="00F86474"/>
    <w:rsid w:val="00F868B4"/>
    <w:rsid w:val="00F86AB9"/>
    <w:rsid w:val="00F8730A"/>
    <w:rsid w:val="00F9016F"/>
    <w:rsid w:val="00F90601"/>
    <w:rsid w:val="00F93703"/>
    <w:rsid w:val="00F95A26"/>
    <w:rsid w:val="00F95CFC"/>
    <w:rsid w:val="00FA4B2C"/>
    <w:rsid w:val="00FA6641"/>
    <w:rsid w:val="00FA78FD"/>
    <w:rsid w:val="00FB0F7A"/>
    <w:rsid w:val="00FB11BE"/>
    <w:rsid w:val="00FB1357"/>
    <w:rsid w:val="00FB1799"/>
    <w:rsid w:val="00FB1B56"/>
    <w:rsid w:val="00FB27F1"/>
    <w:rsid w:val="00FB394D"/>
    <w:rsid w:val="00FB4C6F"/>
    <w:rsid w:val="00FB54C2"/>
    <w:rsid w:val="00FC13D5"/>
    <w:rsid w:val="00FC2493"/>
    <w:rsid w:val="00FC5E76"/>
    <w:rsid w:val="00FC69CF"/>
    <w:rsid w:val="00FC7214"/>
    <w:rsid w:val="00FC7FB3"/>
    <w:rsid w:val="00FD0234"/>
    <w:rsid w:val="00FD058F"/>
    <w:rsid w:val="00FD0B70"/>
    <w:rsid w:val="00FD11B8"/>
    <w:rsid w:val="00FD1440"/>
    <w:rsid w:val="00FD1489"/>
    <w:rsid w:val="00FD17D7"/>
    <w:rsid w:val="00FD2DA9"/>
    <w:rsid w:val="00FD2FBF"/>
    <w:rsid w:val="00FD35FA"/>
    <w:rsid w:val="00FD59F1"/>
    <w:rsid w:val="00FD5B95"/>
    <w:rsid w:val="00FD66A4"/>
    <w:rsid w:val="00FD6FE2"/>
    <w:rsid w:val="00FD738C"/>
    <w:rsid w:val="00FD74CB"/>
    <w:rsid w:val="00FD7543"/>
    <w:rsid w:val="00FD7BF5"/>
    <w:rsid w:val="00FD7DEE"/>
    <w:rsid w:val="00FE185C"/>
    <w:rsid w:val="00FE286F"/>
    <w:rsid w:val="00FE3250"/>
    <w:rsid w:val="00FE3C5F"/>
    <w:rsid w:val="00FE401B"/>
    <w:rsid w:val="00FE4126"/>
    <w:rsid w:val="00FE4705"/>
    <w:rsid w:val="00FE557C"/>
    <w:rsid w:val="00FF23F1"/>
    <w:rsid w:val="00FF4C3A"/>
    <w:rsid w:val="00FF62F4"/>
    <w:rsid w:val="00FF6519"/>
    <w:rsid w:val="00FF7B1B"/>
    <w:rsid w:val="00FF7BC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45746F3D"/>
  <w15:docId w15:val="{7E5C1965-B061-4647-AB6F-FFBAFF16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eastAsia="en-US"/>
    </w:rPr>
  </w:style>
  <w:style w:type="paragraph" w:styleId="Heading1">
    <w:name w:val="heading 1"/>
    <w:basedOn w:val="Normal"/>
    <w:next w:val="Normal"/>
    <w:link w:val="Heading1Char"/>
    <w:uiPriority w:val="9"/>
    <w:qFormat/>
    <w:rsid w:val="00D5532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5532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07D1B"/>
    <w:pPr>
      <w:keepNext/>
      <w:keepLines/>
      <w:spacing w:before="180" w:after="120" w:line="240"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D5532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D5532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D5532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D5532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D5532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D5532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basedOn w:val="Normal"/>
    <w:link w:val="CommentTextChar"/>
    <w:uiPriority w:val="99"/>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NewRoman" w:hAnsi="TimesNew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uiPriority w:val="99"/>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paragraph" w:customStyle="1" w:styleId="Default">
    <w:name w:val="Default"/>
    <w:rsid w:val="00F8065B"/>
    <w:pPr>
      <w:autoSpaceDE w:val="0"/>
      <w:autoSpaceDN w:val="0"/>
      <w:adjustRightInd w:val="0"/>
    </w:pPr>
    <w:rPr>
      <w:rFonts w:ascii="Symbol" w:hAnsi="Symbol" w:cs="Symbol"/>
      <w:color w:val="000000"/>
      <w:sz w:val="24"/>
      <w:szCs w:val="24"/>
      <w:lang w:val="de-CH" w:eastAsia="de-CH" w:bidi="he-IL"/>
    </w:rPr>
  </w:style>
  <w:style w:type="table" w:styleId="TableGrid">
    <w:name w:val="Table Grid"/>
    <w:basedOn w:val="TableNormal"/>
    <w:uiPriority w:val="59"/>
    <w:rsid w:val="00B8332F"/>
    <w:rPr>
      <w:rFonts w:ascii="Calibri" w:eastAsia="Calibri" w:hAnsi="Calibri" w:cs="Arial"/>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odyText">
    <w:name w:val="C-Body Text"/>
    <w:link w:val="C-BodyTextChar"/>
    <w:rsid w:val="00B752ED"/>
    <w:pPr>
      <w:spacing w:before="120" w:after="120" w:line="280" w:lineRule="atLeast"/>
    </w:pPr>
    <w:rPr>
      <w:rFonts w:eastAsia="Times New Roman"/>
      <w:sz w:val="24"/>
      <w:lang w:val="en-US" w:eastAsia="en-US"/>
    </w:rPr>
  </w:style>
  <w:style w:type="character" w:customStyle="1" w:styleId="C-BodyTextChar">
    <w:name w:val="C-Body Text Char"/>
    <w:link w:val="C-BodyText"/>
    <w:locked/>
    <w:rsid w:val="00B752ED"/>
    <w:rPr>
      <w:rFonts w:eastAsia="Times New Roman"/>
      <w:sz w:val="24"/>
      <w:lang w:val="en-US" w:eastAsia="en-US" w:bidi="ar-SA"/>
    </w:rPr>
  </w:style>
  <w:style w:type="paragraph" w:customStyle="1" w:styleId="CM4">
    <w:name w:val="CM4"/>
    <w:basedOn w:val="Default"/>
    <w:next w:val="Default"/>
    <w:uiPriority w:val="99"/>
    <w:rsid w:val="00EB167D"/>
    <w:rPr>
      <w:rFonts w:ascii="Times New Roman" w:hAnsi="Times New Roman" w:cs="Times New Roman"/>
      <w:color w:val="auto"/>
    </w:rPr>
  </w:style>
  <w:style w:type="paragraph" w:customStyle="1" w:styleId="C-TableHeader">
    <w:name w:val="C-Table Header"/>
    <w:next w:val="C-TableText"/>
    <w:rsid w:val="00BB75A4"/>
    <w:pPr>
      <w:keepNext/>
      <w:spacing w:before="60" w:after="60"/>
    </w:pPr>
    <w:rPr>
      <w:rFonts w:eastAsia="Times New Roman"/>
      <w:b/>
      <w:sz w:val="22"/>
      <w:lang w:val="en-US" w:eastAsia="en-US"/>
    </w:rPr>
  </w:style>
  <w:style w:type="paragraph" w:customStyle="1" w:styleId="C-TableText">
    <w:name w:val="C-Table Text"/>
    <w:link w:val="C-TableTextChar"/>
    <w:rsid w:val="00BB75A4"/>
    <w:pPr>
      <w:spacing w:before="60" w:after="60"/>
    </w:pPr>
    <w:rPr>
      <w:rFonts w:eastAsia="Times New Roman"/>
      <w:sz w:val="22"/>
      <w:lang w:val="en-US" w:eastAsia="en-US"/>
    </w:rPr>
  </w:style>
  <w:style w:type="character" w:customStyle="1" w:styleId="C-TableTextChar">
    <w:name w:val="C-Table Text Char"/>
    <w:link w:val="C-TableText"/>
    <w:locked/>
    <w:rsid w:val="00BB75A4"/>
    <w:rPr>
      <w:rFonts w:eastAsia="Times New Roman"/>
      <w:sz w:val="22"/>
      <w:lang w:val="en-US" w:eastAsia="en-US" w:bidi="ar-SA"/>
    </w:rPr>
  </w:style>
  <w:style w:type="paragraph" w:customStyle="1" w:styleId="C-Footnote">
    <w:name w:val="C-Footnote"/>
    <w:basedOn w:val="Normal"/>
    <w:qFormat/>
    <w:rsid w:val="00BB75A4"/>
    <w:pPr>
      <w:tabs>
        <w:tab w:val="clear" w:pos="567"/>
        <w:tab w:val="left" w:pos="144"/>
      </w:tabs>
      <w:spacing w:line="240" w:lineRule="auto"/>
    </w:pPr>
    <w:rPr>
      <w:rFonts w:cs="Arial"/>
      <w:sz w:val="20"/>
      <w:lang w:val="en-US"/>
    </w:rPr>
  </w:style>
  <w:style w:type="paragraph" w:styleId="ListParagraph">
    <w:name w:val="List Paragraph"/>
    <w:basedOn w:val="Normal"/>
    <w:uiPriority w:val="34"/>
    <w:qFormat/>
    <w:rsid w:val="00480504"/>
    <w:pPr>
      <w:tabs>
        <w:tab w:val="clear" w:pos="567"/>
      </w:tabs>
      <w:spacing w:before="120" w:line="240" w:lineRule="auto"/>
      <w:ind w:left="720"/>
      <w:contextualSpacing/>
    </w:pPr>
    <w:rPr>
      <w:rFonts w:ascii="Calibri" w:eastAsia="Calibri" w:hAnsi="Calibri"/>
      <w:sz w:val="24"/>
      <w:szCs w:val="24"/>
      <w:lang w:val="en-US"/>
    </w:rPr>
  </w:style>
  <w:style w:type="paragraph" w:customStyle="1" w:styleId="C-Bullet">
    <w:name w:val="C-Bullet"/>
    <w:rsid w:val="00480504"/>
    <w:pPr>
      <w:numPr>
        <w:numId w:val="5"/>
      </w:numPr>
      <w:spacing w:before="120" w:after="120" w:line="280" w:lineRule="atLeast"/>
    </w:pPr>
    <w:rPr>
      <w:rFonts w:eastAsia="Times New Roman"/>
      <w:sz w:val="24"/>
      <w:lang w:val="en-US" w:eastAsia="en-US"/>
    </w:rPr>
  </w:style>
  <w:style w:type="paragraph" w:customStyle="1" w:styleId="C-BulletIndented">
    <w:name w:val="C-Bullet Indented"/>
    <w:rsid w:val="00480504"/>
    <w:pPr>
      <w:numPr>
        <w:ilvl w:val="1"/>
        <w:numId w:val="5"/>
      </w:numPr>
      <w:spacing w:before="120" w:after="120" w:line="280" w:lineRule="atLeast"/>
    </w:pPr>
    <w:rPr>
      <w:rFonts w:eastAsia="Times New Roman" w:cs="Arial"/>
      <w:sz w:val="24"/>
      <w:lang w:val="en-US" w:eastAsia="en-US"/>
    </w:rPr>
  </w:style>
  <w:style w:type="paragraph" w:customStyle="1" w:styleId="C-BulletIndented2">
    <w:name w:val="C-Bullet Indented 2"/>
    <w:rsid w:val="00480504"/>
    <w:pPr>
      <w:numPr>
        <w:ilvl w:val="2"/>
        <w:numId w:val="5"/>
      </w:numPr>
      <w:tabs>
        <w:tab w:val="clear" w:pos="1800"/>
        <w:tab w:val="left" w:pos="1440"/>
      </w:tabs>
      <w:spacing w:before="120" w:after="120" w:line="280" w:lineRule="atLeast"/>
    </w:pPr>
    <w:rPr>
      <w:rFonts w:eastAsia="Times New Roman" w:cs="Arial"/>
      <w:sz w:val="24"/>
      <w:lang w:val="en-US" w:eastAsia="en-US"/>
    </w:rPr>
  </w:style>
  <w:style w:type="paragraph" w:customStyle="1" w:styleId="TitleA">
    <w:name w:val="Title A"/>
    <w:basedOn w:val="Normal"/>
    <w:qFormat/>
    <w:rsid w:val="00314F3B"/>
    <w:pPr>
      <w:spacing w:line="240" w:lineRule="auto"/>
      <w:jc w:val="center"/>
      <w:outlineLvl w:val="0"/>
    </w:pPr>
    <w:rPr>
      <w:b/>
      <w:noProof/>
    </w:rPr>
  </w:style>
  <w:style w:type="paragraph" w:styleId="Bibliography">
    <w:name w:val="Bibliography"/>
    <w:basedOn w:val="Normal"/>
    <w:next w:val="Normal"/>
    <w:uiPriority w:val="37"/>
    <w:semiHidden/>
    <w:unhideWhenUsed/>
    <w:rsid w:val="00D55329"/>
  </w:style>
  <w:style w:type="paragraph" w:styleId="BlockText">
    <w:name w:val="Block Text"/>
    <w:basedOn w:val="Normal"/>
    <w:rsid w:val="00D55329"/>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rsid w:val="00D55329"/>
    <w:pPr>
      <w:spacing w:after="120" w:line="480" w:lineRule="auto"/>
    </w:pPr>
  </w:style>
  <w:style w:type="character" w:customStyle="1" w:styleId="BodyText2Char">
    <w:name w:val="Body Text 2 Char"/>
    <w:basedOn w:val="DefaultParagraphFont"/>
    <w:link w:val="BodyText2"/>
    <w:rsid w:val="00D55329"/>
    <w:rPr>
      <w:rFonts w:eastAsia="Times New Roman"/>
      <w:sz w:val="22"/>
      <w:lang w:eastAsia="en-US"/>
    </w:rPr>
  </w:style>
  <w:style w:type="paragraph" w:styleId="BodyText3">
    <w:name w:val="Body Text 3"/>
    <w:basedOn w:val="Normal"/>
    <w:link w:val="BodyText3Char"/>
    <w:rsid w:val="00D55329"/>
    <w:pPr>
      <w:spacing w:after="120"/>
    </w:pPr>
    <w:rPr>
      <w:sz w:val="16"/>
      <w:szCs w:val="16"/>
    </w:rPr>
  </w:style>
  <w:style w:type="character" w:customStyle="1" w:styleId="BodyText3Char">
    <w:name w:val="Body Text 3 Char"/>
    <w:basedOn w:val="DefaultParagraphFont"/>
    <w:link w:val="BodyText3"/>
    <w:rsid w:val="00D55329"/>
    <w:rPr>
      <w:rFonts w:eastAsia="Times New Roman"/>
      <w:sz w:val="16"/>
      <w:szCs w:val="16"/>
      <w:lang w:eastAsia="en-US"/>
    </w:rPr>
  </w:style>
  <w:style w:type="paragraph" w:styleId="BodyTextFirstIndent">
    <w:name w:val="Body Text First Indent"/>
    <w:basedOn w:val="BodyText"/>
    <w:link w:val="BodyTextFirstIndentChar"/>
    <w:rsid w:val="00D55329"/>
    <w:pPr>
      <w:tabs>
        <w:tab w:val="left" w:pos="567"/>
      </w:tabs>
      <w:spacing w:line="260" w:lineRule="exact"/>
      <w:ind w:firstLine="360"/>
    </w:pPr>
    <w:rPr>
      <w:i w:val="0"/>
      <w:color w:val="auto"/>
    </w:rPr>
  </w:style>
  <w:style w:type="character" w:customStyle="1" w:styleId="BodyTextChar">
    <w:name w:val="Body Text Char"/>
    <w:basedOn w:val="DefaultParagraphFont"/>
    <w:link w:val="BodyText"/>
    <w:rsid w:val="00D55329"/>
    <w:rPr>
      <w:rFonts w:eastAsia="Times New Roman"/>
      <w:i/>
      <w:color w:val="008000"/>
      <w:sz w:val="22"/>
      <w:lang w:eastAsia="en-US"/>
    </w:rPr>
  </w:style>
  <w:style w:type="character" w:customStyle="1" w:styleId="BodyTextFirstIndentChar">
    <w:name w:val="Body Text First Indent Char"/>
    <w:basedOn w:val="BodyTextChar"/>
    <w:link w:val="BodyTextFirstIndent"/>
    <w:rsid w:val="00D55329"/>
    <w:rPr>
      <w:rFonts w:eastAsia="Times New Roman"/>
      <w:i w:val="0"/>
      <w:color w:val="008000"/>
      <w:sz w:val="22"/>
      <w:lang w:eastAsia="en-US"/>
    </w:rPr>
  </w:style>
  <w:style w:type="paragraph" w:styleId="BodyTextIndent">
    <w:name w:val="Body Text Indent"/>
    <w:basedOn w:val="Normal"/>
    <w:link w:val="BodyTextIndentChar"/>
    <w:rsid w:val="00D55329"/>
    <w:pPr>
      <w:spacing w:after="120"/>
      <w:ind w:left="283"/>
    </w:pPr>
  </w:style>
  <w:style w:type="character" w:customStyle="1" w:styleId="BodyTextIndentChar">
    <w:name w:val="Body Text Indent Char"/>
    <w:basedOn w:val="DefaultParagraphFont"/>
    <w:link w:val="BodyTextIndent"/>
    <w:rsid w:val="00D55329"/>
    <w:rPr>
      <w:rFonts w:eastAsia="Times New Roman"/>
      <w:sz w:val="22"/>
      <w:lang w:eastAsia="en-US"/>
    </w:rPr>
  </w:style>
  <w:style w:type="paragraph" w:styleId="BodyTextFirstIndent2">
    <w:name w:val="Body Text First Indent 2"/>
    <w:basedOn w:val="BodyTextIndent"/>
    <w:link w:val="BodyTextFirstIndent2Char"/>
    <w:rsid w:val="00D55329"/>
    <w:pPr>
      <w:spacing w:after="0"/>
      <w:ind w:left="360" w:firstLine="360"/>
    </w:pPr>
  </w:style>
  <w:style w:type="character" w:customStyle="1" w:styleId="BodyTextFirstIndent2Char">
    <w:name w:val="Body Text First Indent 2 Char"/>
    <w:basedOn w:val="BodyTextIndentChar"/>
    <w:link w:val="BodyTextFirstIndent2"/>
    <w:rsid w:val="00D55329"/>
    <w:rPr>
      <w:rFonts w:eastAsia="Times New Roman"/>
      <w:sz w:val="22"/>
      <w:lang w:eastAsia="en-US"/>
    </w:rPr>
  </w:style>
  <w:style w:type="paragraph" w:styleId="BodyTextIndent2">
    <w:name w:val="Body Text Indent 2"/>
    <w:basedOn w:val="Normal"/>
    <w:link w:val="BodyTextIndent2Char"/>
    <w:rsid w:val="00D55329"/>
    <w:pPr>
      <w:spacing w:after="120" w:line="480" w:lineRule="auto"/>
      <w:ind w:left="283"/>
    </w:pPr>
  </w:style>
  <w:style w:type="character" w:customStyle="1" w:styleId="BodyTextIndent2Char">
    <w:name w:val="Body Text Indent 2 Char"/>
    <w:basedOn w:val="DefaultParagraphFont"/>
    <w:link w:val="BodyTextIndent2"/>
    <w:rsid w:val="00D55329"/>
    <w:rPr>
      <w:rFonts w:eastAsia="Times New Roman"/>
      <w:sz w:val="22"/>
      <w:lang w:eastAsia="en-US"/>
    </w:rPr>
  </w:style>
  <w:style w:type="paragraph" w:styleId="BodyTextIndent3">
    <w:name w:val="Body Text Indent 3"/>
    <w:basedOn w:val="Normal"/>
    <w:link w:val="BodyTextIndent3Char"/>
    <w:rsid w:val="00D55329"/>
    <w:pPr>
      <w:spacing w:after="120"/>
      <w:ind w:left="283"/>
    </w:pPr>
    <w:rPr>
      <w:sz w:val="16"/>
      <w:szCs w:val="16"/>
    </w:rPr>
  </w:style>
  <w:style w:type="character" w:customStyle="1" w:styleId="BodyTextIndent3Char">
    <w:name w:val="Body Text Indent 3 Char"/>
    <w:basedOn w:val="DefaultParagraphFont"/>
    <w:link w:val="BodyTextIndent3"/>
    <w:rsid w:val="00D55329"/>
    <w:rPr>
      <w:rFonts w:eastAsia="Times New Roman"/>
      <w:sz w:val="16"/>
      <w:szCs w:val="16"/>
      <w:lang w:eastAsia="en-US"/>
    </w:rPr>
  </w:style>
  <w:style w:type="paragraph" w:styleId="Caption">
    <w:name w:val="caption"/>
    <w:basedOn w:val="Normal"/>
    <w:next w:val="Normal"/>
    <w:semiHidden/>
    <w:unhideWhenUsed/>
    <w:qFormat/>
    <w:rsid w:val="00D55329"/>
    <w:pPr>
      <w:spacing w:after="200" w:line="240" w:lineRule="auto"/>
    </w:pPr>
    <w:rPr>
      <w:b/>
      <w:bCs/>
      <w:color w:val="4F81BD" w:themeColor="accent1"/>
      <w:sz w:val="18"/>
      <w:szCs w:val="18"/>
    </w:rPr>
  </w:style>
  <w:style w:type="paragraph" w:styleId="Closing">
    <w:name w:val="Closing"/>
    <w:basedOn w:val="Normal"/>
    <w:link w:val="ClosingChar"/>
    <w:rsid w:val="00D55329"/>
    <w:pPr>
      <w:spacing w:line="240" w:lineRule="auto"/>
      <w:ind w:left="4252"/>
    </w:pPr>
  </w:style>
  <w:style w:type="character" w:customStyle="1" w:styleId="ClosingChar">
    <w:name w:val="Closing Char"/>
    <w:basedOn w:val="DefaultParagraphFont"/>
    <w:link w:val="Closing"/>
    <w:rsid w:val="00D55329"/>
    <w:rPr>
      <w:rFonts w:eastAsia="Times New Roman"/>
      <w:sz w:val="22"/>
      <w:lang w:eastAsia="en-US"/>
    </w:rPr>
  </w:style>
  <w:style w:type="paragraph" w:styleId="Date">
    <w:name w:val="Date"/>
    <w:basedOn w:val="Normal"/>
    <w:next w:val="Normal"/>
    <w:link w:val="DateChar"/>
    <w:rsid w:val="00D55329"/>
  </w:style>
  <w:style w:type="character" w:customStyle="1" w:styleId="DateChar">
    <w:name w:val="Date Char"/>
    <w:basedOn w:val="DefaultParagraphFont"/>
    <w:link w:val="Date"/>
    <w:rsid w:val="00D55329"/>
    <w:rPr>
      <w:rFonts w:eastAsia="Times New Roman"/>
      <w:sz w:val="22"/>
      <w:lang w:eastAsia="en-US"/>
    </w:rPr>
  </w:style>
  <w:style w:type="paragraph" w:styleId="DocumentMap">
    <w:name w:val="Document Map"/>
    <w:basedOn w:val="Normal"/>
    <w:link w:val="DocumentMapChar"/>
    <w:rsid w:val="00D55329"/>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D55329"/>
    <w:rPr>
      <w:rFonts w:ascii="Tahoma" w:eastAsia="Times New Roman" w:hAnsi="Tahoma" w:cs="Tahoma"/>
      <w:sz w:val="16"/>
      <w:szCs w:val="16"/>
      <w:lang w:eastAsia="en-US"/>
    </w:rPr>
  </w:style>
  <w:style w:type="paragraph" w:styleId="E-mailSignature">
    <w:name w:val="E-mail Signature"/>
    <w:basedOn w:val="Normal"/>
    <w:link w:val="E-mailSignatureChar"/>
    <w:rsid w:val="00D55329"/>
    <w:pPr>
      <w:spacing w:line="240" w:lineRule="auto"/>
    </w:pPr>
  </w:style>
  <w:style w:type="character" w:customStyle="1" w:styleId="E-mailSignatureChar">
    <w:name w:val="E-mail Signature Char"/>
    <w:basedOn w:val="DefaultParagraphFont"/>
    <w:link w:val="E-mailSignature"/>
    <w:rsid w:val="00D55329"/>
    <w:rPr>
      <w:rFonts w:eastAsia="Times New Roman"/>
      <w:sz w:val="22"/>
      <w:lang w:eastAsia="en-US"/>
    </w:rPr>
  </w:style>
  <w:style w:type="paragraph" w:styleId="EndnoteText">
    <w:name w:val="endnote text"/>
    <w:basedOn w:val="Normal"/>
    <w:link w:val="EndnoteTextChar"/>
    <w:rsid w:val="00D55329"/>
    <w:pPr>
      <w:spacing w:line="240" w:lineRule="auto"/>
    </w:pPr>
    <w:rPr>
      <w:sz w:val="20"/>
    </w:rPr>
  </w:style>
  <w:style w:type="character" w:customStyle="1" w:styleId="EndnoteTextChar">
    <w:name w:val="Endnote Text Char"/>
    <w:basedOn w:val="DefaultParagraphFont"/>
    <w:link w:val="EndnoteText"/>
    <w:rsid w:val="00D55329"/>
    <w:rPr>
      <w:rFonts w:eastAsia="Times New Roman"/>
      <w:lang w:eastAsia="en-US"/>
    </w:rPr>
  </w:style>
  <w:style w:type="paragraph" w:styleId="EnvelopeAddress">
    <w:name w:val="envelope address"/>
    <w:basedOn w:val="Normal"/>
    <w:rsid w:val="00D55329"/>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EnvelopeReturn">
    <w:name w:val="envelope return"/>
    <w:basedOn w:val="Normal"/>
    <w:rsid w:val="00D55329"/>
    <w:pPr>
      <w:spacing w:line="240" w:lineRule="auto"/>
    </w:pPr>
    <w:rPr>
      <w:rFonts w:asciiTheme="majorHAnsi" w:eastAsiaTheme="majorEastAsia" w:hAnsiTheme="majorHAnsi" w:cstheme="majorBidi"/>
      <w:sz w:val="20"/>
    </w:rPr>
  </w:style>
  <w:style w:type="paragraph" w:styleId="FootnoteText">
    <w:name w:val="footnote text"/>
    <w:basedOn w:val="Normal"/>
    <w:link w:val="FootnoteTextChar"/>
    <w:rsid w:val="00D55329"/>
    <w:pPr>
      <w:spacing w:line="240" w:lineRule="auto"/>
    </w:pPr>
    <w:rPr>
      <w:sz w:val="20"/>
    </w:rPr>
  </w:style>
  <w:style w:type="character" w:customStyle="1" w:styleId="FootnoteTextChar">
    <w:name w:val="Footnote Text Char"/>
    <w:basedOn w:val="DefaultParagraphFont"/>
    <w:link w:val="FootnoteText"/>
    <w:rsid w:val="00D55329"/>
    <w:rPr>
      <w:rFonts w:eastAsia="Times New Roman"/>
      <w:lang w:eastAsia="en-US"/>
    </w:rPr>
  </w:style>
  <w:style w:type="character" w:customStyle="1" w:styleId="Heading1Char">
    <w:name w:val="Heading 1 Char"/>
    <w:basedOn w:val="DefaultParagraphFont"/>
    <w:link w:val="Heading1"/>
    <w:uiPriority w:val="9"/>
    <w:rsid w:val="00D55329"/>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D55329"/>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A07D1B"/>
    <w:rPr>
      <w:rFonts w:asciiTheme="majorHAnsi" w:eastAsiaTheme="majorEastAsia" w:hAnsiTheme="majorHAnsi" w:cstheme="majorBidi"/>
      <w:b/>
      <w:bCs/>
      <w:color w:val="4F81BD" w:themeColor="accent1"/>
      <w:sz w:val="22"/>
      <w:lang w:eastAsia="en-US"/>
    </w:rPr>
  </w:style>
  <w:style w:type="character" w:customStyle="1" w:styleId="Heading4Char">
    <w:name w:val="Heading 4 Char"/>
    <w:basedOn w:val="DefaultParagraphFont"/>
    <w:link w:val="Heading4"/>
    <w:semiHidden/>
    <w:rsid w:val="00D55329"/>
    <w:rPr>
      <w:rFonts w:asciiTheme="majorHAnsi" w:eastAsiaTheme="majorEastAsia" w:hAnsiTheme="majorHAnsi" w:cstheme="majorBidi"/>
      <w:b/>
      <w:bCs/>
      <w:i/>
      <w:iCs/>
      <w:color w:val="4F81BD" w:themeColor="accent1"/>
      <w:sz w:val="22"/>
      <w:lang w:eastAsia="en-US"/>
    </w:rPr>
  </w:style>
  <w:style w:type="character" w:customStyle="1" w:styleId="Heading5Char">
    <w:name w:val="Heading 5 Char"/>
    <w:basedOn w:val="DefaultParagraphFont"/>
    <w:link w:val="Heading5"/>
    <w:semiHidden/>
    <w:rsid w:val="00D55329"/>
    <w:rPr>
      <w:rFonts w:asciiTheme="majorHAnsi" w:eastAsiaTheme="majorEastAsia" w:hAnsiTheme="majorHAnsi" w:cstheme="majorBidi"/>
      <w:color w:val="243F60" w:themeColor="accent1" w:themeShade="7F"/>
      <w:sz w:val="22"/>
      <w:lang w:eastAsia="en-US"/>
    </w:rPr>
  </w:style>
  <w:style w:type="character" w:customStyle="1" w:styleId="Heading6Char">
    <w:name w:val="Heading 6 Char"/>
    <w:basedOn w:val="DefaultParagraphFont"/>
    <w:link w:val="Heading6"/>
    <w:semiHidden/>
    <w:rsid w:val="00D55329"/>
    <w:rPr>
      <w:rFonts w:asciiTheme="majorHAnsi" w:eastAsiaTheme="majorEastAsia" w:hAnsiTheme="majorHAnsi" w:cstheme="majorBidi"/>
      <w:i/>
      <w:iCs/>
      <w:color w:val="243F60" w:themeColor="accent1" w:themeShade="7F"/>
      <w:sz w:val="22"/>
      <w:lang w:eastAsia="en-US"/>
    </w:rPr>
  </w:style>
  <w:style w:type="character" w:customStyle="1" w:styleId="Heading7Char">
    <w:name w:val="Heading 7 Char"/>
    <w:basedOn w:val="DefaultParagraphFont"/>
    <w:link w:val="Heading7"/>
    <w:semiHidden/>
    <w:rsid w:val="00D55329"/>
    <w:rPr>
      <w:rFonts w:asciiTheme="majorHAnsi" w:eastAsiaTheme="majorEastAsia" w:hAnsiTheme="majorHAnsi" w:cstheme="majorBidi"/>
      <w:i/>
      <w:iCs/>
      <w:color w:val="404040" w:themeColor="text1" w:themeTint="BF"/>
      <w:sz w:val="22"/>
      <w:lang w:eastAsia="en-US"/>
    </w:rPr>
  </w:style>
  <w:style w:type="character" w:customStyle="1" w:styleId="Heading8Char">
    <w:name w:val="Heading 8 Char"/>
    <w:basedOn w:val="DefaultParagraphFont"/>
    <w:link w:val="Heading8"/>
    <w:semiHidden/>
    <w:rsid w:val="00D55329"/>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semiHidden/>
    <w:rsid w:val="00D55329"/>
    <w:rPr>
      <w:rFonts w:asciiTheme="majorHAnsi" w:eastAsiaTheme="majorEastAsia" w:hAnsiTheme="majorHAnsi" w:cstheme="majorBidi"/>
      <w:i/>
      <w:iCs/>
      <w:color w:val="404040" w:themeColor="text1" w:themeTint="BF"/>
      <w:lang w:eastAsia="en-US"/>
    </w:rPr>
  </w:style>
  <w:style w:type="paragraph" w:styleId="HTMLAddress">
    <w:name w:val="HTML Address"/>
    <w:basedOn w:val="Normal"/>
    <w:link w:val="HTMLAddressChar"/>
    <w:rsid w:val="00D55329"/>
    <w:pPr>
      <w:spacing w:line="240" w:lineRule="auto"/>
    </w:pPr>
    <w:rPr>
      <w:i/>
      <w:iCs/>
    </w:rPr>
  </w:style>
  <w:style w:type="character" w:customStyle="1" w:styleId="HTMLAddressChar">
    <w:name w:val="HTML Address Char"/>
    <w:basedOn w:val="DefaultParagraphFont"/>
    <w:link w:val="HTMLAddress"/>
    <w:rsid w:val="00D55329"/>
    <w:rPr>
      <w:rFonts w:eastAsia="Times New Roman"/>
      <w:i/>
      <w:iCs/>
      <w:sz w:val="22"/>
      <w:lang w:eastAsia="en-US"/>
    </w:rPr>
  </w:style>
  <w:style w:type="paragraph" w:styleId="HTMLPreformatted">
    <w:name w:val="HTML Preformatted"/>
    <w:basedOn w:val="Normal"/>
    <w:link w:val="HTMLPreformattedChar"/>
    <w:rsid w:val="00D55329"/>
    <w:pPr>
      <w:spacing w:line="240" w:lineRule="auto"/>
    </w:pPr>
    <w:rPr>
      <w:rFonts w:ascii="Consolas" w:hAnsi="Consolas" w:cs="Consolas"/>
      <w:sz w:val="20"/>
    </w:rPr>
  </w:style>
  <w:style w:type="character" w:customStyle="1" w:styleId="HTMLPreformattedChar">
    <w:name w:val="HTML Preformatted Char"/>
    <w:basedOn w:val="DefaultParagraphFont"/>
    <w:link w:val="HTMLPreformatted"/>
    <w:rsid w:val="00D55329"/>
    <w:rPr>
      <w:rFonts w:ascii="Consolas" w:eastAsia="Times New Roman" w:hAnsi="Consolas" w:cs="Consolas"/>
      <w:lang w:eastAsia="en-US"/>
    </w:rPr>
  </w:style>
  <w:style w:type="paragraph" w:styleId="Index1">
    <w:name w:val="index 1"/>
    <w:basedOn w:val="Normal"/>
    <w:next w:val="Normal"/>
    <w:autoRedefine/>
    <w:rsid w:val="00D55329"/>
    <w:pPr>
      <w:tabs>
        <w:tab w:val="clear" w:pos="567"/>
      </w:tabs>
      <w:spacing w:line="240" w:lineRule="auto"/>
      <w:ind w:left="220" w:hanging="220"/>
    </w:pPr>
  </w:style>
  <w:style w:type="paragraph" w:styleId="Index2">
    <w:name w:val="index 2"/>
    <w:basedOn w:val="Normal"/>
    <w:next w:val="Normal"/>
    <w:autoRedefine/>
    <w:rsid w:val="00D55329"/>
    <w:pPr>
      <w:tabs>
        <w:tab w:val="clear" w:pos="567"/>
      </w:tabs>
      <w:spacing w:line="240" w:lineRule="auto"/>
      <w:ind w:left="440" w:hanging="220"/>
    </w:pPr>
  </w:style>
  <w:style w:type="paragraph" w:styleId="Index3">
    <w:name w:val="index 3"/>
    <w:basedOn w:val="Normal"/>
    <w:next w:val="Normal"/>
    <w:autoRedefine/>
    <w:rsid w:val="00D55329"/>
    <w:pPr>
      <w:tabs>
        <w:tab w:val="clear" w:pos="567"/>
      </w:tabs>
      <w:spacing w:line="240" w:lineRule="auto"/>
      <w:ind w:left="660" w:hanging="220"/>
    </w:pPr>
  </w:style>
  <w:style w:type="paragraph" w:styleId="Index4">
    <w:name w:val="index 4"/>
    <w:basedOn w:val="Normal"/>
    <w:next w:val="Normal"/>
    <w:autoRedefine/>
    <w:rsid w:val="00D55329"/>
    <w:pPr>
      <w:tabs>
        <w:tab w:val="clear" w:pos="567"/>
      </w:tabs>
      <w:spacing w:line="240" w:lineRule="auto"/>
      <w:ind w:left="880" w:hanging="220"/>
    </w:pPr>
  </w:style>
  <w:style w:type="paragraph" w:styleId="Index5">
    <w:name w:val="index 5"/>
    <w:basedOn w:val="Normal"/>
    <w:next w:val="Normal"/>
    <w:autoRedefine/>
    <w:rsid w:val="00D55329"/>
    <w:pPr>
      <w:tabs>
        <w:tab w:val="clear" w:pos="567"/>
      </w:tabs>
      <w:spacing w:line="240" w:lineRule="auto"/>
      <w:ind w:left="1100" w:hanging="220"/>
    </w:pPr>
  </w:style>
  <w:style w:type="paragraph" w:styleId="Index6">
    <w:name w:val="index 6"/>
    <w:basedOn w:val="Normal"/>
    <w:next w:val="Normal"/>
    <w:autoRedefine/>
    <w:rsid w:val="00D55329"/>
    <w:pPr>
      <w:tabs>
        <w:tab w:val="clear" w:pos="567"/>
      </w:tabs>
      <w:spacing w:line="240" w:lineRule="auto"/>
      <w:ind w:left="1320" w:hanging="220"/>
    </w:pPr>
  </w:style>
  <w:style w:type="paragraph" w:styleId="Index7">
    <w:name w:val="index 7"/>
    <w:basedOn w:val="Normal"/>
    <w:next w:val="Normal"/>
    <w:autoRedefine/>
    <w:rsid w:val="00D55329"/>
    <w:pPr>
      <w:tabs>
        <w:tab w:val="clear" w:pos="567"/>
      </w:tabs>
      <w:spacing w:line="240" w:lineRule="auto"/>
      <w:ind w:left="1540" w:hanging="220"/>
    </w:pPr>
  </w:style>
  <w:style w:type="paragraph" w:styleId="Index8">
    <w:name w:val="index 8"/>
    <w:basedOn w:val="Normal"/>
    <w:next w:val="Normal"/>
    <w:autoRedefine/>
    <w:rsid w:val="00D55329"/>
    <w:pPr>
      <w:tabs>
        <w:tab w:val="clear" w:pos="567"/>
      </w:tabs>
      <w:spacing w:line="240" w:lineRule="auto"/>
      <w:ind w:left="1760" w:hanging="220"/>
    </w:pPr>
  </w:style>
  <w:style w:type="paragraph" w:styleId="Index9">
    <w:name w:val="index 9"/>
    <w:basedOn w:val="Normal"/>
    <w:next w:val="Normal"/>
    <w:autoRedefine/>
    <w:rsid w:val="00D55329"/>
    <w:pPr>
      <w:tabs>
        <w:tab w:val="clear" w:pos="567"/>
      </w:tabs>
      <w:spacing w:line="240" w:lineRule="auto"/>
      <w:ind w:left="1980" w:hanging="220"/>
    </w:pPr>
  </w:style>
  <w:style w:type="paragraph" w:styleId="IndexHeading">
    <w:name w:val="index heading"/>
    <w:basedOn w:val="Normal"/>
    <w:next w:val="Index1"/>
    <w:rsid w:val="00D5532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5532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55329"/>
    <w:rPr>
      <w:rFonts w:eastAsia="Times New Roman"/>
      <w:b/>
      <w:bCs/>
      <w:i/>
      <w:iCs/>
      <w:color w:val="4F81BD" w:themeColor="accent1"/>
      <w:sz w:val="22"/>
      <w:lang w:eastAsia="en-US"/>
    </w:rPr>
  </w:style>
  <w:style w:type="paragraph" w:styleId="List">
    <w:name w:val="List"/>
    <w:basedOn w:val="Normal"/>
    <w:rsid w:val="00D55329"/>
    <w:pPr>
      <w:ind w:left="283" w:hanging="283"/>
      <w:contextualSpacing/>
    </w:pPr>
  </w:style>
  <w:style w:type="paragraph" w:styleId="List2">
    <w:name w:val="List 2"/>
    <w:basedOn w:val="Normal"/>
    <w:rsid w:val="00D55329"/>
    <w:pPr>
      <w:ind w:left="566" w:hanging="283"/>
      <w:contextualSpacing/>
    </w:pPr>
  </w:style>
  <w:style w:type="paragraph" w:styleId="List3">
    <w:name w:val="List 3"/>
    <w:basedOn w:val="Normal"/>
    <w:rsid w:val="00D55329"/>
    <w:pPr>
      <w:ind w:left="849" w:hanging="283"/>
      <w:contextualSpacing/>
    </w:pPr>
  </w:style>
  <w:style w:type="paragraph" w:styleId="List4">
    <w:name w:val="List 4"/>
    <w:basedOn w:val="Normal"/>
    <w:rsid w:val="00D55329"/>
    <w:pPr>
      <w:ind w:left="1132" w:hanging="283"/>
      <w:contextualSpacing/>
    </w:pPr>
  </w:style>
  <w:style w:type="paragraph" w:styleId="List5">
    <w:name w:val="List 5"/>
    <w:basedOn w:val="Normal"/>
    <w:rsid w:val="00D55329"/>
    <w:pPr>
      <w:ind w:left="1415" w:hanging="283"/>
      <w:contextualSpacing/>
    </w:pPr>
  </w:style>
  <w:style w:type="paragraph" w:styleId="ListBullet">
    <w:name w:val="List Bullet"/>
    <w:basedOn w:val="Normal"/>
    <w:rsid w:val="00D55329"/>
    <w:pPr>
      <w:numPr>
        <w:numId w:val="15"/>
      </w:numPr>
      <w:contextualSpacing/>
    </w:pPr>
  </w:style>
  <w:style w:type="paragraph" w:styleId="ListBullet2">
    <w:name w:val="List Bullet 2"/>
    <w:basedOn w:val="Normal"/>
    <w:rsid w:val="00D55329"/>
    <w:pPr>
      <w:numPr>
        <w:numId w:val="16"/>
      </w:numPr>
      <w:contextualSpacing/>
    </w:pPr>
  </w:style>
  <w:style w:type="paragraph" w:styleId="ListBullet3">
    <w:name w:val="List Bullet 3"/>
    <w:basedOn w:val="Normal"/>
    <w:rsid w:val="00D55329"/>
    <w:pPr>
      <w:numPr>
        <w:numId w:val="17"/>
      </w:numPr>
      <w:contextualSpacing/>
    </w:pPr>
  </w:style>
  <w:style w:type="paragraph" w:styleId="ListBullet4">
    <w:name w:val="List Bullet 4"/>
    <w:basedOn w:val="Normal"/>
    <w:rsid w:val="00D55329"/>
    <w:pPr>
      <w:numPr>
        <w:numId w:val="18"/>
      </w:numPr>
      <w:contextualSpacing/>
    </w:pPr>
  </w:style>
  <w:style w:type="paragraph" w:styleId="ListBullet5">
    <w:name w:val="List Bullet 5"/>
    <w:basedOn w:val="Normal"/>
    <w:rsid w:val="00D55329"/>
    <w:pPr>
      <w:numPr>
        <w:numId w:val="19"/>
      </w:numPr>
      <w:contextualSpacing/>
    </w:pPr>
  </w:style>
  <w:style w:type="paragraph" w:styleId="ListContinue">
    <w:name w:val="List Continue"/>
    <w:basedOn w:val="Normal"/>
    <w:rsid w:val="00D55329"/>
    <w:pPr>
      <w:spacing w:after="120"/>
      <w:ind w:left="283"/>
      <w:contextualSpacing/>
    </w:pPr>
  </w:style>
  <w:style w:type="paragraph" w:styleId="ListContinue2">
    <w:name w:val="List Continue 2"/>
    <w:basedOn w:val="Normal"/>
    <w:rsid w:val="00D55329"/>
    <w:pPr>
      <w:spacing w:after="120"/>
      <w:ind w:left="566"/>
      <w:contextualSpacing/>
    </w:pPr>
  </w:style>
  <w:style w:type="paragraph" w:styleId="ListContinue3">
    <w:name w:val="List Continue 3"/>
    <w:basedOn w:val="Normal"/>
    <w:rsid w:val="00D55329"/>
    <w:pPr>
      <w:spacing w:after="120"/>
      <w:ind w:left="849"/>
      <w:contextualSpacing/>
    </w:pPr>
  </w:style>
  <w:style w:type="paragraph" w:styleId="ListContinue4">
    <w:name w:val="List Continue 4"/>
    <w:basedOn w:val="Normal"/>
    <w:rsid w:val="00D55329"/>
    <w:pPr>
      <w:spacing w:after="120"/>
      <w:ind w:left="1132"/>
      <w:contextualSpacing/>
    </w:pPr>
  </w:style>
  <w:style w:type="paragraph" w:styleId="ListContinue5">
    <w:name w:val="List Continue 5"/>
    <w:basedOn w:val="Normal"/>
    <w:rsid w:val="00D55329"/>
    <w:pPr>
      <w:spacing w:after="120"/>
      <w:ind w:left="1415"/>
      <w:contextualSpacing/>
    </w:pPr>
  </w:style>
  <w:style w:type="paragraph" w:styleId="ListNumber">
    <w:name w:val="List Number"/>
    <w:basedOn w:val="Normal"/>
    <w:rsid w:val="00D55329"/>
    <w:pPr>
      <w:numPr>
        <w:numId w:val="20"/>
      </w:numPr>
      <w:contextualSpacing/>
    </w:pPr>
  </w:style>
  <w:style w:type="paragraph" w:styleId="ListNumber2">
    <w:name w:val="List Number 2"/>
    <w:basedOn w:val="Normal"/>
    <w:rsid w:val="00D55329"/>
    <w:pPr>
      <w:numPr>
        <w:numId w:val="21"/>
      </w:numPr>
      <w:contextualSpacing/>
    </w:pPr>
  </w:style>
  <w:style w:type="paragraph" w:styleId="ListNumber3">
    <w:name w:val="List Number 3"/>
    <w:basedOn w:val="Normal"/>
    <w:rsid w:val="00D55329"/>
    <w:pPr>
      <w:numPr>
        <w:numId w:val="22"/>
      </w:numPr>
      <w:contextualSpacing/>
    </w:pPr>
  </w:style>
  <w:style w:type="paragraph" w:styleId="ListNumber4">
    <w:name w:val="List Number 4"/>
    <w:basedOn w:val="Normal"/>
    <w:rsid w:val="00D55329"/>
    <w:pPr>
      <w:numPr>
        <w:numId w:val="23"/>
      </w:numPr>
      <w:contextualSpacing/>
    </w:pPr>
  </w:style>
  <w:style w:type="paragraph" w:styleId="ListNumber5">
    <w:name w:val="List Number 5"/>
    <w:basedOn w:val="Normal"/>
    <w:rsid w:val="00D55329"/>
    <w:pPr>
      <w:numPr>
        <w:numId w:val="24"/>
      </w:numPr>
      <w:contextualSpacing/>
    </w:pPr>
  </w:style>
  <w:style w:type="paragraph" w:styleId="MacroText">
    <w:name w:val="macro"/>
    <w:link w:val="MacroTextChar"/>
    <w:rsid w:val="00D55329"/>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cs="Consolas"/>
      <w:lang w:eastAsia="en-US"/>
    </w:rPr>
  </w:style>
  <w:style w:type="character" w:customStyle="1" w:styleId="MacroTextChar">
    <w:name w:val="Macro Text Char"/>
    <w:basedOn w:val="DefaultParagraphFont"/>
    <w:link w:val="MacroText"/>
    <w:rsid w:val="00D55329"/>
    <w:rPr>
      <w:rFonts w:ascii="Consolas" w:eastAsia="Times New Roman" w:hAnsi="Consolas" w:cs="Consolas"/>
      <w:lang w:eastAsia="en-US"/>
    </w:rPr>
  </w:style>
  <w:style w:type="paragraph" w:styleId="MessageHeader">
    <w:name w:val="Message Header"/>
    <w:basedOn w:val="Normal"/>
    <w:link w:val="MessageHeaderChar"/>
    <w:rsid w:val="00D5532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55329"/>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D55329"/>
    <w:pPr>
      <w:tabs>
        <w:tab w:val="left" w:pos="567"/>
      </w:tabs>
    </w:pPr>
    <w:rPr>
      <w:rFonts w:eastAsia="Times New Roman"/>
      <w:sz w:val="22"/>
      <w:lang w:eastAsia="en-US"/>
    </w:rPr>
  </w:style>
  <w:style w:type="paragraph" w:styleId="NormalWeb">
    <w:name w:val="Normal (Web)"/>
    <w:basedOn w:val="Normal"/>
    <w:rsid w:val="00D55329"/>
    <w:rPr>
      <w:sz w:val="24"/>
      <w:szCs w:val="24"/>
    </w:rPr>
  </w:style>
  <w:style w:type="paragraph" w:styleId="NormalIndent">
    <w:name w:val="Normal Indent"/>
    <w:basedOn w:val="Normal"/>
    <w:rsid w:val="00D55329"/>
    <w:pPr>
      <w:ind w:left="708"/>
    </w:pPr>
  </w:style>
  <w:style w:type="paragraph" w:styleId="NoteHeading">
    <w:name w:val="Note Heading"/>
    <w:basedOn w:val="Normal"/>
    <w:next w:val="Normal"/>
    <w:link w:val="NoteHeadingChar"/>
    <w:rsid w:val="00D55329"/>
    <w:pPr>
      <w:spacing w:line="240" w:lineRule="auto"/>
    </w:pPr>
  </w:style>
  <w:style w:type="character" w:customStyle="1" w:styleId="NoteHeadingChar">
    <w:name w:val="Note Heading Char"/>
    <w:basedOn w:val="DefaultParagraphFont"/>
    <w:link w:val="NoteHeading"/>
    <w:rsid w:val="00D55329"/>
    <w:rPr>
      <w:rFonts w:eastAsia="Times New Roman"/>
      <w:sz w:val="22"/>
      <w:lang w:eastAsia="en-US"/>
    </w:rPr>
  </w:style>
  <w:style w:type="paragraph" w:styleId="PlainText">
    <w:name w:val="Plain Text"/>
    <w:basedOn w:val="Normal"/>
    <w:link w:val="PlainTextChar"/>
    <w:rsid w:val="00D55329"/>
    <w:pPr>
      <w:spacing w:line="240" w:lineRule="auto"/>
    </w:pPr>
    <w:rPr>
      <w:rFonts w:ascii="Consolas" w:hAnsi="Consolas" w:cs="Consolas"/>
      <w:sz w:val="21"/>
      <w:szCs w:val="21"/>
    </w:rPr>
  </w:style>
  <w:style w:type="character" w:customStyle="1" w:styleId="PlainTextChar">
    <w:name w:val="Plain Text Char"/>
    <w:basedOn w:val="DefaultParagraphFont"/>
    <w:link w:val="PlainText"/>
    <w:rsid w:val="00D55329"/>
    <w:rPr>
      <w:rFonts w:ascii="Consolas" w:eastAsia="Times New Roman" w:hAnsi="Consolas" w:cs="Consolas"/>
      <w:sz w:val="21"/>
      <w:szCs w:val="21"/>
      <w:lang w:eastAsia="en-US"/>
    </w:rPr>
  </w:style>
  <w:style w:type="paragraph" w:styleId="Quote">
    <w:name w:val="Quote"/>
    <w:basedOn w:val="Normal"/>
    <w:next w:val="Normal"/>
    <w:link w:val="QuoteChar"/>
    <w:uiPriority w:val="29"/>
    <w:qFormat/>
    <w:rsid w:val="00D55329"/>
    <w:rPr>
      <w:i/>
      <w:iCs/>
      <w:color w:val="000000" w:themeColor="text1"/>
    </w:rPr>
  </w:style>
  <w:style w:type="character" w:customStyle="1" w:styleId="QuoteChar">
    <w:name w:val="Quote Char"/>
    <w:basedOn w:val="DefaultParagraphFont"/>
    <w:link w:val="Quote"/>
    <w:uiPriority w:val="29"/>
    <w:rsid w:val="00D55329"/>
    <w:rPr>
      <w:rFonts w:eastAsia="Times New Roman"/>
      <w:i/>
      <w:iCs/>
      <w:color w:val="000000" w:themeColor="text1"/>
      <w:sz w:val="22"/>
      <w:lang w:eastAsia="en-US"/>
    </w:rPr>
  </w:style>
  <w:style w:type="paragraph" w:styleId="Salutation">
    <w:name w:val="Salutation"/>
    <w:basedOn w:val="Normal"/>
    <w:next w:val="Normal"/>
    <w:link w:val="SalutationChar"/>
    <w:rsid w:val="00D55329"/>
  </w:style>
  <w:style w:type="character" w:customStyle="1" w:styleId="SalutationChar">
    <w:name w:val="Salutation Char"/>
    <w:basedOn w:val="DefaultParagraphFont"/>
    <w:link w:val="Salutation"/>
    <w:rsid w:val="00D55329"/>
    <w:rPr>
      <w:rFonts w:eastAsia="Times New Roman"/>
      <w:sz w:val="22"/>
      <w:lang w:eastAsia="en-US"/>
    </w:rPr>
  </w:style>
  <w:style w:type="paragraph" w:styleId="Signature">
    <w:name w:val="Signature"/>
    <w:basedOn w:val="Normal"/>
    <w:link w:val="SignatureChar"/>
    <w:rsid w:val="00D55329"/>
    <w:pPr>
      <w:spacing w:line="240" w:lineRule="auto"/>
      <w:ind w:left="4252"/>
    </w:pPr>
  </w:style>
  <w:style w:type="character" w:customStyle="1" w:styleId="SignatureChar">
    <w:name w:val="Signature Char"/>
    <w:basedOn w:val="DefaultParagraphFont"/>
    <w:link w:val="Signature"/>
    <w:rsid w:val="00D55329"/>
    <w:rPr>
      <w:rFonts w:eastAsia="Times New Roman"/>
      <w:sz w:val="22"/>
      <w:lang w:eastAsia="en-US"/>
    </w:rPr>
  </w:style>
  <w:style w:type="paragraph" w:styleId="Subtitle">
    <w:name w:val="Subtitle"/>
    <w:basedOn w:val="Normal"/>
    <w:next w:val="Normal"/>
    <w:link w:val="SubtitleChar"/>
    <w:qFormat/>
    <w:rsid w:val="00D5532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D55329"/>
    <w:rPr>
      <w:rFonts w:asciiTheme="majorHAnsi" w:eastAsiaTheme="majorEastAsia" w:hAnsiTheme="majorHAnsi" w:cstheme="majorBidi"/>
      <w:i/>
      <w:iCs/>
      <w:color w:val="4F81BD" w:themeColor="accent1"/>
      <w:spacing w:val="15"/>
      <w:sz w:val="24"/>
      <w:szCs w:val="24"/>
      <w:lang w:eastAsia="en-US"/>
    </w:rPr>
  </w:style>
  <w:style w:type="paragraph" w:styleId="TableofAuthorities">
    <w:name w:val="table of authorities"/>
    <w:basedOn w:val="Normal"/>
    <w:next w:val="Normal"/>
    <w:rsid w:val="00D55329"/>
    <w:pPr>
      <w:tabs>
        <w:tab w:val="clear" w:pos="567"/>
      </w:tabs>
      <w:ind w:left="220" w:hanging="220"/>
    </w:pPr>
  </w:style>
  <w:style w:type="paragraph" w:styleId="TableofFigures">
    <w:name w:val="table of figures"/>
    <w:basedOn w:val="Normal"/>
    <w:next w:val="Normal"/>
    <w:rsid w:val="00D55329"/>
    <w:pPr>
      <w:tabs>
        <w:tab w:val="clear" w:pos="567"/>
      </w:tabs>
    </w:pPr>
  </w:style>
  <w:style w:type="paragraph" w:styleId="Title">
    <w:name w:val="Title"/>
    <w:basedOn w:val="Normal"/>
    <w:next w:val="Normal"/>
    <w:link w:val="TitleChar"/>
    <w:qFormat/>
    <w:rsid w:val="00D5532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55329"/>
    <w:rPr>
      <w:rFonts w:asciiTheme="majorHAnsi" w:eastAsiaTheme="majorEastAsia" w:hAnsiTheme="majorHAnsi" w:cstheme="majorBidi"/>
      <w:color w:val="17365D" w:themeColor="text2" w:themeShade="BF"/>
      <w:spacing w:val="5"/>
      <w:kern w:val="28"/>
      <w:sz w:val="52"/>
      <w:szCs w:val="52"/>
      <w:lang w:eastAsia="en-US"/>
    </w:rPr>
  </w:style>
  <w:style w:type="paragraph" w:styleId="TOAHeading">
    <w:name w:val="toa heading"/>
    <w:basedOn w:val="Normal"/>
    <w:next w:val="Normal"/>
    <w:rsid w:val="00D5532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D55329"/>
    <w:pPr>
      <w:tabs>
        <w:tab w:val="clear" w:pos="567"/>
      </w:tabs>
      <w:spacing w:after="100"/>
    </w:pPr>
  </w:style>
  <w:style w:type="paragraph" w:styleId="TOC2">
    <w:name w:val="toc 2"/>
    <w:basedOn w:val="Normal"/>
    <w:next w:val="Normal"/>
    <w:autoRedefine/>
    <w:rsid w:val="00D55329"/>
    <w:pPr>
      <w:tabs>
        <w:tab w:val="clear" w:pos="567"/>
      </w:tabs>
      <w:spacing w:after="100"/>
      <w:ind w:left="220"/>
    </w:pPr>
  </w:style>
  <w:style w:type="paragraph" w:styleId="TOC3">
    <w:name w:val="toc 3"/>
    <w:basedOn w:val="Normal"/>
    <w:next w:val="Normal"/>
    <w:autoRedefine/>
    <w:rsid w:val="00D55329"/>
    <w:pPr>
      <w:tabs>
        <w:tab w:val="clear" w:pos="567"/>
      </w:tabs>
      <w:spacing w:after="100"/>
      <w:ind w:left="440"/>
    </w:pPr>
  </w:style>
  <w:style w:type="paragraph" w:styleId="TOC4">
    <w:name w:val="toc 4"/>
    <w:basedOn w:val="Normal"/>
    <w:next w:val="Normal"/>
    <w:autoRedefine/>
    <w:rsid w:val="00D55329"/>
    <w:pPr>
      <w:tabs>
        <w:tab w:val="clear" w:pos="567"/>
      </w:tabs>
      <w:spacing w:after="100"/>
      <w:ind w:left="660"/>
    </w:pPr>
  </w:style>
  <w:style w:type="paragraph" w:styleId="TOC5">
    <w:name w:val="toc 5"/>
    <w:basedOn w:val="Normal"/>
    <w:next w:val="Normal"/>
    <w:autoRedefine/>
    <w:rsid w:val="00D55329"/>
    <w:pPr>
      <w:tabs>
        <w:tab w:val="clear" w:pos="567"/>
      </w:tabs>
      <w:spacing w:after="100"/>
      <w:ind w:left="880"/>
    </w:pPr>
  </w:style>
  <w:style w:type="paragraph" w:styleId="TOC6">
    <w:name w:val="toc 6"/>
    <w:basedOn w:val="Normal"/>
    <w:next w:val="Normal"/>
    <w:autoRedefine/>
    <w:rsid w:val="00D55329"/>
    <w:pPr>
      <w:tabs>
        <w:tab w:val="clear" w:pos="567"/>
      </w:tabs>
      <w:spacing w:after="100"/>
      <w:ind w:left="1100"/>
    </w:pPr>
  </w:style>
  <w:style w:type="paragraph" w:styleId="TOC7">
    <w:name w:val="toc 7"/>
    <w:basedOn w:val="Normal"/>
    <w:next w:val="Normal"/>
    <w:autoRedefine/>
    <w:rsid w:val="00D55329"/>
    <w:pPr>
      <w:tabs>
        <w:tab w:val="clear" w:pos="567"/>
      </w:tabs>
      <w:spacing w:after="100"/>
      <w:ind w:left="1320"/>
    </w:pPr>
  </w:style>
  <w:style w:type="paragraph" w:styleId="TOC8">
    <w:name w:val="toc 8"/>
    <w:basedOn w:val="Normal"/>
    <w:next w:val="Normal"/>
    <w:autoRedefine/>
    <w:rsid w:val="00D55329"/>
    <w:pPr>
      <w:tabs>
        <w:tab w:val="clear" w:pos="567"/>
      </w:tabs>
      <w:spacing w:after="100"/>
      <w:ind w:left="1540"/>
    </w:pPr>
  </w:style>
  <w:style w:type="paragraph" w:styleId="TOC9">
    <w:name w:val="toc 9"/>
    <w:basedOn w:val="Normal"/>
    <w:next w:val="Normal"/>
    <w:autoRedefine/>
    <w:rsid w:val="00D55329"/>
    <w:pPr>
      <w:tabs>
        <w:tab w:val="clear" w:pos="567"/>
      </w:tabs>
      <w:spacing w:after="100"/>
      <w:ind w:left="1760"/>
    </w:pPr>
  </w:style>
  <w:style w:type="paragraph" w:styleId="TOCHeading">
    <w:name w:val="TOC Heading"/>
    <w:basedOn w:val="Heading1"/>
    <w:next w:val="Normal"/>
    <w:uiPriority w:val="39"/>
    <w:semiHidden/>
    <w:unhideWhenUsed/>
    <w:qFormat/>
    <w:rsid w:val="00D55329"/>
    <w:pPr>
      <w:outlineLvl w:val="9"/>
    </w:pPr>
  </w:style>
  <w:style w:type="character" w:customStyle="1" w:styleId="FooterChar">
    <w:name w:val="Footer Char"/>
    <w:basedOn w:val="DefaultParagraphFont"/>
    <w:link w:val="Footer"/>
    <w:uiPriority w:val="99"/>
    <w:rsid w:val="00ED4711"/>
    <w:rPr>
      <w:rFonts w:ascii="Arial" w:eastAsia="Times New Roman" w:hAnsi="Arial"/>
      <w:noProof/>
      <w:sz w:val="16"/>
      <w:lang w:eastAsia="en-US"/>
    </w:rPr>
  </w:style>
  <w:style w:type="character" w:styleId="Strong">
    <w:name w:val="Strong"/>
    <w:basedOn w:val="DefaultParagraphFont"/>
    <w:qFormat/>
    <w:rsid w:val="001C4626"/>
    <w:rPr>
      <w:b/>
      <w:bCs/>
    </w:rPr>
  </w:style>
  <w:style w:type="table" w:styleId="LightGrid">
    <w:name w:val="Light Grid"/>
    <w:basedOn w:val="TableNormal"/>
    <w:uiPriority w:val="62"/>
    <w:rsid w:val="005C4310"/>
    <w:rPr>
      <w:rFonts w:asciiTheme="minorHAnsi" w:eastAsiaTheme="minorHAnsi" w:hAnsiTheme="minorHAnsi" w:cstheme="minorBidi"/>
      <w:sz w:val="22"/>
      <w:szCs w:val="22"/>
      <w:lang w:val="en-AU"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StyleBodyCalibriLinespacingsingle">
    <w:name w:val="Style +Body (Calibri) Line spacing:  single"/>
    <w:basedOn w:val="Normal"/>
    <w:rsid w:val="002E40F0"/>
    <w:pPr>
      <w:spacing w:after="120" w:line="240" w:lineRule="auto"/>
    </w:pPr>
    <w:rPr>
      <w:rFonts w:asciiTheme="minorHAnsi" w:hAnsiTheme="minorHAnsi"/>
    </w:rPr>
  </w:style>
  <w:style w:type="paragraph" w:customStyle="1" w:styleId="StyleHeading1LatinCambria12ptAutoSmallcapsLeft">
    <w:name w:val="Style Heading 1 + (Latin) Cambria 12 pt Auto Small caps Left:  ..."/>
    <w:basedOn w:val="Heading1"/>
    <w:rsid w:val="002E40F0"/>
    <w:pPr>
      <w:spacing w:before="120" w:after="120" w:line="276" w:lineRule="auto"/>
      <w:ind w:left="431" w:hanging="431"/>
    </w:pPr>
    <w:rPr>
      <w:rFonts w:ascii="Cambria" w:eastAsia="Times New Roman" w:hAnsi="Cambria" w:cs="Times New Roman"/>
      <w:smallCaps/>
      <w:color w:val="auto"/>
      <w:sz w:val="24"/>
      <w:szCs w:val="20"/>
    </w:rPr>
  </w:style>
  <w:style w:type="paragraph" w:customStyle="1" w:styleId="StyleHeading1LatinCambriaAutoAllcaps">
    <w:name w:val="Style Heading 1 + (Latin) Cambria Auto All caps"/>
    <w:basedOn w:val="Heading1"/>
    <w:rsid w:val="002E40F0"/>
    <w:pPr>
      <w:spacing w:before="360" w:after="180" w:line="240" w:lineRule="auto"/>
    </w:pPr>
    <w:rPr>
      <w:rFonts w:ascii="Cambria" w:hAnsi="Cambria"/>
      <w:caps/>
      <w:color w:val="auto"/>
    </w:rPr>
  </w:style>
  <w:style w:type="table" w:customStyle="1" w:styleId="TableGrid1">
    <w:name w:val="Table Grid1"/>
    <w:basedOn w:val="TableNormal"/>
    <w:next w:val="TableGrid"/>
    <w:uiPriority w:val="59"/>
    <w:rsid w:val="002E40F0"/>
    <w:rPr>
      <w:rFonts w:ascii="Cambria" w:eastAsia="Cambria" w:hAnsi="Cambria"/>
      <w:sz w:val="22"/>
      <w:szCs w:val="22"/>
      <w:lang w:val="en-AU" w:eastAsia="en-US"/>
    </w:rPr>
    <w:tblPr>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Pr>
  </w:style>
  <w:style w:type="paragraph" w:customStyle="1" w:styleId="StyleHeading2LatinCambria12ptAutoSmallcaps">
    <w:name w:val="Style Heading 2 + (Latin) Cambria 12 pt Auto Small caps"/>
    <w:basedOn w:val="Heading2"/>
    <w:rsid w:val="002E40F0"/>
    <w:pPr>
      <w:spacing w:before="180" w:after="120" w:line="240" w:lineRule="auto"/>
    </w:pPr>
    <w:rPr>
      <w:rFonts w:ascii="Cambria" w:hAnsi="Cambria"/>
      <w:smallCaps/>
      <w:color w:val="auto"/>
      <w:sz w:val="24"/>
    </w:rPr>
  </w:style>
  <w:style w:type="paragraph" w:customStyle="1" w:styleId="StyleHeading3LatinCambriaAutoBefore0ptAfter6p">
    <w:name w:val="Style Heading 3 + (Latin) Cambria Auto Before:  0 pt After:  6 p..."/>
    <w:basedOn w:val="Heading3"/>
    <w:rsid w:val="002E40F0"/>
    <w:pPr>
      <w:spacing w:line="276" w:lineRule="auto"/>
    </w:pPr>
    <w:rPr>
      <w:rFonts w:ascii="Cambria" w:eastAsia="Times New Roman" w:hAnsi="Cambria" w:cs="Times New Roman"/>
      <w:color w:val="auto"/>
    </w:rPr>
  </w:style>
  <w:style w:type="paragraph" w:customStyle="1" w:styleId="StyleBodyCalibriBoldLinespacingsingle">
    <w:name w:val="Style +Body (Calibri) Bold Line spacing:  single"/>
    <w:basedOn w:val="Normal"/>
    <w:rsid w:val="001A3A27"/>
    <w:pPr>
      <w:spacing w:before="180" w:after="120" w:line="240" w:lineRule="auto"/>
    </w:pPr>
    <w:rPr>
      <w:rFonts w:asciiTheme="minorHAnsi" w:hAnsiTheme="minorHAnsi"/>
      <w:b/>
      <w:bCs/>
    </w:rPr>
  </w:style>
  <w:style w:type="paragraph" w:customStyle="1" w:styleId="StyleHeading3LatinCambriaAuto">
    <w:name w:val="Style Heading 3 + (Latin) Cambria Auto"/>
    <w:basedOn w:val="Heading3"/>
    <w:rsid w:val="001A3A27"/>
    <w:rPr>
      <w:rFonts w:ascii="Cambria" w:hAnsi="Cambria"/>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95923">
      <w:bodyDiv w:val="1"/>
      <w:marLeft w:val="0"/>
      <w:marRight w:val="0"/>
      <w:marTop w:val="0"/>
      <w:marBottom w:val="0"/>
      <w:divBdr>
        <w:top w:val="none" w:sz="0" w:space="0" w:color="auto"/>
        <w:left w:val="none" w:sz="0" w:space="0" w:color="auto"/>
        <w:bottom w:val="none" w:sz="0" w:space="0" w:color="auto"/>
        <w:right w:val="none" w:sz="0" w:space="0" w:color="auto"/>
      </w:divBdr>
    </w:div>
    <w:div w:id="404497323">
      <w:bodyDiv w:val="1"/>
      <w:marLeft w:val="0"/>
      <w:marRight w:val="0"/>
      <w:marTop w:val="0"/>
      <w:marBottom w:val="0"/>
      <w:divBdr>
        <w:top w:val="none" w:sz="0" w:space="0" w:color="auto"/>
        <w:left w:val="none" w:sz="0" w:space="0" w:color="auto"/>
        <w:bottom w:val="none" w:sz="0" w:space="0" w:color="auto"/>
        <w:right w:val="none" w:sz="0" w:space="0" w:color="auto"/>
      </w:divBdr>
    </w:div>
    <w:div w:id="605311183">
      <w:bodyDiv w:val="1"/>
      <w:marLeft w:val="0"/>
      <w:marRight w:val="0"/>
      <w:marTop w:val="0"/>
      <w:marBottom w:val="0"/>
      <w:divBdr>
        <w:top w:val="none" w:sz="0" w:space="0" w:color="auto"/>
        <w:left w:val="none" w:sz="0" w:space="0" w:color="auto"/>
        <w:bottom w:val="none" w:sz="0" w:space="0" w:color="auto"/>
        <w:right w:val="none" w:sz="0" w:space="0" w:color="auto"/>
      </w:divBdr>
    </w:div>
    <w:div w:id="611861881">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33146321">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69905444">
      <w:bodyDiv w:val="1"/>
      <w:marLeft w:val="0"/>
      <w:marRight w:val="0"/>
      <w:marTop w:val="0"/>
      <w:marBottom w:val="0"/>
      <w:divBdr>
        <w:top w:val="none" w:sz="0" w:space="0" w:color="auto"/>
        <w:left w:val="none" w:sz="0" w:space="0" w:color="auto"/>
        <w:bottom w:val="none" w:sz="0" w:space="0" w:color="auto"/>
        <w:right w:val="none" w:sz="0" w:space="0" w:color="auto"/>
      </w:divBdr>
    </w:div>
    <w:div w:id="1212499950">
      <w:bodyDiv w:val="1"/>
      <w:marLeft w:val="0"/>
      <w:marRight w:val="0"/>
      <w:marTop w:val="0"/>
      <w:marBottom w:val="0"/>
      <w:divBdr>
        <w:top w:val="none" w:sz="0" w:space="0" w:color="auto"/>
        <w:left w:val="none" w:sz="0" w:space="0" w:color="auto"/>
        <w:bottom w:val="none" w:sz="0" w:space="0" w:color="auto"/>
        <w:right w:val="none" w:sz="0" w:space="0" w:color="auto"/>
      </w:divBdr>
    </w:div>
    <w:div w:id="1225992520">
      <w:bodyDiv w:val="1"/>
      <w:marLeft w:val="0"/>
      <w:marRight w:val="0"/>
      <w:marTop w:val="0"/>
      <w:marBottom w:val="0"/>
      <w:divBdr>
        <w:top w:val="none" w:sz="0" w:space="0" w:color="auto"/>
        <w:left w:val="none" w:sz="0" w:space="0" w:color="auto"/>
        <w:bottom w:val="none" w:sz="0" w:space="0" w:color="auto"/>
        <w:right w:val="none" w:sz="0" w:space="0" w:color="auto"/>
      </w:divBdr>
    </w:div>
    <w:div w:id="1303773336">
      <w:bodyDiv w:val="1"/>
      <w:marLeft w:val="0"/>
      <w:marRight w:val="0"/>
      <w:marTop w:val="0"/>
      <w:marBottom w:val="0"/>
      <w:divBdr>
        <w:top w:val="none" w:sz="0" w:space="0" w:color="auto"/>
        <w:left w:val="none" w:sz="0" w:space="0" w:color="auto"/>
        <w:bottom w:val="none" w:sz="0" w:space="0" w:color="auto"/>
        <w:right w:val="none" w:sz="0" w:space="0" w:color="auto"/>
      </w:divBdr>
    </w:div>
    <w:div w:id="1447239787">
      <w:bodyDiv w:val="1"/>
      <w:marLeft w:val="0"/>
      <w:marRight w:val="0"/>
      <w:marTop w:val="0"/>
      <w:marBottom w:val="0"/>
      <w:divBdr>
        <w:top w:val="none" w:sz="0" w:space="0" w:color="auto"/>
        <w:left w:val="none" w:sz="0" w:space="0" w:color="auto"/>
        <w:bottom w:val="none" w:sz="0" w:space="0" w:color="auto"/>
        <w:right w:val="none" w:sz="0" w:space="0" w:color="auto"/>
      </w:divBdr>
      <w:divsChild>
        <w:div w:id="1787654181">
          <w:marLeft w:val="0"/>
          <w:marRight w:val="0"/>
          <w:marTop w:val="0"/>
          <w:marBottom w:val="0"/>
          <w:divBdr>
            <w:top w:val="none" w:sz="0" w:space="0" w:color="auto"/>
            <w:left w:val="none" w:sz="0" w:space="0" w:color="auto"/>
            <w:bottom w:val="none" w:sz="0" w:space="0" w:color="auto"/>
            <w:right w:val="none" w:sz="0" w:space="0" w:color="auto"/>
          </w:divBdr>
          <w:divsChild>
            <w:div w:id="1039628716">
              <w:marLeft w:val="0"/>
              <w:marRight w:val="0"/>
              <w:marTop w:val="0"/>
              <w:marBottom w:val="0"/>
              <w:divBdr>
                <w:top w:val="none" w:sz="0" w:space="0" w:color="auto"/>
                <w:left w:val="none" w:sz="0" w:space="0" w:color="auto"/>
                <w:bottom w:val="none" w:sz="0" w:space="0" w:color="auto"/>
                <w:right w:val="none" w:sz="0" w:space="0" w:color="auto"/>
              </w:divBdr>
              <w:divsChild>
                <w:div w:id="594049091">
                  <w:marLeft w:val="0"/>
                  <w:marRight w:val="0"/>
                  <w:marTop w:val="0"/>
                  <w:marBottom w:val="0"/>
                  <w:divBdr>
                    <w:top w:val="single" w:sz="6" w:space="0" w:color="EBEBEB"/>
                    <w:left w:val="single" w:sz="6" w:space="0" w:color="EBEBEB"/>
                    <w:bottom w:val="single" w:sz="6" w:space="0" w:color="EBEBEB"/>
                    <w:right w:val="single" w:sz="6" w:space="0" w:color="EBEBEB"/>
                  </w:divBdr>
                  <w:divsChild>
                    <w:div w:id="890190259">
                      <w:marLeft w:val="0"/>
                      <w:marRight w:val="0"/>
                      <w:marTop w:val="0"/>
                      <w:marBottom w:val="0"/>
                      <w:divBdr>
                        <w:top w:val="none" w:sz="0" w:space="0" w:color="auto"/>
                        <w:left w:val="none" w:sz="0" w:space="0" w:color="auto"/>
                        <w:bottom w:val="none" w:sz="0" w:space="0" w:color="auto"/>
                        <w:right w:val="none" w:sz="0" w:space="0" w:color="auto"/>
                      </w:divBdr>
                      <w:divsChild>
                        <w:div w:id="1111701633">
                          <w:marLeft w:val="0"/>
                          <w:marRight w:val="0"/>
                          <w:marTop w:val="0"/>
                          <w:marBottom w:val="0"/>
                          <w:divBdr>
                            <w:top w:val="none" w:sz="0" w:space="0" w:color="auto"/>
                            <w:left w:val="none" w:sz="0" w:space="0" w:color="auto"/>
                            <w:bottom w:val="none" w:sz="0" w:space="0" w:color="auto"/>
                            <w:right w:val="none" w:sz="0" w:space="0" w:color="auto"/>
                          </w:divBdr>
                          <w:divsChild>
                            <w:div w:id="142159410">
                              <w:marLeft w:val="0"/>
                              <w:marRight w:val="0"/>
                              <w:marTop w:val="0"/>
                              <w:marBottom w:val="0"/>
                              <w:divBdr>
                                <w:top w:val="none" w:sz="0" w:space="0" w:color="auto"/>
                                <w:left w:val="none" w:sz="0" w:space="0" w:color="auto"/>
                                <w:bottom w:val="none" w:sz="0" w:space="0" w:color="auto"/>
                                <w:right w:val="none" w:sz="0" w:space="0" w:color="auto"/>
                              </w:divBdr>
                              <w:divsChild>
                                <w:div w:id="1109929747">
                                  <w:marLeft w:val="0"/>
                                  <w:marRight w:val="0"/>
                                  <w:marTop w:val="0"/>
                                  <w:marBottom w:val="0"/>
                                  <w:divBdr>
                                    <w:top w:val="none" w:sz="0" w:space="0" w:color="auto"/>
                                    <w:left w:val="none" w:sz="0" w:space="0" w:color="auto"/>
                                    <w:bottom w:val="none" w:sz="0" w:space="0" w:color="auto"/>
                                    <w:right w:val="none" w:sz="0" w:space="0" w:color="auto"/>
                                  </w:divBdr>
                                  <w:divsChild>
                                    <w:div w:id="771627695">
                                      <w:marLeft w:val="0"/>
                                      <w:marRight w:val="0"/>
                                      <w:marTop w:val="0"/>
                                      <w:marBottom w:val="0"/>
                                      <w:divBdr>
                                        <w:top w:val="none" w:sz="0" w:space="0" w:color="auto"/>
                                        <w:left w:val="none" w:sz="0" w:space="0" w:color="auto"/>
                                        <w:bottom w:val="none" w:sz="0" w:space="0" w:color="auto"/>
                                        <w:right w:val="none" w:sz="0" w:space="0" w:color="auto"/>
                                      </w:divBdr>
                                      <w:divsChild>
                                        <w:div w:id="136269554">
                                          <w:marLeft w:val="0"/>
                                          <w:marRight w:val="0"/>
                                          <w:marTop w:val="0"/>
                                          <w:marBottom w:val="0"/>
                                          <w:divBdr>
                                            <w:top w:val="none" w:sz="0" w:space="0" w:color="auto"/>
                                            <w:left w:val="none" w:sz="0" w:space="0" w:color="auto"/>
                                            <w:bottom w:val="none" w:sz="0" w:space="0" w:color="auto"/>
                                            <w:right w:val="none" w:sz="0" w:space="0" w:color="auto"/>
                                          </w:divBdr>
                                          <w:divsChild>
                                            <w:div w:id="832796807">
                                              <w:marLeft w:val="0"/>
                                              <w:marRight w:val="0"/>
                                              <w:marTop w:val="0"/>
                                              <w:marBottom w:val="0"/>
                                              <w:divBdr>
                                                <w:top w:val="none" w:sz="0" w:space="0" w:color="auto"/>
                                                <w:left w:val="none" w:sz="0" w:space="0" w:color="auto"/>
                                                <w:bottom w:val="none" w:sz="0" w:space="0" w:color="auto"/>
                                                <w:right w:val="none" w:sz="0" w:space="0" w:color="auto"/>
                                              </w:divBdr>
                                              <w:divsChild>
                                                <w:div w:id="1367947990">
                                                  <w:marLeft w:val="0"/>
                                                  <w:marRight w:val="0"/>
                                                  <w:marTop w:val="0"/>
                                                  <w:marBottom w:val="0"/>
                                                  <w:divBdr>
                                                    <w:top w:val="none" w:sz="0" w:space="0" w:color="auto"/>
                                                    <w:left w:val="none" w:sz="0" w:space="0" w:color="auto"/>
                                                    <w:bottom w:val="none" w:sz="0" w:space="0" w:color="auto"/>
                                                    <w:right w:val="none" w:sz="0" w:space="0" w:color="auto"/>
                                                  </w:divBdr>
                                                  <w:divsChild>
                                                    <w:div w:id="1878929160">
                                                      <w:marLeft w:val="0"/>
                                                      <w:marRight w:val="0"/>
                                                      <w:marTop w:val="0"/>
                                                      <w:marBottom w:val="0"/>
                                                      <w:divBdr>
                                                        <w:top w:val="none" w:sz="0" w:space="0" w:color="auto"/>
                                                        <w:left w:val="none" w:sz="0" w:space="0" w:color="auto"/>
                                                        <w:bottom w:val="none" w:sz="0" w:space="0" w:color="auto"/>
                                                        <w:right w:val="none" w:sz="0" w:space="0" w:color="auto"/>
                                                      </w:divBdr>
                                                      <w:divsChild>
                                                        <w:div w:id="805045371">
                                                          <w:marLeft w:val="0"/>
                                                          <w:marRight w:val="0"/>
                                                          <w:marTop w:val="0"/>
                                                          <w:marBottom w:val="0"/>
                                                          <w:divBdr>
                                                            <w:top w:val="none" w:sz="0" w:space="0" w:color="auto"/>
                                                            <w:left w:val="none" w:sz="0" w:space="0" w:color="auto"/>
                                                            <w:bottom w:val="none" w:sz="0" w:space="0" w:color="auto"/>
                                                            <w:right w:val="none" w:sz="0" w:space="0" w:color="auto"/>
                                                          </w:divBdr>
                                                          <w:divsChild>
                                                            <w:div w:id="1208300489">
                                                              <w:marLeft w:val="0"/>
                                                              <w:marRight w:val="0"/>
                                                              <w:marTop w:val="0"/>
                                                              <w:marBottom w:val="0"/>
                                                              <w:divBdr>
                                                                <w:top w:val="none" w:sz="0" w:space="0" w:color="auto"/>
                                                                <w:left w:val="none" w:sz="0" w:space="0" w:color="auto"/>
                                                                <w:bottom w:val="none" w:sz="0" w:space="0" w:color="auto"/>
                                                                <w:right w:val="none" w:sz="0" w:space="0" w:color="auto"/>
                                                              </w:divBdr>
                                                              <w:divsChild>
                                                                <w:div w:id="1745493092">
                                                                  <w:marLeft w:val="0"/>
                                                                  <w:marRight w:val="0"/>
                                                                  <w:marTop w:val="0"/>
                                                                  <w:marBottom w:val="0"/>
                                                                  <w:divBdr>
                                                                    <w:top w:val="none" w:sz="0" w:space="0" w:color="auto"/>
                                                                    <w:left w:val="none" w:sz="0" w:space="0" w:color="auto"/>
                                                                    <w:bottom w:val="none" w:sz="0" w:space="0" w:color="auto"/>
                                                                    <w:right w:val="none" w:sz="0" w:space="0" w:color="auto"/>
                                                                  </w:divBdr>
                                                                  <w:divsChild>
                                                                    <w:div w:id="179399874">
                                                                      <w:marLeft w:val="0"/>
                                                                      <w:marRight w:val="0"/>
                                                                      <w:marTop w:val="0"/>
                                                                      <w:marBottom w:val="0"/>
                                                                      <w:divBdr>
                                                                        <w:top w:val="none" w:sz="0" w:space="0" w:color="auto"/>
                                                                        <w:left w:val="none" w:sz="0" w:space="0" w:color="auto"/>
                                                                        <w:bottom w:val="none" w:sz="0" w:space="0" w:color="auto"/>
                                                                        <w:right w:val="none" w:sz="0" w:space="0" w:color="auto"/>
                                                                      </w:divBdr>
                                                                      <w:divsChild>
                                                                        <w:div w:id="71705439">
                                                                          <w:marLeft w:val="0"/>
                                                                          <w:marRight w:val="0"/>
                                                                          <w:marTop w:val="0"/>
                                                                          <w:marBottom w:val="0"/>
                                                                          <w:divBdr>
                                                                            <w:top w:val="none" w:sz="0" w:space="0" w:color="auto"/>
                                                                            <w:left w:val="none" w:sz="0" w:space="0" w:color="auto"/>
                                                                            <w:bottom w:val="none" w:sz="0" w:space="0" w:color="auto"/>
                                                                            <w:right w:val="none" w:sz="0" w:space="0" w:color="auto"/>
                                                                          </w:divBdr>
                                                                          <w:divsChild>
                                                                            <w:div w:id="1135879594">
                                                                              <w:marLeft w:val="0"/>
                                                                              <w:marRight w:val="0"/>
                                                                              <w:marTop w:val="0"/>
                                                                              <w:marBottom w:val="0"/>
                                                                              <w:divBdr>
                                                                                <w:top w:val="none" w:sz="0" w:space="0" w:color="auto"/>
                                                                                <w:left w:val="none" w:sz="0" w:space="0" w:color="auto"/>
                                                                                <w:bottom w:val="none" w:sz="0" w:space="0" w:color="auto"/>
                                                                                <w:right w:val="none" w:sz="0" w:space="0" w:color="auto"/>
                                                                              </w:divBdr>
                                                                              <w:divsChild>
                                                                                <w:div w:id="1152715658">
                                                                                  <w:marLeft w:val="0"/>
                                                                                  <w:marRight w:val="0"/>
                                                                                  <w:marTop w:val="0"/>
                                                                                  <w:marBottom w:val="0"/>
                                                                                  <w:divBdr>
                                                                                    <w:top w:val="none" w:sz="0" w:space="0" w:color="auto"/>
                                                                                    <w:left w:val="none" w:sz="0" w:space="0" w:color="auto"/>
                                                                                    <w:bottom w:val="none" w:sz="0" w:space="0" w:color="auto"/>
                                                                                    <w:right w:val="none" w:sz="0" w:space="0" w:color="auto"/>
                                                                                  </w:divBdr>
                                                                                  <w:divsChild>
                                                                                    <w:div w:id="1375422674">
                                                                                      <w:marLeft w:val="0"/>
                                                                                      <w:marRight w:val="0"/>
                                                                                      <w:marTop w:val="0"/>
                                                                                      <w:marBottom w:val="0"/>
                                                                                      <w:divBdr>
                                                                                        <w:top w:val="none" w:sz="0" w:space="0" w:color="auto"/>
                                                                                        <w:left w:val="none" w:sz="0" w:space="0" w:color="auto"/>
                                                                                        <w:bottom w:val="none" w:sz="0" w:space="0" w:color="auto"/>
                                                                                        <w:right w:val="none" w:sz="0" w:space="0" w:color="auto"/>
                                                                                      </w:divBdr>
                                                                                      <w:divsChild>
                                                                                        <w:div w:id="1810512191">
                                                                                          <w:marLeft w:val="0"/>
                                                                                          <w:marRight w:val="0"/>
                                                                                          <w:marTop w:val="0"/>
                                                                                          <w:marBottom w:val="0"/>
                                                                                          <w:divBdr>
                                                                                            <w:top w:val="none" w:sz="0" w:space="0" w:color="auto"/>
                                                                                            <w:left w:val="none" w:sz="0" w:space="0" w:color="auto"/>
                                                                                            <w:bottom w:val="none" w:sz="0" w:space="0" w:color="auto"/>
                                                                                            <w:right w:val="none" w:sz="0" w:space="0" w:color="auto"/>
                                                                                          </w:divBdr>
                                                                                          <w:divsChild>
                                                                                            <w:div w:id="548343460">
                                                                                              <w:marLeft w:val="0"/>
                                                                                              <w:marRight w:val="0"/>
                                                                                              <w:marTop w:val="0"/>
                                                                                              <w:marBottom w:val="0"/>
                                                                                              <w:divBdr>
                                                                                                <w:top w:val="none" w:sz="0" w:space="0" w:color="auto"/>
                                                                                                <w:left w:val="none" w:sz="0" w:space="0" w:color="auto"/>
                                                                                                <w:bottom w:val="none" w:sz="0" w:space="0" w:color="auto"/>
                                                                                                <w:right w:val="none" w:sz="0" w:space="0" w:color="auto"/>
                                                                                              </w:divBdr>
                                                                                            </w:div>
                                                                                            <w:div w:id="1200362701">
                                                                                              <w:marLeft w:val="0"/>
                                                                                              <w:marRight w:val="0"/>
                                                                                              <w:marTop w:val="0"/>
                                                                                              <w:marBottom w:val="0"/>
                                                                                              <w:divBdr>
                                                                                                <w:top w:val="none" w:sz="0" w:space="0" w:color="auto"/>
                                                                                                <w:left w:val="none" w:sz="0" w:space="0" w:color="auto"/>
                                                                                                <w:bottom w:val="none" w:sz="0" w:space="0" w:color="auto"/>
                                                                                                <w:right w:val="none" w:sz="0" w:space="0" w:color="auto"/>
                                                                                              </w:divBdr>
                                                                                            </w:div>
                                                                                            <w:div w:id="127406594">
                                                                                              <w:marLeft w:val="0"/>
                                                                                              <w:marRight w:val="0"/>
                                                                                              <w:marTop w:val="0"/>
                                                                                              <w:marBottom w:val="0"/>
                                                                                              <w:divBdr>
                                                                                                <w:top w:val="none" w:sz="0" w:space="0" w:color="auto"/>
                                                                                                <w:left w:val="none" w:sz="0" w:space="0" w:color="auto"/>
                                                                                                <w:bottom w:val="none" w:sz="0" w:space="0" w:color="auto"/>
                                                                                                <w:right w:val="none" w:sz="0" w:space="0" w:color="auto"/>
                                                                                              </w:divBdr>
                                                                                            </w:div>
                                                                                            <w:div w:id="187272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2622350">
      <w:bodyDiv w:val="1"/>
      <w:marLeft w:val="0"/>
      <w:marRight w:val="0"/>
      <w:marTop w:val="0"/>
      <w:marBottom w:val="0"/>
      <w:divBdr>
        <w:top w:val="none" w:sz="0" w:space="0" w:color="auto"/>
        <w:left w:val="none" w:sz="0" w:space="0" w:color="auto"/>
        <w:bottom w:val="none" w:sz="0" w:space="0" w:color="auto"/>
        <w:right w:val="none" w:sz="0" w:space="0" w:color="auto"/>
      </w:divBdr>
    </w:div>
    <w:div w:id="1530944856">
      <w:bodyDiv w:val="1"/>
      <w:marLeft w:val="0"/>
      <w:marRight w:val="0"/>
      <w:marTop w:val="0"/>
      <w:marBottom w:val="0"/>
      <w:divBdr>
        <w:top w:val="none" w:sz="0" w:space="0" w:color="auto"/>
        <w:left w:val="none" w:sz="0" w:space="0" w:color="auto"/>
        <w:bottom w:val="none" w:sz="0" w:space="0" w:color="auto"/>
        <w:right w:val="none" w:sz="0" w:space="0" w:color="auto"/>
      </w:divBdr>
    </w:div>
    <w:div w:id="1590851007">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44043388">
      <w:bodyDiv w:val="1"/>
      <w:marLeft w:val="0"/>
      <w:marRight w:val="0"/>
      <w:marTop w:val="0"/>
      <w:marBottom w:val="0"/>
      <w:divBdr>
        <w:top w:val="none" w:sz="0" w:space="0" w:color="auto"/>
        <w:left w:val="none" w:sz="0" w:space="0" w:color="auto"/>
        <w:bottom w:val="none" w:sz="0" w:space="0" w:color="auto"/>
        <w:right w:val="none" w:sz="0" w:space="0" w:color="auto"/>
      </w:divBdr>
    </w:div>
    <w:div w:id="1688672859">
      <w:bodyDiv w:val="1"/>
      <w:marLeft w:val="0"/>
      <w:marRight w:val="0"/>
      <w:marTop w:val="0"/>
      <w:marBottom w:val="0"/>
      <w:divBdr>
        <w:top w:val="none" w:sz="0" w:space="0" w:color="auto"/>
        <w:left w:val="none" w:sz="0" w:space="0" w:color="auto"/>
        <w:bottom w:val="none" w:sz="0" w:space="0" w:color="auto"/>
        <w:right w:val="none" w:sz="0" w:space="0" w:color="auto"/>
      </w:divBdr>
    </w:div>
    <w:div w:id="1773478085">
      <w:bodyDiv w:val="1"/>
      <w:marLeft w:val="0"/>
      <w:marRight w:val="0"/>
      <w:marTop w:val="0"/>
      <w:marBottom w:val="0"/>
      <w:divBdr>
        <w:top w:val="none" w:sz="0" w:space="0" w:color="auto"/>
        <w:left w:val="none" w:sz="0" w:space="0" w:color="auto"/>
        <w:bottom w:val="none" w:sz="0" w:space="0" w:color="auto"/>
        <w:right w:val="none" w:sz="0" w:space="0" w:color="auto"/>
      </w:divBdr>
    </w:div>
    <w:div w:id="1808275789">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64572714">
      <w:bodyDiv w:val="1"/>
      <w:marLeft w:val="0"/>
      <w:marRight w:val="0"/>
      <w:marTop w:val="0"/>
      <w:marBottom w:val="0"/>
      <w:divBdr>
        <w:top w:val="none" w:sz="0" w:space="0" w:color="auto"/>
        <w:left w:val="none" w:sz="0" w:space="0" w:color="auto"/>
        <w:bottom w:val="none" w:sz="0" w:space="0" w:color="auto"/>
        <w:right w:val="none" w:sz="0" w:space="0" w:color="auto"/>
      </w:divBdr>
    </w:div>
    <w:div w:id="1982347039">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3879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vapharm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tga.gov.au/reporting-problem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C9765-7C84-49D0-A2DB-6C9C95701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12</Pages>
  <Words>3861</Words>
  <Characters>21970</Characters>
  <Application>Microsoft Office Word</Application>
  <DocSecurity>0</DocSecurity>
  <Lines>488</Lines>
  <Paragraphs>331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AusPAR Attachment 1: Product Information for Fremanequmab</vt:lpstr>
      <vt:lpstr>QRD Human Product Information Template</vt:lpstr>
    </vt:vector>
  </TitlesOfParts>
  <Company>Teva Pharma Australia Pty Ltd</Company>
  <LinksUpToDate>false</LinksUpToDate>
  <CharactersWithSpaces>25500</CharactersWithSpaces>
  <SharedDoc>false</SharedDoc>
  <HLinks>
    <vt:vector size="18"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Fremanequmab</dc:title>
  <dc:subject>Prescription medicines</dc:subject>
  <dc:creator>Teva Pharma Australia Pty Ltd</dc:creator>
  <cp:keywords>AusPARs</cp:keywords>
  <cp:lastPrinted>2018-08-22T09:32:00Z</cp:lastPrinted>
  <dcterms:created xsi:type="dcterms:W3CDTF">2019-12-20T04:01:00Z</dcterms:created>
  <dcterms:modified xsi:type="dcterms:W3CDTF">2020-01-22T05:52:00Z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CURRENT,2.0</vt:lpwstr>
  </property>
  <property fmtid="{D5CDD505-2E9C-101B-9397-08002B2CF9AE}" pid="31" name="DM_Name">
    <vt:lpwstr>Hqrdtemplatecleanen</vt:lpwstr>
  </property>
  <property fmtid="{D5CDD505-2E9C-101B-9397-08002B2CF9AE}" pid="32" name="DM_Creation_Date">
    <vt:lpwstr>05/02/2016 14:16:33</vt:lpwstr>
  </property>
  <property fmtid="{D5CDD505-2E9C-101B-9397-08002B2CF9AE}" pid="33" name="DM_Modify_Date">
    <vt:lpwstr>05/02/2016 14:16:33</vt:lpwstr>
  </property>
  <property fmtid="{D5CDD505-2E9C-101B-9397-08002B2CF9AE}" pid="34" name="DM_Creator_Name">
    <vt:lpwstr>Akhtar Tia</vt:lpwstr>
  </property>
  <property fmtid="{D5CDD505-2E9C-101B-9397-08002B2CF9AE}" pid="35" name="DM_Modifier_Name">
    <vt:lpwstr>Akhtar Tia</vt:lpwstr>
  </property>
  <property fmtid="{D5CDD505-2E9C-101B-9397-08002B2CF9AE}" pid="36" name="DM_Type">
    <vt:lpwstr>emea_document</vt:lpwstr>
  </property>
  <property fmtid="{D5CDD505-2E9C-101B-9397-08002B2CF9AE}" pid="37" name="DM_DocRefId">
    <vt:lpwstr>EMA/85269/2016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templates/01 QRD Human Templates/07 H-qrd template falsified legislation</vt:lpwstr>
  </property>
  <property fmtid="{D5CDD505-2E9C-101B-9397-08002B2CF9AE}" pid="40" name="DM_emea_doc_ref_id">
    <vt:lpwstr>EMA/85269/2016</vt:lpwstr>
  </property>
  <property fmtid="{D5CDD505-2E9C-101B-9397-08002B2CF9AE}" pid="41" name="DM_Modifer_Name">
    <vt:lpwstr>Akhtar Tia</vt:lpwstr>
  </property>
  <property fmtid="{D5CDD505-2E9C-101B-9397-08002B2CF9AE}" pid="42" name="DM_Modified_Date">
    <vt:lpwstr>05/02/2016 14:16:33</vt:lpwstr>
  </property>
</Properties>
</file>