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0709B100" w14:textId="77777777" w:rsidTr="00BF1190">
        <w:trPr>
          <w:trHeight w:val="1863"/>
        </w:trPr>
        <w:tc>
          <w:tcPr>
            <w:tcW w:w="3652" w:type="dxa"/>
            <w:tcBorders>
              <w:top w:val="nil"/>
              <w:left w:val="nil"/>
              <w:bottom w:val="nil"/>
              <w:right w:val="nil"/>
            </w:tcBorders>
          </w:tcPr>
          <w:p w14:paraId="6E9C8E3D" w14:textId="5A1FB781" w:rsidR="008E7846" w:rsidRPr="00096AA7" w:rsidRDefault="002502C1" w:rsidP="00E9581B">
            <w:pPr>
              <w:rPr>
                <w:rFonts w:ascii="Arial" w:hAnsi="Arial" w:cs="Arial"/>
                <w:b/>
                <w:color w:val="002C47"/>
                <w:sz w:val="36"/>
                <w:szCs w:val="36"/>
              </w:rPr>
            </w:pPr>
            <w:r>
              <w:rPr>
                <w:rFonts w:ascii="Arial" w:hAnsi="Arial" w:cs="Arial"/>
                <w:b/>
                <w:color w:val="002C47"/>
                <w:sz w:val="36"/>
                <w:szCs w:val="36"/>
              </w:rPr>
              <w:t xml:space="preserve">December </w:t>
            </w:r>
            <w:r w:rsidR="00E9581B">
              <w:rPr>
                <w:rFonts w:ascii="Arial" w:hAnsi="Arial" w:cs="Arial"/>
                <w:b/>
                <w:color w:val="002C47"/>
                <w:sz w:val="36"/>
                <w:szCs w:val="36"/>
              </w:rPr>
              <w:t>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0F15944E" w14:textId="77777777" w:rsidTr="0032583B">
        <w:trPr>
          <w:trHeight w:val="868"/>
        </w:trPr>
        <w:tc>
          <w:tcPr>
            <w:tcW w:w="9079" w:type="dxa"/>
          </w:tcPr>
          <w:p w14:paraId="19D803C6" w14:textId="77777777" w:rsidR="0032583B" w:rsidRPr="00A964D1" w:rsidRDefault="0032583B" w:rsidP="00150E11">
            <w:pPr>
              <w:pStyle w:val="Title"/>
              <w:framePr w:hSpace="0" w:wrap="auto" w:vAnchor="margin" w:yAlign="inline"/>
            </w:pPr>
            <w:bookmarkStart w:id="0" w:name="_GoBack"/>
            <w:r w:rsidRPr="00A964D1">
              <w:t xml:space="preserve">Australian Public Assessment Report for </w:t>
            </w:r>
            <w:r w:rsidR="00E9581B" w:rsidRPr="00E9581B">
              <w:t>Fremanezumab</w:t>
            </w:r>
            <w:bookmarkEnd w:id="0"/>
          </w:p>
        </w:tc>
      </w:tr>
      <w:tr w:rsidR="0032583B" w:rsidRPr="00B64760" w14:paraId="457056E8" w14:textId="77777777" w:rsidTr="0032583B">
        <w:tc>
          <w:tcPr>
            <w:tcW w:w="9079" w:type="dxa"/>
          </w:tcPr>
          <w:p w14:paraId="49E731DA" w14:textId="77777777" w:rsidR="0032583B" w:rsidRPr="003D1C38" w:rsidRDefault="0032583B" w:rsidP="00150E11">
            <w:pPr>
              <w:pStyle w:val="Subtitle"/>
              <w:framePr w:hSpace="0" w:wrap="auto" w:vAnchor="margin" w:yAlign="inline"/>
            </w:pPr>
            <w:r w:rsidRPr="003D1C38">
              <w:t xml:space="preserve">Proprietary Product Name: </w:t>
            </w:r>
            <w:r w:rsidR="00E9581B" w:rsidRPr="003D1C38">
              <w:t>Ajovy</w:t>
            </w:r>
          </w:p>
        </w:tc>
      </w:tr>
      <w:tr w:rsidR="0032583B" w:rsidRPr="00B64760" w14:paraId="292D7DD6" w14:textId="77777777" w:rsidTr="0032583B">
        <w:trPr>
          <w:trHeight w:val="486"/>
        </w:trPr>
        <w:tc>
          <w:tcPr>
            <w:tcW w:w="9079" w:type="dxa"/>
          </w:tcPr>
          <w:p w14:paraId="01C2CC8A" w14:textId="77777777" w:rsidR="0032583B" w:rsidRPr="003D1C38" w:rsidRDefault="0032583B" w:rsidP="00E9581B">
            <w:pPr>
              <w:spacing w:before="0" w:after="200" w:line="276" w:lineRule="auto"/>
              <w:ind w:firstLine="142"/>
              <w:rPr>
                <w:rFonts w:asciiTheme="majorHAnsi" w:eastAsia="Calibri" w:hAnsiTheme="majorHAnsi" w:cstheme="majorHAnsi"/>
                <w:color w:val="FFFFFF" w:themeColor="background1"/>
                <w:sz w:val="40"/>
                <w:szCs w:val="40"/>
                <w:lang w:val="es-ES"/>
              </w:rPr>
            </w:pPr>
            <w:r w:rsidRPr="003D1C38">
              <w:rPr>
                <w:rFonts w:asciiTheme="majorHAnsi" w:hAnsiTheme="majorHAnsi" w:cstheme="majorHAnsi"/>
                <w:color w:val="FFFFFF" w:themeColor="background1"/>
                <w:sz w:val="40"/>
                <w:szCs w:val="40"/>
              </w:rPr>
              <w:t xml:space="preserve">Sponsor: </w:t>
            </w:r>
            <w:r w:rsidR="00E9581B" w:rsidRPr="003D1C38">
              <w:rPr>
                <w:rFonts w:asciiTheme="majorHAnsi" w:eastAsia="Calibri" w:hAnsiTheme="majorHAnsi" w:cstheme="majorHAnsi"/>
                <w:color w:val="FFFFFF" w:themeColor="background1"/>
                <w:sz w:val="40"/>
                <w:szCs w:val="40"/>
                <w:lang w:val="es-ES"/>
              </w:rPr>
              <w:t>Teva Pharma Australia Pty Ltd</w:t>
            </w:r>
          </w:p>
        </w:tc>
      </w:tr>
    </w:tbl>
    <w:p w14:paraId="51413AF5" w14:textId="77777777" w:rsidR="008E7846" w:rsidRPr="0085156D" w:rsidRDefault="008E7846" w:rsidP="0085156D">
      <w:r w:rsidRPr="0085156D">
        <w:br w:type="page"/>
      </w:r>
    </w:p>
    <w:p w14:paraId="4E7FAD08" w14:textId="77777777" w:rsidR="008E7846" w:rsidRPr="001F6CBA" w:rsidRDefault="008E7846" w:rsidP="008E7846">
      <w:pPr>
        <w:pStyle w:val="NonTOCHeading2"/>
      </w:pPr>
      <w:r w:rsidRPr="001F6CBA">
        <w:lastRenderedPageBreak/>
        <w:t>About the Therapeutic Goods Administration (TGA)</w:t>
      </w:r>
    </w:p>
    <w:p w14:paraId="131DF88E"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FD52198"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2E76C566"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1D7F933A"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423FE240"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27D78459" w14:textId="77777777" w:rsidR="008E7846" w:rsidRDefault="008E7846" w:rsidP="00150E11">
      <w:pPr>
        <w:pStyle w:val="NonTOCHeading2"/>
      </w:pPr>
      <w:r>
        <w:t>About AusPARs</w:t>
      </w:r>
    </w:p>
    <w:p w14:paraId="11FD0EAB"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342882C6" w14:textId="77777777" w:rsidR="008E7846" w:rsidRDefault="008E7846" w:rsidP="008E7846">
      <w:pPr>
        <w:pStyle w:val="ListBullet"/>
        <w:numPr>
          <w:ilvl w:val="0"/>
          <w:numId w:val="3"/>
        </w:numPr>
        <w:ind w:left="357" w:hanging="357"/>
      </w:pPr>
      <w:r>
        <w:t>AusPARs are prepared and published by the TGA.</w:t>
      </w:r>
    </w:p>
    <w:p w14:paraId="112DB8CE"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22176645"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76BB17B7"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0289BF98" w14:textId="77777777" w:rsidR="00924482" w:rsidRPr="00DF1D7F" w:rsidRDefault="00924482" w:rsidP="00F54B65">
      <w:pPr>
        <w:pStyle w:val="LegalSubheading"/>
        <w:spacing w:before="3120"/>
      </w:pPr>
      <w:r w:rsidRPr="00DF1D7F">
        <w:t>Copyright</w:t>
      </w:r>
    </w:p>
    <w:p w14:paraId="7987E449" w14:textId="77777777" w:rsidR="00924482" w:rsidRDefault="00924482" w:rsidP="00924482">
      <w:pPr>
        <w:pStyle w:val="LegalCopy"/>
      </w:pPr>
      <w:r w:rsidRPr="00191B3B">
        <w:rPr>
          <w:rFonts w:cs="Arial"/>
          <w:lang w:val="en-GB"/>
        </w:rPr>
        <w:t>© Comm</w:t>
      </w:r>
      <w:r>
        <w:rPr>
          <w:rFonts w:cs="Arial"/>
          <w:lang w:val="en-GB"/>
        </w:rPr>
        <w:t>onwealth of Australia 201</w:t>
      </w:r>
      <w:r w:rsidR="00C52E24">
        <w:rPr>
          <w:rFonts w:cs="Arial"/>
          <w:lang w:val="en-GB"/>
        </w:rPr>
        <w:t>9</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14:paraId="6D4DBBF5" w14:textId="77777777"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sdt>
      <w:sdtPr>
        <w:rPr>
          <w:rFonts w:ascii="Cambria" w:hAnsi="Cambria"/>
          <w:b w:val="0"/>
          <w:bCs/>
          <w:sz w:val="22"/>
        </w:rPr>
        <w:id w:val="5618007"/>
        <w:docPartObj>
          <w:docPartGallery w:val="Table of Contents"/>
          <w:docPartUnique/>
        </w:docPartObj>
      </w:sdtPr>
      <w:sdtEndPr>
        <w:rPr>
          <w:b/>
          <w:bCs w:val="0"/>
          <w:sz w:val="25"/>
        </w:rPr>
      </w:sdtEndPr>
      <w:sdtContent>
        <w:p w14:paraId="5A308516" w14:textId="77777777" w:rsidR="0089635C" w:rsidRPr="0089635C" w:rsidRDefault="0089635C" w:rsidP="0010788A">
          <w:pPr>
            <w:pStyle w:val="Contents"/>
          </w:pPr>
          <w:r w:rsidRPr="0010788A">
            <w:t>Contents</w:t>
          </w:r>
        </w:p>
        <w:p w14:paraId="53F3DCBB" w14:textId="17CB3ADF" w:rsidR="00136876"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27745202" w:history="1">
            <w:r w:rsidR="00136876" w:rsidRPr="00891F48">
              <w:rPr>
                <w:rStyle w:val="Hyperlink"/>
                <w:noProof/>
              </w:rPr>
              <w:t>Common abbreviations</w:t>
            </w:r>
            <w:r w:rsidR="00136876">
              <w:rPr>
                <w:noProof/>
                <w:webHidden/>
              </w:rPr>
              <w:tab/>
            </w:r>
            <w:r w:rsidR="00136876">
              <w:rPr>
                <w:noProof/>
                <w:webHidden/>
              </w:rPr>
              <w:fldChar w:fldCharType="begin"/>
            </w:r>
            <w:r w:rsidR="00136876">
              <w:rPr>
                <w:noProof/>
                <w:webHidden/>
              </w:rPr>
              <w:instrText xml:space="preserve"> PAGEREF _Toc27745202 \h </w:instrText>
            </w:r>
            <w:r w:rsidR="00136876">
              <w:rPr>
                <w:noProof/>
                <w:webHidden/>
              </w:rPr>
            </w:r>
            <w:r w:rsidR="00136876">
              <w:rPr>
                <w:noProof/>
                <w:webHidden/>
              </w:rPr>
              <w:fldChar w:fldCharType="separate"/>
            </w:r>
            <w:r w:rsidR="00CB25F2">
              <w:rPr>
                <w:noProof/>
                <w:webHidden/>
              </w:rPr>
              <w:t>4</w:t>
            </w:r>
            <w:r w:rsidR="00136876">
              <w:rPr>
                <w:noProof/>
                <w:webHidden/>
              </w:rPr>
              <w:fldChar w:fldCharType="end"/>
            </w:r>
          </w:hyperlink>
        </w:p>
        <w:p w14:paraId="4D67DCA2" w14:textId="07C15BE5" w:rsidR="00136876" w:rsidRDefault="0025596B">
          <w:pPr>
            <w:pStyle w:val="TOC2"/>
            <w:rPr>
              <w:rFonts w:asciiTheme="minorHAnsi" w:eastAsiaTheme="minorEastAsia" w:hAnsiTheme="minorHAnsi" w:cstheme="minorBidi"/>
              <w:b w:val="0"/>
              <w:noProof/>
              <w:sz w:val="22"/>
              <w:lang w:eastAsia="en-AU"/>
            </w:rPr>
          </w:pPr>
          <w:hyperlink w:anchor="_Toc27745203" w:history="1">
            <w:r w:rsidR="00136876" w:rsidRPr="00891F48">
              <w:rPr>
                <w:rStyle w:val="Hyperlink"/>
                <w:noProof/>
              </w:rPr>
              <w:t>I. Introduction to product submission</w:t>
            </w:r>
            <w:r w:rsidR="00136876">
              <w:rPr>
                <w:noProof/>
                <w:webHidden/>
              </w:rPr>
              <w:tab/>
            </w:r>
            <w:r w:rsidR="00136876">
              <w:rPr>
                <w:noProof/>
                <w:webHidden/>
              </w:rPr>
              <w:fldChar w:fldCharType="begin"/>
            </w:r>
            <w:r w:rsidR="00136876">
              <w:rPr>
                <w:noProof/>
                <w:webHidden/>
              </w:rPr>
              <w:instrText xml:space="preserve"> PAGEREF _Toc27745203 \h </w:instrText>
            </w:r>
            <w:r w:rsidR="00136876">
              <w:rPr>
                <w:noProof/>
                <w:webHidden/>
              </w:rPr>
            </w:r>
            <w:r w:rsidR="00136876">
              <w:rPr>
                <w:noProof/>
                <w:webHidden/>
              </w:rPr>
              <w:fldChar w:fldCharType="separate"/>
            </w:r>
            <w:r w:rsidR="00CB25F2">
              <w:rPr>
                <w:noProof/>
                <w:webHidden/>
              </w:rPr>
              <w:t>7</w:t>
            </w:r>
            <w:r w:rsidR="00136876">
              <w:rPr>
                <w:noProof/>
                <w:webHidden/>
              </w:rPr>
              <w:fldChar w:fldCharType="end"/>
            </w:r>
          </w:hyperlink>
        </w:p>
        <w:p w14:paraId="2487FF81" w14:textId="32E36C82" w:rsidR="00136876" w:rsidRDefault="0025596B">
          <w:pPr>
            <w:pStyle w:val="TOC3"/>
            <w:rPr>
              <w:rFonts w:asciiTheme="minorHAnsi" w:eastAsiaTheme="minorEastAsia" w:hAnsiTheme="minorHAnsi" w:cstheme="minorBidi"/>
              <w:noProof/>
              <w:lang w:eastAsia="en-AU"/>
            </w:rPr>
          </w:pPr>
          <w:hyperlink w:anchor="_Toc27745204" w:history="1">
            <w:r w:rsidR="00136876" w:rsidRPr="00891F48">
              <w:rPr>
                <w:rStyle w:val="Hyperlink"/>
                <w:noProof/>
                <w:lang w:eastAsia="en-AU"/>
              </w:rPr>
              <w:t>Submission details</w:t>
            </w:r>
            <w:r w:rsidR="00136876">
              <w:rPr>
                <w:noProof/>
                <w:webHidden/>
              </w:rPr>
              <w:tab/>
            </w:r>
            <w:r w:rsidR="00136876">
              <w:rPr>
                <w:noProof/>
                <w:webHidden/>
              </w:rPr>
              <w:fldChar w:fldCharType="begin"/>
            </w:r>
            <w:r w:rsidR="00136876">
              <w:rPr>
                <w:noProof/>
                <w:webHidden/>
              </w:rPr>
              <w:instrText xml:space="preserve"> PAGEREF _Toc27745204 \h </w:instrText>
            </w:r>
            <w:r w:rsidR="00136876">
              <w:rPr>
                <w:noProof/>
                <w:webHidden/>
              </w:rPr>
            </w:r>
            <w:r w:rsidR="00136876">
              <w:rPr>
                <w:noProof/>
                <w:webHidden/>
              </w:rPr>
              <w:fldChar w:fldCharType="separate"/>
            </w:r>
            <w:r w:rsidR="00CB25F2">
              <w:rPr>
                <w:noProof/>
                <w:webHidden/>
              </w:rPr>
              <w:t>7</w:t>
            </w:r>
            <w:r w:rsidR="00136876">
              <w:rPr>
                <w:noProof/>
                <w:webHidden/>
              </w:rPr>
              <w:fldChar w:fldCharType="end"/>
            </w:r>
          </w:hyperlink>
        </w:p>
        <w:p w14:paraId="1061CABD" w14:textId="3078F934" w:rsidR="00136876" w:rsidRDefault="0025596B">
          <w:pPr>
            <w:pStyle w:val="TOC3"/>
            <w:rPr>
              <w:rFonts w:asciiTheme="minorHAnsi" w:eastAsiaTheme="minorEastAsia" w:hAnsiTheme="minorHAnsi" w:cstheme="minorBidi"/>
              <w:noProof/>
              <w:lang w:eastAsia="en-AU"/>
            </w:rPr>
          </w:pPr>
          <w:hyperlink w:anchor="_Toc27745205" w:history="1">
            <w:r w:rsidR="00136876" w:rsidRPr="00891F48">
              <w:rPr>
                <w:rStyle w:val="Hyperlink"/>
                <w:noProof/>
              </w:rPr>
              <w:t>Product background</w:t>
            </w:r>
            <w:r w:rsidR="00136876">
              <w:rPr>
                <w:noProof/>
                <w:webHidden/>
              </w:rPr>
              <w:tab/>
            </w:r>
            <w:r w:rsidR="00136876">
              <w:rPr>
                <w:noProof/>
                <w:webHidden/>
              </w:rPr>
              <w:fldChar w:fldCharType="begin"/>
            </w:r>
            <w:r w:rsidR="00136876">
              <w:rPr>
                <w:noProof/>
                <w:webHidden/>
              </w:rPr>
              <w:instrText xml:space="preserve"> PAGEREF _Toc27745205 \h </w:instrText>
            </w:r>
            <w:r w:rsidR="00136876">
              <w:rPr>
                <w:noProof/>
                <w:webHidden/>
              </w:rPr>
            </w:r>
            <w:r w:rsidR="00136876">
              <w:rPr>
                <w:noProof/>
                <w:webHidden/>
              </w:rPr>
              <w:fldChar w:fldCharType="separate"/>
            </w:r>
            <w:r w:rsidR="00CB25F2">
              <w:rPr>
                <w:noProof/>
                <w:webHidden/>
              </w:rPr>
              <w:t>7</w:t>
            </w:r>
            <w:r w:rsidR="00136876">
              <w:rPr>
                <w:noProof/>
                <w:webHidden/>
              </w:rPr>
              <w:fldChar w:fldCharType="end"/>
            </w:r>
          </w:hyperlink>
        </w:p>
        <w:p w14:paraId="12AB6418" w14:textId="274F926D" w:rsidR="00136876" w:rsidRDefault="0025596B">
          <w:pPr>
            <w:pStyle w:val="TOC3"/>
            <w:rPr>
              <w:rFonts w:asciiTheme="minorHAnsi" w:eastAsiaTheme="minorEastAsia" w:hAnsiTheme="minorHAnsi" w:cstheme="minorBidi"/>
              <w:noProof/>
              <w:lang w:eastAsia="en-AU"/>
            </w:rPr>
          </w:pPr>
          <w:hyperlink w:anchor="_Toc27745206" w:history="1">
            <w:r w:rsidR="00136876" w:rsidRPr="00891F48">
              <w:rPr>
                <w:rStyle w:val="Hyperlink"/>
                <w:noProof/>
              </w:rPr>
              <w:t>Regulatory status</w:t>
            </w:r>
            <w:r w:rsidR="00136876">
              <w:rPr>
                <w:noProof/>
                <w:webHidden/>
              </w:rPr>
              <w:tab/>
            </w:r>
            <w:r w:rsidR="00136876">
              <w:rPr>
                <w:noProof/>
                <w:webHidden/>
              </w:rPr>
              <w:fldChar w:fldCharType="begin"/>
            </w:r>
            <w:r w:rsidR="00136876">
              <w:rPr>
                <w:noProof/>
                <w:webHidden/>
              </w:rPr>
              <w:instrText xml:space="preserve"> PAGEREF _Toc27745206 \h </w:instrText>
            </w:r>
            <w:r w:rsidR="00136876">
              <w:rPr>
                <w:noProof/>
                <w:webHidden/>
              </w:rPr>
            </w:r>
            <w:r w:rsidR="00136876">
              <w:rPr>
                <w:noProof/>
                <w:webHidden/>
              </w:rPr>
              <w:fldChar w:fldCharType="separate"/>
            </w:r>
            <w:r w:rsidR="00CB25F2">
              <w:rPr>
                <w:noProof/>
                <w:webHidden/>
              </w:rPr>
              <w:t>8</w:t>
            </w:r>
            <w:r w:rsidR="00136876">
              <w:rPr>
                <w:noProof/>
                <w:webHidden/>
              </w:rPr>
              <w:fldChar w:fldCharType="end"/>
            </w:r>
          </w:hyperlink>
        </w:p>
        <w:p w14:paraId="542B9F5F" w14:textId="52EFBB21" w:rsidR="00136876" w:rsidRDefault="0025596B">
          <w:pPr>
            <w:pStyle w:val="TOC3"/>
            <w:rPr>
              <w:rFonts w:asciiTheme="minorHAnsi" w:eastAsiaTheme="minorEastAsia" w:hAnsiTheme="minorHAnsi" w:cstheme="minorBidi"/>
              <w:noProof/>
              <w:lang w:eastAsia="en-AU"/>
            </w:rPr>
          </w:pPr>
          <w:hyperlink w:anchor="_Toc27745207" w:history="1">
            <w:r w:rsidR="00136876" w:rsidRPr="00891F48">
              <w:rPr>
                <w:rStyle w:val="Hyperlink"/>
                <w:noProof/>
              </w:rPr>
              <w:t>Product Information</w:t>
            </w:r>
            <w:r w:rsidR="00136876">
              <w:rPr>
                <w:noProof/>
                <w:webHidden/>
              </w:rPr>
              <w:tab/>
            </w:r>
            <w:r w:rsidR="00136876">
              <w:rPr>
                <w:noProof/>
                <w:webHidden/>
              </w:rPr>
              <w:fldChar w:fldCharType="begin"/>
            </w:r>
            <w:r w:rsidR="00136876">
              <w:rPr>
                <w:noProof/>
                <w:webHidden/>
              </w:rPr>
              <w:instrText xml:space="preserve"> PAGEREF _Toc27745207 \h </w:instrText>
            </w:r>
            <w:r w:rsidR="00136876">
              <w:rPr>
                <w:noProof/>
                <w:webHidden/>
              </w:rPr>
            </w:r>
            <w:r w:rsidR="00136876">
              <w:rPr>
                <w:noProof/>
                <w:webHidden/>
              </w:rPr>
              <w:fldChar w:fldCharType="separate"/>
            </w:r>
            <w:r w:rsidR="00CB25F2">
              <w:rPr>
                <w:noProof/>
                <w:webHidden/>
              </w:rPr>
              <w:t>9</w:t>
            </w:r>
            <w:r w:rsidR="00136876">
              <w:rPr>
                <w:noProof/>
                <w:webHidden/>
              </w:rPr>
              <w:fldChar w:fldCharType="end"/>
            </w:r>
          </w:hyperlink>
        </w:p>
        <w:p w14:paraId="288DD143" w14:textId="33B25856" w:rsidR="00136876" w:rsidRDefault="0025596B">
          <w:pPr>
            <w:pStyle w:val="TOC2"/>
            <w:rPr>
              <w:rFonts w:asciiTheme="minorHAnsi" w:eastAsiaTheme="minorEastAsia" w:hAnsiTheme="minorHAnsi" w:cstheme="minorBidi"/>
              <w:b w:val="0"/>
              <w:noProof/>
              <w:sz w:val="22"/>
              <w:lang w:eastAsia="en-AU"/>
            </w:rPr>
          </w:pPr>
          <w:hyperlink w:anchor="_Toc27745208" w:history="1">
            <w:r w:rsidR="00136876" w:rsidRPr="00891F48">
              <w:rPr>
                <w:rStyle w:val="Hyperlink"/>
                <w:noProof/>
              </w:rPr>
              <w:t>II. Registration time line</w:t>
            </w:r>
            <w:r w:rsidR="00136876">
              <w:rPr>
                <w:noProof/>
                <w:webHidden/>
              </w:rPr>
              <w:tab/>
            </w:r>
            <w:r w:rsidR="00136876">
              <w:rPr>
                <w:noProof/>
                <w:webHidden/>
              </w:rPr>
              <w:fldChar w:fldCharType="begin"/>
            </w:r>
            <w:r w:rsidR="00136876">
              <w:rPr>
                <w:noProof/>
                <w:webHidden/>
              </w:rPr>
              <w:instrText xml:space="preserve"> PAGEREF _Toc27745208 \h </w:instrText>
            </w:r>
            <w:r w:rsidR="00136876">
              <w:rPr>
                <w:noProof/>
                <w:webHidden/>
              </w:rPr>
            </w:r>
            <w:r w:rsidR="00136876">
              <w:rPr>
                <w:noProof/>
                <w:webHidden/>
              </w:rPr>
              <w:fldChar w:fldCharType="separate"/>
            </w:r>
            <w:r w:rsidR="00CB25F2">
              <w:rPr>
                <w:noProof/>
                <w:webHidden/>
              </w:rPr>
              <w:t>9</w:t>
            </w:r>
            <w:r w:rsidR="00136876">
              <w:rPr>
                <w:noProof/>
                <w:webHidden/>
              </w:rPr>
              <w:fldChar w:fldCharType="end"/>
            </w:r>
          </w:hyperlink>
        </w:p>
        <w:p w14:paraId="63A1B155" w14:textId="2F629935" w:rsidR="00136876" w:rsidRDefault="0025596B">
          <w:pPr>
            <w:pStyle w:val="TOC2"/>
            <w:rPr>
              <w:rFonts w:asciiTheme="minorHAnsi" w:eastAsiaTheme="minorEastAsia" w:hAnsiTheme="minorHAnsi" w:cstheme="minorBidi"/>
              <w:b w:val="0"/>
              <w:noProof/>
              <w:sz w:val="22"/>
              <w:lang w:eastAsia="en-AU"/>
            </w:rPr>
          </w:pPr>
          <w:hyperlink w:anchor="_Toc27745209" w:history="1">
            <w:r w:rsidR="00136876" w:rsidRPr="00891F48">
              <w:rPr>
                <w:rStyle w:val="Hyperlink"/>
                <w:noProof/>
              </w:rPr>
              <w:t>III. Overall conclusion and risk/benefit assessment</w:t>
            </w:r>
            <w:r w:rsidR="00136876">
              <w:rPr>
                <w:noProof/>
                <w:webHidden/>
              </w:rPr>
              <w:tab/>
            </w:r>
            <w:r w:rsidR="00136876">
              <w:rPr>
                <w:noProof/>
                <w:webHidden/>
              </w:rPr>
              <w:fldChar w:fldCharType="begin"/>
            </w:r>
            <w:r w:rsidR="00136876">
              <w:rPr>
                <w:noProof/>
                <w:webHidden/>
              </w:rPr>
              <w:instrText xml:space="preserve"> PAGEREF _Toc27745209 \h </w:instrText>
            </w:r>
            <w:r w:rsidR="00136876">
              <w:rPr>
                <w:noProof/>
                <w:webHidden/>
              </w:rPr>
            </w:r>
            <w:r w:rsidR="00136876">
              <w:rPr>
                <w:noProof/>
                <w:webHidden/>
              </w:rPr>
              <w:fldChar w:fldCharType="separate"/>
            </w:r>
            <w:r w:rsidR="00CB25F2">
              <w:rPr>
                <w:noProof/>
                <w:webHidden/>
              </w:rPr>
              <w:t>10</w:t>
            </w:r>
            <w:r w:rsidR="00136876">
              <w:rPr>
                <w:noProof/>
                <w:webHidden/>
              </w:rPr>
              <w:fldChar w:fldCharType="end"/>
            </w:r>
          </w:hyperlink>
        </w:p>
        <w:p w14:paraId="4D1CFA59" w14:textId="2CA0FB98" w:rsidR="00136876" w:rsidRDefault="0025596B">
          <w:pPr>
            <w:pStyle w:val="TOC3"/>
            <w:rPr>
              <w:rFonts w:asciiTheme="minorHAnsi" w:eastAsiaTheme="minorEastAsia" w:hAnsiTheme="minorHAnsi" w:cstheme="minorBidi"/>
              <w:noProof/>
              <w:lang w:eastAsia="en-AU"/>
            </w:rPr>
          </w:pPr>
          <w:hyperlink w:anchor="_Toc27745210" w:history="1">
            <w:r w:rsidR="00136876" w:rsidRPr="00891F48">
              <w:rPr>
                <w:rStyle w:val="Hyperlink"/>
                <w:noProof/>
              </w:rPr>
              <w:t>Quality</w:t>
            </w:r>
            <w:r w:rsidR="00136876">
              <w:rPr>
                <w:noProof/>
                <w:webHidden/>
              </w:rPr>
              <w:tab/>
            </w:r>
            <w:r w:rsidR="00136876">
              <w:rPr>
                <w:noProof/>
                <w:webHidden/>
              </w:rPr>
              <w:fldChar w:fldCharType="begin"/>
            </w:r>
            <w:r w:rsidR="00136876">
              <w:rPr>
                <w:noProof/>
                <w:webHidden/>
              </w:rPr>
              <w:instrText xml:space="preserve"> PAGEREF _Toc27745210 \h </w:instrText>
            </w:r>
            <w:r w:rsidR="00136876">
              <w:rPr>
                <w:noProof/>
                <w:webHidden/>
              </w:rPr>
            </w:r>
            <w:r w:rsidR="00136876">
              <w:rPr>
                <w:noProof/>
                <w:webHidden/>
              </w:rPr>
              <w:fldChar w:fldCharType="separate"/>
            </w:r>
            <w:r w:rsidR="00CB25F2">
              <w:rPr>
                <w:noProof/>
                <w:webHidden/>
              </w:rPr>
              <w:t>10</w:t>
            </w:r>
            <w:r w:rsidR="00136876">
              <w:rPr>
                <w:noProof/>
                <w:webHidden/>
              </w:rPr>
              <w:fldChar w:fldCharType="end"/>
            </w:r>
          </w:hyperlink>
        </w:p>
        <w:p w14:paraId="6BBCF475" w14:textId="657310F8" w:rsidR="00136876" w:rsidRDefault="0025596B">
          <w:pPr>
            <w:pStyle w:val="TOC3"/>
            <w:rPr>
              <w:rFonts w:asciiTheme="minorHAnsi" w:eastAsiaTheme="minorEastAsia" w:hAnsiTheme="minorHAnsi" w:cstheme="minorBidi"/>
              <w:noProof/>
              <w:lang w:eastAsia="en-AU"/>
            </w:rPr>
          </w:pPr>
          <w:hyperlink w:anchor="_Toc27745211" w:history="1">
            <w:r w:rsidR="00136876" w:rsidRPr="00891F48">
              <w:rPr>
                <w:rStyle w:val="Hyperlink"/>
                <w:noProof/>
              </w:rPr>
              <w:t>Nonclinical</w:t>
            </w:r>
            <w:r w:rsidR="00136876">
              <w:rPr>
                <w:noProof/>
                <w:webHidden/>
              </w:rPr>
              <w:tab/>
            </w:r>
            <w:r w:rsidR="00136876">
              <w:rPr>
                <w:noProof/>
                <w:webHidden/>
              </w:rPr>
              <w:fldChar w:fldCharType="begin"/>
            </w:r>
            <w:r w:rsidR="00136876">
              <w:rPr>
                <w:noProof/>
                <w:webHidden/>
              </w:rPr>
              <w:instrText xml:space="preserve"> PAGEREF _Toc27745211 \h </w:instrText>
            </w:r>
            <w:r w:rsidR="00136876">
              <w:rPr>
                <w:noProof/>
                <w:webHidden/>
              </w:rPr>
            </w:r>
            <w:r w:rsidR="00136876">
              <w:rPr>
                <w:noProof/>
                <w:webHidden/>
              </w:rPr>
              <w:fldChar w:fldCharType="separate"/>
            </w:r>
            <w:r w:rsidR="00CB25F2">
              <w:rPr>
                <w:noProof/>
                <w:webHidden/>
              </w:rPr>
              <w:t>10</w:t>
            </w:r>
            <w:r w:rsidR="00136876">
              <w:rPr>
                <w:noProof/>
                <w:webHidden/>
              </w:rPr>
              <w:fldChar w:fldCharType="end"/>
            </w:r>
          </w:hyperlink>
        </w:p>
        <w:p w14:paraId="4AFB1B53" w14:textId="772E18DE" w:rsidR="00136876" w:rsidRDefault="0025596B">
          <w:pPr>
            <w:pStyle w:val="TOC3"/>
            <w:rPr>
              <w:rFonts w:asciiTheme="minorHAnsi" w:eastAsiaTheme="minorEastAsia" w:hAnsiTheme="minorHAnsi" w:cstheme="minorBidi"/>
              <w:noProof/>
              <w:lang w:eastAsia="en-AU"/>
            </w:rPr>
          </w:pPr>
          <w:hyperlink w:anchor="_Toc27745212" w:history="1">
            <w:r w:rsidR="00136876" w:rsidRPr="00891F48">
              <w:rPr>
                <w:rStyle w:val="Hyperlink"/>
                <w:noProof/>
              </w:rPr>
              <w:t>Clinical</w:t>
            </w:r>
            <w:r w:rsidR="00136876">
              <w:rPr>
                <w:noProof/>
                <w:webHidden/>
              </w:rPr>
              <w:tab/>
            </w:r>
            <w:r w:rsidR="00136876">
              <w:rPr>
                <w:noProof/>
                <w:webHidden/>
              </w:rPr>
              <w:fldChar w:fldCharType="begin"/>
            </w:r>
            <w:r w:rsidR="00136876">
              <w:rPr>
                <w:noProof/>
                <w:webHidden/>
              </w:rPr>
              <w:instrText xml:space="preserve"> PAGEREF _Toc27745212 \h </w:instrText>
            </w:r>
            <w:r w:rsidR="00136876">
              <w:rPr>
                <w:noProof/>
                <w:webHidden/>
              </w:rPr>
            </w:r>
            <w:r w:rsidR="00136876">
              <w:rPr>
                <w:noProof/>
                <w:webHidden/>
              </w:rPr>
              <w:fldChar w:fldCharType="separate"/>
            </w:r>
            <w:r w:rsidR="00CB25F2">
              <w:rPr>
                <w:noProof/>
                <w:webHidden/>
              </w:rPr>
              <w:t>11</w:t>
            </w:r>
            <w:r w:rsidR="00136876">
              <w:rPr>
                <w:noProof/>
                <w:webHidden/>
              </w:rPr>
              <w:fldChar w:fldCharType="end"/>
            </w:r>
          </w:hyperlink>
        </w:p>
        <w:p w14:paraId="1E540B82" w14:textId="59ACE395" w:rsidR="00136876" w:rsidRDefault="0025596B">
          <w:pPr>
            <w:pStyle w:val="TOC3"/>
            <w:rPr>
              <w:rFonts w:asciiTheme="minorHAnsi" w:eastAsiaTheme="minorEastAsia" w:hAnsiTheme="minorHAnsi" w:cstheme="minorBidi"/>
              <w:noProof/>
              <w:lang w:eastAsia="en-AU"/>
            </w:rPr>
          </w:pPr>
          <w:hyperlink w:anchor="_Toc27745213" w:history="1">
            <w:r w:rsidR="00136876" w:rsidRPr="00891F48">
              <w:rPr>
                <w:rStyle w:val="Hyperlink"/>
                <w:noProof/>
              </w:rPr>
              <w:t>Efficacy</w:t>
            </w:r>
            <w:r w:rsidR="00136876">
              <w:rPr>
                <w:noProof/>
                <w:webHidden/>
              </w:rPr>
              <w:tab/>
            </w:r>
            <w:r w:rsidR="00136876">
              <w:rPr>
                <w:noProof/>
                <w:webHidden/>
              </w:rPr>
              <w:fldChar w:fldCharType="begin"/>
            </w:r>
            <w:r w:rsidR="00136876">
              <w:rPr>
                <w:noProof/>
                <w:webHidden/>
              </w:rPr>
              <w:instrText xml:space="preserve"> PAGEREF _Toc27745213 \h </w:instrText>
            </w:r>
            <w:r w:rsidR="00136876">
              <w:rPr>
                <w:noProof/>
                <w:webHidden/>
              </w:rPr>
            </w:r>
            <w:r w:rsidR="00136876">
              <w:rPr>
                <w:noProof/>
                <w:webHidden/>
              </w:rPr>
              <w:fldChar w:fldCharType="separate"/>
            </w:r>
            <w:r w:rsidR="00CB25F2">
              <w:rPr>
                <w:noProof/>
                <w:webHidden/>
              </w:rPr>
              <w:t>11</w:t>
            </w:r>
            <w:r w:rsidR="00136876">
              <w:rPr>
                <w:noProof/>
                <w:webHidden/>
              </w:rPr>
              <w:fldChar w:fldCharType="end"/>
            </w:r>
          </w:hyperlink>
        </w:p>
        <w:p w14:paraId="194A313A" w14:textId="1AB45BFB" w:rsidR="00136876" w:rsidRDefault="0025596B">
          <w:pPr>
            <w:pStyle w:val="TOC3"/>
            <w:rPr>
              <w:rFonts w:asciiTheme="minorHAnsi" w:eastAsiaTheme="minorEastAsia" w:hAnsiTheme="minorHAnsi" w:cstheme="minorBidi"/>
              <w:noProof/>
              <w:lang w:eastAsia="en-AU"/>
            </w:rPr>
          </w:pPr>
          <w:hyperlink w:anchor="_Toc27745214" w:history="1">
            <w:r w:rsidR="00136876" w:rsidRPr="00891F48">
              <w:rPr>
                <w:rStyle w:val="Hyperlink"/>
                <w:noProof/>
              </w:rPr>
              <w:t>Safety</w:t>
            </w:r>
            <w:r w:rsidR="00136876">
              <w:rPr>
                <w:noProof/>
                <w:webHidden/>
              </w:rPr>
              <w:tab/>
            </w:r>
            <w:r w:rsidR="00136876">
              <w:rPr>
                <w:noProof/>
                <w:webHidden/>
              </w:rPr>
              <w:fldChar w:fldCharType="begin"/>
            </w:r>
            <w:r w:rsidR="00136876">
              <w:rPr>
                <w:noProof/>
                <w:webHidden/>
              </w:rPr>
              <w:instrText xml:space="preserve"> PAGEREF _Toc27745214 \h </w:instrText>
            </w:r>
            <w:r w:rsidR="00136876">
              <w:rPr>
                <w:noProof/>
                <w:webHidden/>
              </w:rPr>
            </w:r>
            <w:r w:rsidR="00136876">
              <w:rPr>
                <w:noProof/>
                <w:webHidden/>
              </w:rPr>
              <w:fldChar w:fldCharType="separate"/>
            </w:r>
            <w:r w:rsidR="00CB25F2">
              <w:rPr>
                <w:noProof/>
                <w:webHidden/>
              </w:rPr>
              <w:t>20</w:t>
            </w:r>
            <w:r w:rsidR="00136876">
              <w:rPr>
                <w:noProof/>
                <w:webHidden/>
              </w:rPr>
              <w:fldChar w:fldCharType="end"/>
            </w:r>
          </w:hyperlink>
        </w:p>
        <w:p w14:paraId="4E4F3DFC" w14:textId="7B452377" w:rsidR="00136876" w:rsidRDefault="0025596B">
          <w:pPr>
            <w:pStyle w:val="TOC3"/>
            <w:rPr>
              <w:rFonts w:asciiTheme="minorHAnsi" w:eastAsiaTheme="minorEastAsia" w:hAnsiTheme="minorHAnsi" w:cstheme="minorBidi"/>
              <w:noProof/>
              <w:lang w:eastAsia="en-AU"/>
            </w:rPr>
          </w:pPr>
          <w:hyperlink w:anchor="_Toc27745215" w:history="1">
            <w:r w:rsidR="00136876" w:rsidRPr="00891F48">
              <w:rPr>
                <w:rStyle w:val="Hyperlink"/>
                <w:noProof/>
                <w:lang w:eastAsia="en-AU"/>
              </w:rPr>
              <w:t>Risk management plan</w:t>
            </w:r>
            <w:r w:rsidR="00136876">
              <w:rPr>
                <w:noProof/>
                <w:webHidden/>
              </w:rPr>
              <w:tab/>
            </w:r>
            <w:r w:rsidR="00136876">
              <w:rPr>
                <w:noProof/>
                <w:webHidden/>
              </w:rPr>
              <w:fldChar w:fldCharType="begin"/>
            </w:r>
            <w:r w:rsidR="00136876">
              <w:rPr>
                <w:noProof/>
                <w:webHidden/>
              </w:rPr>
              <w:instrText xml:space="preserve"> PAGEREF _Toc27745215 \h </w:instrText>
            </w:r>
            <w:r w:rsidR="00136876">
              <w:rPr>
                <w:noProof/>
                <w:webHidden/>
              </w:rPr>
            </w:r>
            <w:r w:rsidR="00136876">
              <w:rPr>
                <w:noProof/>
                <w:webHidden/>
              </w:rPr>
              <w:fldChar w:fldCharType="separate"/>
            </w:r>
            <w:r w:rsidR="00CB25F2">
              <w:rPr>
                <w:noProof/>
                <w:webHidden/>
              </w:rPr>
              <w:t>22</w:t>
            </w:r>
            <w:r w:rsidR="00136876">
              <w:rPr>
                <w:noProof/>
                <w:webHidden/>
              </w:rPr>
              <w:fldChar w:fldCharType="end"/>
            </w:r>
          </w:hyperlink>
        </w:p>
        <w:p w14:paraId="5109C410" w14:textId="77AFCB48" w:rsidR="00136876" w:rsidRDefault="0025596B">
          <w:pPr>
            <w:pStyle w:val="TOC3"/>
            <w:rPr>
              <w:rFonts w:asciiTheme="minorHAnsi" w:eastAsiaTheme="minorEastAsia" w:hAnsiTheme="minorHAnsi" w:cstheme="minorBidi"/>
              <w:noProof/>
              <w:lang w:eastAsia="en-AU"/>
            </w:rPr>
          </w:pPr>
          <w:hyperlink w:anchor="_Toc27745216" w:history="1">
            <w:r w:rsidR="00136876" w:rsidRPr="00891F48">
              <w:rPr>
                <w:rStyle w:val="Hyperlink"/>
                <w:noProof/>
              </w:rPr>
              <w:t>Risk-benefit analysis</w:t>
            </w:r>
            <w:r w:rsidR="00136876">
              <w:rPr>
                <w:noProof/>
                <w:webHidden/>
              </w:rPr>
              <w:tab/>
            </w:r>
            <w:r w:rsidR="00136876">
              <w:rPr>
                <w:noProof/>
                <w:webHidden/>
              </w:rPr>
              <w:fldChar w:fldCharType="begin"/>
            </w:r>
            <w:r w:rsidR="00136876">
              <w:rPr>
                <w:noProof/>
                <w:webHidden/>
              </w:rPr>
              <w:instrText xml:space="preserve"> PAGEREF _Toc27745216 \h </w:instrText>
            </w:r>
            <w:r w:rsidR="00136876">
              <w:rPr>
                <w:noProof/>
                <w:webHidden/>
              </w:rPr>
            </w:r>
            <w:r w:rsidR="00136876">
              <w:rPr>
                <w:noProof/>
                <w:webHidden/>
              </w:rPr>
              <w:fldChar w:fldCharType="separate"/>
            </w:r>
            <w:r w:rsidR="00CB25F2">
              <w:rPr>
                <w:noProof/>
                <w:webHidden/>
              </w:rPr>
              <w:t>23</w:t>
            </w:r>
            <w:r w:rsidR="00136876">
              <w:rPr>
                <w:noProof/>
                <w:webHidden/>
              </w:rPr>
              <w:fldChar w:fldCharType="end"/>
            </w:r>
          </w:hyperlink>
        </w:p>
        <w:p w14:paraId="7EB379A4" w14:textId="2FA39723" w:rsidR="00136876" w:rsidRDefault="0025596B">
          <w:pPr>
            <w:pStyle w:val="TOC3"/>
            <w:rPr>
              <w:rFonts w:asciiTheme="minorHAnsi" w:eastAsiaTheme="minorEastAsia" w:hAnsiTheme="minorHAnsi" w:cstheme="minorBidi"/>
              <w:noProof/>
              <w:lang w:eastAsia="en-AU"/>
            </w:rPr>
          </w:pPr>
          <w:hyperlink w:anchor="_Toc27745217" w:history="1">
            <w:r w:rsidR="00136876" w:rsidRPr="00891F48">
              <w:rPr>
                <w:rStyle w:val="Hyperlink"/>
                <w:noProof/>
              </w:rPr>
              <w:t>Outcome</w:t>
            </w:r>
            <w:r w:rsidR="00136876">
              <w:rPr>
                <w:noProof/>
                <w:webHidden/>
              </w:rPr>
              <w:tab/>
            </w:r>
            <w:r w:rsidR="00136876">
              <w:rPr>
                <w:noProof/>
                <w:webHidden/>
              </w:rPr>
              <w:fldChar w:fldCharType="begin"/>
            </w:r>
            <w:r w:rsidR="00136876">
              <w:rPr>
                <w:noProof/>
                <w:webHidden/>
              </w:rPr>
              <w:instrText xml:space="preserve"> PAGEREF _Toc27745217 \h </w:instrText>
            </w:r>
            <w:r w:rsidR="00136876">
              <w:rPr>
                <w:noProof/>
                <w:webHidden/>
              </w:rPr>
            </w:r>
            <w:r w:rsidR="00136876">
              <w:rPr>
                <w:noProof/>
                <w:webHidden/>
              </w:rPr>
              <w:fldChar w:fldCharType="separate"/>
            </w:r>
            <w:r w:rsidR="00CB25F2">
              <w:rPr>
                <w:noProof/>
                <w:webHidden/>
              </w:rPr>
              <w:t>27</w:t>
            </w:r>
            <w:r w:rsidR="00136876">
              <w:rPr>
                <w:noProof/>
                <w:webHidden/>
              </w:rPr>
              <w:fldChar w:fldCharType="end"/>
            </w:r>
          </w:hyperlink>
        </w:p>
        <w:p w14:paraId="464E94FE" w14:textId="738B2A49" w:rsidR="00136876" w:rsidRDefault="0025596B">
          <w:pPr>
            <w:pStyle w:val="TOC2"/>
            <w:rPr>
              <w:rFonts w:asciiTheme="minorHAnsi" w:eastAsiaTheme="minorEastAsia" w:hAnsiTheme="minorHAnsi" w:cstheme="minorBidi"/>
              <w:b w:val="0"/>
              <w:noProof/>
              <w:sz w:val="22"/>
              <w:lang w:eastAsia="en-AU"/>
            </w:rPr>
          </w:pPr>
          <w:hyperlink w:anchor="_Toc27745218" w:history="1">
            <w:r w:rsidR="00136876" w:rsidRPr="00891F48">
              <w:rPr>
                <w:rStyle w:val="Hyperlink"/>
                <w:noProof/>
              </w:rPr>
              <w:t>Attachment 1. Product Information</w:t>
            </w:r>
            <w:r w:rsidR="00136876">
              <w:rPr>
                <w:noProof/>
                <w:webHidden/>
              </w:rPr>
              <w:tab/>
            </w:r>
            <w:r w:rsidR="00136876">
              <w:rPr>
                <w:noProof/>
                <w:webHidden/>
              </w:rPr>
              <w:fldChar w:fldCharType="begin"/>
            </w:r>
            <w:r w:rsidR="00136876">
              <w:rPr>
                <w:noProof/>
                <w:webHidden/>
              </w:rPr>
              <w:instrText xml:space="preserve"> PAGEREF _Toc27745218 \h </w:instrText>
            </w:r>
            <w:r w:rsidR="00136876">
              <w:rPr>
                <w:noProof/>
                <w:webHidden/>
              </w:rPr>
            </w:r>
            <w:r w:rsidR="00136876">
              <w:rPr>
                <w:noProof/>
                <w:webHidden/>
              </w:rPr>
              <w:fldChar w:fldCharType="separate"/>
            </w:r>
            <w:r w:rsidR="00CB25F2">
              <w:rPr>
                <w:noProof/>
                <w:webHidden/>
              </w:rPr>
              <w:t>28</w:t>
            </w:r>
            <w:r w:rsidR="00136876">
              <w:rPr>
                <w:noProof/>
                <w:webHidden/>
              </w:rPr>
              <w:fldChar w:fldCharType="end"/>
            </w:r>
          </w:hyperlink>
        </w:p>
        <w:p w14:paraId="60637783" w14:textId="39B0EFFF" w:rsidR="003A7F6C" w:rsidRPr="00B811C6" w:rsidRDefault="00DB6124" w:rsidP="00B811C6">
          <w:pPr>
            <w:pStyle w:val="TOC2"/>
          </w:pPr>
          <w:r>
            <w:fldChar w:fldCharType="end"/>
          </w:r>
        </w:p>
      </w:sdtContent>
    </w:sdt>
    <w:bookmarkStart w:id="1" w:name="_Toc314842482" w:displacedByCustomXml="prev"/>
    <w:p w14:paraId="2E6FE803" w14:textId="77777777" w:rsidR="00E9581B" w:rsidRDefault="00E9581B" w:rsidP="00150E11">
      <w:pPr>
        <w:pStyle w:val="Heading2"/>
        <w:pageBreakBefore/>
      </w:pPr>
      <w:bookmarkStart w:id="2" w:name="_Toc351716269"/>
      <w:bookmarkStart w:id="3" w:name="_Toc351718881"/>
      <w:bookmarkStart w:id="4" w:name="_Toc355338616"/>
      <w:bookmarkStart w:id="5" w:name="_Toc356306144"/>
      <w:bookmarkStart w:id="6" w:name="_Toc22051374"/>
      <w:bookmarkStart w:id="7" w:name="_Toc27745202"/>
      <w:bookmarkEnd w:id="1"/>
      <w:r>
        <w:lastRenderedPageBreak/>
        <w:t>Common</w:t>
      </w:r>
      <w:r w:rsidRPr="00FD119B">
        <w:t xml:space="preserve"> abbreviations</w:t>
      </w:r>
      <w:bookmarkEnd w:id="2"/>
      <w:bookmarkEnd w:id="3"/>
      <w:bookmarkEnd w:id="4"/>
      <w:bookmarkEnd w:id="5"/>
      <w:bookmarkEnd w:id="6"/>
      <w:bookmarkEnd w:id="7"/>
    </w:p>
    <w:tbl>
      <w:tblPr>
        <w:tblStyle w:val="TableTGAblue"/>
        <w:tblW w:w="5000" w:type="pct"/>
        <w:tblLook w:val="00A0" w:firstRow="1" w:lastRow="0" w:firstColumn="1" w:lastColumn="0" w:noHBand="0" w:noVBand="0"/>
      </w:tblPr>
      <w:tblGrid>
        <w:gridCol w:w="2114"/>
        <w:gridCol w:w="6370"/>
      </w:tblGrid>
      <w:tr w:rsidR="00E9581B" w14:paraId="2F530ED6" w14:textId="77777777" w:rsidTr="001B7ED1">
        <w:trPr>
          <w:cnfStyle w:val="100000000000" w:firstRow="1" w:lastRow="0" w:firstColumn="0" w:lastColumn="0" w:oddVBand="0" w:evenVBand="0" w:oddHBand="0" w:evenHBand="0" w:firstRowFirstColumn="0" w:firstRowLastColumn="0" w:lastRowFirstColumn="0" w:lastRowLastColumn="0"/>
        </w:trPr>
        <w:tc>
          <w:tcPr>
            <w:tcW w:w="1246" w:type="pct"/>
          </w:tcPr>
          <w:p w14:paraId="1624942F" w14:textId="77777777" w:rsidR="00E9581B" w:rsidRPr="005968B8" w:rsidRDefault="00E9581B" w:rsidP="00123D86">
            <w:pPr>
              <w:rPr>
                <w:b w:val="0"/>
                <w:color w:val="FFFFFF"/>
              </w:rPr>
            </w:pPr>
            <w:r w:rsidRPr="005968B8">
              <w:rPr>
                <w:color w:val="FFFFFF"/>
              </w:rPr>
              <w:t>Abbreviation</w:t>
            </w:r>
          </w:p>
        </w:tc>
        <w:tc>
          <w:tcPr>
            <w:tcW w:w="3754" w:type="pct"/>
          </w:tcPr>
          <w:p w14:paraId="1455816E" w14:textId="77777777" w:rsidR="00E9581B" w:rsidRPr="005968B8" w:rsidRDefault="00E9581B" w:rsidP="00123D86">
            <w:pPr>
              <w:rPr>
                <w:b w:val="0"/>
                <w:color w:val="FFFFFF"/>
              </w:rPr>
            </w:pPr>
            <w:r w:rsidRPr="005968B8">
              <w:rPr>
                <w:color w:val="FFFFFF"/>
              </w:rPr>
              <w:t>Meaning</w:t>
            </w:r>
          </w:p>
        </w:tc>
      </w:tr>
      <w:tr w:rsidR="00663520" w:rsidRPr="000B0EF6" w14:paraId="2132C6E1" w14:textId="77777777" w:rsidTr="001B7ED1">
        <w:tc>
          <w:tcPr>
            <w:tcW w:w="1246" w:type="pct"/>
          </w:tcPr>
          <w:p w14:paraId="13F26004" w14:textId="34046235" w:rsidR="00663520" w:rsidRPr="006024BF" w:rsidRDefault="00663520" w:rsidP="006024BF">
            <w:r>
              <w:t>ACM</w:t>
            </w:r>
          </w:p>
        </w:tc>
        <w:tc>
          <w:tcPr>
            <w:tcW w:w="3754" w:type="pct"/>
          </w:tcPr>
          <w:p w14:paraId="545A2463" w14:textId="3726D6F0" w:rsidR="00663520" w:rsidRDefault="00663520" w:rsidP="00123D86">
            <w:pPr>
              <w:rPr>
                <w:rFonts w:eastAsia="TimesNewRoman"/>
              </w:rPr>
            </w:pPr>
            <w:r>
              <w:rPr>
                <w:rFonts w:eastAsia="TimesNewRoman"/>
              </w:rPr>
              <w:t>Advisory Committee on Medicines</w:t>
            </w:r>
          </w:p>
        </w:tc>
      </w:tr>
      <w:tr w:rsidR="00E9581B" w:rsidRPr="000B0EF6" w14:paraId="0E5E0048" w14:textId="77777777" w:rsidTr="001B7ED1">
        <w:tc>
          <w:tcPr>
            <w:tcW w:w="1246" w:type="pct"/>
          </w:tcPr>
          <w:p w14:paraId="206CF239" w14:textId="77777777" w:rsidR="00E9581B" w:rsidRPr="006024BF" w:rsidRDefault="00E9581B" w:rsidP="006024BF">
            <w:r w:rsidRPr="006024BF">
              <w:t>ADA</w:t>
            </w:r>
          </w:p>
        </w:tc>
        <w:tc>
          <w:tcPr>
            <w:tcW w:w="3754" w:type="pct"/>
          </w:tcPr>
          <w:p w14:paraId="0E953D51" w14:textId="77777777" w:rsidR="00E9581B" w:rsidRPr="00EB7E59" w:rsidRDefault="00E9581B" w:rsidP="00123D86">
            <w:pPr>
              <w:rPr>
                <w:rFonts w:eastAsia="TimesNewRoman"/>
              </w:rPr>
            </w:pPr>
            <w:r>
              <w:rPr>
                <w:rFonts w:eastAsia="TimesNewRoman"/>
              </w:rPr>
              <w:t>Anti-drug a</w:t>
            </w:r>
            <w:r w:rsidRPr="00EB7E59">
              <w:rPr>
                <w:rFonts w:eastAsia="TimesNewRoman"/>
              </w:rPr>
              <w:t>ntibodies</w:t>
            </w:r>
          </w:p>
        </w:tc>
      </w:tr>
      <w:tr w:rsidR="00E9581B" w14:paraId="5DD24420" w14:textId="77777777" w:rsidTr="001B7ED1">
        <w:tc>
          <w:tcPr>
            <w:tcW w:w="1246" w:type="pct"/>
          </w:tcPr>
          <w:p w14:paraId="473D71F1" w14:textId="77777777" w:rsidR="00E9581B" w:rsidRPr="006024BF" w:rsidRDefault="00E9581B" w:rsidP="006024BF">
            <w:r w:rsidRPr="006024BF">
              <w:t>ADR</w:t>
            </w:r>
          </w:p>
        </w:tc>
        <w:tc>
          <w:tcPr>
            <w:tcW w:w="3754" w:type="pct"/>
          </w:tcPr>
          <w:p w14:paraId="1B4915B3" w14:textId="77777777" w:rsidR="00E9581B" w:rsidRPr="00EB7E59" w:rsidRDefault="00E9581B" w:rsidP="00123D86">
            <w:pPr>
              <w:rPr>
                <w:rFonts w:eastAsia="TimesNewRoman"/>
              </w:rPr>
            </w:pPr>
            <w:r>
              <w:rPr>
                <w:rFonts w:eastAsia="TimesNewRoman"/>
              </w:rPr>
              <w:t>A</w:t>
            </w:r>
            <w:r w:rsidRPr="00EB7E59">
              <w:rPr>
                <w:rFonts w:eastAsia="TimesNewRoman"/>
              </w:rPr>
              <w:t>dverse drug reaction</w:t>
            </w:r>
          </w:p>
        </w:tc>
      </w:tr>
      <w:tr w:rsidR="00E9581B" w14:paraId="61577693" w14:textId="77777777" w:rsidTr="001B7ED1">
        <w:tc>
          <w:tcPr>
            <w:tcW w:w="1246" w:type="pct"/>
          </w:tcPr>
          <w:p w14:paraId="668C6021" w14:textId="77777777" w:rsidR="00E9581B" w:rsidRPr="006024BF" w:rsidRDefault="00E9581B" w:rsidP="006024BF">
            <w:r w:rsidRPr="006024BF">
              <w:t>AE</w:t>
            </w:r>
          </w:p>
        </w:tc>
        <w:tc>
          <w:tcPr>
            <w:tcW w:w="3754" w:type="pct"/>
          </w:tcPr>
          <w:p w14:paraId="3250D065" w14:textId="77777777" w:rsidR="00E9581B" w:rsidRPr="00EB7E59" w:rsidRDefault="00E9581B" w:rsidP="00123D86">
            <w:pPr>
              <w:rPr>
                <w:rFonts w:eastAsia="TimesNewRoman"/>
              </w:rPr>
            </w:pPr>
            <w:r>
              <w:rPr>
                <w:rFonts w:eastAsia="TimesNewRoman"/>
              </w:rPr>
              <w:t>Adverse event</w:t>
            </w:r>
          </w:p>
        </w:tc>
      </w:tr>
      <w:tr w:rsidR="001A39CA" w14:paraId="4D7E6686" w14:textId="77777777" w:rsidTr="001B7ED1">
        <w:tc>
          <w:tcPr>
            <w:tcW w:w="1246" w:type="pct"/>
          </w:tcPr>
          <w:p w14:paraId="1801CC8A" w14:textId="052FF0C2" w:rsidR="001A39CA" w:rsidRPr="006024BF" w:rsidRDefault="001A39CA" w:rsidP="006024BF">
            <w:r>
              <w:t>AESI</w:t>
            </w:r>
          </w:p>
        </w:tc>
        <w:tc>
          <w:tcPr>
            <w:tcW w:w="3754" w:type="pct"/>
          </w:tcPr>
          <w:p w14:paraId="181089AD" w14:textId="6596E558" w:rsidR="001A39CA" w:rsidRDefault="001A39CA" w:rsidP="00123D86">
            <w:pPr>
              <w:rPr>
                <w:rFonts w:eastAsia="TimesNewRoman"/>
              </w:rPr>
            </w:pPr>
            <w:r>
              <w:rPr>
                <w:rFonts w:eastAsia="TimesNewRoman"/>
              </w:rPr>
              <w:t>Adverse event of special interest</w:t>
            </w:r>
          </w:p>
        </w:tc>
      </w:tr>
      <w:tr w:rsidR="00E9581B" w14:paraId="106D6ED9" w14:textId="77777777" w:rsidTr="001B7ED1">
        <w:tc>
          <w:tcPr>
            <w:tcW w:w="1246" w:type="pct"/>
          </w:tcPr>
          <w:p w14:paraId="736CD4F8" w14:textId="77777777" w:rsidR="00E9581B" w:rsidRPr="006024BF" w:rsidRDefault="00E9581B" w:rsidP="006024BF">
            <w:r w:rsidRPr="006024BF">
              <w:t>AMPP</w:t>
            </w:r>
          </w:p>
        </w:tc>
        <w:tc>
          <w:tcPr>
            <w:tcW w:w="3754" w:type="pct"/>
          </w:tcPr>
          <w:p w14:paraId="313319B1" w14:textId="77777777" w:rsidR="00E9581B" w:rsidRPr="00EB7E59" w:rsidRDefault="00E9581B" w:rsidP="00123D86">
            <w:pPr>
              <w:rPr>
                <w:rFonts w:eastAsia="TimesNewRoman"/>
              </w:rPr>
            </w:pPr>
            <w:r w:rsidRPr="00EB7E59">
              <w:rPr>
                <w:rFonts w:eastAsia="TimesNewRoman"/>
              </w:rPr>
              <w:t>American Migraine Prevalence and Prevention</w:t>
            </w:r>
          </w:p>
        </w:tc>
      </w:tr>
      <w:tr w:rsidR="00E9581B" w14:paraId="53765445" w14:textId="77777777" w:rsidTr="001B7ED1">
        <w:tc>
          <w:tcPr>
            <w:tcW w:w="1246" w:type="pct"/>
          </w:tcPr>
          <w:p w14:paraId="5142429D" w14:textId="77777777" w:rsidR="00E9581B" w:rsidRPr="006024BF" w:rsidRDefault="00E9581B" w:rsidP="006024BF">
            <w:r w:rsidRPr="006024BF">
              <w:t>ANCOVA</w:t>
            </w:r>
          </w:p>
        </w:tc>
        <w:tc>
          <w:tcPr>
            <w:tcW w:w="3754" w:type="pct"/>
          </w:tcPr>
          <w:p w14:paraId="76025B52" w14:textId="77777777" w:rsidR="00E9581B" w:rsidRPr="00EB7E59" w:rsidRDefault="00E9581B" w:rsidP="00123D86">
            <w:pPr>
              <w:rPr>
                <w:rFonts w:eastAsia="TimesNewRoman"/>
              </w:rPr>
            </w:pPr>
            <w:r>
              <w:rPr>
                <w:rFonts w:eastAsia="TimesNewRoman"/>
              </w:rPr>
              <w:t>A</w:t>
            </w:r>
            <w:r w:rsidRPr="00EB7E59">
              <w:rPr>
                <w:rFonts w:eastAsia="TimesNewRoman"/>
              </w:rPr>
              <w:t>nalysis of covariance</w:t>
            </w:r>
          </w:p>
        </w:tc>
      </w:tr>
      <w:tr w:rsidR="00E9581B" w14:paraId="5E95ABEF" w14:textId="77777777" w:rsidTr="001B7ED1">
        <w:tc>
          <w:tcPr>
            <w:tcW w:w="1246" w:type="pct"/>
          </w:tcPr>
          <w:p w14:paraId="7D8BC217" w14:textId="77777777" w:rsidR="00E9581B" w:rsidRPr="006024BF" w:rsidRDefault="00E9581B" w:rsidP="006024BF">
            <w:r w:rsidRPr="006024BF">
              <w:t>ANOVA</w:t>
            </w:r>
          </w:p>
        </w:tc>
        <w:tc>
          <w:tcPr>
            <w:tcW w:w="3754" w:type="pct"/>
          </w:tcPr>
          <w:p w14:paraId="75A1E330" w14:textId="77777777" w:rsidR="00E9581B" w:rsidRPr="00EB7E59" w:rsidRDefault="00E9581B" w:rsidP="00123D86">
            <w:pPr>
              <w:rPr>
                <w:rFonts w:eastAsia="TimesNewRoman"/>
              </w:rPr>
            </w:pPr>
            <w:r>
              <w:rPr>
                <w:rFonts w:eastAsia="TimesNewRoman"/>
              </w:rPr>
              <w:t>A</w:t>
            </w:r>
            <w:r w:rsidRPr="00EB7E59">
              <w:rPr>
                <w:rFonts w:eastAsia="TimesNewRoman"/>
              </w:rPr>
              <w:t>nalysis of variance</w:t>
            </w:r>
          </w:p>
        </w:tc>
      </w:tr>
      <w:tr w:rsidR="00E9581B" w14:paraId="4969D99E" w14:textId="77777777" w:rsidTr="001B7ED1">
        <w:tc>
          <w:tcPr>
            <w:tcW w:w="1246" w:type="pct"/>
          </w:tcPr>
          <w:p w14:paraId="2EF1E7A3" w14:textId="77777777" w:rsidR="00E9581B" w:rsidRPr="006024BF" w:rsidRDefault="00E9581B" w:rsidP="006024BF">
            <w:r w:rsidRPr="006024BF">
              <w:t>ASA</w:t>
            </w:r>
          </w:p>
        </w:tc>
        <w:tc>
          <w:tcPr>
            <w:tcW w:w="3754" w:type="pct"/>
          </w:tcPr>
          <w:p w14:paraId="11501CB4" w14:textId="30F2F08F" w:rsidR="00E9581B" w:rsidRPr="00EB7E59" w:rsidRDefault="00E9581B" w:rsidP="00123D86">
            <w:pPr>
              <w:rPr>
                <w:rFonts w:eastAsia="TimesNewRoman"/>
              </w:rPr>
            </w:pPr>
            <w:r w:rsidRPr="00EB7E59">
              <w:rPr>
                <w:rFonts w:eastAsia="TimesNewRoman"/>
              </w:rPr>
              <w:t xml:space="preserve">Australian </w:t>
            </w:r>
            <w:r w:rsidR="006024BF">
              <w:rPr>
                <w:rFonts w:eastAsia="TimesNewRoman"/>
              </w:rPr>
              <w:t>s</w:t>
            </w:r>
            <w:r w:rsidRPr="00EB7E59">
              <w:rPr>
                <w:rFonts w:eastAsia="TimesNewRoman"/>
              </w:rPr>
              <w:t xml:space="preserve">pecific </w:t>
            </w:r>
            <w:r w:rsidR="006024BF">
              <w:rPr>
                <w:rFonts w:eastAsia="TimesNewRoman"/>
              </w:rPr>
              <w:t>a</w:t>
            </w:r>
            <w:r w:rsidRPr="00EB7E59">
              <w:rPr>
                <w:rFonts w:eastAsia="TimesNewRoman"/>
              </w:rPr>
              <w:t>nne</w:t>
            </w:r>
            <w:r w:rsidR="006024BF">
              <w:rPr>
                <w:rFonts w:eastAsia="TimesNewRoman"/>
              </w:rPr>
              <w:t>x</w:t>
            </w:r>
          </w:p>
        </w:tc>
      </w:tr>
      <w:tr w:rsidR="00E9581B" w14:paraId="3EA10A0A" w14:textId="77777777" w:rsidTr="001B7ED1">
        <w:tc>
          <w:tcPr>
            <w:tcW w:w="1246" w:type="pct"/>
          </w:tcPr>
          <w:p w14:paraId="7CCE4D06" w14:textId="77777777" w:rsidR="00E9581B" w:rsidRPr="006024BF" w:rsidRDefault="00E9581B" w:rsidP="006024BF">
            <w:r w:rsidRPr="006024BF">
              <w:t>AUC</w:t>
            </w:r>
            <w:r w:rsidRPr="001B7ED1">
              <w:rPr>
                <w:vertAlign w:val="subscript"/>
              </w:rPr>
              <w:t>inf</w:t>
            </w:r>
          </w:p>
        </w:tc>
        <w:tc>
          <w:tcPr>
            <w:tcW w:w="3754" w:type="pct"/>
          </w:tcPr>
          <w:p w14:paraId="116DDC17" w14:textId="77777777" w:rsidR="00E9581B" w:rsidRPr="00EB7E59" w:rsidRDefault="00E9581B" w:rsidP="00123D86">
            <w:pPr>
              <w:rPr>
                <w:rFonts w:eastAsia="TimesNewRoman"/>
              </w:rPr>
            </w:pPr>
            <w:r>
              <w:rPr>
                <w:rFonts w:eastAsia="TimesNewRoman"/>
              </w:rPr>
              <w:t>A</w:t>
            </w:r>
            <w:r w:rsidRPr="00EB7E59">
              <w:rPr>
                <w:rFonts w:eastAsia="TimesNewRoman"/>
              </w:rPr>
              <w:t>rea under the curve</w:t>
            </w:r>
            <w:r>
              <w:rPr>
                <w:rFonts w:eastAsia="TimesNewRoman"/>
              </w:rPr>
              <w:t xml:space="preserve"> (to infinity)</w:t>
            </w:r>
          </w:p>
        </w:tc>
      </w:tr>
      <w:tr w:rsidR="00E9581B" w14:paraId="3CCF67AC" w14:textId="77777777" w:rsidTr="001B7ED1">
        <w:tc>
          <w:tcPr>
            <w:tcW w:w="1246" w:type="pct"/>
          </w:tcPr>
          <w:p w14:paraId="430AF780" w14:textId="77777777" w:rsidR="00E9581B" w:rsidRPr="006024BF" w:rsidRDefault="00E9581B" w:rsidP="006024BF">
            <w:r w:rsidRPr="006024BF">
              <w:t>BMI</w:t>
            </w:r>
          </w:p>
        </w:tc>
        <w:tc>
          <w:tcPr>
            <w:tcW w:w="3754" w:type="pct"/>
          </w:tcPr>
          <w:p w14:paraId="16C5C97C" w14:textId="664E1B1B" w:rsidR="00E9581B" w:rsidRPr="00EB7E59" w:rsidRDefault="00E9581B" w:rsidP="006024BF">
            <w:pPr>
              <w:rPr>
                <w:rFonts w:eastAsia="TimesNewRoman"/>
              </w:rPr>
            </w:pPr>
            <w:r w:rsidRPr="00EB7E59">
              <w:rPr>
                <w:rFonts w:eastAsia="TimesNewRoman"/>
              </w:rPr>
              <w:t xml:space="preserve">Body </w:t>
            </w:r>
            <w:r w:rsidR="006024BF">
              <w:rPr>
                <w:rFonts w:eastAsia="TimesNewRoman"/>
              </w:rPr>
              <w:t>m</w:t>
            </w:r>
            <w:r w:rsidR="006024BF" w:rsidRPr="00EB7E59">
              <w:rPr>
                <w:rFonts w:eastAsia="TimesNewRoman"/>
              </w:rPr>
              <w:t xml:space="preserve">ass </w:t>
            </w:r>
            <w:r w:rsidR="006024BF">
              <w:rPr>
                <w:rFonts w:eastAsia="TimesNewRoman"/>
              </w:rPr>
              <w:t>i</w:t>
            </w:r>
            <w:r w:rsidRPr="00EB7E59">
              <w:rPr>
                <w:rFonts w:eastAsia="TimesNewRoman"/>
              </w:rPr>
              <w:t>ndex</w:t>
            </w:r>
          </w:p>
        </w:tc>
      </w:tr>
      <w:tr w:rsidR="00E9581B" w:rsidRPr="00B31E14" w14:paraId="2745C622" w14:textId="77777777" w:rsidTr="001B7ED1">
        <w:tc>
          <w:tcPr>
            <w:tcW w:w="1246" w:type="pct"/>
          </w:tcPr>
          <w:p w14:paraId="7BC91237" w14:textId="77777777" w:rsidR="00E9581B" w:rsidRPr="006024BF" w:rsidRDefault="00E9581B" w:rsidP="006024BF">
            <w:r w:rsidRPr="006024BF">
              <w:t>C-SSRS</w:t>
            </w:r>
          </w:p>
        </w:tc>
        <w:tc>
          <w:tcPr>
            <w:tcW w:w="3754" w:type="pct"/>
          </w:tcPr>
          <w:p w14:paraId="6BCCB4ED" w14:textId="77777777" w:rsidR="00E9581B" w:rsidRPr="00EB7E59" w:rsidRDefault="00E9581B" w:rsidP="00123D86">
            <w:pPr>
              <w:rPr>
                <w:rFonts w:eastAsia="TimesNewRoman"/>
              </w:rPr>
            </w:pPr>
            <w:r w:rsidRPr="00EB7E59">
              <w:rPr>
                <w:rFonts w:eastAsia="TimesNewRoman"/>
              </w:rPr>
              <w:t>Columbia-Suicide Severity Rating Scale</w:t>
            </w:r>
          </w:p>
        </w:tc>
      </w:tr>
      <w:tr w:rsidR="00E9581B" w:rsidRPr="00B31E14" w14:paraId="59D57A88" w14:textId="77777777" w:rsidTr="001B7ED1">
        <w:tc>
          <w:tcPr>
            <w:tcW w:w="1246" w:type="pct"/>
          </w:tcPr>
          <w:p w14:paraId="3ACEDEB1" w14:textId="77777777" w:rsidR="00E9581B" w:rsidRPr="006024BF" w:rsidRDefault="00E9581B" w:rsidP="006024BF">
            <w:r w:rsidRPr="006024BF">
              <w:t>CaMEO</w:t>
            </w:r>
          </w:p>
        </w:tc>
        <w:tc>
          <w:tcPr>
            <w:tcW w:w="3754" w:type="pct"/>
          </w:tcPr>
          <w:p w14:paraId="2D420C10" w14:textId="77777777" w:rsidR="00E9581B" w:rsidRPr="00EB7E59" w:rsidRDefault="00E9581B" w:rsidP="00123D86">
            <w:pPr>
              <w:rPr>
                <w:rFonts w:eastAsia="TimesNewRoman"/>
              </w:rPr>
            </w:pPr>
            <w:r w:rsidRPr="00EB7E59">
              <w:rPr>
                <w:rFonts w:eastAsia="TimesNewRoman"/>
              </w:rPr>
              <w:t>Chronic Migraine Epidemiology and Outcomes</w:t>
            </w:r>
          </w:p>
        </w:tc>
      </w:tr>
      <w:tr w:rsidR="00E9581B" w:rsidRPr="00B31E14" w14:paraId="65D64450" w14:textId="77777777" w:rsidTr="001B7ED1">
        <w:tc>
          <w:tcPr>
            <w:tcW w:w="1246" w:type="pct"/>
          </w:tcPr>
          <w:p w14:paraId="6DCAA080" w14:textId="77777777" w:rsidR="00E9581B" w:rsidRPr="006024BF" w:rsidRDefault="00E9581B" w:rsidP="006024BF">
            <w:r w:rsidRPr="006024BF">
              <w:t>CBER</w:t>
            </w:r>
          </w:p>
        </w:tc>
        <w:tc>
          <w:tcPr>
            <w:tcW w:w="3754" w:type="pct"/>
          </w:tcPr>
          <w:p w14:paraId="117C3A53" w14:textId="58775DF1" w:rsidR="00E9581B" w:rsidRPr="00EB7E59" w:rsidRDefault="00E9581B" w:rsidP="00123D86">
            <w:pPr>
              <w:rPr>
                <w:rFonts w:eastAsia="TimesNewRoman"/>
              </w:rPr>
            </w:pPr>
            <w:r w:rsidRPr="00EB7E59">
              <w:rPr>
                <w:rFonts w:eastAsia="TimesNewRoman"/>
              </w:rPr>
              <w:t>Center</w:t>
            </w:r>
            <w:r w:rsidR="006024BF">
              <w:rPr>
                <w:rFonts w:eastAsia="TimesNewRoman"/>
              </w:rPr>
              <w:t>s</w:t>
            </w:r>
            <w:r w:rsidRPr="00EB7E59">
              <w:rPr>
                <w:rFonts w:eastAsia="TimesNewRoman"/>
              </w:rPr>
              <w:t xml:space="preserve"> for Biologics Evaluation and Research</w:t>
            </w:r>
            <w:r w:rsidR="006024BF">
              <w:rPr>
                <w:rFonts w:eastAsia="TimesNewRoman"/>
              </w:rPr>
              <w:t xml:space="preserve"> (USA)</w:t>
            </w:r>
          </w:p>
        </w:tc>
      </w:tr>
      <w:tr w:rsidR="00E9581B" w:rsidRPr="00B31E14" w14:paraId="7362777C" w14:textId="77777777" w:rsidTr="001B7ED1">
        <w:tc>
          <w:tcPr>
            <w:tcW w:w="1246" w:type="pct"/>
          </w:tcPr>
          <w:p w14:paraId="680799CF" w14:textId="77777777" w:rsidR="00E9581B" w:rsidRPr="006024BF" w:rsidRDefault="00E9581B" w:rsidP="006024BF">
            <w:r w:rsidRPr="006024BF">
              <w:t>CDRH</w:t>
            </w:r>
          </w:p>
        </w:tc>
        <w:tc>
          <w:tcPr>
            <w:tcW w:w="3754" w:type="pct"/>
          </w:tcPr>
          <w:p w14:paraId="06A497DC" w14:textId="2C7882FB" w:rsidR="00E9581B" w:rsidRPr="00EB7E59" w:rsidRDefault="00E9581B" w:rsidP="00123D86">
            <w:pPr>
              <w:rPr>
                <w:rFonts w:eastAsia="TimesNewRoman"/>
              </w:rPr>
            </w:pPr>
            <w:r w:rsidRPr="00EB7E59">
              <w:rPr>
                <w:rFonts w:eastAsia="TimesNewRoman"/>
              </w:rPr>
              <w:t>Center for Devices and Radiological Health</w:t>
            </w:r>
            <w:r w:rsidR="006024BF">
              <w:rPr>
                <w:rFonts w:eastAsia="TimesNewRoman"/>
              </w:rPr>
              <w:t xml:space="preserve"> (USA)</w:t>
            </w:r>
          </w:p>
        </w:tc>
      </w:tr>
      <w:tr w:rsidR="00E9581B" w:rsidRPr="00B31E14" w14:paraId="0DDC131E" w14:textId="77777777" w:rsidTr="001B7ED1">
        <w:tc>
          <w:tcPr>
            <w:tcW w:w="1246" w:type="pct"/>
          </w:tcPr>
          <w:p w14:paraId="238EC277" w14:textId="77777777" w:rsidR="00E9581B" w:rsidRPr="006024BF" w:rsidRDefault="00E9581B" w:rsidP="006024BF">
            <w:r w:rsidRPr="006024BF">
              <w:t>CER</w:t>
            </w:r>
          </w:p>
        </w:tc>
        <w:tc>
          <w:tcPr>
            <w:tcW w:w="3754" w:type="pct"/>
          </w:tcPr>
          <w:p w14:paraId="36C710CB" w14:textId="1774745B" w:rsidR="00E9581B" w:rsidRPr="00EB7E59" w:rsidRDefault="00E9581B" w:rsidP="00123D86">
            <w:pPr>
              <w:rPr>
                <w:rFonts w:eastAsia="TimesNewRoman"/>
              </w:rPr>
            </w:pPr>
            <w:r w:rsidRPr="00EB7E59">
              <w:rPr>
                <w:rFonts w:eastAsia="TimesNewRoman"/>
              </w:rPr>
              <w:t xml:space="preserve">Clinical </w:t>
            </w:r>
            <w:r w:rsidR="006024BF">
              <w:rPr>
                <w:rFonts w:eastAsia="TimesNewRoman"/>
              </w:rPr>
              <w:t>e</w:t>
            </w:r>
            <w:r w:rsidRPr="00EB7E59">
              <w:rPr>
                <w:rFonts w:eastAsia="TimesNewRoman"/>
              </w:rPr>
              <w:t xml:space="preserve">valuation </w:t>
            </w:r>
            <w:r w:rsidR="006024BF">
              <w:rPr>
                <w:rFonts w:eastAsia="TimesNewRoman"/>
              </w:rPr>
              <w:t>r</w:t>
            </w:r>
            <w:r w:rsidRPr="00EB7E59">
              <w:rPr>
                <w:rFonts w:eastAsia="TimesNewRoman"/>
              </w:rPr>
              <w:t>eport</w:t>
            </w:r>
          </w:p>
        </w:tc>
      </w:tr>
      <w:tr w:rsidR="00E9581B" w:rsidRPr="00B31E14" w14:paraId="722280D6" w14:textId="77777777" w:rsidTr="001B7ED1">
        <w:tc>
          <w:tcPr>
            <w:tcW w:w="1246" w:type="pct"/>
          </w:tcPr>
          <w:p w14:paraId="4ED6116E" w14:textId="77777777" w:rsidR="00E9581B" w:rsidRPr="006024BF" w:rsidRDefault="00E9581B" w:rsidP="006024BF">
            <w:r w:rsidRPr="006024BF">
              <w:t>CGA…</w:t>
            </w:r>
          </w:p>
        </w:tc>
        <w:tc>
          <w:tcPr>
            <w:tcW w:w="3754" w:type="pct"/>
          </w:tcPr>
          <w:p w14:paraId="05679742" w14:textId="77777777" w:rsidR="00E9581B" w:rsidRPr="00EB7E59" w:rsidRDefault="00E9581B" w:rsidP="00123D86">
            <w:pPr>
              <w:rPr>
                <w:rFonts w:eastAsia="TimesNewRoman"/>
              </w:rPr>
            </w:pPr>
            <w:r>
              <w:rPr>
                <w:rFonts w:eastAsia="TimesNewRoman"/>
              </w:rPr>
              <w:t>Study identifier</w:t>
            </w:r>
          </w:p>
        </w:tc>
      </w:tr>
      <w:tr w:rsidR="00E9581B" w:rsidRPr="00B31E14" w14:paraId="3921FE8A" w14:textId="77777777" w:rsidTr="001B7ED1">
        <w:tc>
          <w:tcPr>
            <w:tcW w:w="1246" w:type="pct"/>
          </w:tcPr>
          <w:p w14:paraId="30B584FC" w14:textId="77777777" w:rsidR="00E9581B" w:rsidRPr="006024BF" w:rsidRDefault="00E9581B" w:rsidP="006024BF">
            <w:r w:rsidRPr="006024BF">
              <w:t>CGRP</w:t>
            </w:r>
          </w:p>
        </w:tc>
        <w:tc>
          <w:tcPr>
            <w:tcW w:w="3754" w:type="pct"/>
          </w:tcPr>
          <w:p w14:paraId="3EBB791C" w14:textId="77777777" w:rsidR="00E9581B" w:rsidRPr="00EB7E59" w:rsidRDefault="00E9581B" w:rsidP="00123D86">
            <w:pPr>
              <w:rPr>
                <w:rFonts w:eastAsia="TimesNewRoman"/>
              </w:rPr>
            </w:pPr>
            <w:r w:rsidRPr="00EB7E59">
              <w:rPr>
                <w:rFonts w:eastAsia="TimesNewRoman"/>
              </w:rPr>
              <w:t>Calcitonin gene-related peptide</w:t>
            </w:r>
          </w:p>
        </w:tc>
      </w:tr>
      <w:tr w:rsidR="00E9581B" w:rsidRPr="00B31E14" w14:paraId="114441F8" w14:textId="77777777" w:rsidTr="001B7ED1">
        <w:tc>
          <w:tcPr>
            <w:tcW w:w="1246" w:type="pct"/>
          </w:tcPr>
          <w:p w14:paraId="682EC607" w14:textId="77777777" w:rsidR="00E9581B" w:rsidRPr="006024BF" w:rsidRDefault="00E9581B" w:rsidP="006024BF">
            <w:r w:rsidRPr="006024BF">
              <w:t>CHMP</w:t>
            </w:r>
          </w:p>
        </w:tc>
        <w:tc>
          <w:tcPr>
            <w:tcW w:w="3754" w:type="pct"/>
          </w:tcPr>
          <w:p w14:paraId="656FE8D6" w14:textId="7A87F877" w:rsidR="00E9581B" w:rsidRPr="00EB7E59" w:rsidRDefault="00E9581B" w:rsidP="00123D86">
            <w:pPr>
              <w:rPr>
                <w:rFonts w:eastAsia="TimesNewRoman"/>
              </w:rPr>
            </w:pPr>
            <w:r w:rsidRPr="00EB7E59">
              <w:rPr>
                <w:rFonts w:eastAsia="TimesNewRoman"/>
              </w:rPr>
              <w:t>Committee for Medicinal Products for Human Use</w:t>
            </w:r>
            <w:r w:rsidR="006024BF">
              <w:rPr>
                <w:rFonts w:eastAsia="TimesNewRoman"/>
              </w:rPr>
              <w:t xml:space="preserve"> (EU)</w:t>
            </w:r>
          </w:p>
        </w:tc>
      </w:tr>
      <w:tr w:rsidR="00E9581B" w:rsidRPr="00B31E14" w14:paraId="6DD9CC71" w14:textId="77777777" w:rsidTr="001B7ED1">
        <w:tc>
          <w:tcPr>
            <w:tcW w:w="1246" w:type="pct"/>
          </w:tcPr>
          <w:p w14:paraId="02A393F9" w14:textId="77777777" w:rsidR="00E9581B" w:rsidRPr="006024BF" w:rsidRDefault="00E9581B" w:rsidP="006024BF">
            <w:r w:rsidRPr="006024BF">
              <w:t>CHO</w:t>
            </w:r>
          </w:p>
        </w:tc>
        <w:tc>
          <w:tcPr>
            <w:tcW w:w="3754" w:type="pct"/>
          </w:tcPr>
          <w:p w14:paraId="587078DE" w14:textId="4CDFE790" w:rsidR="00E9581B" w:rsidRPr="00EB7E59" w:rsidRDefault="00E9581B" w:rsidP="00123D86">
            <w:pPr>
              <w:rPr>
                <w:rFonts w:eastAsia="TimesNewRoman"/>
              </w:rPr>
            </w:pPr>
            <w:r w:rsidRPr="00EB7E59">
              <w:rPr>
                <w:rFonts w:eastAsia="TimesNewRoman"/>
              </w:rPr>
              <w:t xml:space="preserve">Chinese </w:t>
            </w:r>
            <w:r w:rsidR="006024BF">
              <w:rPr>
                <w:rFonts w:eastAsia="TimesNewRoman"/>
              </w:rPr>
              <w:t>h</w:t>
            </w:r>
            <w:r w:rsidRPr="00EB7E59">
              <w:rPr>
                <w:rFonts w:eastAsia="TimesNewRoman"/>
              </w:rPr>
              <w:t xml:space="preserve">amster </w:t>
            </w:r>
            <w:r w:rsidR="006024BF">
              <w:rPr>
                <w:rFonts w:eastAsia="TimesNewRoman"/>
              </w:rPr>
              <w:t>o</w:t>
            </w:r>
            <w:r w:rsidRPr="00EB7E59">
              <w:rPr>
                <w:rFonts w:eastAsia="TimesNewRoman"/>
              </w:rPr>
              <w:t>vary</w:t>
            </w:r>
          </w:p>
        </w:tc>
      </w:tr>
      <w:tr w:rsidR="00E9581B" w:rsidRPr="00B31E14" w14:paraId="5BD4FBA0" w14:textId="77777777" w:rsidTr="001B7ED1">
        <w:tc>
          <w:tcPr>
            <w:tcW w:w="1246" w:type="pct"/>
          </w:tcPr>
          <w:p w14:paraId="5784FC31" w14:textId="77777777" w:rsidR="00E9581B" w:rsidRPr="006024BF" w:rsidRDefault="00E9581B" w:rsidP="006024BF">
            <w:r w:rsidRPr="006024BF">
              <w:t>CI</w:t>
            </w:r>
          </w:p>
        </w:tc>
        <w:tc>
          <w:tcPr>
            <w:tcW w:w="3754" w:type="pct"/>
          </w:tcPr>
          <w:p w14:paraId="23CBC86E" w14:textId="77777777" w:rsidR="00E9581B" w:rsidRPr="00EB7E59" w:rsidRDefault="00E9581B" w:rsidP="00123D86">
            <w:pPr>
              <w:rPr>
                <w:rFonts w:eastAsia="TimesNewRoman"/>
              </w:rPr>
            </w:pPr>
            <w:r>
              <w:rPr>
                <w:rFonts w:eastAsia="TimesNewRoman"/>
              </w:rPr>
              <w:t>C</w:t>
            </w:r>
            <w:r w:rsidRPr="00EB7E59">
              <w:rPr>
                <w:rFonts w:eastAsia="TimesNewRoman"/>
              </w:rPr>
              <w:t>onfidence interval</w:t>
            </w:r>
          </w:p>
        </w:tc>
      </w:tr>
      <w:tr w:rsidR="00A86998" w:rsidRPr="00B31E14" w14:paraId="79C9E9F1" w14:textId="77777777" w:rsidTr="001B7ED1">
        <w:tc>
          <w:tcPr>
            <w:tcW w:w="1246" w:type="pct"/>
          </w:tcPr>
          <w:p w14:paraId="7E837140" w14:textId="5220C261" w:rsidR="00A86998" w:rsidRPr="006024BF" w:rsidRDefault="00A86998" w:rsidP="006024BF">
            <w:r>
              <w:t>CM</w:t>
            </w:r>
          </w:p>
        </w:tc>
        <w:tc>
          <w:tcPr>
            <w:tcW w:w="3754" w:type="pct"/>
          </w:tcPr>
          <w:p w14:paraId="139C99EE" w14:textId="4DCDD86E" w:rsidR="00A86998" w:rsidRPr="00EB7E59" w:rsidRDefault="00A86998" w:rsidP="00123D86">
            <w:pPr>
              <w:rPr>
                <w:rFonts w:eastAsia="TimesNewRoman"/>
              </w:rPr>
            </w:pPr>
            <w:r>
              <w:rPr>
                <w:rFonts w:eastAsia="TimesNewRoman"/>
              </w:rPr>
              <w:t>Chronic migraine</w:t>
            </w:r>
          </w:p>
        </w:tc>
      </w:tr>
      <w:tr w:rsidR="00E9581B" w:rsidRPr="00B31E14" w14:paraId="78035C86" w14:textId="77777777" w:rsidTr="001B7ED1">
        <w:tc>
          <w:tcPr>
            <w:tcW w:w="1246" w:type="pct"/>
          </w:tcPr>
          <w:p w14:paraId="633C985C" w14:textId="77777777" w:rsidR="00E9581B" w:rsidRPr="006024BF" w:rsidRDefault="00E9581B" w:rsidP="006024BF">
            <w:r w:rsidRPr="006024BF">
              <w:t>CMI</w:t>
            </w:r>
          </w:p>
        </w:tc>
        <w:tc>
          <w:tcPr>
            <w:tcW w:w="3754" w:type="pct"/>
          </w:tcPr>
          <w:p w14:paraId="26ADE3A8" w14:textId="38F6B7CF" w:rsidR="00E9581B" w:rsidRPr="00EB7E59" w:rsidRDefault="00E9581B" w:rsidP="00123D86">
            <w:pPr>
              <w:rPr>
                <w:rFonts w:eastAsia="TimesNewRoman"/>
              </w:rPr>
            </w:pPr>
            <w:r w:rsidRPr="00EB7E59">
              <w:rPr>
                <w:rFonts w:eastAsia="TimesNewRoman"/>
              </w:rPr>
              <w:t>Consumer Medicines Information</w:t>
            </w:r>
          </w:p>
        </w:tc>
      </w:tr>
      <w:tr w:rsidR="00E9581B" w:rsidRPr="00B31E14" w14:paraId="5FBD5E98" w14:textId="77777777" w:rsidTr="001B7ED1">
        <w:tc>
          <w:tcPr>
            <w:tcW w:w="1246" w:type="pct"/>
          </w:tcPr>
          <w:p w14:paraId="34017F3C" w14:textId="77777777" w:rsidR="00E9581B" w:rsidRPr="006024BF" w:rsidRDefault="00E9581B" w:rsidP="006024BF">
            <w:r w:rsidRPr="006024BF">
              <w:t>CSR</w:t>
            </w:r>
          </w:p>
        </w:tc>
        <w:tc>
          <w:tcPr>
            <w:tcW w:w="3754" w:type="pct"/>
          </w:tcPr>
          <w:p w14:paraId="387AF2B2" w14:textId="28F96C03" w:rsidR="00E9581B" w:rsidRPr="00EB7E59" w:rsidRDefault="00E9581B" w:rsidP="00123D86">
            <w:pPr>
              <w:rPr>
                <w:rFonts w:eastAsia="TimesNewRoman"/>
              </w:rPr>
            </w:pPr>
            <w:r w:rsidRPr="00EB7E59">
              <w:rPr>
                <w:rFonts w:eastAsia="TimesNewRoman"/>
              </w:rPr>
              <w:t xml:space="preserve">Clinical </w:t>
            </w:r>
            <w:r w:rsidR="006024BF" w:rsidRPr="00EB7E59">
              <w:rPr>
                <w:rFonts w:eastAsia="TimesNewRoman"/>
              </w:rPr>
              <w:t>study report</w:t>
            </w:r>
          </w:p>
        </w:tc>
      </w:tr>
      <w:tr w:rsidR="00E9581B" w:rsidRPr="00B31E14" w14:paraId="66D955CE" w14:textId="77777777" w:rsidTr="001B7ED1">
        <w:tc>
          <w:tcPr>
            <w:tcW w:w="1246" w:type="pct"/>
          </w:tcPr>
          <w:p w14:paraId="7EE2D571" w14:textId="77777777" w:rsidR="00E9581B" w:rsidRPr="006024BF" w:rsidRDefault="00E9581B" w:rsidP="006024BF">
            <w:r w:rsidRPr="006024BF">
              <w:t>CV</w:t>
            </w:r>
          </w:p>
        </w:tc>
        <w:tc>
          <w:tcPr>
            <w:tcW w:w="3754" w:type="pct"/>
          </w:tcPr>
          <w:p w14:paraId="5F23434A" w14:textId="0135CAF7" w:rsidR="00E9581B" w:rsidRPr="00EB7E59" w:rsidRDefault="00E9581B" w:rsidP="00123D86">
            <w:pPr>
              <w:rPr>
                <w:rFonts w:eastAsia="TimesNewRoman"/>
              </w:rPr>
            </w:pPr>
            <w:r>
              <w:rPr>
                <w:rFonts w:eastAsia="TimesNewRoman"/>
              </w:rPr>
              <w:t xml:space="preserve">Coefficient of </w:t>
            </w:r>
            <w:r w:rsidR="006024BF">
              <w:rPr>
                <w:rFonts w:eastAsia="TimesNewRoman"/>
              </w:rPr>
              <w:t>v</w:t>
            </w:r>
            <w:r w:rsidRPr="00EB7E59">
              <w:rPr>
                <w:rFonts w:eastAsia="TimesNewRoman"/>
              </w:rPr>
              <w:t>ariation</w:t>
            </w:r>
          </w:p>
        </w:tc>
      </w:tr>
      <w:tr w:rsidR="00E9581B" w:rsidRPr="00B31E14" w14:paraId="53AB7659" w14:textId="77777777" w:rsidTr="001B7ED1">
        <w:tc>
          <w:tcPr>
            <w:tcW w:w="1246" w:type="pct"/>
          </w:tcPr>
          <w:p w14:paraId="0D51751C" w14:textId="2B808FFF" w:rsidR="00E9581B" w:rsidRPr="006024BF" w:rsidRDefault="00E9581B" w:rsidP="006024BF">
            <w:r w:rsidRPr="006024BF">
              <w:lastRenderedPageBreak/>
              <w:t>DCAE</w:t>
            </w:r>
          </w:p>
        </w:tc>
        <w:tc>
          <w:tcPr>
            <w:tcW w:w="3754" w:type="pct"/>
          </w:tcPr>
          <w:p w14:paraId="090659B0" w14:textId="7E2102B9" w:rsidR="00E9581B" w:rsidRPr="00EB7E59" w:rsidRDefault="00E9581B" w:rsidP="00123D86">
            <w:pPr>
              <w:rPr>
                <w:rFonts w:eastAsia="TimesNewRoman"/>
              </w:rPr>
            </w:pPr>
            <w:r>
              <w:rPr>
                <w:rFonts w:eastAsia="TimesNewRoman"/>
              </w:rPr>
              <w:t xml:space="preserve">Discontinuation due to </w:t>
            </w:r>
            <w:r w:rsidR="006024BF">
              <w:rPr>
                <w:rFonts w:eastAsia="TimesNewRoman"/>
              </w:rPr>
              <w:t>adverse event(s)</w:t>
            </w:r>
          </w:p>
        </w:tc>
      </w:tr>
      <w:tr w:rsidR="00E9581B" w:rsidRPr="00B31E14" w14:paraId="4EE95B76" w14:textId="77777777" w:rsidTr="001B7ED1">
        <w:tc>
          <w:tcPr>
            <w:tcW w:w="1246" w:type="pct"/>
          </w:tcPr>
          <w:p w14:paraId="73E8241F" w14:textId="77777777" w:rsidR="00E9581B" w:rsidRPr="006024BF" w:rsidRDefault="00E9581B" w:rsidP="006024BF">
            <w:r w:rsidRPr="006024BF">
              <w:t>ECG</w:t>
            </w:r>
          </w:p>
        </w:tc>
        <w:tc>
          <w:tcPr>
            <w:tcW w:w="3754" w:type="pct"/>
          </w:tcPr>
          <w:p w14:paraId="2BBEB9C4" w14:textId="689736C1" w:rsidR="00E9581B" w:rsidRPr="00EB7E59" w:rsidRDefault="00E9581B" w:rsidP="00123D86">
            <w:pPr>
              <w:rPr>
                <w:rFonts w:eastAsia="TimesNewRoman"/>
              </w:rPr>
            </w:pPr>
            <w:r w:rsidRPr="00EB7E59">
              <w:rPr>
                <w:rFonts w:eastAsia="TimesNewRoman"/>
              </w:rPr>
              <w:t>Electrocardiogra</w:t>
            </w:r>
            <w:r>
              <w:rPr>
                <w:rFonts w:eastAsia="TimesNewRoman"/>
              </w:rPr>
              <w:t>m</w:t>
            </w:r>
            <w:r w:rsidR="006024BF">
              <w:rPr>
                <w:rFonts w:eastAsia="TimesNewRoman"/>
              </w:rPr>
              <w:t xml:space="preserve"> /</w:t>
            </w:r>
            <w:r>
              <w:rPr>
                <w:rFonts w:eastAsia="TimesNewRoman"/>
              </w:rPr>
              <w:t xml:space="preserve"> </w:t>
            </w:r>
            <w:r w:rsidR="006024BF">
              <w:rPr>
                <w:rFonts w:eastAsia="TimesNewRoman"/>
              </w:rPr>
              <w:t>e</w:t>
            </w:r>
            <w:r>
              <w:rPr>
                <w:rFonts w:eastAsia="TimesNewRoman"/>
              </w:rPr>
              <w:t>lectrocardiographic</w:t>
            </w:r>
          </w:p>
        </w:tc>
      </w:tr>
      <w:tr w:rsidR="00E9581B" w:rsidRPr="00B31E14" w14:paraId="43D84787" w14:textId="77777777" w:rsidTr="001B7ED1">
        <w:tc>
          <w:tcPr>
            <w:tcW w:w="1246" w:type="pct"/>
          </w:tcPr>
          <w:p w14:paraId="69668DBD" w14:textId="77777777" w:rsidR="00E9581B" w:rsidRPr="006024BF" w:rsidRDefault="00E9581B" w:rsidP="006024BF">
            <w:r w:rsidRPr="006024BF">
              <w:t>EMA</w:t>
            </w:r>
          </w:p>
        </w:tc>
        <w:tc>
          <w:tcPr>
            <w:tcW w:w="3754" w:type="pct"/>
          </w:tcPr>
          <w:p w14:paraId="1E587DA1" w14:textId="149AECFC" w:rsidR="00E9581B" w:rsidRPr="00EB7E59" w:rsidRDefault="00E9581B" w:rsidP="00123D86">
            <w:pPr>
              <w:rPr>
                <w:rFonts w:eastAsia="TimesNewRoman"/>
              </w:rPr>
            </w:pPr>
            <w:r w:rsidRPr="00EB7E59">
              <w:rPr>
                <w:rFonts w:eastAsia="TimesNewRoman"/>
              </w:rPr>
              <w:t>European Medicines Agency</w:t>
            </w:r>
            <w:r w:rsidR="006024BF">
              <w:rPr>
                <w:rFonts w:eastAsia="TimesNewRoman"/>
              </w:rPr>
              <w:t xml:space="preserve"> (EU)</w:t>
            </w:r>
          </w:p>
        </w:tc>
      </w:tr>
      <w:tr w:rsidR="006024BF" w:rsidRPr="00B31E14" w14:paraId="46B41711" w14:textId="77777777" w:rsidTr="001B7ED1">
        <w:tc>
          <w:tcPr>
            <w:tcW w:w="1246" w:type="pct"/>
          </w:tcPr>
          <w:p w14:paraId="2BF91769" w14:textId="05E5B9D3" w:rsidR="006024BF" w:rsidRPr="006024BF" w:rsidRDefault="006024BF" w:rsidP="006024BF">
            <w:r>
              <w:t>EU</w:t>
            </w:r>
          </w:p>
        </w:tc>
        <w:tc>
          <w:tcPr>
            <w:tcW w:w="3754" w:type="pct"/>
          </w:tcPr>
          <w:p w14:paraId="0E03E6A6" w14:textId="5916948A" w:rsidR="006024BF" w:rsidRPr="00EB7E59" w:rsidRDefault="006024BF" w:rsidP="00123D86">
            <w:pPr>
              <w:rPr>
                <w:rFonts w:eastAsia="TimesNewRoman"/>
              </w:rPr>
            </w:pPr>
            <w:r>
              <w:rPr>
                <w:rFonts w:eastAsia="TimesNewRoman"/>
              </w:rPr>
              <w:t>European Union</w:t>
            </w:r>
          </w:p>
        </w:tc>
      </w:tr>
      <w:tr w:rsidR="00E9581B" w:rsidRPr="00B31E14" w14:paraId="3DA49104" w14:textId="77777777" w:rsidTr="001B7ED1">
        <w:tc>
          <w:tcPr>
            <w:tcW w:w="1246" w:type="pct"/>
          </w:tcPr>
          <w:p w14:paraId="5B3CEF2B" w14:textId="77777777" w:rsidR="00E9581B" w:rsidRPr="006024BF" w:rsidRDefault="00E9581B" w:rsidP="006024BF">
            <w:r w:rsidRPr="006024BF">
              <w:t>ePRO</w:t>
            </w:r>
          </w:p>
        </w:tc>
        <w:tc>
          <w:tcPr>
            <w:tcW w:w="3754" w:type="pct"/>
          </w:tcPr>
          <w:p w14:paraId="4BB01864" w14:textId="0C1C7AF5" w:rsidR="00E9581B" w:rsidRPr="00EB7E59" w:rsidRDefault="006024BF" w:rsidP="00123D86">
            <w:pPr>
              <w:rPr>
                <w:rFonts w:eastAsia="TimesNewRoman"/>
              </w:rPr>
            </w:pPr>
            <w:r>
              <w:rPr>
                <w:rFonts w:eastAsia="TimesNewRoman"/>
              </w:rPr>
              <w:t>E</w:t>
            </w:r>
            <w:r w:rsidR="00E9581B" w:rsidRPr="00EB7E59">
              <w:rPr>
                <w:rFonts w:eastAsia="TimesNewRoman"/>
              </w:rPr>
              <w:t xml:space="preserve">lectronic </w:t>
            </w:r>
            <w:r w:rsidRPr="00EB7E59">
              <w:rPr>
                <w:rFonts w:eastAsia="TimesNewRoman"/>
              </w:rPr>
              <w:t>patient-reported outcome</w:t>
            </w:r>
          </w:p>
        </w:tc>
      </w:tr>
      <w:tr w:rsidR="00E9581B" w:rsidRPr="00B31E14" w14:paraId="483A8238" w14:textId="77777777" w:rsidTr="001B7ED1">
        <w:tc>
          <w:tcPr>
            <w:tcW w:w="1246" w:type="pct"/>
          </w:tcPr>
          <w:p w14:paraId="6D5C1460" w14:textId="77777777" w:rsidR="00E9581B" w:rsidRPr="006024BF" w:rsidRDefault="00E9581B" w:rsidP="006024BF">
            <w:r w:rsidRPr="006024BF">
              <w:t>GCP</w:t>
            </w:r>
          </w:p>
        </w:tc>
        <w:tc>
          <w:tcPr>
            <w:tcW w:w="3754" w:type="pct"/>
          </w:tcPr>
          <w:p w14:paraId="0086A37C" w14:textId="77777777" w:rsidR="00E9581B" w:rsidRPr="00EB7E59" w:rsidRDefault="00E9581B" w:rsidP="00123D86">
            <w:pPr>
              <w:rPr>
                <w:rFonts w:eastAsia="TimesNewRoman"/>
              </w:rPr>
            </w:pPr>
            <w:r w:rsidRPr="00EB7E59">
              <w:rPr>
                <w:rFonts w:eastAsia="TimesNewRoman"/>
              </w:rPr>
              <w:t>Good Clinical Practice</w:t>
            </w:r>
          </w:p>
        </w:tc>
      </w:tr>
      <w:tr w:rsidR="00E9581B" w:rsidRPr="00B31E14" w14:paraId="4ED77CBB" w14:textId="77777777" w:rsidTr="001B7ED1">
        <w:tc>
          <w:tcPr>
            <w:tcW w:w="1246" w:type="pct"/>
          </w:tcPr>
          <w:p w14:paraId="07A284B3" w14:textId="77777777" w:rsidR="00E9581B" w:rsidRPr="006024BF" w:rsidRDefault="00E9581B" w:rsidP="006024BF">
            <w:r w:rsidRPr="006024BF">
              <w:t>HDOMS</w:t>
            </w:r>
          </w:p>
        </w:tc>
        <w:tc>
          <w:tcPr>
            <w:tcW w:w="3754" w:type="pct"/>
          </w:tcPr>
          <w:p w14:paraId="00C98A9E" w14:textId="77777777" w:rsidR="00E9581B" w:rsidRPr="00EB7E59" w:rsidRDefault="00E9581B" w:rsidP="00123D86">
            <w:pPr>
              <w:rPr>
                <w:rFonts w:eastAsia="TimesNewRoman"/>
              </w:rPr>
            </w:pPr>
            <w:r>
              <w:rPr>
                <w:rFonts w:eastAsia="TimesNewRoman"/>
              </w:rPr>
              <w:t>Headache Days of Moderate Severity</w:t>
            </w:r>
          </w:p>
        </w:tc>
      </w:tr>
      <w:tr w:rsidR="00E9581B" w:rsidRPr="00B31E14" w14:paraId="1087E591" w14:textId="77777777" w:rsidTr="001B7ED1">
        <w:tc>
          <w:tcPr>
            <w:tcW w:w="1246" w:type="pct"/>
          </w:tcPr>
          <w:p w14:paraId="3BD8E7A7" w14:textId="77777777" w:rsidR="00E9581B" w:rsidRPr="006024BF" w:rsidRDefault="00E9581B" w:rsidP="006024BF">
            <w:r w:rsidRPr="006024BF">
              <w:t>HIT-6</w:t>
            </w:r>
          </w:p>
        </w:tc>
        <w:tc>
          <w:tcPr>
            <w:tcW w:w="3754" w:type="pct"/>
          </w:tcPr>
          <w:p w14:paraId="0B3BCF2F" w14:textId="77777777" w:rsidR="00E9581B" w:rsidRDefault="00E9581B" w:rsidP="00123D86">
            <w:pPr>
              <w:rPr>
                <w:rFonts w:eastAsia="TimesNewRoman"/>
              </w:rPr>
            </w:pPr>
            <w:r>
              <w:rPr>
                <w:rFonts w:eastAsia="TimesNewRoman"/>
              </w:rPr>
              <w:t>6-item Headache Impact Test</w:t>
            </w:r>
          </w:p>
        </w:tc>
      </w:tr>
      <w:tr w:rsidR="00E9581B" w:rsidRPr="00B31E14" w14:paraId="010FFAEA" w14:textId="77777777" w:rsidTr="001B7ED1">
        <w:tc>
          <w:tcPr>
            <w:tcW w:w="1246" w:type="pct"/>
          </w:tcPr>
          <w:p w14:paraId="487E9496" w14:textId="77777777" w:rsidR="00E9581B" w:rsidRPr="006024BF" w:rsidRDefault="00E9581B" w:rsidP="006024BF">
            <w:r w:rsidRPr="006024BF">
              <w:t>IBMS</w:t>
            </w:r>
          </w:p>
        </w:tc>
        <w:tc>
          <w:tcPr>
            <w:tcW w:w="3754" w:type="pct"/>
          </w:tcPr>
          <w:p w14:paraId="3B171F13" w14:textId="77777777" w:rsidR="00E9581B" w:rsidRPr="00EB7E59" w:rsidRDefault="00E9581B" w:rsidP="00123D86">
            <w:pPr>
              <w:rPr>
                <w:rFonts w:eastAsia="TimesNewRoman"/>
              </w:rPr>
            </w:pPr>
            <w:r w:rsidRPr="00EB7E59">
              <w:rPr>
                <w:rFonts w:eastAsia="TimesNewRoman"/>
              </w:rPr>
              <w:t>International Burden of Migraine Study</w:t>
            </w:r>
          </w:p>
        </w:tc>
      </w:tr>
      <w:tr w:rsidR="00E9581B" w:rsidRPr="00B31E14" w14:paraId="2AA521C5" w14:textId="77777777" w:rsidTr="001B7ED1">
        <w:tc>
          <w:tcPr>
            <w:tcW w:w="1246" w:type="pct"/>
          </w:tcPr>
          <w:p w14:paraId="5D19A2C5" w14:textId="77777777" w:rsidR="00E9581B" w:rsidRPr="006024BF" w:rsidRDefault="00E9581B" w:rsidP="006024BF">
            <w:r w:rsidRPr="006024BF">
              <w:t>ICH</w:t>
            </w:r>
          </w:p>
        </w:tc>
        <w:tc>
          <w:tcPr>
            <w:tcW w:w="3754" w:type="pct"/>
          </w:tcPr>
          <w:p w14:paraId="3B864F83" w14:textId="77777777" w:rsidR="00E9581B" w:rsidRPr="00EB7E59" w:rsidRDefault="00E9581B" w:rsidP="00123D86">
            <w:pPr>
              <w:rPr>
                <w:rFonts w:eastAsia="TimesNewRoman"/>
              </w:rPr>
            </w:pPr>
            <w:r w:rsidRPr="00EB7E59">
              <w:rPr>
                <w:rFonts w:eastAsia="TimesNewRoman"/>
              </w:rPr>
              <w:t>International Conference on Harmonisation</w:t>
            </w:r>
          </w:p>
        </w:tc>
      </w:tr>
      <w:tr w:rsidR="00E9581B" w:rsidRPr="00B31E14" w14:paraId="76F6217A" w14:textId="77777777" w:rsidTr="001B7ED1">
        <w:tc>
          <w:tcPr>
            <w:tcW w:w="1246" w:type="pct"/>
          </w:tcPr>
          <w:p w14:paraId="1C0D397E" w14:textId="77777777" w:rsidR="00E9581B" w:rsidRPr="006024BF" w:rsidRDefault="00E9581B" w:rsidP="006024BF">
            <w:r w:rsidRPr="006024BF">
              <w:t>IDR</w:t>
            </w:r>
          </w:p>
        </w:tc>
        <w:tc>
          <w:tcPr>
            <w:tcW w:w="3754" w:type="pct"/>
          </w:tcPr>
          <w:p w14:paraId="42634FB8" w14:textId="77777777" w:rsidR="00E9581B" w:rsidRPr="00EB7E59" w:rsidRDefault="00E9581B" w:rsidP="00123D86">
            <w:pPr>
              <w:rPr>
                <w:rFonts w:eastAsia="TimesNewRoman"/>
              </w:rPr>
            </w:pPr>
            <w:r>
              <w:rPr>
                <w:rFonts w:eastAsia="TimesNewRoman"/>
              </w:rPr>
              <w:t>I</w:t>
            </w:r>
            <w:r w:rsidRPr="00EB7E59">
              <w:rPr>
                <w:rFonts w:eastAsia="TimesNewRoman"/>
              </w:rPr>
              <w:t>ndirect response</w:t>
            </w:r>
          </w:p>
        </w:tc>
      </w:tr>
      <w:tr w:rsidR="00E9581B" w:rsidRPr="00B31E14" w14:paraId="1226D6A1" w14:textId="77777777" w:rsidTr="001B7ED1">
        <w:tc>
          <w:tcPr>
            <w:tcW w:w="1246" w:type="pct"/>
          </w:tcPr>
          <w:p w14:paraId="5B6F4B24" w14:textId="77777777" w:rsidR="00E9581B" w:rsidRPr="006024BF" w:rsidRDefault="00E9581B" w:rsidP="006024BF">
            <w:r w:rsidRPr="006024BF">
              <w:t>IHS</w:t>
            </w:r>
          </w:p>
        </w:tc>
        <w:tc>
          <w:tcPr>
            <w:tcW w:w="3754" w:type="pct"/>
          </w:tcPr>
          <w:p w14:paraId="57A28DCD" w14:textId="77777777" w:rsidR="00E9581B" w:rsidRPr="00EB7E59" w:rsidRDefault="00E9581B" w:rsidP="00123D86">
            <w:pPr>
              <w:rPr>
                <w:rFonts w:eastAsia="TimesNewRoman"/>
              </w:rPr>
            </w:pPr>
            <w:r w:rsidRPr="00EB7E59">
              <w:rPr>
                <w:rFonts w:eastAsia="TimesNewRoman"/>
              </w:rPr>
              <w:t>International Headache Society</w:t>
            </w:r>
          </w:p>
        </w:tc>
      </w:tr>
      <w:tr w:rsidR="00E9581B" w:rsidRPr="00B31E14" w14:paraId="44B902C8" w14:textId="77777777" w:rsidTr="001B7ED1">
        <w:tc>
          <w:tcPr>
            <w:tcW w:w="1246" w:type="pct"/>
          </w:tcPr>
          <w:p w14:paraId="77049A34" w14:textId="77777777" w:rsidR="00E9581B" w:rsidRPr="006024BF" w:rsidRDefault="00E9581B" w:rsidP="006024BF">
            <w:r w:rsidRPr="006024BF">
              <w:t>IIV</w:t>
            </w:r>
          </w:p>
        </w:tc>
        <w:tc>
          <w:tcPr>
            <w:tcW w:w="3754" w:type="pct"/>
          </w:tcPr>
          <w:p w14:paraId="069CB42E" w14:textId="77777777" w:rsidR="00E9581B" w:rsidRPr="00EB7E59" w:rsidRDefault="00E9581B" w:rsidP="00123D86">
            <w:pPr>
              <w:rPr>
                <w:rFonts w:eastAsia="TimesNewRoman"/>
              </w:rPr>
            </w:pPr>
            <w:r>
              <w:rPr>
                <w:rFonts w:eastAsia="TimesNewRoman"/>
              </w:rPr>
              <w:t>I</w:t>
            </w:r>
            <w:r w:rsidRPr="00EB7E59">
              <w:rPr>
                <w:rFonts w:eastAsia="TimesNewRoman"/>
              </w:rPr>
              <w:t>nter-individual variation</w:t>
            </w:r>
          </w:p>
        </w:tc>
      </w:tr>
      <w:tr w:rsidR="00E9581B" w:rsidRPr="00B31E14" w14:paraId="709B3A61" w14:textId="77777777" w:rsidTr="001B7ED1">
        <w:tc>
          <w:tcPr>
            <w:tcW w:w="1246" w:type="pct"/>
          </w:tcPr>
          <w:p w14:paraId="08AC83BB" w14:textId="77777777" w:rsidR="00E9581B" w:rsidRPr="006024BF" w:rsidRDefault="00E9581B" w:rsidP="006024BF">
            <w:r w:rsidRPr="006024BF">
              <w:t>ITT</w:t>
            </w:r>
          </w:p>
        </w:tc>
        <w:tc>
          <w:tcPr>
            <w:tcW w:w="3754" w:type="pct"/>
          </w:tcPr>
          <w:p w14:paraId="5D4664F0" w14:textId="77777777" w:rsidR="00E9581B" w:rsidRPr="00EB7E59" w:rsidRDefault="00E9581B" w:rsidP="00123D86">
            <w:pPr>
              <w:rPr>
                <w:rFonts w:eastAsia="TimesNewRoman"/>
              </w:rPr>
            </w:pPr>
            <w:r w:rsidRPr="00EB7E59">
              <w:rPr>
                <w:rFonts w:eastAsia="TimesNewRoman"/>
              </w:rPr>
              <w:t>Intent-to-treat</w:t>
            </w:r>
          </w:p>
        </w:tc>
      </w:tr>
      <w:tr w:rsidR="00E9581B" w:rsidRPr="00B31E14" w14:paraId="42DF9665" w14:textId="77777777" w:rsidTr="001B7ED1">
        <w:tc>
          <w:tcPr>
            <w:tcW w:w="1246" w:type="pct"/>
          </w:tcPr>
          <w:p w14:paraId="0E1B8A5C" w14:textId="77777777" w:rsidR="00E9581B" w:rsidRPr="006024BF" w:rsidRDefault="00E9581B" w:rsidP="006024BF">
            <w:r w:rsidRPr="006024BF">
              <w:t>IVRS</w:t>
            </w:r>
          </w:p>
        </w:tc>
        <w:tc>
          <w:tcPr>
            <w:tcW w:w="3754" w:type="pct"/>
          </w:tcPr>
          <w:p w14:paraId="5197AD48" w14:textId="77777777" w:rsidR="00E9581B" w:rsidRPr="00EB7E59" w:rsidRDefault="00E9581B" w:rsidP="00123D86">
            <w:pPr>
              <w:rPr>
                <w:rFonts w:eastAsia="TimesNewRoman"/>
              </w:rPr>
            </w:pPr>
            <w:r>
              <w:rPr>
                <w:rFonts w:eastAsia="TimesNewRoman"/>
              </w:rPr>
              <w:t>I</w:t>
            </w:r>
            <w:r w:rsidRPr="00EB7E59">
              <w:rPr>
                <w:rFonts w:eastAsia="TimesNewRoman"/>
              </w:rPr>
              <w:t>nteractive voice response system</w:t>
            </w:r>
          </w:p>
        </w:tc>
      </w:tr>
      <w:tr w:rsidR="00E9581B" w:rsidRPr="00B31E14" w14:paraId="166D1952" w14:textId="77777777" w:rsidTr="001B7ED1">
        <w:tc>
          <w:tcPr>
            <w:tcW w:w="1246" w:type="pct"/>
          </w:tcPr>
          <w:p w14:paraId="16998878" w14:textId="77777777" w:rsidR="00E9581B" w:rsidRPr="006024BF" w:rsidRDefault="00E9581B" w:rsidP="006024BF">
            <w:r w:rsidRPr="006024BF">
              <w:t>IWRS</w:t>
            </w:r>
          </w:p>
        </w:tc>
        <w:tc>
          <w:tcPr>
            <w:tcW w:w="3754" w:type="pct"/>
          </w:tcPr>
          <w:p w14:paraId="1B152D07" w14:textId="77777777" w:rsidR="00E9581B" w:rsidRPr="00EB7E59" w:rsidRDefault="00E9581B" w:rsidP="00123D86">
            <w:pPr>
              <w:rPr>
                <w:rFonts w:eastAsia="TimesNewRoman"/>
              </w:rPr>
            </w:pPr>
            <w:r>
              <w:rPr>
                <w:rFonts w:eastAsia="TimesNewRoman"/>
              </w:rPr>
              <w:t>I</w:t>
            </w:r>
            <w:r w:rsidRPr="00EB7E59">
              <w:rPr>
                <w:rFonts w:eastAsia="TimesNewRoman"/>
              </w:rPr>
              <w:t>nteractive web-response system</w:t>
            </w:r>
          </w:p>
        </w:tc>
      </w:tr>
      <w:tr w:rsidR="00E9581B" w:rsidRPr="00B31E14" w14:paraId="6A2AE195" w14:textId="77777777" w:rsidTr="001B7ED1">
        <w:tc>
          <w:tcPr>
            <w:tcW w:w="1246" w:type="pct"/>
          </w:tcPr>
          <w:p w14:paraId="727125F8" w14:textId="77777777" w:rsidR="00E9581B" w:rsidRPr="006024BF" w:rsidRDefault="00E9581B" w:rsidP="006024BF">
            <w:r w:rsidRPr="006024BF">
              <w:t>LDI</w:t>
            </w:r>
          </w:p>
        </w:tc>
        <w:tc>
          <w:tcPr>
            <w:tcW w:w="3754" w:type="pct"/>
          </w:tcPr>
          <w:p w14:paraId="79CA8A5C" w14:textId="6E6FEF5E" w:rsidR="00E9581B" w:rsidRPr="00477F14" w:rsidRDefault="00E9581B" w:rsidP="00123D86">
            <w:r>
              <w:t>L</w:t>
            </w:r>
            <w:r w:rsidRPr="00477F14">
              <w:t xml:space="preserve">aser </w:t>
            </w:r>
            <w:r w:rsidR="00E137E7">
              <w:t>D</w:t>
            </w:r>
            <w:r w:rsidR="00E137E7" w:rsidRPr="00477F14">
              <w:t>oppler</w:t>
            </w:r>
            <w:r w:rsidRPr="00477F14">
              <w:t xml:space="preserve"> imaging</w:t>
            </w:r>
          </w:p>
        </w:tc>
      </w:tr>
      <w:tr w:rsidR="00E9581B" w:rsidRPr="00B31E14" w14:paraId="5A4D4472" w14:textId="77777777" w:rsidTr="001B7ED1">
        <w:tc>
          <w:tcPr>
            <w:tcW w:w="1246" w:type="pct"/>
          </w:tcPr>
          <w:p w14:paraId="0A1CFC34" w14:textId="77777777" w:rsidR="00E9581B" w:rsidRPr="006024BF" w:rsidRDefault="00E9581B" w:rsidP="006024BF">
            <w:r w:rsidRPr="006024BF">
              <w:t>LOCF</w:t>
            </w:r>
          </w:p>
        </w:tc>
        <w:tc>
          <w:tcPr>
            <w:tcW w:w="3754" w:type="pct"/>
          </w:tcPr>
          <w:p w14:paraId="15042006" w14:textId="77777777" w:rsidR="00E9581B" w:rsidRPr="00477F14" w:rsidRDefault="00E9581B" w:rsidP="00123D86">
            <w:r>
              <w:t>L</w:t>
            </w:r>
            <w:r w:rsidRPr="00477F14">
              <w:t>ast observation carried forward</w:t>
            </w:r>
          </w:p>
        </w:tc>
      </w:tr>
      <w:tr w:rsidR="00E9581B" w:rsidRPr="00B31E14" w14:paraId="2F1FB915" w14:textId="77777777" w:rsidTr="001B7ED1">
        <w:tc>
          <w:tcPr>
            <w:tcW w:w="1246" w:type="pct"/>
          </w:tcPr>
          <w:p w14:paraId="6147A114" w14:textId="636727E2" w:rsidR="00E9581B" w:rsidRPr="006024BF" w:rsidRDefault="00E9581B" w:rsidP="006024BF">
            <w:r w:rsidRPr="006024BF">
              <w:t>mAb</w:t>
            </w:r>
          </w:p>
        </w:tc>
        <w:tc>
          <w:tcPr>
            <w:tcW w:w="3754" w:type="pct"/>
          </w:tcPr>
          <w:p w14:paraId="13FB6A0A" w14:textId="0771FD9E" w:rsidR="00E9581B" w:rsidRPr="00477F14" w:rsidRDefault="00E9581B" w:rsidP="00123D86">
            <w:r>
              <w:t>M</w:t>
            </w:r>
            <w:r w:rsidRPr="00477F14">
              <w:t>onoclonal antibod</w:t>
            </w:r>
            <w:r w:rsidR="006024BF">
              <w:t>y</w:t>
            </w:r>
          </w:p>
        </w:tc>
      </w:tr>
      <w:tr w:rsidR="00E9581B" w:rsidRPr="00B31E14" w14:paraId="4C2A400B" w14:textId="77777777" w:rsidTr="001B7ED1">
        <w:tc>
          <w:tcPr>
            <w:tcW w:w="1246" w:type="pct"/>
          </w:tcPr>
          <w:p w14:paraId="6F0C1DFD" w14:textId="77777777" w:rsidR="00E9581B" w:rsidRPr="006024BF" w:rsidRDefault="00E9581B" w:rsidP="006024BF">
            <w:r w:rsidRPr="006024BF">
              <w:t>MHD</w:t>
            </w:r>
          </w:p>
        </w:tc>
        <w:tc>
          <w:tcPr>
            <w:tcW w:w="3754" w:type="pct"/>
          </w:tcPr>
          <w:p w14:paraId="3EE75810" w14:textId="77777777" w:rsidR="00E9581B" w:rsidRPr="00477F14" w:rsidRDefault="00E9581B" w:rsidP="00123D86">
            <w:r>
              <w:t>Migraine headache day</w:t>
            </w:r>
          </w:p>
        </w:tc>
      </w:tr>
      <w:tr w:rsidR="00E9581B" w:rsidRPr="00B31E14" w14:paraId="7282E092" w14:textId="77777777" w:rsidTr="001B7ED1">
        <w:tc>
          <w:tcPr>
            <w:tcW w:w="1246" w:type="pct"/>
          </w:tcPr>
          <w:p w14:paraId="0BE7C4DC" w14:textId="77777777" w:rsidR="00E9581B" w:rsidRPr="006024BF" w:rsidRDefault="00E9581B" w:rsidP="006024BF">
            <w:r w:rsidRPr="006024BF">
              <w:t>MHDs-AMU</w:t>
            </w:r>
          </w:p>
        </w:tc>
        <w:tc>
          <w:tcPr>
            <w:tcW w:w="3754" w:type="pct"/>
          </w:tcPr>
          <w:p w14:paraId="5577DDC0" w14:textId="77777777" w:rsidR="00E9581B" w:rsidRPr="00477F14" w:rsidRDefault="00E9581B" w:rsidP="00123D86">
            <w:r w:rsidRPr="00477F14">
              <w:t>M</w:t>
            </w:r>
            <w:r>
              <w:t xml:space="preserve">igraine </w:t>
            </w:r>
            <w:r w:rsidRPr="00477F14">
              <w:t>H</w:t>
            </w:r>
            <w:r>
              <w:t xml:space="preserve">eadache </w:t>
            </w:r>
            <w:r w:rsidRPr="00477F14">
              <w:t>D</w:t>
            </w:r>
            <w:r>
              <w:t>ay</w:t>
            </w:r>
            <w:r w:rsidRPr="00477F14">
              <w:t>s with acute medication use</w:t>
            </w:r>
          </w:p>
        </w:tc>
      </w:tr>
      <w:tr w:rsidR="00E9581B" w:rsidRPr="00B31E14" w14:paraId="400418B9" w14:textId="77777777" w:rsidTr="001B7ED1">
        <w:tc>
          <w:tcPr>
            <w:tcW w:w="1246" w:type="pct"/>
          </w:tcPr>
          <w:p w14:paraId="21EE285E" w14:textId="77777777" w:rsidR="00E9581B" w:rsidRPr="006024BF" w:rsidRDefault="00E9581B" w:rsidP="006024BF">
            <w:r w:rsidRPr="006024BF">
              <w:t>MIDAS</w:t>
            </w:r>
          </w:p>
        </w:tc>
        <w:tc>
          <w:tcPr>
            <w:tcW w:w="3754" w:type="pct"/>
          </w:tcPr>
          <w:p w14:paraId="488F6435" w14:textId="77777777" w:rsidR="00E9581B" w:rsidRPr="00477F14" w:rsidRDefault="00E9581B" w:rsidP="00123D86">
            <w:r w:rsidRPr="00477F14">
              <w:t>Migraine Disability Assessment</w:t>
            </w:r>
          </w:p>
        </w:tc>
      </w:tr>
      <w:tr w:rsidR="00E9581B" w:rsidRPr="00B31E14" w14:paraId="76FDF5D5" w14:textId="77777777" w:rsidTr="001B7ED1">
        <w:tc>
          <w:tcPr>
            <w:tcW w:w="1246" w:type="pct"/>
          </w:tcPr>
          <w:p w14:paraId="78355861" w14:textId="77777777" w:rsidR="00E9581B" w:rsidRPr="006024BF" w:rsidRDefault="00E9581B" w:rsidP="006024BF">
            <w:r w:rsidRPr="006024BF">
              <w:t>MMRM</w:t>
            </w:r>
          </w:p>
        </w:tc>
        <w:tc>
          <w:tcPr>
            <w:tcW w:w="3754" w:type="pct"/>
          </w:tcPr>
          <w:p w14:paraId="318C8603" w14:textId="037714D1" w:rsidR="00E9581B" w:rsidRPr="00477F14" w:rsidRDefault="00E9581B" w:rsidP="00123D86">
            <w:r>
              <w:t>Mixed-effect model</w:t>
            </w:r>
            <w:r w:rsidRPr="00477F14">
              <w:t xml:space="preserve"> repeat</w:t>
            </w:r>
            <w:r w:rsidR="001A39CA">
              <w:t xml:space="preserve"> </w:t>
            </w:r>
            <w:r w:rsidRPr="00477F14">
              <w:t>measure</w:t>
            </w:r>
            <w:r w:rsidR="001A39CA">
              <w:t>ment</w:t>
            </w:r>
          </w:p>
        </w:tc>
      </w:tr>
      <w:tr w:rsidR="00E9581B" w:rsidRPr="00B31E14" w14:paraId="2F178434" w14:textId="77777777" w:rsidTr="001B7ED1">
        <w:tc>
          <w:tcPr>
            <w:tcW w:w="1246" w:type="pct"/>
          </w:tcPr>
          <w:p w14:paraId="07CCD6EE" w14:textId="77777777" w:rsidR="00E9581B" w:rsidRPr="006024BF" w:rsidRDefault="00E9581B" w:rsidP="006024BF">
            <w:r w:rsidRPr="006024BF">
              <w:t>MRT-inf</w:t>
            </w:r>
          </w:p>
        </w:tc>
        <w:tc>
          <w:tcPr>
            <w:tcW w:w="3754" w:type="pct"/>
          </w:tcPr>
          <w:p w14:paraId="585E2753" w14:textId="77777777" w:rsidR="00E9581B" w:rsidRPr="00477F14" w:rsidRDefault="00E9581B" w:rsidP="00123D86">
            <w:r>
              <w:t>M</w:t>
            </w:r>
            <w:r w:rsidRPr="00477F14">
              <w:t>ean residence times</w:t>
            </w:r>
            <w:r>
              <w:t xml:space="preserve"> (to infinity)</w:t>
            </w:r>
          </w:p>
        </w:tc>
      </w:tr>
      <w:tr w:rsidR="00E9581B" w:rsidRPr="00B31E14" w14:paraId="07E68DBA" w14:textId="77777777" w:rsidTr="001B7ED1">
        <w:tc>
          <w:tcPr>
            <w:tcW w:w="1246" w:type="pct"/>
          </w:tcPr>
          <w:p w14:paraId="34378BB1" w14:textId="77777777" w:rsidR="00E9581B" w:rsidRPr="006024BF" w:rsidRDefault="00E9581B" w:rsidP="006024BF">
            <w:r w:rsidRPr="006024BF">
              <w:t>MSQ, MSQL</w:t>
            </w:r>
          </w:p>
        </w:tc>
        <w:tc>
          <w:tcPr>
            <w:tcW w:w="3754" w:type="pct"/>
          </w:tcPr>
          <w:p w14:paraId="51F6E61B" w14:textId="77777777" w:rsidR="00E9581B" w:rsidRPr="00477F14" w:rsidRDefault="00E9581B" w:rsidP="00123D86">
            <w:r w:rsidRPr="00477F14">
              <w:t>Migraine Specific Quality of Life</w:t>
            </w:r>
          </w:p>
        </w:tc>
      </w:tr>
      <w:tr w:rsidR="00E9581B" w:rsidRPr="00B31E14" w14:paraId="1D963468" w14:textId="77777777" w:rsidTr="001B7ED1">
        <w:tc>
          <w:tcPr>
            <w:tcW w:w="1246" w:type="pct"/>
          </w:tcPr>
          <w:p w14:paraId="32D7CBF9" w14:textId="77777777" w:rsidR="00E9581B" w:rsidRPr="006024BF" w:rsidRDefault="00E9581B" w:rsidP="006024BF">
            <w:r w:rsidRPr="006024BF">
              <w:t>NAb</w:t>
            </w:r>
          </w:p>
        </w:tc>
        <w:tc>
          <w:tcPr>
            <w:tcW w:w="3754" w:type="pct"/>
          </w:tcPr>
          <w:p w14:paraId="1BB8DA2A" w14:textId="77777777" w:rsidR="00E9581B" w:rsidRPr="00477F14" w:rsidRDefault="00E9581B" w:rsidP="00123D86">
            <w:r>
              <w:t>N</w:t>
            </w:r>
            <w:r w:rsidRPr="00477F14">
              <w:t>eutralising antibodies</w:t>
            </w:r>
          </w:p>
        </w:tc>
      </w:tr>
      <w:tr w:rsidR="00E9581B" w:rsidRPr="00B31E14" w14:paraId="47BB522C" w14:textId="77777777" w:rsidTr="001B7ED1">
        <w:tc>
          <w:tcPr>
            <w:tcW w:w="1246" w:type="pct"/>
          </w:tcPr>
          <w:p w14:paraId="0FD6F544" w14:textId="77777777" w:rsidR="00E9581B" w:rsidRPr="006024BF" w:rsidRDefault="00E9581B" w:rsidP="006024BF">
            <w:r w:rsidRPr="006024BF">
              <w:lastRenderedPageBreak/>
              <w:t>PD</w:t>
            </w:r>
          </w:p>
        </w:tc>
        <w:tc>
          <w:tcPr>
            <w:tcW w:w="3754" w:type="pct"/>
          </w:tcPr>
          <w:p w14:paraId="448BF178" w14:textId="699B23DE" w:rsidR="00E9581B" w:rsidRPr="00477F14" w:rsidRDefault="00E9581B" w:rsidP="00123D86">
            <w:r>
              <w:t>P</w:t>
            </w:r>
            <w:r w:rsidRPr="00477F14">
              <w:t>harmacodynamic</w:t>
            </w:r>
            <w:r w:rsidR="006024BF">
              <w:t>(</w:t>
            </w:r>
            <w:r w:rsidRPr="00477F14">
              <w:t>s</w:t>
            </w:r>
            <w:r w:rsidR="006024BF">
              <w:t>)</w:t>
            </w:r>
          </w:p>
        </w:tc>
      </w:tr>
      <w:tr w:rsidR="00E9581B" w:rsidRPr="00B31E14" w14:paraId="2B89E3C5" w14:textId="77777777" w:rsidTr="001B7ED1">
        <w:tc>
          <w:tcPr>
            <w:tcW w:w="1246" w:type="pct"/>
          </w:tcPr>
          <w:p w14:paraId="784C4A0F" w14:textId="77777777" w:rsidR="00E9581B" w:rsidRPr="006024BF" w:rsidRDefault="00E9581B" w:rsidP="006024BF">
            <w:r w:rsidRPr="006024BF">
              <w:t>PFS</w:t>
            </w:r>
          </w:p>
        </w:tc>
        <w:tc>
          <w:tcPr>
            <w:tcW w:w="3754" w:type="pct"/>
          </w:tcPr>
          <w:p w14:paraId="21C206C1" w14:textId="77777777" w:rsidR="00E9581B" w:rsidRPr="00477F14" w:rsidRDefault="00E9581B" w:rsidP="00123D86">
            <w:r>
              <w:t>P</w:t>
            </w:r>
            <w:r w:rsidRPr="00477F14">
              <w:t>refilled syringe</w:t>
            </w:r>
          </w:p>
        </w:tc>
      </w:tr>
      <w:tr w:rsidR="00E9581B" w:rsidRPr="00B31E14" w14:paraId="302DF392" w14:textId="77777777" w:rsidTr="001B7ED1">
        <w:tc>
          <w:tcPr>
            <w:tcW w:w="1246" w:type="pct"/>
          </w:tcPr>
          <w:p w14:paraId="63F3C53F" w14:textId="77777777" w:rsidR="00E9581B" w:rsidRPr="006024BF" w:rsidRDefault="00E9581B" w:rsidP="006024BF">
            <w:r w:rsidRPr="006024BF">
              <w:t>PK</w:t>
            </w:r>
          </w:p>
        </w:tc>
        <w:tc>
          <w:tcPr>
            <w:tcW w:w="3754" w:type="pct"/>
          </w:tcPr>
          <w:p w14:paraId="19E2E312" w14:textId="66867F1C" w:rsidR="00E9581B" w:rsidRPr="00477F14" w:rsidRDefault="00E9581B" w:rsidP="00123D86">
            <w:r>
              <w:t>P</w:t>
            </w:r>
            <w:r w:rsidRPr="00477F14">
              <w:t>harmacokinetic</w:t>
            </w:r>
            <w:r w:rsidR="006024BF">
              <w:t>(</w:t>
            </w:r>
            <w:r w:rsidRPr="00477F14">
              <w:t>s</w:t>
            </w:r>
            <w:r w:rsidR="006024BF">
              <w:t>)</w:t>
            </w:r>
          </w:p>
        </w:tc>
      </w:tr>
      <w:tr w:rsidR="001A39CA" w:rsidRPr="00B31E14" w14:paraId="2C4F7BCE" w14:textId="77777777" w:rsidTr="001B7ED1">
        <w:tc>
          <w:tcPr>
            <w:tcW w:w="1246" w:type="pct"/>
          </w:tcPr>
          <w:p w14:paraId="5026ADA8" w14:textId="004D5EB0" w:rsidR="001A39CA" w:rsidRPr="006024BF" w:rsidRDefault="001A39CA" w:rsidP="006024BF">
            <w:r>
              <w:t>PT</w:t>
            </w:r>
          </w:p>
        </w:tc>
        <w:tc>
          <w:tcPr>
            <w:tcW w:w="3754" w:type="pct"/>
          </w:tcPr>
          <w:p w14:paraId="76E0E21D" w14:textId="3336390A" w:rsidR="001A39CA" w:rsidRDefault="001A39CA" w:rsidP="00123D86">
            <w:r>
              <w:t>Preferred Term</w:t>
            </w:r>
          </w:p>
        </w:tc>
      </w:tr>
      <w:tr w:rsidR="00E9581B" w:rsidRPr="00B31E14" w14:paraId="56C3F9DC" w14:textId="77777777" w:rsidTr="001B7ED1">
        <w:tc>
          <w:tcPr>
            <w:tcW w:w="1246" w:type="pct"/>
          </w:tcPr>
          <w:p w14:paraId="6DE5ED32" w14:textId="77777777" w:rsidR="00E9581B" w:rsidRPr="006024BF" w:rsidRDefault="00E9581B" w:rsidP="006024BF">
            <w:r w:rsidRPr="006024BF">
              <w:t>QOL</w:t>
            </w:r>
          </w:p>
        </w:tc>
        <w:tc>
          <w:tcPr>
            <w:tcW w:w="3754" w:type="pct"/>
          </w:tcPr>
          <w:p w14:paraId="28C98A1B" w14:textId="77777777" w:rsidR="00E9581B" w:rsidRPr="00477F14" w:rsidRDefault="00E9581B" w:rsidP="00123D86">
            <w:r>
              <w:t>Q</w:t>
            </w:r>
            <w:r w:rsidRPr="00477F14">
              <w:t>uality of life</w:t>
            </w:r>
          </w:p>
        </w:tc>
      </w:tr>
      <w:tr w:rsidR="001A39CA" w:rsidRPr="00B31E14" w14:paraId="11559AB6" w14:textId="77777777" w:rsidTr="001B7ED1">
        <w:tc>
          <w:tcPr>
            <w:tcW w:w="1246" w:type="pct"/>
          </w:tcPr>
          <w:p w14:paraId="5F0B9E8C" w14:textId="1C1CF7CF" w:rsidR="001A39CA" w:rsidRPr="006024BF" w:rsidRDefault="001A39CA" w:rsidP="006024BF">
            <w:r>
              <w:t>RMP</w:t>
            </w:r>
          </w:p>
        </w:tc>
        <w:tc>
          <w:tcPr>
            <w:tcW w:w="3754" w:type="pct"/>
          </w:tcPr>
          <w:p w14:paraId="5BCE3860" w14:textId="1E5B82D0" w:rsidR="001A39CA" w:rsidRDefault="001A39CA" w:rsidP="00123D86">
            <w:r>
              <w:t>Risk management plan</w:t>
            </w:r>
          </w:p>
        </w:tc>
      </w:tr>
      <w:tr w:rsidR="00E9581B" w:rsidRPr="00B31E14" w14:paraId="64F36C88" w14:textId="77777777" w:rsidTr="001B7ED1">
        <w:tc>
          <w:tcPr>
            <w:tcW w:w="1246" w:type="pct"/>
          </w:tcPr>
          <w:p w14:paraId="375554C6" w14:textId="40206430" w:rsidR="00E9581B" w:rsidRPr="006024BF" w:rsidRDefault="00E9581B" w:rsidP="006024BF">
            <w:r w:rsidRPr="006024BF">
              <w:t>SAE</w:t>
            </w:r>
          </w:p>
        </w:tc>
        <w:tc>
          <w:tcPr>
            <w:tcW w:w="3754" w:type="pct"/>
          </w:tcPr>
          <w:p w14:paraId="5FA20053" w14:textId="08EE6031" w:rsidR="00E9581B" w:rsidRPr="00477F14" w:rsidRDefault="00E9581B" w:rsidP="00123D86">
            <w:r>
              <w:t xml:space="preserve">Serious </w:t>
            </w:r>
            <w:r w:rsidR="006024BF">
              <w:t>a</w:t>
            </w:r>
            <w:r>
              <w:t xml:space="preserve">dverse </w:t>
            </w:r>
            <w:r w:rsidR="006024BF">
              <w:t>e</w:t>
            </w:r>
            <w:r w:rsidRPr="00477F14">
              <w:t>vent</w:t>
            </w:r>
          </w:p>
        </w:tc>
      </w:tr>
      <w:tr w:rsidR="00E9581B" w:rsidRPr="00B31E14" w14:paraId="35828B0A" w14:textId="77777777" w:rsidTr="001B7ED1">
        <w:tc>
          <w:tcPr>
            <w:tcW w:w="1246" w:type="pct"/>
          </w:tcPr>
          <w:p w14:paraId="69978B53" w14:textId="77777777" w:rsidR="00E9581B" w:rsidRPr="006024BF" w:rsidRDefault="00E9581B" w:rsidP="006024BF">
            <w:r w:rsidRPr="006024BF">
              <w:t>SC</w:t>
            </w:r>
          </w:p>
        </w:tc>
        <w:tc>
          <w:tcPr>
            <w:tcW w:w="3754" w:type="pct"/>
          </w:tcPr>
          <w:p w14:paraId="75C8DAE5" w14:textId="072677F4" w:rsidR="00E9581B" w:rsidRPr="00477F14" w:rsidRDefault="006024BF" w:rsidP="00123D86">
            <w:r>
              <w:t>S</w:t>
            </w:r>
            <w:r w:rsidR="00E9581B" w:rsidRPr="00477F14">
              <w:t>ubcutaneous</w:t>
            </w:r>
          </w:p>
        </w:tc>
      </w:tr>
      <w:tr w:rsidR="00E9581B" w:rsidRPr="00B31E14" w14:paraId="1F4E1326" w14:textId="77777777" w:rsidTr="001B7ED1">
        <w:tc>
          <w:tcPr>
            <w:tcW w:w="1246" w:type="pct"/>
          </w:tcPr>
          <w:p w14:paraId="6C1CBE3F" w14:textId="77777777" w:rsidR="00E9581B" w:rsidRPr="006024BF" w:rsidRDefault="00E9581B" w:rsidP="006024BF">
            <w:r w:rsidRPr="006024BF">
              <w:t>SCE</w:t>
            </w:r>
          </w:p>
        </w:tc>
        <w:tc>
          <w:tcPr>
            <w:tcW w:w="3754" w:type="pct"/>
          </w:tcPr>
          <w:p w14:paraId="25BB58E5" w14:textId="77777777" w:rsidR="00E9581B" w:rsidRPr="00477F14" w:rsidRDefault="00E9581B" w:rsidP="00123D86">
            <w:r w:rsidRPr="00477F14">
              <w:t>Summary of Clinical Efficacy</w:t>
            </w:r>
          </w:p>
        </w:tc>
      </w:tr>
      <w:tr w:rsidR="00E9581B" w:rsidRPr="00B31E14" w14:paraId="0277BFC6" w14:textId="77777777" w:rsidTr="001B7ED1">
        <w:tc>
          <w:tcPr>
            <w:tcW w:w="1246" w:type="pct"/>
          </w:tcPr>
          <w:p w14:paraId="11415700" w14:textId="77777777" w:rsidR="00E9581B" w:rsidRPr="006024BF" w:rsidRDefault="00E9581B" w:rsidP="006024BF">
            <w:r w:rsidRPr="006024BF">
              <w:t>SD</w:t>
            </w:r>
          </w:p>
        </w:tc>
        <w:tc>
          <w:tcPr>
            <w:tcW w:w="3754" w:type="pct"/>
          </w:tcPr>
          <w:p w14:paraId="12B34556" w14:textId="3BECEAC1" w:rsidR="00E9581B" w:rsidRPr="00477F14" w:rsidRDefault="00E9581B" w:rsidP="00123D86">
            <w:r>
              <w:t xml:space="preserve">Standard </w:t>
            </w:r>
            <w:r w:rsidR="006024BF">
              <w:t>d</w:t>
            </w:r>
            <w:r w:rsidRPr="00477F14">
              <w:t>eviation</w:t>
            </w:r>
          </w:p>
        </w:tc>
      </w:tr>
      <w:tr w:rsidR="00E9581B" w:rsidRPr="00B31E14" w14:paraId="5CE3EA49" w14:textId="77777777" w:rsidTr="001B7ED1">
        <w:tc>
          <w:tcPr>
            <w:tcW w:w="1246" w:type="pct"/>
          </w:tcPr>
          <w:p w14:paraId="4704C600" w14:textId="77777777" w:rsidR="00E9581B" w:rsidRPr="006024BF" w:rsidRDefault="00E9581B" w:rsidP="006024BF">
            <w:r w:rsidRPr="006024BF">
              <w:t>SMQs</w:t>
            </w:r>
          </w:p>
        </w:tc>
        <w:tc>
          <w:tcPr>
            <w:tcW w:w="3754" w:type="pct"/>
          </w:tcPr>
          <w:p w14:paraId="1D2CDB40" w14:textId="77777777" w:rsidR="00E9581B" w:rsidRPr="00477F14" w:rsidRDefault="00E9581B" w:rsidP="00123D86">
            <w:r w:rsidRPr="00477F14">
              <w:t>Standardised Medical Dictionary for Regulatory Activities Queries</w:t>
            </w:r>
          </w:p>
        </w:tc>
      </w:tr>
      <w:tr w:rsidR="00E9581B" w:rsidRPr="00B31E14" w14:paraId="2DE9090C" w14:textId="77777777" w:rsidTr="001B7ED1">
        <w:tc>
          <w:tcPr>
            <w:tcW w:w="1246" w:type="pct"/>
          </w:tcPr>
          <w:p w14:paraId="2E9FC9AA" w14:textId="77777777" w:rsidR="00E9581B" w:rsidRPr="006024BF" w:rsidRDefault="00E9581B" w:rsidP="006024BF">
            <w:r w:rsidRPr="006024BF">
              <w:t>TEAE</w:t>
            </w:r>
          </w:p>
        </w:tc>
        <w:tc>
          <w:tcPr>
            <w:tcW w:w="3754" w:type="pct"/>
          </w:tcPr>
          <w:p w14:paraId="43083BC0" w14:textId="77777777" w:rsidR="00E9581B" w:rsidRPr="00477F14" w:rsidRDefault="00E9581B" w:rsidP="00123D86">
            <w:r>
              <w:t>T</w:t>
            </w:r>
            <w:r w:rsidRPr="00477F14">
              <w:t>reatment-emergent adverse event</w:t>
            </w:r>
          </w:p>
        </w:tc>
      </w:tr>
      <w:tr w:rsidR="00E9581B" w:rsidRPr="00B31E14" w14:paraId="75864D8B" w14:textId="77777777" w:rsidTr="001B7ED1">
        <w:tc>
          <w:tcPr>
            <w:tcW w:w="1246" w:type="pct"/>
          </w:tcPr>
          <w:p w14:paraId="600CD219" w14:textId="77777777" w:rsidR="00E9581B" w:rsidRPr="006024BF" w:rsidRDefault="00E9581B" w:rsidP="006024BF">
            <w:r w:rsidRPr="006024BF">
              <w:t>TGA</w:t>
            </w:r>
          </w:p>
        </w:tc>
        <w:tc>
          <w:tcPr>
            <w:tcW w:w="3754" w:type="pct"/>
          </w:tcPr>
          <w:p w14:paraId="66E4E085" w14:textId="77777777" w:rsidR="00E9581B" w:rsidRPr="00477F14" w:rsidRDefault="00E9581B" w:rsidP="00123D86">
            <w:r w:rsidRPr="00477F14">
              <w:t>Therapeutic Goods Administration</w:t>
            </w:r>
          </w:p>
        </w:tc>
      </w:tr>
      <w:tr w:rsidR="00A86998" w:rsidRPr="00B31E14" w14:paraId="1F42072D" w14:textId="77777777" w:rsidTr="001B7ED1">
        <w:tc>
          <w:tcPr>
            <w:tcW w:w="1246" w:type="pct"/>
          </w:tcPr>
          <w:p w14:paraId="1E501C84" w14:textId="431A0F7C" w:rsidR="00A86998" w:rsidRPr="006024BF" w:rsidRDefault="00A86998" w:rsidP="006024BF">
            <w:r>
              <w:t>T</w:t>
            </w:r>
            <w:r w:rsidRPr="001B7ED1">
              <w:rPr>
                <w:vertAlign w:val="subscript"/>
              </w:rPr>
              <w:t>max</w:t>
            </w:r>
          </w:p>
        </w:tc>
        <w:tc>
          <w:tcPr>
            <w:tcW w:w="3754" w:type="pct"/>
          </w:tcPr>
          <w:p w14:paraId="0262B18C" w14:textId="59D0D320" w:rsidR="00A86998" w:rsidRPr="00477F14" w:rsidRDefault="00A86998" w:rsidP="00123D86">
            <w:r>
              <w:t>Time to maximum concentration</w:t>
            </w:r>
          </w:p>
        </w:tc>
      </w:tr>
      <w:tr w:rsidR="00E9581B" w:rsidRPr="00B31E14" w14:paraId="57E6796E" w14:textId="77777777" w:rsidTr="001B7ED1">
        <w:tc>
          <w:tcPr>
            <w:tcW w:w="1246" w:type="pct"/>
          </w:tcPr>
          <w:p w14:paraId="3C59B7AC" w14:textId="77777777" w:rsidR="00E9581B" w:rsidRPr="006024BF" w:rsidRDefault="00E9581B" w:rsidP="006024BF">
            <w:r w:rsidRPr="006024BF">
              <w:t>ULN</w:t>
            </w:r>
          </w:p>
        </w:tc>
        <w:tc>
          <w:tcPr>
            <w:tcW w:w="3754" w:type="pct"/>
          </w:tcPr>
          <w:p w14:paraId="58E803CB" w14:textId="77777777" w:rsidR="00E9581B" w:rsidRPr="00477F14" w:rsidRDefault="00E9581B" w:rsidP="00123D86">
            <w:r>
              <w:t>U</w:t>
            </w:r>
            <w:r w:rsidRPr="00477F14">
              <w:t>pper limit of normal</w:t>
            </w:r>
          </w:p>
        </w:tc>
      </w:tr>
    </w:tbl>
    <w:p w14:paraId="45DD3C8D" w14:textId="77777777" w:rsidR="00E9581B" w:rsidRDefault="00E9581B" w:rsidP="00150E11">
      <w:pPr>
        <w:pStyle w:val="Heading2"/>
        <w:pageBreakBefore/>
      </w:pPr>
      <w:bookmarkStart w:id="8" w:name="_Toc22051375"/>
      <w:bookmarkStart w:id="9" w:name="_Toc27745203"/>
      <w:r>
        <w:lastRenderedPageBreak/>
        <w:t>I. Introduction to product submission</w:t>
      </w:r>
      <w:bookmarkEnd w:id="8"/>
      <w:bookmarkEnd w:id="9"/>
    </w:p>
    <w:p w14:paraId="5368D898" w14:textId="77777777" w:rsidR="00E9581B" w:rsidRDefault="00E9581B" w:rsidP="00E9581B">
      <w:pPr>
        <w:pStyle w:val="Heading3"/>
        <w:rPr>
          <w:lang w:eastAsia="en-AU"/>
        </w:rPr>
      </w:pPr>
      <w:bookmarkStart w:id="10" w:name="_Toc247691502"/>
      <w:bookmarkStart w:id="11" w:name="_Toc314842483"/>
      <w:bookmarkStart w:id="12" w:name="_Toc22051376"/>
      <w:bookmarkStart w:id="13" w:name="_Toc27745204"/>
      <w:r>
        <w:rPr>
          <w:lang w:eastAsia="en-AU"/>
        </w:rPr>
        <w:t>Submission details</w:t>
      </w:r>
      <w:bookmarkEnd w:id="10"/>
      <w:bookmarkEnd w:id="11"/>
      <w:bookmarkEnd w:id="12"/>
      <w:bookmarkEnd w:id="13"/>
    </w:p>
    <w:tbl>
      <w:tblPr>
        <w:tblW w:w="9214" w:type="dxa"/>
        <w:tblInd w:w="108" w:type="dxa"/>
        <w:tblLook w:val="01E0" w:firstRow="1" w:lastRow="1" w:firstColumn="1" w:lastColumn="1" w:noHBand="0" w:noVBand="0"/>
      </w:tblPr>
      <w:tblGrid>
        <w:gridCol w:w="2907"/>
        <w:gridCol w:w="6307"/>
      </w:tblGrid>
      <w:tr w:rsidR="00E9581B" w:rsidRPr="003D1E62" w14:paraId="28AEEE70" w14:textId="77777777" w:rsidTr="00123D86">
        <w:tc>
          <w:tcPr>
            <w:tcW w:w="2907" w:type="dxa"/>
          </w:tcPr>
          <w:p w14:paraId="784A2438" w14:textId="77777777" w:rsidR="00E9581B" w:rsidRPr="003D1E62" w:rsidRDefault="00E9581B" w:rsidP="00123D86">
            <w:pPr>
              <w:rPr>
                <w:i/>
              </w:rPr>
            </w:pPr>
            <w:r>
              <w:rPr>
                <w:i/>
              </w:rPr>
              <w:t>Type of s</w:t>
            </w:r>
            <w:r w:rsidRPr="003D1E62">
              <w:rPr>
                <w:i/>
              </w:rPr>
              <w:t>ubmission</w:t>
            </w:r>
            <w:r>
              <w:rPr>
                <w:i/>
              </w:rPr>
              <w:t>:</w:t>
            </w:r>
          </w:p>
        </w:tc>
        <w:tc>
          <w:tcPr>
            <w:tcW w:w="6307" w:type="dxa"/>
          </w:tcPr>
          <w:p w14:paraId="4F5C72DA" w14:textId="08949A62" w:rsidR="00E9581B" w:rsidRPr="003D1E62" w:rsidRDefault="00E9581B" w:rsidP="00123D86">
            <w:r w:rsidRPr="003D1E62">
              <w:t xml:space="preserve">New </w:t>
            </w:r>
            <w:r w:rsidR="006343F6">
              <w:t>biological</w:t>
            </w:r>
            <w:r w:rsidRPr="003D1E62">
              <w:t xml:space="preserve"> </w:t>
            </w:r>
            <w:r>
              <w:t>entity</w:t>
            </w:r>
          </w:p>
        </w:tc>
      </w:tr>
      <w:tr w:rsidR="00E9581B" w:rsidRPr="003D1E62" w14:paraId="225F6D28" w14:textId="77777777" w:rsidTr="00123D86">
        <w:tc>
          <w:tcPr>
            <w:tcW w:w="2907" w:type="dxa"/>
          </w:tcPr>
          <w:p w14:paraId="59FDFEFA" w14:textId="77777777" w:rsidR="00E9581B" w:rsidRPr="003D1E62" w:rsidRDefault="00E9581B" w:rsidP="00123D86">
            <w:r w:rsidRPr="003D1E62">
              <w:rPr>
                <w:i/>
              </w:rPr>
              <w:t>Decision</w:t>
            </w:r>
            <w:r w:rsidRPr="003D1E62">
              <w:t>:</w:t>
            </w:r>
          </w:p>
        </w:tc>
        <w:tc>
          <w:tcPr>
            <w:tcW w:w="6307" w:type="dxa"/>
          </w:tcPr>
          <w:p w14:paraId="002B90D2" w14:textId="77777777" w:rsidR="00E9581B" w:rsidRPr="003D1E62" w:rsidRDefault="00E9581B" w:rsidP="00123D86">
            <w:r>
              <w:t>Approved</w:t>
            </w:r>
          </w:p>
        </w:tc>
      </w:tr>
      <w:tr w:rsidR="00E9581B" w:rsidRPr="003D1E62" w14:paraId="4C4E960F" w14:textId="77777777" w:rsidTr="00123D86">
        <w:tc>
          <w:tcPr>
            <w:tcW w:w="2907" w:type="dxa"/>
          </w:tcPr>
          <w:p w14:paraId="41EB5918" w14:textId="77777777" w:rsidR="00E9581B" w:rsidRPr="003D1E62" w:rsidRDefault="00E9581B" w:rsidP="00123D86">
            <w:pPr>
              <w:rPr>
                <w:i/>
              </w:rPr>
            </w:pPr>
            <w:r w:rsidRPr="003D1E62">
              <w:rPr>
                <w:i/>
              </w:rPr>
              <w:t xml:space="preserve">Date of </w:t>
            </w:r>
            <w:r>
              <w:rPr>
                <w:i/>
              </w:rPr>
              <w:t>d</w:t>
            </w:r>
            <w:r w:rsidRPr="003D1E62">
              <w:rPr>
                <w:i/>
              </w:rPr>
              <w:t>ecision:</w:t>
            </w:r>
          </w:p>
        </w:tc>
        <w:tc>
          <w:tcPr>
            <w:tcW w:w="6307" w:type="dxa"/>
          </w:tcPr>
          <w:p w14:paraId="7CC5D378" w14:textId="77777777" w:rsidR="00E9581B" w:rsidRPr="0046393D" w:rsidRDefault="00E9581B" w:rsidP="00123D86">
            <w:r w:rsidRPr="0046393D">
              <w:t>17 September 2019</w:t>
            </w:r>
          </w:p>
        </w:tc>
      </w:tr>
      <w:tr w:rsidR="00E9581B" w:rsidRPr="003D1E62" w14:paraId="3EA2F101" w14:textId="77777777" w:rsidTr="00123D86">
        <w:tc>
          <w:tcPr>
            <w:tcW w:w="2907" w:type="dxa"/>
          </w:tcPr>
          <w:p w14:paraId="7DDF93D7" w14:textId="77777777" w:rsidR="00E9581B" w:rsidRPr="00441C3F" w:rsidRDefault="00E9581B" w:rsidP="00123D86">
            <w:pPr>
              <w:rPr>
                <w:i/>
              </w:rPr>
            </w:pPr>
            <w:r w:rsidRPr="00441C3F">
              <w:rPr>
                <w:i/>
              </w:rPr>
              <w:t>Date of entry onto ARTG</w:t>
            </w:r>
            <w:r>
              <w:rPr>
                <w:i/>
              </w:rPr>
              <w:t>:</w:t>
            </w:r>
          </w:p>
        </w:tc>
        <w:tc>
          <w:tcPr>
            <w:tcW w:w="6307" w:type="dxa"/>
          </w:tcPr>
          <w:p w14:paraId="05378982" w14:textId="77777777" w:rsidR="00E9581B" w:rsidRPr="0046393D" w:rsidRDefault="00E9581B" w:rsidP="00123D86">
            <w:r>
              <w:t>20 September 2019</w:t>
            </w:r>
          </w:p>
        </w:tc>
      </w:tr>
      <w:tr w:rsidR="00E9581B" w:rsidRPr="003D1E62" w14:paraId="346156D1" w14:textId="77777777" w:rsidTr="00123D86">
        <w:tc>
          <w:tcPr>
            <w:tcW w:w="2907" w:type="dxa"/>
          </w:tcPr>
          <w:p w14:paraId="0C0496B9" w14:textId="77777777" w:rsidR="00E9581B" w:rsidRPr="00441C3F" w:rsidRDefault="00E9581B" w:rsidP="00123D86">
            <w:pPr>
              <w:rPr>
                <w:i/>
              </w:rPr>
            </w:pPr>
            <w:r>
              <w:rPr>
                <w:i/>
              </w:rPr>
              <w:t>ARTG number:</w:t>
            </w:r>
          </w:p>
        </w:tc>
        <w:tc>
          <w:tcPr>
            <w:tcW w:w="6307" w:type="dxa"/>
          </w:tcPr>
          <w:p w14:paraId="2716E524" w14:textId="77777777" w:rsidR="00E9581B" w:rsidRPr="00441C3F" w:rsidRDefault="00E9581B" w:rsidP="00123D86">
            <w:r>
              <w:rPr>
                <w:rFonts w:eastAsia="Calibri"/>
              </w:rPr>
              <w:t>308630</w:t>
            </w:r>
          </w:p>
        </w:tc>
      </w:tr>
      <w:tr w:rsidR="00E9581B" w:rsidRPr="003D1E62" w14:paraId="664E65F0" w14:textId="77777777" w:rsidTr="00123D86">
        <w:tc>
          <w:tcPr>
            <w:tcW w:w="2907" w:type="dxa"/>
          </w:tcPr>
          <w:p w14:paraId="154C675F" w14:textId="77777777" w:rsidR="00E9581B" w:rsidRDefault="00E9581B" w:rsidP="00123D86">
            <w:pPr>
              <w:rPr>
                <w:i/>
              </w:rPr>
            </w:pPr>
            <w:r>
              <w:rPr>
                <w:rFonts w:ascii="Wingdings 3" w:hAnsi="Wingdings 3"/>
                <w:sz w:val="34"/>
                <w:szCs w:val="34"/>
                <w:lang w:eastAsia="en-AU"/>
              </w:rPr>
              <w:t></w:t>
            </w:r>
            <w:r w:rsidRPr="003735BC">
              <w:rPr>
                <w:i/>
              </w:rPr>
              <w:t>Black Triangle Scheme</w:t>
            </w:r>
          </w:p>
        </w:tc>
        <w:tc>
          <w:tcPr>
            <w:tcW w:w="6307" w:type="dxa"/>
          </w:tcPr>
          <w:p w14:paraId="2F265A04" w14:textId="77777777" w:rsidR="00E9581B" w:rsidRDefault="00E9581B" w:rsidP="00123D86">
            <w:r>
              <w:t>Yes</w:t>
            </w:r>
          </w:p>
          <w:p w14:paraId="6D580F43" w14:textId="77777777" w:rsidR="00E9581B" w:rsidRPr="00487162" w:rsidRDefault="00E9581B" w:rsidP="00123D86">
            <w:r>
              <w:t>This product will remain in the scheme for 5 years, starting on the date the product is first supplied in Australia.</w:t>
            </w:r>
          </w:p>
        </w:tc>
      </w:tr>
      <w:tr w:rsidR="00E9581B" w:rsidRPr="00487162" w14:paraId="16749772" w14:textId="77777777" w:rsidTr="00123D86">
        <w:tc>
          <w:tcPr>
            <w:tcW w:w="2907" w:type="dxa"/>
          </w:tcPr>
          <w:p w14:paraId="68A997E7" w14:textId="12CC2813" w:rsidR="00E9581B" w:rsidRPr="00487162" w:rsidRDefault="00E9581B" w:rsidP="00E82A6C">
            <w:pPr>
              <w:rPr>
                <w:i/>
              </w:rPr>
            </w:pPr>
            <w:r>
              <w:rPr>
                <w:i/>
              </w:rPr>
              <w:t>Active ingredient:</w:t>
            </w:r>
          </w:p>
        </w:tc>
        <w:tc>
          <w:tcPr>
            <w:tcW w:w="6307" w:type="dxa"/>
          </w:tcPr>
          <w:p w14:paraId="4D357274" w14:textId="77777777" w:rsidR="00E9581B" w:rsidRPr="00487162" w:rsidRDefault="00E9581B" w:rsidP="00123D86">
            <w:r>
              <w:t>F</w:t>
            </w:r>
            <w:r w:rsidRPr="005C4091">
              <w:t>remanezumab</w:t>
            </w:r>
          </w:p>
        </w:tc>
      </w:tr>
      <w:tr w:rsidR="00E9581B" w:rsidRPr="00487162" w14:paraId="7A2CCA2A" w14:textId="77777777" w:rsidTr="00123D86">
        <w:tc>
          <w:tcPr>
            <w:tcW w:w="2907" w:type="dxa"/>
          </w:tcPr>
          <w:p w14:paraId="11E2B8F3" w14:textId="3D2A15BA" w:rsidR="00E9581B" w:rsidRPr="00487162" w:rsidRDefault="00E9581B" w:rsidP="00E82A6C">
            <w:pPr>
              <w:rPr>
                <w:i/>
              </w:rPr>
            </w:pPr>
            <w:r w:rsidRPr="00487162">
              <w:rPr>
                <w:i/>
              </w:rPr>
              <w:t>Product</w:t>
            </w:r>
            <w:r>
              <w:rPr>
                <w:i/>
              </w:rPr>
              <w:t xml:space="preserve"> name:</w:t>
            </w:r>
          </w:p>
        </w:tc>
        <w:tc>
          <w:tcPr>
            <w:tcW w:w="6307" w:type="dxa"/>
          </w:tcPr>
          <w:p w14:paraId="41DDEF29" w14:textId="77777777" w:rsidR="00E9581B" w:rsidRPr="00487162" w:rsidRDefault="00E9581B" w:rsidP="00123D86">
            <w:r>
              <w:t>Ajovy</w:t>
            </w:r>
          </w:p>
        </w:tc>
      </w:tr>
      <w:tr w:rsidR="00E9581B" w:rsidRPr="00487162" w14:paraId="6D9F9ECD" w14:textId="77777777" w:rsidTr="00123D86">
        <w:tc>
          <w:tcPr>
            <w:tcW w:w="2907" w:type="dxa"/>
          </w:tcPr>
          <w:p w14:paraId="23549808" w14:textId="77777777" w:rsidR="00E9581B" w:rsidRPr="00487162" w:rsidRDefault="00E9581B" w:rsidP="00123D86">
            <w:pPr>
              <w:rPr>
                <w:i/>
              </w:rPr>
            </w:pPr>
            <w:r w:rsidRPr="00487162">
              <w:rPr>
                <w:i/>
              </w:rPr>
              <w:t xml:space="preserve">Sponsor’s </w:t>
            </w:r>
            <w:r>
              <w:rPr>
                <w:i/>
              </w:rPr>
              <w:t>n</w:t>
            </w:r>
            <w:r w:rsidRPr="00487162">
              <w:rPr>
                <w:i/>
              </w:rPr>
              <w:t xml:space="preserve">ame and </w:t>
            </w:r>
            <w:r>
              <w:rPr>
                <w:i/>
              </w:rPr>
              <w:t>a</w:t>
            </w:r>
            <w:r w:rsidRPr="00487162">
              <w:rPr>
                <w:i/>
              </w:rPr>
              <w:t>ddress:</w:t>
            </w:r>
          </w:p>
        </w:tc>
        <w:tc>
          <w:tcPr>
            <w:tcW w:w="6307" w:type="dxa"/>
          </w:tcPr>
          <w:p w14:paraId="7F593E99" w14:textId="77777777" w:rsidR="00E9581B" w:rsidRPr="004A3DB1" w:rsidRDefault="00E9581B" w:rsidP="001B7ED1">
            <w:pPr>
              <w:rPr>
                <w:lang w:val="es-ES"/>
              </w:rPr>
            </w:pPr>
            <w:r w:rsidRPr="004A3DB1">
              <w:rPr>
                <w:lang w:val="es-ES"/>
              </w:rPr>
              <w:t>Teva Pharma Australia Pty Ltd</w:t>
            </w:r>
          </w:p>
          <w:p w14:paraId="1DC36FAA" w14:textId="77777777" w:rsidR="00E9581B" w:rsidRPr="00D75678" w:rsidRDefault="00E9581B" w:rsidP="00123D86">
            <w:pPr>
              <w:spacing w:before="0" w:after="200" w:line="276" w:lineRule="auto"/>
              <w:rPr>
                <w:rFonts w:eastAsia="Calibri"/>
                <w:lang w:val="es-ES"/>
              </w:rPr>
            </w:pPr>
            <w:r w:rsidRPr="004A3DB1">
              <w:rPr>
                <w:rFonts w:eastAsia="Calibri"/>
                <w:lang w:val="es-ES"/>
              </w:rPr>
              <w:t>37 Epping Road, Macquarie Park, NSW 2113</w:t>
            </w:r>
          </w:p>
        </w:tc>
      </w:tr>
      <w:tr w:rsidR="00E9581B" w:rsidRPr="00487162" w14:paraId="59932F3E" w14:textId="77777777" w:rsidTr="00123D86">
        <w:tc>
          <w:tcPr>
            <w:tcW w:w="2907" w:type="dxa"/>
          </w:tcPr>
          <w:p w14:paraId="1F9C1AB5" w14:textId="12905C96" w:rsidR="00E9581B" w:rsidRPr="00487162" w:rsidRDefault="00E9581B" w:rsidP="00E82A6C">
            <w:pPr>
              <w:rPr>
                <w:i/>
              </w:rPr>
            </w:pPr>
            <w:r>
              <w:rPr>
                <w:i/>
              </w:rPr>
              <w:t>Dose form:</w:t>
            </w:r>
          </w:p>
        </w:tc>
        <w:tc>
          <w:tcPr>
            <w:tcW w:w="6307" w:type="dxa"/>
          </w:tcPr>
          <w:p w14:paraId="42B94B86" w14:textId="77777777" w:rsidR="00E9581B" w:rsidRPr="00487162" w:rsidRDefault="00E9581B" w:rsidP="00123D86">
            <w:r w:rsidRPr="00A60766">
              <w:rPr>
                <w:rFonts w:eastAsia="Calibri"/>
              </w:rPr>
              <w:t>Solution for injection</w:t>
            </w:r>
          </w:p>
        </w:tc>
      </w:tr>
      <w:tr w:rsidR="00E9581B" w:rsidRPr="00487162" w14:paraId="1E173BDD" w14:textId="77777777" w:rsidTr="00123D86">
        <w:tc>
          <w:tcPr>
            <w:tcW w:w="2907" w:type="dxa"/>
          </w:tcPr>
          <w:p w14:paraId="7E883603" w14:textId="2D4EBCA4" w:rsidR="00E9581B" w:rsidRPr="00487162" w:rsidRDefault="00FC523E" w:rsidP="00E82A6C">
            <w:pPr>
              <w:rPr>
                <w:i/>
              </w:rPr>
            </w:pPr>
            <w:r>
              <w:rPr>
                <w:i/>
              </w:rPr>
              <w:t>Strength:</w:t>
            </w:r>
          </w:p>
        </w:tc>
        <w:tc>
          <w:tcPr>
            <w:tcW w:w="6307" w:type="dxa"/>
          </w:tcPr>
          <w:p w14:paraId="4A8CFEC9" w14:textId="1FDED7C2" w:rsidR="00E9581B" w:rsidRPr="00487162" w:rsidRDefault="00E9581B" w:rsidP="002502C1">
            <w:r>
              <w:rPr>
                <w:rFonts w:cs="Cambria"/>
                <w:lang w:eastAsia="en-AU"/>
              </w:rPr>
              <w:t>225 mg/1.5 mL</w:t>
            </w:r>
          </w:p>
        </w:tc>
      </w:tr>
      <w:tr w:rsidR="00E9581B" w:rsidRPr="00487162" w14:paraId="3124CDDD" w14:textId="77777777" w:rsidTr="00123D86">
        <w:tc>
          <w:tcPr>
            <w:tcW w:w="2907" w:type="dxa"/>
          </w:tcPr>
          <w:p w14:paraId="7C6054C3" w14:textId="7B3C0D24" w:rsidR="00E9581B" w:rsidRPr="00487162" w:rsidRDefault="00E9581B" w:rsidP="00E82A6C">
            <w:pPr>
              <w:rPr>
                <w:i/>
              </w:rPr>
            </w:pPr>
            <w:r w:rsidRPr="00487162">
              <w:rPr>
                <w:i/>
              </w:rPr>
              <w:t>Container:</w:t>
            </w:r>
          </w:p>
        </w:tc>
        <w:tc>
          <w:tcPr>
            <w:tcW w:w="6307" w:type="dxa"/>
          </w:tcPr>
          <w:p w14:paraId="16A0C7FC" w14:textId="77777777" w:rsidR="00E9581B" w:rsidRPr="00487162" w:rsidRDefault="00E9581B" w:rsidP="00123D86">
            <w:r w:rsidRPr="00A60766">
              <w:rPr>
                <w:rFonts w:eastAsia="Calibri"/>
              </w:rPr>
              <w:t>Prefilled syringe</w:t>
            </w:r>
          </w:p>
        </w:tc>
      </w:tr>
      <w:tr w:rsidR="00E9581B" w:rsidRPr="00487162" w14:paraId="3F8535D4" w14:textId="77777777" w:rsidTr="00123D86">
        <w:tc>
          <w:tcPr>
            <w:tcW w:w="2907" w:type="dxa"/>
          </w:tcPr>
          <w:p w14:paraId="6BFA5D6A" w14:textId="49D11D88" w:rsidR="00E9581B" w:rsidRPr="00487162" w:rsidRDefault="00E9581B" w:rsidP="00E82A6C">
            <w:pPr>
              <w:rPr>
                <w:i/>
              </w:rPr>
            </w:pPr>
            <w:r w:rsidRPr="00487162">
              <w:rPr>
                <w:i/>
              </w:rPr>
              <w:t>Pack size:</w:t>
            </w:r>
          </w:p>
        </w:tc>
        <w:tc>
          <w:tcPr>
            <w:tcW w:w="6307" w:type="dxa"/>
          </w:tcPr>
          <w:p w14:paraId="7EDEAC4E" w14:textId="77777777" w:rsidR="00E9581B" w:rsidRPr="00487162" w:rsidRDefault="00E9581B" w:rsidP="00123D86">
            <w:r w:rsidRPr="00A60766">
              <w:rPr>
                <w:rFonts w:eastAsia="Calibri"/>
              </w:rPr>
              <w:t>1 or 3</w:t>
            </w:r>
          </w:p>
        </w:tc>
      </w:tr>
      <w:tr w:rsidR="00E9581B" w:rsidRPr="00487162" w14:paraId="538E2D7A" w14:textId="77777777" w:rsidTr="00123D86">
        <w:tc>
          <w:tcPr>
            <w:tcW w:w="2907" w:type="dxa"/>
          </w:tcPr>
          <w:p w14:paraId="746EEBD7" w14:textId="77777777" w:rsidR="00E9581B" w:rsidRPr="00487162" w:rsidRDefault="00E9581B" w:rsidP="00123D86">
            <w:pPr>
              <w:rPr>
                <w:i/>
              </w:rPr>
            </w:pPr>
            <w:r w:rsidRPr="00487162">
              <w:rPr>
                <w:i/>
              </w:rPr>
              <w:t xml:space="preserve">Approved </w:t>
            </w:r>
            <w:r>
              <w:rPr>
                <w:i/>
              </w:rPr>
              <w:t>t</w:t>
            </w:r>
            <w:r w:rsidRPr="00487162">
              <w:rPr>
                <w:i/>
              </w:rPr>
              <w:t>herapeutic use:</w:t>
            </w:r>
          </w:p>
        </w:tc>
        <w:tc>
          <w:tcPr>
            <w:tcW w:w="6307" w:type="dxa"/>
          </w:tcPr>
          <w:p w14:paraId="5E5A9189" w14:textId="77777777" w:rsidR="00E9581B" w:rsidRPr="00487162" w:rsidRDefault="00E9581B" w:rsidP="00123D86">
            <w:pPr>
              <w:rPr>
                <w:rFonts w:eastAsia="MS Mincho"/>
                <w:lang w:eastAsia="ja-JP"/>
              </w:rPr>
            </w:pPr>
            <w:r w:rsidRPr="00A60766">
              <w:rPr>
                <w:rFonts w:cs="Cambria"/>
                <w:i/>
                <w:lang w:eastAsia="en-AU"/>
              </w:rPr>
              <w:t>Ajovy is indicated for the preventive treatment of migraine in adults.</w:t>
            </w:r>
          </w:p>
        </w:tc>
      </w:tr>
      <w:tr w:rsidR="00E9581B" w:rsidRPr="00487162" w14:paraId="1CC27830" w14:textId="77777777" w:rsidTr="00123D86">
        <w:tc>
          <w:tcPr>
            <w:tcW w:w="2907" w:type="dxa"/>
          </w:tcPr>
          <w:p w14:paraId="10739311" w14:textId="7666C331" w:rsidR="00E9581B" w:rsidRPr="00487162" w:rsidRDefault="00E9581B" w:rsidP="00123D86">
            <w:pPr>
              <w:rPr>
                <w:i/>
              </w:rPr>
            </w:pPr>
            <w:r w:rsidRPr="00487162">
              <w:rPr>
                <w:i/>
              </w:rPr>
              <w:t>Route of administration:</w:t>
            </w:r>
          </w:p>
        </w:tc>
        <w:tc>
          <w:tcPr>
            <w:tcW w:w="6307" w:type="dxa"/>
          </w:tcPr>
          <w:p w14:paraId="3CDD9C50" w14:textId="77777777" w:rsidR="00E9581B" w:rsidRPr="00487162" w:rsidRDefault="00E9581B" w:rsidP="00123D86">
            <w:r w:rsidRPr="00A60766">
              <w:rPr>
                <w:rFonts w:eastAsia="Calibri"/>
              </w:rPr>
              <w:t>Subcutaneous</w:t>
            </w:r>
            <w:r>
              <w:rPr>
                <w:rFonts w:eastAsia="Calibri"/>
              </w:rPr>
              <w:t xml:space="preserve"> (SC)</w:t>
            </w:r>
          </w:p>
        </w:tc>
      </w:tr>
      <w:tr w:rsidR="00E9581B" w:rsidRPr="00487162" w14:paraId="22599044" w14:textId="77777777" w:rsidTr="00123D86">
        <w:tc>
          <w:tcPr>
            <w:tcW w:w="2907" w:type="dxa"/>
          </w:tcPr>
          <w:p w14:paraId="6B899C15" w14:textId="77777777" w:rsidR="00E9581B" w:rsidRPr="00487162" w:rsidRDefault="00E9581B" w:rsidP="00123D86">
            <w:pPr>
              <w:rPr>
                <w:i/>
              </w:rPr>
            </w:pPr>
            <w:r w:rsidRPr="00487162">
              <w:rPr>
                <w:i/>
              </w:rPr>
              <w:t>Dosage:</w:t>
            </w:r>
          </w:p>
        </w:tc>
        <w:tc>
          <w:tcPr>
            <w:tcW w:w="6307" w:type="dxa"/>
          </w:tcPr>
          <w:p w14:paraId="1935B8E2" w14:textId="77777777" w:rsidR="00E9581B" w:rsidRPr="00A60766" w:rsidRDefault="00E9581B" w:rsidP="00123D86">
            <w:pPr>
              <w:spacing w:before="0" w:after="200" w:line="276" w:lineRule="auto"/>
              <w:rPr>
                <w:rFonts w:eastAsia="Calibri"/>
              </w:rPr>
            </w:pPr>
            <w:r w:rsidRPr="00A60766">
              <w:rPr>
                <w:rFonts w:eastAsia="Calibri"/>
              </w:rPr>
              <w:t>225 mg once monthly (monthly dosing) or 675 mg every three months (quarterly dosing).</w:t>
            </w:r>
          </w:p>
          <w:p w14:paraId="3D027544" w14:textId="108DA048" w:rsidR="00E9581B" w:rsidRPr="00487162" w:rsidRDefault="00E9581B" w:rsidP="00123D86">
            <w:r w:rsidRPr="007473D5">
              <w:rPr>
                <w:rFonts w:eastAsia="Calibri"/>
              </w:rPr>
              <w:t xml:space="preserve">For further </w:t>
            </w:r>
            <w:r w:rsidR="00E85F62" w:rsidRPr="007473D5">
              <w:rPr>
                <w:rFonts w:eastAsia="Calibri"/>
              </w:rPr>
              <w:t>information,</w:t>
            </w:r>
            <w:r w:rsidRPr="007473D5">
              <w:rPr>
                <w:rFonts w:eastAsia="Calibri"/>
              </w:rPr>
              <w:t xml:space="preserve"> refer to the Product Information.</w:t>
            </w:r>
          </w:p>
        </w:tc>
      </w:tr>
    </w:tbl>
    <w:p w14:paraId="61003D05" w14:textId="77777777" w:rsidR="00E9581B" w:rsidRDefault="00E9581B" w:rsidP="00E9581B">
      <w:pPr>
        <w:pStyle w:val="Heading3"/>
      </w:pPr>
      <w:bookmarkStart w:id="14" w:name="_Toc247691503"/>
      <w:bookmarkStart w:id="15" w:name="_Toc314842484"/>
      <w:bookmarkStart w:id="16" w:name="_Toc22051377"/>
      <w:bookmarkStart w:id="17" w:name="_Toc27745205"/>
      <w:r>
        <w:t>Product background</w:t>
      </w:r>
      <w:bookmarkEnd w:id="14"/>
      <w:bookmarkEnd w:id="15"/>
      <w:bookmarkEnd w:id="16"/>
      <w:bookmarkEnd w:id="17"/>
    </w:p>
    <w:p w14:paraId="6131CB1F" w14:textId="657F1BD2" w:rsidR="00E9581B" w:rsidRDefault="00E9581B" w:rsidP="00E9581B">
      <w:r w:rsidRPr="00940A89">
        <w:t xml:space="preserve">This AusPAR describes the application by the sponsor </w:t>
      </w:r>
      <w:r>
        <w:t xml:space="preserve">(Teva Pharma Australia Pty Ltd) </w:t>
      </w:r>
      <w:r w:rsidRPr="00940A89">
        <w:t xml:space="preserve">to register </w:t>
      </w:r>
      <w:r>
        <w:t xml:space="preserve">the </w:t>
      </w:r>
      <w:r w:rsidR="00E137E7">
        <w:t>new biological</w:t>
      </w:r>
      <w:r>
        <w:t xml:space="preserve"> entity fremanezumab (as Ajovy) 225 mg/1.5 mL prefilled syringe </w:t>
      </w:r>
      <w:r w:rsidRPr="00940A89">
        <w:t>f</w:t>
      </w:r>
      <w:r>
        <w:t>or the following indication:</w:t>
      </w:r>
    </w:p>
    <w:p w14:paraId="4E4A4A17" w14:textId="77777777" w:rsidR="00E9581B" w:rsidRPr="001422A6" w:rsidRDefault="00E9581B" w:rsidP="00E9581B">
      <w:pPr>
        <w:ind w:firstLine="720"/>
        <w:rPr>
          <w:i/>
          <w:lang w:eastAsia="ja-JP"/>
        </w:rPr>
      </w:pPr>
      <w:r w:rsidRPr="00A60766">
        <w:rPr>
          <w:rFonts w:cs="Cambria"/>
          <w:i/>
          <w:lang w:eastAsia="en-AU"/>
        </w:rPr>
        <w:t xml:space="preserve">Ajovy is indicated </w:t>
      </w:r>
      <w:r>
        <w:rPr>
          <w:rFonts w:cs="Cambria"/>
          <w:i/>
          <w:lang w:eastAsia="en-AU"/>
        </w:rPr>
        <w:t>f</w:t>
      </w:r>
      <w:r w:rsidRPr="001422A6">
        <w:rPr>
          <w:i/>
          <w:lang w:eastAsia="ja-JP"/>
        </w:rPr>
        <w:t>or the preventive treatment of migraine in adults.</w:t>
      </w:r>
    </w:p>
    <w:p w14:paraId="1309286E" w14:textId="05D4530A" w:rsidR="00E9581B" w:rsidRDefault="00E9581B" w:rsidP="0025596B">
      <w:pPr>
        <w:rPr>
          <w:lang w:eastAsia="ja-JP"/>
        </w:rPr>
      </w:pPr>
      <w:r>
        <w:rPr>
          <w:lang w:eastAsia="ja-JP"/>
        </w:rPr>
        <w:t>The sponsor propose</w:t>
      </w:r>
      <w:r w:rsidR="006343F6">
        <w:rPr>
          <w:lang w:eastAsia="ja-JP"/>
        </w:rPr>
        <w:t>d</w:t>
      </w:r>
      <w:r>
        <w:rPr>
          <w:lang w:eastAsia="ja-JP"/>
        </w:rPr>
        <w:t xml:space="preserve"> two different doses:</w:t>
      </w:r>
    </w:p>
    <w:p w14:paraId="6160AFCB" w14:textId="77777777" w:rsidR="00E9581B" w:rsidRDefault="00E9581B" w:rsidP="0025596B">
      <w:pPr>
        <w:pStyle w:val="ListBullet"/>
        <w:rPr>
          <w:lang w:eastAsia="ja-JP"/>
        </w:rPr>
      </w:pPr>
      <w:r>
        <w:rPr>
          <w:lang w:eastAsia="ja-JP"/>
        </w:rPr>
        <w:t xml:space="preserve">225 mg subcutaneously </w:t>
      </w:r>
      <w:r w:rsidR="00123D86">
        <w:rPr>
          <w:lang w:eastAsia="ja-JP"/>
        </w:rPr>
        <w:t xml:space="preserve">(SC) </w:t>
      </w:r>
      <w:r>
        <w:rPr>
          <w:lang w:eastAsia="ja-JP"/>
        </w:rPr>
        <w:t>once monthly (monthly dosing); or</w:t>
      </w:r>
    </w:p>
    <w:p w14:paraId="5544E28D" w14:textId="77777777" w:rsidR="00E9581B" w:rsidRDefault="00E9581B" w:rsidP="00E9581B">
      <w:pPr>
        <w:pStyle w:val="ListBullet"/>
        <w:numPr>
          <w:ilvl w:val="0"/>
          <w:numId w:val="3"/>
        </w:numPr>
        <w:rPr>
          <w:lang w:eastAsia="ja-JP"/>
        </w:rPr>
      </w:pPr>
      <w:r>
        <w:rPr>
          <w:lang w:eastAsia="ja-JP"/>
        </w:rPr>
        <w:lastRenderedPageBreak/>
        <w:t xml:space="preserve">675 mg </w:t>
      </w:r>
      <w:r w:rsidR="00123D86">
        <w:rPr>
          <w:lang w:eastAsia="ja-JP"/>
        </w:rPr>
        <w:t>SC</w:t>
      </w:r>
      <w:r>
        <w:rPr>
          <w:lang w:eastAsia="ja-JP"/>
        </w:rPr>
        <w:t xml:space="preserve"> every three months (quarterly dosing).</w:t>
      </w:r>
    </w:p>
    <w:p w14:paraId="4EB412F7" w14:textId="77777777" w:rsidR="00E9581B" w:rsidRDefault="00E9581B" w:rsidP="00E9581B">
      <w:pPr>
        <w:rPr>
          <w:lang w:eastAsia="ja-JP"/>
        </w:rPr>
      </w:pPr>
      <w:r>
        <w:rPr>
          <w:lang w:eastAsia="ja-JP"/>
        </w:rPr>
        <w:t>The 675 mg dose is achieved by administering the contents of three pre-filled syringes, each containing 225 mg of fremanezumab.</w:t>
      </w:r>
    </w:p>
    <w:p w14:paraId="6D485C1A" w14:textId="7F4A7B20" w:rsidR="00E9581B" w:rsidRDefault="00E9581B" w:rsidP="00515E1C">
      <w:pPr>
        <w:rPr>
          <w:lang w:eastAsia="ja-JP"/>
        </w:rPr>
      </w:pPr>
      <w:r>
        <w:rPr>
          <w:lang w:eastAsia="ja-JP"/>
        </w:rPr>
        <w:t>Fremanezumab is a new biological agent, consisting of a humanised immunoglobulin (Ig) G2Δa/kappa monoclonal antibody</w:t>
      </w:r>
      <w:r w:rsidR="006024BF">
        <w:rPr>
          <w:lang w:eastAsia="ja-JP"/>
        </w:rPr>
        <w:t xml:space="preserve"> (mAb)</w:t>
      </w:r>
      <w:r w:rsidR="00515E1C">
        <w:rPr>
          <w:lang w:eastAsia="ja-JP"/>
        </w:rPr>
        <w:t>,</w:t>
      </w:r>
      <w:r>
        <w:rPr>
          <w:lang w:eastAsia="ja-JP"/>
        </w:rPr>
        <w:t xml:space="preserve"> </w:t>
      </w:r>
      <w:r w:rsidR="00515E1C">
        <w:rPr>
          <w:lang w:eastAsia="ja-JP"/>
        </w:rPr>
        <w:t xml:space="preserve">derived from a murine precursor, </w:t>
      </w:r>
      <w:r>
        <w:rPr>
          <w:lang w:eastAsia="ja-JP"/>
        </w:rPr>
        <w:t xml:space="preserve">produced </w:t>
      </w:r>
      <w:r w:rsidR="00515E1C">
        <w:rPr>
          <w:lang w:eastAsia="ja-JP"/>
        </w:rPr>
        <w:t xml:space="preserve">in Chinese </w:t>
      </w:r>
      <w:r w:rsidR="006024BF">
        <w:rPr>
          <w:lang w:eastAsia="ja-JP"/>
        </w:rPr>
        <w:t>h</w:t>
      </w:r>
      <w:r w:rsidR="00515E1C">
        <w:rPr>
          <w:lang w:eastAsia="ja-JP"/>
        </w:rPr>
        <w:t xml:space="preserve">amster </w:t>
      </w:r>
      <w:r w:rsidR="006024BF">
        <w:rPr>
          <w:lang w:eastAsia="ja-JP"/>
        </w:rPr>
        <w:t>o</w:t>
      </w:r>
      <w:r w:rsidR="00515E1C">
        <w:rPr>
          <w:lang w:eastAsia="ja-JP"/>
        </w:rPr>
        <w:t xml:space="preserve">vary </w:t>
      </w:r>
      <w:r w:rsidR="006024BF">
        <w:rPr>
          <w:lang w:eastAsia="ja-JP"/>
        </w:rPr>
        <w:t xml:space="preserve">(CHO) </w:t>
      </w:r>
      <w:r w:rsidR="00E962A5" w:rsidRPr="00592DCE">
        <w:rPr>
          <w:lang w:eastAsia="ja-JP"/>
        </w:rPr>
        <w:t>cells</w:t>
      </w:r>
      <w:r w:rsidR="00E962A5">
        <w:rPr>
          <w:lang w:eastAsia="ja-JP"/>
        </w:rPr>
        <w:t xml:space="preserve"> by</w:t>
      </w:r>
      <w:r>
        <w:rPr>
          <w:lang w:eastAsia="ja-JP"/>
        </w:rPr>
        <w:t xml:space="preserve"> recombinant DNA technology). It binds both isoforms (α and β) of calcitonin gene-related peptide (CGRP) and prevents the biological activity of CGRP without blocking the CGRP receptor. It closely resembles galcanezumab in its mode of action, with both agents targeting </w:t>
      </w:r>
      <w:r w:rsidR="00EA2D11">
        <w:rPr>
          <w:lang w:eastAsia="ja-JP"/>
        </w:rPr>
        <w:t>CG</w:t>
      </w:r>
      <w:r>
        <w:rPr>
          <w:lang w:eastAsia="ja-JP"/>
        </w:rPr>
        <w:t>RP</w:t>
      </w:r>
      <w:r w:rsidR="00C818CF">
        <w:rPr>
          <w:lang w:eastAsia="ja-JP"/>
        </w:rPr>
        <w:t xml:space="preserve"> </w:t>
      </w:r>
      <w:r w:rsidR="00E962A5">
        <w:rPr>
          <w:lang w:eastAsia="ja-JP"/>
        </w:rPr>
        <w:t>ligand</w:t>
      </w:r>
      <w:r>
        <w:rPr>
          <w:lang w:eastAsia="ja-JP"/>
        </w:rPr>
        <w:t>. It differs in its mode of action from the recently registered agent erenumab, which targets the C</w:t>
      </w:r>
      <w:r w:rsidR="00743E63">
        <w:rPr>
          <w:lang w:eastAsia="ja-JP"/>
        </w:rPr>
        <w:t>G</w:t>
      </w:r>
      <w:r>
        <w:rPr>
          <w:lang w:eastAsia="ja-JP"/>
        </w:rPr>
        <w:t>RP receptor, but the clinical effects of fremanezumab, galcanezumab and erenumab appear similar.</w:t>
      </w:r>
    </w:p>
    <w:p w14:paraId="0C025180" w14:textId="77777777" w:rsidR="00E9581B" w:rsidRPr="00A60766" w:rsidRDefault="00E9581B" w:rsidP="00E9581B">
      <w:r w:rsidRPr="00A60766">
        <w:t>While the precise</w:t>
      </w:r>
      <w:r>
        <w:t xml:space="preserve"> </w:t>
      </w:r>
      <w:r w:rsidRPr="00A60766">
        <w:t xml:space="preserve">mechanism of action by which fremanezumab prevents migraine attacks </w:t>
      </w:r>
      <w:r>
        <w:t xml:space="preserve">is unknown, it is believed that </w:t>
      </w:r>
      <w:r w:rsidRPr="00A60766">
        <w:t>prevention of migraine is obtained by its effect modulating the trigeminal system.</w:t>
      </w:r>
    </w:p>
    <w:p w14:paraId="4FFD5F4F" w14:textId="3C8CE247" w:rsidR="00E9581B" w:rsidRPr="00BD18FC" w:rsidRDefault="00E9581B" w:rsidP="00E9581B">
      <w:pPr>
        <w:rPr>
          <w:lang w:eastAsia="ja-JP"/>
        </w:rPr>
      </w:pPr>
      <w:r w:rsidRPr="00EC065F">
        <w:t xml:space="preserve">Migraine is a common </w:t>
      </w:r>
      <w:r>
        <w:t xml:space="preserve">neurological </w:t>
      </w:r>
      <w:r w:rsidRPr="00EC065F">
        <w:t xml:space="preserve">condition, usually manifesting as severe headache, and often accompanied by visual changes, photophobia, phonophobia, nausea and lethargy. It is sometimes associated with focal neurological deficits such as weakness or numbness, speech disturbance or vertigo. Typically, migraines cause asymmetrical or unilateral throbbing headaches, with attacks lasting from hours to days. Many patients can identify food or environmental triggers for their migraines and, in some cases, migraines are associated with menstrual cycles, but in many other </w:t>
      </w:r>
      <w:r w:rsidR="00E137E7" w:rsidRPr="00EC065F">
        <w:t>cases,</w:t>
      </w:r>
      <w:r w:rsidRPr="00EC065F">
        <w:t xml:space="preserve"> the triggers for individual migraines are obscure. Many people suffer infrequent migraines, with only a few attacks per year, but some subjects experience multiple attacks per month. By convention, using definitions formalised by the International Headache Society</w:t>
      </w:r>
      <w:r w:rsidR="006024BF">
        <w:t xml:space="preserve"> (IHS)</w:t>
      </w:r>
      <w:r w:rsidRPr="00EC065F">
        <w:t xml:space="preserve">, a rate of </w:t>
      </w:r>
      <w:r>
        <w:t>≥</w:t>
      </w:r>
      <w:r w:rsidRPr="00EC065F">
        <w:t xml:space="preserve"> 15 headache days per month</w:t>
      </w:r>
      <w:r w:rsidR="00743E63">
        <w:t xml:space="preserve"> with ≥8 migraine days</w:t>
      </w:r>
      <w:r w:rsidRPr="00EC065F">
        <w:t xml:space="preserve"> is used to identify subjects with ‘chronic’ migraine, in contrast to those with ‘episodic’ migraine who suffer &lt;15 headache days per month.</w:t>
      </w:r>
      <w:r>
        <w:t xml:space="preserve"> </w:t>
      </w:r>
      <w:r>
        <w:rPr>
          <w:lang w:eastAsia="ja-JP"/>
        </w:rPr>
        <w:t>Migraines can have major impacts on quality of life and mood, especially if they occur frequently. Migraine is also a major cause of absenteeism from work.</w:t>
      </w:r>
    </w:p>
    <w:p w14:paraId="463E424D" w14:textId="78375C70" w:rsidR="00E9581B" w:rsidRDefault="00E9581B" w:rsidP="00E9581B">
      <w:pPr>
        <w:rPr>
          <w:rFonts w:asciiTheme="minorHAnsi" w:eastAsiaTheme="minorHAnsi" w:hAnsiTheme="minorHAnsi"/>
        </w:rPr>
      </w:pPr>
      <w:r>
        <w:rPr>
          <w:rFonts w:asciiTheme="minorHAnsi" w:eastAsiaTheme="minorHAnsi" w:hAnsiTheme="minorHAnsi"/>
        </w:rPr>
        <w:t xml:space="preserve">There are several TGA </w:t>
      </w:r>
      <w:r w:rsidRPr="009E4D53">
        <w:rPr>
          <w:rFonts w:asciiTheme="minorHAnsi" w:eastAsiaTheme="minorHAnsi" w:hAnsiTheme="minorHAnsi"/>
        </w:rPr>
        <w:t>approved drugs</w:t>
      </w:r>
      <w:r>
        <w:rPr>
          <w:rFonts w:asciiTheme="minorHAnsi" w:eastAsiaTheme="minorHAnsi" w:hAnsiTheme="minorHAnsi"/>
        </w:rPr>
        <w:t xml:space="preserve"> (</w:t>
      </w:r>
      <w:r>
        <w:rPr>
          <w:lang w:eastAsia="ja-JP"/>
        </w:rPr>
        <w:t>beta-blockers, calcium channel blockers, some anticonvulsants and pi</w:t>
      </w:r>
      <w:r w:rsidR="00743E63">
        <w:rPr>
          <w:lang w:eastAsia="ja-JP"/>
        </w:rPr>
        <w:t>z</w:t>
      </w:r>
      <w:r>
        <w:rPr>
          <w:lang w:eastAsia="ja-JP"/>
        </w:rPr>
        <w:t>otifen</w:t>
      </w:r>
      <w:r>
        <w:rPr>
          <w:rFonts w:asciiTheme="minorHAnsi" w:eastAsiaTheme="minorHAnsi" w:hAnsiTheme="minorHAnsi"/>
        </w:rPr>
        <w:t>)</w:t>
      </w:r>
      <w:r w:rsidRPr="009E4D53">
        <w:rPr>
          <w:rFonts w:asciiTheme="minorHAnsi" w:eastAsiaTheme="minorHAnsi" w:hAnsiTheme="minorHAnsi"/>
        </w:rPr>
        <w:t xml:space="preserve"> for the prophylaxis of migraine</w:t>
      </w:r>
      <w:r>
        <w:rPr>
          <w:rFonts w:asciiTheme="minorHAnsi" w:eastAsiaTheme="minorHAnsi" w:hAnsiTheme="minorHAnsi"/>
        </w:rPr>
        <w:t xml:space="preserve">. </w:t>
      </w:r>
      <w:r>
        <w:rPr>
          <w:lang w:eastAsia="ja-JP"/>
        </w:rPr>
        <w:t>All of them are associated with significant tolerability issues.</w:t>
      </w:r>
    </w:p>
    <w:p w14:paraId="5D824D53" w14:textId="484A529C" w:rsidR="00E9581B" w:rsidRPr="001422A6" w:rsidRDefault="00E9581B" w:rsidP="00E9581B">
      <w:pPr>
        <w:rPr>
          <w:rFonts w:asciiTheme="minorHAnsi" w:hAnsiTheme="minorHAnsi"/>
        </w:rPr>
      </w:pPr>
      <w:r>
        <w:rPr>
          <w:rFonts w:asciiTheme="minorHAnsi" w:eastAsiaTheme="minorHAnsi" w:hAnsiTheme="minorHAnsi"/>
        </w:rPr>
        <w:t>Two</w:t>
      </w:r>
      <w:r w:rsidRPr="009E4D53">
        <w:rPr>
          <w:rFonts w:asciiTheme="minorHAnsi" w:eastAsiaTheme="minorHAnsi" w:hAnsiTheme="minorHAnsi"/>
        </w:rPr>
        <w:t xml:space="preserve"> drugs in this class</w:t>
      </w:r>
      <w:r>
        <w:rPr>
          <w:rFonts w:asciiTheme="minorHAnsi" w:eastAsiaTheme="minorHAnsi" w:hAnsiTheme="minorHAnsi"/>
        </w:rPr>
        <w:t xml:space="preserve"> (</w:t>
      </w:r>
      <w:r w:rsidR="00A86998">
        <w:rPr>
          <w:rFonts w:asciiTheme="minorHAnsi" w:eastAsiaTheme="minorHAnsi" w:hAnsiTheme="minorHAnsi"/>
        </w:rPr>
        <w:t>mAbs</w:t>
      </w:r>
      <w:r>
        <w:rPr>
          <w:rFonts w:asciiTheme="minorHAnsi" w:eastAsiaTheme="minorHAnsi" w:hAnsiTheme="minorHAnsi"/>
        </w:rPr>
        <w:t>)</w:t>
      </w:r>
      <w:r w:rsidRPr="009E4D53">
        <w:rPr>
          <w:rFonts w:asciiTheme="minorHAnsi" w:eastAsiaTheme="minorHAnsi" w:hAnsiTheme="minorHAnsi"/>
        </w:rPr>
        <w:t xml:space="preserve"> were approved </w:t>
      </w:r>
      <w:r>
        <w:rPr>
          <w:rFonts w:asciiTheme="minorHAnsi" w:eastAsiaTheme="minorHAnsi" w:hAnsiTheme="minorHAnsi"/>
        </w:rPr>
        <w:t>during the past year</w:t>
      </w:r>
      <w:r w:rsidRPr="009E4D53">
        <w:rPr>
          <w:rFonts w:asciiTheme="minorHAnsi" w:eastAsiaTheme="minorHAnsi" w:hAnsiTheme="minorHAnsi"/>
        </w:rPr>
        <w:t xml:space="preserve"> for the preventive</w:t>
      </w:r>
      <w:r>
        <w:rPr>
          <w:rFonts w:asciiTheme="minorHAnsi" w:eastAsiaTheme="minorHAnsi" w:hAnsiTheme="minorHAnsi"/>
        </w:rPr>
        <w:t xml:space="preserve"> treatment of migraine: </w:t>
      </w:r>
      <w:r w:rsidR="00123D86">
        <w:rPr>
          <w:rFonts w:asciiTheme="minorHAnsi" w:eastAsiaTheme="minorHAnsi" w:hAnsiTheme="minorHAnsi"/>
        </w:rPr>
        <w:t>e</w:t>
      </w:r>
      <w:r w:rsidRPr="001422A6">
        <w:rPr>
          <w:rFonts w:asciiTheme="minorHAnsi" w:eastAsiaTheme="minorHAnsi" w:hAnsiTheme="minorHAnsi"/>
        </w:rPr>
        <w:t xml:space="preserve">renumab and </w:t>
      </w:r>
      <w:r w:rsidR="00123D86">
        <w:rPr>
          <w:rFonts w:asciiTheme="minorHAnsi" w:eastAsiaTheme="minorHAnsi" w:hAnsiTheme="minorHAnsi"/>
        </w:rPr>
        <w:t>g</w:t>
      </w:r>
      <w:r w:rsidRPr="001422A6">
        <w:rPr>
          <w:rFonts w:asciiTheme="minorHAnsi" w:eastAsiaTheme="minorHAnsi" w:hAnsiTheme="minorHAnsi"/>
        </w:rPr>
        <w:t xml:space="preserve">alcanezumab. Fremanezumab and </w:t>
      </w:r>
      <w:r w:rsidR="00123D86">
        <w:rPr>
          <w:rFonts w:asciiTheme="minorHAnsi" w:eastAsiaTheme="minorHAnsi" w:hAnsiTheme="minorHAnsi"/>
        </w:rPr>
        <w:t>g</w:t>
      </w:r>
      <w:r w:rsidRPr="001422A6">
        <w:rPr>
          <w:rFonts w:asciiTheme="minorHAnsi" w:eastAsiaTheme="minorHAnsi" w:hAnsiTheme="minorHAnsi"/>
        </w:rPr>
        <w:t>alcanezumab bind to the CGRP ligand, whereas erenumab binds to the CGRP receptor.</w:t>
      </w:r>
    </w:p>
    <w:p w14:paraId="6ADD62AF" w14:textId="77777777" w:rsidR="00E9581B" w:rsidRDefault="00E9581B" w:rsidP="0025596B">
      <w:pPr>
        <w:pStyle w:val="Heading4"/>
        <w:rPr>
          <w:lang w:val="en-US"/>
        </w:rPr>
      </w:pPr>
      <w:r>
        <w:rPr>
          <w:lang w:val="en-US"/>
        </w:rPr>
        <w:t>Guidance used</w:t>
      </w:r>
    </w:p>
    <w:p w14:paraId="4A1FC53D" w14:textId="575C2366" w:rsidR="00E9581B" w:rsidRDefault="00A86998" w:rsidP="00E9581B">
      <w:pPr>
        <w:jc w:val="both"/>
      </w:pPr>
      <w:r>
        <w:t>The f</w:t>
      </w:r>
      <w:r w:rsidR="00E9581B">
        <w:t xml:space="preserve">ollowing guidance were used in evaluating </w:t>
      </w:r>
      <w:r w:rsidR="00123D86">
        <w:t>the clinical data:</w:t>
      </w:r>
    </w:p>
    <w:p w14:paraId="3FDEA421" w14:textId="77777777" w:rsidR="00E9581B" w:rsidRDefault="00E9581B" w:rsidP="00E9581B">
      <w:pPr>
        <w:pStyle w:val="ListBullet"/>
        <w:numPr>
          <w:ilvl w:val="0"/>
          <w:numId w:val="3"/>
        </w:numPr>
        <w:rPr>
          <w:lang w:eastAsia="ja-JP"/>
        </w:rPr>
      </w:pPr>
      <w:r>
        <w:rPr>
          <w:lang w:eastAsia="ja-JP"/>
        </w:rPr>
        <w:t>Guideline on Clinical Investigation of Medicinal Products for the Treatment of Migraine (CPMP/EWP/788/01 Rev. 1 2007)</w:t>
      </w:r>
    </w:p>
    <w:p w14:paraId="5B4B6033" w14:textId="77777777" w:rsidR="00E9581B" w:rsidRDefault="00E9581B" w:rsidP="00E9581B">
      <w:pPr>
        <w:pStyle w:val="ListBullet"/>
        <w:numPr>
          <w:ilvl w:val="0"/>
          <w:numId w:val="3"/>
        </w:numPr>
        <w:rPr>
          <w:lang w:eastAsia="ja-JP"/>
        </w:rPr>
      </w:pPr>
      <w:r>
        <w:rPr>
          <w:lang w:eastAsia="ja-JP"/>
        </w:rPr>
        <w:t>A concept paper proposing revision of this guideline to include guidance on the design of studies in Chronic Migraine (EMA/CHMP/179671/2016).</w:t>
      </w:r>
    </w:p>
    <w:p w14:paraId="75B6790A" w14:textId="77777777" w:rsidR="00E9581B" w:rsidRPr="003F31A2" w:rsidRDefault="00E9581B" w:rsidP="0025596B">
      <w:pPr>
        <w:pStyle w:val="Heading3"/>
      </w:pPr>
      <w:bookmarkStart w:id="18" w:name="_Toc314842485"/>
      <w:bookmarkStart w:id="19" w:name="_Toc247691504"/>
      <w:bookmarkStart w:id="20" w:name="_Toc22051378"/>
      <w:bookmarkStart w:id="21" w:name="_Toc27745206"/>
      <w:r>
        <w:t>Regulatory status</w:t>
      </w:r>
      <w:bookmarkEnd w:id="18"/>
      <w:bookmarkEnd w:id="19"/>
      <w:bookmarkEnd w:id="20"/>
      <w:bookmarkEnd w:id="21"/>
    </w:p>
    <w:p w14:paraId="744E5FC7" w14:textId="15B32961" w:rsidR="00E9581B" w:rsidRDefault="00E9581B" w:rsidP="00E9581B">
      <w:bookmarkStart w:id="22" w:name="_Toc247691505"/>
      <w:bookmarkStart w:id="23" w:name="_Toc314842486"/>
      <w:r w:rsidRPr="00940A89">
        <w:t>Th</w:t>
      </w:r>
      <w:r w:rsidR="00EA2D11">
        <w:t>is</w:t>
      </w:r>
      <w:r w:rsidRPr="00940A89">
        <w:t xml:space="preserve"> </w:t>
      </w:r>
      <w:r>
        <w:t xml:space="preserve">is a new </w:t>
      </w:r>
      <w:r w:rsidR="001522FE">
        <w:t xml:space="preserve">biological </w:t>
      </w:r>
      <w:r>
        <w:t>entity for Australian regulatory purposes.</w:t>
      </w:r>
    </w:p>
    <w:p w14:paraId="7DBD4BE7" w14:textId="546C6EB5" w:rsidR="00E9581B" w:rsidRDefault="00E9581B" w:rsidP="00E9581B">
      <w:pPr>
        <w:rPr>
          <w:lang w:val="en-US"/>
        </w:rPr>
      </w:pPr>
      <w:r>
        <w:rPr>
          <w:lang w:val="en-US"/>
        </w:rPr>
        <w:t xml:space="preserve">The medicine </w:t>
      </w:r>
      <w:r w:rsidR="00AE21E0">
        <w:rPr>
          <w:lang w:val="en-US"/>
        </w:rPr>
        <w:t xml:space="preserve">has been </w:t>
      </w:r>
      <w:r w:rsidRPr="001B7ED1">
        <w:rPr>
          <w:lang w:val="en-US"/>
        </w:rPr>
        <w:t>approved in the USA</w:t>
      </w:r>
      <w:r w:rsidR="002502C1" w:rsidRPr="001B7ED1">
        <w:rPr>
          <w:lang w:val="en-US"/>
        </w:rPr>
        <w:t>,</w:t>
      </w:r>
      <w:r w:rsidRPr="001B7ED1">
        <w:rPr>
          <w:lang w:val="en-US"/>
        </w:rPr>
        <w:t xml:space="preserve"> in the European Union</w:t>
      </w:r>
      <w:r w:rsidR="00A86998" w:rsidRPr="001B7ED1">
        <w:rPr>
          <w:lang w:val="en-US"/>
        </w:rPr>
        <w:t xml:space="preserve"> EU)</w:t>
      </w:r>
      <w:r w:rsidRPr="001B7ED1">
        <w:rPr>
          <w:lang w:val="en-US"/>
        </w:rPr>
        <w:t xml:space="preserve"> in </w:t>
      </w:r>
      <w:r w:rsidR="001522FE" w:rsidRPr="001B7ED1">
        <w:rPr>
          <w:lang w:val="en-US"/>
        </w:rPr>
        <w:t xml:space="preserve">March </w:t>
      </w:r>
      <w:r w:rsidRPr="001B7ED1">
        <w:rPr>
          <w:lang w:val="en-US"/>
        </w:rPr>
        <w:t>2019</w:t>
      </w:r>
      <w:r w:rsidR="002502C1" w:rsidRPr="001B7ED1">
        <w:rPr>
          <w:lang w:val="en-US"/>
        </w:rPr>
        <w:t xml:space="preserve"> and in Israel </w:t>
      </w:r>
      <w:r w:rsidR="00AE21E0" w:rsidRPr="001B7ED1">
        <w:rPr>
          <w:lang w:val="en-US"/>
        </w:rPr>
        <w:t>as summari</w:t>
      </w:r>
      <w:r w:rsidR="00E522BA" w:rsidRPr="001B7ED1">
        <w:rPr>
          <w:lang w:val="en-US"/>
        </w:rPr>
        <w:t>s</w:t>
      </w:r>
      <w:r w:rsidR="00AE21E0" w:rsidRPr="001B7ED1">
        <w:rPr>
          <w:lang w:val="en-US"/>
        </w:rPr>
        <w:t>ed in Table 1 below.</w:t>
      </w:r>
    </w:p>
    <w:p w14:paraId="6215CB6F" w14:textId="2E48E829" w:rsidR="00E9581B" w:rsidRDefault="00E9581B" w:rsidP="00E9581B">
      <w:pPr>
        <w:pStyle w:val="TableTitle"/>
        <w:rPr>
          <w:lang w:val="en-US"/>
        </w:rPr>
      </w:pPr>
      <w:r>
        <w:rPr>
          <w:lang w:val="en-US"/>
        </w:rPr>
        <w:lastRenderedPageBreak/>
        <w:t>Table 1: International regulatory status of Ajovy</w:t>
      </w:r>
    </w:p>
    <w:tbl>
      <w:tblPr>
        <w:tblStyle w:val="TableTGAblue"/>
        <w:tblW w:w="9488" w:type="dxa"/>
        <w:tblLayout w:type="fixed"/>
        <w:tblLook w:val="04A0" w:firstRow="1" w:lastRow="0" w:firstColumn="1" w:lastColumn="0" w:noHBand="0" w:noVBand="1"/>
      </w:tblPr>
      <w:tblGrid>
        <w:gridCol w:w="1408"/>
        <w:gridCol w:w="2410"/>
        <w:gridCol w:w="5670"/>
      </w:tblGrid>
      <w:tr w:rsidR="00AE21E0" w14:paraId="6DD43F64" w14:textId="13A5B563" w:rsidTr="0025596B">
        <w:trPr>
          <w:cnfStyle w:val="100000000000" w:firstRow="1" w:lastRow="0" w:firstColumn="0" w:lastColumn="0" w:oddVBand="0" w:evenVBand="0" w:oddHBand="0" w:evenHBand="0" w:firstRowFirstColumn="0" w:firstRowLastColumn="0" w:lastRowFirstColumn="0" w:lastRowLastColumn="0"/>
        </w:trPr>
        <w:tc>
          <w:tcPr>
            <w:tcW w:w="1408" w:type="dxa"/>
          </w:tcPr>
          <w:p w14:paraId="792A5E87" w14:textId="04DF10C2" w:rsidR="00AE21E0" w:rsidRPr="00123D86" w:rsidRDefault="00AE21E0" w:rsidP="00E9581B">
            <w:pPr>
              <w:pStyle w:val="TableTitle"/>
              <w:rPr>
                <w:b/>
                <w:lang w:val="en-US"/>
              </w:rPr>
            </w:pPr>
            <w:r w:rsidRPr="00123D86">
              <w:rPr>
                <w:b/>
                <w:lang w:val="en-US"/>
              </w:rPr>
              <w:t>Country</w:t>
            </w:r>
          </w:p>
        </w:tc>
        <w:tc>
          <w:tcPr>
            <w:tcW w:w="2410" w:type="dxa"/>
          </w:tcPr>
          <w:p w14:paraId="361D90DE" w14:textId="68397BB8" w:rsidR="00AE21E0" w:rsidRPr="00123D86" w:rsidRDefault="00AE21E0" w:rsidP="00E9581B">
            <w:pPr>
              <w:pStyle w:val="TableTitle"/>
              <w:rPr>
                <w:b/>
                <w:lang w:val="en-US"/>
              </w:rPr>
            </w:pPr>
            <w:r>
              <w:rPr>
                <w:b/>
                <w:lang w:val="en-US"/>
              </w:rPr>
              <w:t>Approval date</w:t>
            </w:r>
          </w:p>
        </w:tc>
        <w:tc>
          <w:tcPr>
            <w:tcW w:w="5670" w:type="dxa"/>
          </w:tcPr>
          <w:p w14:paraId="69794EE3" w14:textId="36FD0CB7" w:rsidR="00AE21E0" w:rsidRPr="00123D86" w:rsidRDefault="00AE21E0" w:rsidP="00E522BA">
            <w:pPr>
              <w:pStyle w:val="TableTitle"/>
              <w:rPr>
                <w:b/>
                <w:lang w:val="en-US"/>
              </w:rPr>
            </w:pPr>
            <w:r w:rsidRPr="00123D86">
              <w:rPr>
                <w:b/>
                <w:lang w:val="en-US"/>
              </w:rPr>
              <w:t>Approved indication</w:t>
            </w:r>
          </w:p>
        </w:tc>
      </w:tr>
      <w:tr w:rsidR="00AE21E0" w14:paraId="069F1C99" w14:textId="77777777" w:rsidTr="0025596B">
        <w:tc>
          <w:tcPr>
            <w:tcW w:w="1408" w:type="dxa"/>
          </w:tcPr>
          <w:p w14:paraId="1A6DBB31" w14:textId="1AC046EB" w:rsidR="00AE21E0" w:rsidDel="00AE21E0" w:rsidRDefault="00AE21E0" w:rsidP="00AE21E0">
            <w:pPr>
              <w:pStyle w:val="TableTitle"/>
              <w:rPr>
                <w:lang w:val="en-US"/>
              </w:rPr>
            </w:pPr>
            <w:r>
              <w:rPr>
                <w:lang w:val="en-US"/>
              </w:rPr>
              <w:t>USA</w:t>
            </w:r>
          </w:p>
        </w:tc>
        <w:tc>
          <w:tcPr>
            <w:tcW w:w="2410" w:type="dxa"/>
          </w:tcPr>
          <w:p w14:paraId="7EB313C0" w14:textId="1126C78F" w:rsidR="00AE21E0" w:rsidRPr="00AE21E0" w:rsidRDefault="00AE21E0" w:rsidP="003D466A">
            <w:pPr>
              <w:pStyle w:val="TableTitle"/>
              <w:rPr>
                <w:rFonts w:cs="Cambria"/>
                <w:b w:val="0"/>
              </w:rPr>
            </w:pPr>
            <w:r w:rsidRPr="00AE21E0">
              <w:rPr>
                <w:rFonts w:cs="Cambria"/>
                <w:b w:val="0"/>
              </w:rPr>
              <w:t>14 September 2018</w:t>
            </w:r>
          </w:p>
        </w:tc>
        <w:tc>
          <w:tcPr>
            <w:tcW w:w="5670" w:type="dxa"/>
          </w:tcPr>
          <w:p w14:paraId="37099B7F" w14:textId="554683B8" w:rsidR="00AE21E0" w:rsidRPr="00AE21E0" w:rsidRDefault="00AE21E0" w:rsidP="00CE3675">
            <w:pPr>
              <w:pStyle w:val="TableTitle"/>
              <w:rPr>
                <w:rFonts w:cs="Cambria"/>
                <w:b w:val="0"/>
                <w:i/>
              </w:rPr>
            </w:pPr>
            <w:proofErr w:type="spellStart"/>
            <w:r w:rsidRPr="00AE21E0">
              <w:rPr>
                <w:rFonts w:cs="Cambria"/>
                <w:b w:val="0"/>
                <w:i/>
              </w:rPr>
              <w:t>Ajovy</w:t>
            </w:r>
            <w:proofErr w:type="spellEnd"/>
            <w:r w:rsidR="00CE3675">
              <w:rPr>
                <w:rFonts w:cs="Cambria"/>
                <w:b w:val="0"/>
                <w:i/>
              </w:rPr>
              <w:t xml:space="preserve"> </w:t>
            </w:r>
            <w:r w:rsidRPr="00AE21E0">
              <w:rPr>
                <w:rFonts w:cs="Cambria"/>
                <w:b w:val="0"/>
                <w:i/>
              </w:rPr>
              <w:t>is</w:t>
            </w:r>
            <w:r w:rsidR="00CE3675">
              <w:rPr>
                <w:rFonts w:cs="Cambria"/>
                <w:b w:val="0"/>
                <w:i/>
              </w:rPr>
              <w:t xml:space="preserve"> indicated for the preventive </w:t>
            </w:r>
            <w:r w:rsidRPr="00AE21E0">
              <w:rPr>
                <w:rFonts w:cs="Cambria"/>
                <w:b w:val="0"/>
                <w:i/>
              </w:rPr>
              <w:t>treatment</w:t>
            </w:r>
            <w:r w:rsidR="00CE3675">
              <w:rPr>
                <w:rFonts w:cs="Cambria"/>
                <w:b w:val="0"/>
                <w:i/>
              </w:rPr>
              <w:t xml:space="preserve"> </w:t>
            </w:r>
            <w:r w:rsidRPr="00AE21E0">
              <w:rPr>
                <w:rFonts w:cs="Cambria"/>
                <w:b w:val="0"/>
                <w:i/>
              </w:rPr>
              <w:t>of migraine</w:t>
            </w:r>
            <w:r w:rsidR="00CE3675">
              <w:rPr>
                <w:rFonts w:cs="Cambria"/>
                <w:b w:val="0"/>
                <w:i/>
              </w:rPr>
              <w:t xml:space="preserve"> in adult </w:t>
            </w:r>
            <w:r w:rsidRPr="00AE21E0">
              <w:rPr>
                <w:rFonts w:cs="Cambria"/>
                <w:b w:val="0"/>
                <w:i/>
              </w:rPr>
              <w:t>patients</w:t>
            </w:r>
          </w:p>
        </w:tc>
      </w:tr>
      <w:tr w:rsidR="00AE21E0" w14:paraId="709D4EE0" w14:textId="68F5ECB4" w:rsidTr="0025596B">
        <w:tc>
          <w:tcPr>
            <w:tcW w:w="1408" w:type="dxa"/>
          </w:tcPr>
          <w:p w14:paraId="0290D2DF" w14:textId="3691E682" w:rsidR="00AE21E0" w:rsidRDefault="00AE21E0" w:rsidP="00AE21E0">
            <w:pPr>
              <w:pStyle w:val="TableTitle"/>
              <w:rPr>
                <w:lang w:val="en-US"/>
              </w:rPr>
            </w:pPr>
            <w:r>
              <w:rPr>
                <w:lang w:val="en-US"/>
              </w:rPr>
              <w:t>European Union</w:t>
            </w:r>
          </w:p>
        </w:tc>
        <w:tc>
          <w:tcPr>
            <w:tcW w:w="2410" w:type="dxa"/>
          </w:tcPr>
          <w:p w14:paraId="11C3DB24" w14:textId="3E92F35D" w:rsidR="00AE21E0" w:rsidRPr="00AE21E0" w:rsidRDefault="00AE21E0" w:rsidP="003D466A">
            <w:pPr>
              <w:pStyle w:val="TableTitle"/>
              <w:rPr>
                <w:rFonts w:cs="Cambria"/>
                <w:b w:val="0"/>
              </w:rPr>
            </w:pPr>
            <w:r w:rsidRPr="00AE21E0">
              <w:rPr>
                <w:rFonts w:cs="Cambria"/>
                <w:b w:val="0"/>
              </w:rPr>
              <w:t>28 March 2019</w:t>
            </w:r>
          </w:p>
        </w:tc>
        <w:tc>
          <w:tcPr>
            <w:tcW w:w="5670" w:type="dxa"/>
          </w:tcPr>
          <w:p w14:paraId="08F66C16" w14:textId="330E72A1" w:rsidR="00AE21E0" w:rsidRPr="00123D86" w:rsidRDefault="00A86998" w:rsidP="00CE3675">
            <w:pPr>
              <w:pStyle w:val="TableTitle"/>
              <w:rPr>
                <w:b w:val="0"/>
                <w:lang w:val="en-US"/>
              </w:rPr>
            </w:pPr>
            <w:proofErr w:type="spellStart"/>
            <w:r w:rsidRPr="00AE21E0">
              <w:rPr>
                <w:rFonts w:cs="Cambria"/>
                <w:b w:val="0"/>
                <w:i/>
              </w:rPr>
              <w:t>A</w:t>
            </w:r>
            <w:r>
              <w:rPr>
                <w:rFonts w:cs="Cambria"/>
                <w:b w:val="0"/>
                <w:i/>
              </w:rPr>
              <w:t>jovy</w:t>
            </w:r>
            <w:proofErr w:type="spellEnd"/>
            <w:r w:rsidR="00CE3675">
              <w:rPr>
                <w:rFonts w:cs="Cambria"/>
                <w:b w:val="0"/>
                <w:i/>
              </w:rPr>
              <w:t xml:space="preserve"> </w:t>
            </w:r>
            <w:r w:rsidR="00AE21E0" w:rsidRPr="00AE21E0">
              <w:rPr>
                <w:rFonts w:cs="Cambria"/>
                <w:b w:val="0"/>
                <w:i/>
              </w:rPr>
              <w:t>is</w:t>
            </w:r>
            <w:r w:rsidR="00CE3675">
              <w:rPr>
                <w:rFonts w:cs="Cambria"/>
                <w:b w:val="0"/>
                <w:i/>
              </w:rPr>
              <w:t xml:space="preserve"> indicated for prophylaxis of migraine in adults who have at least 4 migraine days per </w:t>
            </w:r>
            <w:r w:rsidR="00AE21E0" w:rsidRPr="00AE21E0">
              <w:rPr>
                <w:rFonts w:cs="Cambria"/>
                <w:b w:val="0"/>
                <w:i/>
              </w:rPr>
              <w:t>month</w:t>
            </w:r>
          </w:p>
        </w:tc>
      </w:tr>
      <w:tr w:rsidR="00AE21E0" w14:paraId="0A7F2473" w14:textId="6834CD51" w:rsidTr="0025596B">
        <w:tc>
          <w:tcPr>
            <w:tcW w:w="1408" w:type="dxa"/>
          </w:tcPr>
          <w:p w14:paraId="5DE7D1C3" w14:textId="737E5F10" w:rsidR="00AE21E0" w:rsidRDefault="00AE21E0" w:rsidP="00E9581B">
            <w:pPr>
              <w:pStyle w:val="TableTitle"/>
              <w:rPr>
                <w:lang w:val="en-US"/>
              </w:rPr>
            </w:pPr>
            <w:r>
              <w:rPr>
                <w:lang w:val="en-US"/>
              </w:rPr>
              <w:t>Israel</w:t>
            </w:r>
          </w:p>
        </w:tc>
        <w:tc>
          <w:tcPr>
            <w:tcW w:w="2410" w:type="dxa"/>
          </w:tcPr>
          <w:p w14:paraId="108CC655" w14:textId="1547277D" w:rsidR="00AE21E0" w:rsidRPr="00364599" w:rsidRDefault="00364599" w:rsidP="001B7ED1">
            <w:pPr>
              <w:pStyle w:val="TableTitle"/>
              <w:rPr>
                <w:rFonts w:cs="Cambria"/>
                <w:b w:val="0"/>
              </w:rPr>
            </w:pPr>
            <w:r w:rsidRPr="00364599">
              <w:rPr>
                <w:rFonts w:cs="Cambria"/>
                <w:b w:val="0"/>
              </w:rPr>
              <w:t>29</w:t>
            </w:r>
            <w:r w:rsidR="001B7ED1">
              <w:rPr>
                <w:rFonts w:cs="Cambria"/>
                <w:b w:val="0"/>
              </w:rPr>
              <w:t xml:space="preserve"> October </w:t>
            </w:r>
            <w:r w:rsidRPr="00364599">
              <w:rPr>
                <w:rFonts w:cs="Cambria"/>
                <w:b w:val="0"/>
              </w:rPr>
              <w:t>2</w:t>
            </w:r>
            <w:r>
              <w:rPr>
                <w:rFonts w:cs="Cambria"/>
                <w:b w:val="0"/>
              </w:rPr>
              <w:t>0</w:t>
            </w:r>
            <w:r w:rsidRPr="00364599">
              <w:rPr>
                <w:rFonts w:cs="Cambria"/>
                <w:b w:val="0"/>
              </w:rPr>
              <w:t>19</w:t>
            </w:r>
          </w:p>
        </w:tc>
        <w:tc>
          <w:tcPr>
            <w:tcW w:w="5670" w:type="dxa"/>
          </w:tcPr>
          <w:p w14:paraId="21671436" w14:textId="45628812" w:rsidR="00AE21E0" w:rsidRPr="00123D86" w:rsidRDefault="00364599" w:rsidP="001B7ED1">
            <w:pPr>
              <w:pStyle w:val="TableTitle"/>
              <w:rPr>
                <w:b w:val="0"/>
                <w:lang w:val="en-US"/>
              </w:rPr>
            </w:pPr>
            <w:proofErr w:type="spellStart"/>
            <w:r w:rsidRPr="00364599">
              <w:rPr>
                <w:rFonts w:cs="Cambria"/>
                <w:b w:val="0"/>
                <w:i/>
              </w:rPr>
              <w:t>A</w:t>
            </w:r>
            <w:r w:rsidR="001B7ED1">
              <w:rPr>
                <w:rFonts w:cs="Cambria"/>
                <w:b w:val="0"/>
                <w:i/>
              </w:rPr>
              <w:t>jovy</w:t>
            </w:r>
            <w:proofErr w:type="spellEnd"/>
            <w:r w:rsidRPr="00364599">
              <w:rPr>
                <w:rFonts w:cs="Cambria"/>
                <w:b w:val="0"/>
                <w:i/>
              </w:rPr>
              <w:t xml:space="preserve"> is indicated for prophylaxis of migraine in adults who have at least 4 migraine days per month.</w:t>
            </w:r>
          </w:p>
        </w:tc>
      </w:tr>
    </w:tbl>
    <w:p w14:paraId="1B9F622C" w14:textId="77777777" w:rsidR="00E9581B" w:rsidRDefault="00E9581B" w:rsidP="007E05BE">
      <w:pPr>
        <w:pStyle w:val="Heading3"/>
        <w:spacing w:before="360"/>
      </w:pPr>
      <w:bookmarkStart w:id="24" w:name="_Toc22051379"/>
      <w:bookmarkStart w:id="25" w:name="_Toc27745207"/>
      <w:r>
        <w:t>Product Information</w:t>
      </w:r>
      <w:bookmarkEnd w:id="22"/>
      <w:bookmarkEnd w:id="23"/>
      <w:bookmarkEnd w:id="24"/>
      <w:bookmarkEnd w:id="25"/>
    </w:p>
    <w:p w14:paraId="4C85E5D6" w14:textId="4F063EB2" w:rsidR="00E9581B" w:rsidRDefault="00E9581B" w:rsidP="00E9581B">
      <w:bookmarkStart w:id="26" w:name="_Toc247691506"/>
      <w:bookmarkStart w:id="27" w:name="_Toc314842487"/>
      <w:r w:rsidRPr="00940A89">
        <w:t xml:space="preserve">The Product Information (PI) </w:t>
      </w:r>
      <w:r>
        <w:t xml:space="preserve">approved with the </w:t>
      </w:r>
      <w:r w:rsidR="00E85F62">
        <w:t>submission, which is described in this AusPAR,</w:t>
      </w:r>
      <w:r w:rsidRPr="00940A89">
        <w:t xml:space="preserve"> can be found as Attachment 1. For the most recent </w:t>
      </w:r>
      <w:r>
        <w:t>PI,</w:t>
      </w:r>
      <w:r w:rsidRPr="00940A89">
        <w:t xml:space="preserve"> ple</w:t>
      </w:r>
      <w:r>
        <w:t>ase refer to the TGA website</w:t>
      </w:r>
      <w:r w:rsidRPr="00441C3F">
        <w:t xml:space="preserve"> at &lt;</w:t>
      </w:r>
      <w:hyperlink r:id="rId13" w:history="1">
        <w:r w:rsidRPr="00441C3F">
          <w:rPr>
            <w:rStyle w:val="Hyperlink"/>
          </w:rPr>
          <w:t>https://www.tga.gov.au/product-information-pi</w:t>
        </w:r>
      </w:hyperlink>
      <w:r>
        <w:t>&gt;</w:t>
      </w:r>
      <w:r w:rsidRPr="00940A89">
        <w:t>.</w:t>
      </w:r>
    </w:p>
    <w:p w14:paraId="47CF10E4" w14:textId="77777777" w:rsidR="00E9581B" w:rsidRDefault="00E9581B" w:rsidP="007E05BE">
      <w:pPr>
        <w:pStyle w:val="Heading2"/>
        <w:spacing w:before="360"/>
      </w:pPr>
      <w:bookmarkStart w:id="28" w:name="_Toc504480011"/>
      <w:bookmarkStart w:id="29" w:name="_Toc22051380"/>
      <w:bookmarkStart w:id="30" w:name="_Toc27745208"/>
      <w:r>
        <w:t>II. Registration time line</w:t>
      </w:r>
      <w:bookmarkEnd w:id="28"/>
      <w:bookmarkEnd w:id="29"/>
      <w:bookmarkEnd w:id="30"/>
    </w:p>
    <w:p w14:paraId="6DC7E5F9" w14:textId="4A411821" w:rsidR="00E9581B" w:rsidRDefault="00E9581B" w:rsidP="00E9581B">
      <w:r>
        <w:t xml:space="preserve">The following table captures the key steps and dates for this application and which are detailed and discussed in this </w:t>
      </w:r>
      <w:proofErr w:type="spellStart"/>
      <w:r>
        <w:t>AusPAR</w:t>
      </w:r>
      <w:proofErr w:type="spellEnd"/>
      <w:r w:rsidR="001D5437">
        <w:t>.</w:t>
      </w:r>
    </w:p>
    <w:p w14:paraId="28CE77EC" w14:textId="77777777" w:rsidR="00E9581B" w:rsidRDefault="00E9581B" w:rsidP="00E9581B">
      <w:pPr>
        <w:pStyle w:val="TableTitle"/>
      </w:pPr>
      <w:r>
        <w:t>Table 2: Registration time line for Ajovy PM-2018-03494-1-1</w:t>
      </w:r>
    </w:p>
    <w:tbl>
      <w:tblPr>
        <w:tblStyle w:val="TableTGAblue1"/>
        <w:tblW w:w="9039" w:type="dxa"/>
        <w:tblLook w:val="04A0" w:firstRow="1" w:lastRow="0" w:firstColumn="1" w:lastColumn="0" w:noHBand="0" w:noVBand="1"/>
      </w:tblPr>
      <w:tblGrid>
        <w:gridCol w:w="6487"/>
        <w:gridCol w:w="2552"/>
      </w:tblGrid>
      <w:tr w:rsidR="00E9581B" w:rsidRPr="00D75678" w14:paraId="03527B70" w14:textId="77777777" w:rsidTr="00123D86">
        <w:trPr>
          <w:cnfStyle w:val="100000000000" w:firstRow="1" w:lastRow="0" w:firstColumn="0" w:lastColumn="0" w:oddVBand="0" w:evenVBand="0" w:oddHBand="0" w:evenHBand="0" w:firstRowFirstColumn="0" w:firstRowLastColumn="0" w:lastRowFirstColumn="0" w:lastRowLastColumn="0"/>
          <w:cantSplit/>
        </w:trPr>
        <w:tc>
          <w:tcPr>
            <w:tcW w:w="6487" w:type="dxa"/>
          </w:tcPr>
          <w:p w14:paraId="13DB52F5" w14:textId="77777777" w:rsidR="00E9581B" w:rsidRPr="00D75678" w:rsidRDefault="00E9581B" w:rsidP="007E05BE">
            <w:r w:rsidRPr="00D75678">
              <w:t>Description</w:t>
            </w:r>
          </w:p>
        </w:tc>
        <w:tc>
          <w:tcPr>
            <w:tcW w:w="2552" w:type="dxa"/>
          </w:tcPr>
          <w:p w14:paraId="600A39A6" w14:textId="77777777" w:rsidR="00E9581B" w:rsidRPr="00D75678" w:rsidRDefault="00E9581B" w:rsidP="00123D86">
            <w:r w:rsidRPr="00D75678">
              <w:t>Date</w:t>
            </w:r>
          </w:p>
        </w:tc>
      </w:tr>
      <w:tr w:rsidR="00E9581B" w:rsidRPr="00D75678" w14:paraId="4200C794" w14:textId="77777777" w:rsidTr="00123D86">
        <w:tc>
          <w:tcPr>
            <w:tcW w:w="6487" w:type="dxa"/>
          </w:tcPr>
          <w:p w14:paraId="0E561AE8" w14:textId="77777777" w:rsidR="00E9581B" w:rsidRPr="00D75678" w:rsidRDefault="00E9581B" w:rsidP="007E05BE">
            <w:r w:rsidRPr="00D75678">
              <w:t>Submission dossier accepted and first round evaluation commenced</w:t>
            </w:r>
          </w:p>
        </w:tc>
        <w:tc>
          <w:tcPr>
            <w:tcW w:w="2552" w:type="dxa"/>
          </w:tcPr>
          <w:p w14:paraId="1852F800" w14:textId="77777777" w:rsidR="00E9581B" w:rsidRPr="00673D60" w:rsidRDefault="00E9581B" w:rsidP="00123D86">
            <w:pPr>
              <w:rPr>
                <w:color w:val="auto"/>
              </w:rPr>
            </w:pPr>
            <w:r w:rsidRPr="00673D60">
              <w:rPr>
                <w:color w:val="auto"/>
              </w:rPr>
              <w:t>28 September 2018</w:t>
            </w:r>
          </w:p>
        </w:tc>
      </w:tr>
      <w:tr w:rsidR="00E9581B" w:rsidRPr="00D75678" w14:paraId="01363A71" w14:textId="77777777" w:rsidTr="00123D86">
        <w:tc>
          <w:tcPr>
            <w:tcW w:w="6487" w:type="dxa"/>
          </w:tcPr>
          <w:p w14:paraId="32F55FB8" w14:textId="77777777" w:rsidR="00E9581B" w:rsidRPr="00D75678" w:rsidRDefault="00E9581B" w:rsidP="00123D86">
            <w:r w:rsidRPr="00D75678">
              <w:t>First round evaluation completed</w:t>
            </w:r>
          </w:p>
        </w:tc>
        <w:tc>
          <w:tcPr>
            <w:tcW w:w="2552" w:type="dxa"/>
          </w:tcPr>
          <w:p w14:paraId="0A65DF5A" w14:textId="77777777" w:rsidR="00E9581B" w:rsidRPr="00673D60" w:rsidRDefault="00E9581B" w:rsidP="00123D86">
            <w:pPr>
              <w:rPr>
                <w:color w:val="auto"/>
              </w:rPr>
            </w:pPr>
            <w:r w:rsidRPr="00673D60">
              <w:rPr>
                <w:color w:val="auto"/>
              </w:rPr>
              <w:t>3 April 2019</w:t>
            </w:r>
          </w:p>
        </w:tc>
      </w:tr>
      <w:tr w:rsidR="00E9581B" w:rsidRPr="00D75678" w14:paraId="31650AA1" w14:textId="77777777" w:rsidTr="00123D86">
        <w:tc>
          <w:tcPr>
            <w:tcW w:w="6487" w:type="dxa"/>
          </w:tcPr>
          <w:p w14:paraId="186CC41D" w14:textId="77777777" w:rsidR="00E9581B" w:rsidRPr="00D75678" w:rsidRDefault="00E9581B" w:rsidP="00123D86">
            <w:r w:rsidRPr="00D75678">
              <w:t>Sponsor provides responses on questions raised in first round evaluation</w:t>
            </w:r>
          </w:p>
        </w:tc>
        <w:tc>
          <w:tcPr>
            <w:tcW w:w="2552" w:type="dxa"/>
          </w:tcPr>
          <w:p w14:paraId="1FAC55D2" w14:textId="77777777" w:rsidR="00E9581B" w:rsidRPr="00673D60" w:rsidRDefault="00E9581B" w:rsidP="00123D86">
            <w:pPr>
              <w:rPr>
                <w:color w:val="auto"/>
              </w:rPr>
            </w:pPr>
            <w:r w:rsidRPr="00673D60">
              <w:rPr>
                <w:color w:val="auto"/>
              </w:rPr>
              <w:t>5 June 2019</w:t>
            </w:r>
          </w:p>
        </w:tc>
      </w:tr>
      <w:tr w:rsidR="00E9581B" w:rsidRPr="00D75678" w14:paraId="56ACADA6" w14:textId="77777777" w:rsidTr="00123D86">
        <w:tc>
          <w:tcPr>
            <w:tcW w:w="6487" w:type="dxa"/>
          </w:tcPr>
          <w:p w14:paraId="0C55A090" w14:textId="77777777" w:rsidR="00E9581B" w:rsidRPr="00D75678" w:rsidRDefault="00E9581B" w:rsidP="00123D86">
            <w:r w:rsidRPr="00D75678">
              <w:t>Second round evaluation completed</w:t>
            </w:r>
          </w:p>
        </w:tc>
        <w:tc>
          <w:tcPr>
            <w:tcW w:w="2552" w:type="dxa"/>
          </w:tcPr>
          <w:p w14:paraId="4BFD7CE1" w14:textId="77777777" w:rsidR="00E9581B" w:rsidRPr="00673D60" w:rsidRDefault="00E9581B" w:rsidP="00123D86">
            <w:pPr>
              <w:rPr>
                <w:color w:val="auto"/>
              </w:rPr>
            </w:pPr>
            <w:r w:rsidRPr="00673D60">
              <w:rPr>
                <w:color w:val="auto"/>
              </w:rPr>
              <w:t>26 June 2019</w:t>
            </w:r>
          </w:p>
        </w:tc>
      </w:tr>
      <w:tr w:rsidR="00E9581B" w:rsidRPr="00D75678" w14:paraId="7FF1EE09" w14:textId="77777777" w:rsidTr="00123D86">
        <w:tc>
          <w:tcPr>
            <w:tcW w:w="6487" w:type="dxa"/>
          </w:tcPr>
          <w:p w14:paraId="398E9CA9" w14:textId="77777777" w:rsidR="00E9581B" w:rsidRPr="00D75678" w:rsidRDefault="00E9581B" w:rsidP="00123D86">
            <w:r w:rsidRPr="00D75678">
              <w:t>Delegate’s Overall benefit-risk assessment and request for Advisory Committee advice</w:t>
            </w:r>
          </w:p>
        </w:tc>
        <w:tc>
          <w:tcPr>
            <w:tcW w:w="2552" w:type="dxa"/>
          </w:tcPr>
          <w:p w14:paraId="2F1CD3B1" w14:textId="77777777" w:rsidR="00E9581B" w:rsidRPr="00673D60" w:rsidRDefault="00E9581B" w:rsidP="00123D86">
            <w:pPr>
              <w:rPr>
                <w:color w:val="auto"/>
              </w:rPr>
            </w:pPr>
            <w:r w:rsidRPr="00673D60">
              <w:rPr>
                <w:color w:val="auto"/>
              </w:rPr>
              <w:t>2 July 2019</w:t>
            </w:r>
          </w:p>
        </w:tc>
      </w:tr>
      <w:tr w:rsidR="00E9581B" w:rsidRPr="00D75678" w14:paraId="2D4D6B53" w14:textId="77777777" w:rsidTr="00123D86">
        <w:tc>
          <w:tcPr>
            <w:tcW w:w="6487" w:type="dxa"/>
          </w:tcPr>
          <w:p w14:paraId="7F45CD12" w14:textId="77777777" w:rsidR="00E9581B" w:rsidRPr="00D75678" w:rsidRDefault="00E9581B" w:rsidP="00123D86">
            <w:r w:rsidRPr="00D75678">
              <w:t>Sponsor’s pre-Advisory Committee response</w:t>
            </w:r>
          </w:p>
        </w:tc>
        <w:tc>
          <w:tcPr>
            <w:tcW w:w="2552" w:type="dxa"/>
          </w:tcPr>
          <w:p w14:paraId="33D92AD8" w14:textId="77777777" w:rsidR="00E9581B" w:rsidRPr="00673D60" w:rsidRDefault="00E9581B" w:rsidP="00123D86">
            <w:pPr>
              <w:rPr>
                <w:color w:val="auto"/>
              </w:rPr>
            </w:pPr>
            <w:r w:rsidRPr="00673D60">
              <w:rPr>
                <w:color w:val="auto"/>
              </w:rPr>
              <w:t>12 July 2019</w:t>
            </w:r>
          </w:p>
        </w:tc>
      </w:tr>
      <w:tr w:rsidR="00E9581B" w:rsidRPr="00D75678" w14:paraId="2FBCAE97" w14:textId="77777777" w:rsidTr="00123D86">
        <w:tc>
          <w:tcPr>
            <w:tcW w:w="6487" w:type="dxa"/>
          </w:tcPr>
          <w:p w14:paraId="0E1B143D" w14:textId="77777777" w:rsidR="00E9581B" w:rsidRPr="00D75678" w:rsidRDefault="00E9581B" w:rsidP="00123D86">
            <w:r w:rsidRPr="00D75678">
              <w:t>Advisory Committee meeting</w:t>
            </w:r>
          </w:p>
        </w:tc>
        <w:tc>
          <w:tcPr>
            <w:tcW w:w="2552" w:type="dxa"/>
          </w:tcPr>
          <w:p w14:paraId="3FE42DC5" w14:textId="77777777" w:rsidR="00E9581B" w:rsidRPr="0046393D" w:rsidRDefault="00E9581B" w:rsidP="00123D86">
            <w:r w:rsidRPr="0046393D">
              <w:t>1-2 August 2019</w:t>
            </w:r>
          </w:p>
        </w:tc>
      </w:tr>
      <w:tr w:rsidR="00E9581B" w:rsidRPr="00D75678" w14:paraId="62990B38" w14:textId="77777777" w:rsidTr="00123D86">
        <w:tc>
          <w:tcPr>
            <w:tcW w:w="6487" w:type="dxa"/>
          </w:tcPr>
          <w:p w14:paraId="7482B064" w14:textId="77777777" w:rsidR="00E9581B" w:rsidRPr="00D75678" w:rsidRDefault="00E9581B" w:rsidP="00123D86">
            <w:r w:rsidRPr="00D75678">
              <w:t>Registration decision (Outcome)</w:t>
            </w:r>
          </w:p>
        </w:tc>
        <w:tc>
          <w:tcPr>
            <w:tcW w:w="2552" w:type="dxa"/>
          </w:tcPr>
          <w:p w14:paraId="54B5EEDA" w14:textId="77777777" w:rsidR="00E9581B" w:rsidRPr="0046393D" w:rsidRDefault="00E9581B" w:rsidP="00123D86">
            <w:r w:rsidRPr="0046393D">
              <w:t>17 September 2019</w:t>
            </w:r>
          </w:p>
        </w:tc>
      </w:tr>
      <w:tr w:rsidR="00E9581B" w:rsidRPr="00D75678" w14:paraId="6417D692" w14:textId="77777777" w:rsidTr="001B7ED1">
        <w:trPr>
          <w:cantSplit/>
        </w:trPr>
        <w:tc>
          <w:tcPr>
            <w:tcW w:w="6487" w:type="dxa"/>
          </w:tcPr>
          <w:p w14:paraId="24503E02" w14:textId="77777777" w:rsidR="00E9581B" w:rsidRPr="00D75678" w:rsidRDefault="00E9581B" w:rsidP="00123D86">
            <w:r w:rsidRPr="00D75678">
              <w:t>Completion of administrative activities and registration on ARTG</w:t>
            </w:r>
          </w:p>
        </w:tc>
        <w:tc>
          <w:tcPr>
            <w:tcW w:w="2552" w:type="dxa"/>
          </w:tcPr>
          <w:p w14:paraId="3567A453" w14:textId="77777777" w:rsidR="00E9581B" w:rsidRPr="0046393D" w:rsidRDefault="00E9581B" w:rsidP="00123D86">
            <w:r>
              <w:t>20 September 2019</w:t>
            </w:r>
          </w:p>
        </w:tc>
      </w:tr>
      <w:tr w:rsidR="00E9581B" w:rsidRPr="00D75678" w14:paraId="09E9FD7E" w14:textId="77777777" w:rsidTr="00123D86">
        <w:tc>
          <w:tcPr>
            <w:tcW w:w="6487" w:type="dxa"/>
          </w:tcPr>
          <w:p w14:paraId="018F97C1" w14:textId="77777777" w:rsidR="00E9581B" w:rsidRPr="00D75678" w:rsidRDefault="00E9581B" w:rsidP="00123D86">
            <w:r w:rsidRPr="00D75678">
              <w:t>Number of working days from submission dossier acceptance to registration decision*</w:t>
            </w:r>
          </w:p>
        </w:tc>
        <w:tc>
          <w:tcPr>
            <w:tcW w:w="2552" w:type="dxa"/>
          </w:tcPr>
          <w:p w14:paraId="7CBD6C20" w14:textId="77777777" w:rsidR="00E9581B" w:rsidRPr="0046393D" w:rsidRDefault="00E9581B" w:rsidP="00123D86">
            <w:r>
              <w:t>202</w:t>
            </w:r>
          </w:p>
        </w:tc>
      </w:tr>
    </w:tbl>
    <w:p w14:paraId="70AE7F25" w14:textId="77777777" w:rsidR="00E9581B" w:rsidRPr="00D75678" w:rsidRDefault="00E9581B" w:rsidP="00E9581B">
      <w:pPr>
        <w:pStyle w:val="TableDescription"/>
      </w:pPr>
      <w:r>
        <w:t>*</w:t>
      </w:r>
      <w:r w:rsidRPr="00BF3774">
        <w:t xml:space="preserve">Statutory </w:t>
      </w:r>
      <w:r>
        <w:t>timeframe for standard applications is 255 working days</w:t>
      </w:r>
    </w:p>
    <w:p w14:paraId="7150AD5E" w14:textId="77777777" w:rsidR="00E9581B" w:rsidRPr="00792A32" w:rsidRDefault="00E9581B" w:rsidP="00E9581B">
      <w:pPr>
        <w:pStyle w:val="Heading2"/>
      </w:pPr>
      <w:bookmarkStart w:id="31" w:name="_Toc196046504"/>
      <w:bookmarkStart w:id="32" w:name="_Toc247691527"/>
      <w:bookmarkStart w:id="33" w:name="_Toc314842510"/>
      <w:bookmarkStart w:id="34" w:name="_Toc22051381"/>
      <w:bookmarkStart w:id="35" w:name="_Toc27745209"/>
      <w:bookmarkStart w:id="36" w:name="_Toc163441390"/>
      <w:bookmarkEnd w:id="26"/>
      <w:bookmarkEnd w:id="27"/>
      <w:r>
        <w:lastRenderedPageBreak/>
        <w:t xml:space="preserve">III.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31"/>
      <w:bookmarkEnd w:id="32"/>
      <w:bookmarkEnd w:id="33"/>
      <w:bookmarkEnd w:id="34"/>
      <w:bookmarkEnd w:id="35"/>
    </w:p>
    <w:p w14:paraId="3F17E3F6" w14:textId="77777777" w:rsidR="00E9581B" w:rsidRDefault="00E9581B" w:rsidP="00E9581B">
      <w:bookmarkStart w:id="37" w:name="_Toc247691528"/>
      <w:r>
        <w:t xml:space="preserve">The submission was summarised in the following </w:t>
      </w:r>
      <w:r w:rsidRPr="00EF5C48">
        <w:t xml:space="preserve">Delegate’s </w:t>
      </w:r>
      <w:r>
        <w:t>overview</w:t>
      </w:r>
      <w:r w:rsidRPr="00EF5C48">
        <w:t xml:space="preserve"> and recommendation</w:t>
      </w:r>
      <w:r>
        <w:t>s:</w:t>
      </w:r>
    </w:p>
    <w:p w14:paraId="1291351A" w14:textId="77777777" w:rsidR="00E9581B" w:rsidRDefault="00E9581B" w:rsidP="00E9581B">
      <w:pPr>
        <w:pStyle w:val="Heading3"/>
      </w:pPr>
      <w:bookmarkStart w:id="38" w:name="_Toc314842511"/>
      <w:bookmarkStart w:id="39" w:name="_Toc22051382"/>
      <w:bookmarkStart w:id="40" w:name="_Toc27745210"/>
      <w:r>
        <w:t>Quality</w:t>
      </w:r>
      <w:bookmarkEnd w:id="37"/>
      <w:bookmarkEnd w:id="38"/>
      <w:bookmarkEnd w:id="39"/>
      <w:bookmarkEnd w:id="40"/>
    </w:p>
    <w:p w14:paraId="67AEED07" w14:textId="0E4160D5" w:rsidR="002F76A5" w:rsidRPr="004A5231" w:rsidRDefault="002F76A5" w:rsidP="002F76A5">
      <w:r w:rsidRPr="004A5231">
        <w:t xml:space="preserve">Fremanezumab is a fully humanised </w:t>
      </w:r>
      <w:r w:rsidR="00A86998">
        <w:t>mAb</w:t>
      </w:r>
      <w:r w:rsidRPr="004A5231">
        <w:t xml:space="preserve"> produced CHO cells by recombinant DNA technology.</w:t>
      </w:r>
    </w:p>
    <w:p w14:paraId="3CC8036E" w14:textId="77777777" w:rsidR="002F76A5" w:rsidRDefault="002F76A5" w:rsidP="002F76A5">
      <w:r>
        <w:t>Ajovy is a sterile, preservative-free solution for injection in pre-filled syringe.</w:t>
      </w:r>
    </w:p>
    <w:p w14:paraId="60385D4A" w14:textId="3C055FEA" w:rsidR="002F76A5" w:rsidRDefault="00162655" w:rsidP="002F76A5">
      <w:r>
        <w:t>It</w:t>
      </w:r>
      <w:r w:rsidR="002F76A5">
        <w:t xml:space="preserve"> is a clear to opalescent, colourless to slightly yellow solution with a pH of 5.5 and an osmolality of 300</w:t>
      </w:r>
      <w:r w:rsidR="00A86998">
        <w:t xml:space="preserve"> to </w:t>
      </w:r>
      <w:r w:rsidR="002F76A5">
        <w:t>450 mOsm/kg.</w:t>
      </w:r>
    </w:p>
    <w:p w14:paraId="6D5FC0EA" w14:textId="77777777" w:rsidR="002F76A5" w:rsidRPr="004A5231" w:rsidRDefault="002F76A5" w:rsidP="002F76A5">
      <w:r w:rsidRPr="004A5231">
        <w:t>One pre-filled syringe contains 225 mg fremanezumab in 1.5 mL (150 mg/mL).</w:t>
      </w:r>
    </w:p>
    <w:p w14:paraId="0D78B378" w14:textId="31D353EB" w:rsidR="00E9581B" w:rsidRDefault="00E9581B" w:rsidP="00E9581B">
      <w:r w:rsidRPr="00485CA0">
        <w:t xml:space="preserve">There are no objections on quality grounds to the approval of </w:t>
      </w:r>
      <w:r>
        <w:rPr>
          <w:rFonts w:asciiTheme="minorHAnsi" w:hAnsiTheme="minorHAnsi"/>
        </w:rPr>
        <w:t xml:space="preserve">Ajovy (fremanezumab) </w:t>
      </w:r>
      <w:r>
        <w:t xml:space="preserve">provided the outstanding </w:t>
      </w:r>
      <w:r w:rsidR="00A86998">
        <w:t xml:space="preserve">Good Manufacturing Practice </w:t>
      </w:r>
      <w:r>
        <w:t>clearance issue is resolved</w:t>
      </w:r>
      <w:r w:rsidRPr="00485CA0">
        <w:t>.</w:t>
      </w:r>
    </w:p>
    <w:p w14:paraId="6A89A9C7" w14:textId="77777777" w:rsidR="00E9581B" w:rsidRDefault="00E9581B" w:rsidP="00E9581B">
      <w:pPr>
        <w:pStyle w:val="Heading3"/>
      </w:pPr>
      <w:bookmarkStart w:id="41" w:name="_Toc314842512"/>
      <w:bookmarkStart w:id="42" w:name="_Toc22051383"/>
      <w:bookmarkStart w:id="43" w:name="_Toc27745211"/>
      <w:r>
        <w:t>Nonclinical</w:t>
      </w:r>
      <w:bookmarkEnd w:id="41"/>
      <w:bookmarkEnd w:id="42"/>
      <w:bookmarkEnd w:id="43"/>
    </w:p>
    <w:p w14:paraId="3E43376C" w14:textId="2AFA072F" w:rsidR="00E9581B" w:rsidRPr="00637D62" w:rsidRDefault="00E9581B" w:rsidP="00E9581B">
      <w:r w:rsidRPr="00637D62">
        <w:t xml:space="preserve">The submitted nonclinical data were in general accordance with the International Council </w:t>
      </w:r>
      <w:r w:rsidR="00A86998">
        <w:t>on</w:t>
      </w:r>
      <w:r w:rsidR="00A86998" w:rsidRPr="00637D62">
        <w:t xml:space="preserve"> </w:t>
      </w:r>
      <w:r w:rsidRPr="00637D62">
        <w:t xml:space="preserve">Harmonisation </w:t>
      </w:r>
      <w:r w:rsidR="00A86998">
        <w:t xml:space="preserve">(ICH) </w:t>
      </w:r>
      <w:r w:rsidRPr="00637D62">
        <w:t>of Technical Requirements for Pharmaceuticals for Human Use guideline (ICH S6R1 2011) on the non-clinical evaluation of biotechnology-derived pharmaceuticals. All pivotal repeat</w:t>
      </w:r>
      <w:r>
        <w:t xml:space="preserve"> dose </w:t>
      </w:r>
      <w:r w:rsidRPr="00637D62">
        <w:t>toxicity and reproductive toxicity studies were Good Laborato</w:t>
      </w:r>
      <w:r w:rsidR="002F76A5">
        <w:t>ry Practice (GLP) compliant.</w:t>
      </w:r>
    </w:p>
    <w:p w14:paraId="33B1F4F0" w14:textId="1243318D" w:rsidR="00E9581B" w:rsidRPr="004D1430" w:rsidRDefault="00E9581B" w:rsidP="00515E1C">
      <w:pPr>
        <w:rPr>
          <w:rFonts w:eastAsiaTheme="minorHAnsi" w:cs="Cambria"/>
          <w:color w:val="000000"/>
        </w:rPr>
      </w:pPr>
      <w:r w:rsidRPr="00637D62">
        <w:t xml:space="preserve">Primary pharmacology studies provided sufficient evidence of </w:t>
      </w:r>
      <w:r>
        <w:t>f</w:t>
      </w:r>
      <w:r w:rsidRPr="00637D62">
        <w:t>remanezumab affinity and selectivity for the human and monkey CGRP</w:t>
      </w:r>
      <w:r w:rsidR="004045DC">
        <w:t xml:space="preserve"> ligand</w:t>
      </w:r>
      <w:r w:rsidRPr="00637D62">
        <w:t xml:space="preserve">. Treatment-related effects associated with weekly </w:t>
      </w:r>
      <w:r>
        <w:t>intravenous (</w:t>
      </w:r>
      <w:r w:rsidRPr="00637D62">
        <w:t>IV</w:t>
      </w:r>
      <w:r>
        <w:t>)</w:t>
      </w:r>
      <w:r w:rsidRPr="00637D62">
        <w:t xml:space="preserve"> or SC administration were minimal and limited to injection site reactions and mild inflammatory reactions in various organs. </w:t>
      </w:r>
      <w:r w:rsidRPr="004D1430">
        <w:rPr>
          <w:rFonts w:eastAsiaTheme="minorHAnsi" w:cs="Cambria"/>
          <w:color w:val="000000"/>
        </w:rPr>
        <w:t>Pregnancy Category B1 is considered appropriate.</w:t>
      </w:r>
      <w:bookmarkStart w:id="44" w:name="_Ref27746711"/>
      <w:r w:rsidR="00A86998">
        <w:rPr>
          <w:rStyle w:val="FootnoteReference"/>
          <w:rFonts w:eastAsiaTheme="minorHAnsi" w:cs="Cambria"/>
          <w:color w:val="000000"/>
        </w:rPr>
        <w:footnoteReference w:id="1"/>
      </w:r>
      <w:bookmarkEnd w:id="44"/>
    </w:p>
    <w:p w14:paraId="4D0E78B3" w14:textId="77777777" w:rsidR="00E9581B" w:rsidRPr="004D1430" w:rsidRDefault="00E9581B" w:rsidP="00E9581B">
      <w:pPr>
        <w:autoSpaceDE w:val="0"/>
        <w:autoSpaceDN w:val="0"/>
        <w:adjustRightInd w:val="0"/>
        <w:spacing w:before="0" w:after="214" w:line="240" w:lineRule="auto"/>
        <w:rPr>
          <w:rFonts w:eastAsiaTheme="minorHAnsi" w:cs="Cambria"/>
          <w:color w:val="000000"/>
        </w:rPr>
      </w:pPr>
      <w:r w:rsidRPr="004D1430">
        <w:rPr>
          <w:rFonts w:eastAsiaTheme="minorHAnsi" w:cs="Cambria"/>
          <w:color w:val="000000"/>
        </w:rPr>
        <w:t>Overall, there are no nonclinical objections to the registration of fremanezumab (Ajovy</w:t>
      </w:r>
      <w:r>
        <w:rPr>
          <w:rFonts w:eastAsiaTheme="minorHAnsi" w:cs="Cambria"/>
          <w:color w:val="000000"/>
        </w:rPr>
        <w:t>).</w:t>
      </w:r>
    </w:p>
    <w:p w14:paraId="3F3938E1" w14:textId="20C06DAC" w:rsidR="00E9581B" w:rsidRPr="00DC1948" w:rsidRDefault="00E9581B" w:rsidP="00E9581B">
      <w:r>
        <w:rPr>
          <w:rFonts w:eastAsiaTheme="minorHAnsi" w:cs="Cambria"/>
          <w:color w:val="000000"/>
        </w:rPr>
        <w:t xml:space="preserve">The draft </w:t>
      </w:r>
      <w:r w:rsidR="00A86998">
        <w:rPr>
          <w:rFonts w:eastAsiaTheme="minorHAnsi" w:cs="Cambria"/>
          <w:color w:val="000000"/>
        </w:rPr>
        <w:t>PI</w:t>
      </w:r>
      <w:r>
        <w:rPr>
          <w:rFonts w:eastAsiaTheme="minorHAnsi" w:cs="Cambria"/>
          <w:color w:val="000000"/>
        </w:rPr>
        <w:t xml:space="preserve"> </w:t>
      </w:r>
      <w:r w:rsidRPr="004D1430">
        <w:rPr>
          <w:rFonts w:eastAsiaTheme="minorHAnsi" w:cs="Cambria"/>
          <w:color w:val="000000"/>
        </w:rPr>
        <w:t>is acceptable from a nonclinical viewpoint.</w:t>
      </w:r>
    </w:p>
    <w:p w14:paraId="1147DF04" w14:textId="77777777" w:rsidR="00E9581B" w:rsidRDefault="00E9581B" w:rsidP="00E9581B">
      <w:pPr>
        <w:pStyle w:val="Heading3"/>
      </w:pPr>
      <w:bookmarkStart w:id="45" w:name="_Toc247691530"/>
      <w:bookmarkStart w:id="46" w:name="_Toc314842513"/>
      <w:bookmarkStart w:id="47" w:name="_Toc22051384"/>
      <w:bookmarkStart w:id="48" w:name="_Toc27745212"/>
      <w:r>
        <w:t>Clinical</w:t>
      </w:r>
      <w:bookmarkEnd w:id="45"/>
      <w:bookmarkEnd w:id="46"/>
      <w:bookmarkEnd w:id="47"/>
      <w:bookmarkEnd w:id="48"/>
    </w:p>
    <w:p w14:paraId="0D4356AD" w14:textId="4FDB51BA" w:rsidR="00E9581B" w:rsidRPr="00D328C8" w:rsidRDefault="00E9581B" w:rsidP="00123D86">
      <w:pPr>
        <w:pStyle w:val="Heading4"/>
      </w:pPr>
      <w:r w:rsidRPr="00AA53F4">
        <w:t>Pharmacokinetics</w:t>
      </w:r>
    </w:p>
    <w:p w14:paraId="6B60E37E" w14:textId="2BDB26DC" w:rsidR="00E9581B" w:rsidRPr="00FC670A" w:rsidRDefault="00E9581B" w:rsidP="00E9581B">
      <w:pPr>
        <w:rPr>
          <w:b/>
        </w:rPr>
      </w:pPr>
      <w:r w:rsidRPr="00FC670A">
        <w:t>Fremanezumab exhibits</w:t>
      </w:r>
      <w:r w:rsidRPr="00FC670A">
        <w:rPr>
          <w:b/>
        </w:rPr>
        <w:t xml:space="preserve"> </w:t>
      </w:r>
      <w:r w:rsidRPr="00FC670A">
        <w:t>linear pharmacokinetics</w:t>
      </w:r>
      <w:r w:rsidR="00A86998">
        <w:t xml:space="preserve"> (PK)</w:t>
      </w:r>
      <w:r w:rsidRPr="00FC670A">
        <w:t>, with approximately dose</w:t>
      </w:r>
      <w:r w:rsidR="00A86998">
        <w:noBreakHyphen/>
      </w:r>
      <w:r w:rsidRPr="00FC670A">
        <w:t>proportional exposures in the range of 225</w:t>
      </w:r>
      <w:r w:rsidRPr="00FC670A">
        <w:rPr>
          <w:b/>
        </w:rPr>
        <w:t xml:space="preserve"> </w:t>
      </w:r>
      <w:r w:rsidRPr="00FC670A">
        <w:t>to 900 mg. A</w:t>
      </w:r>
      <w:r w:rsidR="0091159B" w:rsidRPr="00FC670A">
        <w:t>fter a</w:t>
      </w:r>
      <w:r w:rsidRPr="00FC670A">
        <w:t xml:space="preserve"> single SC dose of 225 mg, 675 mg, and 900 mg of fremanezumab,</w:t>
      </w:r>
      <w:r w:rsidRPr="009C5F3F">
        <w:rPr>
          <w:b/>
        </w:rPr>
        <w:t xml:space="preserve"> </w:t>
      </w:r>
      <w:r w:rsidRPr="009C5F3F">
        <w:t>the median time to maximum concentration (T</w:t>
      </w:r>
      <w:r w:rsidRPr="009C5F3F">
        <w:rPr>
          <w:vertAlign w:val="subscript"/>
        </w:rPr>
        <w:t>max</w:t>
      </w:r>
      <w:r w:rsidRPr="009C5F3F">
        <w:t xml:space="preserve">) was 5 to 7 </w:t>
      </w:r>
      <w:r w:rsidRPr="00FC670A">
        <w:t>days</w:t>
      </w:r>
      <w:r w:rsidRPr="00FC670A">
        <w:rPr>
          <w:b/>
        </w:rPr>
        <w:t xml:space="preserve">. </w:t>
      </w:r>
      <w:r w:rsidRPr="00FC670A">
        <w:t>The exposure-response analyses showed shallow relationships between efficacy and</w:t>
      </w:r>
      <w:r w:rsidRPr="00FC670A">
        <w:rPr>
          <w:b/>
        </w:rPr>
        <w:t xml:space="preserve"> </w:t>
      </w:r>
      <w:r w:rsidRPr="00FC670A">
        <w:t>fremanezumab concentrations, that is, the slopes of the relationships are close to 0. The mean terminal elimination half-life of fremanezumab is approximately 31</w:t>
      </w:r>
      <w:r w:rsidRPr="00FC670A">
        <w:rPr>
          <w:b/>
        </w:rPr>
        <w:t xml:space="preserve"> </w:t>
      </w:r>
      <w:r w:rsidRPr="00FC670A">
        <w:t>days.</w:t>
      </w:r>
      <w:r w:rsidRPr="00FC670A">
        <w:rPr>
          <w:b/>
        </w:rPr>
        <w:t xml:space="preserve"> </w:t>
      </w:r>
      <w:r w:rsidRPr="00FC670A">
        <w:t>Steady state is expected to be achieved by approximately 6 months.</w:t>
      </w:r>
      <w:r w:rsidRPr="00FC670A">
        <w:rPr>
          <w:b/>
        </w:rPr>
        <w:t xml:space="preserve"> </w:t>
      </w:r>
      <w:r w:rsidRPr="00FC670A">
        <w:t>No dose adjustment is necessary for patients based on intrinsic or extrinsic factors</w:t>
      </w:r>
      <w:r w:rsidRPr="00FC670A">
        <w:rPr>
          <w:b/>
        </w:rPr>
        <w:t>.</w:t>
      </w:r>
    </w:p>
    <w:p w14:paraId="7F043EE6" w14:textId="781F2845" w:rsidR="004045DC" w:rsidRDefault="00E9581B" w:rsidP="00E9581B">
      <w:r w:rsidRPr="00FC670A">
        <w:lastRenderedPageBreak/>
        <w:t>The effects of a</w:t>
      </w:r>
      <w:r w:rsidRPr="00FC670A">
        <w:rPr>
          <w:rFonts w:eastAsia="TimesNewRoman"/>
        </w:rPr>
        <w:t>nti-drug antibodies</w:t>
      </w:r>
      <w:r w:rsidRPr="00FC670A">
        <w:t xml:space="preserve"> (ADA) on </w:t>
      </w:r>
      <w:r w:rsidR="00A86998">
        <w:t>PK</w:t>
      </w:r>
      <w:r w:rsidR="00A86998" w:rsidRPr="00FC670A">
        <w:t xml:space="preserve"> </w:t>
      </w:r>
      <w:r w:rsidRPr="00FC670A">
        <w:t>appear to be minimal.</w:t>
      </w:r>
    </w:p>
    <w:p w14:paraId="22BFE929" w14:textId="17758D51" w:rsidR="00E9581B" w:rsidRPr="00D83399" w:rsidRDefault="00E9581B" w:rsidP="00E9581B">
      <w:r w:rsidRPr="00F53552">
        <w:t>The effects of ADA on pharmacodynamics</w:t>
      </w:r>
      <w:r w:rsidR="00A86998">
        <w:t xml:space="preserve"> (PD)</w:t>
      </w:r>
      <w:r w:rsidRPr="00F53552">
        <w:t xml:space="preserve"> have not been assessed. The potential effects of ADA on efficacy could not be estimated from the Phase </w:t>
      </w:r>
      <w:r>
        <w:t>II and III</w:t>
      </w:r>
      <w:r w:rsidRPr="00F53552">
        <w:t xml:space="preserve"> studies, because of the very low incidence of ADA. No important differences in safety or tolerability were noted when comparing </w:t>
      </w:r>
      <w:r>
        <w:t>subjects with ADA (</w:t>
      </w:r>
      <w:r w:rsidRPr="00F53552">
        <w:t>ADA+ subjects</w:t>
      </w:r>
      <w:r>
        <w:t>)</w:t>
      </w:r>
      <w:r w:rsidRPr="00F53552">
        <w:t xml:space="preserve"> with </w:t>
      </w:r>
      <w:r>
        <w:t xml:space="preserve">subjects with no </w:t>
      </w:r>
      <w:r w:rsidRPr="00F53552">
        <w:t>ADA</w:t>
      </w:r>
      <w:r>
        <w:t xml:space="preserve"> (ADA</w:t>
      </w:r>
      <w:r w:rsidRPr="00F53552">
        <w:t>- subjects</w:t>
      </w:r>
      <w:r>
        <w:t>)</w:t>
      </w:r>
      <w:r w:rsidRPr="00F53552">
        <w:t>, in terms of adverse events</w:t>
      </w:r>
      <w:r w:rsidR="00A86998">
        <w:t xml:space="preserve"> (AE)</w:t>
      </w:r>
      <w:r w:rsidRPr="00F53552">
        <w:t>, but the incidence of ADA+ status was too low to allow robust comparisons</w:t>
      </w:r>
      <w:r>
        <w:t>.</w:t>
      </w:r>
    </w:p>
    <w:p w14:paraId="37608BAF" w14:textId="13BB0F74" w:rsidR="00E9581B" w:rsidRDefault="00E9581B" w:rsidP="00123D86">
      <w:pPr>
        <w:pStyle w:val="Heading4"/>
      </w:pPr>
      <w:r w:rsidRPr="00D328C8">
        <w:t>Pharmacodynamics</w:t>
      </w:r>
      <w:bookmarkStart w:id="49" w:name="_Ref271037274"/>
      <w:bookmarkStart w:id="50" w:name="_Toc272414652"/>
      <w:bookmarkStart w:id="51" w:name="_Toc290846274"/>
      <w:bookmarkStart w:id="52" w:name="_Toc515480564"/>
    </w:p>
    <w:p w14:paraId="0DDB7E7C" w14:textId="2A79289B" w:rsidR="007F4075" w:rsidRDefault="00E9581B" w:rsidP="007F4075">
      <w:r w:rsidRPr="00D679BC">
        <w:t>The</w:t>
      </w:r>
      <w:r w:rsidR="007F4075">
        <w:t xml:space="preserve"> specific</w:t>
      </w:r>
      <w:r w:rsidRPr="00D679BC">
        <w:t xml:space="preserve"> binding of fremanezumab to its tar</w:t>
      </w:r>
      <w:r>
        <w:t>get</w:t>
      </w:r>
      <w:r w:rsidR="007F4075">
        <w:t>,</w:t>
      </w:r>
      <w:r w:rsidR="001B7ED1">
        <w:t xml:space="preserve"> </w:t>
      </w:r>
      <w:r>
        <w:t>CGRP</w:t>
      </w:r>
      <w:r w:rsidR="007F4075">
        <w:t xml:space="preserve">, </w:t>
      </w:r>
      <w:r w:rsidR="007F4075" w:rsidRPr="00D679BC">
        <w:t>while not binding to similar peptides such as amylin,</w:t>
      </w:r>
      <w:r w:rsidR="001A64CA">
        <w:t xml:space="preserve"> intermedin,</w:t>
      </w:r>
      <w:r w:rsidR="007F4075" w:rsidRPr="00D679BC">
        <w:t xml:space="preserve"> calcitonin, or adrenomedullin</w:t>
      </w:r>
      <w:r w:rsidR="007F4075">
        <w:t xml:space="preserve"> </w:t>
      </w:r>
      <w:r>
        <w:t>has been characteris</w:t>
      </w:r>
      <w:r w:rsidRPr="00D679BC">
        <w:t>ed in</w:t>
      </w:r>
      <w:r w:rsidR="007F4075">
        <w:t xml:space="preserve"> </w:t>
      </w:r>
      <w:r w:rsidR="007F4075" w:rsidRPr="001522FE">
        <w:rPr>
          <w:i/>
          <w:iCs/>
        </w:rPr>
        <w:t>in vitro</w:t>
      </w:r>
      <w:r w:rsidR="007F4075">
        <w:t xml:space="preserve"> systems.</w:t>
      </w:r>
    </w:p>
    <w:p w14:paraId="38902095" w14:textId="660B7A38" w:rsidR="00E9581B" w:rsidRPr="00A46FC3" w:rsidRDefault="00E9581B" w:rsidP="007F4075">
      <w:r w:rsidRPr="00D679BC">
        <w:t xml:space="preserve">Fremanezumab prevents </w:t>
      </w:r>
      <w:r w:rsidRPr="001B7ED1">
        <w:rPr>
          <w:i/>
        </w:rPr>
        <w:t>in vitro</w:t>
      </w:r>
      <w:r w:rsidRPr="00D679BC">
        <w:t xml:space="preserve"> cyclic adenosine monophosphate production induced by CGRP.</w:t>
      </w:r>
      <w:r>
        <w:t xml:space="preserve"> No </w:t>
      </w:r>
      <w:r w:rsidRPr="00D679BC">
        <w:t>clinical relevant relationship between exposure metrics and safety endpoints</w:t>
      </w:r>
      <w:r>
        <w:t>.</w:t>
      </w:r>
    </w:p>
    <w:p w14:paraId="0C3EBD30" w14:textId="3D1B0078" w:rsidR="00E9581B" w:rsidRDefault="00E9581B" w:rsidP="00123D86">
      <w:pPr>
        <w:pStyle w:val="Heading4"/>
      </w:pPr>
      <w:r w:rsidRPr="00382555">
        <w:t xml:space="preserve">Dose </w:t>
      </w:r>
      <w:r w:rsidR="00A86998">
        <w:t>s</w:t>
      </w:r>
      <w:r w:rsidRPr="00382555">
        <w:t>election</w:t>
      </w:r>
    </w:p>
    <w:p w14:paraId="5DEC91BC" w14:textId="76F82640" w:rsidR="00E9581B" w:rsidRDefault="00E9581B" w:rsidP="00E9581B">
      <w:pPr>
        <w:rPr>
          <w:lang w:eastAsia="ja-JP"/>
        </w:rPr>
      </w:pPr>
      <w:r>
        <w:rPr>
          <w:lang w:eastAsia="ja-JP"/>
        </w:rPr>
        <w:t xml:space="preserve">The sponsor’s submission provides very little commentary justifying the doses assessed in the pivotal studies. The doses used in the pivotal Phase III studies appear to have been chosen </w:t>
      </w:r>
      <w:r w:rsidR="00E137E7">
        <w:rPr>
          <w:lang w:eastAsia="ja-JP"/>
        </w:rPr>
        <w:t>based on</w:t>
      </w:r>
      <w:r>
        <w:rPr>
          <w:lang w:eastAsia="ja-JP"/>
        </w:rPr>
        <w:t xml:space="preserve"> two Phase II studies, and to a lesser extent </w:t>
      </w:r>
      <w:r w:rsidR="00E137E7">
        <w:rPr>
          <w:lang w:eastAsia="ja-JP"/>
        </w:rPr>
        <w:t>based on</w:t>
      </w:r>
      <w:r>
        <w:rPr>
          <w:lang w:eastAsia="ja-JP"/>
        </w:rPr>
        <w:t xml:space="preserve"> tole</w:t>
      </w:r>
      <w:r w:rsidR="00A46FC3">
        <w:rPr>
          <w:lang w:eastAsia="ja-JP"/>
        </w:rPr>
        <w:t>rability in Phase I PK studies.</w:t>
      </w:r>
    </w:p>
    <w:p w14:paraId="579FB515" w14:textId="77777777" w:rsidR="00E9581B" w:rsidRDefault="00E9581B" w:rsidP="00E9581B">
      <w:pPr>
        <w:pStyle w:val="Heading3"/>
      </w:pPr>
      <w:bookmarkStart w:id="53" w:name="_Toc12981476"/>
      <w:bookmarkStart w:id="54" w:name="_Toc22051385"/>
      <w:bookmarkStart w:id="55" w:name="_Toc27745213"/>
      <w:r w:rsidRPr="002F410D">
        <w:t>Efficacy</w:t>
      </w:r>
      <w:bookmarkEnd w:id="53"/>
      <w:bookmarkEnd w:id="54"/>
      <w:bookmarkEnd w:id="55"/>
    </w:p>
    <w:p w14:paraId="24F2D407" w14:textId="77777777" w:rsidR="00E9581B" w:rsidRDefault="00E9581B" w:rsidP="00E9581B">
      <w:pPr>
        <w:rPr>
          <w:lang w:eastAsia="ja-JP"/>
        </w:rPr>
      </w:pPr>
      <w:r>
        <w:rPr>
          <w:lang w:eastAsia="ja-JP"/>
        </w:rPr>
        <w:t>The sponsor submitted four efficacy studies and one long term safety (ongoing) study performed in subjects with migraine, as listed below</w:t>
      </w:r>
      <w:r w:rsidR="00594979">
        <w:rPr>
          <w:lang w:eastAsia="ja-JP"/>
        </w:rPr>
        <w:t xml:space="preserve"> in Table 3</w:t>
      </w:r>
      <w:r>
        <w:rPr>
          <w:lang w:eastAsia="ja-JP"/>
        </w:rPr>
        <w:t>.</w:t>
      </w:r>
    </w:p>
    <w:p w14:paraId="12BCCB84" w14:textId="37D14CED" w:rsidR="00E9581B" w:rsidRDefault="00E9581B" w:rsidP="00E9581B">
      <w:pPr>
        <w:pStyle w:val="TableTitle"/>
        <w:rPr>
          <w:lang w:eastAsia="ja-JP"/>
        </w:rPr>
      </w:pPr>
      <w:r>
        <w:rPr>
          <w:lang w:eastAsia="ja-JP"/>
        </w:rPr>
        <w:t>Table 3: Efficacy studies</w:t>
      </w:r>
      <w:r w:rsidR="00635171">
        <w:rPr>
          <w:lang w:eastAsia="ja-JP"/>
        </w:rPr>
        <w:t xml:space="preserve"> in patients with migraine</w:t>
      </w:r>
    </w:p>
    <w:tbl>
      <w:tblPr>
        <w:tblStyle w:val="TableTGAblue"/>
        <w:tblW w:w="8897" w:type="dxa"/>
        <w:tblLook w:val="04A0" w:firstRow="1" w:lastRow="0" w:firstColumn="1" w:lastColumn="0" w:noHBand="0" w:noVBand="1"/>
      </w:tblPr>
      <w:tblGrid>
        <w:gridCol w:w="2542"/>
        <w:gridCol w:w="6355"/>
      </w:tblGrid>
      <w:tr w:rsidR="00635171" w14:paraId="39628FC3" w14:textId="77777777" w:rsidTr="00A46FC3">
        <w:trPr>
          <w:cnfStyle w:val="100000000000" w:firstRow="1" w:lastRow="0" w:firstColumn="0" w:lastColumn="0" w:oddVBand="0" w:evenVBand="0" w:oddHBand="0" w:evenHBand="0" w:firstRowFirstColumn="0" w:firstRowLastColumn="0" w:lastRowFirstColumn="0" w:lastRowLastColumn="0"/>
        </w:trPr>
        <w:tc>
          <w:tcPr>
            <w:tcW w:w="2542" w:type="dxa"/>
          </w:tcPr>
          <w:p w14:paraId="408EE8F9" w14:textId="2FD56170" w:rsidR="00635171" w:rsidRPr="00742FFF" w:rsidRDefault="00635171" w:rsidP="00A46FC3">
            <w:pPr>
              <w:rPr>
                <w:sz w:val="20"/>
                <w:szCs w:val="20"/>
              </w:rPr>
            </w:pPr>
            <w:r w:rsidRPr="00742FFF">
              <w:rPr>
                <w:sz w:val="20"/>
                <w:szCs w:val="20"/>
              </w:rPr>
              <w:t>Study number</w:t>
            </w:r>
            <w:r w:rsidR="00A46FC3">
              <w:rPr>
                <w:sz w:val="20"/>
                <w:szCs w:val="20"/>
              </w:rPr>
              <w:t xml:space="preserve"> </w:t>
            </w:r>
            <w:r w:rsidRPr="00742FFF">
              <w:rPr>
                <w:sz w:val="20"/>
                <w:szCs w:val="20"/>
              </w:rPr>
              <w:t>/</w:t>
            </w:r>
            <w:r w:rsidR="00A46FC3">
              <w:rPr>
                <w:sz w:val="20"/>
                <w:szCs w:val="20"/>
              </w:rPr>
              <w:t xml:space="preserve"> </w:t>
            </w:r>
            <w:r w:rsidRPr="00742FFF">
              <w:rPr>
                <w:sz w:val="20"/>
                <w:szCs w:val="20"/>
              </w:rPr>
              <w:t>reference name</w:t>
            </w:r>
          </w:p>
        </w:tc>
        <w:tc>
          <w:tcPr>
            <w:tcW w:w="6355" w:type="dxa"/>
          </w:tcPr>
          <w:p w14:paraId="458C7B4A" w14:textId="5DF926C8" w:rsidR="00635171" w:rsidRPr="00742FFF" w:rsidRDefault="00635171" w:rsidP="00742FFF">
            <w:pPr>
              <w:rPr>
                <w:sz w:val="20"/>
                <w:szCs w:val="20"/>
              </w:rPr>
            </w:pPr>
            <w:r w:rsidRPr="00742FFF">
              <w:rPr>
                <w:sz w:val="20"/>
                <w:szCs w:val="20"/>
              </w:rPr>
              <w:t>Study title</w:t>
            </w:r>
          </w:p>
        </w:tc>
      </w:tr>
      <w:tr w:rsidR="00635171" w14:paraId="14DF2707" w14:textId="77777777" w:rsidTr="00A46FC3">
        <w:tc>
          <w:tcPr>
            <w:tcW w:w="2542" w:type="dxa"/>
          </w:tcPr>
          <w:p w14:paraId="1532096E" w14:textId="677FEB40" w:rsidR="00635171" w:rsidRPr="00742FFF" w:rsidRDefault="00635171" w:rsidP="00742FFF">
            <w:pPr>
              <w:rPr>
                <w:sz w:val="20"/>
                <w:szCs w:val="20"/>
              </w:rPr>
            </w:pPr>
            <w:r w:rsidRPr="00742FFF">
              <w:rPr>
                <w:sz w:val="20"/>
                <w:szCs w:val="20"/>
              </w:rPr>
              <w:t>TV48125-CNS-30049</w:t>
            </w:r>
            <w:r w:rsidR="00A46FC3">
              <w:rPr>
                <w:sz w:val="20"/>
                <w:szCs w:val="20"/>
              </w:rPr>
              <w:t xml:space="preserve"> </w:t>
            </w:r>
            <w:r w:rsidRPr="00742FFF">
              <w:rPr>
                <w:sz w:val="20"/>
                <w:szCs w:val="20"/>
              </w:rPr>
              <w:t>/</w:t>
            </w:r>
            <w:r w:rsidR="00A46FC3">
              <w:rPr>
                <w:sz w:val="20"/>
                <w:szCs w:val="20"/>
              </w:rPr>
              <w:t xml:space="preserve"> </w:t>
            </w:r>
            <w:r w:rsidRPr="00742FFF">
              <w:rPr>
                <w:sz w:val="20"/>
                <w:szCs w:val="20"/>
              </w:rPr>
              <w:t>Study 30049</w:t>
            </w:r>
          </w:p>
        </w:tc>
        <w:tc>
          <w:tcPr>
            <w:tcW w:w="6355" w:type="dxa"/>
          </w:tcPr>
          <w:p w14:paraId="3BA06F6B" w14:textId="578EAA58" w:rsidR="00635171" w:rsidRPr="00742FFF" w:rsidRDefault="00742FFF" w:rsidP="00742FFF">
            <w:pPr>
              <w:rPr>
                <w:sz w:val="20"/>
                <w:szCs w:val="20"/>
              </w:rPr>
            </w:pPr>
            <w:r w:rsidRPr="00742FFF">
              <w:rPr>
                <w:sz w:val="20"/>
                <w:szCs w:val="20"/>
              </w:rPr>
              <w:t>Multicenter, Randomized, Double-Blind, Placebo-Controlled, Parallel-Group Study</w:t>
            </w:r>
            <w:r>
              <w:rPr>
                <w:sz w:val="20"/>
                <w:szCs w:val="20"/>
              </w:rPr>
              <w:t xml:space="preserve"> </w:t>
            </w:r>
            <w:r w:rsidRPr="00742FFF">
              <w:rPr>
                <w:sz w:val="20"/>
                <w:szCs w:val="20"/>
              </w:rPr>
              <w:t>Comparing the Efficacy and Safety of 2 Dose Regimens of Subcutaneous Administration of</w:t>
            </w:r>
            <w:r>
              <w:rPr>
                <w:sz w:val="20"/>
                <w:szCs w:val="20"/>
              </w:rPr>
              <w:t xml:space="preserve"> </w:t>
            </w:r>
            <w:r w:rsidRPr="00742FFF">
              <w:rPr>
                <w:sz w:val="20"/>
                <w:szCs w:val="20"/>
              </w:rPr>
              <w:t>TEV-48125 Versus Placebo for the Preventive Treatment of Chronic Migraine</w:t>
            </w:r>
          </w:p>
        </w:tc>
      </w:tr>
      <w:tr w:rsidR="00635171" w14:paraId="67141069" w14:textId="77777777" w:rsidTr="00A46FC3">
        <w:tc>
          <w:tcPr>
            <w:tcW w:w="2542" w:type="dxa"/>
          </w:tcPr>
          <w:p w14:paraId="4FE8F223" w14:textId="3EB0042A" w:rsidR="00635171" w:rsidRPr="00742FFF" w:rsidRDefault="00635171" w:rsidP="00742FFF">
            <w:pPr>
              <w:rPr>
                <w:sz w:val="20"/>
                <w:szCs w:val="20"/>
              </w:rPr>
            </w:pPr>
            <w:r w:rsidRPr="00742FFF">
              <w:rPr>
                <w:sz w:val="20"/>
                <w:szCs w:val="20"/>
              </w:rPr>
              <w:t>TV48125-CNS-30050</w:t>
            </w:r>
            <w:r w:rsidR="00A46FC3">
              <w:rPr>
                <w:sz w:val="20"/>
                <w:szCs w:val="20"/>
              </w:rPr>
              <w:t xml:space="preserve"> </w:t>
            </w:r>
            <w:r w:rsidRPr="00742FFF">
              <w:rPr>
                <w:sz w:val="20"/>
                <w:szCs w:val="20"/>
              </w:rPr>
              <w:t>/</w:t>
            </w:r>
            <w:r w:rsidR="00742FFF">
              <w:rPr>
                <w:sz w:val="20"/>
                <w:szCs w:val="20"/>
              </w:rPr>
              <w:t xml:space="preserve"> </w:t>
            </w:r>
            <w:r w:rsidRPr="00742FFF">
              <w:rPr>
                <w:sz w:val="20"/>
                <w:szCs w:val="20"/>
              </w:rPr>
              <w:t>Study 30050</w:t>
            </w:r>
          </w:p>
        </w:tc>
        <w:tc>
          <w:tcPr>
            <w:tcW w:w="6355" w:type="dxa"/>
          </w:tcPr>
          <w:p w14:paraId="369E0434" w14:textId="653203EC" w:rsidR="00635171" w:rsidRPr="00742FFF" w:rsidRDefault="00742FFF" w:rsidP="00742FFF">
            <w:pPr>
              <w:rPr>
                <w:sz w:val="20"/>
                <w:szCs w:val="20"/>
              </w:rPr>
            </w:pPr>
            <w:r w:rsidRPr="00742FFF">
              <w:rPr>
                <w:sz w:val="20"/>
                <w:szCs w:val="20"/>
              </w:rPr>
              <w:t>A Multicenter, Randomized, Double-Blind, Placebo-Controlled, Parallel-Group Study</w:t>
            </w:r>
            <w:r>
              <w:rPr>
                <w:sz w:val="20"/>
                <w:szCs w:val="20"/>
              </w:rPr>
              <w:t xml:space="preserve"> </w:t>
            </w:r>
            <w:r w:rsidRPr="00742FFF">
              <w:rPr>
                <w:sz w:val="20"/>
                <w:szCs w:val="20"/>
              </w:rPr>
              <w:t>Comparing the Efficacy and Safety of 2 Dose Regimens of Subcutaneous Administration of</w:t>
            </w:r>
            <w:r>
              <w:rPr>
                <w:sz w:val="20"/>
                <w:szCs w:val="20"/>
              </w:rPr>
              <w:t xml:space="preserve"> </w:t>
            </w:r>
            <w:r w:rsidRPr="00742FFF">
              <w:rPr>
                <w:sz w:val="20"/>
                <w:szCs w:val="20"/>
              </w:rPr>
              <w:t>Fremanezumab (TEV-48125) Versus Placebo for the Preventive Treatment of Episodic Migraine</w:t>
            </w:r>
          </w:p>
        </w:tc>
      </w:tr>
      <w:tr w:rsidR="00635171" w14:paraId="44EE08BF" w14:textId="77777777" w:rsidTr="00A46FC3">
        <w:tc>
          <w:tcPr>
            <w:tcW w:w="2542" w:type="dxa"/>
          </w:tcPr>
          <w:p w14:paraId="07C67DF7" w14:textId="0B6BAA35" w:rsidR="00635171" w:rsidRPr="00742FFF" w:rsidRDefault="00635171" w:rsidP="00742FFF">
            <w:pPr>
              <w:rPr>
                <w:sz w:val="20"/>
                <w:szCs w:val="20"/>
              </w:rPr>
            </w:pPr>
            <w:r w:rsidRPr="00742FFF">
              <w:rPr>
                <w:sz w:val="20"/>
                <w:szCs w:val="20"/>
              </w:rPr>
              <w:t>TV48125-CNS-30051</w:t>
            </w:r>
            <w:r w:rsidR="00A46FC3">
              <w:rPr>
                <w:sz w:val="20"/>
                <w:szCs w:val="20"/>
              </w:rPr>
              <w:t xml:space="preserve"> </w:t>
            </w:r>
            <w:r w:rsidRPr="00742FFF">
              <w:rPr>
                <w:sz w:val="20"/>
                <w:szCs w:val="20"/>
              </w:rPr>
              <w:t>/</w:t>
            </w:r>
            <w:r w:rsidR="00A46FC3">
              <w:rPr>
                <w:sz w:val="20"/>
                <w:szCs w:val="20"/>
              </w:rPr>
              <w:t xml:space="preserve"> </w:t>
            </w:r>
            <w:r w:rsidRPr="00742FFF">
              <w:rPr>
                <w:sz w:val="20"/>
                <w:szCs w:val="20"/>
              </w:rPr>
              <w:t>Study 30051a</w:t>
            </w:r>
          </w:p>
        </w:tc>
        <w:tc>
          <w:tcPr>
            <w:tcW w:w="6355" w:type="dxa"/>
          </w:tcPr>
          <w:p w14:paraId="64DB1CD5" w14:textId="345B4FB9" w:rsidR="00635171" w:rsidRPr="00742FFF" w:rsidRDefault="00742FFF" w:rsidP="00742FFF">
            <w:pPr>
              <w:rPr>
                <w:sz w:val="20"/>
                <w:szCs w:val="20"/>
              </w:rPr>
            </w:pPr>
            <w:r w:rsidRPr="00742FFF">
              <w:rPr>
                <w:sz w:val="20"/>
                <w:szCs w:val="20"/>
              </w:rPr>
              <w:t>A Multicenter, Randomized, Double-Blind, Parallel-Group Study Evaluating the Long-Term</w:t>
            </w:r>
            <w:r>
              <w:rPr>
                <w:sz w:val="20"/>
                <w:szCs w:val="20"/>
              </w:rPr>
              <w:t xml:space="preserve"> </w:t>
            </w:r>
            <w:r w:rsidRPr="00742FFF">
              <w:rPr>
                <w:sz w:val="20"/>
                <w:szCs w:val="20"/>
              </w:rPr>
              <w:t>Safety, Tolerability, and Efficacy of Subcutaneous Administration of TEV 48125 for the</w:t>
            </w:r>
            <w:r>
              <w:rPr>
                <w:sz w:val="20"/>
                <w:szCs w:val="20"/>
              </w:rPr>
              <w:t xml:space="preserve"> </w:t>
            </w:r>
            <w:r w:rsidRPr="00742FFF">
              <w:rPr>
                <w:sz w:val="20"/>
                <w:szCs w:val="20"/>
              </w:rPr>
              <w:t>Preventive Treatment of Migraine</w:t>
            </w:r>
          </w:p>
        </w:tc>
      </w:tr>
      <w:tr w:rsidR="00635171" w14:paraId="10091171" w14:textId="77777777" w:rsidTr="00A46FC3">
        <w:tc>
          <w:tcPr>
            <w:tcW w:w="2542" w:type="dxa"/>
          </w:tcPr>
          <w:p w14:paraId="7AD25A67" w14:textId="38D8923A" w:rsidR="00635171" w:rsidRPr="00742FFF" w:rsidRDefault="00635171" w:rsidP="00742FFF">
            <w:pPr>
              <w:rPr>
                <w:sz w:val="20"/>
                <w:szCs w:val="20"/>
              </w:rPr>
            </w:pPr>
            <w:r w:rsidRPr="00742FFF">
              <w:rPr>
                <w:sz w:val="20"/>
                <w:szCs w:val="20"/>
              </w:rPr>
              <w:t>LBR-101-021</w:t>
            </w:r>
            <w:r w:rsidR="00A46FC3">
              <w:rPr>
                <w:sz w:val="20"/>
                <w:szCs w:val="20"/>
              </w:rPr>
              <w:t xml:space="preserve"> </w:t>
            </w:r>
            <w:r w:rsidRPr="00742FFF">
              <w:rPr>
                <w:sz w:val="20"/>
                <w:szCs w:val="20"/>
              </w:rPr>
              <w:t>/</w:t>
            </w:r>
            <w:r w:rsidR="00A46FC3">
              <w:rPr>
                <w:sz w:val="20"/>
                <w:szCs w:val="20"/>
              </w:rPr>
              <w:t xml:space="preserve"> Study </w:t>
            </w:r>
            <w:r w:rsidRPr="00742FFF">
              <w:rPr>
                <w:sz w:val="20"/>
                <w:szCs w:val="20"/>
              </w:rPr>
              <w:t>021</w:t>
            </w:r>
          </w:p>
        </w:tc>
        <w:tc>
          <w:tcPr>
            <w:tcW w:w="6355" w:type="dxa"/>
          </w:tcPr>
          <w:p w14:paraId="72E32B82" w14:textId="5522F8C6" w:rsidR="00635171" w:rsidRPr="00742FFF" w:rsidRDefault="00742FFF" w:rsidP="00742FFF">
            <w:pPr>
              <w:rPr>
                <w:sz w:val="20"/>
                <w:szCs w:val="20"/>
              </w:rPr>
            </w:pPr>
            <w:r w:rsidRPr="00742FFF">
              <w:rPr>
                <w:sz w:val="20"/>
                <w:szCs w:val="20"/>
              </w:rPr>
              <w:t>A Multicenter, Randomized, Double-Blind, Double-Dummy, Placebo-Controlled, Parallel-Group, Multi-Dose Study Comparing the Efficacy and Safety of Subcutaneous TEV-48125 with</w:t>
            </w:r>
            <w:r>
              <w:rPr>
                <w:sz w:val="20"/>
                <w:szCs w:val="20"/>
              </w:rPr>
              <w:t xml:space="preserve"> </w:t>
            </w:r>
            <w:r w:rsidRPr="00742FFF">
              <w:rPr>
                <w:sz w:val="20"/>
                <w:szCs w:val="20"/>
              </w:rPr>
              <w:t>Placebo for the Preventive Treatment of Chronic Migraine</w:t>
            </w:r>
          </w:p>
        </w:tc>
      </w:tr>
      <w:tr w:rsidR="00635171" w14:paraId="162B814F" w14:textId="77777777" w:rsidTr="00A46FC3">
        <w:tc>
          <w:tcPr>
            <w:tcW w:w="2542" w:type="dxa"/>
          </w:tcPr>
          <w:p w14:paraId="46EECF3A" w14:textId="09B65955" w:rsidR="00635171" w:rsidRPr="00742FFF" w:rsidRDefault="00635171" w:rsidP="00A46FC3">
            <w:pPr>
              <w:rPr>
                <w:sz w:val="20"/>
                <w:szCs w:val="20"/>
              </w:rPr>
            </w:pPr>
            <w:r w:rsidRPr="00742FFF">
              <w:rPr>
                <w:sz w:val="20"/>
                <w:szCs w:val="20"/>
              </w:rPr>
              <w:lastRenderedPageBreak/>
              <w:t>LBR-101-022</w:t>
            </w:r>
            <w:r w:rsidR="00A46FC3">
              <w:rPr>
                <w:sz w:val="20"/>
                <w:szCs w:val="20"/>
              </w:rPr>
              <w:t xml:space="preserve"> </w:t>
            </w:r>
            <w:r w:rsidRPr="00742FFF">
              <w:rPr>
                <w:sz w:val="20"/>
                <w:szCs w:val="20"/>
              </w:rPr>
              <w:t>/</w:t>
            </w:r>
            <w:r w:rsidR="00A46FC3">
              <w:rPr>
                <w:sz w:val="20"/>
                <w:szCs w:val="20"/>
              </w:rPr>
              <w:t xml:space="preserve"> </w:t>
            </w:r>
            <w:r w:rsidRPr="00742FFF">
              <w:rPr>
                <w:sz w:val="20"/>
                <w:szCs w:val="20"/>
              </w:rPr>
              <w:t>Study</w:t>
            </w:r>
            <w:r w:rsidR="00A46FC3">
              <w:rPr>
                <w:sz w:val="20"/>
                <w:szCs w:val="20"/>
              </w:rPr>
              <w:t> </w:t>
            </w:r>
            <w:r w:rsidRPr="00742FFF">
              <w:rPr>
                <w:sz w:val="20"/>
                <w:szCs w:val="20"/>
              </w:rPr>
              <w:t>022</w:t>
            </w:r>
          </w:p>
        </w:tc>
        <w:tc>
          <w:tcPr>
            <w:tcW w:w="6355" w:type="dxa"/>
          </w:tcPr>
          <w:p w14:paraId="5290C03B" w14:textId="197F1837" w:rsidR="00635171" w:rsidRPr="00742FFF" w:rsidRDefault="00742FFF" w:rsidP="00742FFF">
            <w:pPr>
              <w:rPr>
                <w:sz w:val="20"/>
                <w:szCs w:val="20"/>
              </w:rPr>
            </w:pPr>
            <w:r w:rsidRPr="00742FFF">
              <w:rPr>
                <w:sz w:val="20"/>
                <w:szCs w:val="20"/>
              </w:rPr>
              <w:t>A Multicenter, Randomized, Double-Blind, Placebo-Controlled, Parallel-Group Study</w:t>
            </w:r>
            <w:r>
              <w:rPr>
                <w:sz w:val="20"/>
                <w:szCs w:val="20"/>
              </w:rPr>
              <w:t xml:space="preserve"> </w:t>
            </w:r>
            <w:r w:rsidRPr="00742FFF">
              <w:rPr>
                <w:sz w:val="20"/>
                <w:szCs w:val="20"/>
              </w:rPr>
              <w:t>Comparing the Efficacy and Safety of Two Doses of Subcutaneous TEV-48125 with Placebo for</w:t>
            </w:r>
            <w:r>
              <w:rPr>
                <w:sz w:val="20"/>
                <w:szCs w:val="20"/>
              </w:rPr>
              <w:t xml:space="preserve"> </w:t>
            </w:r>
            <w:r w:rsidRPr="00742FFF">
              <w:rPr>
                <w:sz w:val="20"/>
                <w:szCs w:val="20"/>
              </w:rPr>
              <w:t>the Preventive Treatment of High Frequency Episodic Migraine</w:t>
            </w:r>
          </w:p>
        </w:tc>
      </w:tr>
    </w:tbl>
    <w:p w14:paraId="54FE82DD" w14:textId="77777777" w:rsidR="00E9581B" w:rsidRPr="00F951D1" w:rsidRDefault="00E9581B" w:rsidP="00E9581B">
      <w:pPr>
        <w:pStyle w:val="Heading4"/>
      </w:pPr>
      <w:r>
        <w:t>Pivotal efficacy studies</w:t>
      </w:r>
    </w:p>
    <w:p w14:paraId="42EF4C0D" w14:textId="77777777" w:rsidR="00E9581B" w:rsidRDefault="00E9581B" w:rsidP="00E9581B">
      <w:pPr>
        <w:pStyle w:val="Heading5"/>
      </w:pPr>
      <w:r>
        <w:t>Chronic migraine</w:t>
      </w:r>
    </w:p>
    <w:p w14:paraId="71455A8C" w14:textId="77777777" w:rsidR="00E9581B" w:rsidRDefault="00E9581B" w:rsidP="00E9581B">
      <w:pPr>
        <w:pStyle w:val="Heading6"/>
      </w:pPr>
      <w:r>
        <w:t>Study 30049</w:t>
      </w:r>
    </w:p>
    <w:p w14:paraId="0CAFA62C" w14:textId="1A78A4FB" w:rsidR="00E9581B" w:rsidRPr="001917ED" w:rsidRDefault="00E9581B" w:rsidP="00E9581B">
      <w:r>
        <w:t>Study 30049 (n=1121 evaluable for efficacy; n=1130 evaluable for safety; 92% completed) was a Phase III pivotal study that used a randomised, double-blind, placebo controlled design to assess the efficacy of SC fremanezumab (675 mg quarterly or 225 mg monthly with a 675 mg loading dose) in comparison with placebo in the preventive treatment of chronic migraine (CM). The study assessed two different active doses, 675 mg SC quarterly (every three months), or 225 mg SC monthly with a 675 mg SC loading dose.</w:t>
      </w:r>
    </w:p>
    <w:p w14:paraId="49869C75" w14:textId="6A62004C" w:rsidR="00E9581B" w:rsidRDefault="00E9581B" w:rsidP="00E9581B">
      <w:r>
        <w:t xml:space="preserve">The study was </w:t>
      </w:r>
      <w:r w:rsidRPr="000360BF">
        <w:t>co</w:t>
      </w:r>
      <w:r>
        <w:t xml:space="preserve">nducted at 132 study centres in </w:t>
      </w:r>
      <w:r w:rsidR="00EB6D18">
        <w:t>nine</w:t>
      </w:r>
      <w:r>
        <w:t xml:space="preserve"> countries; USA, Canada, Czech Republic, Finland, Israel, Japan, Poland, Russian Federation and Spain.</w:t>
      </w:r>
    </w:p>
    <w:p w14:paraId="4C2D105E" w14:textId="548AFA29" w:rsidR="00E9581B" w:rsidRDefault="00E9581B" w:rsidP="00A46FC3">
      <w:r w:rsidRPr="00B55316">
        <w:t>Subjects eligible for enrolment were adults aged 18 to 70 years, inclusive, with migraine onset at ≤</w:t>
      </w:r>
      <w:r>
        <w:t xml:space="preserve"> </w:t>
      </w:r>
      <w:r w:rsidRPr="00B55316">
        <w:t xml:space="preserve">50 years of age; </w:t>
      </w:r>
      <w:r w:rsidRPr="00B55316">
        <w:rPr>
          <w:rFonts w:cs="Cambria"/>
        </w:rPr>
        <w:t xml:space="preserve">history of migraine </w:t>
      </w:r>
      <w:r w:rsidRPr="00B55316">
        <w:t>≥</w:t>
      </w:r>
      <w:r>
        <w:t xml:space="preserve"> </w:t>
      </w:r>
      <w:r w:rsidRPr="00B55316">
        <w:t xml:space="preserve">12 months prior to screening, </w:t>
      </w:r>
      <w:r w:rsidRPr="00B55316">
        <w:rPr>
          <w:rFonts w:cs="Cambria"/>
        </w:rPr>
        <w:t>demonstrated compliance with the electronic headache diary and fulfilled the criteria for CM in prospectively collected b</w:t>
      </w:r>
      <w:r w:rsidRPr="00B55316">
        <w:t xml:space="preserve">aseline information during the </w:t>
      </w:r>
      <w:proofErr w:type="gramStart"/>
      <w:r w:rsidRPr="00B55316">
        <w:t>28</w:t>
      </w:r>
      <w:r w:rsidR="00ED0140">
        <w:t xml:space="preserve"> </w:t>
      </w:r>
      <w:r w:rsidRPr="00B55316">
        <w:t>day</w:t>
      </w:r>
      <w:proofErr w:type="gramEnd"/>
      <w:r w:rsidRPr="00B55316">
        <w:t xml:space="preserve"> run-in period.</w:t>
      </w:r>
    </w:p>
    <w:p w14:paraId="77D9B425" w14:textId="72ABE6E9" w:rsidR="00E9581B" w:rsidRDefault="00E9581B" w:rsidP="00E9581B">
      <w:pPr>
        <w:pStyle w:val="FigureTitle"/>
      </w:pPr>
      <w:r>
        <w:t xml:space="preserve">Figure 1: Treatment </w:t>
      </w:r>
      <w:r w:rsidR="00ED0140">
        <w:t>s</w:t>
      </w:r>
      <w:r>
        <w:t>equence for Studies 30049 and 30051 (long term safety study)</w:t>
      </w:r>
    </w:p>
    <w:p w14:paraId="75E0F303" w14:textId="77777777" w:rsidR="00E9581B" w:rsidRDefault="00E9581B" w:rsidP="00E9581B">
      <w:pPr>
        <w:autoSpaceDE w:val="0"/>
        <w:autoSpaceDN w:val="0"/>
        <w:adjustRightInd w:val="0"/>
        <w:spacing w:before="0" w:after="0" w:line="240" w:lineRule="auto"/>
        <w:jc w:val="both"/>
      </w:pPr>
      <w:r>
        <w:rPr>
          <w:noProof/>
          <w:lang w:eastAsia="en-AU"/>
        </w:rPr>
        <w:drawing>
          <wp:inline distT="0" distB="0" distL="0" distR="0" wp14:anchorId="3B492581" wp14:editId="6A963737">
            <wp:extent cx="5168537" cy="2367855"/>
            <wp:effectExtent l="0" t="0" r="0" b="0"/>
            <wp:docPr id="5" name="Picture 5" descr="Treatment sequence for Studies 30049 and 30051 (long term safety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1613" r="8309"/>
                    <a:stretch/>
                  </pic:blipFill>
                  <pic:spPr bwMode="auto">
                    <a:xfrm>
                      <a:off x="0" y="0"/>
                      <a:ext cx="5179013" cy="2372654"/>
                    </a:xfrm>
                    <a:prstGeom prst="rect">
                      <a:avLst/>
                    </a:prstGeom>
                    <a:noFill/>
                    <a:ln>
                      <a:noFill/>
                    </a:ln>
                    <a:extLst>
                      <a:ext uri="{53640926-AAD7-44D8-BBD7-CCE9431645EC}">
                        <a14:shadowObscured xmlns:a14="http://schemas.microsoft.com/office/drawing/2010/main"/>
                      </a:ext>
                    </a:extLst>
                  </pic:spPr>
                </pic:pic>
              </a:graphicData>
            </a:graphic>
          </wp:inline>
        </w:drawing>
      </w:r>
    </w:p>
    <w:p w14:paraId="51D7B8CB" w14:textId="77777777" w:rsidR="00E9581B" w:rsidRDefault="00E9581B" w:rsidP="00E9581B">
      <w:r>
        <w:t>The treatment phase of Study 30049 lasted for 3 months, with injections provided at baseline and after each month (using a dummy approach for subjects on a quarterly regimen). The final efficacy assessment was performed 3 months after the first treatment.</w:t>
      </w:r>
    </w:p>
    <w:p w14:paraId="5BD92394" w14:textId="47C667B0" w:rsidR="00E9581B" w:rsidRDefault="00E9581B" w:rsidP="00E9581B">
      <w:r w:rsidRPr="00B55316">
        <w:t xml:space="preserve">The primary efficacy endpoint was the mean change from </w:t>
      </w:r>
      <w:r w:rsidR="00ED0140">
        <w:t>B</w:t>
      </w:r>
      <w:r w:rsidRPr="00B55316">
        <w:t>aseline in the monthly average number of</w:t>
      </w:r>
      <w:r>
        <w:t xml:space="preserve"> </w:t>
      </w:r>
      <w:r>
        <w:rPr>
          <w:rFonts w:eastAsia="TimesNewRoman"/>
        </w:rPr>
        <w:t>Headache Days of Moderate Severity</w:t>
      </w:r>
      <w:r w:rsidRPr="00B55316">
        <w:t xml:space="preserve"> </w:t>
      </w:r>
      <w:r>
        <w:t>(</w:t>
      </w:r>
      <w:r w:rsidRPr="00B55316">
        <w:t>HDOMS</w:t>
      </w:r>
      <w:r>
        <w:t>)</w:t>
      </w:r>
      <w:r w:rsidRPr="00B55316">
        <w:t xml:space="preserve"> during the 12</w:t>
      </w:r>
      <w:r>
        <w:t xml:space="preserve"> </w:t>
      </w:r>
      <w:r w:rsidRPr="00B55316">
        <w:t>week</w:t>
      </w:r>
      <w:r w:rsidR="00BC138D">
        <w:t>s</w:t>
      </w:r>
      <w:r w:rsidRPr="00B55316">
        <w:t xml:space="preserve"> after the </w:t>
      </w:r>
      <w:r>
        <w:t>first</w:t>
      </w:r>
      <w:r w:rsidRPr="00B55316">
        <w:t xml:space="preserve"> dose of study drug and secondary efficacy variables included response rates, number of days satisfying other headache definitions and quality of life measures</w:t>
      </w:r>
      <w:r>
        <w:t>.</w:t>
      </w:r>
    </w:p>
    <w:p w14:paraId="3436CAD2" w14:textId="77777777" w:rsidR="00E9581B" w:rsidRDefault="00E9581B" w:rsidP="00E9581B">
      <w:r>
        <w:t>Eligible patients were randomis</w:t>
      </w:r>
      <w:r w:rsidRPr="00C0094D">
        <w:t xml:space="preserve">ed in a 1:1:1 ratio to receive a loading dose of </w:t>
      </w:r>
      <w:r>
        <w:t>fremanezumab</w:t>
      </w:r>
      <w:r w:rsidRPr="00C0094D">
        <w:t xml:space="preserve"> at 675 mg followed by monthly </w:t>
      </w:r>
      <w:r>
        <w:t>fremanezumab</w:t>
      </w:r>
      <w:r w:rsidRPr="00C0094D">
        <w:t xml:space="preserve"> at 225 mg, </w:t>
      </w:r>
      <w:r>
        <w:t>fremanezumab</w:t>
      </w:r>
      <w:r w:rsidRPr="00C0094D">
        <w:t xml:space="preserve"> at 675 mg followed by monthly place</w:t>
      </w:r>
      <w:r>
        <w:t>bo, or monthly placebo. Randomis</w:t>
      </w:r>
      <w:r w:rsidRPr="00C0094D">
        <w:t xml:space="preserve">ation was to be </w:t>
      </w:r>
      <w:r w:rsidRPr="00C0094D">
        <w:lastRenderedPageBreak/>
        <w:t>stratified by gender, country</w:t>
      </w:r>
      <w:r>
        <w:t xml:space="preserve"> </w:t>
      </w:r>
      <w:r w:rsidRPr="00C0094D">
        <w:t>and baseline preventive medication use (yes, no)</w:t>
      </w:r>
      <w:r>
        <w:t>.</w:t>
      </w:r>
      <w:r w:rsidRPr="00E16824">
        <w:t xml:space="preserve"> The mean age of the patients was 41.3 years (range 18 to 71 years). The majority of patients were White (79%) </w:t>
      </w:r>
      <w:r>
        <w:t xml:space="preserve">and </w:t>
      </w:r>
      <w:r w:rsidRPr="00E16824">
        <w:t>women (88%).</w:t>
      </w:r>
    </w:p>
    <w:p w14:paraId="350F9CE7" w14:textId="74AB16A2" w:rsidR="00E9581B" w:rsidRDefault="00E9581B" w:rsidP="00E9581B">
      <w:r w:rsidRPr="00C0094D">
        <w:t>The demographic characteristics of sex, age, race, and weight were generally similar across treatment groups</w:t>
      </w:r>
      <w:r>
        <w:t xml:space="preserve">. </w:t>
      </w:r>
      <w:r w:rsidRPr="00C0094D">
        <w:t>The average number of years since initial migraine diagnosis was similar across treatment groups</w:t>
      </w:r>
      <w:r>
        <w:t xml:space="preserve"> (19</w:t>
      </w:r>
      <w:r w:rsidR="00ED0140">
        <w:t xml:space="preserve"> to </w:t>
      </w:r>
      <w:r>
        <w:t xml:space="preserve">20 years) </w:t>
      </w:r>
      <w:r w:rsidRPr="00C0094D">
        <w:t>as was the proportion of patients using concomitant preventive migraine medication</w:t>
      </w:r>
      <w:r>
        <w:t xml:space="preserve"> (20</w:t>
      </w:r>
      <w:r w:rsidR="00ED0140">
        <w:t xml:space="preserve"> to </w:t>
      </w:r>
      <w:r>
        <w:t>22%). The majority (95%</w:t>
      </w:r>
      <w:r w:rsidRPr="009C5B85">
        <w:t>) of patients received acute medications for migraine prior to study entry</w:t>
      </w:r>
      <w:r w:rsidRPr="00FC670A">
        <w:t xml:space="preserve">. The mean number of migraine days per month was 16, </w:t>
      </w:r>
      <w:r w:rsidR="00743E63" w:rsidRPr="009C5F3F">
        <w:t xml:space="preserve">doubling </w:t>
      </w:r>
      <w:r w:rsidRPr="009C5F3F">
        <w:t xml:space="preserve">the cut-off for the </w:t>
      </w:r>
      <w:r w:rsidRPr="00FC670A">
        <w:t>CM</w:t>
      </w:r>
      <w:r w:rsidR="001C5F2F" w:rsidRPr="00FC670A">
        <w:t xml:space="preserve"> study</w:t>
      </w:r>
      <w:r w:rsidRPr="00FC670A">
        <w:t xml:space="preserve"> (≥</w:t>
      </w:r>
      <w:r w:rsidR="00743E63" w:rsidRPr="00FC670A">
        <w:t>8</w:t>
      </w:r>
      <w:r w:rsidRPr="00FC670A">
        <w:t>migraine days).</w:t>
      </w:r>
    </w:p>
    <w:p w14:paraId="33030FC1" w14:textId="5F9B4D3E" w:rsidR="00E9581B" w:rsidRPr="00F951D1" w:rsidRDefault="00E9581B" w:rsidP="00E9581B">
      <w:r w:rsidRPr="00F951D1">
        <w:t>A statistically significant but clinically moderate difference from placebo was observed, in favour of fremanezumab, for both active treatment groups (p</w:t>
      </w:r>
      <w:r w:rsidR="00ED0140">
        <w:t xml:space="preserve"> </w:t>
      </w:r>
      <w:r w:rsidRPr="00F951D1">
        <w:t>&lt;</w:t>
      </w:r>
      <w:r w:rsidR="00ED0140">
        <w:t xml:space="preserve"> </w:t>
      </w:r>
      <w:r w:rsidRPr="00F951D1">
        <w:t>0.0001).</w:t>
      </w:r>
    </w:p>
    <w:p w14:paraId="17801DAE" w14:textId="544E54E7" w:rsidR="00E9581B" w:rsidRDefault="00E9581B" w:rsidP="00E9581B">
      <w:pPr>
        <w:pStyle w:val="TableTitle"/>
      </w:pPr>
      <w:r>
        <w:t xml:space="preserve">Table 4: Primary efficacy endpoint, Study 30049 in patients with </w:t>
      </w:r>
      <w:r w:rsidR="00ED0140">
        <w:t>chronic migraine</w:t>
      </w:r>
    </w:p>
    <w:p w14:paraId="28FF6964" w14:textId="77777777" w:rsidR="00E9581B" w:rsidRDefault="00E9581B" w:rsidP="00E9581B">
      <w:pPr>
        <w:autoSpaceDE w:val="0"/>
        <w:autoSpaceDN w:val="0"/>
      </w:pPr>
      <w:r>
        <w:rPr>
          <w:noProof/>
          <w:lang w:eastAsia="en-AU"/>
        </w:rPr>
        <w:drawing>
          <wp:inline distT="0" distB="0" distL="0" distR="0" wp14:anchorId="641848D0" wp14:editId="06900F14">
            <wp:extent cx="4740558" cy="3378087"/>
            <wp:effectExtent l="0" t="0" r="3175" b="0"/>
            <wp:docPr id="8" name="Picture 8" descr="Primary Efficacy Endpoint, Study 30049 in Patients with Chronic Mig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3694" cy="3387447"/>
                    </a:xfrm>
                    <a:prstGeom prst="rect">
                      <a:avLst/>
                    </a:prstGeom>
                    <a:noFill/>
                  </pic:spPr>
                </pic:pic>
              </a:graphicData>
            </a:graphic>
          </wp:inline>
        </w:drawing>
      </w:r>
    </w:p>
    <w:p w14:paraId="697AD840" w14:textId="7CDE2080" w:rsidR="00E9581B" w:rsidRDefault="00E9581B" w:rsidP="00E9581B">
      <w:r>
        <w:t>As shown in the figure below, benefit for the primary efficacy variable was observed early</w:t>
      </w:r>
      <w:r w:rsidR="00E85F62">
        <w:t xml:space="preserve"> (</w:t>
      </w:r>
      <w:r>
        <w:t>by the end of the first week</w:t>
      </w:r>
      <w:r w:rsidR="00E85F62">
        <w:t>)</w:t>
      </w:r>
      <w:r>
        <w:t xml:space="preserve"> and remained broadly consistent over the 3</w:t>
      </w:r>
      <w:r w:rsidR="00ED0140">
        <w:t xml:space="preserve"> </w:t>
      </w:r>
      <w:r>
        <w:t>month period</w:t>
      </w:r>
      <w:r w:rsidR="00594979">
        <w:t>.</w:t>
      </w:r>
    </w:p>
    <w:p w14:paraId="28C6EE8F" w14:textId="7BF1E7AE" w:rsidR="00E9581B" w:rsidRDefault="00E9581B" w:rsidP="004F713B">
      <w:pPr>
        <w:pStyle w:val="FigureTitle"/>
        <w:keepNext w:val="0"/>
      </w:pPr>
      <w:r>
        <w:lastRenderedPageBreak/>
        <w:t>Figure 2: Study 30049</w:t>
      </w:r>
      <w:r w:rsidR="00ED0140">
        <w:t>; C</w:t>
      </w:r>
      <w:r>
        <w:t>hange in monthly HDOMS by treatment group</w:t>
      </w:r>
      <w:r>
        <w:rPr>
          <w:noProof/>
          <w:lang w:eastAsia="en-AU"/>
        </w:rPr>
        <w:drawing>
          <wp:inline distT="0" distB="0" distL="0" distR="0" wp14:anchorId="440CEF0E" wp14:editId="3F3BCC5F">
            <wp:extent cx="5254101" cy="2834640"/>
            <wp:effectExtent l="0" t="0" r="3810" b="3810"/>
            <wp:docPr id="9" name="Picture 9" descr="Study 30049, Change in monthly HDOMS by treatmen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266198" cy="2841167"/>
                    </a:xfrm>
                    <a:prstGeom prst="rect">
                      <a:avLst/>
                    </a:prstGeom>
                    <a:noFill/>
                    <a:ln>
                      <a:noFill/>
                    </a:ln>
                  </pic:spPr>
                </pic:pic>
              </a:graphicData>
            </a:graphic>
          </wp:inline>
        </w:drawing>
      </w:r>
    </w:p>
    <w:p w14:paraId="72BABF95" w14:textId="4456D659" w:rsidR="00E9581B" w:rsidRDefault="00E9581B" w:rsidP="004F713B">
      <w:pPr>
        <w:pStyle w:val="TableTitle"/>
        <w:keepLines/>
      </w:pPr>
      <w:r>
        <w:t xml:space="preserve">Table 5: </w:t>
      </w:r>
      <w:r w:rsidR="00ED0140">
        <w:t xml:space="preserve">Study 30049; </w:t>
      </w:r>
      <w:r>
        <w:t xml:space="preserve">Key efficacy endpoint in patients with </w:t>
      </w:r>
      <w:r w:rsidR="00ED0140">
        <w:t>chronic m</w:t>
      </w:r>
      <w:r>
        <w:t>igraine</w:t>
      </w:r>
    </w:p>
    <w:p w14:paraId="0154BCF4" w14:textId="77777777" w:rsidR="00E9581B" w:rsidRDefault="00E9581B" w:rsidP="00E9581B">
      <w:pPr>
        <w:autoSpaceDE w:val="0"/>
        <w:autoSpaceDN w:val="0"/>
        <w:jc w:val="both"/>
      </w:pPr>
      <w:r>
        <w:rPr>
          <w:noProof/>
          <w:lang w:eastAsia="en-AU"/>
        </w:rPr>
        <w:drawing>
          <wp:inline distT="0" distB="0" distL="0" distR="0" wp14:anchorId="741C1BA5" wp14:editId="3C341C09">
            <wp:extent cx="4636103" cy="3391389"/>
            <wp:effectExtent l="0" t="0" r="0" b="0"/>
            <wp:docPr id="19" name="Picture 19" descr="Key efficacy endpoint Study 30049 in patients with Chronic Mi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4648468" cy="3400434"/>
                    </a:xfrm>
                    <a:prstGeom prst="rect">
                      <a:avLst/>
                    </a:prstGeom>
                  </pic:spPr>
                </pic:pic>
              </a:graphicData>
            </a:graphic>
          </wp:inline>
        </w:drawing>
      </w:r>
    </w:p>
    <w:p w14:paraId="2AE1A001" w14:textId="72F9D56D" w:rsidR="00E9581B" w:rsidRDefault="00E9581B" w:rsidP="00E9581B">
      <w:r>
        <w:t xml:space="preserve">The proportion of patients who achieved </w:t>
      </w:r>
      <w:r w:rsidRPr="00123D86">
        <w:t>≥</w:t>
      </w:r>
      <w:r>
        <w:t xml:space="preserve"> 50% reduction in HDOMS was better with fremanezumab than with (p</w:t>
      </w:r>
      <w:r w:rsidR="00ED0140">
        <w:t xml:space="preserve"> </w:t>
      </w:r>
      <w:r>
        <w:t>&lt;</w:t>
      </w:r>
      <w:r w:rsidR="00ED0140">
        <w:t xml:space="preserve"> </w:t>
      </w:r>
      <w:r>
        <w:t>0.0001 for both dose regimens). By this definition, 141</w:t>
      </w:r>
      <w:r w:rsidR="00ED0140">
        <w:t> </w:t>
      </w:r>
      <w:r>
        <w:t>patients (37.6%) in the 675 mg/placebo/placebo treatment group and 153 patients (40.8%) in the 675/225/225 mg treatment group were responders, compared with 67</w:t>
      </w:r>
      <w:r w:rsidR="00ED0140">
        <w:t> </w:t>
      </w:r>
      <w:r>
        <w:t xml:space="preserve">patients (18.1%) in the placebo group. The attributable response rate (19.5% for the low dose </w:t>
      </w:r>
      <w:r w:rsidR="00EB6D18">
        <w:t>group</w:t>
      </w:r>
      <w:r>
        <w:t xml:space="preserve"> and 22.7% for the high dose group) suggests that about five subjects would need to be treated to obtain one attributable response.</w:t>
      </w:r>
    </w:p>
    <w:p w14:paraId="2CC40528" w14:textId="77777777" w:rsidR="00E9581B" w:rsidRDefault="00E9581B" w:rsidP="00E9581B">
      <w:pPr>
        <w:rPr>
          <w:lang w:eastAsia="ja-JP"/>
        </w:rPr>
      </w:pPr>
      <w:r>
        <w:rPr>
          <w:lang w:eastAsia="ja-JP"/>
        </w:rPr>
        <w:t>Overall, this pivotal study showed a statistically robust but clinically modest treatment effect, similar to that observed with other agents in this class, with one treatment arm receiving one of the doses proposed for registration. The study did not show a significant dose effect.</w:t>
      </w:r>
    </w:p>
    <w:p w14:paraId="770696BF" w14:textId="54DC4037" w:rsidR="00E9581B" w:rsidRPr="00462A9F" w:rsidRDefault="00A46FC3" w:rsidP="00E9581B">
      <w:pPr>
        <w:pStyle w:val="Heading5"/>
      </w:pPr>
      <w:r>
        <w:lastRenderedPageBreak/>
        <w:t>Episodic m</w:t>
      </w:r>
      <w:r w:rsidR="00E9581B">
        <w:t>igraine</w:t>
      </w:r>
    </w:p>
    <w:p w14:paraId="52D22352" w14:textId="77777777" w:rsidR="00E9581B" w:rsidRDefault="00E9581B" w:rsidP="00E9581B">
      <w:pPr>
        <w:pStyle w:val="Heading6"/>
      </w:pPr>
      <w:r>
        <w:t>Study 30050</w:t>
      </w:r>
    </w:p>
    <w:p w14:paraId="62A1E1AB" w14:textId="18D98C44" w:rsidR="00E9581B" w:rsidRDefault="00E9581B" w:rsidP="00BC138D">
      <w:r>
        <w:t>Study 30050 (n=865 evaluable for efficacy; n=874 evaluable for safety; 90% completed) in patients with episodic migraine had identical trial design as Study 30049 described above, but the dosing regimens during the double-blind treatment period were either quarterly doses of 675 mg or monthly doses of 225 mg administered SC. The patients enrolled in the study had a history of migraine (for ≥ 12 months) prior to screening and experienced ≥ 6 and ≤ 14 headache days, with ≥ 4 migraine days with or without aura during the 28</w:t>
      </w:r>
      <w:r w:rsidR="00ED0140">
        <w:t> </w:t>
      </w:r>
      <w:r>
        <w:t>day baseline (run-in) period.</w:t>
      </w:r>
    </w:p>
    <w:p w14:paraId="775B5800" w14:textId="4E76DA33" w:rsidR="00E9581B" w:rsidRDefault="00E9581B" w:rsidP="00123D86">
      <w:r>
        <w:t xml:space="preserve">The study was performed in the same </w:t>
      </w:r>
      <w:r w:rsidR="00EB6D18">
        <w:t>nine</w:t>
      </w:r>
      <w:r>
        <w:t xml:space="preserve"> countries as the other pivotal study, that is, USA, Canada, Czech Republic, Finland, Israel, Japan, Poland, Russian Federation and Spain.</w:t>
      </w:r>
    </w:p>
    <w:p w14:paraId="064BF403" w14:textId="77777777" w:rsidR="00E9581B" w:rsidRPr="00B569DB" w:rsidRDefault="00E9581B" w:rsidP="00E9581B">
      <w:pPr>
        <w:pStyle w:val="TableTitle"/>
      </w:pPr>
      <w:r>
        <w:t>Figure 3: Treatment sequence for Studies 30049 and 30051 (long term safety study)</w:t>
      </w:r>
    </w:p>
    <w:p w14:paraId="2ADCBBE2" w14:textId="77777777" w:rsidR="00E9581B" w:rsidRDefault="00E9581B" w:rsidP="00E9581B">
      <w:pPr>
        <w:jc w:val="both"/>
        <w:rPr>
          <w:lang w:eastAsia="ja-JP"/>
        </w:rPr>
      </w:pPr>
      <w:r>
        <w:rPr>
          <w:noProof/>
          <w:lang w:eastAsia="en-AU"/>
        </w:rPr>
        <w:drawing>
          <wp:inline distT="0" distB="0" distL="0" distR="0" wp14:anchorId="1EF332BF" wp14:editId="72EE79DD">
            <wp:extent cx="5566241" cy="2561303"/>
            <wp:effectExtent l="0" t="0" r="0" b="0"/>
            <wp:docPr id="10" name="Picture 10" descr="Treatment Sequence for Studies 30049 and 30051 (long term safety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5570529" cy="2563276"/>
                    </a:xfrm>
                    <a:prstGeom prst="rect">
                      <a:avLst/>
                    </a:prstGeom>
                  </pic:spPr>
                </pic:pic>
              </a:graphicData>
            </a:graphic>
          </wp:inline>
        </w:drawing>
      </w:r>
    </w:p>
    <w:p w14:paraId="712087B1" w14:textId="4FA41E1B" w:rsidR="00E9581B" w:rsidRPr="00A45C0A" w:rsidRDefault="00E9581B" w:rsidP="00123D86">
      <w:r w:rsidRPr="00A45C0A">
        <w:t xml:space="preserve">The primary efficacy variable was the change from </w:t>
      </w:r>
      <w:r w:rsidR="00ED0140">
        <w:t>B</w:t>
      </w:r>
      <w:r w:rsidRPr="00A45C0A">
        <w:t>aseline in the monthly average number of migraine days during the 12</w:t>
      </w:r>
      <w:r w:rsidR="00ED0140">
        <w:t xml:space="preserve"> </w:t>
      </w:r>
      <w:r w:rsidRPr="00A45C0A">
        <w:t>week period after the firs</w:t>
      </w:r>
      <w:r w:rsidR="00EB6D18">
        <w:t>t dose of study drug. T</w:t>
      </w:r>
      <w:r w:rsidRPr="00A45C0A">
        <w:t xml:space="preserve">he primary efficacy endpoint was the mean change from </w:t>
      </w:r>
      <w:r w:rsidR="00ED0140">
        <w:t>B</w:t>
      </w:r>
      <w:r w:rsidRPr="00A45C0A">
        <w:t>aseline (</w:t>
      </w:r>
      <w:r w:rsidR="00BC138D">
        <w:t>28</w:t>
      </w:r>
      <w:r w:rsidR="00ED0140">
        <w:t xml:space="preserve"> </w:t>
      </w:r>
      <w:r w:rsidR="00BC138D">
        <w:t>d</w:t>
      </w:r>
      <w:r w:rsidRPr="00A45C0A">
        <w:t>ay run-in period) in the monthly average number of migrai</w:t>
      </w:r>
      <w:r w:rsidR="00BC138D">
        <w:t xml:space="preserve">ne days during the full 12 weeks </w:t>
      </w:r>
      <w:r w:rsidRPr="00A45C0A">
        <w:t>after the first dose of study drug. Secondary efficacy variables included response rates, number of days satisfying other headache definitions, and quality of life measures.</w:t>
      </w:r>
    </w:p>
    <w:p w14:paraId="08029328" w14:textId="2ADCD69D" w:rsidR="00E9581B" w:rsidRDefault="00E9581B" w:rsidP="00123D86">
      <w:r w:rsidRPr="00A45C0A">
        <w:t>Eligi</w:t>
      </w:r>
      <w:r>
        <w:t>ble patients were to be randomis</w:t>
      </w:r>
      <w:r w:rsidRPr="00A45C0A">
        <w:t>ed in a 1:1:1 ratio to receive 1 of the 2</w:t>
      </w:r>
      <w:r w:rsidR="00ED0140">
        <w:t> f</w:t>
      </w:r>
      <w:r w:rsidR="00ED0140" w:rsidRPr="00A45C0A">
        <w:t xml:space="preserve">remanezumab </w:t>
      </w:r>
      <w:r w:rsidRPr="00A45C0A">
        <w:t>dose regimens or placebo with stratification based on gender, country, and baseline preventive medication use (yes, no).</w:t>
      </w:r>
    </w:p>
    <w:p w14:paraId="65D410C3" w14:textId="77777777" w:rsidR="00E9581B" w:rsidRPr="00A45C0A" w:rsidRDefault="00E9581B" w:rsidP="00123D86">
      <w:r w:rsidRPr="00A45C0A">
        <w:t xml:space="preserve">Similar to </w:t>
      </w:r>
      <w:r>
        <w:t xml:space="preserve">the </w:t>
      </w:r>
      <w:r w:rsidRPr="00A45C0A">
        <w:t>CM study, patients were predominantly female (85%), White (80%) with a mean age of 41.8 years. The demographic characteristics of sex, age, race, and weight were generally similar across treatment groups. The average number of years since initial migraine diagnosis was similar across treatment groups (19 to 20 years) as was the proportion of patients using concomitant preventive migraine medication (20% to 21%).</w:t>
      </w:r>
    </w:p>
    <w:p w14:paraId="139401A1" w14:textId="31395D8A" w:rsidR="00E9581B" w:rsidRPr="00A45C0A" w:rsidRDefault="00E9581B" w:rsidP="00123D86">
      <w:r w:rsidRPr="00A45C0A">
        <w:t>The primary endpoint was met and statistical significance for the mean change from baseline in the monthly average number of migraine days during the 12</w:t>
      </w:r>
      <w:r w:rsidR="00ED0140">
        <w:t xml:space="preserve"> </w:t>
      </w:r>
      <w:r w:rsidRPr="00A45C0A">
        <w:t xml:space="preserve">week period after the first dose of study </w:t>
      </w:r>
      <w:r w:rsidR="00EB6D18" w:rsidRPr="00A45C0A">
        <w:t>drug</w:t>
      </w:r>
      <w:r w:rsidRPr="00A45C0A">
        <w:t xml:space="preserve"> was demonstrated for both doses of fremanezumab compared to placebo.</w:t>
      </w:r>
    </w:p>
    <w:p w14:paraId="300F2979" w14:textId="7C68B8D1" w:rsidR="00E9581B" w:rsidRDefault="00E9581B" w:rsidP="00E9581B">
      <w:r w:rsidRPr="00A45C0A">
        <w:t>The absolute difference over placebo treatment was only modest clinically with the mean reduction of 3.9 an</w:t>
      </w:r>
      <w:r>
        <w:t xml:space="preserve">d 4.0 migraine days for the 675 </w:t>
      </w:r>
      <w:r w:rsidRPr="00A45C0A">
        <w:t xml:space="preserve">mg/placebo/placebo and </w:t>
      </w:r>
      <w:r>
        <w:t>225/225/225</w:t>
      </w:r>
      <w:r w:rsidR="00ED0140">
        <w:t> </w:t>
      </w:r>
      <w:r>
        <w:t>mg treatment groups, respectively</w:t>
      </w:r>
      <w:r w:rsidR="00EB6D18">
        <w:t>. I</w:t>
      </w:r>
      <w:r>
        <w:t xml:space="preserve">n the placebo treatment group, a mean reduction of 2.6 migraine days was observed, which equates a least squares (LS) mean </w:t>
      </w:r>
      <w:r>
        <w:lastRenderedPageBreak/>
        <w:t xml:space="preserve">difference versus placebo of only -1.3 migraine days for 675 mg/placebo/placebo and </w:t>
      </w:r>
      <w:r w:rsidR="00EB6D18">
        <w:noBreakHyphen/>
      </w:r>
      <w:r>
        <w:t>1.5</w:t>
      </w:r>
      <w:r w:rsidR="00ED0140">
        <w:t> </w:t>
      </w:r>
      <w:r>
        <w:t>migraine days for 225/225/225 mg (analysis of co-variance (ANCOVA) results). Although this reflects an only modest superiority over placebo, the beneficial treatment effect was consistently shown across all patient subgroups.</w:t>
      </w:r>
    </w:p>
    <w:p w14:paraId="50B6D256" w14:textId="77777777" w:rsidR="00E9581B" w:rsidRDefault="00E9581B" w:rsidP="00E9581B">
      <w:pPr>
        <w:jc w:val="both"/>
      </w:pPr>
      <w:r>
        <w:t>Only modest superiority versus placebo was also found with regard to secondary efficacy analysis.</w:t>
      </w:r>
    </w:p>
    <w:p w14:paraId="10AFFCBF" w14:textId="58EF8C9C" w:rsidR="00E9581B" w:rsidRDefault="00E9581B" w:rsidP="00E9581B">
      <w:pPr>
        <w:pStyle w:val="TableTitle"/>
      </w:pPr>
      <w:r>
        <w:t xml:space="preserve">Table 6: </w:t>
      </w:r>
      <w:r w:rsidRPr="00783E2A">
        <w:t xml:space="preserve">Change from </w:t>
      </w:r>
      <w:r w:rsidR="00ED0140">
        <w:t>B</w:t>
      </w:r>
      <w:r w:rsidRPr="00783E2A">
        <w:t xml:space="preserve">aseline in the </w:t>
      </w:r>
      <w:r>
        <w:t>m</w:t>
      </w:r>
      <w:r w:rsidRPr="00783E2A">
        <w:t xml:space="preserve">onthly </w:t>
      </w:r>
      <w:r>
        <w:t>a</w:t>
      </w:r>
      <w:r w:rsidRPr="00783E2A">
        <w:t xml:space="preserve">verage </w:t>
      </w:r>
      <w:r>
        <w:t>n</w:t>
      </w:r>
      <w:r w:rsidRPr="00783E2A">
        <w:t xml:space="preserve">umber of </w:t>
      </w:r>
      <w:r>
        <w:t>m</w:t>
      </w:r>
      <w:r w:rsidRPr="00783E2A">
        <w:t xml:space="preserve">igraine </w:t>
      </w:r>
      <w:r>
        <w:t>d</w:t>
      </w:r>
      <w:r w:rsidRPr="00783E2A">
        <w:t xml:space="preserve">ays </w:t>
      </w:r>
      <w:r>
        <w:t>d</w:t>
      </w:r>
      <w:r w:rsidRPr="00783E2A">
        <w:t>uring the 12</w:t>
      </w:r>
      <w:r>
        <w:t xml:space="preserve"> week</w:t>
      </w:r>
      <w:r w:rsidR="00BC138D">
        <w:t>s</w:t>
      </w:r>
      <w:r w:rsidRPr="00783E2A">
        <w:t xml:space="preserve"> </w:t>
      </w:r>
      <w:r>
        <w:t>a</w:t>
      </w:r>
      <w:r w:rsidRPr="00783E2A">
        <w:t>fter the first</w:t>
      </w:r>
      <w:r>
        <w:t xml:space="preserve"> dose of study d</w:t>
      </w:r>
      <w:r w:rsidRPr="00783E2A">
        <w:t>rug ANCOVA and Wilcoxon Rank-Sum Test (F</w:t>
      </w:r>
      <w:r w:rsidR="00ED0140">
        <w:t>ull analysis set</w:t>
      </w:r>
      <w:r w:rsidRPr="00783E2A">
        <w:t>) Study 30050</w:t>
      </w:r>
    </w:p>
    <w:p w14:paraId="4A7FD426" w14:textId="77777777" w:rsidR="00E9581B" w:rsidRPr="00D72C7D" w:rsidRDefault="00E9581B" w:rsidP="00E9581B">
      <w:pPr>
        <w:jc w:val="both"/>
      </w:pPr>
      <w:r>
        <w:rPr>
          <w:noProof/>
          <w:lang w:eastAsia="en-AU"/>
        </w:rPr>
        <w:drawing>
          <wp:inline distT="0" distB="0" distL="0" distR="0" wp14:anchorId="41C60121" wp14:editId="447B6EC5">
            <wp:extent cx="4590828" cy="2967931"/>
            <wp:effectExtent l="0" t="0" r="635" b="4445"/>
            <wp:docPr id="11" name="Picture 11" descr="Change from Baseline in the monthly average number of migraine days during the 12 weeks after the first dose of study drug ANCOVA and Wilcoxon Rank-Sum Test (Full analysis set) Study 3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2184" cy="2975272"/>
                    </a:xfrm>
                    <a:prstGeom prst="rect">
                      <a:avLst/>
                    </a:prstGeom>
                    <a:noFill/>
                    <a:ln>
                      <a:noFill/>
                    </a:ln>
                  </pic:spPr>
                </pic:pic>
              </a:graphicData>
            </a:graphic>
          </wp:inline>
        </w:drawing>
      </w:r>
    </w:p>
    <w:p w14:paraId="24FA8874" w14:textId="454CEF37" w:rsidR="00E9581B" w:rsidRDefault="00B7295D" w:rsidP="004E27C2">
      <w:pPr>
        <w:rPr>
          <w:b/>
          <w:bCs/>
          <w:szCs w:val="18"/>
        </w:rPr>
      </w:pPr>
      <w:r>
        <w:rPr>
          <w:b/>
          <w:bCs/>
          <w:szCs w:val="18"/>
        </w:rPr>
        <w:t>Figure 4</w:t>
      </w:r>
      <w:r w:rsidR="00E9581B" w:rsidRPr="00D72C7D">
        <w:rPr>
          <w:b/>
          <w:bCs/>
          <w:szCs w:val="18"/>
        </w:rPr>
        <w:t xml:space="preserve">: Change from </w:t>
      </w:r>
      <w:r w:rsidR="00ED0140">
        <w:rPr>
          <w:b/>
          <w:bCs/>
          <w:szCs w:val="18"/>
        </w:rPr>
        <w:t>B</w:t>
      </w:r>
      <w:r w:rsidR="00E9581B" w:rsidRPr="00D72C7D">
        <w:rPr>
          <w:b/>
          <w:bCs/>
          <w:szCs w:val="18"/>
        </w:rPr>
        <w:t xml:space="preserve">aseline in the monthly number of migraine days by treatment group using </w:t>
      </w:r>
      <w:r w:rsidR="00ED0140">
        <w:rPr>
          <w:b/>
          <w:bCs/>
          <w:szCs w:val="18"/>
        </w:rPr>
        <w:t>mixed-effect model repeat m</w:t>
      </w:r>
      <w:r w:rsidR="00ED0140" w:rsidRPr="00ED0140">
        <w:rPr>
          <w:b/>
          <w:bCs/>
          <w:szCs w:val="18"/>
        </w:rPr>
        <w:t>easurement</w:t>
      </w:r>
      <w:r w:rsidR="00ED0140" w:rsidRPr="00ED0140" w:rsidDel="00ED0140">
        <w:rPr>
          <w:b/>
          <w:bCs/>
          <w:szCs w:val="18"/>
        </w:rPr>
        <w:t xml:space="preserve"> </w:t>
      </w:r>
      <w:r w:rsidR="00E9581B" w:rsidRPr="00D72C7D">
        <w:rPr>
          <w:b/>
          <w:bCs/>
          <w:szCs w:val="18"/>
        </w:rPr>
        <w:t>(F</w:t>
      </w:r>
      <w:r w:rsidR="00ED0140">
        <w:rPr>
          <w:b/>
          <w:bCs/>
          <w:szCs w:val="18"/>
        </w:rPr>
        <w:t>ull analysis set</w:t>
      </w:r>
      <w:r w:rsidR="00E9581B" w:rsidRPr="00D72C7D">
        <w:rPr>
          <w:b/>
          <w:bCs/>
          <w:szCs w:val="18"/>
        </w:rPr>
        <w:t>)</w:t>
      </w:r>
    </w:p>
    <w:p w14:paraId="3A518B07" w14:textId="77777777" w:rsidR="00E9581B" w:rsidRDefault="00E9581B" w:rsidP="00E9581B">
      <w:pPr>
        <w:jc w:val="both"/>
      </w:pPr>
      <w:r>
        <w:rPr>
          <w:noProof/>
          <w:lang w:eastAsia="en-AU"/>
        </w:rPr>
        <w:drawing>
          <wp:inline distT="0" distB="0" distL="0" distR="0" wp14:anchorId="28A28B8D" wp14:editId="4582E7EC">
            <wp:extent cx="5057918" cy="2635045"/>
            <wp:effectExtent l="0" t="0" r="0" b="0"/>
            <wp:docPr id="12" name="Picture 12" descr="Change from Baseline in the monthly number of migraine days by treatment group using mixed-effect model repeat measuremen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5064695" cy="2638576"/>
                    </a:xfrm>
                    <a:prstGeom prst="rect">
                      <a:avLst/>
                    </a:prstGeom>
                    <a:noFill/>
                    <a:ln>
                      <a:noFill/>
                    </a:ln>
                  </pic:spPr>
                </pic:pic>
              </a:graphicData>
            </a:graphic>
          </wp:inline>
        </w:drawing>
      </w:r>
    </w:p>
    <w:p w14:paraId="654F70EB" w14:textId="183D216F" w:rsidR="00E9581B" w:rsidRDefault="00E9581B" w:rsidP="00E9581B">
      <w:pPr>
        <w:pStyle w:val="TableTitle"/>
      </w:pPr>
      <w:r>
        <w:lastRenderedPageBreak/>
        <w:t xml:space="preserve">Table 7: Key efficacy endpoint, Study 30049 in patients with </w:t>
      </w:r>
      <w:r w:rsidR="00ED0140">
        <w:t>e</w:t>
      </w:r>
      <w:r>
        <w:t xml:space="preserve">pisodic </w:t>
      </w:r>
      <w:r w:rsidR="00ED0140">
        <w:t>m</w:t>
      </w:r>
      <w:r>
        <w:t>igraine</w:t>
      </w:r>
    </w:p>
    <w:p w14:paraId="33ABDE5C" w14:textId="77777777" w:rsidR="00E9581B" w:rsidRDefault="00E9581B" w:rsidP="00E9581B">
      <w:pPr>
        <w:jc w:val="both"/>
      </w:pPr>
      <w:r>
        <w:rPr>
          <w:noProof/>
          <w:lang w:eastAsia="en-AU"/>
        </w:rPr>
        <w:drawing>
          <wp:inline distT="0" distB="0" distL="0" distR="0" wp14:anchorId="19AC05C1" wp14:editId="628984DD">
            <wp:extent cx="4475539" cy="3168770"/>
            <wp:effectExtent l="0" t="0" r="1270" b="0"/>
            <wp:docPr id="16" name="Picture 16" descr="Key efficacy endpoint, Study 30049 in patients with Episodic Mig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4481005" cy="3172640"/>
                    </a:xfrm>
                    <a:prstGeom prst="rect">
                      <a:avLst/>
                    </a:prstGeom>
                  </pic:spPr>
                </pic:pic>
              </a:graphicData>
            </a:graphic>
          </wp:inline>
        </w:drawing>
      </w:r>
    </w:p>
    <w:p w14:paraId="637E33FB" w14:textId="77777777" w:rsidR="00E9581B" w:rsidRDefault="00E9581B" w:rsidP="00E9581B">
      <w:pPr>
        <w:pStyle w:val="Heading4"/>
      </w:pPr>
      <w:r>
        <w:t>Supportive s</w:t>
      </w:r>
      <w:r w:rsidRPr="00A45C0A">
        <w:t>tudies</w:t>
      </w:r>
    </w:p>
    <w:p w14:paraId="7B9D05BD" w14:textId="16C4E00C" w:rsidR="00E9581B" w:rsidRPr="00C67520" w:rsidRDefault="00E9581B" w:rsidP="00E9581B">
      <w:pPr>
        <w:pStyle w:val="Heading5"/>
      </w:pPr>
      <w:r>
        <w:t xml:space="preserve">Study </w:t>
      </w:r>
      <w:r w:rsidRPr="00A45C0A">
        <w:t>021</w:t>
      </w:r>
      <w:r>
        <w:t xml:space="preserve"> </w:t>
      </w:r>
      <w:r w:rsidR="00ED0140">
        <w:t>in c</w:t>
      </w:r>
      <w:r>
        <w:t xml:space="preserve">hronic </w:t>
      </w:r>
      <w:r w:rsidR="00ED0140">
        <w:t>m</w:t>
      </w:r>
      <w:r>
        <w:t xml:space="preserve">igraine </w:t>
      </w:r>
    </w:p>
    <w:p w14:paraId="51F21088" w14:textId="77777777" w:rsidR="00E9581B" w:rsidRDefault="00E9581B" w:rsidP="00594979">
      <w:r>
        <w:t>This Phase IIb placebo controlled study involved doses (900</w:t>
      </w:r>
      <w:r w:rsidR="00BC138D">
        <w:t xml:space="preserve"> </w:t>
      </w:r>
      <w:r>
        <w:t>mg SC monthly, or 675 mg followed by 225 mg monthly) above those of proposed for registration (evaluable for efficacy, n=261), so the results are only weakly supportive.</w:t>
      </w:r>
    </w:p>
    <w:p w14:paraId="4E710866" w14:textId="4298C0B8" w:rsidR="00E9581B" w:rsidRDefault="00E9581B" w:rsidP="00594979">
      <w:r>
        <w:t xml:space="preserve">The primary endpoint was the change from baseline in monthly cumulative headache hours of any severity, assessed for Month 3 at Week 12. Analysis of this endpoint showed a significant treatment effect for </w:t>
      </w:r>
      <w:r w:rsidRPr="00A45C0A">
        <w:t>both dose regimens (p=0.0057 and p=0.0386 for the 900</w:t>
      </w:r>
      <w:r>
        <w:t xml:space="preserve"> mg </w:t>
      </w:r>
      <w:r w:rsidRPr="00A45C0A">
        <w:t>and 675/225/225</w:t>
      </w:r>
      <w:r>
        <w:t xml:space="preserve"> mg </w:t>
      </w:r>
      <w:r w:rsidRPr="00A45C0A">
        <w:t xml:space="preserve">treatment groups, respectively, by </w:t>
      </w:r>
      <w:r w:rsidR="00ED0140" w:rsidRPr="00A45C0A">
        <w:t>mixed</w:t>
      </w:r>
      <w:r w:rsidR="00ED0140">
        <w:t>-e</w:t>
      </w:r>
      <w:r w:rsidR="00ED0140" w:rsidRPr="00A45C0A">
        <w:t>ffect model repeat measurement</w:t>
      </w:r>
      <w:r w:rsidRPr="00A45C0A">
        <w:t xml:space="preserve"> (MMRM). The LS mean differences for Month 3, in comparison to placebo, were -30.41 and -22.74 hours for the</w:t>
      </w:r>
      <w:r>
        <w:t xml:space="preserve"> 900 mg and the 675/225/225 mg treatment groups, respectively. Secondary endpoints were broadly consistent with the primary endpoint.</w:t>
      </w:r>
    </w:p>
    <w:p w14:paraId="615C0679" w14:textId="6F86EEB0" w:rsidR="00E9581B" w:rsidRDefault="00E9581B" w:rsidP="00E9581B">
      <w:pPr>
        <w:pStyle w:val="Heading5"/>
      </w:pPr>
      <w:r>
        <w:t xml:space="preserve">Study 022 </w:t>
      </w:r>
      <w:r w:rsidR="001A39CA">
        <w:t>in e</w:t>
      </w:r>
      <w:r>
        <w:t xml:space="preserve">pisodic </w:t>
      </w:r>
      <w:r w:rsidR="001A39CA">
        <w:t>m</w:t>
      </w:r>
      <w:r>
        <w:t>igraine</w:t>
      </w:r>
    </w:p>
    <w:p w14:paraId="22712C7F" w14:textId="77777777" w:rsidR="00E9581B" w:rsidRDefault="00E9581B" w:rsidP="00594979">
      <w:r>
        <w:t xml:space="preserve">Study 022 had an unacceptable design, with different periods of recruitment that differed in their allocation of subjects to different treatment arms (fremanezumab </w:t>
      </w:r>
      <w:r w:rsidRPr="00592BA7">
        <w:t>675 mg monthly or 225 mg monthly</w:t>
      </w:r>
      <w:r>
        <w:t>, or placebo). Only the low dose group corresponds to one of the proposed dose regimens. The results were nominally positive, but they can only be considered weakly supportive.</w:t>
      </w:r>
    </w:p>
    <w:p w14:paraId="6AC4C420" w14:textId="5DB9E9DB" w:rsidR="00E9581B" w:rsidRPr="00204577" w:rsidRDefault="00E9581B" w:rsidP="00BC138D">
      <w:r>
        <w:t>The LS mean differences from placebo at Month 3 were –2.64 and –2.81 days for the 675</w:t>
      </w:r>
      <w:r w:rsidR="001A39CA">
        <w:t> </w:t>
      </w:r>
      <w:r>
        <w:t xml:space="preserve">mg and the 225 mg treatment groups, respectively. This is substantially better than the results obtained in the pivotal </w:t>
      </w:r>
      <w:r w:rsidR="001A39CA">
        <w:t>episodic migraine</w:t>
      </w:r>
      <w:r>
        <w:t xml:space="preserve"> study. The study did not show any evidence of a dose trend, despite the fact that the high dose group received three times as much fremanezumab as the low dose group, but the two dose groups are not directly comparable as they were recruited at different times in the study, and could have been subject to different biases. Inclusion of the results of this study in the </w:t>
      </w:r>
      <w:r w:rsidR="001A39CA">
        <w:t>s</w:t>
      </w:r>
      <w:r>
        <w:t xml:space="preserve">ponsor’s </w:t>
      </w:r>
      <w:r w:rsidR="001A39CA">
        <w:t>exposure</w:t>
      </w:r>
      <w:r w:rsidR="001A39CA">
        <w:noBreakHyphen/>
        <w:t>response</w:t>
      </w:r>
      <w:r>
        <w:t xml:space="preserve"> model raises a number of difficulties of interpretation, because the estimate of the treatment effect was systematically higher in this study than in the pivotal study </w:t>
      </w:r>
      <w:r w:rsidRPr="00204577">
        <w:rPr>
          <w:i/>
        </w:rPr>
        <w:t>even for the 225 mg monthly group</w:t>
      </w:r>
      <w:r>
        <w:rPr>
          <w:i/>
        </w:rPr>
        <w:t xml:space="preserve">. </w:t>
      </w:r>
      <w:r>
        <w:t xml:space="preserve">Subjects receiving 675 mg monthly in this study had higher exposure than subjects in either dose group of the pivotal </w:t>
      </w:r>
      <w:r w:rsidR="001A39CA">
        <w:t xml:space="preserve">episodic migraine </w:t>
      </w:r>
      <w:r>
        <w:lastRenderedPageBreak/>
        <w:t xml:space="preserve">study, and they also appeared to achieve a greater treatment effect, but the apparent superiority could reflect between-study differences rather than between dose differences. Indeed, this seems likely, given the lack of a dose effect </w:t>
      </w:r>
      <w:r w:rsidRPr="00F33482">
        <w:rPr>
          <w:i/>
        </w:rPr>
        <w:t>within</w:t>
      </w:r>
      <w:r>
        <w:t xml:space="preserve"> either the </w:t>
      </w:r>
      <w:r w:rsidR="001A39CA">
        <w:t>episodic migraine</w:t>
      </w:r>
      <w:r>
        <w:t xml:space="preserve"> studies.</w:t>
      </w:r>
    </w:p>
    <w:p w14:paraId="19A4DE1D" w14:textId="77777777" w:rsidR="00E9581B" w:rsidRDefault="00E9581B" w:rsidP="00E9581B">
      <w:r>
        <w:t>Overall, the results of this study should be considered only weakly supportive of the submission.</w:t>
      </w:r>
    </w:p>
    <w:p w14:paraId="64E9B3F5" w14:textId="77777777" w:rsidR="00E9581B" w:rsidRPr="00A45C0A" w:rsidRDefault="00E9581B" w:rsidP="00E9581B">
      <w:pPr>
        <w:pStyle w:val="Heading4"/>
      </w:pPr>
      <w:r>
        <w:t>Study 30051(ongoing not completed)</w:t>
      </w:r>
    </w:p>
    <w:p w14:paraId="74A9AB65" w14:textId="77777777" w:rsidR="00E9581B" w:rsidRPr="00A45C0A" w:rsidRDefault="00E9581B" w:rsidP="00E9581B">
      <w:r>
        <w:t xml:space="preserve">This was </w:t>
      </w:r>
      <w:r w:rsidRPr="00A45C0A">
        <w:t>an open-label extension study (primarily designed to assess the long-term safety of fremanezumab) that offered active treatment to subjects from the two pivotal studies (</w:t>
      </w:r>
      <w:r>
        <w:t xml:space="preserve">Studies </w:t>
      </w:r>
      <w:r w:rsidRPr="00A45C0A">
        <w:t xml:space="preserve">30049/30050), with some additional patients added to increase the numbers. All subjects received active treatment with the same total fremanezumab dose of 675 mg SC every three months. Blinding was </w:t>
      </w:r>
      <w:r w:rsidRPr="00A45C0A">
        <w:rPr>
          <w:i/>
        </w:rPr>
        <w:t>only</w:t>
      </w:r>
      <w:r w:rsidRPr="00A45C0A">
        <w:t xml:space="preserve"> maintained for the relatively minor detail of whether this dose was divided into three separate monthly doses of 225 mg or given as 675 mg quarterly. There was no primary or secondary efficacy measure in this study.</w:t>
      </w:r>
    </w:p>
    <w:p w14:paraId="2C214963" w14:textId="4B3C9FC3" w:rsidR="00E9581B" w:rsidRDefault="00E9581B" w:rsidP="00E9581B">
      <w:r w:rsidRPr="00A45C0A">
        <w:t>There are no statistical consid</w:t>
      </w:r>
      <w:r w:rsidRPr="001A7748">
        <w:t>erations for this sample size. A total of 1842 patients (867 patients from Study TV48125-CNS-30049, 675 patients from Study TV48125-30050, and approximately 300 patients who did not participate in the pivotal efficacy studies) were planned for enrolment, and a 30% drop-out rate was anticipated.</w:t>
      </w:r>
      <w:r>
        <w:t xml:space="preserve"> The </w:t>
      </w:r>
      <w:r w:rsidRPr="007860AB">
        <w:t xml:space="preserve">treatment effect observed during the first three treatment months was sustained over the whole study duration of </w:t>
      </w:r>
      <w:r>
        <w:t>&gt;</w:t>
      </w:r>
      <w:r w:rsidRPr="007860AB">
        <w:t xml:space="preserve"> </w:t>
      </w:r>
      <w:r>
        <w:t>12</w:t>
      </w:r>
      <w:r w:rsidRPr="007860AB">
        <w:t xml:space="preserve"> </w:t>
      </w:r>
      <w:r w:rsidR="00E85F62" w:rsidRPr="007860AB">
        <w:t>months</w:t>
      </w:r>
      <w:r w:rsidR="00E85F62">
        <w:t>, which</w:t>
      </w:r>
      <w:r>
        <w:t xml:space="preserve"> is reassuring</w:t>
      </w:r>
      <w:r w:rsidRPr="007860AB">
        <w:t>.</w:t>
      </w:r>
      <w:r>
        <w:t xml:space="preserve"> Final study results are still pending.</w:t>
      </w:r>
    </w:p>
    <w:p w14:paraId="14093302" w14:textId="0F1FAF4D" w:rsidR="00E9581B" w:rsidRPr="00D72C7D" w:rsidRDefault="00B7295D" w:rsidP="00E9581B">
      <w:pPr>
        <w:pStyle w:val="TableTitle"/>
        <w:keepLines/>
      </w:pPr>
      <w:r>
        <w:rPr>
          <w:bCs/>
        </w:rPr>
        <w:lastRenderedPageBreak/>
        <w:t>Figure 5</w:t>
      </w:r>
      <w:r w:rsidR="00E9581B">
        <w:rPr>
          <w:bCs/>
        </w:rPr>
        <w:t>:</w:t>
      </w:r>
      <w:r w:rsidR="00E9581B" w:rsidRPr="00D72C7D">
        <w:rPr>
          <w:bCs/>
        </w:rPr>
        <w:t xml:space="preserve"> </w:t>
      </w:r>
      <w:r w:rsidR="00E9581B" w:rsidRPr="00D72C7D">
        <w:t xml:space="preserve">Mean </w:t>
      </w:r>
      <w:r w:rsidR="00E9581B">
        <w:t>c</w:t>
      </w:r>
      <w:r w:rsidR="00E9581B" w:rsidRPr="00D72C7D">
        <w:t xml:space="preserve">hange from </w:t>
      </w:r>
      <w:r w:rsidR="001A39CA">
        <w:t>B</w:t>
      </w:r>
      <w:r w:rsidR="00E9581B">
        <w:t>aseline in m</w:t>
      </w:r>
      <w:r w:rsidR="00E9581B" w:rsidRPr="00D72C7D">
        <w:t xml:space="preserve">onthly </w:t>
      </w:r>
      <w:r w:rsidR="00E9581B">
        <w:t>a</w:t>
      </w:r>
      <w:r w:rsidR="00E9581B" w:rsidRPr="00D72C7D">
        <w:t xml:space="preserve">verage </w:t>
      </w:r>
      <w:r w:rsidR="00E9581B">
        <w:t>n</w:t>
      </w:r>
      <w:r w:rsidR="00E9581B" w:rsidRPr="00D72C7D">
        <w:t xml:space="preserve">umber of </w:t>
      </w:r>
      <w:r w:rsidR="00E9581B">
        <w:t>d</w:t>
      </w:r>
      <w:r w:rsidR="00E9581B" w:rsidRPr="00D72C7D">
        <w:t xml:space="preserve">ays of </w:t>
      </w:r>
      <w:r w:rsidR="00E9581B">
        <w:t>u</w:t>
      </w:r>
      <w:r w:rsidR="00E9581B" w:rsidRPr="00D72C7D">
        <w:t xml:space="preserve">se of </w:t>
      </w:r>
      <w:r w:rsidR="00E9581B">
        <w:t>a</w:t>
      </w:r>
      <w:r w:rsidR="00E9581B" w:rsidRPr="00D72C7D">
        <w:t xml:space="preserve">ny </w:t>
      </w:r>
      <w:r w:rsidR="00E9581B">
        <w:t>a</w:t>
      </w:r>
      <w:r w:rsidR="00E9581B" w:rsidRPr="00D72C7D">
        <w:t xml:space="preserve">cute </w:t>
      </w:r>
      <w:r w:rsidR="00E9581B">
        <w:t>h</w:t>
      </w:r>
      <w:r w:rsidR="00E9581B" w:rsidRPr="00D72C7D">
        <w:t xml:space="preserve">eadache </w:t>
      </w:r>
      <w:r w:rsidR="00E9581B">
        <w:t>m</w:t>
      </w:r>
      <w:r w:rsidR="00E9581B" w:rsidRPr="00D72C7D">
        <w:t>edication (</w:t>
      </w:r>
      <w:r w:rsidR="001A39CA">
        <w:t xml:space="preserve">full analysis set) </w:t>
      </w:r>
      <w:r w:rsidR="00E9581B" w:rsidRPr="00D72C7D">
        <w:t>Study 30051</w:t>
      </w:r>
    </w:p>
    <w:p w14:paraId="3FF6979D" w14:textId="77777777" w:rsidR="00E9581B" w:rsidRDefault="00E9581B" w:rsidP="00A46FC3">
      <w:r>
        <w:rPr>
          <w:noProof/>
          <w:lang w:eastAsia="en-AU"/>
        </w:rPr>
        <w:drawing>
          <wp:inline distT="0" distB="0" distL="0" distR="0" wp14:anchorId="09E21F6D" wp14:editId="0EBAB47E">
            <wp:extent cx="5437127" cy="5492750"/>
            <wp:effectExtent l="0" t="0" r="0" b="0"/>
            <wp:docPr id="4" name="Picture 4" descr="Mean change from baseline in monthly average number of days of use of any acute headache medication (Full Analysis Set (FAS)) Study 3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5477905" cy="5533945"/>
                    </a:xfrm>
                    <a:prstGeom prst="rect">
                      <a:avLst/>
                    </a:prstGeom>
                  </pic:spPr>
                </pic:pic>
              </a:graphicData>
            </a:graphic>
          </wp:inline>
        </w:drawing>
      </w:r>
    </w:p>
    <w:p w14:paraId="72232B3D" w14:textId="77777777" w:rsidR="00E9581B" w:rsidRDefault="00E9581B" w:rsidP="00E9581B">
      <w:pPr>
        <w:pStyle w:val="Heading3"/>
      </w:pPr>
      <w:bookmarkStart w:id="56" w:name="_Toc12981477"/>
      <w:bookmarkStart w:id="57" w:name="_Toc22051386"/>
      <w:bookmarkStart w:id="58" w:name="_Toc27745214"/>
      <w:bookmarkEnd w:id="49"/>
      <w:bookmarkEnd w:id="50"/>
      <w:bookmarkEnd w:id="51"/>
      <w:bookmarkEnd w:id="52"/>
      <w:r w:rsidRPr="00C834F7">
        <w:t>Safety</w:t>
      </w:r>
      <w:bookmarkEnd w:id="56"/>
      <w:bookmarkEnd w:id="57"/>
      <w:bookmarkEnd w:id="58"/>
    </w:p>
    <w:p w14:paraId="4A3EAEC2" w14:textId="77777777" w:rsidR="00E9581B" w:rsidRPr="00D06028" w:rsidRDefault="00E9581B" w:rsidP="00E9581B">
      <w:r>
        <w:t>The overall exposure to fremanezumab exceeds the minimum numbers of patients recommended by the ICH E1 Guideline for chronically administered medications.</w:t>
      </w:r>
    </w:p>
    <w:p w14:paraId="61C31C05" w14:textId="77777777" w:rsidR="00E9581B" w:rsidRDefault="00E9581B" w:rsidP="00E9581B">
      <w:pPr>
        <w:rPr>
          <w:lang w:eastAsia="ja-JP"/>
        </w:rPr>
      </w:pPr>
      <w:r>
        <w:rPr>
          <w:lang w:eastAsia="ja-JP"/>
        </w:rPr>
        <w:t>The sponsor’s Summary of Clinical Safety (SCS) considers data from seven overlapping cohorts, summarised in the table below.</w:t>
      </w:r>
    </w:p>
    <w:p w14:paraId="1516D9F7" w14:textId="77777777" w:rsidR="00E9581B" w:rsidRDefault="00E9581B" w:rsidP="00E9581B">
      <w:pPr>
        <w:pStyle w:val="TableTitle"/>
      </w:pPr>
      <w:r>
        <w:lastRenderedPageBreak/>
        <w:t xml:space="preserve">Table 8: </w:t>
      </w:r>
      <w:r w:rsidRPr="004D7A9D">
        <w:t xml:space="preserve">Number of </w:t>
      </w:r>
      <w:r>
        <w:t>p</w:t>
      </w:r>
      <w:r w:rsidRPr="004D7A9D">
        <w:t xml:space="preserve">atients </w:t>
      </w:r>
      <w:r>
        <w:t>i</w:t>
      </w:r>
      <w:r w:rsidRPr="004D7A9D">
        <w:t xml:space="preserve">ncluded in </w:t>
      </w:r>
      <w:r>
        <w:t>e</w:t>
      </w:r>
      <w:r w:rsidRPr="004D7A9D">
        <w:t xml:space="preserve">ach of the 7 </w:t>
      </w:r>
      <w:r>
        <w:t>i</w:t>
      </w:r>
      <w:r w:rsidRPr="004D7A9D">
        <w:t xml:space="preserve">ntegrated </w:t>
      </w:r>
      <w:r>
        <w:t>c</w:t>
      </w:r>
      <w:r w:rsidRPr="004D7A9D">
        <w:t>ohorts</w:t>
      </w:r>
      <w:r>
        <w:rPr>
          <w:noProof/>
          <w:lang w:eastAsia="en-AU"/>
        </w:rPr>
        <w:drawing>
          <wp:inline distT="0" distB="0" distL="0" distR="0" wp14:anchorId="1AC0AB29" wp14:editId="6C72FF9C">
            <wp:extent cx="4879238" cy="2281308"/>
            <wp:effectExtent l="0" t="0" r="0" b="5080"/>
            <wp:docPr id="13" name="Picture 13" descr="Number of patients included in each of the 7 integrated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81301" cy="2282273"/>
                    </a:xfrm>
                    <a:prstGeom prst="rect">
                      <a:avLst/>
                    </a:prstGeom>
                    <a:noFill/>
                    <a:ln>
                      <a:noFill/>
                    </a:ln>
                  </pic:spPr>
                </pic:pic>
              </a:graphicData>
            </a:graphic>
          </wp:inline>
        </w:drawing>
      </w:r>
    </w:p>
    <w:p w14:paraId="28B48CA8" w14:textId="77777777" w:rsidR="00E9581B" w:rsidRPr="007860AB" w:rsidRDefault="00E9581B" w:rsidP="00E9581B">
      <w:r>
        <w:t>Only Cohort 1 (placebo controlled</w:t>
      </w:r>
      <w:r w:rsidRPr="00D635F8">
        <w:t xml:space="preserve"> trials</w:t>
      </w:r>
      <w:r>
        <w:t>) and 4 (</w:t>
      </w:r>
      <w:r w:rsidRPr="00D635F8">
        <w:t xml:space="preserve">patients exposed to fremanezumab in </w:t>
      </w:r>
      <w:r>
        <w:t>Phase II and III</w:t>
      </w:r>
      <w:r w:rsidRPr="00D635F8">
        <w:t xml:space="preserve"> trials</w:t>
      </w:r>
      <w:r>
        <w:t>) were evaluated in detail.</w:t>
      </w:r>
    </w:p>
    <w:p w14:paraId="3184DE27" w14:textId="4D049DDD" w:rsidR="00E9581B" w:rsidRDefault="00E9581B" w:rsidP="00E9581B">
      <w:pPr>
        <w:rPr>
          <w:lang w:eastAsia="ja-JP"/>
        </w:rPr>
      </w:pPr>
      <w:r>
        <w:rPr>
          <w:lang w:eastAsia="ja-JP"/>
        </w:rPr>
        <w:t>A total of 1702 subjects received fremanezumab in placebo controlled studies, and 861</w:t>
      </w:r>
      <w:r w:rsidR="001A39CA">
        <w:rPr>
          <w:lang w:eastAsia="ja-JP"/>
        </w:rPr>
        <w:t> </w:t>
      </w:r>
      <w:r>
        <w:rPr>
          <w:lang w:eastAsia="ja-JP"/>
        </w:rPr>
        <w:t>subjects received placebo</w:t>
      </w:r>
      <w:r w:rsidR="00BC138D">
        <w:rPr>
          <w:lang w:eastAsia="ja-JP"/>
        </w:rPr>
        <w:t xml:space="preserve"> (</w:t>
      </w:r>
      <w:r w:rsidR="001A39CA">
        <w:rPr>
          <w:lang w:eastAsia="ja-JP"/>
        </w:rPr>
        <w:t xml:space="preserve">see </w:t>
      </w:r>
      <w:r w:rsidR="00BC138D">
        <w:rPr>
          <w:lang w:eastAsia="ja-JP"/>
        </w:rPr>
        <w:t>Table 9)</w:t>
      </w:r>
      <w:r w:rsidR="001A39CA">
        <w:rPr>
          <w:lang w:eastAsia="ja-JP"/>
        </w:rPr>
        <w:t>.</w:t>
      </w:r>
      <w:r>
        <w:rPr>
          <w:lang w:eastAsia="ja-JP"/>
        </w:rPr>
        <w:t xml:space="preserve"> Most subjects were followed for at least 3</w:t>
      </w:r>
      <w:r w:rsidR="001A39CA">
        <w:rPr>
          <w:lang w:eastAsia="ja-JP"/>
        </w:rPr>
        <w:t> </w:t>
      </w:r>
      <w:r>
        <w:rPr>
          <w:lang w:eastAsia="ja-JP"/>
        </w:rPr>
        <w:t>months, and total fremanezumab exposure amounts to 390 patient-years.</w:t>
      </w:r>
    </w:p>
    <w:p w14:paraId="514B3ED5" w14:textId="452905B2" w:rsidR="00E9581B" w:rsidRDefault="00E9581B" w:rsidP="00E9581B">
      <w:pPr>
        <w:pStyle w:val="TableTitle"/>
      </w:pPr>
      <w:r>
        <w:rPr>
          <w:lang w:eastAsia="ja-JP"/>
        </w:rPr>
        <w:t xml:space="preserve">Table 9: </w:t>
      </w:r>
      <w:r>
        <w:t>Treatment e</w:t>
      </w:r>
      <w:r w:rsidRPr="00874431">
        <w:t xml:space="preserve">mergent </w:t>
      </w:r>
      <w:r w:rsidR="001A39CA">
        <w:t>adverse events</w:t>
      </w:r>
      <w:r w:rsidRPr="00874431">
        <w:t xml:space="preserve"> for </w:t>
      </w:r>
      <w:r>
        <w:t>a</w:t>
      </w:r>
      <w:r w:rsidRPr="00874431">
        <w:t xml:space="preserve">ll </w:t>
      </w:r>
      <w:r>
        <w:t>p</w:t>
      </w:r>
      <w:r w:rsidRPr="00874431">
        <w:t xml:space="preserve">atients in the </w:t>
      </w:r>
      <w:r>
        <w:t>p</w:t>
      </w:r>
      <w:r w:rsidRPr="00874431">
        <w:t>lacebo</w:t>
      </w:r>
      <w:r>
        <w:t xml:space="preserve"> c</w:t>
      </w:r>
      <w:r w:rsidRPr="00874431">
        <w:t xml:space="preserve">ontrolled </w:t>
      </w:r>
      <w:r>
        <w:t>s</w:t>
      </w:r>
      <w:r w:rsidRPr="00874431">
        <w:t>tudies</w:t>
      </w:r>
      <w:r>
        <w:t xml:space="preserve">; </w:t>
      </w:r>
      <w:r w:rsidRPr="00874431">
        <w:t>Cohort 1 (placebo controlled exposure)</w:t>
      </w:r>
    </w:p>
    <w:p w14:paraId="4EB641DA" w14:textId="77777777" w:rsidR="00E9581B" w:rsidRDefault="00E9581B" w:rsidP="00E9581B">
      <w:r>
        <w:rPr>
          <w:noProof/>
          <w:lang w:eastAsia="en-AU"/>
        </w:rPr>
        <w:drawing>
          <wp:inline distT="0" distB="0" distL="0" distR="0" wp14:anchorId="12C4FAF6" wp14:editId="29DC6970">
            <wp:extent cx="5400040" cy="3482235"/>
            <wp:effectExtent l="0" t="0" r="0" b="4445"/>
            <wp:docPr id="7" name="Picture 7" descr="Treatment emergent AEs for all patients in the placebo controlled studies; Cohort 1 (placebo controlled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3482235"/>
                    </a:xfrm>
                    <a:prstGeom prst="rect">
                      <a:avLst/>
                    </a:prstGeom>
                    <a:noFill/>
                    <a:ln>
                      <a:noFill/>
                    </a:ln>
                  </pic:spPr>
                </pic:pic>
              </a:graphicData>
            </a:graphic>
          </wp:inline>
        </w:drawing>
      </w:r>
    </w:p>
    <w:p w14:paraId="4109252E" w14:textId="26824A55" w:rsidR="00E9581B" w:rsidRPr="001A39CA" w:rsidRDefault="00E9581B" w:rsidP="004E27C2">
      <w:r w:rsidRPr="001A39CA">
        <w:t xml:space="preserve">The most frequently occurring </w:t>
      </w:r>
      <w:r w:rsidR="001A39CA" w:rsidRPr="001A39CA">
        <w:t>AEs</w:t>
      </w:r>
      <w:r w:rsidRPr="001A39CA">
        <w:t xml:space="preserve"> up to 24 h</w:t>
      </w:r>
      <w:r w:rsidR="001A39CA" w:rsidRPr="001A39CA">
        <w:t xml:space="preserve"> post-dosing</w:t>
      </w:r>
      <w:r w:rsidRPr="001A39CA">
        <w:t xml:space="preserve"> were injection site reactions. Most injection site reactions after administration of fremanezumab were of short duration and mild severity.</w:t>
      </w:r>
    </w:p>
    <w:p w14:paraId="16E43F83" w14:textId="40625957" w:rsidR="00E9581B" w:rsidRDefault="00E9581B" w:rsidP="00E9581B">
      <w:pPr>
        <w:rPr>
          <w:lang w:eastAsia="ja-JP"/>
        </w:rPr>
      </w:pPr>
      <w:r>
        <w:rPr>
          <w:lang w:eastAsia="ja-JP"/>
        </w:rPr>
        <w:t xml:space="preserve">Serious </w:t>
      </w:r>
      <w:r w:rsidR="001A39CA">
        <w:rPr>
          <w:lang w:eastAsia="ja-JP"/>
        </w:rPr>
        <w:t>adverse events</w:t>
      </w:r>
      <w:r>
        <w:rPr>
          <w:lang w:eastAsia="ja-JP"/>
        </w:rPr>
        <w:t xml:space="preserve"> (SAE) occurred in 21 fremanezumab recipients (1%) and 14</w:t>
      </w:r>
      <w:r w:rsidR="001A39CA">
        <w:rPr>
          <w:lang w:eastAsia="ja-JP"/>
        </w:rPr>
        <w:t> </w:t>
      </w:r>
      <w:r>
        <w:rPr>
          <w:lang w:eastAsia="ja-JP"/>
        </w:rPr>
        <w:t xml:space="preserve">placebo recipients (2%) in the placebo controlled studies (Cohort 1). No event by </w:t>
      </w:r>
      <w:r w:rsidR="001A39CA">
        <w:rPr>
          <w:lang w:eastAsia="ja-JP"/>
        </w:rPr>
        <w:t>P</w:t>
      </w:r>
      <w:r>
        <w:rPr>
          <w:lang w:eastAsia="ja-JP"/>
        </w:rPr>
        <w:t xml:space="preserve">referred </w:t>
      </w:r>
      <w:r w:rsidR="001A39CA">
        <w:rPr>
          <w:lang w:eastAsia="ja-JP"/>
        </w:rPr>
        <w:t>T</w:t>
      </w:r>
      <w:r>
        <w:rPr>
          <w:lang w:eastAsia="ja-JP"/>
        </w:rPr>
        <w:t>erm (PT) occurred in ≥ 1% of patients.</w:t>
      </w:r>
    </w:p>
    <w:p w14:paraId="4D654A59" w14:textId="77777777" w:rsidR="00E9581B" w:rsidRDefault="00E9581B" w:rsidP="00E9581B">
      <w:r w:rsidRPr="00EA3A5D">
        <w:t xml:space="preserve">Two deaths occurred </w:t>
      </w:r>
      <w:r>
        <w:t xml:space="preserve">in the </w:t>
      </w:r>
      <w:r w:rsidRPr="00EA3A5D">
        <w:t>clinical development program</w:t>
      </w:r>
      <w:r>
        <w:t>;</w:t>
      </w:r>
      <w:r w:rsidRPr="00EA3A5D">
        <w:t xml:space="preserve"> one related to an exacerbation of pre-existing lung disease, and one related to suicide in the setting of pre-existing </w:t>
      </w:r>
      <w:r w:rsidRPr="00EA3A5D">
        <w:lastRenderedPageBreak/>
        <w:t xml:space="preserve">depression. </w:t>
      </w:r>
      <w:r>
        <w:t>O</w:t>
      </w:r>
      <w:r w:rsidRPr="00EA3A5D">
        <w:t xml:space="preserve">n evaluating the available information, the </w:t>
      </w:r>
      <w:r>
        <w:t>clinical e</w:t>
      </w:r>
      <w:r w:rsidRPr="00EA3A5D">
        <w:t xml:space="preserve">valuator agrees that neither death appears to </w:t>
      </w:r>
      <w:r>
        <w:t>have been related to treatment.</w:t>
      </w:r>
    </w:p>
    <w:p w14:paraId="41E2164B" w14:textId="77777777" w:rsidR="00E9581B" w:rsidRDefault="00E9581B" w:rsidP="00E9581B">
      <w:r>
        <w:t>AEs leading to discontinuation were infrequent, with a similar incidence (2%) in fremanezumab and placebo recipients.</w:t>
      </w:r>
    </w:p>
    <w:p w14:paraId="197E0C8C" w14:textId="078DB584" w:rsidR="00E9581B" w:rsidRDefault="00E9581B" w:rsidP="00E9581B">
      <w:r>
        <w:t xml:space="preserve">Three main categories of events as </w:t>
      </w:r>
      <w:r w:rsidR="001A39CA">
        <w:t>adverse events</w:t>
      </w:r>
      <w:r>
        <w:t xml:space="preserve"> of special interest (AESI) were pre</w:t>
      </w:r>
      <w:r w:rsidR="001A39CA">
        <w:noBreakHyphen/>
      </w:r>
      <w:r>
        <w:t xml:space="preserve">identified by the sponsor: ophthalmic AEs, hepatic AEs, and hypersensitivity reactions including anaphylaxis. None of them </w:t>
      </w:r>
      <w:r w:rsidR="00E85F62">
        <w:t>was</w:t>
      </w:r>
      <w:r>
        <w:t xml:space="preserve"> evident to be excess with active treatment.</w:t>
      </w:r>
    </w:p>
    <w:p w14:paraId="13B40D69" w14:textId="08C25657" w:rsidR="00E9581B" w:rsidRDefault="00E9581B" w:rsidP="00E9581B">
      <w:pPr>
        <w:rPr>
          <w:lang w:eastAsia="ja-JP"/>
        </w:rPr>
      </w:pPr>
      <w:r>
        <w:rPr>
          <w:lang w:eastAsia="ja-JP"/>
        </w:rPr>
        <w:t>No significant safety issues arose from laboratory monitoring. No liver or renal toxicity were reported</w:t>
      </w:r>
      <w:r w:rsidR="001A39CA">
        <w:rPr>
          <w:lang w:eastAsia="ja-JP"/>
        </w:rPr>
        <w:t>.</w:t>
      </w:r>
    </w:p>
    <w:p w14:paraId="7D73319C" w14:textId="77777777" w:rsidR="00E9581B" w:rsidRDefault="00E9581B" w:rsidP="00E9581B">
      <w:pPr>
        <w:rPr>
          <w:lang w:eastAsia="ja-JP"/>
        </w:rPr>
      </w:pPr>
      <w:r>
        <w:rPr>
          <w:lang w:eastAsia="ja-JP"/>
        </w:rPr>
        <w:t>Cardiovascular risk has not been fully assessed due to exclusion of elderly patients and those with significant cardiovascular morbidity. Although there is no strong evidence of cardiovascular toxicity associated with active treatment, cardiovascular safety should remain the focus of ongoing risk management similar to other agents of same class such as erenumab and galcanezumab.</w:t>
      </w:r>
    </w:p>
    <w:p w14:paraId="228CDDD0" w14:textId="76BBD852" w:rsidR="001A39CA" w:rsidRDefault="00E9581B" w:rsidP="00E9581B">
      <w:pPr>
        <w:rPr>
          <w:lang w:eastAsia="ja-JP"/>
        </w:rPr>
      </w:pPr>
      <w:r>
        <w:t xml:space="preserve">Overall, fremanezumab appears to be associated with a minimal risk of serious skin reactions. </w:t>
      </w:r>
      <w:r>
        <w:rPr>
          <w:lang w:eastAsia="ja-JP"/>
        </w:rPr>
        <w:t>Fremanezumab has been assigned Pregnancy Category B1</w:t>
      </w:r>
      <w:r w:rsidR="001A39CA">
        <w:rPr>
          <w:lang w:eastAsia="ja-JP"/>
        </w:rPr>
        <w:t>.</w:t>
      </w:r>
      <w:r w:rsidR="00162655" w:rsidRPr="00162655">
        <w:rPr>
          <w:vertAlign w:val="superscript"/>
          <w:lang w:eastAsia="ja-JP"/>
        </w:rPr>
        <w:fldChar w:fldCharType="begin"/>
      </w:r>
      <w:r w:rsidR="00162655" w:rsidRPr="00162655">
        <w:rPr>
          <w:vertAlign w:val="superscript"/>
          <w:lang w:eastAsia="ja-JP"/>
        </w:rPr>
        <w:instrText xml:space="preserve"> NOTEREF _Ref27746711 \h </w:instrText>
      </w:r>
      <w:r w:rsidR="00162655">
        <w:rPr>
          <w:vertAlign w:val="superscript"/>
          <w:lang w:eastAsia="ja-JP"/>
        </w:rPr>
        <w:instrText xml:space="preserve"> \* MERGEFORMAT </w:instrText>
      </w:r>
      <w:r w:rsidR="00162655" w:rsidRPr="00162655">
        <w:rPr>
          <w:vertAlign w:val="superscript"/>
          <w:lang w:eastAsia="ja-JP"/>
        </w:rPr>
      </w:r>
      <w:r w:rsidR="00162655" w:rsidRPr="00162655">
        <w:rPr>
          <w:vertAlign w:val="superscript"/>
          <w:lang w:eastAsia="ja-JP"/>
        </w:rPr>
        <w:fldChar w:fldCharType="separate"/>
      </w:r>
      <w:r w:rsidR="00162655" w:rsidRPr="00162655">
        <w:rPr>
          <w:vertAlign w:val="superscript"/>
          <w:lang w:eastAsia="ja-JP"/>
        </w:rPr>
        <w:t>1</w:t>
      </w:r>
      <w:r w:rsidR="00162655" w:rsidRPr="00162655">
        <w:rPr>
          <w:vertAlign w:val="superscript"/>
          <w:lang w:eastAsia="ja-JP"/>
        </w:rPr>
        <w:fldChar w:fldCharType="end"/>
      </w:r>
      <w:r w:rsidRPr="004555F8">
        <w:rPr>
          <w:vertAlign w:val="superscript"/>
          <w:lang w:eastAsia="ja-JP"/>
        </w:rPr>
        <w:fldChar w:fldCharType="begin"/>
      </w:r>
      <w:r w:rsidRPr="004555F8">
        <w:rPr>
          <w:vertAlign w:val="superscript"/>
          <w:lang w:eastAsia="ja-JP"/>
        </w:rPr>
        <w:instrText xml:space="preserve"> NOTEREF _Ref22136495 \h </w:instrText>
      </w:r>
      <w:r>
        <w:rPr>
          <w:vertAlign w:val="superscript"/>
          <w:lang w:eastAsia="ja-JP"/>
        </w:rPr>
        <w:instrText xml:space="preserve"> \* MERGEFORMAT </w:instrText>
      </w:r>
      <w:r w:rsidRPr="004555F8">
        <w:rPr>
          <w:vertAlign w:val="superscript"/>
          <w:lang w:eastAsia="ja-JP"/>
        </w:rPr>
      </w:r>
      <w:r w:rsidRPr="004555F8">
        <w:rPr>
          <w:vertAlign w:val="superscript"/>
          <w:lang w:eastAsia="ja-JP"/>
        </w:rPr>
        <w:fldChar w:fldCharType="end"/>
      </w:r>
      <w:r>
        <w:rPr>
          <w:lang w:eastAsia="ja-JP"/>
        </w:rPr>
        <w:t xml:space="preserve"> PI wording has been amended at the request of the clinical evaluator</w:t>
      </w:r>
      <w:r w:rsidR="001A39CA">
        <w:rPr>
          <w:lang w:eastAsia="ja-JP"/>
        </w:rPr>
        <w:t xml:space="preserve"> to include the following: </w:t>
      </w:r>
    </w:p>
    <w:p w14:paraId="47431DEA" w14:textId="6030220B" w:rsidR="00E9581B" w:rsidRPr="004555F8" w:rsidRDefault="00E9581B" w:rsidP="00E9581B">
      <w:pPr>
        <w:rPr>
          <w:i/>
          <w:lang w:eastAsia="ja-JP"/>
        </w:rPr>
      </w:pPr>
      <w:r w:rsidRPr="004E65C0">
        <w:rPr>
          <w:b/>
          <w:i/>
          <w:lang w:eastAsia="ja-JP"/>
        </w:rPr>
        <w:t>‘</w:t>
      </w:r>
      <w:r w:rsidRPr="004555F8">
        <w:rPr>
          <w:i/>
          <w:lang w:eastAsia="ja-JP"/>
        </w:rPr>
        <w:t>There are limited data from the use of Ajovy in pregnant women. Animal studies do not indicate direct or indirect harmful effects with respect to reproductive toxicity.’</w:t>
      </w:r>
    </w:p>
    <w:p w14:paraId="74DF77BD" w14:textId="3862812A" w:rsidR="00E9581B" w:rsidRPr="004E27C2" w:rsidRDefault="001A39CA" w:rsidP="00E9581B">
      <w:r w:rsidRPr="004E27C2">
        <w:rPr>
          <w:lang w:eastAsia="ja-JP"/>
        </w:rPr>
        <w:t xml:space="preserve">The </w:t>
      </w:r>
      <w:r w:rsidR="00E9581B" w:rsidRPr="004E27C2">
        <w:rPr>
          <w:lang w:eastAsia="ja-JP"/>
        </w:rPr>
        <w:t xml:space="preserve">Delegate notes the clinical evaluator’s recommendation on lactation but to maintain consistency with other approved agents of similar class, </w:t>
      </w:r>
      <w:r w:rsidRPr="004E27C2">
        <w:rPr>
          <w:lang w:eastAsia="ja-JP"/>
        </w:rPr>
        <w:t xml:space="preserve">the </w:t>
      </w:r>
      <w:r w:rsidR="00E9581B" w:rsidRPr="004E27C2">
        <w:rPr>
          <w:lang w:eastAsia="ja-JP"/>
        </w:rPr>
        <w:t xml:space="preserve">proposed PI has appropriate wording on lactation as well as the potential risks of hypersensitivity. There was no increased risk observed with </w:t>
      </w:r>
      <w:r w:rsidRPr="004E27C2">
        <w:rPr>
          <w:lang w:eastAsia="ja-JP"/>
        </w:rPr>
        <w:t>ADAs</w:t>
      </w:r>
      <w:r w:rsidR="00E9581B" w:rsidRPr="004E27C2">
        <w:rPr>
          <w:lang w:eastAsia="ja-JP"/>
        </w:rPr>
        <w:t xml:space="preserve">. Safety of combination with other agents targeting CGRP </w:t>
      </w:r>
      <w:r w:rsidR="00684087" w:rsidRPr="004E27C2">
        <w:rPr>
          <w:lang w:eastAsia="ja-JP"/>
        </w:rPr>
        <w:t xml:space="preserve">pathway </w:t>
      </w:r>
      <w:r w:rsidR="00E9581B" w:rsidRPr="004E27C2">
        <w:rPr>
          <w:lang w:eastAsia="ja-JP"/>
        </w:rPr>
        <w:t>is unknown.</w:t>
      </w:r>
    </w:p>
    <w:p w14:paraId="3C0196C8" w14:textId="77777777" w:rsidR="00E9581B" w:rsidRPr="004E27C2" w:rsidRDefault="00E9581B" w:rsidP="00E9581B">
      <w:pPr>
        <w:pStyle w:val="Heading3"/>
        <w:rPr>
          <w:lang w:eastAsia="en-AU"/>
        </w:rPr>
      </w:pPr>
      <w:bookmarkStart w:id="59" w:name="_Toc314842514"/>
      <w:bookmarkStart w:id="60" w:name="_Toc22051387"/>
      <w:bookmarkStart w:id="61" w:name="_Toc27745215"/>
      <w:r w:rsidRPr="004E27C2">
        <w:rPr>
          <w:lang w:eastAsia="en-AU"/>
        </w:rPr>
        <w:t>Risk management plan</w:t>
      </w:r>
      <w:bookmarkEnd w:id="59"/>
      <w:bookmarkEnd w:id="60"/>
      <w:bookmarkEnd w:id="61"/>
    </w:p>
    <w:p w14:paraId="57ED5EEF" w14:textId="10F9E40D" w:rsidR="009D1A5C" w:rsidRPr="004E27C2" w:rsidRDefault="009D1A5C" w:rsidP="009D1A5C">
      <w:r w:rsidRPr="004E27C2">
        <w:t xml:space="preserve">The sponsor submitted EU </w:t>
      </w:r>
      <w:r w:rsidR="001A39CA" w:rsidRPr="004E27C2">
        <w:t>risk management plan (</w:t>
      </w:r>
      <w:r w:rsidRPr="004E27C2">
        <w:t>RMP</w:t>
      </w:r>
      <w:r w:rsidR="001A39CA" w:rsidRPr="004E27C2">
        <w:t>)</w:t>
      </w:r>
      <w:r w:rsidRPr="004E27C2">
        <w:t xml:space="preserve"> </w:t>
      </w:r>
      <w:hyperlink r:id="rId34" w:history="1">
        <w:r w:rsidRPr="004E27C2">
          <w:rPr>
            <w:rStyle w:val="Hyperlink"/>
            <w:color w:val="auto"/>
            <w:u w:val="none"/>
          </w:rPr>
          <w:t>version 1.0</w:t>
        </w:r>
      </w:hyperlink>
      <w:r w:rsidRPr="004E27C2">
        <w:t xml:space="preserve"> (dated 5 January 2018; data lock point (DLP) 31 May 2017) and Australian Specific Annex (ASA) </w:t>
      </w:r>
      <w:hyperlink r:id="rId35" w:history="1">
        <w:r w:rsidRPr="004E27C2">
          <w:rPr>
            <w:rStyle w:val="Hyperlink"/>
            <w:color w:val="auto"/>
            <w:u w:val="none"/>
          </w:rPr>
          <w:t>version 1.0</w:t>
        </w:r>
      </w:hyperlink>
      <w:r w:rsidRPr="004E27C2">
        <w:t xml:space="preserve"> (dated 26 April 2018) in support of this application.  In their response to TGA’s request for further information, the sponsor submitted EU RMP </w:t>
      </w:r>
      <w:hyperlink r:id="rId36" w:history="1">
        <w:r w:rsidRPr="004E27C2">
          <w:rPr>
            <w:rStyle w:val="Hyperlink"/>
            <w:color w:val="auto"/>
            <w:u w:val="none"/>
          </w:rPr>
          <w:t>version 1.4</w:t>
        </w:r>
      </w:hyperlink>
      <w:r w:rsidRPr="004E27C2">
        <w:t xml:space="preserve"> (dated 29 January 2019; DLP 29 January 2019) and ASA version 1.</w:t>
      </w:r>
      <w:r w:rsidR="00E4781F" w:rsidRPr="004E27C2">
        <w:t>2</w:t>
      </w:r>
      <w:r w:rsidRPr="004E27C2">
        <w:t xml:space="preserve"> (dated </w:t>
      </w:r>
      <w:r w:rsidR="00E4781F" w:rsidRPr="004E27C2">
        <w:t>03</w:t>
      </w:r>
      <w:r w:rsidRPr="004E27C2">
        <w:t xml:space="preserve"> </w:t>
      </w:r>
      <w:r w:rsidR="00E4781F" w:rsidRPr="004E27C2">
        <w:t>July</w:t>
      </w:r>
      <w:r w:rsidRPr="004E27C2">
        <w:t xml:space="preserve"> 201</w:t>
      </w:r>
      <w:r w:rsidR="00E4781F" w:rsidRPr="004E27C2">
        <w:t>9</w:t>
      </w:r>
      <w:r w:rsidRPr="004E27C2">
        <w:t xml:space="preserve">). EU RMP Version 1.4 is recognised as the first </w:t>
      </w:r>
      <w:r w:rsidR="001A39CA" w:rsidRPr="004E27C2">
        <w:t>European Medicines Agency (</w:t>
      </w:r>
      <w:r w:rsidRPr="004E27C2">
        <w:t>EMA</w:t>
      </w:r>
      <w:r w:rsidR="001A39CA" w:rsidRPr="004E27C2">
        <w:t>)</w:t>
      </w:r>
      <w:r w:rsidRPr="004E27C2">
        <w:t xml:space="preserve"> approved version.</w:t>
      </w:r>
    </w:p>
    <w:p w14:paraId="240239B8" w14:textId="7D76F6F7" w:rsidR="00123D86" w:rsidRPr="004E27C2" w:rsidRDefault="00123D86" w:rsidP="00123D86">
      <w:pPr>
        <w:rPr>
          <w:lang w:eastAsia="en-AU"/>
        </w:rPr>
      </w:pPr>
      <w:r w:rsidRPr="004E27C2">
        <w:rPr>
          <w:lang w:eastAsia="en-AU"/>
        </w:rPr>
        <w:t>The following table summarises the ongoing safety concerns with Ajovy.</w:t>
      </w:r>
    </w:p>
    <w:p w14:paraId="046D1121" w14:textId="77777777" w:rsidR="00E9581B" w:rsidRPr="004555F8" w:rsidRDefault="00E9581B" w:rsidP="00E9581B">
      <w:pPr>
        <w:pStyle w:val="TableTitle"/>
        <w:rPr>
          <w:lang w:eastAsia="en-AU"/>
        </w:rPr>
      </w:pPr>
      <w:r>
        <w:rPr>
          <w:lang w:eastAsia="en-AU"/>
        </w:rPr>
        <w:t>Table 10: Summary of ongoing safety concerns</w:t>
      </w:r>
    </w:p>
    <w:tbl>
      <w:tblPr>
        <w:tblStyle w:val="TableTGAblue"/>
        <w:tblW w:w="0" w:type="auto"/>
        <w:tblInd w:w="-152" w:type="dxa"/>
        <w:tblLayout w:type="fixed"/>
        <w:tblLook w:val="04A0" w:firstRow="1" w:lastRow="0" w:firstColumn="1" w:lastColumn="0" w:noHBand="0" w:noVBand="1"/>
      </w:tblPr>
      <w:tblGrid>
        <w:gridCol w:w="1710"/>
        <w:gridCol w:w="1976"/>
        <w:gridCol w:w="1418"/>
        <w:gridCol w:w="1417"/>
        <w:gridCol w:w="1134"/>
        <w:gridCol w:w="981"/>
      </w:tblGrid>
      <w:tr w:rsidR="00E9581B" w:rsidRPr="004F1C07" w14:paraId="62804B05" w14:textId="77777777" w:rsidTr="00FE5283">
        <w:trPr>
          <w:cnfStyle w:val="100000000000" w:firstRow="1" w:lastRow="0" w:firstColumn="0" w:lastColumn="0" w:oddVBand="0" w:evenVBand="0" w:oddHBand="0" w:evenHBand="0" w:firstRowFirstColumn="0" w:firstRowLastColumn="0" w:lastRowFirstColumn="0" w:lastRowLastColumn="0"/>
          <w:cantSplit/>
          <w:trHeight w:val="131"/>
        </w:trPr>
        <w:tc>
          <w:tcPr>
            <w:tcW w:w="3686" w:type="dxa"/>
            <w:gridSpan w:val="2"/>
            <w:vMerge w:val="restart"/>
            <w:tcBorders>
              <w:right w:val="single" w:sz="8" w:space="0" w:color="FFFFFF" w:themeColor="background1"/>
            </w:tcBorders>
          </w:tcPr>
          <w:p w14:paraId="6736C4D3" w14:textId="77777777" w:rsidR="00E9581B" w:rsidRPr="004555F8" w:rsidRDefault="00E9581B" w:rsidP="00123D86">
            <w:pPr>
              <w:pStyle w:val="Tabletext"/>
            </w:pPr>
            <w:r w:rsidRPr="004555F8">
              <w:t>Summary of safety concerns</w:t>
            </w:r>
          </w:p>
        </w:tc>
        <w:tc>
          <w:tcPr>
            <w:tcW w:w="2835" w:type="dxa"/>
            <w:gridSpan w:val="2"/>
            <w:tcBorders>
              <w:left w:val="single" w:sz="8" w:space="0" w:color="FFFFFF" w:themeColor="background1"/>
              <w:bottom w:val="nil"/>
            </w:tcBorders>
          </w:tcPr>
          <w:p w14:paraId="3B29C871" w14:textId="77777777" w:rsidR="00E9581B" w:rsidRPr="004555F8" w:rsidRDefault="00E9581B" w:rsidP="00123D86">
            <w:pPr>
              <w:pStyle w:val="Tabletext"/>
              <w:rPr>
                <w:sz w:val="18"/>
              </w:rPr>
            </w:pPr>
            <w:r w:rsidRPr="004555F8">
              <w:rPr>
                <w:sz w:val="18"/>
              </w:rPr>
              <w:t>Pharmacovigilance</w:t>
            </w:r>
          </w:p>
        </w:tc>
        <w:tc>
          <w:tcPr>
            <w:tcW w:w="2115" w:type="dxa"/>
            <w:gridSpan w:val="2"/>
            <w:tcBorders>
              <w:bottom w:val="nil"/>
            </w:tcBorders>
          </w:tcPr>
          <w:p w14:paraId="4CFB5F35" w14:textId="77777777" w:rsidR="00E9581B" w:rsidRPr="004555F8" w:rsidRDefault="00E9581B" w:rsidP="00123D86">
            <w:pPr>
              <w:pStyle w:val="Tabletext"/>
              <w:rPr>
                <w:sz w:val="18"/>
              </w:rPr>
            </w:pPr>
            <w:r w:rsidRPr="004555F8">
              <w:rPr>
                <w:sz w:val="18"/>
              </w:rPr>
              <w:t>Risk Minimisation</w:t>
            </w:r>
          </w:p>
        </w:tc>
      </w:tr>
      <w:tr w:rsidR="00E9581B" w:rsidRPr="004F1C07" w14:paraId="54047B74" w14:textId="77777777" w:rsidTr="00FE5283">
        <w:trPr>
          <w:cantSplit/>
          <w:trHeight w:val="150"/>
        </w:trPr>
        <w:tc>
          <w:tcPr>
            <w:tcW w:w="3686" w:type="dxa"/>
            <w:gridSpan w:val="2"/>
            <w:vMerge/>
            <w:tcBorders>
              <w:right w:val="single" w:sz="8" w:space="0" w:color="FFFFFF" w:themeColor="background1"/>
            </w:tcBorders>
          </w:tcPr>
          <w:p w14:paraId="6ECAE5B1" w14:textId="77777777" w:rsidR="00E9581B" w:rsidRPr="004555F8" w:rsidRDefault="00E9581B" w:rsidP="00123D86">
            <w:pPr>
              <w:pStyle w:val="Tabletext"/>
            </w:pPr>
          </w:p>
        </w:tc>
        <w:tc>
          <w:tcPr>
            <w:tcW w:w="1418" w:type="dxa"/>
            <w:tcBorders>
              <w:top w:val="nil"/>
              <w:left w:val="single" w:sz="8" w:space="0" w:color="FFFFFF" w:themeColor="background1"/>
              <w:right w:val="single" w:sz="8" w:space="0" w:color="FFFFFF" w:themeColor="background1"/>
            </w:tcBorders>
            <w:shd w:val="clear" w:color="auto" w:fill="006DA7"/>
          </w:tcPr>
          <w:p w14:paraId="78DAA032" w14:textId="77777777" w:rsidR="00E9581B" w:rsidRPr="00D27ED7" w:rsidRDefault="00E9581B" w:rsidP="00123D86">
            <w:pPr>
              <w:pStyle w:val="Tabletext"/>
              <w:rPr>
                <w:b/>
                <w:color w:val="FFFFFF" w:themeColor="background1"/>
                <w:sz w:val="18"/>
              </w:rPr>
            </w:pPr>
            <w:r w:rsidRPr="00D27ED7">
              <w:rPr>
                <w:b/>
                <w:color w:val="FFFFFF" w:themeColor="background1"/>
                <w:sz w:val="18"/>
              </w:rPr>
              <w:t>Routine</w:t>
            </w:r>
          </w:p>
          <w:p w14:paraId="7640A9C1" w14:textId="77777777" w:rsidR="00E9581B" w:rsidRPr="00FE5283" w:rsidRDefault="00E9581B" w:rsidP="00123D86">
            <w:pPr>
              <w:pStyle w:val="Tabletext"/>
              <w:rPr>
                <w:b/>
                <w:color w:val="FFFFFF" w:themeColor="background1"/>
                <w:sz w:val="18"/>
              </w:rPr>
            </w:pPr>
            <w:r w:rsidRPr="00D27ED7">
              <w:rPr>
                <w:b/>
                <w:color w:val="FFFFFF" w:themeColor="background1"/>
                <w:sz w:val="18"/>
              </w:rPr>
              <w:t>(R)</w:t>
            </w:r>
          </w:p>
        </w:tc>
        <w:tc>
          <w:tcPr>
            <w:tcW w:w="1417" w:type="dxa"/>
            <w:tcBorders>
              <w:top w:val="nil"/>
              <w:left w:val="single" w:sz="8" w:space="0" w:color="FFFFFF" w:themeColor="background1"/>
              <w:bottom w:val="single" w:sz="8" w:space="0" w:color="000000" w:themeColor="text1"/>
              <w:right w:val="single" w:sz="8" w:space="0" w:color="FFFFFF" w:themeColor="background1"/>
            </w:tcBorders>
            <w:shd w:val="clear" w:color="auto" w:fill="006DA7"/>
          </w:tcPr>
          <w:p w14:paraId="29BD3A3D" w14:textId="77777777" w:rsidR="00E9581B" w:rsidRPr="00D27ED7" w:rsidRDefault="00E9581B" w:rsidP="00123D86">
            <w:pPr>
              <w:pStyle w:val="Tabletext"/>
              <w:rPr>
                <w:b/>
                <w:color w:val="FFFFFF" w:themeColor="background1"/>
                <w:sz w:val="18"/>
              </w:rPr>
            </w:pPr>
            <w:r w:rsidRPr="00D27ED7">
              <w:rPr>
                <w:b/>
                <w:color w:val="FFFFFF" w:themeColor="background1"/>
                <w:sz w:val="18"/>
              </w:rPr>
              <w:t>Additional</w:t>
            </w:r>
          </w:p>
          <w:p w14:paraId="5B700A01" w14:textId="77777777" w:rsidR="00E9581B" w:rsidRPr="00D27ED7" w:rsidRDefault="00E9581B" w:rsidP="00123D86">
            <w:pPr>
              <w:pStyle w:val="Tabletext"/>
              <w:rPr>
                <w:b/>
                <w:color w:val="FFFFFF" w:themeColor="background1"/>
                <w:sz w:val="18"/>
              </w:rPr>
            </w:pPr>
            <w:r w:rsidRPr="00D27ED7">
              <w:rPr>
                <w:b/>
                <w:color w:val="FFFFFF" w:themeColor="background1"/>
                <w:sz w:val="18"/>
              </w:rPr>
              <w:t>(A)</w:t>
            </w:r>
          </w:p>
        </w:tc>
        <w:tc>
          <w:tcPr>
            <w:tcW w:w="1134" w:type="dxa"/>
            <w:tcBorders>
              <w:top w:val="nil"/>
              <w:left w:val="single" w:sz="8" w:space="0" w:color="FFFFFF" w:themeColor="background1"/>
              <w:right w:val="single" w:sz="8" w:space="0" w:color="FFFFFF" w:themeColor="background1"/>
            </w:tcBorders>
            <w:shd w:val="clear" w:color="auto" w:fill="006DA7"/>
          </w:tcPr>
          <w:p w14:paraId="743CAC04" w14:textId="77777777" w:rsidR="00E9581B" w:rsidRPr="00D27ED7" w:rsidRDefault="00E9581B" w:rsidP="00123D86">
            <w:pPr>
              <w:pStyle w:val="Tabletext"/>
              <w:rPr>
                <w:b/>
                <w:color w:val="FFFFFF" w:themeColor="background1"/>
                <w:sz w:val="18"/>
              </w:rPr>
            </w:pPr>
            <w:r w:rsidRPr="00D27ED7">
              <w:rPr>
                <w:b/>
                <w:color w:val="FFFFFF" w:themeColor="background1"/>
                <w:sz w:val="18"/>
              </w:rPr>
              <w:t>R</w:t>
            </w:r>
          </w:p>
        </w:tc>
        <w:tc>
          <w:tcPr>
            <w:tcW w:w="981" w:type="dxa"/>
            <w:tcBorders>
              <w:top w:val="nil"/>
              <w:left w:val="single" w:sz="8" w:space="0" w:color="FFFFFF" w:themeColor="background1"/>
            </w:tcBorders>
            <w:shd w:val="clear" w:color="auto" w:fill="006DA7"/>
          </w:tcPr>
          <w:p w14:paraId="56A0059F" w14:textId="77777777" w:rsidR="00E9581B" w:rsidRPr="00D27ED7" w:rsidRDefault="00E9581B" w:rsidP="00123D86">
            <w:pPr>
              <w:pStyle w:val="Tabletext"/>
              <w:rPr>
                <w:b/>
                <w:color w:val="FFFFFF" w:themeColor="background1"/>
                <w:sz w:val="18"/>
              </w:rPr>
            </w:pPr>
            <w:r w:rsidRPr="00D27ED7">
              <w:rPr>
                <w:b/>
                <w:color w:val="FFFFFF" w:themeColor="background1"/>
                <w:sz w:val="18"/>
              </w:rPr>
              <w:t>A</w:t>
            </w:r>
          </w:p>
        </w:tc>
      </w:tr>
      <w:tr w:rsidR="00E9581B" w:rsidRPr="004F1C07" w14:paraId="4E666323" w14:textId="77777777" w:rsidTr="00FE5283">
        <w:trPr>
          <w:trHeight w:val="137"/>
        </w:trPr>
        <w:tc>
          <w:tcPr>
            <w:tcW w:w="1710" w:type="dxa"/>
          </w:tcPr>
          <w:p w14:paraId="4B00F10C" w14:textId="77777777" w:rsidR="00E9581B" w:rsidRPr="00680101" w:rsidRDefault="00E9581B" w:rsidP="00123D86">
            <w:pPr>
              <w:pStyle w:val="Tabletext"/>
              <w:rPr>
                <w:b/>
              </w:rPr>
            </w:pPr>
            <w:r w:rsidRPr="00680101">
              <w:rPr>
                <w:b/>
              </w:rPr>
              <w:t>Important identified risks</w:t>
            </w:r>
          </w:p>
        </w:tc>
        <w:tc>
          <w:tcPr>
            <w:tcW w:w="1976" w:type="dxa"/>
          </w:tcPr>
          <w:p w14:paraId="7E2C4660" w14:textId="77777777" w:rsidR="00E9581B" w:rsidRPr="004F1C07" w:rsidRDefault="00E9581B" w:rsidP="00123D86">
            <w:pPr>
              <w:pStyle w:val="Tabletext"/>
            </w:pPr>
            <w:r>
              <w:t>None identified</w:t>
            </w:r>
          </w:p>
        </w:tc>
        <w:tc>
          <w:tcPr>
            <w:tcW w:w="1418" w:type="dxa"/>
          </w:tcPr>
          <w:p w14:paraId="0394DC19" w14:textId="77777777" w:rsidR="00E9581B" w:rsidRPr="0048783C" w:rsidRDefault="00E9581B" w:rsidP="00123D86">
            <w:pPr>
              <w:jc w:val="center"/>
              <w:rPr>
                <w:sz w:val="20"/>
                <w:szCs w:val="20"/>
              </w:rPr>
            </w:pPr>
            <w:r w:rsidRPr="0048783C">
              <w:rPr>
                <w:sz w:val="20"/>
                <w:szCs w:val="20"/>
              </w:rPr>
              <w:t>–</w:t>
            </w:r>
          </w:p>
        </w:tc>
        <w:tc>
          <w:tcPr>
            <w:tcW w:w="1417" w:type="dxa"/>
            <w:tcBorders>
              <w:right w:val="single" w:sz="8" w:space="0" w:color="000000" w:themeColor="text1"/>
            </w:tcBorders>
          </w:tcPr>
          <w:p w14:paraId="00CC4B15" w14:textId="77777777" w:rsidR="00E9581B" w:rsidRPr="0048783C" w:rsidRDefault="00E9581B" w:rsidP="00123D86">
            <w:pPr>
              <w:jc w:val="center"/>
              <w:rPr>
                <w:sz w:val="20"/>
                <w:szCs w:val="20"/>
              </w:rPr>
            </w:pPr>
            <w:r w:rsidRPr="0048783C">
              <w:rPr>
                <w:sz w:val="20"/>
                <w:szCs w:val="20"/>
              </w:rPr>
              <w:t>–</w:t>
            </w:r>
          </w:p>
        </w:tc>
        <w:tc>
          <w:tcPr>
            <w:tcW w:w="1134" w:type="dxa"/>
            <w:tcBorders>
              <w:left w:val="single" w:sz="8" w:space="0" w:color="000000" w:themeColor="text1"/>
            </w:tcBorders>
          </w:tcPr>
          <w:p w14:paraId="3869073F" w14:textId="77777777" w:rsidR="00E9581B" w:rsidRPr="0048783C" w:rsidRDefault="00E9581B" w:rsidP="00123D86">
            <w:pPr>
              <w:jc w:val="center"/>
              <w:rPr>
                <w:sz w:val="20"/>
                <w:szCs w:val="20"/>
              </w:rPr>
            </w:pPr>
            <w:r w:rsidRPr="0048783C">
              <w:rPr>
                <w:sz w:val="20"/>
                <w:szCs w:val="20"/>
              </w:rPr>
              <w:t>–</w:t>
            </w:r>
          </w:p>
        </w:tc>
        <w:tc>
          <w:tcPr>
            <w:tcW w:w="981" w:type="dxa"/>
          </w:tcPr>
          <w:p w14:paraId="3047D295" w14:textId="77777777" w:rsidR="00E9581B" w:rsidRPr="0048783C" w:rsidRDefault="00E9581B" w:rsidP="00123D86">
            <w:pPr>
              <w:jc w:val="center"/>
              <w:rPr>
                <w:sz w:val="20"/>
                <w:szCs w:val="20"/>
              </w:rPr>
            </w:pPr>
            <w:r w:rsidRPr="0048783C">
              <w:rPr>
                <w:sz w:val="20"/>
                <w:szCs w:val="20"/>
              </w:rPr>
              <w:t>–</w:t>
            </w:r>
          </w:p>
        </w:tc>
      </w:tr>
      <w:tr w:rsidR="00E9581B" w:rsidRPr="004F1C07" w14:paraId="1857C421" w14:textId="77777777" w:rsidTr="00FE5283">
        <w:trPr>
          <w:trHeight w:val="159"/>
        </w:trPr>
        <w:tc>
          <w:tcPr>
            <w:tcW w:w="1710" w:type="dxa"/>
            <w:vMerge w:val="restart"/>
          </w:tcPr>
          <w:p w14:paraId="48F61AB8" w14:textId="77777777" w:rsidR="00E9581B" w:rsidRPr="00680101" w:rsidRDefault="00E9581B" w:rsidP="00123D86">
            <w:pPr>
              <w:pStyle w:val="Tabletext"/>
              <w:rPr>
                <w:b/>
              </w:rPr>
            </w:pPr>
            <w:r w:rsidRPr="00680101">
              <w:rPr>
                <w:b/>
              </w:rPr>
              <w:t>Important potential risks</w:t>
            </w:r>
          </w:p>
        </w:tc>
        <w:tc>
          <w:tcPr>
            <w:tcW w:w="1976" w:type="dxa"/>
          </w:tcPr>
          <w:p w14:paraId="246BD8FD" w14:textId="77777777" w:rsidR="00E9581B" w:rsidRPr="004F1C07" w:rsidRDefault="00E9581B" w:rsidP="00123D86">
            <w:pPr>
              <w:pStyle w:val="Tabletext"/>
            </w:pPr>
            <w:r>
              <w:t>Severe hypersensitivity reactions</w:t>
            </w:r>
          </w:p>
        </w:tc>
        <w:tc>
          <w:tcPr>
            <w:tcW w:w="1418" w:type="dxa"/>
          </w:tcPr>
          <w:p w14:paraId="58703B13" w14:textId="77777777" w:rsidR="00E9581B" w:rsidRPr="0048783C" w:rsidRDefault="00E9581B" w:rsidP="00123D86">
            <w:pPr>
              <w:pStyle w:val="Tabletext"/>
              <w:jc w:val="center"/>
            </w:pPr>
            <w:r w:rsidRPr="0048783C">
              <w:sym w:font="Wingdings" w:char="F0FC"/>
            </w:r>
            <w:r>
              <w:rPr>
                <w:vertAlign w:val="superscript"/>
              </w:rPr>
              <w:t>1</w:t>
            </w:r>
          </w:p>
        </w:tc>
        <w:tc>
          <w:tcPr>
            <w:tcW w:w="1417" w:type="dxa"/>
          </w:tcPr>
          <w:p w14:paraId="64972795" w14:textId="77777777" w:rsidR="00E9581B" w:rsidRPr="0048783C" w:rsidRDefault="00E9581B" w:rsidP="00123D86">
            <w:pPr>
              <w:pStyle w:val="Tabletext"/>
              <w:jc w:val="center"/>
            </w:pPr>
            <w:r w:rsidRPr="0048783C">
              <w:sym w:font="Wingdings" w:char="F0FC"/>
            </w:r>
            <w:r>
              <w:rPr>
                <w:vertAlign w:val="superscript"/>
              </w:rPr>
              <w:t>2</w:t>
            </w:r>
          </w:p>
        </w:tc>
        <w:tc>
          <w:tcPr>
            <w:tcW w:w="1134" w:type="dxa"/>
          </w:tcPr>
          <w:p w14:paraId="15D67D9C" w14:textId="77777777" w:rsidR="00E9581B" w:rsidRPr="0048783C" w:rsidRDefault="00E9581B" w:rsidP="00123D86">
            <w:pPr>
              <w:pStyle w:val="Tabletext"/>
              <w:jc w:val="center"/>
            </w:pPr>
            <w:r w:rsidRPr="0048783C">
              <w:sym w:font="Wingdings" w:char="F0FC"/>
            </w:r>
          </w:p>
        </w:tc>
        <w:tc>
          <w:tcPr>
            <w:tcW w:w="981" w:type="dxa"/>
          </w:tcPr>
          <w:p w14:paraId="609D9486" w14:textId="77777777" w:rsidR="00E9581B" w:rsidRPr="0048783C" w:rsidRDefault="00E9581B" w:rsidP="00123D86">
            <w:pPr>
              <w:pStyle w:val="Tabletext"/>
              <w:jc w:val="center"/>
            </w:pPr>
            <w:r w:rsidRPr="0048783C">
              <w:t>–</w:t>
            </w:r>
          </w:p>
        </w:tc>
      </w:tr>
      <w:tr w:rsidR="00E9581B" w:rsidRPr="004F1C07" w14:paraId="601C9A3E" w14:textId="77777777" w:rsidTr="00FE5283">
        <w:trPr>
          <w:trHeight w:val="159"/>
        </w:trPr>
        <w:tc>
          <w:tcPr>
            <w:tcW w:w="1710" w:type="dxa"/>
            <w:vMerge/>
          </w:tcPr>
          <w:p w14:paraId="7A0BEB98" w14:textId="77777777" w:rsidR="00E9581B" w:rsidRPr="00680101" w:rsidRDefault="00E9581B" w:rsidP="00123D86">
            <w:pPr>
              <w:pStyle w:val="Tabletext"/>
              <w:rPr>
                <w:b/>
              </w:rPr>
            </w:pPr>
          </w:p>
        </w:tc>
        <w:tc>
          <w:tcPr>
            <w:tcW w:w="1976" w:type="dxa"/>
          </w:tcPr>
          <w:p w14:paraId="365A1C9B" w14:textId="77777777" w:rsidR="00E9581B" w:rsidRDefault="00E9581B" w:rsidP="00123D86">
            <w:pPr>
              <w:pStyle w:val="Tabletext"/>
            </w:pPr>
            <w:r>
              <w:t>Unfavourable cardiovascular outcomes in patients with pre-existing myocardial infarction, cerebrovascular accident, transient ischemic attack, angina unstable, and hypertension</w:t>
            </w:r>
          </w:p>
        </w:tc>
        <w:tc>
          <w:tcPr>
            <w:tcW w:w="1418" w:type="dxa"/>
          </w:tcPr>
          <w:p w14:paraId="3A083FD9" w14:textId="77777777" w:rsidR="00E9581B" w:rsidRPr="00420645" w:rsidRDefault="00E9581B" w:rsidP="00123D86">
            <w:pPr>
              <w:pStyle w:val="Tabletext"/>
              <w:jc w:val="center"/>
              <w:rPr>
                <w:vertAlign w:val="superscript"/>
              </w:rPr>
            </w:pPr>
            <w:r w:rsidRPr="0048783C">
              <w:sym w:font="Wingdings" w:char="F0FC"/>
            </w:r>
            <w:r>
              <w:rPr>
                <w:vertAlign w:val="superscript"/>
              </w:rPr>
              <w:t>1</w:t>
            </w:r>
          </w:p>
        </w:tc>
        <w:tc>
          <w:tcPr>
            <w:tcW w:w="1417" w:type="dxa"/>
          </w:tcPr>
          <w:p w14:paraId="698643FE" w14:textId="77777777" w:rsidR="00E9581B" w:rsidRPr="00420645" w:rsidRDefault="00E9581B" w:rsidP="00123D86">
            <w:pPr>
              <w:pStyle w:val="Tabletext"/>
              <w:jc w:val="center"/>
              <w:rPr>
                <w:vertAlign w:val="superscript"/>
              </w:rPr>
            </w:pPr>
            <w:r w:rsidRPr="0048783C">
              <w:sym w:font="Wingdings" w:char="F0FC"/>
            </w:r>
            <w:r>
              <w:rPr>
                <w:vertAlign w:val="superscript"/>
              </w:rPr>
              <w:t>3</w:t>
            </w:r>
          </w:p>
        </w:tc>
        <w:tc>
          <w:tcPr>
            <w:tcW w:w="1134" w:type="dxa"/>
          </w:tcPr>
          <w:p w14:paraId="5EEB5125" w14:textId="77777777" w:rsidR="00E9581B" w:rsidRPr="0048783C" w:rsidRDefault="00E9581B" w:rsidP="00123D86">
            <w:pPr>
              <w:pStyle w:val="Tabletext"/>
              <w:jc w:val="center"/>
            </w:pPr>
            <w:r w:rsidRPr="0048783C">
              <w:sym w:font="Wingdings" w:char="F0FC"/>
            </w:r>
          </w:p>
        </w:tc>
        <w:tc>
          <w:tcPr>
            <w:tcW w:w="981" w:type="dxa"/>
          </w:tcPr>
          <w:p w14:paraId="0494EB89" w14:textId="77777777" w:rsidR="00E9581B" w:rsidRPr="0048783C" w:rsidRDefault="00E9581B" w:rsidP="00123D86">
            <w:pPr>
              <w:pStyle w:val="Tabletext"/>
              <w:jc w:val="center"/>
            </w:pPr>
            <w:r w:rsidRPr="0048783C">
              <w:t>–</w:t>
            </w:r>
          </w:p>
        </w:tc>
      </w:tr>
      <w:tr w:rsidR="00E9581B" w:rsidRPr="004F1C07" w14:paraId="46624593" w14:textId="77777777" w:rsidTr="00FE5283">
        <w:trPr>
          <w:trHeight w:val="178"/>
        </w:trPr>
        <w:tc>
          <w:tcPr>
            <w:tcW w:w="1710" w:type="dxa"/>
            <w:vMerge w:val="restart"/>
          </w:tcPr>
          <w:p w14:paraId="4456348F" w14:textId="77777777" w:rsidR="00E9581B" w:rsidRPr="00680101" w:rsidRDefault="00E9581B" w:rsidP="00123D86">
            <w:pPr>
              <w:pStyle w:val="Tabletext"/>
              <w:rPr>
                <w:b/>
              </w:rPr>
            </w:pPr>
            <w:r w:rsidRPr="00680101">
              <w:rPr>
                <w:b/>
              </w:rPr>
              <w:t>Missing information</w:t>
            </w:r>
          </w:p>
        </w:tc>
        <w:tc>
          <w:tcPr>
            <w:tcW w:w="1976" w:type="dxa"/>
          </w:tcPr>
          <w:p w14:paraId="3A2B2B57" w14:textId="77777777" w:rsidR="00E9581B" w:rsidRPr="004F1C07" w:rsidRDefault="00E9581B" w:rsidP="00123D86">
            <w:pPr>
              <w:pStyle w:val="Tabletext"/>
            </w:pPr>
            <w:r>
              <w:t xml:space="preserve">Long-term safety </w:t>
            </w:r>
          </w:p>
        </w:tc>
        <w:tc>
          <w:tcPr>
            <w:tcW w:w="1418" w:type="dxa"/>
          </w:tcPr>
          <w:p w14:paraId="252A76D5" w14:textId="77777777" w:rsidR="00E9581B" w:rsidRPr="0048783C" w:rsidRDefault="00E9581B" w:rsidP="00123D86">
            <w:pPr>
              <w:pStyle w:val="Tabletext"/>
              <w:jc w:val="center"/>
            </w:pPr>
            <w:r w:rsidRPr="0048783C">
              <w:sym w:font="Wingdings" w:char="F0FC"/>
            </w:r>
          </w:p>
        </w:tc>
        <w:tc>
          <w:tcPr>
            <w:tcW w:w="1417" w:type="dxa"/>
          </w:tcPr>
          <w:p w14:paraId="691D9521" w14:textId="77777777" w:rsidR="00E9581B" w:rsidRPr="0048783C" w:rsidRDefault="00E9581B" w:rsidP="00123D86">
            <w:pPr>
              <w:pStyle w:val="Tabletext"/>
              <w:jc w:val="center"/>
            </w:pPr>
            <w:r w:rsidRPr="0048783C">
              <w:sym w:font="Wingdings" w:char="F0FC"/>
            </w:r>
            <w:r>
              <w:rPr>
                <w:vertAlign w:val="superscript"/>
              </w:rPr>
              <w:t>2</w:t>
            </w:r>
          </w:p>
        </w:tc>
        <w:tc>
          <w:tcPr>
            <w:tcW w:w="1134" w:type="dxa"/>
          </w:tcPr>
          <w:p w14:paraId="2EEF0555" w14:textId="77777777" w:rsidR="00E9581B" w:rsidRPr="0048783C" w:rsidRDefault="00E9581B" w:rsidP="00123D86">
            <w:pPr>
              <w:pStyle w:val="Tabletext"/>
              <w:jc w:val="center"/>
            </w:pPr>
            <w:r w:rsidRPr="0048783C">
              <w:sym w:font="Wingdings" w:char="F0FC"/>
            </w:r>
          </w:p>
        </w:tc>
        <w:tc>
          <w:tcPr>
            <w:tcW w:w="981" w:type="dxa"/>
          </w:tcPr>
          <w:p w14:paraId="22AC4866" w14:textId="77777777" w:rsidR="00E9581B" w:rsidRPr="0048783C" w:rsidRDefault="00E9581B" w:rsidP="00123D86">
            <w:pPr>
              <w:pStyle w:val="Tabletext"/>
              <w:jc w:val="center"/>
            </w:pPr>
            <w:r w:rsidRPr="0048783C">
              <w:t>–</w:t>
            </w:r>
          </w:p>
        </w:tc>
      </w:tr>
      <w:tr w:rsidR="00E9581B" w:rsidRPr="004F1C07" w14:paraId="2A87322B" w14:textId="77777777" w:rsidTr="00FE5283">
        <w:trPr>
          <w:trHeight w:val="103"/>
        </w:trPr>
        <w:tc>
          <w:tcPr>
            <w:tcW w:w="1710" w:type="dxa"/>
            <w:vMerge/>
          </w:tcPr>
          <w:p w14:paraId="4313EE0C" w14:textId="77777777" w:rsidR="00E9581B" w:rsidRPr="004F1C07" w:rsidRDefault="00E9581B" w:rsidP="00123D86">
            <w:pPr>
              <w:pStyle w:val="Tabletext"/>
            </w:pPr>
          </w:p>
        </w:tc>
        <w:tc>
          <w:tcPr>
            <w:tcW w:w="1976" w:type="dxa"/>
          </w:tcPr>
          <w:p w14:paraId="6EA00D6F" w14:textId="77777777" w:rsidR="00E9581B" w:rsidRDefault="00E9581B" w:rsidP="00123D86">
            <w:pPr>
              <w:pStyle w:val="Tabletext"/>
            </w:pPr>
            <w:r>
              <w:t>Use in pregnant women</w:t>
            </w:r>
          </w:p>
          <w:p w14:paraId="0D305BAE" w14:textId="77777777" w:rsidR="00E9581B" w:rsidRPr="004F1C07" w:rsidRDefault="00E9581B" w:rsidP="00123D86">
            <w:pPr>
              <w:pStyle w:val="Tabletext"/>
            </w:pPr>
            <w:r>
              <w:t>(including those at risk of pre‐eclampsia)</w:t>
            </w:r>
          </w:p>
        </w:tc>
        <w:tc>
          <w:tcPr>
            <w:tcW w:w="1418" w:type="dxa"/>
          </w:tcPr>
          <w:p w14:paraId="1339DB89" w14:textId="77777777" w:rsidR="00E9581B" w:rsidRPr="0048783C" w:rsidRDefault="00E9581B" w:rsidP="00123D86">
            <w:pPr>
              <w:pStyle w:val="Tabletext"/>
              <w:jc w:val="center"/>
            </w:pPr>
            <w:r w:rsidRPr="0048783C">
              <w:sym w:font="Wingdings" w:char="F0FC"/>
            </w:r>
            <w:r>
              <w:rPr>
                <w:vertAlign w:val="superscript"/>
              </w:rPr>
              <w:t>1</w:t>
            </w:r>
          </w:p>
        </w:tc>
        <w:tc>
          <w:tcPr>
            <w:tcW w:w="1417" w:type="dxa"/>
          </w:tcPr>
          <w:p w14:paraId="2DA7C886" w14:textId="77777777" w:rsidR="00E9581B" w:rsidRPr="0048783C" w:rsidRDefault="00E9581B" w:rsidP="00123D86">
            <w:pPr>
              <w:jc w:val="center"/>
              <w:rPr>
                <w:sz w:val="20"/>
                <w:szCs w:val="20"/>
              </w:rPr>
            </w:pPr>
            <w:r w:rsidRPr="0048783C">
              <w:sym w:font="Wingdings" w:char="F0FC"/>
            </w:r>
            <w:r>
              <w:rPr>
                <w:vertAlign w:val="superscript"/>
              </w:rPr>
              <w:t>3</w:t>
            </w:r>
          </w:p>
        </w:tc>
        <w:tc>
          <w:tcPr>
            <w:tcW w:w="1134" w:type="dxa"/>
          </w:tcPr>
          <w:p w14:paraId="18C48789" w14:textId="77777777" w:rsidR="00E9581B" w:rsidRPr="0048783C" w:rsidRDefault="00E9581B" w:rsidP="00123D86">
            <w:pPr>
              <w:pStyle w:val="Tabletext"/>
              <w:jc w:val="center"/>
            </w:pPr>
            <w:r w:rsidRPr="0048783C">
              <w:sym w:font="Wingdings" w:char="F0FC"/>
            </w:r>
          </w:p>
        </w:tc>
        <w:tc>
          <w:tcPr>
            <w:tcW w:w="981" w:type="dxa"/>
          </w:tcPr>
          <w:p w14:paraId="469057DA" w14:textId="77777777" w:rsidR="00E9581B" w:rsidRPr="0048783C" w:rsidRDefault="00E9581B" w:rsidP="00123D86">
            <w:pPr>
              <w:jc w:val="center"/>
              <w:rPr>
                <w:sz w:val="20"/>
                <w:szCs w:val="20"/>
              </w:rPr>
            </w:pPr>
            <w:r w:rsidRPr="0048783C">
              <w:rPr>
                <w:sz w:val="20"/>
                <w:szCs w:val="20"/>
              </w:rPr>
              <w:t>–</w:t>
            </w:r>
          </w:p>
        </w:tc>
      </w:tr>
    </w:tbl>
    <w:p w14:paraId="1F9C6BA6" w14:textId="77777777" w:rsidR="00E9581B" w:rsidRPr="00420645" w:rsidRDefault="00E9581B" w:rsidP="00E9581B">
      <w:pPr>
        <w:pStyle w:val="TableDescription"/>
      </w:pPr>
      <w:r w:rsidRPr="00420645">
        <w:rPr>
          <w:vertAlign w:val="superscript"/>
        </w:rPr>
        <w:t xml:space="preserve">1 </w:t>
      </w:r>
      <w:r w:rsidRPr="00420645">
        <w:t>Follow up questionnaire</w:t>
      </w:r>
    </w:p>
    <w:p w14:paraId="4EDA727B" w14:textId="77777777" w:rsidR="00E9581B" w:rsidRPr="00420645" w:rsidRDefault="00E9581B" w:rsidP="00E9581B">
      <w:pPr>
        <w:pStyle w:val="TableDescription"/>
      </w:pPr>
      <w:r w:rsidRPr="00687DBD">
        <w:rPr>
          <w:vertAlign w:val="superscript"/>
        </w:rPr>
        <w:t>2</w:t>
      </w:r>
      <w:r>
        <w:rPr>
          <w:vertAlign w:val="superscript"/>
        </w:rPr>
        <w:t xml:space="preserve"> </w:t>
      </w:r>
      <w:r w:rsidRPr="00420645">
        <w:t>Post authorisation safety study TV48125-CNS-30051 (ongoing)</w:t>
      </w:r>
    </w:p>
    <w:p w14:paraId="2D66B4D9" w14:textId="77777777" w:rsidR="00E9581B" w:rsidRPr="00420645" w:rsidRDefault="00E9581B" w:rsidP="00E9581B">
      <w:pPr>
        <w:pStyle w:val="TableDescription"/>
      </w:pPr>
      <w:r w:rsidRPr="00687DBD">
        <w:rPr>
          <w:vertAlign w:val="superscript"/>
        </w:rPr>
        <w:t>3</w:t>
      </w:r>
      <w:r>
        <w:rPr>
          <w:vertAlign w:val="superscript"/>
        </w:rPr>
        <w:t xml:space="preserve"> </w:t>
      </w:r>
      <w:r w:rsidRPr="00420645">
        <w:t>Post authorisation safety study (planned)</w:t>
      </w:r>
    </w:p>
    <w:p w14:paraId="5834AC57" w14:textId="7694E62F" w:rsidR="00E9581B" w:rsidRPr="007713AF" w:rsidRDefault="00663520" w:rsidP="00E9581B">
      <w:r>
        <w:t>Ajovy is</w:t>
      </w:r>
      <w:r w:rsidR="00E9581B" w:rsidRPr="007713AF">
        <w:t xml:space="preserve"> a new biological entity, and as such meets the inclusion criteria for the Black Triangle Scheme. The relevant warning symbol and statements are included in the supplied PI, </w:t>
      </w:r>
      <w:r w:rsidR="00123D86">
        <w:t>Consumer Medicine Information (</w:t>
      </w:r>
      <w:r w:rsidR="00E9581B" w:rsidRPr="007713AF">
        <w:t>CMI</w:t>
      </w:r>
      <w:r w:rsidR="00123D86">
        <w:t>)</w:t>
      </w:r>
      <w:r w:rsidR="00E9581B" w:rsidRPr="007713AF">
        <w:t xml:space="preserve"> and Instructions for Use leaflet. All these risk minimisation materials will be included as a package insert in the primary carton.</w:t>
      </w:r>
    </w:p>
    <w:p w14:paraId="77C478B1" w14:textId="5443E442" w:rsidR="00E9581B" w:rsidRPr="007713AF" w:rsidRDefault="00E9581B" w:rsidP="00E9581B">
      <w:r w:rsidRPr="007713AF">
        <w:t xml:space="preserve">Patients eligible for self-administration will be trained by their doctor or nurse </w:t>
      </w:r>
      <w:r w:rsidR="00E85F62">
        <w:t xml:space="preserve">as </w:t>
      </w:r>
      <w:r w:rsidRPr="007713AF">
        <w:t xml:space="preserve">per the agreed PI. The CMI and </w:t>
      </w:r>
      <w:r>
        <w:t>‘</w:t>
      </w:r>
      <w:r w:rsidRPr="007713AF">
        <w:rPr>
          <w:i/>
        </w:rPr>
        <w:t>Instructions for Use</w:t>
      </w:r>
      <w:r>
        <w:t>’</w:t>
      </w:r>
      <w:r w:rsidRPr="007713AF">
        <w:t xml:space="preserve"> guide warns patients of self-administration without training. Together with the pre-filled syringe, the outpatient is to have access to an injection training video.</w:t>
      </w:r>
    </w:p>
    <w:p w14:paraId="47571E81" w14:textId="77777777" w:rsidR="00E9581B" w:rsidRDefault="00E9581B" w:rsidP="00E9581B">
      <w:pPr>
        <w:pStyle w:val="Heading3"/>
      </w:pPr>
      <w:bookmarkStart w:id="62" w:name="_Toc247691531"/>
      <w:bookmarkStart w:id="63" w:name="_Toc314842515"/>
      <w:bookmarkStart w:id="64" w:name="_Toc22051389"/>
      <w:bookmarkStart w:id="65" w:name="_Toc27745216"/>
      <w:bookmarkStart w:id="66" w:name="_Toc196046505"/>
      <w:bookmarkStart w:id="67" w:name="_Toc196046949"/>
      <w:r>
        <w:t>Risk-benefit analysis</w:t>
      </w:r>
      <w:bookmarkEnd w:id="62"/>
      <w:bookmarkEnd w:id="63"/>
      <w:bookmarkEnd w:id="64"/>
      <w:bookmarkEnd w:id="65"/>
    </w:p>
    <w:p w14:paraId="743A0C9B" w14:textId="77777777" w:rsidR="00E9581B" w:rsidRDefault="00E9581B" w:rsidP="00E9581B">
      <w:pPr>
        <w:pStyle w:val="Heading4"/>
      </w:pPr>
      <w:r>
        <w:t>Delegate’s considerations</w:t>
      </w:r>
    </w:p>
    <w:p w14:paraId="72029D07" w14:textId="6D21F4F1" w:rsidR="00E9581B" w:rsidRDefault="00E9581B" w:rsidP="00E9581B">
      <w:r w:rsidRPr="00FC670A">
        <w:t xml:space="preserve">Overall, </w:t>
      </w:r>
      <w:r w:rsidR="00B76F40" w:rsidRPr="00FC670A">
        <w:t>the pharmacokinetics</w:t>
      </w:r>
      <w:r w:rsidRPr="00FC670A">
        <w:t xml:space="preserve"> of fremanezumab have been adequately characterised by the sponsor and closely resemble the </w:t>
      </w:r>
      <w:r w:rsidR="00663520">
        <w:t>PK</w:t>
      </w:r>
      <w:r w:rsidR="00663520" w:rsidRPr="009C5F3F">
        <w:t xml:space="preserve"> </w:t>
      </w:r>
      <w:r w:rsidRPr="009C5F3F">
        <w:t xml:space="preserve">of other IgG </w:t>
      </w:r>
      <w:r w:rsidR="00663520">
        <w:t>mAbs</w:t>
      </w:r>
      <w:r w:rsidRPr="00FC670A">
        <w:rPr>
          <w:lang w:eastAsia="ja-JP"/>
        </w:rPr>
        <w:t xml:space="preserve">. </w:t>
      </w:r>
      <w:r w:rsidRPr="00FC670A">
        <w:t xml:space="preserve">ADA directed against fremanezumab appear to have a minor effect on the </w:t>
      </w:r>
      <w:r w:rsidR="00663520">
        <w:t>PK</w:t>
      </w:r>
      <w:r w:rsidR="00663520" w:rsidRPr="00FC670A">
        <w:t xml:space="preserve"> </w:t>
      </w:r>
      <w:r w:rsidRPr="00FC670A">
        <w:t>of fremanezumab (reducing exposure,) but the effect is unlikely to be clinically important.</w:t>
      </w:r>
    </w:p>
    <w:p w14:paraId="694F0628" w14:textId="312F8F26" w:rsidR="00E9581B" w:rsidRDefault="00E9581B" w:rsidP="00E9581B">
      <w:pPr>
        <w:rPr>
          <w:lang w:eastAsia="ja-JP"/>
        </w:rPr>
      </w:pPr>
      <w:r>
        <w:rPr>
          <w:lang w:eastAsia="ja-JP"/>
        </w:rPr>
        <w:t xml:space="preserve">Two pivotal studies were well designed, one performed in episodic migraine </w:t>
      </w:r>
      <w:r w:rsidRPr="00062723">
        <w:rPr>
          <w:lang w:eastAsia="ja-JP"/>
        </w:rPr>
        <w:t>(</w:t>
      </w:r>
      <w:r w:rsidRPr="00062723">
        <w:t>&lt;</w:t>
      </w:r>
      <w:r w:rsidR="00663520">
        <w:t> </w:t>
      </w:r>
      <w:r w:rsidRPr="00062723">
        <w:t>15</w:t>
      </w:r>
      <w:r w:rsidR="00663520">
        <w:t> </w:t>
      </w:r>
      <w:r>
        <w:t>headache days</w:t>
      </w:r>
      <w:r w:rsidRPr="00062723">
        <w:t xml:space="preserve"> /month</w:t>
      </w:r>
      <w:r>
        <w:rPr>
          <w:lang w:eastAsia="ja-JP"/>
        </w:rPr>
        <w:t xml:space="preserve"> at </w:t>
      </w:r>
      <w:r w:rsidR="00663520">
        <w:rPr>
          <w:lang w:eastAsia="ja-JP"/>
        </w:rPr>
        <w:t>B</w:t>
      </w:r>
      <w:r>
        <w:rPr>
          <w:lang w:eastAsia="ja-JP"/>
        </w:rPr>
        <w:t>aseline) and one performed in ‘chronic’ migraine (</w:t>
      </w:r>
      <w:r w:rsidRPr="00062723">
        <w:t>≥</w:t>
      </w:r>
      <w:r>
        <w:t xml:space="preserve"> </w:t>
      </w:r>
      <w:r>
        <w:rPr>
          <w:lang w:eastAsia="ja-JP"/>
        </w:rPr>
        <w:t xml:space="preserve">15 </w:t>
      </w:r>
      <w:r w:rsidR="007343CB">
        <w:rPr>
          <w:lang w:eastAsia="ja-JP"/>
        </w:rPr>
        <w:lastRenderedPageBreak/>
        <w:t xml:space="preserve">headache day </w:t>
      </w:r>
      <w:r>
        <w:rPr>
          <w:lang w:eastAsia="ja-JP"/>
        </w:rPr>
        <w:t xml:space="preserve">per month at </w:t>
      </w:r>
      <w:r w:rsidR="00663520">
        <w:rPr>
          <w:lang w:eastAsia="ja-JP"/>
        </w:rPr>
        <w:t>B</w:t>
      </w:r>
      <w:r>
        <w:rPr>
          <w:lang w:eastAsia="ja-JP"/>
        </w:rPr>
        <w:t xml:space="preserve">aseline). </w:t>
      </w:r>
      <w:r>
        <w:t xml:space="preserve">In the pivotal </w:t>
      </w:r>
      <w:r w:rsidR="00E85F62">
        <w:t>studies,</w:t>
      </w:r>
      <w:r>
        <w:t xml:space="preserve"> dosing regimen and administration instructions was the same as that in the proposed PI and CMI with the exception of 675 mg loading dose used in </w:t>
      </w:r>
      <w:r w:rsidR="00663520">
        <w:t>the chronic migraine</w:t>
      </w:r>
      <w:r>
        <w:t xml:space="preserve"> study. </w:t>
      </w:r>
      <w:r>
        <w:rPr>
          <w:lang w:eastAsia="ja-JP"/>
        </w:rPr>
        <w:t>Both studies compared fremanezumab 225 mg/month and 675 quarterly</w:t>
      </w:r>
      <w:r>
        <w:t xml:space="preserve"> </w:t>
      </w:r>
      <w:r>
        <w:rPr>
          <w:lang w:eastAsia="ja-JP"/>
        </w:rPr>
        <w:t>with placebo, and both studies demonstrated a clinically modest reduction in</w:t>
      </w:r>
      <w:r w:rsidR="004E27C2">
        <w:rPr>
          <w:lang w:eastAsia="ja-JP"/>
        </w:rPr>
        <w:t xml:space="preserve"> </w:t>
      </w:r>
      <w:r w:rsidR="007343CB">
        <w:rPr>
          <w:lang w:eastAsia="ja-JP"/>
        </w:rPr>
        <w:t>migraine and/or headache days</w:t>
      </w:r>
      <w:r>
        <w:rPr>
          <w:lang w:eastAsia="ja-JP"/>
        </w:rPr>
        <w:t>. The results were consistent across a range of secondary endpoints, including response rates and quality of life measures.</w:t>
      </w:r>
    </w:p>
    <w:p w14:paraId="17AC2D09" w14:textId="22E03177" w:rsidR="00E9581B" w:rsidRDefault="00E9581B" w:rsidP="00E9581B">
      <w:r>
        <w:t xml:space="preserve">Injections sites in the clinical trials included the </w:t>
      </w:r>
      <w:r w:rsidRPr="005D004F">
        <w:t>abdomen, arm</w:t>
      </w:r>
      <w:r w:rsidR="00136876">
        <w:t xml:space="preserve"> and</w:t>
      </w:r>
      <w:r w:rsidRPr="005D004F">
        <w:t xml:space="preserve"> thigh</w:t>
      </w:r>
      <w:r>
        <w:t>. The sponsor did not test whether absorption from these sites was equivalent but the drug has a relatively flat dose response relationship within the proposed dose range and minor variations in absorption related to the site of administration are not expected to be clinically important.</w:t>
      </w:r>
    </w:p>
    <w:p w14:paraId="43487974" w14:textId="3E5EDF4A" w:rsidR="00E9581B" w:rsidRPr="006823A3" w:rsidRDefault="00E9581B" w:rsidP="00E9581B">
      <w:pPr>
        <w:rPr>
          <w:lang w:eastAsia="ja-JP"/>
        </w:rPr>
      </w:pPr>
      <w:r w:rsidRPr="007713AF">
        <w:rPr>
          <w:lang w:eastAsia="ja-JP"/>
        </w:rPr>
        <w:t xml:space="preserve">As a new </w:t>
      </w:r>
      <w:r w:rsidR="006343F6">
        <w:rPr>
          <w:lang w:eastAsia="ja-JP"/>
        </w:rPr>
        <w:t>biological</w:t>
      </w:r>
      <w:r w:rsidR="00920A73" w:rsidRPr="007713AF">
        <w:rPr>
          <w:lang w:eastAsia="ja-JP"/>
        </w:rPr>
        <w:t xml:space="preserve"> </w:t>
      </w:r>
      <w:r w:rsidRPr="007713AF">
        <w:rPr>
          <w:lang w:eastAsia="ja-JP"/>
        </w:rPr>
        <w:t>entity, fremanezumab is not known to be associated with any substantial safety issues so far, but its safety has not yet been fully characterised</w:t>
      </w:r>
      <w:r w:rsidR="00B76F40">
        <w:rPr>
          <w:lang w:eastAsia="ja-JP"/>
        </w:rPr>
        <w:t>;</w:t>
      </w:r>
      <w:r w:rsidRPr="007713AF">
        <w:rPr>
          <w:lang w:eastAsia="ja-JP"/>
        </w:rPr>
        <w:t xml:space="preserve"> notably in patients with cardiovascular risk factors and aged </w:t>
      </w:r>
      <w:r w:rsidR="00663520">
        <w:rPr>
          <w:lang w:eastAsia="ja-JP"/>
        </w:rPr>
        <w:t>≥</w:t>
      </w:r>
      <w:r w:rsidRPr="007713AF">
        <w:rPr>
          <w:lang w:eastAsia="ja-JP"/>
        </w:rPr>
        <w:t xml:space="preserve"> 65 years. Similarly, the long</w:t>
      </w:r>
      <w:r w:rsidR="00663520">
        <w:rPr>
          <w:lang w:eastAsia="ja-JP"/>
        </w:rPr>
        <w:noBreakHyphen/>
      </w:r>
      <w:r w:rsidRPr="007713AF">
        <w:rPr>
          <w:lang w:eastAsia="ja-JP"/>
        </w:rPr>
        <w:t>term safety in subjects &lt;</w:t>
      </w:r>
      <w:r w:rsidR="00663520">
        <w:rPr>
          <w:lang w:eastAsia="ja-JP"/>
        </w:rPr>
        <w:t xml:space="preserve"> </w:t>
      </w:r>
      <w:r w:rsidRPr="007713AF">
        <w:rPr>
          <w:lang w:eastAsia="ja-JP"/>
        </w:rPr>
        <w:t>18 years or &gt;</w:t>
      </w:r>
      <w:r w:rsidR="00663520">
        <w:rPr>
          <w:lang w:eastAsia="ja-JP"/>
        </w:rPr>
        <w:t xml:space="preserve"> </w:t>
      </w:r>
      <w:r w:rsidRPr="007713AF">
        <w:rPr>
          <w:lang w:eastAsia="ja-JP"/>
        </w:rPr>
        <w:t>65 years, and in pregnancy and lactation has not been fully characterised as pivotal studies enrolled young, healthy, female patients, and excluded patients older than 70 years and those with significant cardiovascular disease.</w:t>
      </w:r>
    </w:p>
    <w:p w14:paraId="4E68200C" w14:textId="58A8F1E3" w:rsidR="00E9581B" w:rsidRPr="007713AF" w:rsidRDefault="00E9581B" w:rsidP="00E9581B">
      <w:pPr>
        <w:rPr>
          <w:lang w:eastAsia="ja-JP"/>
        </w:rPr>
      </w:pPr>
      <w:r w:rsidRPr="007713AF">
        <w:rPr>
          <w:lang w:eastAsia="ja-JP"/>
        </w:rPr>
        <w:t xml:space="preserve">The most frequent </w:t>
      </w:r>
      <w:r w:rsidR="00663520">
        <w:rPr>
          <w:lang w:eastAsia="ja-JP"/>
        </w:rPr>
        <w:t>AE</w:t>
      </w:r>
      <w:r w:rsidRPr="007713AF">
        <w:rPr>
          <w:lang w:eastAsia="ja-JP"/>
        </w:rPr>
        <w:t xml:space="preserve"> in controlled clinical trials was injection site reaction (about 45% in fremanezumab-treated patients vs. 38% on placebo). A few cases of hypersensitivity reactions, including rash, pruritus, drug hypersensitivity, urticaria, and angioedema, were reported in patients treated with fremanezumab. Most reactions were mild to moderate, but some led to discontinuation or required corticosteroid treatment.</w:t>
      </w:r>
    </w:p>
    <w:p w14:paraId="0BA23C16" w14:textId="64546515" w:rsidR="00E9581B" w:rsidRPr="007713AF" w:rsidRDefault="00E9581B" w:rsidP="00E9581B">
      <w:pPr>
        <w:rPr>
          <w:lang w:eastAsia="ja-JP"/>
        </w:rPr>
      </w:pPr>
      <w:r w:rsidRPr="007713AF">
        <w:rPr>
          <w:lang w:eastAsia="ja-JP"/>
        </w:rPr>
        <w:t>There are theoretical concerns that interfering with CGRP could modify processes relevant to protection against ischaemia, increasing the risk of cardiovascular events. No evidence of this emerged in the submitted studies; nevertheless, subjects with a strong history of cardiovascular events were excluded.</w:t>
      </w:r>
    </w:p>
    <w:p w14:paraId="69E7D5A8" w14:textId="14B6CBBF" w:rsidR="00E9581B" w:rsidRPr="007713AF" w:rsidRDefault="00E9581B" w:rsidP="00684087">
      <w:r w:rsidRPr="007713AF">
        <w:t xml:space="preserve">The safety of fremanezumab in combination with other agents </w:t>
      </w:r>
      <w:r w:rsidR="00684087">
        <w:t xml:space="preserve">targeting the </w:t>
      </w:r>
      <w:r w:rsidRPr="007713AF">
        <w:t xml:space="preserve">CGRP </w:t>
      </w:r>
      <w:r w:rsidR="00684087">
        <w:t xml:space="preserve">pathway </w:t>
      </w:r>
      <w:r w:rsidRPr="007713AF">
        <w:t xml:space="preserve">is not characterised. There is also no data on combination of botulinum toxin A or B with </w:t>
      </w:r>
      <w:r>
        <w:t>f</w:t>
      </w:r>
      <w:r w:rsidRPr="007713AF">
        <w:t>remanezumab.</w:t>
      </w:r>
    </w:p>
    <w:p w14:paraId="7DFC7AAC" w14:textId="77777777" w:rsidR="00E9581B" w:rsidRPr="007713AF" w:rsidRDefault="00E9581B" w:rsidP="00E9581B">
      <w:pPr>
        <w:rPr>
          <w:lang w:eastAsia="ja-JP"/>
        </w:rPr>
      </w:pPr>
      <w:r w:rsidRPr="007713AF">
        <w:rPr>
          <w:lang w:eastAsia="ja-JP"/>
        </w:rPr>
        <w:t xml:space="preserve">The recently registered </w:t>
      </w:r>
      <w:r>
        <w:rPr>
          <w:lang w:eastAsia="ja-JP"/>
        </w:rPr>
        <w:t xml:space="preserve">similar class drugs, </w:t>
      </w:r>
      <w:r w:rsidRPr="007713AF">
        <w:rPr>
          <w:lang w:eastAsia="ja-JP"/>
        </w:rPr>
        <w:t>erenumab and galcanezumab, ha</w:t>
      </w:r>
      <w:r>
        <w:rPr>
          <w:lang w:eastAsia="ja-JP"/>
        </w:rPr>
        <w:t>ve</w:t>
      </w:r>
      <w:r w:rsidRPr="007713AF">
        <w:rPr>
          <w:lang w:eastAsia="ja-JP"/>
        </w:rPr>
        <w:t xml:space="preserve"> a safety profile that appears to be broadly acceptable, with no major safety warnings, although the safety of erenumab and galcanezumab (like fremanezumab) has not been assessed in the setting of pregnancy, lactation or advanced age.</w:t>
      </w:r>
    </w:p>
    <w:p w14:paraId="59FB2739" w14:textId="727F0B8D" w:rsidR="00E9581B" w:rsidRPr="007713AF" w:rsidRDefault="00E9581B" w:rsidP="00E9581B">
      <w:pPr>
        <w:rPr>
          <w:rFonts w:asciiTheme="minorHAnsi" w:hAnsiTheme="minorHAnsi"/>
        </w:rPr>
      </w:pPr>
      <w:r w:rsidRPr="007713AF">
        <w:t>G</w:t>
      </w:r>
      <w:r w:rsidRPr="007713AF">
        <w:rPr>
          <w:rFonts w:asciiTheme="minorHAnsi" w:hAnsiTheme="minorHAnsi"/>
        </w:rPr>
        <w:t xml:space="preserve">iven the benefits from treatment are highly variable in a condition which also varies in severity over time without therapeutic intervention, it is reasonable that patients with chronic migraine should not continue with fremanezumab if they do not have a least a </w:t>
      </w:r>
      <w:r w:rsidRPr="00FC670A">
        <w:rPr>
          <w:rFonts w:asciiTheme="minorHAnsi" w:hAnsiTheme="minorHAnsi"/>
        </w:rPr>
        <w:t xml:space="preserve">reduction of 2 days in their monthly migraine day frequency after a trial. Current </w:t>
      </w:r>
      <w:r w:rsidRPr="009C5F3F">
        <w:rPr>
          <w:rFonts w:asciiTheme="minorHAnsi" w:hAnsiTheme="minorHAnsi"/>
        </w:rPr>
        <w:t xml:space="preserve">Australian guidelines for treatment trials for migraine prophylaxis treatment recommend a trial of 8 to 12 weeks. This should also apply to fremanezumab. The Delegate also notes that </w:t>
      </w:r>
      <w:r w:rsidR="00920A73" w:rsidRPr="009C5F3F">
        <w:rPr>
          <w:rFonts w:asciiTheme="minorHAnsi" w:hAnsiTheme="minorHAnsi"/>
        </w:rPr>
        <w:t xml:space="preserve">only small number of patients </w:t>
      </w:r>
      <w:r w:rsidRPr="009C5F3F">
        <w:rPr>
          <w:rFonts w:asciiTheme="minorHAnsi" w:hAnsiTheme="minorHAnsi"/>
        </w:rPr>
        <w:t xml:space="preserve">has been re-exposed after fremanezumab treatment </w:t>
      </w:r>
      <w:r w:rsidRPr="00FC670A">
        <w:rPr>
          <w:rFonts w:asciiTheme="minorHAnsi" w:hAnsiTheme="minorHAnsi"/>
        </w:rPr>
        <w:t xml:space="preserve">migraine </w:t>
      </w:r>
      <w:r w:rsidR="00920A73" w:rsidRPr="00FC670A">
        <w:rPr>
          <w:rFonts w:asciiTheme="minorHAnsi" w:hAnsiTheme="minorHAnsi"/>
        </w:rPr>
        <w:t xml:space="preserve">studies. These were patients who finished </w:t>
      </w:r>
      <w:r w:rsidR="00BA5005" w:rsidRPr="00FC670A">
        <w:rPr>
          <w:rFonts w:asciiTheme="minorHAnsi" w:hAnsiTheme="minorHAnsi"/>
        </w:rPr>
        <w:t>P</w:t>
      </w:r>
      <w:r w:rsidR="00920A73" w:rsidRPr="00FC670A">
        <w:rPr>
          <w:rFonts w:asciiTheme="minorHAnsi" w:hAnsiTheme="minorHAnsi"/>
        </w:rPr>
        <w:t xml:space="preserve">hase </w:t>
      </w:r>
      <w:r w:rsidR="00BA5005" w:rsidRPr="00FC670A">
        <w:rPr>
          <w:rFonts w:asciiTheme="minorHAnsi" w:hAnsiTheme="minorHAnsi"/>
        </w:rPr>
        <w:t>II</w:t>
      </w:r>
      <w:r w:rsidR="00920A73" w:rsidRPr="00FC670A">
        <w:rPr>
          <w:rFonts w:asciiTheme="minorHAnsi" w:hAnsiTheme="minorHAnsi"/>
        </w:rPr>
        <w:t xml:space="preserve"> studies and then entered the long term study. However, </w:t>
      </w:r>
      <w:r w:rsidR="00EF4E4C" w:rsidRPr="00FC670A">
        <w:rPr>
          <w:rFonts w:asciiTheme="minorHAnsi" w:hAnsiTheme="minorHAnsi"/>
        </w:rPr>
        <w:t>re-exposure has not been systematically evaluated</w:t>
      </w:r>
      <w:r w:rsidRPr="00FC670A">
        <w:rPr>
          <w:rFonts w:asciiTheme="minorHAnsi" w:hAnsiTheme="minorHAnsi"/>
        </w:rPr>
        <w:t>. This is</w:t>
      </w:r>
      <w:r w:rsidR="00EF4E4C" w:rsidRPr="00FC670A">
        <w:rPr>
          <w:rFonts w:asciiTheme="minorHAnsi" w:hAnsiTheme="minorHAnsi"/>
        </w:rPr>
        <w:t xml:space="preserve"> a</w:t>
      </w:r>
      <w:r w:rsidRPr="00FC670A">
        <w:rPr>
          <w:rFonts w:asciiTheme="minorHAnsi" w:hAnsiTheme="minorHAnsi"/>
        </w:rPr>
        <w:t xml:space="preserve"> potential safety issue, if a patient were to stop fremanezumab and </w:t>
      </w:r>
      <w:r w:rsidR="00B76F40" w:rsidRPr="00FC670A">
        <w:rPr>
          <w:rFonts w:asciiTheme="minorHAnsi" w:hAnsiTheme="minorHAnsi"/>
        </w:rPr>
        <w:t xml:space="preserve">then </w:t>
      </w:r>
      <w:r w:rsidRPr="00FC670A">
        <w:rPr>
          <w:rFonts w:asciiTheme="minorHAnsi" w:hAnsiTheme="minorHAnsi"/>
        </w:rPr>
        <w:t>re-start treatment.</w:t>
      </w:r>
    </w:p>
    <w:p w14:paraId="131C9099" w14:textId="77777777" w:rsidR="00E9581B" w:rsidRDefault="00E9581B" w:rsidP="00E9581B">
      <w:pPr>
        <w:pStyle w:val="Heading4"/>
      </w:pPr>
      <w:bookmarkStart w:id="68" w:name="_Toc12981480"/>
      <w:bookmarkStart w:id="69" w:name="_Toc22051390"/>
      <w:r>
        <w:t>Deficiencies of the data</w:t>
      </w:r>
      <w:bookmarkEnd w:id="68"/>
      <w:bookmarkEnd w:id="69"/>
    </w:p>
    <w:p w14:paraId="49E3FDB8" w14:textId="77777777" w:rsidR="00E9581B" w:rsidRDefault="00E9581B" w:rsidP="00E9581B">
      <w:pPr>
        <w:pStyle w:val="ListBullet"/>
        <w:numPr>
          <w:ilvl w:val="0"/>
          <w:numId w:val="3"/>
        </w:numPr>
      </w:pPr>
      <w:r>
        <w:rPr>
          <w:lang w:eastAsia="ja-JP"/>
        </w:rPr>
        <w:t>No head to head comparison with other active comparators</w:t>
      </w:r>
    </w:p>
    <w:p w14:paraId="4A896844" w14:textId="77777777" w:rsidR="00E9581B" w:rsidRDefault="00E9581B" w:rsidP="00E9581B">
      <w:pPr>
        <w:pStyle w:val="ListBullet"/>
        <w:numPr>
          <w:ilvl w:val="0"/>
          <w:numId w:val="3"/>
        </w:numPr>
        <w:rPr>
          <w:lang w:eastAsia="ja-JP"/>
        </w:rPr>
      </w:pPr>
      <w:r>
        <w:rPr>
          <w:lang w:eastAsia="ja-JP"/>
        </w:rPr>
        <w:t>Long-term safety</w:t>
      </w:r>
      <w:r w:rsidR="00EF4E4C">
        <w:rPr>
          <w:lang w:eastAsia="ja-JP"/>
        </w:rPr>
        <w:t xml:space="preserve"> beyond 15</w:t>
      </w:r>
      <w:r w:rsidR="006343F6">
        <w:rPr>
          <w:lang w:eastAsia="ja-JP"/>
        </w:rPr>
        <w:t xml:space="preserve"> </w:t>
      </w:r>
      <w:r w:rsidR="00EF4E4C">
        <w:rPr>
          <w:lang w:eastAsia="ja-JP"/>
        </w:rPr>
        <w:t>months treatment period</w:t>
      </w:r>
    </w:p>
    <w:p w14:paraId="1471CC2D" w14:textId="0781DCF7" w:rsidR="00E9581B" w:rsidRDefault="00E9581B" w:rsidP="00E9581B">
      <w:pPr>
        <w:pStyle w:val="ListBullet"/>
        <w:numPr>
          <w:ilvl w:val="0"/>
          <w:numId w:val="3"/>
        </w:numPr>
        <w:rPr>
          <w:lang w:eastAsia="ja-JP"/>
        </w:rPr>
      </w:pPr>
      <w:r>
        <w:rPr>
          <w:lang w:eastAsia="ja-JP"/>
        </w:rPr>
        <w:t>Safety in subjects &lt;</w:t>
      </w:r>
      <w:r w:rsidR="00663520">
        <w:rPr>
          <w:lang w:eastAsia="ja-JP"/>
        </w:rPr>
        <w:t xml:space="preserve"> </w:t>
      </w:r>
      <w:r>
        <w:rPr>
          <w:lang w:eastAsia="ja-JP"/>
        </w:rPr>
        <w:t>18 years or &gt;</w:t>
      </w:r>
      <w:r w:rsidR="00663520">
        <w:rPr>
          <w:lang w:eastAsia="ja-JP"/>
        </w:rPr>
        <w:t xml:space="preserve"> </w:t>
      </w:r>
      <w:r>
        <w:rPr>
          <w:lang w:eastAsia="ja-JP"/>
        </w:rPr>
        <w:t>65 years</w:t>
      </w:r>
    </w:p>
    <w:p w14:paraId="6CB29B29" w14:textId="77777777" w:rsidR="00E9581B" w:rsidRDefault="00E9581B" w:rsidP="00E9581B">
      <w:pPr>
        <w:pStyle w:val="ListBullet"/>
        <w:numPr>
          <w:ilvl w:val="0"/>
          <w:numId w:val="3"/>
        </w:numPr>
        <w:rPr>
          <w:lang w:eastAsia="ja-JP"/>
        </w:rPr>
      </w:pPr>
      <w:r>
        <w:rPr>
          <w:lang w:eastAsia="ja-JP"/>
        </w:rPr>
        <w:t>Safety in pregnancy and lactation</w:t>
      </w:r>
    </w:p>
    <w:p w14:paraId="1AF7524F" w14:textId="384C6DB7" w:rsidR="00E9581B" w:rsidRPr="00F00579" w:rsidRDefault="00EF4E4C" w:rsidP="00E9581B">
      <w:pPr>
        <w:pStyle w:val="ListBullet"/>
        <w:numPr>
          <w:ilvl w:val="0"/>
          <w:numId w:val="3"/>
        </w:numPr>
        <w:rPr>
          <w:rFonts w:ascii="Arial" w:eastAsia="Times New Roman" w:hAnsi="Arial"/>
          <w:sz w:val="26"/>
          <w:szCs w:val="21"/>
        </w:rPr>
      </w:pPr>
      <w:r>
        <w:rPr>
          <w:rFonts w:asciiTheme="minorHAnsi" w:hAnsiTheme="minorHAnsi"/>
        </w:rPr>
        <w:lastRenderedPageBreak/>
        <w:t xml:space="preserve">Only a small number of </w:t>
      </w:r>
      <w:r w:rsidR="00E9581B" w:rsidRPr="005944BE">
        <w:rPr>
          <w:rFonts w:asciiTheme="minorHAnsi" w:hAnsiTheme="minorHAnsi"/>
        </w:rPr>
        <w:t>patient</w:t>
      </w:r>
      <w:r w:rsidR="0021482D">
        <w:rPr>
          <w:rFonts w:asciiTheme="minorHAnsi" w:hAnsiTheme="minorHAnsi"/>
        </w:rPr>
        <w:t>s</w:t>
      </w:r>
      <w:r w:rsidR="00E9581B" w:rsidRPr="005944BE">
        <w:rPr>
          <w:rFonts w:asciiTheme="minorHAnsi" w:hAnsiTheme="minorHAnsi"/>
        </w:rPr>
        <w:t xml:space="preserve"> has been re-exposed after </w:t>
      </w:r>
      <w:r w:rsidR="00E9581B">
        <w:rPr>
          <w:rFonts w:asciiTheme="minorHAnsi" w:hAnsiTheme="minorHAnsi"/>
        </w:rPr>
        <w:t>fremanezumab</w:t>
      </w:r>
      <w:r w:rsidR="00E9581B" w:rsidRPr="005944BE">
        <w:rPr>
          <w:rFonts w:asciiTheme="minorHAnsi" w:hAnsiTheme="minorHAnsi"/>
        </w:rPr>
        <w:t xml:space="preserve"> treatment</w:t>
      </w:r>
      <w:r w:rsidR="00E9581B">
        <w:rPr>
          <w:rFonts w:asciiTheme="minorHAnsi" w:hAnsiTheme="minorHAnsi"/>
        </w:rPr>
        <w:t xml:space="preserve"> (restarting fremanezumab treatment).</w:t>
      </w:r>
    </w:p>
    <w:p w14:paraId="1D1D4F15" w14:textId="3F3FF6DA" w:rsidR="00E9581B" w:rsidRDefault="00E9581B" w:rsidP="00E9581B">
      <w:pPr>
        <w:pStyle w:val="Heading4"/>
      </w:pPr>
      <w:r>
        <w:t xml:space="preserve">Summary of </w:t>
      </w:r>
      <w:r w:rsidR="00663520">
        <w:t>i</w:t>
      </w:r>
      <w:r>
        <w:t>ssues</w:t>
      </w:r>
    </w:p>
    <w:p w14:paraId="086F9CD1" w14:textId="77777777" w:rsidR="00E9581B" w:rsidRPr="007713AF" w:rsidRDefault="00E9581B" w:rsidP="00E9581B">
      <w:r w:rsidRPr="007713AF">
        <w:t xml:space="preserve">The Delegate overall supports the clinical evaluator in recommending approval of </w:t>
      </w:r>
      <w:r>
        <w:t>f</w:t>
      </w:r>
      <w:r w:rsidRPr="007713AF">
        <w:t>remanezumab for ‘</w:t>
      </w:r>
      <w:r w:rsidRPr="007713AF">
        <w:rPr>
          <w:i/>
          <w:lang w:eastAsia="ja-JP"/>
        </w:rPr>
        <w:t>preventive treatment of migraine in adults</w:t>
      </w:r>
      <w:r w:rsidRPr="007713AF">
        <w:t>’</w:t>
      </w:r>
    </w:p>
    <w:p w14:paraId="3CDFBCA4" w14:textId="77777777" w:rsidR="00E9581B" w:rsidRDefault="00E9581B" w:rsidP="00E9581B">
      <w:pPr>
        <w:pStyle w:val="Heading5"/>
      </w:pPr>
      <w:r>
        <w:t>Key issues</w:t>
      </w:r>
    </w:p>
    <w:p w14:paraId="6E54BAB0" w14:textId="13EDD001" w:rsidR="00E9581B" w:rsidRDefault="00E9581B" w:rsidP="006823A3">
      <w:pPr>
        <w:pStyle w:val="ListBullet"/>
      </w:pPr>
      <w:r>
        <w:t>There are theoretical concerns that interfering with CGRP could modify processes relevant to protection against ischaemia, increasing the risk of cardiovascular events. No evidence of this emerged in the submitted studies; but it is to be noted subjects with a strong history of cardiovascular events were excluded.</w:t>
      </w:r>
    </w:p>
    <w:p w14:paraId="438AED58" w14:textId="255182CB" w:rsidR="00E9581B" w:rsidRPr="007713AF" w:rsidRDefault="00E9581B" w:rsidP="00E9581B">
      <w:pPr>
        <w:pStyle w:val="ListBullet"/>
        <w:numPr>
          <w:ilvl w:val="0"/>
          <w:numId w:val="3"/>
        </w:numPr>
        <w:rPr>
          <w:szCs w:val="20"/>
          <w:u w:val="single"/>
        </w:rPr>
      </w:pPr>
      <w:r w:rsidRPr="007713AF">
        <w:t>The absolute difference was around 1.8</w:t>
      </w:r>
      <w:r w:rsidR="00663520">
        <w:t xml:space="preserve"> to </w:t>
      </w:r>
      <w:r w:rsidRPr="007713AF">
        <w:t>2 days per month for chronic migraine and 1.3 to 1.4 days for episodic migraine. This extent of benefit is clinically modest for both episodic migraine as wel</w:t>
      </w:r>
      <w:r>
        <w:t>l as chronic migraine patients.</w:t>
      </w:r>
    </w:p>
    <w:p w14:paraId="43C0291A" w14:textId="431363B6" w:rsidR="00E9581B" w:rsidRPr="007713AF" w:rsidRDefault="00E9581B" w:rsidP="00862CCF">
      <w:pPr>
        <w:pStyle w:val="ListBullet"/>
        <w:numPr>
          <w:ilvl w:val="0"/>
          <w:numId w:val="3"/>
        </w:numPr>
        <w:rPr>
          <w:u w:val="single"/>
        </w:rPr>
      </w:pPr>
      <w:r>
        <w:t xml:space="preserve">The safety of fremanezumab in combination with other agents </w:t>
      </w:r>
      <w:r w:rsidR="00157D60">
        <w:t>targeting the</w:t>
      </w:r>
      <w:r>
        <w:t xml:space="preserve"> CGRP</w:t>
      </w:r>
      <w:r w:rsidR="00157D60">
        <w:t xml:space="preserve"> pathway</w:t>
      </w:r>
      <w:r>
        <w:t xml:space="preserve"> is unknown.</w:t>
      </w:r>
    </w:p>
    <w:p w14:paraId="3DF5A602" w14:textId="45ABDAE3" w:rsidR="00E9581B" w:rsidRDefault="00E9581B" w:rsidP="00E9581B">
      <w:pPr>
        <w:pStyle w:val="ListBullet"/>
        <w:numPr>
          <w:ilvl w:val="0"/>
          <w:numId w:val="3"/>
        </w:numPr>
      </w:pPr>
      <w:r>
        <w:t>Given the benefits from treatment are highly variable in a condition which also varies in severity over time without therapeutic intervention, it is reasonable that patients with chronic migraine should not continue with fremanezumab if they do not have a</w:t>
      </w:r>
      <w:r w:rsidR="00157D60">
        <w:t>t</w:t>
      </w:r>
      <w:r>
        <w:t xml:space="preserve"> least a reduction of 2 days in their monthly migraine day frequency after a trial. Current Australian guidelines for treatment trials for migraine prophylaxis treatment recommend a trial of 8 to 12 weeks. The Delegate also notes that</w:t>
      </w:r>
      <w:r w:rsidR="00EF4E4C">
        <w:t xml:space="preserve"> only a small number of </w:t>
      </w:r>
      <w:r>
        <w:t xml:space="preserve">patient has been re-exposed to fremanezumab treatment in migraine </w:t>
      </w:r>
      <w:r w:rsidR="00EF4E4C">
        <w:t xml:space="preserve">studies.  </w:t>
      </w:r>
      <w:r w:rsidR="00136876">
        <w:t>However,</w:t>
      </w:r>
      <w:r w:rsidR="00EF4E4C">
        <w:t xml:space="preserve"> re-exposure has not been systematically evaluated</w:t>
      </w:r>
      <w:r>
        <w:t>. This is</w:t>
      </w:r>
      <w:r w:rsidR="00EF4E4C">
        <w:t xml:space="preserve"> a</w:t>
      </w:r>
      <w:r>
        <w:t xml:space="preserve"> potential safety issue, if a patient were to stop fremanezumab and re-starts the treatment.</w:t>
      </w:r>
    </w:p>
    <w:p w14:paraId="13EE7338" w14:textId="77777777" w:rsidR="00E9581B" w:rsidRDefault="00E9581B" w:rsidP="00E9581B">
      <w:pPr>
        <w:pStyle w:val="Heading4"/>
      </w:pPr>
      <w:r w:rsidRPr="00D23139">
        <w:t>Proposed action</w:t>
      </w:r>
    </w:p>
    <w:p w14:paraId="3DC6F2AD" w14:textId="0C186C49" w:rsidR="00E9581B" w:rsidRDefault="00E9581B" w:rsidP="00E9581B">
      <w:pPr>
        <w:pStyle w:val="Heading5"/>
      </w:pPr>
      <w:r>
        <w:t>Pre</w:t>
      </w:r>
      <w:r w:rsidR="00663520">
        <w:noBreakHyphen/>
      </w:r>
      <w:r>
        <w:t>advisory committee preliminary assessment</w:t>
      </w:r>
    </w:p>
    <w:p w14:paraId="1458ADB1" w14:textId="77777777" w:rsidR="00E9581B" w:rsidRDefault="00E9581B" w:rsidP="00E9581B">
      <w:r>
        <w:t>The Delegate had no reason to say, at this time, that the application for fremanezumab should not be approved for registration.</w:t>
      </w:r>
    </w:p>
    <w:p w14:paraId="290C26C9" w14:textId="77777777" w:rsidR="00E9581B" w:rsidRDefault="00E9581B" w:rsidP="00E9581B">
      <w:r>
        <w:t>Any approval is subject to taking into account all issues arising from the ACM deliberations and finalising matters pertaining to the PI, to the satisfaction of the TGA.</w:t>
      </w:r>
    </w:p>
    <w:p w14:paraId="5238AB6F" w14:textId="77777777" w:rsidR="00E9581B" w:rsidRDefault="00E9581B" w:rsidP="00E9581B">
      <w:pPr>
        <w:pStyle w:val="Heading4"/>
      </w:pPr>
      <w:r>
        <w:t>Request for Advisory Committee on Medicines (AC</w:t>
      </w:r>
      <w:r w:rsidRPr="00D23139">
        <w:t>M</w:t>
      </w:r>
      <w:r>
        <w:t>)</w:t>
      </w:r>
      <w:r w:rsidRPr="00D23139">
        <w:t xml:space="preserve"> advice</w:t>
      </w:r>
    </w:p>
    <w:p w14:paraId="6315A6ED" w14:textId="77777777" w:rsidR="00E9581B" w:rsidRDefault="00E9581B" w:rsidP="00E9581B">
      <w:r>
        <w:t>The committee is requested to provide advice on the following specific issue:</w:t>
      </w:r>
    </w:p>
    <w:p w14:paraId="50B1B7A0" w14:textId="77777777" w:rsidR="00E9581B" w:rsidRDefault="00E9581B" w:rsidP="00E9581B">
      <w:pPr>
        <w:pStyle w:val="Numberbullet0"/>
        <w:numPr>
          <w:ilvl w:val="0"/>
          <w:numId w:val="8"/>
        </w:numPr>
        <w:ind w:left="785"/>
      </w:pPr>
      <w:r>
        <w:t>What are ACM’s views on the efficacy and to what extent is there sufficient clinical trial evidence to support the proposed indication for fremanezumab?</w:t>
      </w:r>
    </w:p>
    <w:p w14:paraId="4CDE53AF" w14:textId="77777777" w:rsidR="00E9581B" w:rsidRDefault="00E9581B" w:rsidP="00E9581B">
      <w:pPr>
        <w:pStyle w:val="Numberbullet0"/>
        <w:numPr>
          <w:ilvl w:val="0"/>
          <w:numId w:val="8"/>
        </w:numPr>
        <w:ind w:left="785"/>
      </w:pPr>
      <w:r w:rsidRPr="00A43BF8">
        <w:rPr>
          <w:rFonts w:eastAsiaTheme="minorHAnsi" w:cs="Cambria"/>
        </w:rPr>
        <w:t xml:space="preserve">Does the ACM consider that the safety of </w:t>
      </w:r>
      <w:r>
        <w:rPr>
          <w:rFonts w:eastAsiaTheme="minorHAnsi" w:cs="Cambria"/>
        </w:rPr>
        <w:t>f</w:t>
      </w:r>
      <w:r w:rsidRPr="00A43BF8">
        <w:rPr>
          <w:rFonts w:eastAsiaTheme="minorHAnsi" w:cs="Cambria"/>
        </w:rPr>
        <w:t>remanezumab in the proposed new indication is sufficiently well characterised and communicated in the PI?</w:t>
      </w:r>
    </w:p>
    <w:p w14:paraId="083D4342" w14:textId="77777777" w:rsidR="00E9581B" w:rsidRDefault="00E9581B" w:rsidP="00E9581B">
      <w:pPr>
        <w:pStyle w:val="ListBullet3"/>
        <w:numPr>
          <w:ilvl w:val="2"/>
          <w:numId w:val="3"/>
        </w:numPr>
      </w:pPr>
      <w:r>
        <w:t>Any specific measures to be taken to highlight possible cardiovascular risk knowing that trial population excluded elderly and patient with cardiovascular risk?</w:t>
      </w:r>
    </w:p>
    <w:p w14:paraId="3149F6EC" w14:textId="77777777" w:rsidR="00E9581B" w:rsidRDefault="00E9581B" w:rsidP="00E9581B">
      <w:pPr>
        <w:pStyle w:val="ListBullet3"/>
        <w:numPr>
          <w:ilvl w:val="2"/>
          <w:numId w:val="3"/>
        </w:numPr>
      </w:pPr>
      <w:r>
        <w:t xml:space="preserve">Does the ACM anticipate frequent re-exposure to fremanezumab in clinical settings as no relevant safety data exist in </w:t>
      </w:r>
      <w:r>
        <w:rPr>
          <w:rFonts w:asciiTheme="minorHAnsi" w:hAnsiTheme="minorHAnsi"/>
        </w:rPr>
        <w:t>any migraine or non-migraine study</w:t>
      </w:r>
      <w:r>
        <w:t xml:space="preserve">? </w:t>
      </w:r>
    </w:p>
    <w:p w14:paraId="7D927B32" w14:textId="77777777" w:rsidR="00E9581B" w:rsidRDefault="00E9581B" w:rsidP="00E9581B">
      <w:pPr>
        <w:pStyle w:val="ListBullet3"/>
        <w:numPr>
          <w:ilvl w:val="2"/>
          <w:numId w:val="3"/>
        </w:numPr>
      </w:pPr>
      <w:r>
        <w:lastRenderedPageBreak/>
        <w:t>Does the ACM foresee combination of fremanezumab and erenumab or galcanezumab used frequently?</w:t>
      </w:r>
    </w:p>
    <w:p w14:paraId="778D2798" w14:textId="77777777" w:rsidR="00E9581B" w:rsidRDefault="00E9581B" w:rsidP="00E9581B">
      <w:pPr>
        <w:pStyle w:val="Numberbullet0"/>
        <w:numPr>
          <w:ilvl w:val="0"/>
          <w:numId w:val="8"/>
        </w:numPr>
        <w:ind w:left="785"/>
      </w:pPr>
      <w:r>
        <w:t>The committee is also requested to provide advice on any other issues that it thinks may be relevant to a decision on whether or not to approve this application.</w:t>
      </w:r>
    </w:p>
    <w:p w14:paraId="7D34EAED" w14:textId="02AD220D" w:rsidR="00E9581B" w:rsidRDefault="006823A3" w:rsidP="00E9581B">
      <w:pPr>
        <w:pStyle w:val="Heading4"/>
      </w:pPr>
      <w:r>
        <w:t>Advisory c</w:t>
      </w:r>
      <w:r w:rsidR="00E9581B">
        <w:t xml:space="preserve">ommittee </w:t>
      </w:r>
      <w:r>
        <w:t>c</w:t>
      </w:r>
      <w:r w:rsidR="00E9581B">
        <w:t>onsiderations</w:t>
      </w:r>
      <w:r w:rsidR="00E9581B">
        <w:rPr>
          <w:rStyle w:val="FootnoteReference"/>
        </w:rPr>
        <w:footnoteReference w:id="2"/>
      </w:r>
    </w:p>
    <w:p w14:paraId="722577E9" w14:textId="0F5EF6CF" w:rsidR="00E9581B" w:rsidRDefault="00E9581B" w:rsidP="00B76F40">
      <w:r w:rsidRPr="00456765">
        <w:t>The Advisory Committee on Medicines (ACM), having considered the evaluations and the Delegate’s overview, as well as the sponsor’s response to these documents, advised the following:</w:t>
      </w:r>
    </w:p>
    <w:p w14:paraId="2276228D" w14:textId="29D6E707" w:rsidR="00E9581B" w:rsidRDefault="00E9581B" w:rsidP="00B76F40">
      <w:r w:rsidRPr="00982461">
        <w:t xml:space="preserve">The ACM considered the referral for advice from the TGA Delegate in relation to the submission to register </w:t>
      </w:r>
      <w:r>
        <w:t>Ajovy</w:t>
      </w:r>
      <w:r w:rsidRPr="00982461">
        <w:t xml:space="preserve"> pre-filled syringe, containing 225 mg fremanezumab in 1</w:t>
      </w:r>
      <w:r>
        <w:t>.5</w:t>
      </w:r>
      <w:r w:rsidR="00663520">
        <w:t> </w:t>
      </w:r>
      <w:r>
        <w:t>m</w:t>
      </w:r>
      <w:r w:rsidR="00663520">
        <w:t>L</w:t>
      </w:r>
      <w:r>
        <w:t xml:space="preserve"> (150 mg/m</w:t>
      </w:r>
      <w:r w:rsidR="00663520">
        <w:t>L</w:t>
      </w:r>
      <w:r>
        <w:t>).</w:t>
      </w:r>
    </w:p>
    <w:p w14:paraId="1E41E63C" w14:textId="77777777" w:rsidR="00663520" w:rsidRDefault="00E9581B" w:rsidP="00B76F40">
      <w:r w:rsidRPr="00982461">
        <w:t>The ACM considered this product to have an overall positive benefit-risk profile for the proposed indication:</w:t>
      </w:r>
    </w:p>
    <w:p w14:paraId="29184D45" w14:textId="58731A41" w:rsidR="00E9581B" w:rsidRDefault="00E9581B" w:rsidP="00635171">
      <w:pPr>
        <w:ind w:firstLine="720"/>
      </w:pPr>
      <w:r>
        <w:t>‘</w:t>
      </w:r>
      <w:r w:rsidRPr="00A43BF8">
        <w:rPr>
          <w:i/>
        </w:rPr>
        <w:t>Ajovy is indicated for the preventive treatment of migraine in adults.</w:t>
      </w:r>
      <w:r>
        <w:t xml:space="preserve">’ </w:t>
      </w:r>
    </w:p>
    <w:p w14:paraId="245925F0" w14:textId="51001727" w:rsidR="00E9581B" w:rsidRDefault="00E9581B" w:rsidP="00E9581B">
      <w:pPr>
        <w:pStyle w:val="Heading5"/>
      </w:pPr>
      <w:r>
        <w:t xml:space="preserve">Specific </w:t>
      </w:r>
      <w:r w:rsidR="006823A3">
        <w:t>a</w:t>
      </w:r>
      <w:r>
        <w:t>dvice</w:t>
      </w:r>
    </w:p>
    <w:p w14:paraId="0B1121D0" w14:textId="77777777" w:rsidR="00E9581B" w:rsidRDefault="00E9581B" w:rsidP="00E9581B">
      <w:r w:rsidRPr="00982461">
        <w:t xml:space="preserve">The ACM advised the following in response to the Delegate’s specific request for advice: </w:t>
      </w:r>
    </w:p>
    <w:p w14:paraId="2B4ACFD4" w14:textId="77777777" w:rsidR="00E9581B" w:rsidRDefault="00E9581B" w:rsidP="00E9581B">
      <w:pPr>
        <w:pStyle w:val="Numberbullet0"/>
        <w:numPr>
          <w:ilvl w:val="0"/>
          <w:numId w:val="36"/>
        </w:numPr>
        <w:ind w:left="785"/>
      </w:pPr>
      <w:r w:rsidRPr="00982461">
        <w:t>What are ACM’s views on the efficacy and to what extent is there sufficient clinical trial evidence to support the propose</w:t>
      </w:r>
      <w:r>
        <w:t>d indication for fremanezumab?</w:t>
      </w:r>
    </w:p>
    <w:p w14:paraId="7013B262" w14:textId="77777777" w:rsidR="00E9581B" w:rsidRDefault="00E9581B" w:rsidP="00E9581B">
      <w:r w:rsidRPr="00982461">
        <w:t>The ACM was of the view that sufficient evidence had been provided to demonstrate efficacy and su</w:t>
      </w:r>
      <w:r>
        <w:t>pport the proposed indication.</w:t>
      </w:r>
    </w:p>
    <w:p w14:paraId="3EAF468C" w14:textId="77777777" w:rsidR="00E9581B" w:rsidRDefault="00E9581B" w:rsidP="00E9581B">
      <w:pPr>
        <w:pStyle w:val="Numberbullet0"/>
        <w:numPr>
          <w:ilvl w:val="0"/>
          <w:numId w:val="8"/>
        </w:numPr>
        <w:ind w:left="785"/>
      </w:pPr>
      <w:r w:rsidRPr="00982461">
        <w:t xml:space="preserve">Does the ACM consider that the safety of </w:t>
      </w:r>
      <w:r>
        <w:t>f</w:t>
      </w:r>
      <w:r w:rsidRPr="00982461">
        <w:t>remanezumab in the proposed new indication is sufficiently well characterised and communicated in the PI?</w:t>
      </w:r>
    </w:p>
    <w:p w14:paraId="653246E4" w14:textId="77777777" w:rsidR="00E9581B" w:rsidRDefault="00E9581B" w:rsidP="00E9581B">
      <w:r w:rsidRPr="00982461">
        <w:t>The ACM agreed that the safety of fremanezumab in the proposed indication was well characterised and communicated in the PI.</w:t>
      </w:r>
    </w:p>
    <w:p w14:paraId="54D69775" w14:textId="77777777" w:rsidR="00E9581B" w:rsidRDefault="00E9581B" w:rsidP="00E9581B">
      <w:pPr>
        <w:pStyle w:val="ListBullet"/>
        <w:numPr>
          <w:ilvl w:val="0"/>
          <w:numId w:val="3"/>
        </w:numPr>
      </w:pPr>
      <w:r w:rsidRPr="00982461">
        <w:t>Any specific measures to be taken to highlight possible cardiovascular risk knowing that trial population excluded elderly and patient with cardiovascu</w:t>
      </w:r>
      <w:r>
        <w:t>lar risk?</w:t>
      </w:r>
    </w:p>
    <w:p w14:paraId="477D3C4B" w14:textId="224556AC" w:rsidR="00E9581B" w:rsidRDefault="00E9581B" w:rsidP="00B7295D">
      <w:r w:rsidRPr="00982461">
        <w:t>The ACM was of the view that the possible cardiovascular risk associated with fremanezumab use is theoretical in nature. The ACM agreed that this risk had been adequately addressed in the RMP and ASA</w:t>
      </w:r>
      <w:r>
        <w:t>.</w:t>
      </w:r>
    </w:p>
    <w:p w14:paraId="2A7EEC74" w14:textId="77777777" w:rsidR="00E9581B" w:rsidRDefault="00E9581B" w:rsidP="00E9581B">
      <w:pPr>
        <w:pStyle w:val="ListBullet"/>
        <w:numPr>
          <w:ilvl w:val="0"/>
          <w:numId w:val="3"/>
        </w:numPr>
      </w:pPr>
      <w:r w:rsidRPr="00982461">
        <w:t xml:space="preserve">Does the ACM anticipate frequent re-exposure to fremanezumab in clinical settings as no relevant safety data exist in any </w:t>
      </w:r>
      <w:r>
        <w:t>migraine or non-migraine study?</w:t>
      </w:r>
    </w:p>
    <w:p w14:paraId="6241E47F" w14:textId="77777777" w:rsidR="00E9581B" w:rsidRDefault="00E9581B" w:rsidP="00E9581B">
      <w:pPr>
        <w:pStyle w:val="ListBullet"/>
        <w:numPr>
          <w:ilvl w:val="0"/>
          <w:numId w:val="0"/>
        </w:numPr>
      </w:pPr>
      <w:r w:rsidRPr="00982461">
        <w:t xml:space="preserve">The ACM noted that migraines are usually a life-long condition and often follow a relapsing and remitting pattern and advised that it is highly likely that fremanezumab will be used on an intermittent basis. The ACM was of the view that, despite the paucity of data on this issue, the likelihood of developing anti-drug antibodies appears to be low and there </w:t>
      </w:r>
      <w:r w:rsidRPr="00982461">
        <w:lastRenderedPageBreak/>
        <w:t>is no evidence at present to suggest that if such antibodies did develop, the efficacy of the drug would</w:t>
      </w:r>
      <w:r>
        <w:t xml:space="preserve"> not be significantly affected.</w:t>
      </w:r>
    </w:p>
    <w:p w14:paraId="14E7CB7C" w14:textId="77777777" w:rsidR="00E9581B" w:rsidRPr="00982461" w:rsidRDefault="00E9581B" w:rsidP="00E9581B">
      <w:pPr>
        <w:pStyle w:val="ListBullet"/>
        <w:numPr>
          <w:ilvl w:val="0"/>
          <w:numId w:val="3"/>
        </w:numPr>
      </w:pPr>
      <w:r w:rsidRPr="00982461">
        <w:t xml:space="preserve">Does the ACM foresee combination of fremanezumab and erenumab or galcanezumab used frequently? </w:t>
      </w:r>
    </w:p>
    <w:p w14:paraId="1B760461" w14:textId="5F18D0F4" w:rsidR="00E9581B" w:rsidRDefault="00E9581B" w:rsidP="00E9581B">
      <w:r w:rsidRPr="00982461">
        <w:t xml:space="preserve">The ACM noted that limited evidence is available exploring the outcomes of combination therapies of </w:t>
      </w:r>
      <w:r w:rsidR="00663520">
        <w:t>mAbs</w:t>
      </w:r>
      <w:r w:rsidRPr="00982461">
        <w:t xml:space="preserve">. However, the ACM was of the view that this would be an unlikely occurrence as </w:t>
      </w:r>
      <w:r>
        <w:t>it was unlikely to be helpful.</w:t>
      </w:r>
    </w:p>
    <w:p w14:paraId="1992B6C9" w14:textId="77777777" w:rsidR="00E9581B" w:rsidRDefault="00E9581B" w:rsidP="00E9581B">
      <w:pPr>
        <w:pStyle w:val="Numberbullet0"/>
        <w:numPr>
          <w:ilvl w:val="0"/>
          <w:numId w:val="8"/>
        </w:numPr>
        <w:ind w:left="785"/>
      </w:pPr>
      <w:r>
        <w:t>The c</w:t>
      </w:r>
      <w:r w:rsidRPr="00982461">
        <w:t>ommittee is also requested to provide advice on any other issues that it thinks may be relevant to a decision on whether or n</w:t>
      </w:r>
      <w:r>
        <w:t>ot to approve this application.</w:t>
      </w:r>
    </w:p>
    <w:p w14:paraId="2C7B03AE" w14:textId="77777777" w:rsidR="00E9581B" w:rsidRPr="00A43BF8" w:rsidRDefault="00E9581B" w:rsidP="00B76F40">
      <w:r w:rsidRPr="00982461">
        <w:t xml:space="preserve">The ACM observed that the instructions on use in the video and CMI suggest that the injection can be given in the </w:t>
      </w:r>
      <w:r w:rsidRPr="00A43BF8">
        <w:t>abdomen, thigh or the back of the arm. The ACM was of the view that the latter instruction re ‘back of the arm’ could be considered confusing and was not consistent with usual practice. This instruction should be further clarified, including through inclusion of a diagram in the CMI.</w:t>
      </w:r>
    </w:p>
    <w:p w14:paraId="0648E8B4" w14:textId="77777777" w:rsidR="00E9581B" w:rsidRPr="002E238E" w:rsidRDefault="00E9581B" w:rsidP="00E9581B">
      <w:pPr>
        <w:pStyle w:val="Heading3"/>
      </w:pPr>
      <w:bookmarkStart w:id="70" w:name="_Toc247691532"/>
      <w:bookmarkStart w:id="71" w:name="_Toc314842516"/>
      <w:bookmarkStart w:id="72" w:name="_Toc22051391"/>
      <w:bookmarkStart w:id="73" w:name="_Toc27745217"/>
      <w:bookmarkEnd w:id="36"/>
      <w:bookmarkEnd w:id="66"/>
      <w:bookmarkEnd w:id="67"/>
      <w:r>
        <w:t>Outcome</w:t>
      </w:r>
      <w:bookmarkEnd w:id="70"/>
      <w:bookmarkEnd w:id="71"/>
      <w:bookmarkEnd w:id="72"/>
      <w:bookmarkEnd w:id="73"/>
    </w:p>
    <w:p w14:paraId="36140799" w14:textId="483D0D86" w:rsidR="00E9581B" w:rsidRPr="00D23139" w:rsidRDefault="00E9581B" w:rsidP="00E9581B">
      <w:bookmarkStart w:id="74" w:name="_Toc247691533"/>
      <w:bookmarkStart w:id="75" w:name="_Toc314842517"/>
      <w:r w:rsidRPr="00D23139">
        <w:t xml:space="preserve">Based on a review of quality, </w:t>
      </w:r>
      <w:r w:rsidRPr="00A43BF8">
        <w:t xml:space="preserve">safety and efficacy, </w:t>
      </w:r>
      <w:r w:rsidR="00663520">
        <w:t xml:space="preserve">the </w:t>
      </w:r>
      <w:r w:rsidRPr="00A43BF8">
        <w:t>TGA approved the registration of Ajovy (fremanezumab) for SC injection indicated for:</w:t>
      </w:r>
    </w:p>
    <w:p w14:paraId="397459FD" w14:textId="77777777" w:rsidR="00E9581B" w:rsidRPr="00D23139" w:rsidRDefault="00E9581B" w:rsidP="00E9581B">
      <w:pPr>
        <w:ind w:firstLine="720"/>
      </w:pPr>
      <w:r w:rsidRPr="00A60766">
        <w:rPr>
          <w:rFonts w:cs="Cambria"/>
          <w:i/>
          <w:lang w:eastAsia="en-AU"/>
        </w:rPr>
        <w:t>Ajovy is indicated for the preventive treatment of migraine in adults.</w:t>
      </w:r>
    </w:p>
    <w:p w14:paraId="3FAD1DD8" w14:textId="77777777" w:rsidR="00E9581B" w:rsidRDefault="00E9581B" w:rsidP="00E9581B">
      <w:pPr>
        <w:pStyle w:val="Heading4"/>
      </w:pPr>
      <w:r w:rsidRPr="00D23139">
        <w:t>Specific conditions of registration applying to these goods</w:t>
      </w:r>
    </w:p>
    <w:p w14:paraId="6F5EC6A0" w14:textId="77777777" w:rsidR="00E9581B" w:rsidRPr="003E340B" w:rsidRDefault="00E9581B" w:rsidP="00B76F40">
      <w:pPr>
        <w:pStyle w:val="ListBullet"/>
      </w:pPr>
      <w:r w:rsidRPr="003E340B">
        <w:t>Ajovy (</w:t>
      </w:r>
      <w:r>
        <w:t>f</w:t>
      </w:r>
      <w:r w:rsidRPr="003E340B">
        <w:t>remanezumab) is to be included in the Black Triangle Scheme. The PI and CMI and any other agreed additional risk minimisation materials for Ajovy must include the black triangle symbol and mandatory accompanying text for five years, which starts from the date that the sponsor notifies the TGA of supply of the product</w:t>
      </w:r>
      <w:r>
        <w:t>.</w:t>
      </w:r>
    </w:p>
    <w:p w14:paraId="21F6DC31" w14:textId="77777777" w:rsidR="00E9581B" w:rsidRPr="003E340B" w:rsidRDefault="00E9581B" w:rsidP="00B76F40">
      <w:pPr>
        <w:pStyle w:val="ListBullet"/>
      </w:pPr>
      <w:r w:rsidRPr="003E340B">
        <w:t>The Ajovy (Fremanezumab) EU-Risk Management Plan (RMP) (version 1.4, dated 29 January 2019, data lock point 29 January), with Australian Specific Annex (version 1.1, dated 16 April 2018), included with submission PM-2018-03494-1-1, and any subsequent revisions, as agreed with the TGA will be implemented in Australia.</w:t>
      </w:r>
    </w:p>
    <w:p w14:paraId="166A0537" w14:textId="77777777" w:rsidR="00E9581B" w:rsidRDefault="00E9581B" w:rsidP="00BC138D">
      <w:pPr>
        <w:pStyle w:val="ListBullet"/>
        <w:numPr>
          <w:ilvl w:val="0"/>
          <w:numId w:val="0"/>
        </w:numPr>
        <w:ind w:left="360"/>
      </w:pPr>
      <w:r>
        <w:t>An obligatory component of risk management plans is routine pharmacovigilance. Routine pharmacovigilance includes the submission of periodic safety update reports (PSURs).</w:t>
      </w:r>
    </w:p>
    <w:p w14:paraId="7C56D868" w14:textId="77777777" w:rsidR="00E9581B" w:rsidRDefault="00E9581B" w:rsidP="00BC138D">
      <w:pPr>
        <w:pStyle w:val="ListBullet"/>
        <w:numPr>
          <w:ilvl w:val="0"/>
          <w:numId w:val="0"/>
        </w:numPr>
        <w:ind w:left="360"/>
      </w:pPr>
      <w:r>
        <w:t>Reports are to be provided in line with the current published list of EU reference dates and frequency of submission of PSURs until the period covered by such reports is not less than three years from the date of this approval letter.</w:t>
      </w:r>
    </w:p>
    <w:p w14:paraId="2AB90E49" w14:textId="77777777" w:rsidR="00E9581B" w:rsidRDefault="00E9581B" w:rsidP="00BC138D">
      <w:pPr>
        <w:pStyle w:val="ListBullet"/>
        <w:numPr>
          <w:ilvl w:val="0"/>
          <w:numId w:val="0"/>
        </w:numPr>
        <w:ind w:left="360"/>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1865CDC7" w14:textId="77777777" w:rsidR="00E9581B" w:rsidRDefault="00E9581B" w:rsidP="00B76F40">
      <w:pPr>
        <w:pStyle w:val="ListBullet"/>
      </w:pPr>
      <w:r>
        <w:t>Ajovy is a new biological entity, and as such meets the inclusion criteria for the Black Triangle Scheme. The relevant warning symbol and statements are included in the supplied PI, CMI and Instructions for Use leaflet. All these risk minimisation materials will be included as a package insert in the primary carton.</w:t>
      </w:r>
    </w:p>
    <w:p w14:paraId="14941B2B" w14:textId="77777777" w:rsidR="00E9581B" w:rsidRDefault="00E9581B" w:rsidP="00B76F40">
      <w:pPr>
        <w:pStyle w:val="ListBullet"/>
        <w:numPr>
          <w:ilvl w:val="0"/>
          <w:numId w:val="0"/>
        </w:numPr>
        <w:ind w:left="360"/>
      </w:pPr>
      <w:r>
        <w:t>Patients eligible for self-administration will be trained by their doctor or nurse per the agreed PI. The CMI and ‘Instructions for Use’ guide warns patients of self-</w:t>
      </w:r>
      <w:r>
        <w:lastRenderedPageBreak/>
        <w:t>administration without training. Together with the pre-filled syringe, the outpatient is to have access to an injection training video.</w:t>
      </w:r>
    </w:p>
    <w:p w14:paraId="10E30C3A" w14:textId="77777777" w:rsidR="00E9581B" w:rsidRDefault="00E9581B" w:rsidP="00B76F40">
      <w:pPr>
        <w:pStyle w:val="ListBullet"/>
        <w:numPr>
          <w:ilvl w:val="0"/>
          <w:numId w:val="0"/>
        </w:numPr>
        <w:ind w:left="360"/>
      </w:pPr>
      <w:r>
        <w:t>PI, CMI and IFU must be included as package insert.</w:t>
      </w:r>
    </w:p>
    <w:p w14:paraId="7158CB1C" w14:textId="77777777" w:rsidR="00E9581B" w:rsidRDefault="00E9581B" w:rsidP="00B76F40">
      <w:pPr>
        <w:pStyle w:val="ListBullet"/>
      </w:pPr>
      <w:r>
        <w:t>It is a condition of registration that all batches of Ajovy (fremanezumab) imported into/manufactured in Australia must comply with the product details and specifications approved during evaluation and detailed in the Certified Product Details (CPD).</w:t>
      </w:r>
    </w:p>
    <w:p w14:paraId="7674DA4B" w14:textId="77777777" w:rsidR="00E9581B" w:rsidRDefault="00E9581B" w:rsidP="00B76F40">
      <w:pPr>
        <w:pStyle w:val="ListBullet"/>
      </w:pPr>
      <w:r>
        <w:t>It is a condition of registration that each batch of Ajovy (fremanezumab) imported into/manufactured in Australia is not released for sale until samples and/or the manufacturer’s release data have been assessed and endorsed for release by the TGA Laboratories Branch. Outcomes of laboratory testing are published biannually in the TGA Database of Laboratory Testing Results http://www.tga.gov.au/ws-labs-index.</w:t>
      </w:r>
    </w:p>
    <w:p w14:paraId="7BE76973" w14:textId="77777777" w:rsidR="00E9581B" w:rsidRDefault="00E9581B" w:rsidP="00B76F40">
      <w:pPr>
        <w:pStyle w:val="ListBullet"/>
        <w:numPr>
          <w:ilvl w:val="0"/>
          <w:numId w:val="0"/>
        </w:numPr>
        <w:ind w:left="360"/>
      </w:pPr>
      <w:r>
        <w:t>The sponsor should be prepared to provide product samples, reference materials and documentary evidence as defined by the TGA Laboratories branch. The sponsor must contact Biochemistry.Testing@health.gov.au for specific material requirements related to the batch release testing/assessment of the product. More information on TGA testing of biological medicines is available at https://www.tga.gov.au/publication/testing-biological-medicines.</w:t>
      </w:r>
    </w:p>
    <w:p w14:paraId="77C56ADE" w14:textId="77777777" w:rsidR="00E9581B" w:rsidRDefault="00E9581B" w:rsidP="00B76F40">
      <w:pPr>
        <w:pStyle w:val="ListBullet"/>
        <w:numPr>
          <w:ilvl w:val="0"/>
          <w:numId w:val="0"/>
        </w:numPr>
        <w:ind w:left="360"/>
      </w:pPr>
      <w:r>
        <w:t>This batch release condition will be reviewed and may be modified on the basis of actual batch quality and consistency. This condition remains in place until you [the sponsor] are notified in writing of any variation.</w:t>
      </w:r>
    </w:p>
    <w:p w14:paraId="6BA1BDDB" w14:textId="77777777" w:rsidR="00E9581B" w:rsidRDefault="00E9581B" w:rsidP="00B76F40">
      <w:pPr>
        <w:pStyle w:val="ListBullet"/>
      </w:pPr>
      <w:r>
        <w:t>Certified Product Details</w:t>
      </w:r>
    </w:p>
    <w:p w14:paraId="36FD7A76" w14:textId="77777777" w:rsidR="00E9581B" w:rsidRDefault="00E9581B" w:rsidP="00B76F40">
      <w:pPr>
        <w:pStyle w:val="ListBullet"/>
        <w:numPr>
          <w:ilvl w:val="0"/>
          <w:numId w:val="0"/>
        </w:numPr>
        <w:ind w:left="360"/>
      </w:pPr>
      <w:r>
        <w:t>The Certified Product Details (CPD), as described in Guidance 7: Certified Product Details of the Australian Regulatory Guidelines for Prescription Medicines (ARGPM) [http://www.tga.gov.au/industry/pm-argpm-guidance-7.htm],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354FDD1B" w14:textId="77777777" w:rsidR="00594979" w:rsidRPr="00982461" w:rsidRDefault="00594979" w:rsidP="00594979">
      <w:pPr>
        <w:pStyle w:val="ListBullet"/>
      </w:pPr>
      <w:r>
        <w:t>For all injectable products the Product Information must be included with the product as a package insert.</w:t>
      </w:r>
    </w:p>
    <w:p w14:paraId="53E21F49" w14:textId="77777777" w:rsidR="00E9581B" w:rsidRDefault="00E9581B" w:rsidP="00E9581B">
      <w:pPr>
        <w:pStyle w:val="Heading2"/>
      </w:pPr>
      <w:bookmarkStart w:id="76" w:name="_Toc22051392"/>
      <w:bookmarkStart w:id="77" w:name="_Toc27745218"/>
      <w:r>
        <w:t>Attachment 1. Product Information</w:t>
      </w:r>
      <w:bookmarkEnd w:id="74"/>
      <w:bookmarkEnd w:id="75"/>
      <w:bookmarkEnd w:id="76"/>
      <w:bookmarkEnd w:id="77"/>
    </w:p>
    <w:p w14:paraId="24D7227E" w14:textId="0E7C287C" w:rsidR="00C80137" w:rsidRPr="001D043B" w:rsidRDefault="00E9581B" w:rsidP="00E9581B">
      <w:pPr>
        <w:pStyle w:val="TableTitle"/>
        <w:sectPr w:rsidR="00C80137" w:rsidRPr="001D043B" w:rsidSect="00B452CE">
          <w:headerReference w:type="even" r:id="rId37"/>
          <w:headerReference w:type="default" r:id="rId38"/>
          <w:headerReference w:type="first" r:id="rId39"/>
          <w:footerReference w:type="first" r:id="rId40"/>
          <w:pgSz w:w="11906" w:h="16838" w:code="9"/>
          <w:pgMar w:top="834" w:right="1701" w:bottom="1191" w:left="1701" w:header="907" w:footer="216" w:gutter="0"/>
          <w:cols w:space="708"/>
          <w:docGrid w:linePitch="360"/>
        </w:sectPr>
      </w:pPr>
      <w:r w:rsidRPr="00E9581B">
        <w:rPr>
          <w:b w:val="0"/>
        </w:rPr>
        <w:t>The PI for Ajovy approved with the submission which is described in this AusPAR is at Attachment 1. For the most recent PI, please refer to the TGA website at &lt;</w:t>
      </w:r>
      <w:hyperlink r:id="rId41" w:history="1">
        <w:r w:rsidRPr="00462BC2">
          <w:rPr>
            <w:b w:val="0"/>
            <w:color w:val="0000FF"/>
            <w:u w:val="single"/>
          </w:rPr>
          <w:t>https://www.tga.gov.au/product-information-pi</w:t>
        </w:r>
      </w:hyperlink>
      <w:r w:rsidRPr="00E9581B">
        <w:rPr>
          <w:b w:val="0"/>
        </w:rPr>
        <w:t>&gt;</w:t>
      </w:r>
      <w:r>
        <w:t>.</w:t>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44BF9B46" w14:textId="77777777" w:rsidTr="00A05FA4">
        <w:trPr>
          <w:trHeight w:hRule="exact" w:val="704"/>
        </w:trPr>
        <w:tc>
          <w:tcPr>
            <w:tcW w:w="9175" w:type="dxa"/>
          </w:tcPr>
          <w:p w14:paraId="6C52EF9F" w14:textId="77777777" w:rsidR="001C32CD" w:rsidRPr="00487162" w:rsidRDefault="001C32CD" w:rsidP="00A05FA4">
            <w:pPr>
              <w:pStyle w:val="TGASignoff"/>
            </w:pPr>
            <w:r w:rsidRPr="00487162">
              <w:lastRenderedPageBreak/>
              <w:t>Therapeutic Goods Administration</w:t>
            </w:r>
          </w:p>
        </w:tc>
      </w:tr>
      <w:tr w:rsidR="001C32CD" w:rsidRPr="004C239D" w14:paraId="58A211FD" w14:textId="77777777" w:rsidTr="00A05FA4">
        <w:trPr>
          <w:trHeight w:val="1221"/>
        </w:trPr>
        <w:tc>
          <w:tcPr>
            <w:tcW w:w="9175" w:type="dxa"/>
            <w:tcMar>
              <w:top w:w="28" w:type="dxa"/>
            </w:tcMar>
          </w:tcPr>
          <w:p w14:paraId="05B4B7A8" w14:textId="77777777" w:rsidR="001C32CD" w:rsidRPr="00487162" w:rsidRDefault="001C32CD" w:rsidP="00A05FA4">
            <w:pPr>
              <w:pStyle w:val="Address"/>
            </w:pPr>
            <w:r w:rsidRPr="00487162">
              <w:t>PO Box 100 Woden ACT 2606 Australia</w:t>
            </w:r>
          </w:p>
          <w:p w14:paraId="00F658BD" w14:textId="77777777" w:rsidR="001C32CD" w:rsidRPr="00487162" w:rsidRDefault="001C32CD" w:rsidP="00A05FA4">
            <w:pPr>
              <w:pStyle w:val="Address"/>
            </w:pPr>
            <w:r w:rsidRPr="00487162">
              <w:t xml:space="preserve">Email: </w:t>
            </w:r>
            <w:hyperlink r:id="rId42" w:history="1">
              <w:r w:rsidRPr="004C239D">
                <w:rPr>
                  <w:rStyle w:val="Hyperlink"/>
                </w:rPr>
                <w:t>info@tga.gov.au</w:t>
              </w:r>
            </w:hyperlink>
            <w:r w:rsidRPr="00487162">
              <w:t xml:space="preserve">  Phone: 1800 020 653  Fax: 02 6232 8605</w:t>
            </w:r>
          </w:p>
          <w:p w14:paraId="05B700B0" w14:textId="77777777" w:rsidR="001C32CD" w:rsidRPr="004C239D" w:rsidRDefault="0025596B" w:rsidP="00A05FA4">
            <w:pPr>
              <w:pStyle w:val="Address"/>
              <w:spacing w:line="260" w:lineRule="atLeast"/>
              <w:rPr>
                <w:b/>
                <w:color w:val="0000FF"/>
                <w:u w:val="single"/>
              </w:rPr>
            </w:pPr>
            <w:hyperlink r:id="rId43" w:history="1">
              <w:r w:rsidR="007C6B9B" w:rsidRPr="007C6B9B">
                <w:rPr>
                  <w:rStyle w:val="Hyperlink"/>
                  <w:b/>
                </w:rPr>
                <w:t>https://www.tga.gov.au</w:t>
              </w:r>
            </w:hyperlink>
          </w:p>
        </w:tc>
      </w:tr>
    </w:tbl>
    <w:p w14:paraId="5C990922" w14:textId="77777777" w:rsidR="00774E1D" w:rsidRPr="008A5E0B" w:rsidRDefault="00774E1D" w:rsidP="004C239D"/>
    <w:sectPr w:rsidR="00774E1D" w:rsidRPr="008A5E0B" w:rsidSect="001C32CD">
      <w:headerReference w:type="even" r:id="rId44"/>
      <w:headerReference w:type="default" r:id="rId45"/>
      <w:footerReference w:type="default" r:id="rId46"/>
      <w:headerReference w:type="first" r:id="rId47"/>
      <w:footerReference w:type="first" r:id="rId4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5B95B6" w14:textId="77777777" w:rsidR="0025596B" w:rsidRDefault="0025596B" w:rsidP="00C40A36">
      <w:pPr>
        <w:spacing w:after="0"/>
      </w:pPr>
      <w:r>
        <w:separator/>
      </w:r>
    </w:p>
  </w:endnote>
  <w:endnote w:type="continuationSeparator" w:id="0">
    <w:p w14:paraId="3F2B8C80" w14:textId="77777777" w:rsidR="0025596B" w:rsidRDefault="0025596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ind">
    <w:altName w:val="Arial"/>
    <w:panose1 w:val="00000000000000000000"/>
    <w:charset w:val="00"/>
    <w:family w:val="swiss"/>
    <w:notTrueType/>
    <w:pitch w:val="default"/>
    <w:sig w:usb0="00000003" w:usb1="00000000" w:usb2="00000000" w:usb3="00000000" w:csb0="00000001" w:csb1="00000000"/>
  </w:font>
  <w:font w:name="TimesNewRoman">
    <w:altName w:val="MS Gothic"/>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25596B" w:rsidRPr="00487162" w14:paraId="02ED4DBD" w14:textId="77777777" w:rsidTr="00DB750B">
      <w:trPr>
        <w:trHeight w:val="269"/>
      </w:trPr>
      <w:tc>
        <w:tcPr>
          <w:tcW w:w="7371" w:type="dxa"/>
          <w:tcMar>
            <w:top w:w="142" w:type="dxa"/>
            <w:bottom w:w="0" w:type="dxa"/>
          </w:tcMar>
        </w:tcPr>
        <w:p w14:paraId="62AAD46B" w14:textId="4724BCBD" w:rsidR="0025596B" w:rsidRPr="00487162" w:rsidRDefault="0025596B" w:rsidP="00635171">
          <w:pPr>
            <w:pStyle w:val="Footer"/>
          </w:pPr>
          <w:r w:rsidRPr="00487162">
            <w:t>AusPA</w:t>
          </w:r>
          <w:r>
            <w:t>R Ajovy Fremanezumab Teva Pharma Australia Pty Ltd PM</w:t>
          </w:r>
          <w:r w:rsidRPr="00173B1C">
            <w:t>-2018-03494-1-1</w:t>
          </w:r>
          <w:r>
            <w:br/>
            <w:t>Final 18 December 2019</w:t>
          </w:r>
        </w:p>
      </w:tc>
      <w:tc>
        <w:tcPr>
          <w:tcW w:w="1490" w:type="dxa"/>
          <w:tcMar>
            <w:top w:w="142" w:type="dxa"/>
            <w:bottom w:w="0" w:type="dxa"/>
          </w:tcMar>
        </w:tcPr>
        <w:p w14:paraId="4EA3F4A5" w14:textId="4CEA5FA1" w:rsidR="0025596B" w:rsidRPr="00487162" w:rsidRDefault="0025596B" w:rsidP="00DB750B">
          <w:pPr>
            <w:pStyle w:val="Footer"/>
            <w:jc w:val="right"/>
          </w:pPr>
          <w:r w:rsidRPr="00487162">
            <w:t xml:space="preserve">Page </w:t>
          </w:r>
          <w:r>
            <w:fldChar w:fldCharType="begin"/>
          </w:r>
          <w:r>
            <w:instrText xml:space="preserve"> PAGE  \* Arabic </w:instrText>
          </w:r>
          <w:r>
            <w:fldChar w:fldCharType="separate"/>
          </w:r>
          <w:r w:rsidR="00F95A1B">
            <w:rPr>
              <w:noProof/>
            </w:rPr>
            <w:t>5</w:t>
          </w:r>
          <w:r>
            <w:fldChar w:fldCharType="end"/>
          </w:r>
          <w:r w:rsidRPr="00487162">
            <w:t xml:space="preserve"> of </w:t>
          </w:r>
          <w:r>
            <w:rPr>
              <w:noProof/>
            </w:rPr>
            <w:fldChar w:fldCharType="begin"/>
          </w:r>
          <w:r>
            <w:rPr>
              <w:noProof/>
            </w:rPr>
            <w:instrText xml:space="preserve"> NUMPAGES  \* Arabic </w:instrText>
          </w:r>
          <w:r>
            <w:rPr>
              <w:noProof/>
            </w:rPr>
            <w:fldChar w:fldCharType="separate"/>
          </w:r>
          <w:r w:rsidR="00F95A1B">
            <w:rPr>
              <w:noProof/>
            </w:rPr>
            <w:t>28</w:t>
          </w:r>
          <w:r>
            <w:rPr>
              <w:noProof/>
            </w:rPr>
            <w:fldChar w:fldCharType="end"/>
          </w:r>
        </w:p>
      </w:tc>
    </w:tr>
  </w:tbl>
  <w:p w14:paraId="64CBFF6F" w14:textId="77777777" w:rsidR="0025596B" w:rsidRDefault="0025596B"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5596B" w:rsidRPr="00487162" w14:paraId="1838F985" w14:textId="77777777" w:rsidTr="00E45619">
      <w:trPr>
        <w:trHeight w:val="269"/>
      </w:trPr>
      <w:tc>
        <w:tcPr>
          <w:tcW w:w="4519" w:type="dxa"/>
          <w:tcBorders>
            <w:top w:val="single" w:sz="4" w:space="0" w:color="auto"/>
          </w:tcBorders>
          <w:tcMar>
            <w:top w:w="142" w:type="dxa"/>
            <w:bottom w:w="0" w:type="dxa"/>
          </w:tcMar>
        </w:tcPr>
        <w:p w14:paraId="1DB4F0F1" w14:textId="77777777" w:rsidR="0025596B" w:rsidRPr="00487162" w:rsidRDefault="0025596B" w:rsidP="00FE1DEE">
          <w:pPr>
            <w:pStyle w:val="Footer"/>
          </w:pPr>
          <w:r w:rsidRPr="00487162">
            <w:t>Document title, Part #, Section # - Section title</w:t>
          </w:r>
        </w:p>
        <w:p w14:paraId="418C10B0" w14:textId="77777777" w:rsidR="0025596B" w:rsidRPr="00487162" w:rsidRDefault="0025596B" w:rsidP="00FE1DEE">
          <w:pPr>
            <w:pStyle w:val="Footer"/>
          </w:pPr>
          <w:r w:rsidRPr="00487162">
            <w:t>V1.0 October 2010</w:t>
          </w:r>
        </w:p>
      </w:tc>
      <w:tc>
        <w:tcPr>
          <w:tcW w:w="4342" w:type="dxa"/>
          <w:tcBorders>
            <w:top w:val="single" w:sz="4" w:space="0" w:color="auto"/>
          </w:tcBorders>
          <w:tcMar>
            <w:top w:w="142" w:type="dxa"/>
            <w:bottom w:w="0" w:type="dxa"/>
          </w:tcMar>
        </w:tcPr>
        <w:p w14:paraId="35690030" w14:textId="26690E20" w:rsidR="0025596B" w:rsidRPr="00487162" w:rsidRDefault="0025596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Pr>
              <w:noProof/>
            </w:rPr>
            <w:fldChar w:fldCharType="begin"/>
          </w:r>
          <w:r>
            <w:rPr>
              <w:noProof/>
            </w:rPr>
            <w:instrText xml:space="preserve"> NUMPAGES  </w:instrText>
          </w:r>
          <w:r>
            <w:rPr>
              <w:noProof/>
            </w:rPr>
            <w:fldChar w:fldCharType="separate"/>
          </w:r>
          <w:r>
            <w:rPr>
              <w:noProof/>
            </w:rPr>
            <w:t>29</w:t>
          </w:r>
          <w:r>
            <w:rPr>
              <w:noProof/>
            </w:rPr>
            <w:fldChar w:fldCharType="end"/>
          </w:r>
        </w:p>
      </w:tc>
    </w:tr>
  </w:tbl>
  <w:p w14:paraId="5CC9331D" w14:textId="77777777" w:rsidR="0025596B" w:rsidRDefault="002559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5A01B" w14:textId="77777777" w:rsidR="0025596B" w:rsidRPr="001C32CD" w:rsidRDefault="0025596B"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5596B" w14:paraId="568F6FE9" w14:textId="77777777" w:rsidTr="0010601F">
      <w:trPr>
        <w:trHeight w:val="108"/>
      </w:trPr>
      <w:tc>
        <w:tcPr>
          <w:tcW w:w="8875" w:type="dxa"/>
          <w:gridSpan w:val="2"/>
          <w:tcBorders>
            <w:bottom w:val="single" w:sz="4" w:space="0" w:color="auto"/>
          </w:tcBorders>
          <w:tcMar>
            <w:right w:w="284" w:type="dxa"/>
          </w:tcMar>
        </w:tcPr>
        <w:p w14:paraId="2F550B7E" w14:textId="77777777" w:rsidR="0025596B" w:rsidRDefault="0025596B" w:rsidP="006E08B3">
          <w:pPr>
            <w:pStyle w:val="Heading3"/>
          </w:pPr>
          <w:r>
            <w:t>Copyright</w:t>
          </w:r>
        </w:p>
        <w:p w14:paraId="6CA69E4A" w14:textId="77777777" w:rsidR="0025596B" w:rsidRDefault="0025596B" w:rsidP="006E08B3">
          <w:r>
            <w:rPr>
              <w:rFonts w:cs="Arial"/>
            </w:rPr>
            <w:t>©</w:t>
          </w:r>
          <w:r>
            <w:t xml:space="preserve"> Commonwealth of Australia [add year]</w:t>
          </w:r>
        </w:p>
        <w:p w14:paraId="4F135B97" w14:textId="77777777" w:rsidR="0025596B" w:rsidRDefault="0025596B" w:rsidP="006E08B3"/>
        <w:p w14:paraId="34ADA079" w14:textId="77777777" w:rsidR="0025596B" w:rsidRDefault="0025596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03F21C06" w14:textId="77777777" w:rsidR="0025596B" w:rsidRDefault="0025596B" w:rsidP="006E08B3"/>
        <w:p w14:paraId="7A29D264" w14:textId="77777777" w:rsidR="0025596B" w:rsidRDefault="0025596B" w:rsidP="006E08B3">
          <w:pPr>
            <w:pStyle w:val="Heading3"/>
          </w:pPr>
          <w:r>
            <w:t>Confidentiality</w:t>
          </w:r>
        </w:p>
        <w:p w14:paraId="317939B8" w14:textId="77777777" w:rsidR="0025596B" w:rsidRDefault="0025596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2A81732" w14:textId="77777777" w:rsidR="0025596B" w:rsidRDefault="0025596B" w:rsidP="006E08B3"/>
        <w:p w14:paraId="558E9A5A" w14:textId="77777777" w:rsidR="0025596B" w:rsidRDefault="0025596B" w:rsidP="006E08B3">
          <w:r>
            <w:t>For submission made by individuals, all personal details, other than your name, will be removed from your submission before it is published on the TGA’s Internet site.</w:t>
          </w:r>
        </w:p>
        <w:p w14:paraId="5AC44995" w14:textId="77777777" w:rsidR="0025596B" w:rsidRDefault="0025596B" w:rsidP="006E08B3"/>
        <w:p w14:paraId="3747BFA2" w14:textId="77777777" w:rsidR="0025596B" w:rsidRDefault="0025596B" w:rsidP="006E08B3">
          <w:r>
            <w:t>In addition, a list of parties making submissions will be published. If you do not wish to be identified with your submission you must specifically request this in the space provided ib the submission coversheet.</w:t>
          </w:r>
        </w:p>
      </w:tc>
    </w:tr>
    <w:tr w:rsidR="0025596B" w14:paraId="1A3CEFCA" w14:textId="77777777" w:rsidTr="0010601F">
      <w:trPr>
        <w:trHeight w:val="417"/>
      </w:trPr>
      <w:tc>
        <w:tcPr>
          <w:tcW w:w="4519" w:type="dxa"/>
          <w:tcBorders>
            <w:top w:val="single" w:sz="4" w:space="0" w:color="auto"/>
          </w:tcBorders>
          <w:tcMar>
            <w:top w:w="142" w:type="dxa"/>
            <w:bottom w:w="0" w:type="dxa"/>
          </w:tcMar>
        </w:tcPr>
        <w:p w14:paraId="57C5111D" w14:textId="77777777" w:rsidR="0025596B" w:rsidRDefault="0025596B" w:rsidP="006E08B3">
          <w:r>
            <w:t>Document title, Part #, Section # - Section title</w:t>
          </w:r>
        </w:p>
        <w:p w14:paraId="3E2E6CB6" w14:textId="77777777" w:rsidR="0025596B" w:rsidRDefault="0025596B" w:rsidP="006E08B3">
          <w:r>
            <w:t>V1.0 October 2010</w:t>
          </w:r>
        </w:p>
      </w:tc>
      <w:tc>
        <w:tcPr>
          <w:tcW w:w="4356" w:type="dxa"/>
          <w:tcBorders>
            <w:top w:val="single" w:sz="4" w:space="0" w:color="auto"/>
          </w:tcBorders>
          <w:tcMar>
            <w:top w:w="142" w:type="dxa"/>
            <w:bottom w:w="0" w:type="dxa"/>
          </w:tcMar>
        </w:tcPr>
        <w:p w14:paraId="160D6088" w14:textId="6002B394" w:rsidR="0025596B" w:rsidRDefault="0025596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Pr>
              <w:noProof/>
            </w:rPr>
            <w:fldChar w:fldCharType="begin"/>
          </w:r>
          <w:r>
            <w:rPr>
              <w:noProof/>
            </w:rPr>
            <w:instrText xml:space="preserve"> NUMPAGES  \* Arabic </w:instrText>
          </w:r>
          <w:r>
            <w:rPr>
              <w:noProof/>
            </w:rPr>
            <w:fldChar w:fldCharType="separate"/>
          </w:r>
          <w:r>
            <w:rPr>
              <w:noProof/>
            </w:rPr>
            <w:t>29</w:t>
          </w:r>
          <w:r>
            <w:rPr>
              <w:noProof/>
            </w:rPr>
            <w:fldChar w:fldCharType="end"/>
          </w:r>
          <w:bookmarkStart w:id="78" w:name="_Toc196046425"/>
          <w:bookmarkStart w:id="79" w:name="_Toc247691501"/>
          <w:r>
            <w:t xml:space="preserve">  </w:t>
          </w:r>
        </w:p>
      </w:tc>
    </w:tr>
    <w:bookmarkEnd w:id="78"/>
    <w:bookmarkEnd w:id="79"/>
  </w:tbl>
  <w:p w14:paraId="2EC7DC92" w14:textId="77777777" w:rsidR="0025596B" w:rsidRDefault="0025596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8D010C" w14:textId="77777777" w:rsidR="0025596B" w:rsidRDefault="0025596B" w:rsidP="00C40A36">
      <w:pPr>
        <w:spacing w:after="0"/>
      </w:pPr>
      <w:r>
        <w:separator/>
      </w:r>
    </w:p>
  </w:footnote>
  <w:footnote w:type="continuationSeparator" w:id="0">
    <w:p w14:paraId="6B430ACC" w14:textId="77777777" w:rsidR="0025596B" w:rsidRDefault="0025596B" w:rsidP="00C40A36">
      <w:pPr>
        <w:spacing w:after="0"/>
      </w:pPr>
      <w:r>
        <w:continuationSeparator/>
      </w:r>
    </w:p>
  </w:footnote>
  <w:footnote w:id="1">
    <w:p w14:paraId="5FF893B3" w14:textId="77777777" w:rsidR="0025596B" w:rsidRPr="00637D62" w:rsidRDefault="0025596B" w:rsidP="00A86998">
      <w:pPr>
        <w:pStyle w:val="FootnoteText"/>
        <w:rPr>
          <w:lang w:val="en" w:eastAsia="en-AU"/>
        </w:rPr>
      </w:pPr>
      <w:r>
        <w:rPr>
          <w:rStyle w:val="FootnoteReference"/>
        </w:rPr>
        <w:footnoteRef/>
      </w:r>
      <w:r>
        <w:t xml:space="preserve"> </w:t>
      </w:r>
      <w:r w:rsidRPr="00637D62">
        <w:t xml:space="preserve">Category B1: </w:t>
      </w:r>
      <w:r w:rsidRPr="00637D62">
        <w:rPr>
          <w:lang w:val="en" w:eastAsia="en-AU"/>
        </w:rPr>
        <w:t>Drugs which have been taken by only a limited number of pregnant women and women of childbearing age, without an increase in the frequency of malformation or other direct or indirect harmful effects on the human fetus having been observed.</w:t>
      </w:r>
    </w:p>
    <w:p w14:paraId="5E471A89" w14:textId="77777777" w:rsidR="0025596B" w:rsidRDefault="0025596B" w:rsidP="00A86998">
      <w:pPr>
        <w:pStyle w:val="FootnoteText"/>
      </w:pPr>
      <w:r w:rsidRPr="00637D62">
        <w:rPr>
          <w:lang w:val="en" w:eastAsia="en-AU"/>
        </w:rPr>
        <w:t>Studies in animals have not shown evidence of an increased occurrence of fetal damage.</w:t>
      </w:r>
    </w:p>
  </w:footnote>
  <w:footnote w:id="2">
    <w:p w14:paraId="06A29D1E" w14:textId="77777777" w:rsidR="0025596B" w:rsidRDefault="0025596B" w:rsidP="00E9581B">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27724471" w14:textId="77777777" w:rsidR="0025596B" w:rsidRPr="00456765" w:rsidRDefault="0025596B" w:rsidP="00E9581B">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56331" w14:textId="77777777" w:rsidR="0025596B" w:rsidRDefault="0025596B"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374EB" w14:textId="77777777" w:rsidR="0025596B" w:rsidRDefault="0025596B">
    <w:pPr>
      <w:rPr>
        <w:noProof/>
        <w:lang w:eastAsia="en-AU"/>
      </w:rPr>
    </w:pPr>
    <w:r w:rsidRPr="00347824">
      <w:rPr>
        <w:noProof/>
        <w:lang w:eastAsia="en-AU"/>
      </w:rPr>
      <w:drawing>
        <wp:anchor distT="0" distB="0" distL="114300" distR="114300" simplePos="0" relativeHeight="251659264" behindDoc="1" locked="0" layoutInCell="1" allowOverlap="1" wp14:anchorId="0D25F41E" wp14:editId="0412DC99">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BF94865" w14:textId="77777777" w:rsidR="0025596B" w:rsidRDefault="0025596B"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3E27E" w14:textId="77777777" w:rsidR="0025596B" w:rsidRDefault="002559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4C745" w14:textId="77777777" w:rsidR="0025596B" w:rsidRDefault="0025596B">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13EBE" w14:textId="77777777" w:rsidR="0025596B" w:rsidRDefault="0025596B">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8ABEE" w14:textId="77777777" w:rsidR="0025596B" w:rsidRDefault="0025596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9990F" w14:textId="77777777" w:rsidR="0025596B" w:rsidRDefault="0025596B"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9B09C" w14:textId="77777777" w:rsidR="0025596B" w:rsidRDefault="0025596B" w:rsidP="006E08B3">
    <w:r>
      <w:t>Therapeutic Goods Administration</w:t>
    </w:r>
  </w:p>
  <w:p w14:paraId="31C946AF" w14:textId="77777777" w:rsidR="0025596B" w:rsidRDefault="0025596B"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1AD62747"/>
    <w:multiLevelType w:val="hybridMultilevel"/>
    <w:tmpl w:val="2A22D7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60B35CB"/>
    <w:multiLevelType w:val="hybridMultilevel"/>
    <w:tmpl w:val="38D226AC"/>
    <w:lvl w:ilvl="0" w:tplc="BDAE6536">
      <w:numFmt w:val="bullet"/>
      <w:lvlText w:val="•"/>
      <w:lvlJc w:val="left"/>
      <w:pPr>
        <w:ind w:left="360" w:hanging="360"/>
      </w:pPr>
      <w:rPr>
        <w:rFonts w:ascii="Cambria" w:eastAsia="Cambria" w:hAnsi="Cambria" w:cs="Times New Roman" w:hint="default"/>
      </w:rPr>
    </w:lvl>
    <w:lvl w:ilvl="1" w:tplc="0C09000F">
      <w:start w:val="1"/>
      <w:numFmt w:val="decimal"/>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9" w15:restartNumberingAfterBreak="0">
    <w:nsid w:val="4B497AC0"/>
    <w:multiLevelType w:val="hybridMultilevel"/>
    <w:tmpl w:val="AF861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7A7E58"/>
    <w:multiLevelType w:val="hybridMultilevel"/>
    <w:tmpl w:val="8E1A173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50D147C"/>
    <w:multiLevelType w:val="hybridMultilevel"/>
    <w:tmpl w:val="481E3E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03210B6"/>
    <w:multiLevelType w:val="hybridMultilevel"/>
    <w:tmpl w:val="225C7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14"/>
  </w:num>
  <w:num w:numId="29">
    <w:abstractNumId w:val="13"/>
  </w:num>
  <w:num w:numId="30">
    <w:abstractNumId w:val="10"/>
  </w:num>
  <w:num w:numId="31">
    <w:abstractNumId w:val="4"/>
  </w:num>
  <w:num w:numId="32">
    <w:abstractNumId w:val="7"/>
  </w:num>
  <w:num w:numId="3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8"/>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7"/>
  <w:activeWritingStyle w:appName="MSWord" w:lang="es-ES" w:vendorID="64" w:dllVersion="131078" w:nlCheck="1" w:checkStyle="0"/>
  <w:activeWritingStyle w:appName="MSWord" w:lang="en-AU" w:vendorID="64" w:dllVersion="131078" w:nlCheck="1" w:checkStyle="0"/>
  <w:activeWritingStyle w:appName="MSWord" w:lang="en-US" w:vendorID="64" w:dllVersion="131078" w:nlCheck="1" w:checkStyle="0"/>
  <w:activeWritingStyle w:appName="MSWord" w:lang="en-GB" w:vendorID="64" w:dllVersion="131078" w:nlCheck="1" w:checkStyle="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81B"/>
    <w:rsid w:val="00002031"/>
    <w:rsid w:val="00003EE4"/>
    <w:rsid w:val="00004734"/>
    <w:rsid w:val="00006B22"/>
    <w:rsid w:val="00010BCF"/>
    <w:rsid w:val="0001276A"/>
    <w:rsid w:val="000246AE"/>
    <w:rsid w:val="00025C67"/>
    <w:rsid w:val="00044772"/>
    <w:rsid w:val="0004541C"/>
    <w:rsid w:val="0005559E"/>
    <w:rsid w:val="000604D6"/>
    <w:rsid w:val="00070E53"/>
    <w:rsid w:val="000734D8"/>
    <w:rsid w:val="00077775"/>
    <w:rsid w:val="00090471"/>
    <w:rsid w:val="00096AA7"/>
    <w:rsid w:val="000A3AED"/>
    <w:rsid w:val="000A7D7D"/>
    <w:rsid w:val="000B3532"/>
    <w:rsid w:val="000B3A75"/>
    <w:rsid w:val="000B49B8"/>
    <w:rsid w:val="000C00C2"/>
    <w:rsid w:val="000C352A"/>
    <w:rsid w:val="000C4ACC"/>
    <w:rsid w:val="000C690F"/>
    <w:rsid w:val="000D1295"/>
    <w:rsid w:val="000D391B"/>
    <w:rsid w:val="000D3D6D"/>
    <w:rsid w:val="000D4EB7"/>
    <w:rsid w:val="000D4FC7"/>
    <w:rsid w:val="000E6196"/>
    <w:rsid w:val="000F4869"/>
    <w:rsid w:val="000F5B42"/>
    <w:rsid w:val="000F6E6F"/>
    <w:rsid w:val="0010601F"/>
    <w:rsid w:val="0010788A"/>
    <w:rsid w:val="00107A31"/>
    <w:rsid w:val="00110EA5"/>
    <w:rsid w:val="00112F56"/>
    <w:rsid w:val="00123D86"/>
    <w:rsid w:val="00124ACD"/>
    <w:rsid w:val="00125318"/>
    <w:rsid w:val="001305A2"/>
    <w:rsid w:val="00133238"/>
    <w:rsid w:val="00133A1B"/>
    <w:rsid w:val="00136876"/>
    <w:rsid w:val="0014197B"/>
    <w:rsid w:val="001447CD"/>
    <w:rsid w:val="00150E11"/>
    <w:rsid w:val="001516B1"/>
    <w:rsid w:val="001522FE"/>
    <w:rsid w:val="00154EBB"/>
    <w:rsid w:val="00156316"/>
    <w:rsid w:val="00157D60"/>
    <w:rsid w:val="00161181"/>
    <w:rsid w:val="00162655"/>
    <w:rsid w:val="00162D14"/>
    <w:rsid w:val="00163780"/>
    <w:rsid w:val="00165389"/>
    <w:rsid w:val="0017693F"/>
    <w:rsid w:val="0018110E"/>
    <w:rsid w:val="00181684"/>
    <w:rsid w:val="001843C6"/>
    <w:rsid w:val="001850E0"/>
    <w:rsid w:val="001A03AF"/>
    <w:rsid w:val="001A2158"/>
    <w:rsid w:val="001A39CA"/>
    <w:rsid w:val="001A525F"/>
    <w:rsid w:val="001A64CA"/>
    <w:rsid w:val="001B09F9"/>
    <w:rsid w:val="001B5C90"/>
    <w:rsid w:val="001B6448"/>
    <w:rsid w:val="001B7ED1"/>
    <w:rsid w:val="001C32CD"/>
    <w:rsid w:val="001C5F2F"/>
    <w:rsid w:val="001D2984"/>
    <w:rsid w:val="001D5437"/>
    <w:rsid w:val="001E07CF"/>
    <w:rsid w:val="001E59F1"/>
    <w:rsid w:val="001F2CEE"/>
    <w:rsid w:val="001F49EB"/>
    <w:rsid w:val="001F6CBA"/>
    <w:rsid w:val="00201D4E"/>
    <w:rsid w:val="002076C9"/>
    <w:rsid w:val="00212D44"/>
    <w:rsid w:val="0021482D"/>
    <w:rsid w:val="00220949"/>
    <w:rsid w:val="00220B8A"/>
    <w:rsid w:val="002257F3"/>
    <w:rsid w:val="00233456"/>
    <w:rsid w:val="002339A5"/>
    <w:rsid w:val="002502C1"/>
    <w:rsid w:val="0025596B"/>
    <w:rsid w:val="00255990"/>
    <w:rsid w:val="00257848"/>
    <w:rsid w:val="0027084A"/>
    <w:rsid w:val="00273E82"/>
    <w:rsid w:val="00280265"/>
    <w:rsid w:val="002844A9"/>
    <w:rsid w:val="00286434"/>
    <w:rsid w:val="00286C59"/>
    <w:rsid w:val="00291957"/>
    <w:rsid w:val="002924D3"/>
    <w:rsid w:val="00293FC4"/>
    <w:rsid w:val="002942D1"/>
    <w:rsid w:val="0029501A"/>
    <w:rsid w:val="002A0B3E"/>
    <w:rsid w:val="002A3721"/>
    <w:rsid w:val="002B1638"/>
    <w:rsid w:val="002B3624"/>
    <w:rsid w:val="002D0952"/>
    <w:rsid w:val="002E06CD"/>
    <w:rsid w:val="002E40B3"/>
    <w:rsid w:val="002E4C9A"/>
    <w:rsid w:val="002E4E02"/>
    <w:rsid w:val="002F11F8"/>
    <w:rsid w:val="002F3F56"/>
    <w:rsid w:val="002F44B5"/>
    <w:rsid w:val="002F5122"/>
    <w:rsid w:val="002F76A5"/>
    <w:rsid w:val="003000F3"/>
    <w:rsid w:val="00301B6C"/>
    <w:rsid w:val="00311AC0"/>
    <w:rsid w:val="00313CBC"/>
    <w:rsid w:val="003176FC"/>
    <w:rsid w:val="00317E0D"/>
    <w:rsid w:val="0032235B"/>
    <w:rsid w:val="0032583B"/>
    <w:rsid w:val="00327883"/>
    <w:rsid w:val="00335504"/>
    <w:rsid w:val="00340C18"/>
    <w:rsid w:val="003442FD"/>
    <w:rsid w:val="00347824"/>
    <w:rsid w:val="00350567"/>
    <w:rsid w:val="003521E8"/>
    <w:rsid w:val="00360221"/>
    <w:rsid w:val="00364599"/>
    <w:rsid w:val="00370CE3"/>
    <w:rsid w:val="003728F3"/>
    <w:rsid w:val="003735BC"/>
    <w:rsid w:val="00374344"/>
    <w:rsid w:val="0037496E"/>
    <w:rsid w:val="0038231E"/>
    <w:rsid w:val="00383221"/>
    <w:rsid w:val="00386150"/>
    <w:rsid w:val="003874CE"/>
    <w:rsid w:val="00390900"/>
    <w:rsid w:val="003A7F6C"/>
    <w:rsid w:val="003B34B1"/>
    <w:rsid w:val="003B4D60"/>
    <w:rsid w:val="003B7E39"/>
    <w:rsid w:val="003C58DC"/>
    <w:rsid w:val="003D1C38"/>
    <w:rsid w:val="003D1E62"/>
    <w:rsid w:val="003D466A"/>
    <w:rsid w:val="003E0B99"/>
    <w:rsid w:val="003E2486"/>
    <w:rsid w:val="003E3208"/>
    <w:rsid w:val="003E6458"/>
    <w:rsid w:val="003F0B04"/>
    <w:rsid w:val="003F5863"/>
    <w:rsid w:val="003F6320"/>
    <w:rsid w:val="0040134E"/>
    <w:rsid w:val="004023D9"/>
    <w:rsid w:val="004045DC"/>
    <w:rsid w:val="004334C7"/>
    <w:rsid w:val="00440A2D"/>
    <w:rsid w:val="00441C3F"/>
    <w:rsid w:val="00444D1A"/>
    <w:rsid w:val="0045186A"/>
    <w:rsid w:val="004564A7"/>
    <w:rsid w:val="00456765"/>
    <w:rsid w:val="00456894"/>
    <w:rsid w:val="004617BF"/>
    <w:rsid w:val="00462BC2"/>
    <w:rsid w:val="00463658"/>
    <w:rsid w:val="004637A0"/>
    <w:rsid w:val="004722CC"/>
    <w:rsid w:val="00480239"/>
    <w:rsid w:val="0048107D"/>
    <w:rsid w:val="00490483"/>
    <w:rsid w:val="004936E4"/>
    <w:rsid w:val="00494E60"/>
    <w:rsid w:val="00497487"/>
    <w:rsid w:val="004A0250"/>
    <w:rsid w:val="004A2771"/>
    <w:rsid w:val="004A6189"/>
    <w:rsid w:val="004A7390"/>
    <w:rsid w:val="004B1A2D"/>
    <w:rsid w:val="004B7B76"/>
    <w:rsid w:val="004C0FBE"/>
    <w:rsid w:val="004C239D"/>
    <w:rsid w:val="004C2DCA"/>
    <w:rsid w:val="004C2EBF"/>
    <w:rsid w:val="004C61D2"/>
    <w:rsid w:val="004E27C2"/>
    <w:rsid w:val="004F0C4A"/>
    <w:rsid w:val="004F0F38"/>
    <w:rsid w:val="004F47D6"/>
    <w:rsid w:val="004F713B"/>
    <w:rsid w:val="00500337"/>
    <w:rsid w:val="00501921"/>
    <w:rsid w:val="00515E1C"/>
    <w:rsid w:val="00521724"/>
    <w:rsid w:val="00530354"/>
    <w:rsid w:val="00535F72"/>
    <w:rsid w:val="0053625B"/>
    <w:rsid w:val="005434C6"/>
    <w:rsid w:val="00543B39"/>
    <w:rsid w:val="00545309"/>
    <w:rsid w:val="00546154"/>
    <w:rsid w:val="00550096"/>
    <w:rsid w:val="00555280"/>
    <w:rsid w:val="00557FF9"/>
    <w:rsid w:val="00562327"/>
    <w:rsid w:val="005711D5"/>
    <w:rsid w:val="00576378"/>
    <w:rsid w:val="00577130"/>
    <w:rsid w:val="00577945"/>
    <w:rsid w:val="00577E38"/>
    <w:rsid w:val="00585322"/>
    <w:rsid w:val="005857C6"/>
    <w:rsid w:val="00592F6E"/>
    <w:rsid w:val="00593AD1"/>
    <w:rsid w:val="00594979"/>
    <w:rsid w:val="005A68B6"/>
    <w:rsid w:val="005C1177"/>
    <w:rsid w:val="005C5570"/>
    <w:rsid w:val="005C79A4"/>
    <w:rsid w:val="005D5442"/>
    <w:rsid w:val="006024BF"/>
    <w:rsid w:val="00603F32"/>
    <w:rsid w:val="00605AD4"/>
    <w:rsid w:val="006136D7"/>
    <w:rsid w:val="006230C0"/>
    <w:rsid w:val="006239A1"/>
    <w:rsid w:val="00625A6E"/>
    <w:rsid w:val="00632398"/>
    <w:rsid w:val="006341A1"/>
    <w:rsid w:val="006343F6"/>
    <w:rsid w:val="00635171"/>
    <w:rsid w:val="00640FC3"/>
    <w:rsid w:val="00642020"/>
    <w:rsid w:val="006430EE"/>
    <w:rsid w:val="0065337B"/>
    <w:rsid w:val="0065419D"/>
    <w:rsid w:val="006603BC"/>
    <w:rsid w:val="006604D8"/>
    <w:rsid w:val="00663520"/>
    <w:rsid w:val="00664A5B"/>
    <w:rsid w:val="0066735C"/>
    <w:rsid w:val="00667633"/>
    <w:rsid w:val="006763D2"/>
    <w:rsid w:val="00680C08"/>
    <w:rsid w:val="006823A3"/>
    <w:rsid w:val="00684087"/>
    <w:rsid w:val="006916A0"/>
    <w:rsid w:val="006931B1"/>
    <w:rsid w:val="006A05EC"/>
    <w:rsid w:val="006A15C0"/>
    <w:rsid w:val="006A58A8"/>
    <w:rsid w:val="006C3E2A"/>
    <w:rsid w:val="006C642F"/>
    <w:rsid w:val="006D03E5"/>
    <w:rsid w:val="006D5D3E"/>
    <w:rsid w:val="006E08B3"/>
    <w:rsid w:val="006E4719"/>
    <w:rsid w:val="006F17AC"/>
    <w:rsid w:val="006F25B8"/>
    <w:rsid w:val="006F572E"/>
    <w:rsid w:val="007046D6"/>
    <w:rsid w:val="00705DB0"/>
    <w:rsid w:val="00722B57"/>
    <w:rsid w:val="00730F8A"/>
    <w:rsid w:val="00732468"/>
    <w:rsid w:val="007343CB"/>
    <w:rsid w:val="00735A8C"/>
    <w:rsid w:val="0074253D"/>
    <w:rsid w:val="00742FFF"/>
    <w:rsid w:val="00743E63"/>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86EE7"/>
    <w:rsid w:val="00793A59"/>
    <w:rsid w:val="007977FC"/>
    <w:rsid w:val="007A46F5"/>
    <w:rsid w:val="007A6505"/>
    <w:rsid w:val="007B6132"/>
    <w:rsid w:val="007B6E9F"/>
    <w:rsid w:val="007C0F74"/>
    <w:rsid w:val="007C1216"/>
    <w:rsid w:val="007C1AF7"/>
    <w:rsid w:val="007C6B9B"/>
    <w:rsid w:val="007E05BE"/>
    <w:rsid w:val="007F4075"/>
    <w:rsid w:val="00805D27"/>
    <w:rsid w:val="00806DCB"/>
    <w:rsid w:val="00821776"/>
    <w:rsid w:val="008321F5"/>
    <w:rsid w:val="00832369"/>
    <w:rsid w:val="00834660"/>
    <w:rsid w:val="00836BC2"/>
    <w:rsid w:val="0085156D"/>
    <w:rsid w:val="00852B28"/>
    <w:rsid w:val="0085409B"/>
    <w:rsid w:val="0085641B"/>
    <w:rsid w:val="00857136"/>
    <w:rsid w:val="00862CCF"/>
    <w:rsid w:val="0087579A"/>
    <w:rsid w:val="00875A6B"/>
    <w:rsid w:val="00885B11"/>
    <w:rsid w:val="00886D15"/>
    <w:rsid w:val="00887DD8"/>
    <w:rsid w:val="00891BA9"/>
    <w:rsid w:val="00896018"/>
    <w:rsid w:val="008960DD"/>
    <w:rsid w:val="0089635C"/>
    <w:rsid w:val="008A242D"/>
    <w:rsid w:val="008A2B9D"/>
    <w:rsid w:val="008A3D9F"/>
    <w:rsid w:val="008A5E0B"/>
    <w:rsid w:val="008A6D59"/>
    <w:rsid w:val="008B4B03"/>
    <w:rsid w:val="008B596F"/>
    <w:rsid w:val="008C0D02"/>
    <w:rsid w:val="008C159F"/>
    <w:rsid w:val="008C1623"/>
    <w:rsid w:val="008C1850"/>
    <w:rsid w:val="008C51A9"/>
    <w:rsid w:val="008E7846"/>
    <w:rsid w:val="008F02E5"/>
    <w:rsid w:val="008F1CCC"/>
    <w:rsid w:val="008F24EF"/>
    <w:rsid w:val="008F2967"/>
    <w:rsid w:val="008F5197"/>
    <w:rsid w:val="008F6943"/>
    <w:rsid w:val="009018FD"/>
    <w:rsid w:val="00902A21"/>
    <w:rsid w:val="0091159B"/>
    <w:rsid w:val="009117AC"/>
    <w:rsid w:val="0091523F"/>
    <w:rsid w:val="00920330"/>
    <w:rsid w:val="00920A73"/>
    <w:rsid w:val="009219D7"/>
    <w:rsid w:val="00922D53"/>
    <w:rsid w:val="00923B70"/>
    <w:rsid w:val="00924482"/>
    <w:rsid w:val="00930237"/>
    <w:rsid w:val="00937C17"/>
    <w:rsid w:val="00940A89"/>
    <w:rsid w:val="00941F77"/>
    <w:rsid w:val="00946EA5"/>
    <w:rsid w:val="009613E7"/>
    <w:rsid w:val="00963C08"/>
    <w:rsid w:val="00966760"/>
    <w:rsid w:val="0097179A"/>
    <w:rsid w:val="009752A5"/>
    <w:rsid w:val="0098585A"/>
    <w:rsid w:val="009A4CED"/>
    <w:rsid w:val="009A690D"/>
    <w:rsid w:val="009B1717"/>
    <w:rsid w:val="009B1D12"/>
    <w:rsid w:val="009B416B"/>
    <w:rsid w:val="009C2544"/>
    <w:rsid w:val="009C4BD5"/>
    <w:rsid w:val="009C5F3F"/>
    <w:rsid w:val="009D1A5C"/>
    <w:rsid w:val="009D7B77"/>
    <w:rsid w:val="009E0BB0"/>
    <w:rsid w:val="009E3FBB"/>
    <w:rsid w:val="009F5DD1"/>
    <w:rsid w:val="009F7353"/>
    <w:rsid w:val="00A04F85"/>
    <w:rsid w:val="00A05FA4"/>
    <w:rsid w:val="00A102E4"/>
    <w:rsid w:val="00A1219C"/>
    <w:rsid w:val="00A12C42"/>
    <w:rsid w:val="00A14DF7"/>
    <w:rsid w:val="00A22D57"/>
    <w:rsid w:val="00A3246D"/>
    <w:rsid w:val="00A36FA7"/>
    <w:rsid w:val="00A37815"/>
    <w:rsid w:val="00A44DDB"/>
    <w:rsid w:val="00A46FC3"/>
    <w:rsid w:val="00A475B7"/>
    <w:rsid w:val="00A47AF7"/>
    <w:rsid w:val="00A47C3E"/>
    <w:rsid w:val="00A50226"/>
    <w:rsid w:val="00A60BAD"/>
    <w:rsid w:val="00A77F87"/>
    <w:rsid w:val="00A80B5B"/>
    <w:rsid w:val="00A82901"/>
    <w:rsid w:val="00A84E36"/>
    <w:rsid w:val="00A86998"/>
    <w:rsid w:val="00A964D1"/>
    <w:rsid w:val="00AA0ED0"/>
    <w:rsid w:val="00AA18E1"/>
    <w:rsid w:val="00AB1F61"/>
    <w:rsid w:val="00AB3A67"/>
    <w:rsid w:val="00AB70D6"/>
    <w:rsid w:val="00AC2B40"/>
    <w:rsid w:val="00AC2BB2"/>
    <w:rsid w:val="00AC2C3C"/>
    <w:rsid w:val="00AC512D"/>
    <w:rsid w:val="00AD0083"/>
    <w:rsid w:val="00AD1946"/>
    <w:rsid w:val="00AD3935"/>
    <w:rsid w:val="00AE21E0"/>
    <w:rsid w:val="00AE65EB"/>
    <w:rsid w:val="00AE67A7"/>
    <w:rsid w:val="00AF1D94"/>
    <w:rsid w:val="00AF60C5"/>
    <w:rsid w:val="00AF7B7E"/>
    <w:rsid w:val="00B009C6"/>
    <w:rsid w:val="00B01548"/>
    <w:rsid w:val="00B130C5"/>
    <w:rsid w:val="00B13EBD"/>
    <w:rsid w:val="00B21D29"/>
    <w:rsid w:val="00B25034"/>
    <w:rsid w:val="00B33588"/>
    <w:rsid w:val="00B33863"/>
    <w:rsid w:val="00B374A3"/>
    <w:rsid w:val="00B37D17"/>
    <w:rsid w:val="00B4175E"/>
    <w:rsid w:val="00B41C85"/>
    <w:rsid w:val="00B452CE"/>
    <w:rsid w:val="00B54C25"/>
    <w:rsid w:val="00B61050"/>
    <w:rsid w:val="00B62B5D"/>
    <w:rsid w:val="00B7295D"/>
    <w:rsid w:val="00B76B91"/>
    <w:rsid w:val="00B76F40"/>
    <w:rsid w:val="00B77EB1"/>
    <w:rsid w:val="00B811C6"/>
    <w:rsid w:val="00B855B0"/>
    <w:rsid w:val="00B9130F"/>
    <w:rsid w:val="00B92E08"/>
    <w:rsid w:val="00BA5005"/>
    <w:rsid w:val="00BA5674"/>
    <w:rsid w:val="00BC138D"/>
    <w:rsid w:val="00BC2C61"/>
    <w:rsid w:val="00BC622A"/>
    <w:rsid w:val="00BD03FF"/>
    <w:rsid w:val="00BE0A78"/>
    <w:rsid w:val="00BE0DCD"/>
    <w:rsid w:val="00BE79F0"/>
    <w:rsid w:val="00BF046D"/>
    <w:rsid w:val="00BF1190"/>
    <w:rsid w:val="00BF3774"/>
    <w:rsid w:val="00BF5D04"/>
    <w:rsid w:val="00C009AA"/>
    <w:rsid w:val="00C069F9"/>
    <w:rsid w:val="00C1164D"/>
    <w:rsid w:val="00C16861"/>
    <w:rsid w:val="00C346AB"/>
    <w:rsid w:val="00C404A6"/>
    <w:rsid w:val="00C40A36"/>
    <w:rsid w:val="00C44419"/>
    <w:rsid w:val="00C45E7B"/>
    <w:rsid w:val="00C471B1"/>
    <w:rsid w:val="00C52E24"/>
    <w:rsid w:val="00C60512"/>
    <w:rsid w:val="00C630D6"/>
    <w:rsid w:val="00C6316B"/>
    <w:rsid w:val="00C634A9"/>
    <w:rsid w:val="00C64586"/>
    <w:rsid w:val="00C70D53"/>
    <w:rsid w:val="00C73D0B"/>
    <w:rsid w:val="00C772FF"/>
    <w:rsid w:val="00C80137"/>
    <w:rsid w:val="00C801AF"/>
    <w:rsid w:val="00C80256"/>
    <w:rsid w:val="00C818CF"/>
    <w:rsid w:val="00C94CD4"/>
    <w:rsid w:val="00C9747E"/>
    <w:rsid w:val="00CB25F2"/>
    <w:rsid w:val="00CB6BC0"/>
    <w:rsid w:val="00CC1B7C"/>
    <w:rsid w:val="00CC727F"/>
    <w:rsid w:val="00CE3675"/>
    <w:rsid w:val="00CF15C3"/>
    <w:rsid w:val="00CF2B6F"/>
    <w:rsid w:val="00CF2F3E"/>
    <w:rsid w:val="00CF58B6"/>
    <w:rsid w:val="00D0062D"/>
    <w:rsid w:val="00D017ED"/>
    <w:rsid w:val="00D040D3"/>
    <w:rsid w:val="00D04C65"/>
    <w:rsid w:val="00D153D8"/>
    <w:rsid w:val="00D201D2"/>
    <w:rsid w:val="00D224FE"/>
    <w:rsid w:val="00D23139"/>
    <w:rsid w:val="00D27ED7"/>
    <w:rsid w:val="00D425BB"/>
    <w:rsid w:val="00D453FA"/>
    <w:rsid w:val="00D557B3"/>
    <w:rsid w:val="00D6493E"/>
    <w:rsid w:val="00D7195D"/>
    <w:rsid w:val="00D7301E"/>
    <w:rsid w:val="00D75C12"/>
    <w:rsid w:val="00D83AE1"/>
    <w:rsid w:val="00D855D4"/>
    <w:rsid w:val="00D902C9"/>
    <w:rsid w:val="00D93466"/>
    <w:rsid w:val="00DA1124"/>
    <w:rsid w:val="00DA64CB"/>
    <w:rsid w:val="00DB06B8"/>
    <w:rsid w:val="00DB6124"/>
    <w:rsid w:val="00DB750B"/>
    <w:rsid w:val="00DB75B7"/>
    <w:rsid w:val="00DC0A2F"/>
    <w:rsid w:val="00DC1948"/>
    <w:rsid w:val="00DC6E02"/>
    <w:rsid w:val="00DD28CD"/>
    <w:rsid w:val="00DD3C44"/>
    <w:rsid w:val="00DE02AE"/>
    <w:rsid w:val="00DE39D1"/>
    <w:rsid w:val="00DF1D7F"/>
    <w:rsid w:val="00DF4BE4"/>
    <w:rsid w:val="00E02382"/>
    <w:rsid w:val="00E02FB4"/>
    <w:rsid w:val="00E137E7"/>
    <w:rsid w:val="00E13FC7"/>
    <w:rsid w:val="00E20571"/>
    <w:rsid w:val="00E235F7"/>
    <w:rsid w:val="00E23659"/>
    <w:rsid w:val="00E239D4"/>
    <w:rsid w:val="00E26130"/>
    <w:rsid w:val="00E36CCA"/>
    <w:rsid w:val="00E40B22"/>
    <w:rsid w:val="00E43BF8"/>
    <w:rsid w:val="00E44ED1"/>
    <w:rsid w:val="00E45619"/>
    <w:rsid w:val="00E4588F"/>
    <w:rsid w:val="00E46DA3"/>
    <w:rsid w:val="00E4781F"/>
    <w:rsid w:val="00E51BB1"/>
    <w:rsid w:val="00E522BA"/>
    <w:rsid w:val="00E55CB0"/>
    <w:rsid w:val="00E60323"/>
    <w:rsid w:val="00E624A5"/>
    <w:rsid w:val="00E64BA4"/>
    <w:rsid w:val="00E7344E"/>
    <w:rsid w:val="00E73FAF"/>
    <w:rsid w:val="00E82665"/>
    <w:rsid w:val="00E82A6C"/>
    <w:rsid w:val="00E85F62"/>
    <w:rsid w:val="00E9581B"/>
    <w:rsid w:val="00E962A5"/>
    <w:rsid w:val="00EA2D11"/>
    <w:rsid w:val="00EB0798"/>
    <w:rsid w:val="00EB40AD"/>
    <w:rsid w:val="00EB586E"/>
    <w:rsid w:val="00EB5FC8"/>
    <w:rsid w:val="00EB6D18"/>
    <w:rsid w:val="00EC463D"/>
    <w:rsid w:val="00EC7A85"/>
    <w:rsid w:val="00ED0140"/>
    <w:rsid w:val="00ED2922"/>
    <w:rsid w:val="00ED3CAD"/>
    <w:rsid w:val="00ED5A41"/>
    <w:rsid w:val="00EE1DE8"/>
    <w:rsid w:val="00EE27C2"/>
    <w:rsid w:val="00EE7F8C"/>
    <w:rsid w:val="00EF4BAD"/>
    <w:rsid w:val="00EF4E4C"/>
    <w:rsid w:val="00EF59DC"/>
    <w:rsid w:val="00F033EC"/>
    <w:rsid w:val="00F04F68"/>
    <w:rsid w:val="00F10000"/>
    <w:rsid w:val="00F12670"/>
    <w:rsid w:val="00F14B27"/>
    <w:rsid w:val="00F23F88"/>
    <w:rsid w:val="00F3148D"/>
    <w:rsid w:val="00F325C5"/>
    <w:rsid w:val="00F32FE0"/>
    <w:rsid w:val="00F32FE6"/>
    <w:rsid w:val="00F35298"/>
    <w:rsid w:val="00F43605"/>
    <w:rsid w:val="00F47333"/>
    <w:rsid w:val="00F47E37"/>
    <w:rsid w:val="00F53C07"/>
    <w:rsid w:val="00F54B65"/>
    <w:rsid w:val="00F640B6"/>
    <w:rsid w:val="00F66DF2"/>
    <w:rsid w:val="00F8002D"/>
    <w:rsid w:val="00F80E40"/>
    <w:rsid w:val="00F848D9"/>
    <w:rsid w:val="00F95A1B"/>
    <w:rsid w:val="00FA06B9"/>
    <w:rsid w:val="00FA5069"/>
    <w:rsid w:val="00FA5B82"/>
    <w:rsid w:val="00FA639E"/>
    <w:rsid w:val="00FC1FCA"/>
    <w:rsid w:val="00FC25E4"/>
    <w:rsid w:val="00FC4EF7"/>
    <w:rsid w:val="00FC523E"/>
    <w:rsid w:val="00FC5FFD"/>
    <w:rsid w:val="00FC670A"/>
    <w:rsid w:val="00FD0824"/>
    <w:rsid w:val="00FD119B"/>
    <w:rsid w:val="00FD1EDC"/>
    <w:rsid w:val="00FE1DEE"/>
    <w:rsid w:val="00FE5283"/>
    <w:rsid w:val="00FF2126"/>
    <w:rsid w:val="00FF3830"/>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B40145E"/>
  <w15:docId w15:val="{C75A60D1-1CA1-43C2-8D46-526DFB994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link w:val="CaptionChar"/>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150E11"/>
    <w:pPr>
      <w:framePr w:hSpace="180" w:wrap="around" w:vAnchor="page" w:hAnchor="text" w:y="3316"/>
      <w:numPr>
        <w:ilvl w:val="1"/>
      </w:numPr>
      <w:spacing w:after="360"/>
      <w:ind w:left="170"/>
    </w:pPr>
    <w:rPr>
      <w:rFonts w:asciiTheme="majorHAnsi" w:eastAsia="Times New Roman" w:hAnsiTheme="majorHAnsi" w:cstheme="majorHAnsi"/>
      <w:bCs/>
      <w:iCs/>
      <w:color w:val="FFFFFF" w:themeColor="background1"/>
      <w:sz w:val="40"/>
      <w:szCs w:val="24"/>
    </w:rPr>
  </w:style>
  <w:style w:type="character" w:customStyle="1" w:styleId="SubtitleChar">
    <w:name w:val="Subtitle Char"/>
    <w:basedOn w:val="DefaultParagraphFont"/>
    <w:link w:val="Subtitle"/>
    <w:uiPriority w:val="11"/>
    <w:rsid w:val="00150E11"/>
    <w:rPr>
      <w:rFonts w:asciiTheme="majorHAnsi" w:eastAsia="Times New Roman" w:hAnsiTheme="majorHAnsi" w:cstheme="majorHAnsi"/>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150E11"/>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150E11"/>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Figuredescription0">
    <w:name w:val="Figure description"/>
    <w:basedOn w:val="Normal"/>
    <w:next w:val="Normal"/>
    <w:rsid w:val="00E9581B"/>
    <w:pPr>
      <w:spacing w:after="240" w:line="180" w:lineRule="atLeast"/>
    </w:pPr>
    <w:rPr>
      <w:sz w:val="18"/>
      <w:szCs w:val="20"/>
    </w:rPr>
  </w:style>
  <w:style w:type="table" w:customStyle="1" w:styleId="TableTGAblue1">
    <w:name w:val="Table TGA blue1"/>
    <w:basedOn w:val="TableNormal"/>
    <w:uiPriority w:val="99"/>
    <w:qFormat/>
    <w:rsid w:val="00E9581B"/>
    <w:pPr>
      <w:spacing w:after="0" w:line="240" w:lineRule="auto"/>
      <w:ind w:left="170" w:right="170"/>
    </w:pPr>
    <w:rPr>
      <w:rFonts w:ascii="Cambria" w:eastAsia="Calibri" w:hAnsi="Cambria" w:cs="Times New Roman"/>
      <w:color w:val="000000"/>
      <w:szCs w:val="21"/>
      <w:lang w:eastAsia="en-AU"/>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auto"/>
    </w:tcPr>
    <w:tblStylePr w:type="firstRow">
      <w:pPr>
        <w:keepNext/>
        <w:wordWrap/>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paragraph" w:styleId="ListParagraph">
    <w:name w:val="List Paragraph"/>
    <w:basedOn w:val="Normal"/>
    <w:uiPriority w:val="34"/>
    <w:qFormat/>
    <w:rsid w:val="00E9581B"/>
    <w:pPr>
      <w:spacing w:after="180"/>
      <w:ind w:left="720"/>
      <w:contextualSpacing/>
    </w:pPr>
    <w:rPr>
      <w:szCs w:val="20"/>
    </w:rPr>
  </w:style>
  <w:style w:type="character" w:customStyle="1" w:styleId="CaptionChar">
    <w:name w:val="Caption Char"/>
    <w:link w:val="Caption"/>
    <w:rsid w:val="00E9581B"/>
    <w:rPr>
      <w:rFonts w:ascii="Cambria" w:eastAsia="Cambria" w:hAnsi="Cambria" w:cs="Times New Roman"/>
      <w:sz w:val="19"/>
      <w:szCs w:val="18"/>
    </w:rPr>
  </w:style>
  <w:style w:type="paragraph" w:customStyle="1" w:styleId="Standard1">
    <w:name w:val="Standard1"/>
    <w:basedOn w:val="Normal"/>
    <w:link w:val="StandardChar"/>
    <w:qFormat/>
    <w:rsid w:val="00E9581B"/>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1"/>
    <w:rsid w:val="00E9581B"/>
    <w:rPr>
      <w:rFonts w:ascii="Cambria" w:eastAsia="Times New Roman" w:hAnsi="Cambria" w:cs="Times New Roman"/>
      <w:snapToGrid w:val="0"/>
      <w:kern w:val="16"/>
      <w:sz w:val="23"/>
      <w:szCs w:val="24"/>
    </w:rPr>
  </w:style>
  <w:style w:type="character" w:customStyle="1" w:styleId="TabletextChar">
    <w:name w:val="Table text Char"/>
    <w:basedOn w:val="StandardChar"/>
    <w:link w:val="Tabletext"/>
    <w:rsid w:val="00E9581B"/>
    <w:rPr>
      <w:rFonts w:ascii="Cambria" w:eastAsia="Cambria" w:hAnsi="Cambria" w:cs="Times New Roman"/>
      <w:snapToGrid/>
      <w:kern w:val="16"/>
      <w:sz w:val="19"/>
      <w:szCs w:val="24"/>
    </w:rPr>
  </w:style>
  <w:style w:type="paragraph" w:customStyle="1" w:styleId="Bulletlist">
    <w:name w:val="Bullet list"/>
    <w:basedOn w:val="Standard1"/>
    <w:link w:val="BulletlistChar"/>
    <w:qFormat/>
    <w:rsid w:val="00E9581B"/>
    <w:pPr>
      <w:numPr>
        <w:numId w:val="31"/>
      </w:numPr>
      <w:spacing w:after="180"/>
      <w:ind w:left="426" w:hanging="284"/>
    </w:pPr>
    <w:rPr>
      <w:kern w:val="2"/>
    </w:rPr>
  </w:style>
  <w:style w:type="character" w:customStyle="1" w:styleId="BulletlistChar">
    <w:name w:val="Bullet list Char"/>
    <w:basedOn w:val="StandardChar"/>
    <w:link w:val="Bulletlist"/>
    <w:rsid w:val="00E9581B"/>
    <w:rPr>
      <w:rFonts w:ascii="Cambria" w:eastAsia="Times New Roman" w:hAnsi="Cambria" w:cs="Times New Roman"/>
      <w:snapToGrid w:val="0"/>
      <w:kern w:val="2"/>
      <w:sz w:val="23"/>
      <w:szCs w:val="24"/>
    </w:rPr>
  </w:style>
  <w:style w:type="character" w:styleId="Emphasis">
    <w:name w:val="Emphasis"/>
    <w:basedOn w:val="DefaultParagraphFont"/>
    <w:uiPriority w:val="20"/>
    <w:qFormat/>
    <w:rsid w:val="00E9581B"/>
    <w:rPr>
      <w:b/>
      <w:bCs/>
      <w:i w:val="0"/>
      <w:iCs w:val="0"/>
    </w:rPr>
  </w:style>
  <w:style w:type="character" w:customStyle="1" w:styleId="st1">
    <w:name w:val="st1"/>
    <w:basedOn w:val="DefaultParagraphFont"/>
    <w:rsid w:val="00E9581B"/>
  </w:style>
  <w:style w:type="paragraph" w:customStyle="1" w:styleId="Default">
    <w:name w:val="Default"/>
    <w:rsid w:val="00FC5FFD"/>
    <w:pPr>
      <w:autoSpaceDE w:val="0"/>
      <w:autoSpaceDN w:val="0"/>
      <w:adjustRightInd w:val="0"/>
      <w:spacing w:after="0" w:line="240" w:lineRule="auto"/>
    </w:pPr>
    <w:rPr>
      <w:rFonts w:ascii="Hind" w:hAnsi="Hind" w:cs="Hind"/>
      <w:color w:val="000000"/>
      <w:sz w:val="24"/>
      <w:szCs w:val="24"/>
    </w:rPr>
  </w:style>
  <w:style w:type="character" w:customStyle="1" w:styleId="A3">
    <w:name w:val="A3"/>
    <w:uiPriority w:val="99"/>
    <w:rsid w:val="00FC5FFD"/>
    <w:rPr>
      <w:rFonts w:cs="Hind"/>
      <w:color w:val="FFFFFF"/>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503585">
      <w:bodyDiv w:val="1"/>
      <w:marLeft w:val="0"/>
      <w:marRight w:val="0"/>
      <w:marTop w:val="0"/>
      <w:marBottom w:val="0"/>
      <w:divBdr>
        <w:top w:val="none" w:sz="0" w:space="0" w:color="auto"/>
        <w:left w:val="none" w:sz="0" w:space="0" w:color="auto"/>
        <w:bottom w:val="none" w:sz="0" w:space="0" w:color="auto"/>
        <w:right w:val="none" w:sz="0" w:space="0" w:color="auto"/>
      </w:divBdr>
    </w:div>
    <w:div w:id="1026365039">
      <w:bodyDiv w:val="1"/>
      <w:marLeft w:val="0"/>
      <w:marRight w:val="0"/>
      <w:marTop w:val="0"/>
      <w:marBottom w:val="0"/>
      <w:divBdr>
        <w:top w:val="none" w:sz="0" w:space="0" w:color="auto"/>
        <w:left w:val="none" w:sz="0" w:space="0" w:color="auto"/>
        <w:bottom w:val="none" w:sz="0" w:space="0" w:color="auto"/>
        <w:right w:val="none" w:sz="0" w:space="0" w:color="auto"/>
      </w:divBdr>
    </w:div>
    <w:div w:id="108233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product-information-pi" TargetMode="Externa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header" Target="header5.xml"/><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hyperlink" Target="docubridge://open/Id=F61a30074c50d49ae9c10b4fa116a8b50&amp;NodeId=Nc1ea946efe04478eb2d2633e2081b274&amp;Page=0" TargetMode="External"/><Relationship Id="rId42" Type="http://schemas.openxmlformats.org/officeDocument/2006/relationships/hyperlink" Target="mailto:info@tga.gov.au" TargetMode="Externa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microsoft.com/office/2007/relationships/hdphoto" Target="media/hdphoto2.wdp"/><Relationship Id="rId25" Type="http://schemas.openxmlformats.org/officeDocument/2006/relationships/image" Target="media/image8.emf"/><Relationship Id="rId33" Type="http://schemas.microsoft.com/office/2007/relationships/hdphoto" Target="media/hdphoto9.wdp"/><Relationship Id="rId38" Type="http://schemas.openxmlformats.org/officeDocument/2006/relationships/header" Target="header4.xm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microsoft.com/office/2007/relationships/hdphoto" Target="media/hdphoto7.wdp"/><Relationship Id="rId41" Type="http://schemas.openxmlformats.org/officeDocument/2006/relationships/hyperlink" Target="https://www.tga.gov.au/product-information-p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header" Target="header3.xml"/><Relationship Id="rId40" Type="http://schemas.openxmlformats.org/officeDocument/2006/relationships/footer" Target="footer2.xml"/><Relationship Id="rId45" Type="http://schemas.openxmlformats.org/officeDocument/2006/relationships/header" Target="header7.xml"/><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png"/><Relationship Id="rId36" Type="http://schemas.openxmlformats.org/officeDocument/2006/relationships/hyperlink" Target="docubridge://open/Server=Production&amp;Id=F7274d1b58e8040369d3fbcbe9cef6fba&amp;NodeId=Nc1ea946efe04478eb2d2633e2081b274&amp;Page=0" TargetMode="External"/><Relationship Id="rId49" Type="http://schemas.openxmlformats.org/officeDocument/2006/relationships/fontTable" Target="fontTable.xml"/><Relationship Id="rId10" Type="http://schemas.openxmlformats.org/officeDocument/2006/relationships/header" Target="header1.xml"/><Relationship Id="rId19" Type="http://schemas.microsoft.com/office/2007/relationships/hdphoto" Target="media/hdphoto3.wdp"/><Relationship Id="rId31" Type="http://schemas.microsoft.com/office/2007/relationships/hdphoto" Target="media/hdphoto8.wdp"/><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2.png"/><Relationship Id="rId22" Type="http://schemas.openxmlformats.org/officeDocument/2006/relationships/image" Target="media/image6.png"/><Relationship Id="rId27" Type="http://schemas.microsoft.com/office/2007/relationships/hdphoto" Target="media/hdphoto6.wdp"/><Relationship Id="rId30" Type="http://schemas.openxmlformats.org/officeDocument/2006/relationships/image" Target="media/image11.png"/><Relationship Id="rId35" Type="http://schemas.openxmlformats.org/officeDocument/2006/relationships/hyperlink" Target="docubridge://open/Id=F61a30074c50d49ae9c10b4fa116a8b50&amp;NodeId=Ne7d8519c942241079e728258f7a0fe93&amp;Page=0" TargetMode="External"/><Relationship Id="rId43" Type="http://schemas.openxmlformats.org/officeDocument/2006/relationships/hyperlink" Target="https://www.tga.gov.au" TargetMode="External"/><Relationship Id="rId48" Type="http://schemas.openxmlformats.org/officeDocument/2006/relationships/footer" Target="footer4.xml"/><Relationship Id="rId8" Type="http://schemas.openxmlformats.org/officeDocument/2006/relationships/hyperlink" Target="https://www.tga.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12784\D19-5975236%20%20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CF5A3-3BE7-4ECF-BBA3-32EF3F75D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streamlined.DOTX</Template>
  <TotalTime>83</TotalTime>
  <Pages>28</Pages>
  <Words>7554</Words>
  <Characters>43063</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50516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Fremanezumab</dc:title>
  <dc:subject>prescription medicine regulation</dc:subject>
  <dc:creator>Therapeutic Goods Administration</dc:creator>
  <cp:keywords>AusPARs</cp:keywords>
  <cp:lastPrinted>2019-08-14T04:30:00Z</cp:lastPrinted>
  <dcterms:created xsi:type="dcterms:W3CDTF">2019-12-20T04:02:00Z</dcterms:created>
  <dcterms:modified xsi:type="dcterms:W3CDTF">2020-01-22T04:34:00Z</dcterms:modified>
  <cp:category>external publication</cp:category>
</cp:coreProperties>
</file>