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EF" w:rsidRDefault="00EA3DEF" w:rsidP="00D7592D">
      <w:pPr>
        <w:pStyle w:val="Heading2"/>
        <w:spacing w:before="0"/>
      </w:pPr>
      <w:bookmarkStart w:id="0" w:name="_Toc497131955"/>
      <w:bookmarkStart w:id="1" w:name="_Toc508952301"/>
      <w:r>
        <w:t xml:space="preserve">Example clinical study plan for provisional </w:t>
      </w:r>
      <w:bookmarkEnd w:id="0"/>
      <w:bookmarkEnd w:id="1"/>
      <w:r w:rsidR="0095249A" w:rsidRPr="0095249A">
        <w:t>determination application</w:t>
      </w: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7A0" w:firstRow="1" w:lastRow="0" w:firstColumn="1" w:lastColumn="1" w:noHBand="1" w:noVBand="1"/>
      </w:tblPr>
      <w:tblGrid>
        <w:gridCol w:w="1949"/>
        <w:gridCol w:w="2981"/>
        <w:gridCol w:w="2756"/>
        <w:gridCol w:w="3004"/>
        <w:gridCol w:w="1960"/>
        <w:gridCol w:w="1807"/>
      </w:tblGrid>
      <w:tr w:rsidR="0095249A" w:rsidRPr="00A95C85" w:rsidTr="00A461ED">
        <w:trPr>
          <w:trHeight w:val="739"/>
          <w:tblHeader/>
        </w:trPr>
        <w:tc>
          <w:tcPr>
            <w:tcW w:w="674" w:type="pct"/>
          </w:tcPr>
          <w:p w:rsidR="0095249A" w:rsidRPr="003747A3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Study and </w:t>
            </w:r>
            <w:r w:rsidRPr="007D1503">
              <w:rPr>
                <w:b/>
                <w:i/>
                <w:sz w:val="20"/>
                <w:lang w:val="en-US"/>
              </w:rPr>
              <w:t>Status</w:t>
            </w:r>
          </w:p>
        </w:tc>
        <w:tc>
          <w:tcPr>
            <w:tcW w:w="1031" w:type="pct"/>
          </w:tcPr>
          <w:p w:rsidR="0095249A" w:rsidRPr="003747A3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Summary of objectives</w:t>
            </w:r>
          </w:p>
        </w:tc>
        <w:tc>
          <w:tcPr>
            <w:tcW w:w="953" w:type="pct"/>
          </w:tcPr>
          <w:p w:rsidR="0095249A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Confirmatory nature </w:t>
            </w:r>
          </w:p>
          <w:p w:rsidR="0095249A" w:rsidRPr="003747A3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(i.e. uncertainty addressed)</w:t>
            </w:r>
          </w:p>
        </w:tc>
        <w:tc>
          <w:tcPr>
            <w:tcW w:w="1039" w:type="pct"/>
          </w:tcPr>
          <w:p w:rsidR="0095249A" w:rsidRPr="003747A3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Key milestones</w:t>
            </w:r>
          </w:p>
        </w:tc>
        <w:tc>
          <w:tcPr>
            <w:tcW w:w="678" w:type="pct"/>
          </w:tcPr>
          <w:p w:rsidR="0095249A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Recruitment status</w:t>
            </w:r>
          </w:p>
        </w:tc>
        <w:tc>
          <w:tcPr>
            <w:tcW w:w="625" w:type="pct"/>
          </w:tcPr>
          <w:p w:rsidR="0095249A" w:rsidRPr="003747A3" w:rsidRDefault="0095249A" w:rsidP="00C52561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Proposed submission date</w:t>
            </w:r>
          </w:p>
        </w:tc>
      </w:tr>
      <w:tr w:rsidR="0095249A" w:rsidRPr="00A95C85" w:rsidTr="00C52561">
        <w:trPr>
          <w:trHeight w:val="2619"/>
        </w:trPr>
        <w:tc>
          <w:tcPr>
            <w:tcW w:w="674" w:type="pct"/>
          </w:tcPr>
          <w:p w:rsidR="0095249A" w:rsidRPr="00744BD6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  <w:r w:rsidRPr="00744BD6">
              <w:rPr>
                <w:color w:val="00B050"/>
                <w:sz w:val="20"/>
                <w:lang w:val="en-US"/>
              </w:rPr>
              <w:t>Clinical Trial</w:t>
            </w:r>
          </w:p>
          <w:p w:rsidR="0095249A" w:rsidRPr="00744BD6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  <w:r w:rsidRPr="00744BD6">
              <w:rPr>
                <w:color w:val="00B050"/>
                <w:sz w:val="20"/>
                <w:lang w:val="en-US"/>
              </w:rPr>
              <w:t>Study ID #####</w:t>
            </w:r>
          </w:p>
          <w:p w:rsidR="0095249A" w:rsidRPr="00744BD6" w:rsidRDefault="0095249A" w:rsidP="00C52561">
            <w:pPr>
              <w:keepNext/>
              <w:keepLines/>
              <w:rPr>
                <w:i/>
                <w:color w:val="00B050"/>
                <w:sz w:val="20"/>
                <w:lang w:val="en-US"/>
              </w:rPr>
            </w:pPr>
            <w:r w:rsidRPr="00744BD6">
              <w:rPr>
                <w:i/>
                <w:color w:val="00B050"/>
                <w:sz w:val="20"/>
                <w:lang w:val="en-US"/>
              </w:rPr>
              <w:t>Ongoing</w:t>
            </w:r>
          </w:p>
        </w:tc>
        <w:tc>
          <w:tcPr>
            <w:tcW w:w="1031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953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1039" w:type="pct"/>
          </w:tcPr>
          <w:p w:rsidR="0095249A" w:rsidRDefault="0095249A" w:rsidP="00C52561">
            <w:pPr>
              <w:keepNext/>
              <w:keepLines/>
              <w:rPr>
                <w:i/>
                <w:color w:val="00B050"/>
                <w:sz w:val="20"/>
                <w:lang w:val="en-US"/>
              </w:rPr>
            </w:pPr>
            <w:r>
              <w:rPr>
                <w:i/>
                <w:color w:val="00B050"/>
                <w:sz w:val="20"/>
                <w:lang w:val="en-US"/>
              </w:rPr>
              <w:t>e.g percentage of target number of   patients meeting a primary endpoint;</w:t>
            </w:r>
          </w:p>
          <w:p w:rsidR="0095249A" w:rsidRDefault="0095249A" w:rsidP="00C52561">
            <w:pPr>
              <w:keepNext/>
              <w:keepLines/>
              <w:rPr>
                <w:i/>
                <w:color w:val="00B050"/>
                <w:sz w:val="20"/>
                <w:lang w:val="en-US"/>
              </w:rPr>
            </w:pPr>
            <w:r>
              <w:rPr>
                <w:i/>
                <w:color w:val="00B050"/>
                <w:sz w:val="20"/>
                <w:lang w:val="en-US"/>
              </w:rPr>
              <w:t>e.g. accrual status as percentage of planned enrolment:</w:t>
            </w:r>
          </w:p>
          <w:p w:rsidR="0095249A" w:rsidRDefault="0095249A" w:rsidP="0095249A">
            <w:pPr>
              <w:pStyle w:val="ListParagraph"/>
              <w:keepNext/>
              <w:keepLines/>
              <w:numPr>
                <w:ilvl w:val="0"/>
                <w:numId w:val="40"/>
              </w:numPr>
              <w:adjustRightInd/>
              <w:snapToGrid/>
              <w:spacing w:before="0" w:after="200" w:line="276" w:lineRule="auto"/>
              <w:ind w:left="340" w:hanging="170"/>
              <w:rPr>
                <w:i/>
                <w:color w:val="00B050"/>
                <w:sz w:val="20"/>
                <w:szCs w:val="21"/>
                <w:lang w:val="en-US"/>
              </w:rPr>
            </w:pPr>
            <w:r>
              <w:rPr>
                <w:i/>
                <w:color w:val="00B050"/>
                <w:sz w:val="20"/>
                <w:szCs w:val="21"/>
                <w:lang w:val="en-US"/>
              </w:rPr>
              <w:t>not started;</w:t>
            </w:r>
          </w:p>
          <w:p w:rsidR="0095249A" w:rsidRDefault="0095249A" w:rsidP="0095249A">
            <w:pPr>
              <w:pStyle w:val="ListParagraph"/>
              <w:keepNext/>
              <w:keepLines/>
              <w:numPr>
                <w:ilvl w:val="0"/>
                <w:numId w:val="40"/>
              </w:numPr>
              <w:adjustRightInd/>
              <w:snapToGrid/>
              <w:spacing w:before="0" w:after="200" w:line="276" w:lineRule="auto"/>
              <w:ind w:left="340" w:hanging="170"/>
              <w:rPr>
                <w:i/>
                <w:color w:val="00B050"/>
                <w:sz w:val="20"/>
                <w:szCs w:val="21"/>
                <w:lang w:val="en-US"/>
              </w:rPr>
            </w:pPr>
            <w:r>
              <w:rPr>
                <w:i/>
                <w:color w:val="00B050"/>
                <w:sz w:val="20"/>
                <w:szCs w:val="21"/>
                <w:lang w:val="en-US"/>
              </w:rPr>
              <w:t>started (ongoing or delayed-revised end date ;</w:t>
            </w:r>
          </w:p>
          <w:p w:rsidR="0095249A" w:rsidRPr="005A3134" w:rsidRDefault="0095249A" w:rsidP="0095249A">
            <w:pPr>
              <w:pStyle w:val="ListParagraph"/>
              <w:keepNext/>
              <w:keepLines/>
              <w:numPr>
                <w:ilvl w:val="0"/>
                <w:numId w:val="40"/>
              </w:numPr>
              <w:adjustRightInd/>
              <w:snapToGrid/>
              <w:spacing w:before="0" w:after="200" w:line="276" w:lineRule="auto"/>
              <w:ind w:left="340" w:hanging="170"/>
              <w:rPr>
                <w:i/>
                <w:color w:val="00B050"/>
                <w:sz w:val="20"/>
                <w:szCs w:val="21"/>
                <w:lang w:val="en-US"/>
              </w:rPr>
            </w:pPr>
            <w:r>
              <w:rPr>
                <w:i/>
                <w:color w:val="00B050"/>
                <w:sz w:val="20"/>
                <w:szCs w:val="21"/>
                <w:lang w:val="en-US"/>
              </w:rPr>
              <w:t xml:space="preserve">complete </w:t>
            </w:r>
          </w:p>
        </w:tc>
        <w:tc>
          <w:tcPr>
            <w:tcW w:w="678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625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</w:tr>
      <w:tr w:rsidR="0095249A" w:rsidRPr="00A95C85" w:rsidTr="00C52561">
        <w:tc>
          <w:tcPr>
            <w:tcW w:w="674" w:type="pct"/>
          </w:tcPr>
          <w:p w:rsidR="0095249A" w:rsidRPr="00744BD6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  <w:r w:rsidRPr="00744BD6">
              <w:rPr>
                <w:color w:val="00B050"/>
                <w:sz w:val="20"/>
                <w:lang w:val="en-US"/>
              </w:rPr>
              <w:t>Patient registry</w:t>
            </w:r>
          </w:p>
          <w:p w:rsidR="0095249A" w:rsidRPr="00744BD6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  <w:r w:rsidRPr="00744BD6">
              <w:rPr>
                <w:color w:val="00B050"/>
                <w:sz w:val="20"/>
                <w:lang w:val="en-US"/>
              </w:rPr>
              <w:t>Study ID ####</w:t>
            </w:r>
          </w:p>
          <w:p w:rsidR="0095249A" w:rsidRPr="00744BD6" w:rsidRDefault="0095249A" w:rsidP="00C52561">
            <w:pPr>
              <w:keepNext/>
              <w:keepLines/>
              <w:rPr>
                <w:i/>
                <w:color w:val="00B050"/>
                <w:sz w:val="20"/>
                <w:lang w:val="en-US"/>
              </w:rPr>
            </w:pPr>
            <w:r w:rsidRPr="00744BD6">
              <w:rPr>
                <w:i/>
                <w:color w:val="00B050"/>
                <w:sz w:val="20"/>
                <w:lang w:val="en-US"/>
              </w:rPr>
              <w:t>Planned</w:t>
            </w:r>
          </w:p>
        </w:tc>
        <w:tc>
          <w:tcPr>
            <w:tcW w:w="1031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953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1039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678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625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</w:tr>
      <w:tr w:rsidR="0095249A" w:rsidRPr="00A95C85" w:rsidTr="00C52561">
        <w:tc>
          <w:tcPr>
            <w:tcW w:w="674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1031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953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1039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678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  <w:tc>
          <w:tcPr>
            <w:tcW w:w="625" w:type="pct"/>
          </w:tcPr>
          <w:p w:rsidR="0095249A" w:rsidRPr="007D1503" w:rsidRDefault="0095249A" w:rsidP="00C52561">
            <w:pPr>
              <w:keepNext/>
              <w:keepLines/>
              <w:rPr>
                <w:color w:val="00B050"/>
                <w:sz w:val="20"/>
                <w:lang w:val="en-US"/>
              </w:rPr>
            </w:pPr>
          </w:p>
        </w:tc>
      </w:tr>
    </w:tbl>
    <w:p w:rsidR="00EE0EEA" w:rsidRPr="00D7592D" w:rsidRDefault="00EE0EEA" w:rsidP="00D7592D">
      <w:pPr>
        <w:rPr>
          <w:sz w:val="16"/>
          <w:szCs w:val="16"/>
        </w:rPr>
      </w:pPr>
      <w:bookmarkStart w:id="2" w:name="_GoBack"/>
      <w:bookmarkEnd w:id="2"/>
    </w:p>
    <w:sectPr w:rsidR="00EE0EEA" w:rsidRPr="00D7592D" w:rsidSect="00EA3DEF">
      <w:headerReference w:type="first" r:id="rId8"/>
      <w:footerReference w:type="first" r:id="rId9"/>
      <w:type w:val="continuous"/>
      <w:pgSz w:w="16838" w:h="11906" w:orient="landscape" w:code="9"/>
      <w:pgMar w:top="1418" w:right="1134" w:bottom="1418" w:left="1361" w:header="57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EF" w:rsidRDefault="00EA3DEF" w:rsidP="00C40A36">
      <w:r>
        <w:separator/>
      </w:r>
    </w:p>
  </w:endnote>
  <w:endnote w:type="continuationSeparator" w:id="0">
    <w:p w:rsidR="00EA3DEF" w:rsidRDefault="00EA3DEF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1311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</w:tblCellMar>
          <w:tblLook w:val="04A0" w:firstRow="1" w:lastRow="0" w:firstColumn="1" w:lastColumn="0" w:noHBand="0" w:noVBand="1"/>
        </w:tblPr>
        <w:tblGrid>
          <w:gridCol w:w="7338"/>
          <w:gridCol w:w="7087"/>
        </w:tblGrid>
        <w:tr w:rsidR="00EA3DEF" w:rsidRPr="004A3084" w:rsidTr="00531BC9">
          <w:trPr>
            <w:trHeight w:val="423"/>
          </w:trPr>
          <w:tc>
            <w:tcPr>
              <w:tcW w:w="7338" w:type="dxa"/>
              <w:tcBorders>
                <w:top w:val="single" w:sz="4" w:space="0" w:color="auto"/>
              </w:tcBorders>
            </w:tcPr>
            <w:p w:rsidR="00EA3DEF" w:rsidRDefault="00C87025" w:rsidP="00D7592D">
              <w:pPr>
                <w:pStyle w:val="Footer"/>
                <w:spacing w:before="0" w:after="0"/>
              </w:pPr>
              <w:r>
                <w:t xml:space="preserve">Excerpt from </w:t>
              </w:r>
              <w:r w:rsidR="00EA3DEF" w:rsidRPr="00E723B1">
                <w:t xml:space="preserve">Provisional </w:t>
              </w:r>
              <w:r w:rsidR="0095249A">
                <w:t>determination e</w:t>
              </w:r>
              <w:r w:rsidR="00214A33">
                <w:t xml:space="preserve">ligibility criteria </w:t>
              </w:r>
            </w:p>
            <w:p w:rsidR="00EA3DEF" w:rsidRPr="004A3084" w:rsidRDefault="00EA3DEF" w:rsidP="00D7592D">
              <w:pPr>
                <w:pStyle w:val="Footer"/>
                <w:spacing w:before="0" w:after="0"/>
              </w:pPr>
              <w:r>
                <w:t>V1.</w:t>
              </w:r>
              <w:r w:rsidR="00D7592D">
                <w:t>1</w:t>
              </w:r>
              <w:r>
                <w:t xml:space="preserve"> </w:t>
              </w:r>
              <w:r w:rsidR="00D7592D">
                <w:t xml:space="preserve">April </w:t>
              </w:r>
              <w:r>
                <w:t>20</w:t>
              </w:r>
              <w:r w:rsidR="00D7592D">
                <w:t>21</w:t>
              </w:r>
            </w:p>
          </w:tc>
          <w:tc>
            <w:tcPr>
              <w:tcW w:w="7087" w:type="dxa"/>
              <w:tcBorders>
                <w:top w:val="single" w:sz="4" w:space="0" w:color="auto"/>
              </w:tcBorders>
            </w:tcPr>
            <w:sdt>
              <w:sdtPr>
                <w:id w:val="-136243818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A3DEF" w:rsidRPr="004A3084" w:rsidRDefault="00EA3DEF" w:rsidP="00D7592D">
                  <w:pPr>
                    <w:pStyle w:val="Footer"/>
                    <w:spacing w:before="0" w:after="0"/>
                    <w:jc w:val="right"/>
                  </w:pPr>
                  <w:r w:rsidRPr="004A3084">
                    <w:t xml:space="preserve">Page </w:t>
                  </w:r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 w:rsidR="00D7592D">
                    <w:rPr>
                      <w:noProof/>
                    </w:rPr>
                    <w:t>1</w:t>
                  </w:r>
                  <w:r>
                    <w:rPr>
                      <w:noProof/>
                    </w:rPr>
                    <w:fldChar w:fldCharType="end"/>
                  </w:r>
                  <w:r w:rsidRPr="004A3084">
                    <w:t xml:space="preserve"> of </w:t>
                  </w:r>
                  <w:r w:rsidR="00D7592D">
                    <w:fldChar w:fldCharType="begin"/>
                  </w:r>
                  <w:r w:rsidR="00D7592D">
                    <w:instrText xml:space="preserve"> NUMPAGES  </w:instrText>
                  </w:r>
                  <w:r w:rsidR="00D7592D">
                    <w:fldChar w:fldCharType="separate"/>
                  </w:r>
                  <w:r w:rsidR="00D7592D">
                    <w:rPr>
                      <w:noProof/>
                    </w:rPr>
                    <w:t>1</w:t>
                  </w:r>
                  <w:r w:rsidR="00D7592D">
                    <w:rPr>
                      <w:noProof/>
                    </w:rPr>
                    <w:fldChar w:fldCharType="end"/>
                  </w:r>
                </w:p>
              </w:sdtContent>
            </w:sdt>
          </w:tc>
        </w:tr>
      </w:tbl>
      <w:p w:rsidR="00EA3DEF" w:rsidRDefault="00D7592D" w:rsidP="00EA3DEF">
        <w:pPr>
          <w:pStyle w:val="Footer"/>
          <w:tabs>
            <w:tab w:val="left" w:pos="3840"/>
            <w:tab w:val="right" w:pos="9070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EF" w:rsidRDefault="00EA3DEF" w:rsidP="00C40A36">
      <w:r>
        <w:separator/>
      </w:r>
    </w:p>
  </w:footnote>
  <w:footnote w:type="continuationSeparator" w:id="0">
    <w:p w:rsidR="00EA3DEF" w:rsidRDefault="00EA3DEF" w:rsidP="00C4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EF" w:rsidRDefault="00EA3DEF" w:rsidP="00EA3DEF">
    <w:pPr>
      <w:pStyle w:val="Header"/>
    </w:pPr>
    <w:r w:rsidRPr="000F5176">
      <w:t>Therapeutic Goods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1F7250"/>
    <w:multiLevelType w:val="hybridMultilevel"/>
    <w:tmpl w:val="12A82F50"/>
    <w:lvl w:ilvl="0" w:tplc="470275E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7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15"/>
  </w:num>
  <w:num w:numId="21">
    <w:abstractNumId w:val="13"/>
  </w:num>
  <w:num w:numId="22">
    <w:abstractNumId w:val="14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1"/>
  </w:num>
  <w:num w:numId="36">
    <w:abstractNumId w:val="11"/>
  </w:num>
  <w:num w:numId="37">
    <w:abstractNumId w:val="10"/>
  </w:num>
  <w:num w:numId="38">
    <w:abstractNumId w:val="10"/>
  </w:num>
  <w:num w:numId="39">
    <w:abstractNumId w:val="1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EF"/>
    <w:rsid w:val="00002031"/>
    <w:rsid w:val="00004734"/>
    <w:rsid w:val="00006B22"/>
    <w:rsid w:val="0001276A"/>
    <w:rsid w:val="00016C59"/>
    <w:rsid w:val="000239C6"/>
    <w:rsid w:val="000246AE"/>
    <w:rsid w:val="00025C67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4A33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1BC9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16CF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1CCF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49A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61ED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87025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7592D"/>
    <w:rsid w:val="00D85F12"/>
    <w:rsid w:val="00D86B2C"/>
    <w:rsid w:val="00D92D8D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52D58"/>
    <w:rsid w:val="00E53B10"/>
    <w:rsid w:val="00E57DB5"/>
    <w:rsid w:val="00E912A2"/>
    <w:rsid w:val="00E955F5"/>
    <w:rsid w:val="00EA18AA"/>
    <w:rsid w:val="00EA3DEF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266393"/>
  <w15:docId w15:val="{A6AB4A46-9829-4BC7-8A85-6D4F5C12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2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3DEF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16CF6"/>
    <w:pPr>
      <w:keepNext/>
      <w:keepLines/>
      <w:spacing w:before="48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616CF6"/>
    <w:pPr>
      <w:keepNext/>
      <w:keepLines/>
      <w:spacing w:before="48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616CF6"/>
    <w:pPr>
      <w:keepNext/>
      <w:spacing w:before="36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qFormat/>
    <w:rsid w:val="00616CF6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16CF6"/>
    <w:rPr>
      <w:rFonts w:ascii="Arial" w:eastAsia="Times New Roman" w:hAnsi="Arial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16CF6"/>
    <w:rPr>
      <w:rFonts w:ascii="Arial" w:eastAsia="Times New Roman" w:hAnsi="Arial"/>
      <w:b/>
      <w:bCs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616CF6"/>
    <w:rPr>
      <w:rFonts w:ascii="Cambria" w:eastAsia="Cambria" w:hAnsi="Cambria"/>
      <w:b/>
      <w:bCs/>
      <w:szCs w:val="21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rsid w:val="00616CF6"/>
    <w:rPr>
      <w:rFonts w:ascii="Cambria" w:eastAsia="Times New Roman" w:hAnsi="Cambria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616CF6"/>
    <w:pPr>
      <w:numPr>
        <w:numId w:val="36"/>
      </w:numPr>
    </w:pPr>
  </w:style>
  <w:style w:type="paragraph" w:styleId="ListBullet2">
    <w:name w:val="List Bullet 2"/>
    <w:basedOn w:val="Normal"/>
    <w:uiPriority w:val="2"/>
    <w:qFormat/>
    <w:rsid w:val="00616CF6"/>
    <w:pPr>
      <w:numPr>
        <w:ilvl w:val="1"/>
        <w:numId w:val="36"/>
      </w:numPr>
    </w:pPr>
  </w:style>
  <w:style w:type="paragraph" w:styleId="ListBullet3">
    <w:name w:val="List Bullet 3"/>
    <w:basedOn w:val="Normal"/>
    <w:uiPriority w:val="2"/>
    <w:qFormat/>
    <w:rsid w:val="00616CF6"/>
    <w:pPr>
      <w:numPr>
        <w:ilvl w:val="2"/>
        <w:numId w:val="36"/>
      </w:numPr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616CF6"/>
    <w:pPr>
      <w:numPr>
        <w:numId w:val="39"/>
      </w:numPr>
    </w:pPr>
  </w:style>
  <w:style w:type="paragraph" w:customStyle="1" w:styleId="Numberbullet2">
    <w:name w:val="Number bullet 2"/>
    <w:basedOn w:val="ListBullet2"/>
    <w:qFormat/>
    <w:rsid w:val="00616CF6"/>
    <w:pPr>
      <w:numPr>
        <w:numId w:val="39"/>
      </w:numPr>
    </w:pPr>
  </w:style>
  <w:style w:type="paragraph" w:customStyle="1" w:styleId="Numberbullet3">
    <w:name w:val="Number bullet 3"/>
    <w:basedOn w:val="ListBullet3"/>
    <w:qFormat/>
    <w:rsid w:val="00616CF6"/>
    <w:pPr>
      <w:numPr>
        <w:numId w:val="39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F6"/>
    <w:pPr>
      <w:framePr w:wrap="around" w:hAnchor="text"/>
      <w:spacing w:before="480" w:after="0" w:line="276" w:lineRule="auto"/>
      <w:outlineLvl w:val="9"/>
    </w:pPr>
    <w:rPr>
      <w:rFonts w:asciiTheme="majorHAnsi" w:hAnsiTheme="majorHAnsi"/>
      <w:color w:val="002035"/>
      <w:sz w:val="28"/>
      <w:szCs w:val="64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16CF6"/>
    <w:pPr>
      <w:spacing w:before="0"/>
    </w:pPr>
    <w:rPr>
      <w:sz w:val="19"/>
      <w:szCs w:val="18"/>
    </w:rPr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616CF6"/>
    <w:pPr>
      <w:ind w:left="425"/>
    </w:pPr>
    <w:rPr>
      <w:rFonts w:eastAsiaTheme="minorEastAsia"/>
      <w:sz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paragraph" w:customStyle="1" w:styleId="Comment">
    <w:name w:val="Comment"/>
    <w:basedOn w:val="Normal"/>
    <w:next w:val="Normal"/>
    <w:uiPriority w:val="1"/>
    <w:qFormat/>
    <w:rsid w:val="00616CF6"/>
    <w:pPr>
      <w:ind w:left="992" w:hanging="992"/>
    </w:pPr>
  </w:style>
  <w:style w:type="paragraph" w:customStyle="1" w:styleId="Instructions">
    <w:name w:val="Instructions"/>
    <w:basedOn w:val="Normal"/>
    <w:next w:val="Normal"/>
    <w:uiPriority w:val="1"/>
    <w:qFormat/>
    <w:rsid w:val="00616CF6"/>
    <w:rPr>
      <w:i/>
      <w:color w:val="007099"/>
    </w:rPr>
  </w:style>
  <w:style w:type="paragraph" w:customStyle="1" w:styleId="Comment2">
    <w:name w:val="Comment 2"/>
    <w:basedOn w:val="Normal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/>
    </w:pPr>
    <w:rPr>
      <w:rFonts w:ascii="Calibri" w:eastAsia="Times New Roman" w:hAnsi="Calibri" w:cs="Arial"/>
      <w:kern w:val="16"/>
      <w:lang w:eastAsia="en-AU"/>
    </w:rPr>
  </w:style>
  <w:style w:type="paragraph" w:customStyle="1" w:styleId="Comment1">
    <w:name w:val="Comment 1"/>
    <w:basedOn w:val="Normal"/>
    <w:next w:val="Comment2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 w:hanging="1134"/>
    </w:pPr>
    <w:rPr>
      <w:rFonts w:ascii="Calibri" w:eastAsia="Times New Roman" w:hAnsi="Calibri" w:cs="Arial"/>
      <w:kern w:val="1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locked/>
    <w:rsid w:val="00616CF6"/>
    <w:pPr>
      <w:adjustRightInd w:val="0"/>
      <w:snapToGrid w:val="0"/>
      <w:spacing w:before="180"/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EA3DEF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3DEF"/>
    <w:rPr>
      <w:rFonts w:ascii="Verdana" w:eastAsia="Verdana" w:hAnsi="Verdana" w:cs="Verdana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A3DEF"/>
    <w:pPr>
      <w:widowControl w:val="0"/>
      <w:autoSpaceDE w:val="0"/>
      <w:autoSpaceDN w:val="0"/>
      <w:spacing w:before="61" w:after="0" w:line="240" w:lineRule="auto"/>
      <w:ind w:left="103"/>
    </w:pPr>
    <w:rPr>
      <w:rFonts w:ascii="Verdana" w:eastAsia="Verdana" w:hAnsi="Verdana" w:cs="Verdana"/>
      <w:szCs w:val="22"/>
      <w:lang w:val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95249A"/>
    <w:rPr>
      <w:rFonts w:ascii="Cambria" w:eastAsia="MS Mincho" w:hAnsi="Cambria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D0C8-0F5A-438F-9377-41D15A6B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440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clinical study plan for provisional determination application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clinical study plan for provisional determination application</dc:title>
  <dc:creator>Therapeutic Goods Administration</dc:creator>
  <cp:keywords>Regulatory guidance</cp:keywords>
  <cp:lastPrinted>2013-07-26T02:02:00Z</cp:lastPrinted>
  <dcterms:created xsi:type="dcterms:W3CDTF">2018-03-18T23:50:00Z</dcterms:created>
  <dcterms:modified xsi:type="dcterms:W3CDTF">2021-04-23T01:05:00Z</dcterms:modified>
  <cp:category>Prescription medicines</cp:category>
</cp:coreProperties>
</file>