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7F5F3A" w:rsidRPr="00215D48" w14:paraId="64867BAA" w14:textId="77777777" w:rsidTr="002B29B2">
        <w:tc>
          <w:tcPr>
            <w:tcW w:w="8720" w:type="dxa"/>
          </w:tcPr>
          <w:p w14:paraId="55FE1714" w14:textId="77777777" w:rsidR="00097015" w:rsidRDefault="007F5F3A" w:rsidP="00097015">
            <w:pPr>
              <w:rPr>
                <w:rFonts w:asciiTheme="majorHAnsi" w:hAnsiTheme="majorHAnsi" w:cstheme="majorHAnsi"/>
                <w:color w:val="002C47" w:themeColor="text1"/>
                <w:sz w:val="52"/>
                <w:szCs w:val="52"/>
              </w:rPr>
            </w:pPr>
            <w:bookmarkStart w:id="0" w:name="_Toc73959162"/>
            <w:bookmarkStart w:id="1" w:name="_GoBack"/>
            <w:r w:rsidRPr="00784F79">
              <w:rPr>
                <w:rFonts w:asciiTheme="majorHAnsi" w:hAnsiTheme="majorHAnsi" w:cstheme="majorHAnsi"/>
                <w:color w:val="002C47" w:themeColor="text1"/>
                <w:sz w:val="52"/>
                <w:szCs w:val="52"/>
              </w:rPr>
              <w:t xml:space="preserve">Determinations for Australian </w:t>
            </w:r>
            <w:r w:rsidR="008A47B7">
              <w:rPr>
                <w:rFonts w:asciiTheme="majorHAnsi" w:hAnsiTheme="majorHAnsi" w:cstheme="majorHAnsi"/>
                <w:color w:val="002C47" w:themeColor="text1"/>
                <w:sz w:val="52"/>
                <w:szCs w:val="52"/>
              </w:rPr>
              <w:t>c</w:t>
            </w:r>
            <w:r w:rsidRPr="00784F79">
              <w:rPr>
                <w:rFonts w:asciiTheme="majorHAnsi" w:hAnsiTheme="majorHAnsi" w:cstheme="majorHAnsi"/>
                <w:color w:val="002C47" w:themeColor="text1"/>
                <w:sz w:val="52"/>
                <w:szCs w:val="52"/>
              </w:rPr>
              <w:t xml:space="preserve">onformity </w:t>
            </w:r>
            <w:r w:rsidR="00DB0227">
              <w:rPr>
                <w:rFonts w:asciiTheme="majorHAnsi" w:hAnsiTheme="majorHAnsi" w:cstheme="majorHAnsi"/>
                <w:color w:val="002C47" w:themeColor="text1"/>
                <w:sz w:val="52"/>
                <w:szCs w:val="52"/>
              </w:rPr>
              <w:t>a</w:t>
            </w:r>
            <w:r w:rsidRPr="00784F79">
              <w:rPr>
                <w:rFonts w:asciiTheme="majorHAnsi" w:hAnsiTheme="majorHAnsi" w:cstheme="majorHAnsi"/>
                <w:color w:val="002C47" w:themeColor="text1"/>
                <w:sz w:val="52"/>
                <w:szCs w:val="52"/>
              </w:rPr>
              <w:t xml:space="preserve">ssessment </w:t>
            </w:r>
            <w:r w:rsidR="008A47B7">
              <w:rPr>
                <w:rFonts w:asciiTheme="majorHAnsi" w:hAnsiTheme="majorHAnsi" w:cstheme="majorHAnsi"/>
                <w:color w:val="002C47" w:themeColor="text1"/>
                <w:sz w:val="52"/>
                <w:szCs w:val="52"/>
              </w:rPr>
              <w:t>b</w:t>
            </w:r>
            <w:r w:rsidRPr="00784F79">
              <w:rPr>
                <w:rFonts w:asciiTheme="majorHAnsi" w:hAnsiTheme="majorHAnsi" w:cstheme="majorHAnsi"/>
                <w:color w:val="002C47" w:themeColor="text1"/>
                <w:sz w:val="52"/>
                <w:szCs w:val="52"/>
              </w:rPr>
              <w:t>odies</w:t>
            </w:r>
            <w:bookmarkEnd w:id="0"/>
            <w:bookmarkEnd w:id="1"/>
          </w:p>
          <w:p w14:paraId="08E2BD21" w14:textId="5EFBAF37" w:rsidR="00097015" w:rsidRDefault="00097015" w:rsidP="00097015">
            <w:pPr>
              <w:rPr>
                <w:rFonts w:asciiTheme="majorHAnsi" w:hAnsiTheme="majorHAnsi" w:cstheme="majorHAnsi"/>
                <w:sz w:val="40"/>
                <w:szCs w:val="40"/>
              </w:rPr>
            </w:pPr>
            <w:r w:rsidRPr="005657E2">
              <w:rPr>
                <w:rFonts w:asciiTheme="majorHAnsi" w:hAnsiTheme="majorHAnsi" w:cstheme="majorHAnsi"/>
                <w:color w:val="0070C0"/>
                <w:sz w:val="40"/>
                <w:szCs w:val="40"/>
              </w:rPr>
              <w:t>Medical devices and IVDs</w:t>
            </w:r>
          </w:p>
          <w:p w14:paraId="792A3D81" w14:textId="2A24037C" w:rsidR="00AD2B79" w:rsidRPr="007B2014" w:rsidRDefault="00AD2B79" w:rsidP="007B2014">
            <w:pPr>
              <w:rPr>
                <w:rFonts w:asciiTheme="majorHAnsi" w:hAnsiTheme="majorHAnsi" w:cstheme="majorHAnsi"/>
                <w:sz w:val="40"/>
                <w:szCs w:val="40"/>
              </w:rPr>
            </w:pPr>
            <w:r w:rsidRPr="007B2014">
              <w:rPr>
                <w:rFonts w:asciiTheme="majorHAnsi" w:hAnsiTheme="majorHAnsi" w:cstheme="majorHAnsi"/>
                <w:sz w:val="40"/>
                <w:szCs w:val="40"/>
              </w:rPr>
              <w:t>Guidelines for applicants</w:t>
            </w:r>
          </w:p>
        </w:tc>
      </w:tr>
      <w:tr w:rsidR="007F5F3A" w:rsidRPr="00215D48" w14:paraId="2964B898" w14:textId="77777777" w:rsidTr="002B29B2">
        <w:trPr>
          <w:trHeight w:val="1916"/>
        </w:trPr>
        <w:tc>
          <w:tcPr>
            <w:tcW w:w="8720" w:type="dxa"/>
          </w:tcPr>
          <w:p w14:paraId="16432810" w14:textId="1FCB527B" w:rsidR="00BB41C9" w:rsidRPr="00215D48" w:rsidRDefault="00BB41C9" w:rsidP="007F5F3A">
            <w:pPr>
              <w:pStyle w:val="Subtitle"/>
              <w:ind w:left="0"/>
            </w:pPr>
          </w:p>
        </w:tc>
      </w:tr>
      <w:tr w:rsidR="002B29B2" w:rsidRPr="00215D48" w14:paraId="60AB75F8" w14:textId="77777777" w:rsidTr="002B29B2">
        <w:tc>
          <w:tcPr>
            <w:tcW w:w="8720" w:type="dxa"/>
          </w:tcPr>
          <w:p w14:paraId="180A5D56" w14:textId="2F0F661E" w:rsidR="002B29B2" w:rsidRPr="00215D48" w:rsidRDefault="002B29B2" w:rsidP="00E06D33">
            <w:pPr>
              <w:pStyle w:val="Date"/>
            </w:pPr>
            <w:r w:rsidRPr="00215D48">
              <w:t xml:space="preserve">Version 1.0, </w:t>
            </w:r>
            <w:r w:rsidR="00BB1A82">
              <w:t>Ju</w:t>
            </w:r>
            <w:r w:rsidR="00E06D33">
              <w:t>ne</w:t>
            </w:r>
            <w:r w:rsidR="00BB1A82">
              <w:t xml:space="preserve"> 2021</w:t>
            </w:r>
          </w:p>
        </w:tc>
      </w:tr>
    </w:tbl>
    <w:p w14:paraId="2CD9A11B"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40665DF" w14:textId="77777777" w:rsidR="005D1689" w:rsidRPr="00CC7E38" w:rsidRDefault="005D1689" w:rsidP="00CC7E38">
      <w:pPr>
        <w:rPr>
          <w:b/>
          <w:sz w:val="17"/>
          <w:szCs w:val="17"/>
        </w:rPr>
      </w:pPr>
      <w:r w:rsidRPr="00CC7E38">
        <w:rPr>
          <w:b/>
          <w:sz w:val="17"/>
          <w:szCs w:val="17"/>
        </w:rPr>
        <w:lastRenderedPageBreak/>
        <w:t>Copyright</w:t>
      </w:r>
    </w:p>
    <w:p w14:paraId="747EE66A" w14:textId="56EA43C7" w:rsidR="00784F79"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7437205A" w14:textId="77777777" w:rsidR="00784F79" w:rsidRDefault="00784F79">
      <w:pPr>
        <w:spacing w:before="0" w:after="0" w:line="240" w:lineRule="auto"/>
        <w:rPr>
          <w:rFonts w:cs="Arial"/>
          <w:sz w:val="17"/>
        </w:rPr>
      </w:pPr>
      <w:r>
        <w:rPr>
          <w:rFonts w:cs="Arial"/>
        </w:rPr>
        <w:br w:type="page"/>
      </w:r>
    </w:p>
    <w:bookmarkStart w:id="2" w:name="_Toc73959163" w:displacedByCustomXml="next"/>
    <w:sdt>
      <w:sdtPr>
        <w:rPr>
          <w:b/>
        </w:rPr>
        <w:id w:val="-2074035984"/>
        <w:docPartObj>
          <w:docPartGallery w:val="Table of Contents"/>
          <w:docPartUnique/>
        </w:docPartObj>
      </w:sdtPr>
      <w:sdtEndPr>
        <w:rPr>
          <w:b w:val="0"/>
        </w:rPr>
      </w:sdtEndPr>
      <w:sdtContent>
        <w:p w14:paraId="435A5882" w14:textId="2C0B7352" w:rsidR="00F401EF" w:rsidRPr="00784F79" w:rsidRDefault="00F401EF" w:rsidP="00784F79">
          <w:pPr>
            <w:rPr>
              <w:b/>
              <w:sz w:val="36"/>
            </w:rPr>
          </w:pPr>
          <w:r w:rsidRPr="00784F79">
            <w:rPr>
              <w:b/>
              <w:sz w:val="36"/>
            </w:rPr>
            <w:t>Contents</w:t>
          </w:r>
          <w:bookmarkEnd w:id="2"/>
        </w:p>
        <w:p w14:paraId="426B4C17" w14:textId="026C2D85" w:rsidR="004716D9" w:rsidRDefault="00AE1F0A">
          <w:pPr>
            <w:pStyle w:val="TOC2"/>
            <w:rPr>
              <w:rFonts w:asciiTheme="minorHAnsi" w:eastAsiaTheme="minorEastAsia" w:hAnsiTheme="minorHAnsi" w:cstheme="minorBidi"/>
              <w:b w:val="0"/>
              <w:noProof/>
              <w:sz w:val="22"/>
              <w:szCs w:val="22"/>
              <w:lang w:eastAsia="en-AU"/>
            </w:rPr>
          </w:pPr>
          <w:r>
            <w:rPr>
              <w:sz w:val="32"/>
            </w:rPr>
            <w:fldChar w:fldCharType="begin"/>
          </w:r>
          <w:r>
            <w:rPr>
              <w:sz w:val="32"/>
            </w:rPr>
            <w:instrText xml:space="preserve"> TOC \o "1-3" \h \z \u </w:instrText>
          </w:r>
          <w:r>
            <w:rPr>
              <w:sz w:val="32"/>
            </w:rPr>
            <w:fldChar w:fldCharType="separate"/>
          </w:r>
          <w:hyperlink w:anchor="_Toc75891336" w:history="1">
            <w:r w:rsidR="004716D9" w:rsidRPr="00406AB5">
              <w:rPr>
                <w:rStyle w:val="Hyperlink"/>
                <w:noProof/>
              </w:rPr>
              <w:t>About these guidelines</w:t>
            </w:r>
            <w:r w:rsidR="004716D9">
              <w:rPr>
                <w:noProof/>
                <w:webHidden/>
              </w:rPr>
              <w:tab/>
            </w:r>
            <w:r w:rsidR="004716D9">
              <w:rPr>
                <w:noProof/>
                <w:webHidden/>
              </w:rPr>
              <w:fldChar w:fldCharType="begin"/>
            </w:r>
            <w:r w:rsidR="004716D9">
              <w:rPr>
                <w:noProof/>
                <w:webHidden/>
              </w:rPr>
              <w:instrText xml:space="preserve"> PAGEREF _Toc75891336 \h </w:instrText>
            </w:r>
            <w:r w:rsidR="004716D9">
              <w:rPr>
                <w:noProof/>
                <w:webHidden/>
              </w:rPr>
            </w:r>
            <w:r w:rsidR="004716D9">
              <w:rPr>
                <w:noProof/>
                <w:webHidden/>
              </w:rPr>
              <w:fldChar w:fldCharType="separate"/>
            </w:r>
            <w:r w:rsidR="004716D9">
              <w:rPr>
                <w:noProof/>
                <w:webHidden/>
              </w:rPr>
              <w:t>4</w:t>
            </w:r>
            <w:r w:rsidR="004716D9">
              <w:rPr>
                <w:noProof/>
                <w:webHidden/>
              </w:rPr>
              <w:fldChar w:fldCharType="end"/>
            </w:r>
          </w:hyperlink>
        </w:p>
        <w:p w14:paraId="2952F755" w14:textId="348E049A" w:rsidR="004716D9" w:rsidRDefault="00FD157B">
          <w:pPr>
            <w:pStyle w:val="TOC2"/>
            <w:rPr>
              <w:rFonts w:asciiTheme="minorHAnsi" w:eastAsiaTheme="minorEastAsia" w:hAnsiTheme="minorHAnsi" w:cstheme="minorBidi"/>
              <w:b w:val="0"/>
              <w:noProof/>
              <w:sz w:val="22"/>
              <w:szCs w:val="22"/>
              <w:lang w:eastAsia="en-AU"/>
            </w:rPr>
          </w:pPr>
          <w:hyperlink w:anchor="_Toc75891337" w:history="1">
            <w:r w:rsidR="004716D9" w:rsidRPr="00406AB5">
              <w:rPr>
                <w:rStyle w:val="Hyperlink"/>
                <w:noProof/>
              </w:rPr>
              <w:t>Eligibility for an Australian CAB determination</w:t>
            </w:r>
            <w:r w:rsidR="004716D9">
              <w:rPr>
                <w:noProof/>
                <w:webHidden/>
              </w:rPr>
              <w:tab/>
            </w:r>
            <w:r w:rsidR="004716D9">
              <w:rPr>
                <w:noProof/>
                <w:webHidden/>
              </w:rPr>
              <w:fldChar w:fldCharType="begin"/>
            </w:r>
            <w:r w:rsidR="004716D9">
              <w:rPr>
                <w:noProof/>
                <w:webHidden/>
              </w:rPr>
              <w:instrText xml:space="preserve"> PAGEREF _Toc75891337 \h </w:instrText>
            </w:r>
            <w:r w:rsidR="004716D9">
              <w:rPr>
                <w:noProof/>
                <w:webHidden/>
              </w:rPr>
            </w:r>
            <w:r w:rsidR="004716D9">
              <w:rPr>
                <w:noProof/>
                <w:webHidden/>
              </w:rPr>
              <w:fldChar w:fldCharType="separate"/>
            </w:r>
            <w:r w:rsidR="004716D9">
              <w:rPr>
                <w:noProof/>
                <w:webHidden/>
              </w:rPr>
              <w:t>5</w:t>
            </w:r>
            <w:r w:rsidR="004716D9">
              <w:rPr>
                <w:noProof/>
                <w:webHidden/>
              </w:rPr>
              <w:fldChar w:fldCharType="end"/>
            </w:r>
          </w:hyperlink>
        </w:p>
        <w:p w14:paraId="6EE73DB6" w14:textId="659F12C0" w:rsidR="004716D9" w:rsidRDefault="00FD157B">
          <w:pPr>
            <w:pStyle w:val="TOC3"/>
            <w:rPr>
              <w:rFonts w:asciiTheme="minorHAnsi" w:eastAsiaTheme="minorEastAsia" w:hAnsiTheme="minorHAnsi" w:cstheme="minorBidi"/>
              <w:b w:val="0"/>
              <w:noProof/>
              <w:szCs w:val="22"/>
              <w:lang w:eastAsia="en-AU"/>
            </w:rPr>
          </w:pPr>
          <w:hyperlink w:anchor="_Toc75891338" w:history="1">
            <w:r w:rsidR="004716D9" w:rsidRPr="00406AB5">
              <w:rPr>
                <w:rStyle w:val="Hyperlink"/>
                <w:noProof/>
              </w:rPr>
              <w:t>Application requirements</w:t>
            </w:r>
            <w:r w:rsidR="004716D9">
              <w:rPr>
                <w:noProof/>
                <w:webHidden/>
              </w:rPr>
              <w:tab/>
            </w:r>
            <w:r w:rsidR="004716D9">
              <w:rPr>
                <w:noProof/>
                <w:webHidden/>
              </w:rPr>
              <w:fldChar w:fldCharType="begin"/>
            </w:r>
            <w:r w:rsidR="004716D9">
              <w:rPr>
                <w:noProof/>
                <w:webHidden/>
              </w:rPr>
              <w:instrText xml:space="preserve"> PAGEREF _Toc75891338 \h </w:instrText>
            </w:r>
            <w:r w:rsidR="004716D9">
              <w:rPr>
                <w:noProof/>
                <w:webHidden/>
              </w:rPr>
            </w:r>
            <w:r w:rsidR="004716D9">
              <w:rPr>
                <w:noProof/>
                <w:webHidden/>
              </w:rPr>
              <w:fldChar w:fldCharType="separate"/>
            </w:r>
            <w:r w:rsidR="004716D9">
              <w:rPr>
                <w:noProof/>
                <w:webHidden/>
              </w:rPr>
              <w:t>5</w:t>
            </w:r>
            <w:r w:rsidR="004716D9">
              <w:rPr>
                <w:noProof/>
                <w:webHidden/>
              </w:rPr>
              <w:fldChar w:fldCharType="end"/>
            </w:r>
          </w:hyperlink>
        </w:p>
        <w:p w14:paraId="3837540C" w14:textId="2A06B7B1" w:rsidR="004716D9" w:rsidRDefault="00FD157B">
          <w:pPr>
            <w:pStyle w:val="TOC3"/>
            <w:rPr>
              <w:rFonts w:asciiTheme="minorHAnsi" w:eastAsiaTheme="minorEastAsia" w:hAnsiTheme="minorHAnsi" w:cstheme="minorBidi"/>
              <w:b w:val="0"/>
              <w:noProof/>
              <w:szCs w:val="22"/>
              <w:lang w:eastAsia="en-AU"/>
            </w:rPr>
          </w:pPr>
          <w:hyperlink w:anchor="_Toc75891339" w:history="1">
            <w:r w:rsidR="004716D9" w:rsidRPr="00406AB5">
              <w:rPr>
                <w:rStyle w:val="Hyperlink"/>
                <w:noProof/>
              </w:rPr>
              <w:t>Assessment requirements</w:t>
            </w:r>
            <w:r w:rsidR="004716D9">
              <w:rPr>
                <w:noProof/>
                <w:webHidden/>
              </w:rPr>
              <w:tab/>
            </w:r>
            <w:r w:rsidR="004716D9">
              <w:rPr>
                <w:noProof/>
                <w:webHidden/>
              </w:rPr>
              <w:fldChar w:fldCharType="begin"/>
            </w:r>
            <w:r w:rsidR="004716D9">
              <w:rPr>
                <w:noProof/>
                <w:webHidden/>
              </w:rPr>
              <w:instrText xml:space="preserve"> PAGEREF _Toc75891339 \h </w:instrText>
            </w:r>
            <w:r w:rsidR="004716D9">
              <w:rPr>
                <w:noProof/>
                <w:webHidden/>
              </w:rPr>
            </w:r>
            <w:r w:rsidR="004716D9">
              <w:rPr>
                <w:noProof/>
                <w:webHidden/>
              </w:rPr>
              <w:fldChar w:fldCharType="separate"/>
            </w:r>
            <w:r w:rsidR="004716D9">
              <w:rPr>
                <w:noProof/>
                <w:webHidden/>
              </w:rPr>
              <w:t>5</w:t>
            </w:r>
            <w:r w:rsidR="004716D9">
              <w:rPr>
                <w:noProof/>
                <w:webHidden/>
              </w:rPr>
              <w:fldChar w:fldCharType="end"/>
            </w:r>
          </w:hyperlink>
        </w:p>
        <w:p w14:paraId="3DA01D9C" w14:textId="1B08FF21" w:rsidR="004716D9" w:rsidRDefault="00FD157B">
          <w:pPr>
            <w:pStyle w:val="TOC2"/>
            <w:rPr>
              <w:rFonts w:asciiTheme="minorHAnsi" w:eastAsiaTheme="minorEastAsia" w:hAnsiTheme="minorHAnsi" w:cstheme="minorBidi"/>
              <w:b w:val="0"/>
              <w:noProof/>
              <w:sz w:val="22"/>
              <w:szCs w:val="22"/>
              <w:lang w:eastAsia="en-AU"/>
            </w:rPr>
          </w:pPr>
          <w:hyperlink w:anchor="_Toc75891340" w:history="1">
            <w:r w:rsidR="004716D9" w:rsidRPr="00406AB5">
              <w:rPr>
                <w:rStyle w:val="Hyperlink"/>
                <w:noProof/>
              </w:rPr>
              <w:t>Certification-related activities</w:t>
            </w:r>
            <w:r w:rsidR="004716D9">
              <w:rPr>
                <w:noProof/>
                <w:webHidden/>
              </w:rPr>
              <w:tab/>
            </w:r>
            <w:r w:rsidR="004716D9">
              <w:rPr>
                <w:noProof/>
                <w:webHidden/>
              </w:rPr>
              <w:fldChar w:fldCharType="begin"/>
            </w:r>
            <w:r w:rsidR="004716D9">
              <w:rPr>
                <w:noProof/>
                <w:webHidden/>
              </w:rPr>
              <w:instrText xml:space="preserve"> PAGEREF _Toc75891340 \h </w:instrText>
            </w:r>
            <w:r w:rsidR="004716D9">
              <w:rPr>
                <w:noProof/>
                <w:webHidden/>
              </w:rPr>
            </w:r>
            <w:r w:rsidR="004716D9">
              <w:rPr>
                <w:noProof/>
                <w:webHidden/>
              </w:rPr>
              <w:fldChar w:fldCharType="separate"/>
            </w:r>
            <w:r w:rsidR="004716D9">
              <w:rPr>
                <w:noProof/>
                <w:webHidden/>
              </w:rPr>
              <w:t>6</w:t>
            </w:r>
            <w:r w:rsidR="004716D9">
              <w:rPr>
                <w:noProof/>
                <w:webHidden/>
              </w:rPr>
              <w:fldChar w:fldCharType="end"/>
            </w:r>
          </w:hyperlink>
        </w:p>
        <w:p w14:paraId="429CCDED" w14:textId="1893AF96" w:rsidR="004716D9" w:rsidRDefault="00FD157B">
          <w:pPr>
            <w:pStyle w:val="TOC2"/>
            <w:rPr>
              <w:rFonts w:asciiTheme="minorHAnsi" w:eastAsiaTheme="minorEastAsia" w:hAnsiTheme="minorHAnsi" w:cstheme="minorBidi"/>
              <w:b w:val="0"/>
              <w:noProof/>
              <w:sz w:val="22"/>
              <w:szCs w:val="22"/>
              <w:lang w:eastAsia="en-AU"/>
            </w:rPr>
          </w:pPr>
          <w:hyperlink w:anchor="_Toc75891341" w:history="1">
            <w:r w:rsidR="004716D9" w:rsidRPr="00406AB5">
              <w:rPr>
                <w:rStyle w:val="Hyperlink"/>
                <w:noProof/>
              </w:rPr>
              <w:t>Requirements for Australian conformity assessment bodies</w:t>
            </w:r>
            <w:r w:rsidR="004716D9">
              <w:rPr>
                <w:noProof/>
                <w:webHidden/>
              </w:rPr>
              <w:tab/>
            </w:r>
            <w:r w:rsidR="004716D9">
              <w:rPr>
                <w:noProof/>
                <w:webHidden/>
              </w:rPr>
              <w:fldChar w:fldCharType="begin"/>
            </w:r>
            <w:r w:rsidR="004716D9">
              <w:rPr>
                <w:noProof/>
                <w:webHidden/>
              </w:rPr>
              <w:instrText xml:space="preserve"> PAGEREF _Toc75891341 \h </w:instrText>
            </w:r>
            <w:r w:rsidR="004716D9">
              <w:rPr>
                <w:noProof/>
                <w:webHidden/>
              </w:rPr>
            </w:r>
            <w:r w:rsidR="004716D9">
              <w:rPr>
                <w:noProof/>
                <w:webHidden/>
              </w:rPr>
              <w:fldChar w:fldCharType="separate"/>
            </w:r>
            <w:r w:rsidR="004716D9">
              <w:rPr>
                <w:noProof/>
                <w:webHidden/>
              </w:rPr>
              <w:t>7</w:t>
            </w:r>
            <w:r w:rsidR="004716D9">
              <w:rPr>
                <w:noProof/>
                <w:webHidden/>
              </w:rPr>
              <w:fldChar w:fldCharType="end"/>
            </w:r>
          </w:hyperlink>
        </w:p>
        <w:p w14:paraId="1494D84A" w14:textId="7B265848" w:rsidR="004716D9" w:rsidRDefault="00FD157B">
          <w:pPr>
            <w:pStyle w:val="TOC2"/>
            <w:rPr>
              <w:rFonts w:asciiTheme="minorHAnsi" w:eastAsiaTheme="minorEastAsia" w:hAnsiTheme="minorHAnsi" w:cstheme="minorBidi"/>
              <w:b w:val="0"/>
              <w:noProof/>
              <w:sz w:val="22"/>
              <w:szCs w:val="22"/>
              <w:lang w:eastAsia="en-AU"/>
            </w:rPr>
          </w:pPr>
          <w:hyperlink w:anchor="_Toc75891342" w:history="1">
            <w:r w:rsidR="004716D9" w:rsidRPr="00406AB5">
              <w:rPr>
                <w:rStyle w:val="Hyperlink"/>
                <w:noProof/>
              </w:rPr>
              <w:t>Scope of a determination</w:t>
            </w:r>
            <w:r w:rsidR="004716D9">
              <w:rPr>
                <w:noProof/>
                <w:webHidden/>
              </w:rPr>
              <w:tab/>
            </w:r>
            <w:r w:rsidR="004716D9">
              <w:rPr>
                <w:noProof/>
                <w:webHidden/>
              </w:rPr>
              <w:fldChar w:fldCharType="begin"/>
            </w:r>
            <w:r w:rsidR="004716D9">
              <w:rPr>
                <w:noProof/>
                <w:webHidden/>
              </w:rPr>
              <w:instrText xml:space="preserve"> PAGEREF _Toc75891342 \h </w:instrText>
            </w:r>
            <w:r w:rsidR="004716D9">
              <w:rPr>
                <w:noProof/>
                <w:webHidden/>
              </w:rPr>
            </w:r>
            <w:r w:rsidR="004716D9">
              <w:rPr>
                <w:noProof/>
                <w:webHidden/>
              </w:rPr>
              <w:fldChar w:fldCharType="separate"/>
            </w:r>
            <w:r w:rsidR="004716D9">
              <w:rPr>
                <w:noProof/>
                <w:webHidden/>
              </w:rPr>
              <w:t>8</w:t>
            </w:r>
            <w:r w:rsidR="004716D9">
              <w:rPr>
                <w:noProof/>
                <w:webHidden/>
              </w:rPr>
              <w:fldChar w:fldCharType="end"/>
            </w:r>
          </w:hyperlink>
        </w:p>
        <w:p w14:paraId="2D3A4488" w14:textId="62E1AC38" w:rsidR="004716D9" w:rsidRDefault="00FD157B">
          <w:pPr>
            <w:pStyle w:val="TOC3"/>
            <w:rPr>
              <w:rFonts w:asciiTheme="minorHAnsi" w:eastAsiaTheme="minorEastAsia" w:hAnsiTheme="minorHAnsi" w:cstheme="minorBidi"/>
              <w:b w:val="0"/>
              <w:noProof/>
              <w:szCs w:val="22"/>
              <w:lang w:eastAsia="en-AU"/>
            </w:rPr>
          </w:pPr>
          <w:hyperlink w:anchor="_Toc75891343" w:history="1">
            <w:r w:rsidR="004716D9" w:rsidRPr="00406AB5">
              <w:rPr>
                <w:rStyle w:val="Hyperlink"/>
                <w:noProof/>
              </w:rPr>
              <w:t>Conformity assessment procedures</w:t>
            </w:r>
            <w:r w:rsidR="004716D9">
              <w:rPr>
                <w:noProof/>
                <w:webHidden/>
              </w:rPr>
              <w:tab/>
            </w:r>
            <w:r w:rsidR="004716D9">
              <w:rPr>
                <w:noProof/>
                <w:webHidden/>
              </w:rPr>
              <w:fldChar w:fldCharType="begin"/>
            </w:r>
            <w:r w:rsidR="004716D9">
              <w:rPr>
                <w:noProof/>
                <w:webHidden/>
              </w:rPr>
              <w:instrText xml:space="preserve"> PAGEREF _Toc75891343 \h </w:instrText>
            </w:r>
            <w:r w:rsidR="004716D9">
              <w:rPr>
                <w:noProof/>
                <w:webHidden/>
              </w:rPr>
            </w:r>
            <w:r w:rsidR="004716D9">
              <w:rPr>
                <w:noProof/>
                <w:webHidden/>
              </w:rPr>
              <w:fldChar w:fldCharType="separate"/>
            </w:r>
            <w:r w:rsidR="004716D9">
              <w:rPr>
                <w:noProof/>
                <w:webHidden/>
              </w:rPr>
              <w:t>8</w:t>
            </w:r>
            <w:r w:rsidR="004716D9">
              <w:rPr>
                <w:noProof/>
                <w:webHidden/>
              </w:rPr>
              <w:fldChar w:fldCharType="end"/>
            </w:r>
          </w:hyperlink>
        </w:p>
        <w:p w14:paraId="2F63F158" w14:textId="63124448" w:rsidR="004716D9" w:rsidRDefault="00FD157B">
          <w:pPr>
            <w:pStyle w:val="TOC3"/>
            <w:rPr>
              <w:rFonts w:asciiTheme="minorHAnsi" w:eastAsiaTheme="minorEastAsia" w:hAnsiTheme="minorHAnsi" w:cstheme="minorBidi"/>
              <w:b w:val="0"/>
              <w:noProof/>
              <w:szCs w:val="22"/>
              <w:lang w:eastAsia="en-AU"/>
            </w:rPr>
          </w:pPr>
          <w:hyperlink w:anchor="_Toc75891344" w:history="1">
            <w:r w:rsidR="004716D9" w:rsidRPr="00406AB5">
              <w:rPr>
                <w:rStyle w:val="Hyperlink"/>
                <w:noProof/>
              </w:rPr>
              <w:t>Medical devices</w:t>
            </w:r>
            <w:r w:rsidR="004716D9">
              <w:rPr>
                <w:noProof/>
                <w:webHidden/>
              </w:rPr>
              <w:tab/>
            </w:r>
            <w:r w:rsidR="004716D9">
              <w:rPr>
                <w:noProof/>
                <w:webHidden/>
              </w:rPr>
              <w:fldChar w:fldCharType="begin"/>
            </w:r>
            <w:r w:rsidR="004716D9">
              <w:rPr>
                <w:noProof/>
                <w:webHidden/>
              </w:rPr>
              <w:instrText xml:space="preserve"> PAGEREF _Toc75891344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282E91F0" w14:textId="06AEB039" w:rsidR="004716D9" w:rsidRDefault="00FD157B">
          <w:pPr>
            <w:pStyle w:val="TOC2"/>
            <w:rPr>
              <w:rFonts w:asciiTheme="minorHAnsi" w:eastAsiaTheme="minorEastAsia" w:hAnsiTheme="minorHAnsi" w:cstheme="minorBidi"/>
              <w:b w:val="0"/>
              <w:noProof/>
              <w:sz w:val="22"/>
              <w:szCs w:val="22"/>
              <w:lang w:eastAsia="en-AU"/>
            </w:rPr>
          </w:pPr>
          <w:hyperlink w:anchor="_Toc75891345" w:history="1">
            <w:r w:rsidR="004716D9" w:rsidRPr="00406AB5">
              <w:rPr>
                <w:rStyle w:val="Hyperlink"/>
                <w:noProof/>
              </w:rPr>
              <w:t>Application and determination process</w:t>
            </w:r>
            <w:r w:rsidR="004716D9">
              <w:rPr>
                <w:noProof/>
                <w:webHidden/>
              </w:rPr>
              <w:tab/>
            </w:r>
            <w:r w:rsidR="004716D9">
              <w:rPr>
                <w:noProof/>
                <w:webHidden/>
              </w:rPr>
              <w:fldChar w:fldCharType="begin"/>
            </w:r>
            <w:r w:rsidR="004716D9">
              <w:rPr>
                <w:noProof/>
                <w:webHidden/>
              </w:rPr>
              <w:instrText xml:space="preserve"> PAGEREF _Toc75891345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1DA17D48" w14:textId="5320D86D" w:rsidR="004716D9" w:rsidRDefault="00FD157B">
          <w:pPr>
            <w:pStyle w:val="TOC3"/>
            <w:rPr>
              <w:rFonts w:asciiTheme="minorHAnsi" w:eastAsiaTheme="minorEastAsia" w:hAnsiTheme="minorHAnsi" w:cstheme="minorBidi"/>
              <w:b w:val="0"/>
              <w:noProof/>
              <w:szCs w:val="22"/>
              <w:lang w:eastAsia="en-AU"/>
            </w:rPr>
          </w:pPr>
          <w:hyperlink w:anchor="_Toc75891346" w:history="1">
            <w:r w:rsidR="004716D9" w:rsidRPr="00406AB5">
              <w:rPr>
                <w:rStyle w:val="Hyperlink"/>
                <w:noProof/>
              </w:rPr>
              <w:t>Assessment Program Cycle</w:t>
            </w:r>
            <w:r w:rsidR="004716D9">
              <w:rPr>
                <w:noProof/>
                <w:webHidden/>
              </w:rPr>
              <w:tab/>
            </w:r>
            <w:r w:rsidR="004716D9">
              <w:rPr>
                <w:noProof/>
                <w:webHidden/>
              </w:rPr>
              <w:fldChar w:fldCharType="begin"/>
            </w:r>
            <w:r w:rsidR="004716D9">
              <w:rPr>
                <w:noProof/>
                <w:webHidden/>
              </w:rPr>
              <w:instrText xml:space="preserve"> PAGEREF _Toc75891346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574FE582" w14:textId="2E9E3EFE" w:rsidR="004716D9" w:rsidRDefault="00FD157B">
          <w:pPr>
            <w:pStyle w:val="TOC3"/>
            <w:rPr>
              <w:rFonts w:asciiTheme="minorHAnsi" w:eastAsiaTheme="minorEastAsia" w:hAnsiTheme="minorHAnsi" w:cstheme="minorBidi"/>
              <w:b w:val="0"/>
              <w:noProof/>
              <w:szCs w:val="22"/>
              <w:lang w:eastAsia="en-AU"/>
            </w:rPr>
          </w:pPr>
          <w:hyperlink w:anchor="_Toc75891347" w:history="1">
            <w:r w:rsidR="004716D9" w:rsidRPr="00406AB5">
              <w:rPr>
                <w:rStyle w:val="Hyperlink"/>
                <w:noProof/>
              </w:rPr>
              <w:t>Pre-application meetings</w:t>
            </w:r>
            <w:r w:rsidR="004716D9">
              <w:rPr>
                <w:noProof/>
                <w:webHidden/>
              </w:rPr>
              <w:tab/>
            </w:r>
            <w:r w:rsidR="004716D9">
              <w:rPr>
                <w:noProof/>
                <w:webHidden/>
              </w:rPr>
              <w:fldChar w:fldCharType="begin"/>
            </w:r>
            <w:r w:rsidR="004716D9">
              <w:rPr>
                <w:noProof/>
                <w:webHidden/>
              </w:rPr>
              <w:instrText xml:space="preserve"> PAGEREF _Toc75891347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2F248877" w14:textId="2522369D" w:rsidR="004716D9" w:rsidRDefault="00FD157B">
          <w:pPr>
            <w:pStyle w:val="TOC3"/>
            <w:rPr>
              <w:rFonts w:asciiTheme="minorHAnsi" w:eastAsiaTheme="minorEastAsia" w:hAnsiTheme="minorHAnsi" w:cstheme="minorBidi"/>
              <w:b w:val="0"/>
              <w:noProof/>
              <w:szCs w:val="22"/>
              <w:lang w:eastAsia="en-AU"/>
            </w:rPr>
          </w:pPr>
          <w:hyperlink w:anchor="_Toc75891348" w:history="1">
            <w:r w:rsidR="004716D9" w:rsidRPr="00406AB5">
              <w:rPr>
                <w:rStyle w:val="Hyperlink"/>
                <w:noProof/>
              </w:rPr>
              <w:t>How to apply</w:t>
            </w:r>
            <w:r w:rsidR="004716D9">
              <w:rPr>
                <w:noProof/>
                <w:webHidden/>
              </w:rPr>
              <w:tab/>
            </w:r>
            <w:r w:rsidR="004716D9">
              <w:rPr>
                <w:noProof/>
                <w:webHidden/>
              </w:rPr>
              <w:fldChar w:fldCharType="begin"/>
            </w:r>
            <w:r w:rsidR="004716D9">
              <w:rPr>
                <w:noProof/>
                <w:webHidden/>
              </w:rPr>
              <w:instrText xml:space="preserve"> PAGEREF _Toc75891348 \h </w:instrText>
            </w:r>
            <w:r w:rsidR="004716D9">
              <w:rPr>
                <w:noProof/>
                <w:webHidden/>
              </w:rPr>
            </w:r>
            <w:r w:rsidR="004716D9">
              <w:rPr>
                <w:noProof/>
                <w:webHidden/>
              </w:rPr>
              <w:fldChar w:fldCharType="separate"/>
            </w:r>
            <w:r w:rsidR="004716D9">
              <w:rPr>
                <w:noProof/>
                <w:webHidden/>
              </w:rPr>
              <w:t>10</w:t>
            </w:r>
            <w:r w:rsidR="004716D9">
              <w:rPr>
                <w:noProof/>
                <w:webHidden/>
              </w:rPr>
              <w:fldChar w:fldCharType="end"/>
            </w:r>
          </w:hyperlink>
        </w:p>
        <w:p w14:paraId="279407B6" w14:textId="71479E17" w:rsidR="004716D9" w:rsidRDefault="00FD157B">
          <w:pPr>
            <w:pStyle w:val="TOC3"/>
            <w:rPr>
              <w:rFonts w:asciiTheme="minorHAnsi" w:eastAsiaTheme="minorEastAsia" w:hAnsiTheme="minorHAnsi" w:cstheme="minorBidi"/>
              <w:b w:val="0"/>
              <w:noProof/>
              <w:szCs w:val="22"/>
              <w:lang w:eastAsia="en-AU"/>
            </w:rPr>
          </w:pPr>
          <w:hyperlink w:anchor="_Toc75891349" w:history="1">
            <w:r w:rsidR="004716D9" w:rsidRPr="00406AB5">
              <w:rPr>
                <w:rStyle w:val="Hyperlink"/>
                <w:noProof/>
              </w:rPr>
              <w:t>How to fill in the application form</w:t>
            </w:r>
            <w:r w:rsidR="004716D9">
              <w:rPr>
                <w:noProof/>
                <w:webHidden/>
              </w:rPr>
              <w:tab/>
            </w:r>
            <w:r w:rsidR="004716D9">
              <w:rPr>
                <w:noProof/>
                <w:webHidden/>
              </w:rPr>
              <w:fldChar w:fldCharType="begin"/>
            </w:r>
            <w:r w:rsidR="004716D9">
              <w:rPr>
                <w:noProof/>
                <w:webHidden/>
              </w:rPr>
              <w:instrText xml:space="preserve"> PAGEREF _Toc75891349 \h </w:instrText>
            </w:r>
            <w:r w:rsidR="004716D9">
              <w:rPr>
                <w:noProof/>
                <w:webHidden/>
              </w:rPr>
            </w:r>
            <w:r w:rsidR="004716D9">
              <w:rPr>
                <w:noProof/>
                <w:webHidden/>
              </w:rPr>
              <w:fldChar w:fldCharType="separate"/>
            </w:r>
            <w:r w:rsidR="004716D9">
              <w:rPr>
                <w:noProof/>
                <w:webHidden/>
              </w:rPr>
              <w:t>10</w:t>
            </w:r>
            <w:r w:rsidR="004716D9">
              <w:rPr>
                <w:noProof/>
                <w:webHidden/>
              </w:rPr>
              <w:fldChar w:fldCharType="end"/>
            </w:r>
          </w:hyperlink>
        </w:p>
        <w:p w14:paraId="74F899B8" w14:textId="32F9E406" w:rsidR="004716D9" w:rsidRDefault="00FD157B">
          <w:pPr>
            <w:pStyle w:val="TOC3"/>
            <w:rPr>
              <w:rFonts w:asciiTheme="minorHAnsi" w:eastAsiaTheme="minorEastAsia" w:hAnsiTheme="minorHAnsi" w:cstheme="minorBidi"/>
              <w:b w:val="0"/>
              <w:noProof/>
              <w:szCs w:val="22"/>
              <w:lang w:eastAsia="en-AU"/>
            </w:rPr>
          </w:pPr>
          <w:hyperlink w:anchor="_Toc75891350" w:history="1">
            <w:r w:rsidR="004716D9" w:rsidRPr="00406AB5">
              <w:rPr>
                <w:rStyle w:val="Hyperlink"/>
                <w:noProof/>
              </w:rPr>
              <w:t>Fees and charges</w:t>
            </w:r>
            <w:r w:rsidR="004716D9">
              <w:rPr>
                <w:noProof/>
                <w:webHidden/>
              </w:rPr>
              <w:tab/>
            </w:r>
            <w:r w:rsidR="004716D9">
              <w:rPr>
                <w:noProof/>
                <w:webHidden/>
              </w:rPr>
              <w:fldChar w:fldCharType="begin"/>
            </w:r>
            <w:r w:rsidR="004716D9">
              <w:rPr>
                <w:noProof/>
                <w:webHidden/>
              </w:rPr>
              <w:instrText xml:space="preserve"> PAGEREF _Toc75891350 \h </w:instrText>
            </w:r>
            <w:r w:rsidR="004716D9">
              <w:rPr>
                <w:noProof/>
                <w:webHidden/>
              </w:rPr>
            </w:r>
            <w:r w:rsidR="004716D9">
              <w:rPr>
                <w:noProof/>
                <w:webHidden/>
              </w:rPr>
              <w:fldChar w:fldCharType="separate"/>
            </w:r>
            <w:r w:rsidR="004716D9">
              <w:rPr>
                <w:noProof/>
                <w:webHidden/>
              </w:rPr>
              <w:t>12</w:t>
            </w:r>
            <w:r w:rsidR="004716D9">
              <w:rPr>
                <w:noProof/>
                <w:webHidden/>
              </w:rPr>
              <w:fldChar w:fldCharType="end"/>
            </w:r>
          </w:hyperlink>
        </w:p>
        <w:p w14:paraId="002E286D" w14:textId="30CFD807" w:rsidR="004716D9" w:rsidRDefault="00FD157B">
          <w:pPr>
            <w:pStyle w:val="TOC3"/>
            <w:rPr>
              <w:rFonts w:asciiTheme="minorHAnsi" w:eastAsiaTheme="minorEastAsia" w:hAnsiTheme="minorHAnsi" w:cstheme="minorBidi"/>
              <w:b w:val="0"/>
              <w:noProof/>
              <w:szCs w:val="22"/>
              <w:lang w:eastAsia="en-AU"/>
            </w:rPr>
          </w:pPr>
          <w:hyperlink w:anchor="_Toc75891351" w:history="1">
            <w:r w:rsidR="004716D9" w:rsidRPr="00406AB5">
              <w:rPr>
                <w:rStyle w:val="Hyperlink"/>
                <w:noProof/>
              </w:rPr>
              <w:t>Assessment process</w:t>
            </w:r>
            <w:r w:rsidR="004716D9">
              <w:rPr>
                <w:noProof/>
                <w:webHidden/>
              </w:rPr>
              <w:tab/>
            </w:r>
            <w:r w:rsidR="004716D9">
              <w:rPr>
                <w:noProof/>
                <w:webHidden/>
              </w:rPr>
              <w:fldChar w:fldCharType="begin"/>
            </w:r>
            <w:r w:rsidR="004716D9">
              <w:rPr>
                <w:noProof/>
                <w:webHidden/>
              </w:rPr>
              <w:instrText xml:space="preserve"> PAGEREF _Toc75891351 \h </w:instrText>
            </w:r>
            <w:r w:rsidR="004716D9">
              <w:rPr>
                <w:noProof/>
                <w:webHidden/>
              </w:rPr>
            </w:r>
            <w:r w:rsidR="004716D9">
              <w:rPr>
                <w:noProof/>
                <w:webHidden/>
              </w:rPr>
              <w:fldChar w:fldCharType="separate"/>
            </w:r>
            <w:r w:rsidR="004716D9">
              <w:rPr>
                <w:noProof/>
                <w:webHidden/>
              </w:rPr>
              <w:t>12</w:t>
            </w:r>
            <w:r w:rsidR="004716D9">
              <w:rPr>
                <w:noProof/>
                <w:webHidden/>
              </w:rPr>
              <w:fldChar w:fldCharType="end"/>
            </w:r>
          </w:hyperlink>
        </w:p>
        <w:p w14:paraId="05D18563" w14:textId="0C42883F" w:rsidR="004716D9" w:rsidRDefault="00FD157B">
          <w:pPr>
            <w:pStyle w:val="TOC2"/>
            <w:rPr>
              <w:rFonts w:asciiTheme="minorHAnsi" w:eastAsiaTheme="minorEastAsia" w:hAnsiTheme="minorHAnsi" w:cstheme="minorBidi"/>
              <w:b w:val="0"/>
              <w:noProof/>
              <w:sz w:val="22"/>
              <w:szCs w:val="22"/>
              <w:lang w:eastAsia="en-AU"/>
            </w:rPr>
          </w:pPr>
          <w:hyperlink w:anchor="_Toc75891352" w:history="1">
            <w:r w:rsidR="004716D9" w:rsidRPr="00406AB5">
              <w:rPr>
                <w:rStyle w:val="Hyperlink"/>
                <w:noProof/>
              </w:rPr>
              <w:t>The determination decision</w:t>
            </w:r>
            <w:r w:rsidR="004716D9">
              <w:rPr>
                <w:noProof/>
                <w:webHidden/>
              </w:rPr>
              <w:tab/>
            </w:r>
            <w:r w:rsidR="004716D9">
              <w:rPr>
                <w:noProof/>
                <w:webHidden/>
              </w:rPr>
              <w:fldChar w:fldCharType="begin"/>
            </w:r>
            <w:r w:rsidR="004716D9">
              <w:rPr>
                <w:noProof/>
                <w:webHidden/>
              </w:rPr>
              <w:instrText xml:space="preserve"> PAGEREF _Toc75891352 \h </w:instrText>
            </w:r>
            <w:r w:rsidR="004716D9">
              <w:rPr>
                <w:noProof/>
                <w:webHidden/>
              </w:rPr>
            </w:r>
            <w:r w:rsidR="004716D9">
              <w:rPr>
                <w:noProof/>
                <w:webHidden/>
              </w:rPr>
              <w:fldChar w:fldCharType="separate"/>
            </w:r>
            <w:r w:rsidR="004716D9">
              <w:rPr>
                <w:noProof/>
                <w:webHidden/>
              </w:rPr>
              <w:t>14</w:t>
            </w:r>
            <w:r w:rsidR="004716D9">
              <w:rPr>
                <w:noProof/>
                <w:webHidden/>
              </w:rPr>
              <w:fldChar w:fldCharType="end"/>
            </w:r>
          </w:hyperlink>
        </w:p>
        <w:p w14:paraId="51F6EBC0" w14:textId="6F617242" w:rsidR="004716D9" w:rsidRDefault="00FD157B">
          <w:pPr>
            <w:pStyle w:val="TOC2"/>
            <w:rPr>
              <w:rFonts w:asciiTheme="minorHAnsi" w:eastAsiaTheme="minorEastAsia" w:hAnsiTheme="minorHAnsi" w:cstheme="minorBidi"/>
              <w:b w:val="0"/>
              <w:noProof/>
              <w:sz w:val="22"/>
              <w:szCs w:val="22"/>
              <w:lang w:eastAsia="en-AU"/>
            </w:rPr>
          </w:pPr>
          <w:hyperlink w:anchor="_Toc75891353" w:history="1">
            <w:r w:rsidR="004716D9" w:rsidRPr="00406AB5">
              <w:rPr>
                <w:rStyle w:val="Hyperlink"/>
                <w:noProof/>
              </w:rPr>
              <w:t>What to expect once an initial determination is made</w:t>
            </w:r>
            <w:r w:rsidR="004716D9">
              <w:rPr>
                <w:noProof/>
                <w:webHidden/>
              </w:rPr>
              <w:tab/>
            </w:r>
            <w:r w:rsidR="004716D9">
              <w:rPr>
                <w:noProof/>
                <w:webHidden/>
              </w:rPr>
              <w:fldChar w:fldCharType="begin"/>
            </w:r>
            <w:r w:rsidR="004716D9">
              <w:rPr>
                <w:noProof/>
                <w:webHidden/>
              </w:rPr>
              <w:instrText xml:space="preserve"> PAGEREF _Toc75891353 \h </w:instrText>
            </w:r>
            <w:r w:rsidR="004716D9">
              <w:rPr>
                <w:noProof/>
                <w:webHidden/>
              </w:rPr>
            </w:r>
            <w:r w:rsidR="004716D9">
              <w:rPr>
                <w:noProof/>
                <w:webHidden/>
              </w:rPr>
              <w:fldChar w:fldCharType="separate"/>
            </w:r>
            <w:r w:rsidR="004716D9">
              <w:rPr>
                <w:noProof/>
                <w:webHidden/>
              </w:rPr>
              <w:t>14</w:t>
            </w:r>
            <w:r w:rsidR="004716D9">
              <w:rPr>
                <w:noProof/>
                <w:webHidden/>
              </w:rPr>
              <w:fldChar w:fldCharType="end"/>
            </w:r>
          </w:hyperlink>
        </w:p>
        <w:p w14:paraId="08BF0339" w14:textId="4DC3FBF1" w:rsidR="004716D9" w:rsidRDefault="00FD157B">
          <w:pPr>
            <w:pStyle w:val="TOC2"/>
            <w:rPr>
              <w:rFonts w:asciiTheme="minorHAnsi" w:eastAsiaTheme="minorEastAsia" w:hAnsiTheme="minorHAnsi" w:cstheme="minorBidi"/>
              <w:b w:val="0"/>
              <w:noProof/>
              <w:sz w:val="22"/>
              <w:szCs w:val="22"/>
              <w:lang w:eastAsia="en-AU"/>
            </w:rPr>
          </w:pPr>
          <w:hyperlink w:anchor="_Toc75891354" w:history="1">
            <w:r w:rsidR="004716D9" w:rsidRPr="00406AB5">
              <w:rPr>
                <w:rStyle w:val="Hyperlink"/>
                <w:noProof/>
              </w:rPr>
              <w:t>Further information</w:t>
            </w:r>
            <w:r w:rsidR="004716D9">
              <w:rPr>
                <w:noProof/>
                <w:webHidden/>
              </w:rPr>
              <w:tab/>
            </w:r>
            <w:r w:rsidR="004716D9">
              <w:rPr>
                <w:noProof/>
                <w:webHidden/>
              </w:rPr>
              <w:fldChar w:fldCharType="begin"/>
            </w:r>
            <w:r w:rsidR="004716D9">
              <w:rPr>
                <w:noProof/>
                <w:webHidden/>
              </w:rPr>
              <w:instrText xml:space="preserve"> PAGEREF _Toc75891354 \h </w:instrText>
            </w:r>
            <w:r w:rsidR="004716D9">
              <w:rPr>
                <w:noProof/>
                <w:webHidden/>
              </w:rPr>
            </w:r>
            <w:r w:rsidR="004716D9">
              <w:rPr>
                <w:noProof/>
                <w:webHidden/>
              </w:rPr>
              <w:fldChar w:fldCharType="separate"/>
            </w:r>
            <w:r w:rsidR="004716D9">
              <w:rPr>
                <w:noProof/>
                <w:webHidden/>
              </w:rPr>
              <w:t>14</w:t>
            </w:r>
            <w:r w:rsidR="004716D9">
              <w:rPr>
                <w:noProof/>
                <w:webHidden/>
              </w:rPr>
              <w:fldChar w:fldCharType="end"/>
            </w:r>
          </w:hyperlink>
        </w:p>
        <w:p w14:paraId="4E8A8649" w14:textId="750E58A3" w:rsidR="00F401EF" w:rsidRPr="00215D48" w:rsidRDefault="00AE1F0A" w:rsidP="00F401EF">
          <w:r>
            <w:rPr>
              <w:sz w:val="32"/>
            </w:rPr>
            <w:fldChar w:fldCharType="end"/>
          </w:r>
        </w:p>
      </w:sdtContent>
    </w:sdt>
    <w:p w14:paraId="1563BB40" w14:textId="77777777" w:rsidR="00AA3EB9" w:rsidRPr="00215D48" w:rsidRDefault="001525B4" w:rsidP="0055653F">
      <w:r w:rsidRPr="00215D48">
        <w:br w:type="page"/>
      </w:r>
    </w:p>
    <w:p w14:paraId="2E13469E" w14:textId="3F448257" w:rsidR="007F5F3A" w:rsidRDefault="002B288C" w:rsidP="00B25E07">
      <w:pPr>
        <w:pStyle w:val="Heading2"/>
      </w:pPr>
      <w:bookmarkStart w:id="3" w:name="_Toc955301"/>
      <w:bookmarkStart w:id="4" w:name="_Toc75891336"/>
      <w:r>
        <w:rPr>
          <w:rStyle w:val="CharSectno"/>
        </w:rPr>
        <w:lastRenderedPageBreak/>
        <w:t>About these guidelines</w:t>
      </w:r>
      <w:bookmarkEnd w:id="3"/>
      <w:bookmarkEnd w:id="4"/>
    </w:p>
    <w:p w14:paraId="3488E701" w14:textId="138E5A9A" w:rsidR="007F5F3A" w:rsidRPr="00DC0817" w:rsidRDefault="007F5F3A" w:rsidP="007F5F3A">
      <w:pPr>
        <w:spacing w:after="120"/>
      </w:pPr>
      <w:r>
        <w:t>Th</w:t>
      </w:r>
      <w:r w:rsidR="002B288C">
        <w:t>ese</w:t>
      </w:r>
      <w:r>
        <w:t xml:space="preserve"> guid</w:t>
      </w:r>
      <w:r w:rsidR="003E0A10">
        <w:t>eli</w:t>
      </w:r>
      <w:r>
        <w:t>ne</w:t>
      </w:r>
      <w:r w:rsidR="002B288C">
        <w:t>s</w:t>
      </w:r>
      <w:r>
        <w:t xml:space="preserve"> </w:t>
      </w:r>
      <w:r w:rsidR="008A47B7">
        <w:t xml:space="preserve">are </w:t>
      </w:r>
      <w:r>
        <w:t xml:space="preserve">intended to assist Australian corporations seeking </w:t>
      </w:r>
      <w:r w:rsidR="00832A92">
        <w:t xml:space="preserve">to apply for </w:t>
      </w:r>
      <w:r>
        <w:t xml:space="preserve">an Australian </w:t>
      </w:r>
      <w:r w:rsidR="00993BD3">
        <w:t>c</w:t>
      </w:r>
      <w:r>
        <w:t xml:space="preserve">onformity </w:t>
      </w:r>
      <w:r w:rsidR="00993BD3">
        <w:t>a</w:t>
      </w:r>
      <w:r>
        <w:t xml:space="preserve">ssessment </w:t>
      </w:r>
      <w:r w:rsidR="00993BD3">
        <w:t>b</w:t>
      </w:r>
      <w:r>
        <w:t>ody (</w:t>
      </w:r>
      <w:r w:rsidR="00487806">
        <w:t xml:space="preserve">Australian </w:t>
      </w:r>
      <w:r>
        <w:t xml:space="preserve">CAB) </w:t>
      </w:r>
      <w:r w:rsidR="00993BD3">
        <w:t>d</w:t>
      </w:r>
      <w:r>
        <w:t xml:space="preserve">etermination for medical devices (including IVDs) by the Therapeutic Goods Administration (TGA). </w:t>
      </w:r>
      <w:r w:rsidRPr="00DC0817">
        <w:t>The guid</w:t>
      </w:r>
      <w:r w:rsidR="003E0A10">
        <w:t>eli</w:t>
      </w:r>
      <w:r w:rsidRPr="00DC0817">
        <w:t>ne</w:t>
      </w:r>
      <w:r w:rsidR="00E358F5">
        <w:t>s</w:t>
      </w:r>
      <w:r w:rsidR="004C128A">
        <w:t xml:space="preserve"> outline:</w:t>
      </w:r>
    </w:p>
    <w:p w14:paraId="0494E05D" w14:textId="77777777" w:rsidR="004716D9" w:rsidRDefault="004716D9" w:rsidP="004716D9">
      <w:pPr>
        <w:numPr>
          <w:ilvl w:val="0"/>
          <w:numId w:val="3"/>
        </w:numPr>
      </w:pPr>
      <w:bookmarkStart w:id="5" w:name="_Overview"/>
      <w:bookmarkEnd w:id="5"/>
      <w:r>
        <w:t>the eligibility information</w:t>
      </w:r>
    </w:p>
    <w:p w14:paraId="5E70097A" w14:textId="77777777" w:rsidR="004716D9" w:rsidRDefault="004716D9" w:rsidP="004716D9">
      <w:pPr>
        <w:numPr>
          <w:ilvl w:val="0"/>
          <w:numId w:val="3"/>
        </w:numPr>
      </w:pPr>
      <w:r>
        <w:t>the requirements for certification-related activities</w:t>
      </w:r>
    </w:p>
    <w:p w14:paraId="0B288848" w14:textId="77777777" w:rsidR="004716D9" w:rsidRDefault="004716D9" w:rsidP="004716D9">
      <w:pPr>
        <w:numPr>
          <w:ilvl w:val="0"/>
          <w:numId w:val="3"/>
        </w:numPr>
      </w:pPr>
      <w:r>
        <w:t xml:space="preserve">the </w:t>
      </w:r>
      <w:r w:rsidRPr="00DC0817">
        <w:t>requirements</w:t>
      </w:r>
      <w:r>
        <w:t xml:space="preserve"> for Australian CABs</w:t>
      </w:r>
    </w:p>
    <w:p w14:paraId="2D00E868" w14:textId="77777777" w:rsidR="004716D9" w:rsidRPr="00DC0817" w:rsidRDefault="004716D9" w:rsidP="004716D9">
      <w:pPr>
        <w:numPr>
          <w:ilvl w:val="0"/>
          <w:numId w:val="3"/>
        </w:numPr>
      </w:pPr>
      <w:r>
        <w:t>how a determination is scoped</w:t>
      </w:r>
    </w:p>
    <w:p w14:paraId="16E0A4BE" w14:textId="77777777" w:rsidR="004716D9" w:rsidRPr="00DC0817" w:rsidRDefault="004716D9" w:rsidP="004716D9">
      <w:pPr>
        <w:numPr>
          <w:ilvl w:val="0"/>
          <w:numId w:val="3"/>
        </w:numPr>
      </w:pPr>
      <w:r>
        <w:t xml:space="preserve">the </w:t>
      </w:r>
      <w:r w:rsidRPr="00DC0817">
        <w:t>application and determination process</w:t>
      </w:r>
    </w:p>
    <w:p w14:paraId="431CC106" w14:textId="77777777" w:rsidR="004716D9" w:rsidRPr="00DC0817" w:rsidRDefault="004716D9" w:rsidP="004716D9">
      <w:pPr>
        <w:numPr>
          <w:ilvl w:val="0"/>
          <w:numId w:val="3"/>
        </w:numPr>
      </w:pPr>
      <w:r>
        <w:t xml:space="preserve">the </w:t>
      </w:r>
      <w:r w:rsidRPr="00DC0817">
        <w:t>determination</w:t>
      </w:r>
      <w:r>
        <w:t xml:space="preserve"> decision</w:t>
      </w:r>
    </w:p>
    <w:p w14:paraId="4125DF44" w14:textId="77777777" w:rsidR="004716D9" w:rsidRDefault="004716D9" w:rsidP="004716D9">
      <w:pPr>
        <w:numPr>
          <w:ilvl w:val="0"/>
          <w:numId w:val="3"/>
        </w:numPr>
      </w:pPr>
      <w:r>
        <w:t>what to expect once a determination is made</w:t>
      </w:r>
    </w:p>
    <w:p w14:paraId="30E3FDC5" w14:textId="75CA83AB" w:rsidR="008227D6" w:rsidRDefault="008227D6" w:rsidP="008227D6">
      <w:r>
        <w:t>Th</w:t>
      </w:r>
      <w:r w:rsidR="00E358F5">
        <w:t>e</w:t>
      </w:r>
      <w:r>
        <w:t>s</w:t>
      </w:r>
      <w:r w:rsidR="00E358F5">
        <w:t>e</w:t>
      </w:r>
      <w:r>
        <w:t xml:space="preserve"> guideline</w:t>
      </w:r>
      <w:r w:rsidR="00097015">
        <w:t>s</w:t>
      </w:r>
      <w:r>
        <w:t xml:space="preserve"> describe the processes associated with </w:t>
      </w:r>
      <w:r w:rsidR="002B051A">
        <w:t>applying to become an Australian conformity assessment body</w:t>
      </w:r>
      <w:r>
        <w:t xml:space="preserve">. </w:t>
      </w:r>
      <w:r w:rsidR="00832A92">
        <w:t>Separate</w:t>
      </w:r>
      <w:r>
        <w:t xml:space="preserve"> guidelines describe post-determination monitoring activities.</w:t>
      </w:r>
    </w:p>
    <w:p w14:paraId="7D26D78F" w14:textId="666AF91F" w:rsidR="004C128A" w:rsidRDefault="007F5F3A" w:rsidP="007F5F3A">
      <w:pPr>
        <w:spacing w:after="240"/>
      </w:pPr>
      <w:r>
        <w:t xml:space="preserve">An Australian CAB </w:t>
      </w:r>
      <w:r w:rsidR="00BB1A82">
        <w:t>determination allows an Australian corporation to</w:t>
      </w:r>
      <w:r>
        <w:t xml:space="preserve"> operate under the Australian </w:t>
      </w:r>
      <w:r w:rsidR="00155CD3">
        <w:t xml:space="preserve">medical devices </w:t>
      </w:r>
      <w:r>
        <w:t>regulatory framework</w:t>
      </w:r>
      <w:r w:rsidR="00BB1A82">
        <w:t>, which is</w:t>
      </w:r>
      <w:r>
        <w:t xml:space="preserve"> </w:t>
      </w:r>
      <w:r w:rsidR="00AE1F0A" w:rsidRPr="00AE1F0A">
        <w:t xml:space="preserve">broadly outlined under Chapter 4 of the </w:t>
      </w:r>
      <w:hyperlink r:id="rId13" w:history="1">
        <w:r w:rsidR="00203E6C" w:rsidRPr="00B73ED9">
          <w:rPr>
            <w:rStyle w:val="Hyperlink"/>
            <w:i/>
          </w:rPr>
          <w:t>Therapeutic Goods Act, 1989</w:t>
        </w:r>
      </w:hyperlink>
      <w:r w:rsidR="00203E6C" w:rsidRPr="00AE1F0A">
        <w:t xml:space="preserve"> </w:t>
      </w:r>
      <w:r w:rsidR="00AE1F0A" w:rsidRPr="00AE1F0A">
        <w:t xml:space="preserve">(the Act) and the </w:t>
      </w:r>
      <w:hyperlink r:id="rId14" w:history="1">
        <w:r w:rsidR="00203E6C" w:rsidRPr="00F36498">
          <w:rPr>
            <w:rStyle w:val="Hyperlink"/>
          </w:rPr>
          <w:t>Therapeutic Goods (Medical Device) Regulations 2002</w:t>
        </w:r>
      </w:hyperlink>
      <w:r w:rsidR="00203E6C" w:rsidRPr="00AE1F0A">
        <w:t xml:space="preserve"> </w:t>
      </w:r>
      <w:r w:rsidR="00AE1F0A" w:rsidRPr="00AE1F0A">
        <w:t>(the MD Regulations)</w:t>
      </w:r>
      <w:r w:rsidR="001A1ED0">
        <w:t xml:space="preserve">. </w:t>
      </w:r>
    </w:p>
    <w:p w14:paraId="70660919" w14:textId="6F7DBF26" w:rsidR="007F5F3A" w:rsidRDefault="00AE1F0A" w:rsidP="007F5F3A">
      <w:pPr>
        <w:spacing w:after="240"/>
      </w:pPr>
      <w:r>
        <w:t xml:space="preserve">An Australian CAB may </w:t>
      </w:r>
      <w:r w:rsidR="007F5F3A">
        <w:t xml:space="preserve">issue </w:t>
      </w:r>
      <w:r w:rsidR="001B0E6E">
        <w:t xml:space="preserve">Australian </w:t>
      </w:r>
      <w:r w:rsidR="007F5F3A">
        <w:t xml:space="preserve">conformity assessment </w:t>
      </w:r>
      <w:r w:rsidR="001B0E6E">
        <w:t xml:space="preserve">body </w:t>
      </w:r>
      <w:r w:rsidR="00B62A0B">
        <w:t xml:space="preserve">certificates </w:t>
      </w:r>
      <w:r w:rsidR="00BB1A82">
        <w:t xml:space="preserve">to manufacturers of </w:t>
      </w:r>
      <w:r w:rsidR="007F5F3A">
        <w:t>medical devices</w:t>
      </w:r>
      <w:r w:rsidR="0023499D">
        <w:t>,</w:t>
      </w:r>
      <w:r w:rsidR="007F5F3A">
        <w:t xml:space="preserve"> </w:t>
      </w:r>
      <w:r w:rsidR="00155CD3">
        <w:t xml:space="preserve">and those certificates </w:t>
      </w:r>
      <w:r w:rsidR="00BB1A82">
        <w:t xml:space="preserve">can </w:t>
      </w:r>
      <w:r w:rsidR="004C128A">
        <w:t>be</w:t>
      </w:r>
      <w:r w:rsidR="00BB1A82">
        <w:t xml:space="preserve"> used </w:t>
      </w:r>
      <w:r w:rsidR="005B70B5">
        <w:t xml:space="preserve">by an Australian Sponsor </w:t>
      </w:r>
      <w:r w:rsidR="00BB1A82">
        <w:t>to support an application for inclusion in the Australian Register of Therapeutic Goods (ARTG)</w:t>
      </w:r>
      <w:r w:rsidR="007F5F3A">
        <w:t>.</w:t>
      </w:r>
    </w:p>
    <w:tbl>
      <w:tblPr>
        <w:tblW w:w="9036" w:type="dxa"/>
        <w:tblLayout w:type="fixed"/>
        <w:tblCellMar>
          <w:left w:w="0" w:type="dxa"/>
          <w:right w:w="0" w:type="dxa"/>
        </w:tblCellMar>
        <w:tblLook w:val="04A0" w:firstRow="1" w:lastRow="0" w:firstColumn="1" w:lastColumn="0" w:noHBand="0" w:noVBand="1"/>
      </w:tblPr>
      <w:tblGrid>
        <w:gridCol w:w="1275"/>
        <w:gridCol w:w="7761"/>
      </w:tblGrid>
      <w:tr w:rsidR="007F5F3A" w:rsidRPr="00785687" w14:paraId="4654A0E4" w14:textId="77777777" w:rsidTr="00E358F5">
        <w:trPr>
          <w:trHeight w:val="555"/>
        </w:trPr>
        <w:tc>
          <w:tcPr>
            <w:tcW w:w="1275" w:type="dxa"/>
            <w:vAlign w:val="center"/>
          </w:tcPr>
          <w:p w14:paraId="1578038A" w14:textId="77777777" w:rsidR="007F5F3A" w:rsidRPr="00785687" w:rsidRDefault="007F5F3A" w:rsidP="007F5F3A">
            <w:pPr>
              <w:spacing w:before="0"/>
              <w:rPr>
                <w:sz w:val="20"/>
              </w:rPr>
            </w:pPr>
            <w:r w:rsidRPr="00785687">
              <w:rPr>
                <w:noProof/>
                <w:sz w:val="20"/>
                <w:lang w:eastAsia="en-AU"/>
              </w:rPr>
              <w:drawing>
                <wp:inline distT="0" distB="0" distL="0" distR="0" wp14:anchorId="3BC60328" wp14:editId="3673E2C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1" w:type="dxa"/>
            <w:shd w:val="clear" w:color="auto" w:fill="EAEAEA"/>
            <w:tcMar>
              <w:top w:w="170" w:type="dxa"/>
              <w:left w:w="170" w:type="dxa"/>
              <w:bottom w:w="170" w:type="dxa"/>
              <w:right w:w="170" w:type="dxa"/>
            </w:tcMar>
          </w:tcPr>
          <w:p w14:paraId="1CF38C28" w14:textId="387B9784" w:rsidR="007F5F3A" w:rsidRPr="00785687" w:rsidRDefault="007F5F3A" w:rsidP="007F5F3A">
            <w:r>
              <w:t xml:space="preserve">Only Australian corporations (within the meaning of corporation in the </w:t>
            </w:r>
            <w:hyperlink r:id="rId16" w:history="1">
              <w:r w:rsidRPr="002743C8">
                <w:rPr>
                  <w:rStyle w:val="Hyperlink"/>
                  <w:i/>
                </w:rPr>
                <w:t>Australian Corporations Act 2001</w:t>
              </w:r>
            </w:hyperlink>
            <w:r>
              <w:t>) are eligible to apply for a determination.</w:t>
            </w:r>
          </w:p>
        </w:tc>
      </w:tr>
    </w:tbl>
    <w:p w14:paraId="37AD13CF" w14:textId="2E76C3E4" w:rsidR="007F5F3A" w:rsidRDefault="007F5F3A" w:rsidP="007F5F3A">
      <w:pPr>
        <w:spacing w:before="360" w:after="120"/>
      </w:pPr>
      <w:r>
        <w:t>A</w:t>
      </w:r>
      <w:r w:rsidR="0014141B">
        <w:t>s a</w:t>
      </w:r>
      <w:r>
        <w:t>n Australian CA</w:t>
      </w:r>
      <w:r w:rsidRPr="00824D49">
        <w:t>B</w:t>
      </w:r>
      <w:r w:rsidR="0014141B" w:rsidRPr="00824D49">
        <w:t>, you</w:t>
      </w:r>
      <w:r w:rsidR="0007728A" w:rsidRPr="00824D49">
        <w:t>r company</w:t>
      </w:r>
      <w:r w:rsidR="00CF6525" w:rsidRPr="00824D49">
        <w:t xml:space="preserve"> </w:t>
      </w:r>
      <w:r w:rsidRPr="00824D49">
        <w:t>w</w:t>
      </w:r>
      <w:r>
        <w:t>ill be:</w:t>
      </w:r>
    </w:p>
    <w:p w14:paraId="05DDC2E5" w14:textId="1A7DF767" w:rsidR="007F5F3A" w:rsidRDefault="007F5F3A" w:rsidP="007F5F3A">
      <w:pPr>
        <w:pStyle w:val="ListBullet"/>
        <w:numPr>
          <w:ilvl w:val="0"/>
          <w:numId w:val="3"/>
        </w:numPr>
      </w:pPr>
      <w:r>
        <w:t xml:space="preserve">able to issue Australian conformity assessment </w:t>
      </w:r>
      <w:r w:rsidR="001B0E6E">
        <w:t xml:space="preserve">body </w:t>
      </w:r>
      <w:r>
        <w:t xml:space="preserve">certificates to both Australian and overseas manufacturers </w:t>
      </w:r>
      <w:r w:rsidR="00840F23">
        <w:t xml:space="preserve">of medical devices, </w:t>
      </w:r>
      <w:r>
        <w:t>within the scope of the conformity assessment determination</w:t>
      </w:r>
    </w:p>
    <w:p w14:paraId="278A84BD" w14:textId="017A6EAC" w:rsidR="007F5F3A" w:rsidRDefault="007F5F3A" w:rsidP="007F5F3A">
      <w:pPr>
        <w:pStyle w:val="ListBullet"/>
        <w:numPr>
          <w:ilvl w:val="0"/>
          <w:numId w:val="3"/>
        </w:numPr>
      </w:pPr>
      <w:r>
        <w:t>responsible for</w:t>
      </w:r>
      <w:r w:rsidRPr="00E44E80">
        <w:t xml:space="preserve"> monitor</w:t>
      </w:r>
      <w:r>
        <w:t xml:space="preserve">ing those manufacturers for their </w:t>
      </w:r>
      <w:r w:rsidRPr="00E44E80">
        <w:t>ongoing compliance with the relevant conformity assessment procedure</w:t>
      </w:r>
      <w:r>
        <w:t>s</w:t>
      </w:r>
      <w:r w:rsidR="00AE1F0A">
        <w:t xml:space="preserve"> in Schedule 3 of the MD Regulations</w:t>
      </w:r>
      <w:r>
        <w:t>,</w:t>
      </w:r>
      <w:r w:rsidRPr="00E44E80">
        <w:t xml:space="preserve"> and </w:t>
      </w:r>
      <w:r>
        <w:t>for taking</w:t>
      </w:r>
      <w:r w:rsidRPr="00E44E80">
        <w:t xml:space="preserve"> </w:t>
      </w:r>
      <w:r>
        <w:t>appropriate</w:t>
      </w:r>
      <w:r w:rsidRPr="00E44E80">
        <w:t xml:space="preserve"> actions</w:t>
      </w:r>
      <w:r>
        <w:t xml:space="preserve"> when necessary,</w:t>
      </w:r>
      <w:r w:rsidRPr="00E44E80">
        <w:t xml:space="preserve"> </w:t>
      </w:r>
      <w:r>
        <w:t>such as varying, suspending or revoking certificates</w:t>
      </w:r>
      <w:r w:rsidR="00615BDC">
        <w:t>.</w:t>
      </w:r>
    </w:p>
    <w:p w14:paraId="61D395F4" w14:textId="2EC5CAAB" w:rsidR="002148EB" w:rsidRDefault="00615BDC" w:rsidP="002148EB">
      <w:r>
        <w:t>In addition, y</w:t>
      </w:r>
      <w:r w:rsidR="002148EB">
        <w:t xml:space="preserve">our </w:t>
      </w:r>
      <w:r w:rsidR="00824D49">
        <w:t>company</w:t>
      </w:r>
      <w:r w:rsidR="002148EB">
        <w:t xml:space="preserve"> will need to meet </w:t>
      </w:r>
      <w:r>
        <w:t xml:space="preserve">all </w:t>
      </w:r>
      <w:r w:rsidR="002148EB">
        <w:t xml:space="preserve">the following </w:t>
      </w:r>
      <w:r>
        <w:t>requirements:</w:t>
      </w:r>
    </w:p>
    <w:p w14:paraId="08130D52" w14:textId="6FBC3224" w:rsidR="007F5F3A" w:rsidRPr="00615BDC" w:rsidRDefault="007F5F3A" w:rsidP="007F5F3A">
      <w:pPr>
        <w:pStyle w:val="ListBullet"/>
        <w:numPr>
          <w:ilvl w:val="0"/>
          <w:numId w:val="3"/>
        </w:numPr>
      </w:pPr>
      <w:r w:rsidRPr="00615BDC">
        <w:t xml:space="preserve">continually comply with the requirements of </w:t>
      </w:r>
      <w:r w:rsidR="0014141B" w:rsidRPr="00615BDC">
        <w:t xml:space="preserve">your </w:t>
      </w:r>
      <w:r w:rsidRPr="00615BDC">
        <w:t xml:space="preserve">determination and keep records of </w:t>
      </w:r>
      <w:r w:rsidR="0014141B" w:rsidRPr="00615BDC">
        <w:t xml:space="preserve">your </w:t>
      </w:r>
      <w:r w:rsidRPr="00615BDC">
        <w:t>certification-related activities</w:t>
      </w:r>
      <w:r w:rsidR="00615BDC" w:rsidRPr="00615BDC">
        <w:t>.</w:t>
      </w:r>
    </w:p>
    <w:p w14:paraId="5DF2C147" w14:textId="0185BB93" w:rsidR="007F5F3A" w:rsidRPr="00615BDC" w:rsidRDefault="007F5F3A" w:rsidP="007F5F3A">
      <w:pPr>
        <w:pStyle w:val="ListBullet"/>
        <w:numPr>
          <w:ilvl w:val="0"/>
          <w:numId w:val="3"/>
        </w:numPr>
      </w:pPr>
      <w:r w:rsidRPr="00615BDC">
        <w:t>notify the TGA if there are significant concerns about the safety of a medical device</w:t>
      </w:r>
      <w:r w:rsidR="00AE1F0A" w:rsidRPr="00615BDC">
        <w:t xml:space="preserve">, or </w:t>
      </w:r>
      <w:r w:rsidR="005B70B5" w:rsidRPr="00615BDC">
        <w:t xml:space="preserve">the activities of a </w:t>
      </w:r>
      <w:r w:rsidR="00AE1F0A" w:rsidRPr="00615BDC">
        <w:t>medical device manufacturer</w:t>
      </w:r>
      <w:r w:rsidR="005B70B5" w:rsidRPr="00615BDC">
        <w:t xml:space="preserve"> (</w:t>
      </w:r>
      <w:r w:rsidR="00CA46B4" w:rsidRPr="00615BDC">
        <w:t xml:space="preserve">your </w:t>
      </w:r>
      <w:r w:rsidR="005B70B5" w:rsidRPr="00615BDC">
        <w:t>client).</w:t>
      </w:r>
    </w:p>
    <w:p w14:paraId="7A0A8469" w14:textId="7BAB12D2" w:rsidR="007F5F3A" w:rsidRPr="00615BDC" w:rsidRDefault="005B70B5" w:rsidP="007F5F3A">
      <w:pPr>
        <w:pStyle w:val="ListBullet"/>
        <w:numPr>
          <w:ilvl w:val="0"/>
          <w:numId w:val="3"/>
        </w:numPr>
      </w:pPr>
      <w:r w:rsidRPr="00615BDC">
        <w:t xml:space="preserve">notify the TGA </w:t>
      </w:r>
      <w:r w:rsidR="007F5F3A" w:rsidRPr="00615BDC">
        <w:t xml:space="preserve">about certain events such as suspending, revoking or varying </w:t>
      </w:r>
      <w:r w:rsidRPr="00615BDC">
        <w:t xml:space="preserve">Australian </w:t>
      </w:r>
      <w:r w:rsidR="007F5F3A" w:rsidRPr="00615BDC">
        <w:t xml:space="preserve">conformity assessment </w:t>
      </w:r>
      <w:r w:rsidRPr="00615BDC">
        <w:t xml:space="preserve">body </w:t>
      </w:r>
      <w:r w:rsidR="007F5F3A" w:rsidRPr="00615BDC">
        <w:t>certificates</w:t>
      </w:r>
      <w:r w:rsidR="00615BDC" w:rsidRPr="00615BDC">
        <w:t>.</w:t>
      </w:r>
    </w:p>
    <w:p w14:paraId="78F2E3D2" w14:textId="06C7A3F1" w:rsidR="00CA46B4" w:rsidRDefault="007F5F3A" w:rsidP="00CA46B4">
      <w:pPr>
        <w:pStyle w:val="ListBullet"/>
        <w:numPr>
          <w:ilvl w:val="0"/>
          <w:numId w:val="3"/>
        </w:numPr>
      </w:pPr>
      <w:r w:rsidRPr="00615BDC">
        <w:t>provide information (on request) and partic</w:t>
      </w:r>
      <w:r>
        <w:t xml:space="preserve">ipate in reviews by the TGA about </w:t>
      </w:r>
      <w:r w:rsidR="0014141B">
        <w:t xml:space="preserve">your </w:t>
      </w:r>
      <w:r>
        <w:t xml:space="preserve">compliance </w:t>
      </w:r>
      <w:r w:rsidR="00123816">
        <w:t xml:space="preserve">with </w:t>
      </w:r>
      <w:r w:rsidR="004B2BD3">
        <w:t>the MD Regulations</w:t>
      </w:r>
      <w:r w:rsidR="00E5225B">
        <w:t xml:space="preserve">, the </w:t>
      </w:r>
      <w:r w:rsidR="00840F23">
        <w:t xml:space="preserve">conditions of </w:t>
      </w:r>
      <w:r w:rsidR="00123816">
        <w:t xml:space="preserve">determination </w:t>
      </w:r>
      <w:r>
        <w:t xml:space="preserve">and </w:t>
      </w:r>
      <w:r w:rsidR="0014141B">
        <w:t xml:space="preserve">your </w:t>
      </w:r>
      <w:r>
        <w:t>certification-related activities.</w:t>
      </w:r>
    </w:p>
    <w:p w14:paraId="10EEBFFA" w14:textId="683E2AEE" w:rsidR="0019482F" w:rsidRDefault="0019482F" w:rsidP="00CA46B4">
      <w:pPr>
        <w:pStyle w:val="ListBullet"/>
        <w:numPr>
          <w:ilvl w:val="0"/>
          <w:numId w:val="0"/>
        </w:numPr>
      </w:pPr>
      <w:r>
        <w:t xml:space="preserve">This document provides an overview </w:t>
      </w:r>
      <w:r w:rsidR="00846DDF">
        <w:t xml:space="preserve">of the process and requirements for applying for a conformity assessment body determination, and should be read alongside the legislation to which it relates, principally in Divisions 4A.2 - 4A.7 of, and Schedule 3AA to, </w:t>
      </w:r>
      <w:r w:rsidR="00751976">
        <w:t>the MD Regulations</w:t>
      </w:r>
      <w:r w:rsidR="00846DDF">
        <w:t>.</w:t>
      </w:r>
    </w:p>
    <w:p w14:paraId="35B4DAA2" w14:textId="2945A23A" w:rsidR="00247268" w:rsidRDefault="00C677B5" w:rsidP="00426C40">
      <w:pPr>
        <w:pStyle w:val="Heading2"/>
      </w:pPr>
      <w:bookmarkStart w:id="6" w:name="_Toc75891337"/>
      <w:r>
        <w:t>Eligibility for</w:t>
      </w:r>
      <w:r w:rsidR="00247268">
        <w:t xml:space="preserve"> an Australian CAB determination</w:t>
      </w:r>
      <w:bookmarkEnd w:id="6"/>
    </w:p>
    <w:p w14:paraId="0255D6C4" w14:textId="1D4C962E" w:rsidR="00BB41C9" w:rsidRDefault="00BB41C9" w:rsidP="00C6369D">
      <w:r>
        <w:t>To be eligible to apply for a</w:t>
      </w:r>
      <w:r w:rsidR="00C677B5">
        <w:t>n Australian CAB</w:t>
      </w:r>
      <w:r>
        <w:t xml:space="preserve"> determination</w:t>
      </w:r>
      <w:r w:rsidR="0014141B">
        <w:t>, yo</w:t>
      </w:r>
      <w:r w:rsidR="0014141B" w:rsidRPr="00824D49">
        <w:t xml:space="preserve">ur </w:t>
      </w:r>
      <w:r w:rsidRPr="00824D49">
        <w:t>company mu</w:t>
      </w:r>
      <w:r>
        <w:t>st:</w:t>
      </w:r>
    </w:p>
    <w:p w14:paraId="02378BEC" w14:textId="0DB513AA" w:rsidR="008A00A7" w:rsidRDefault="00472BE3" w:rsidP="0073229A">
      <w:pPr>
        <w:pStyle w:val="ListBullet"/>
      </w:pPr>
      <w:r>
        <w:t>b</w:t>
      </w:r>
      <w:r w:rsidR="00BB41C9" w:rsidRPr="00404D72">
        <w:t xml:space="preserve">e registered </w:t>
      </w:r>
      <w:r w:rsidR="004D1A9E">
        <w:t xml:space="preserve">as an Australian </w:t>
      </w:r>
      <w:r w:rsidR="00B81B83">
        <w:t>c</w:t>
      </w:r>
      <w:r w:rsidR="004D1A9E">
        <w:t xml:space="preserve">orporation </w:t>
      </w:r>
      <w:r w:rsidR="00BB41C9" w:rsidRPr="00404D72">
        <w:t>with the Australian Securities and In</w:t>
      </w:r>
      <w:r w:rsidR="008A00A7">
        <w:t>vestments Commission (ASIC)</w:t>
      </w:r>
      <w:r w:rsidR="002148EB">
        <w:t>; and</w:t>
      </w:r>
    </w:p>
    <w:p w14:paraId="4C1FFBA7" w14:textId="026049E5" w:rsidR="00BB41C9" w:rsidRDefault="00BB41C9" w:rsidP="0073229A">
      <w:pPr>
        <w:pStyle w:val="ListBullet"/>
      </w:pPr>
      <w:r w:rsidRPr="00404D72">
        <w:t>hold a</w:t>
      </w:r>
      <w:r w:rsidR="00832A92">
        <w:t xml:space="preserve"> valid</w:t>
      </w:r>
      <w:r w:rsidRPr="00404D72">
        <w:t xml:space="preserve"> </w:t>
      </w:r>
      <w:r w:rsidR="004D1A9E">
        <w:t>Australian Compan</w:t>
      </w:r>
      <w:r w:rsidR="00C05C1F">
        <w:t>y</w:t>
      </w:r>
      <w:r w:rsidR="004D1A9E">
        <w:t xml:space="preserve"> Number (ACN</w:t>
      </w:r>
      <w:r w:rsidRPr="00404D72">
        <w:t>)</w:t>
      </w:r>
      <w:r w:rsidR="004716D9">
        <w:t>.</w:t>
      </w:r>
    </w:p>
    <w:p w14:paraId="00C205EC" w14:textId="25A4D8DC" w:rsidR="00517A78" w:rsidRDefault="00517A78" w:rsidP="0014266D">
      <w:pPr>
        <w:pStyle w:val="Heading3"/>
      </w:pPr>
      <w:bookmarkStart w:id="7" w:name="_Toc75891338"/>
      <w:bookmarkStart w:id="8" w:name="_Hlk74923099"/>
      <w:r>
        <w:t>Application requirements</w:t>
      </w:r>
      <w:bookmarkEnd w:id="7"/>
    </w:p>
    <w:bookmarkEnd w:id="8"/>
    <w:p w14:paraId="10D6E4CF" w14:textId="77632AA1" w:rsidR="00517A78" w:rsidRPr="008A00A7" w:rsidRDefault="00832A92" w:rsidP="003524FA">
      <w:r>
        <w:t>A</w:t>
      </w:r>
      <w:r w:rsidR="00517A78" w:rsidRPr="008A00A7">
        <w:t>pplication</w:t>
      </w:r>
      <w:r>
        <w:t>s</w:t>
      </w:r>
      <w:r w:rsidR="00517A78" w:rsidRPr="008A00A7">
        <w:t xml:space="preserve"> for a conformity assessment body determination must:</w:t>
      </w:r>
    </w:p>
    <w:p w14:paraId="115B69AA" w14:textId="2DE59EFF" w:rsidR="00517A78" w:rsidRPr="008A00A7" w:rsidRDefault="00751976" w:rsidP="00517A78">
      <w:pPr>
        <w:pStyle w:val="ListBullet"/>
      </w:pPr>
      <w:r w:rsidRPr="008A00A7">
        <w:t xml:space="preserve">be </w:t>
      </w:r>
      <w:r w:rsidR="00517A78" w:rsidRPr="008A00A7">
        <w:t xml:space="preserve">made </w:t>
      </w:r>
      <w:r w:rsidR="00CB455A">
        <w:t xml:space="preserve">in English </w:t>
      </w:r>
      <w:r w:rsidR="00517A78" w:rsidRPr="008A00A7">
        <w:t>using the application form, accessible from the TGA website</w:t>
      </w:r>
    </w:p>
    <w:p w14:paraId="23DFB0A7" w14:textId="48EFB68D" w:rsidR="00751976" w:rsidRPr="002148EB" w:rsidRDefault="00751976" w:rsidP="00517A78">
      <w:pPr>
        <w:pStyle w:val="ListBullet"/>
      </w:pPr>
      <w:r w:rsidRPr="008A00A7">
        <w:t>be accompanied by the application fee for the application</w:t>
      </w:r>
    </w:p>
    <w:p w14:paraId="284038C2" w14:textId="38918770" w:rsidR="00751976" w:rsidRPr="008A00A7" w:rsidRDefault="00751976" w:rsidP="00517A78">
      <w:pPr>
        <w:pStyle w:val="ListBullet"/>
      </w:pPr>
      <w:r w:rsidRPr="008A00A7">
        <w:t xml:space="preserve">not contain any information that is false or misleading in </w:t>
      </w:r>
      <w:r w:rsidR="00B34615" w:rsidRPr="008A00A7">
        <w:t>any way</w:t>
      </w:r>
    </w:p>
    <w:p w14:paraId="6F306635" w14:textId="23500B2E" w:rsidR="00751976" w:rsidRDefault="00751976">
      <w:pPr>
        <w:pStyle w:val="Heading3"/>
      </w:pPr>
      <w:bookmarkStart w:id="9" w:name="_Toc75891339"/>
      <w:r>
        <w:t>Assessment requirements</w:t>
      </w:r>
      <w:bookmarkEnd w:id="9"/>
    </w:p>
    <w:p w14:paraId="04891A9B" w14:textId="091E84CC" w:rsidR="00751976" w:rsidRPr="002148EB" w:rsidRDefault="00751976" w:rsidP="00751976">
      <w:pPr>
        <w:pStyle w:val="ListBullet"/>
        <w:numPr>
          <w:ilvl w:val="0"/>
          <w:numId w:val="0"/>
        </w:numPr>
      </w:pPr>
      <w:r>
        <w:t>Th</w:t>
      </w:r>
      <w:r w:rsidRPr="002148EB">
        <w:t xml:space="preserve">e main criteria against which </w:t>
      </w:r>
      <w:r w:rsidR="00B34615" w:rsidRPr="002148EB">
        <w:t xml:space="preserve">your </w:t>
      </w:r>
      <w:r w:rsidRPr="002148EB">
        <w:t>application for a conformity assessment body determination will be assessed are:</w:t>
      </w:r>
    </w:p>
    <w:p w14:paraId="57CE4C3A" w14:textId="4A8983A1" w:rsidR="00751976" w:rsidRPr="002148EB" w:rsidRDefault="00751976" w:rsidP="00751976">
      <w:pPr>
        <w:pStyle w:val="ListBullet"/>
      </w:pPr>
      <w:r w:rsidRPr="002148EB">
        <w:t xml:space="preserve">whether the </w:t>
      </w:r>
      <w:r w:rsidR="00FD5632" w:rsidRPr="002148EB">
        <w:t xml:space="preserve">TGA, , </w:t>
      </w:r>
      <w:r w:rsidRPr="002148EB">
        <w:t xml:space="preserve">is satisfied that </w:t>
      </w:r>
      <w:r w:rsidR="00B34615" w:rsidRPr="002148EB">
        <w:t xml:space="preserve">you, </w:t>
      </w:r>
      <w:r w:rsidRPr="002148EB">
        <w:t>will be able to comply with the requirements of Schedule 3AA to the MD Regulations; and</w:t>
      </w:r>
    </w:p>
    <w:p w14:paraId="65184A53" w14:textId="41702C8B" w:rsidR="00751976" w:rsidRPr="002148EB" w:rsidRDefault="00751976" w:rsidP="00751976">
      <w:pPr>
        <w:pStyle w:val="ListBullet"/>
      </w:pPr>
      <w:r w:rsidRPr="002148EB">
        <w:t>whether the applicant</w:t>
      </w:r>
      <w:r w:rsidR="002B051A">
        <w:t>,</w:t>
      </w:r>
      <w:r w:rsidRPr="002148EB">
        <w:t xml:space="preserve"> or other specified persons has, within the 10 years immediately before the application, fallen into any of the “fit and proper person” categories in paragraph 4A.6(3) of the MD Regulations, e.g. been convicted of an offence against the </w:t>
      </w:r>
      <w:r w:rsidRPr="002148EB">
        <w:rPr>
          <w:i/>
          <w:iCs/>
        </w:rPr>
        <w:t>Therapeutic Goods Act 1989</w:t>
      </w:r>
      <w:r w:rsidR="00C70074" w:rsidRPr="002148EB">
        <w:t>, or been convicted of an offence against a law of the Commonwealth or State or Territory involving fraud or dishonesty.</w:t>
      </w:r>
    </w:p>
    <w:p w14:paraId="0A7B9B84" w14:textId="7875DC1A" w:rsidR="00C70074" w:rsidRDefault="00C70074" w:rsidP="00C70074">
      <w:pPr>
        <w:pStyle w:val="ListBullet"/>
        <w:numPr>
          <w:ilvl w:val="0"/>
          <w:numId w:val="0"/>
        </w:numPr>
      </w:pPr>
      <w:r w:rsidRPr="002148EB">
        <w:t>Other matters that may form part of the consideration of the fit and proper person criteria include whether an applicant:</w:t>
      </w:r>
    </w:p>
    <w:p w14:paraId="110E740B" w14:textId="6729E72A" w:rsidR="006E7769" w:rsidRPr="00404D72" w:rsidRDefault="00C70074" w:rsidP="00404D72">
      <w:pPr>
        <w:pStyle w:val="ListBullet"/>
      </w:pPr>
      <w:r>
        <w:t>has</w:t>
      </w:r>
      <w:r w:rsidR="006E7769" w:rsidRPr="00404D72">
        <w:t xml:space="preserve"> </w:t>
      </w:r>
      <w:r w:rsidR="00472BE3">
        <w:t>provide</w:t>
      </w:r>
      <w:r>
        <w:t>d</w:t>
      </w:r>
      <w:r w:rsidR="00472BE3">
        <w:t xml:space="preserve"> </w:t>
      </w:r>
      <w:r w:rsidR="006E7769" w:rsidRPr="00404D72">
        <w:t xml:space="preserve">services to the medical devices sector that may lead to an actual or perceived impartiality or a lack of independence, </w:t>
      </w:r>
      <w:r w:rsidR="00472BE3">
        <w:t>such as</w:t>
      </w:r>
      <w:r w:rsidR="006E7769" w:rsidRPr="00404D72">
        <w:t>:</w:t>
      </w:r>
    </w:p>
    <w:p w14:paraId="3AD0B325" w14:textId="67B60ACE" w:rsidR="00472BE3" w:rsidRDefault="007C1FC1" w:rsidP="00404D72">
      <w:pPr>
        <w:pStyle w:val="ListBullet2"/>
      </w:pPr>
      <w:r>
        <w:t xml:space="preserve">quality management system design, development or management </w:t>
      </w:r>
      <w:r w:rsidR="00C341A2">
        <w:t>activities</w:t>
      </w:r>
    </w:p>
    <w:p w14:paraId="50BAB9B4" w14:textId="363493DB" w:rsidR="006E7769" w:rsidRDefault="006E7769" w:rsidP="00404D72">
      <w:pPr>
        <w:pStyle w:val="ListBullet2"/>
      </w:pPr>
      <w:r>
        <w:t>medical device product design, developmen</w:t>
      </w:r>
      <w:r w:rsidR="00C341A2">
        <w:t>t or manufacturing</w:t>
      </w:r>
    </w:p>
    <w:p w14:paraId="63ADF4E6" w14:textId="757C74D8" w:rsidR="00472BE3" w:rsidRDefault="006E7769" w:rsidP="00404D72">
      <w:pPr>
        <w:pStyle w:val="ListBullet2"/>
      </w:pPr>
      <w:r>
        <w:t>consultancy services for medical devices</w:t>
      </w:r>
      <w:r w:rsidR="00472BE3">
        <w:t>,</w:t>
      </w:r>
      <w:r>
        <w:t xml:space="preserve"> </w:t>
      </w:r>
      <w:r w:rsidR="00472BE3">
        <w:t>including activities relating to</w:t>
      </w:r>
      <w:r w:rsidR="00247268">
        <w:t xml:space="preserve"> </w:t>
      </w:r>
      <w:r>
        <w:t>manufacturing, product design and development, quality management systems or post-market invest</w:t>
      </w:r>
      <w:r w:rsidR="00C341A2">
        <w:t>igation and reporting</w:t>
      </w:r>
    </w:p>
    <w:p w14:paraId="539079E4" w14:textId="6F86A6AB" w:rsidR="006E7769" w:rsidRDefault="00E5225B" w:rsidP="00404D72">
      <w:pPr>
        <w:pStyle w:val="ListBullet2"/>
      </w:pPr>
      <w:r>
        <w:t>act</w:t>
      </w:r>
      <w:r w:rsidR="00C70074">
        <w:t>ing</w:t>
      </w:r>
      <w:r w:rsidR="006E7769">
        <w:t xml:space="preserve"> as a</w:t>
      </w:r>
      <w:r w:rsidR="006E77A1">
        <w:t xml:space="preserve">n agent or sponsor </w:t>
      </w:r>
      <w:r w:rsidR="00CB455A">
        <w:t xml:space="preserve">for a medical device </w:t>
      </w:r>
      <w:r w:rsidR="006E77A1">
        <w:t>in Australia</w:t>
      </w:r>
    </w:p>
    <w:p w14:paraId="01641281" w14:textId="379A602D" w:rsidR="0007728A" w:rsidRPr="00703D5D" w:rsidRDefault="006C7730" w:rsidP="00426C40">
      <w:pPr>
        <w:pStyle w:val="Heading2"/>
      </w:pPr>
      <w:bookmarkStart w:id="10" w:name="_Toc75891340"/>
      <w:r>
        <w:t>Certification</w:t>
      </w:r>
      <w:r w:rsidR="00097015">
        <w:t>-</w:t>
      </w:r>
      <w:r>
        <w:t>related activities</w:t>
      </w:r>
      <w:bookmarkEnd w:id="10"/>
    </w:p>
    <w:p w14:paraId="2A3E27F6" w14:textId="7610D1D2" w:rsidR="00C92C73" w:rsidRPr="00703D5D" w:rsidRDefault="007E25FD" w:rsidP="007555A9">
      <w:pPr>
        <w:pStyle w:val="ListBullet"/>
        <w:numPr>
          <w:ilvl w:val="0"/>
          <w:numId w:val="0"/>
        </w:numPr>
      </w:pPr>
      <w:r w:rsidRPr="00703D5D">
        <w:t>Australian CAB</w:t>
      </w:r>
      <w:r w:rsidR="006153E6" w:rsidRPr="00703D5D">
        <w:t>s</w:t>
      </w:r>
      <w:r w:rsidR="004465C7" w:rsidRPr="00703D5D">
        <w:t xml:space="preserve"> </w:t>
      </w:r>
      <w:r w:rsidRPr="00703D5D">
        <w:t>may perform</w:t>
      </w:r>
      <w:r w:rsidRPr="00703D5D" w:rsidDel="007E25FD">
        <w:t xml:space="preserve"> </w:t>
      </w:r>
      <w:r w:rsidR="004D1A9E" w:rsidRPr="00703D5D">
        <w:t xml:space="preserve">certification-related activities </w:t>
      </w:r>
      <w:r w:rsidR="00E500F8" w:rsidRPr="00703D5D">
        <w:t>with</w:t>
      </w:r>
      <w:r w:rsidR="004D1A9E" w:rsidRPr="00703D5D">
        <w:t xml:space="preserve">in Australia </w:t>
      </w:r>
      <w:r w:rsidRPr="00703D5D">
        <w:t xml:space="preserve">and </w:t>
      </w:r>
      <w:r w:rsidR="004D1A9E" w:rsidRPr="00703D5D">
        <w:t>overseas</w:t>
      </w:r>
      <w:r w:rsidR="004465C7" w:rsidRPr="00703D5D">
        <w:t>.</w:t>
      </w:r>
      <w:r w:rsidR="00807FE1" w:rsidRPr="00703D5D">
        <w:t xml:space="preserve"> </w:t>
      </w:r>
    </w:p>
    <w:p w14:paraId="30021288" w14:textId="324B81E7" w:rsidR="004D1A9E" w:rsidRPr="00703D5D" w:rsidRDefault="000F27E6" w:rsidP="004D1A9E">
      <w:pPr>
        <w:spacing w:before="100" w:after="100" w:line="240" w:lineRule="auto"/>
      </w:pPr>
      <w:r w:rsidRPr="00703D5D">
        <w:t>Cer</w:t>
      </w:r>
      <w:r w:rsidR="00F53BB2" w:rsidRPr="00703D5D">
        <w:t>tification-related activit</w:t>
      </w:r>
      <w:r w:rsidRPr="00703D5D">
        <w:t>ies may include</w:t>
      </w:r>
      <w:r w:rsidR="00F53BB2" w:rsidRPr="00703D5D">
        <w:t>:</w:t>
      </w:r>
    </w:p>
    <w:p w14:paraId="5A8DB9A1" w14:textId="10046438" w:rsidR="004D1A9E" w:rsidRPr="007D07F7" w:rsidRDefault="004D1A9E" w:rsidP="007D07F7">
      <w:pPr>
        <w:pStyle w:val="ListBullet"/>
      </w:pPr>
      <w:r w:rsidRPr="007D07F7">
        <w:t xml:space="preserve">development and approval of the Australian CAB’s </w:t>
      </w:r>
      <w:r w:rsidR="00F356B3" w:rsidRPr="007D07F7">
        <w:t>quality</w:t>
      </w:r>
      <w:r w:rsidRPr="007D07F7">
        <w:t xml:space="preserve"> management system </w:t>
      </w:r>
      <w:r w:rsidR="00F356B3" w:rsidRPr="007D07F7">
        <w:t xml:space="preserve">(QMS) </w:t>
      </w:r>
      <w:r w:rsidRPr="007D07F7">
        <w:t xml:space="preserve"> for the audit and certification of </w:t>
      </w:r>
      <w:r w:rsidR="00F53BB2" w:rsidRPr="007D07F7">
        <w:t xml:space="preserve">a </w:t>
      </w:r>
      <w:r w:rsidRPr="007D07F7">
        <w:t>medical device manufacturer’s QMS</w:t>
      </w:r>
      <w:r w:rsidR="00F356B3" w:rsidRPr="007D07F7">
        <w:t>,</w:t>
      </w:r>
      <w:r w:rsidRPr="007D07F7">
        <w:t xml:space="preserve"> or the review and certification of medical device product submissions</w:t>
      </w:r>
    </w:p>
    <w:p w14:paraId="0A17479C" w14:textId="20804F3C" w:rsidR="004D1A9E" w:rsidRPr="007D07F7" w:rsidRDefault="004D1A9E" w:rsidP="007D07F7">
      <w:pPr>
        <w:pStyle w:val="ListBullet"/>
      </w:pPr>
      <w:r w:rsidRPr="007D07F7">
        <w:t xml:space="preserve">review and acceptance of applications or submissions from medical device </w:t>
      </w:r>
      <w:r w:rsidR="00F53BB2" w:rsidRPr="007D07F7">
        <w:t>m</w:t>
      </w:r>
      <w:r w:rsidRPr="007D07F7">
        <w:t>anufacturers, and the issuance of contracts</w:t>
      </w:r>
    </w:p>
    <w:p w14:paraId="3A22D149" w14:textId="2642DB66" w:rsidR="004D1A9E" w:rsidRPr="007D07F7" w:rsidRDefault="004D1A9E" w:rsidP="007D07F7">
      <w:pPr>
        <w:pStyle w:val="ListBullet"/>
      </w:pPr>
      <w:r w:rsidRPr="007D07F7">
        <w:t xml:space="preserve">assignment of </w:t>
      </w:r>
      <w:r w:rsidR="00480D2D" w:rsidRPr="007D07F7">
        <w:t xml:space="preserve">QMS </w:t>
      </w:r>
      <w:r w:rsidRPr="007D07F7">
        <w:t xml:space="preserve">auditors </w:t>
      </w:r>
      <w:r w:rsidR="00C0565C" w:rsidRPr="007D07F7">
        <w:t>and/</w:t>
      </w:r>
      <w:r w:rsidRPr="007D07F7">
        <w:t xml:space="preserve">or </w:t>
      </w:r>
      <w:r w:rsidR="00480D2D" w:rsidRPr="007D07F7">
        <w:t xml:space="preserve">product </w:t>
      </w:r>
      <w:r w:rsidRPr="007D07F7">
        <w:t>review teams</w:t>
      </w:r>
    </w:p>
    <w:p w14:paraId="64C3BE66" w14:textId="422CB41A" w:rsidR="004D1A9E" w:rsidRPr="007D07F7" w:rsidRDefault="004D1A9E" w:rsidP="007D07F7">
      <w:pPr>
        <w:pStyle w:val="ListBullet"/>
      </w:pPr>
      <w:r w:rsidRPr="007D07F7">
        <w:t>conduct of the regulatory review process</w:t>
      </w:r>
    </w:p>
    <w:p w14:paraId="446C49F0" w14:textId="38B4D251" w:rsidR="004D1A9E" w:rsidRPr="007D07F7" w:rsidRDefault="004D1A9E" w:rsidP="007D07F7">
      <w:pPr>
        <w:pStyle w:val="ListBullet"/>
      </w:pPr>
      <w:r w:rsidRPr="007D07F7">
        <w:t>review of assessment and audit reports and certification decision making activities</w:t>
      </w:r>
    </w:p>
    <w:p w14:paraId="095D51D6" w14:textId="4D4EF086" w:rsidR="004D1A9E" w:rsidRPr="007D07F7" w:rsidRDefault="004D1A9E" w:rsidP="007D07F7">
      <w:pPr>
        <w:pStyle w:val="ListBullet"/>
      </w:pPr>
      <w:r w:rsidRPr="007D07F7">
        <w:t>technical review of audit reports</w:t>
      </w:r>
    </w:p>
    <w:p w14:paraId="5C192375" w14:textId="3B0673C3" w:rsidR="004D1A9E" w:rsidRPr="007D07F7" w:rsidRDefault="004D1A9E" w:rsidP="007D07F7">
      <w:pPr>
        <w:pStyle w:val="ListBullet"/>
      </w:pPr>
      <w:r w:rsidRPr="007D07F7">
        <w:t>competenc</w:t>
      </w:r>
      <w:r w:rsidR="00C0565C" w:rsidRPr="007D07F7">
        <w:t>y</w:t>
      </w:r>
      <w:r w:rsidRPr="007D07F7">
        <w:t xml:space="preserve"> management activities for technical experts</w:t>
      </w:r>
      <w:r w:rsidR="00CB455A">
        <w:t xml:space="preserve"> including regulatory reviewers and auditors</w:t>
      </w:r>
      <w:r w:rsidRPr="007D07F7">
        <w:t xml:space="preserve">, </w:t>
      </w:r>
    </w:p>
    <w:p w14:paraId="2A497348" w14:textId="6273C4CD" w:rsidR="0045495B" w:rsidRDefault="004D1A9E" w:rsidP="00097015">
      <w:pPr>
        <w:pStyle w:val="ListBullet"/>
      </w:pPr>
      <w:r w:rsidRPr="007D07F7">
        <w:t xml:space="preserve">management, monitoring and oversight of the Australian CAB’s medical device </w:t>
      </w:r>
      <w:r w:rsidR="00CB455A">
        <w:t xml:space="preserve">review, </w:t>
      </w:r>
      <w:r w:rsidR="00097015">
        <w:t>audit and certification program</w:t>
      </w:r>
    </w:p>
    <w:p w14:paraId="054AAE85" w14:textId="779D38A4" w:rsidR="00AD33AB" w:rsidRPr="00703D5D" w:rsidRDefault="00CB455A" w:rsidP="00097015">
      <w:r>
        <w:t xml:space="preserve">Some </w:t>
      </w:r>
      <w:r w:rsidR="007E25FD" w:rsidRPr="00703D5D">
        <w:t xml:space="preserve">activities </w:t>
      </w:r>
      <w:r>
        <w:t>must</w:t>
      </w:r>
      <w:r w:rsidR="00C0565C" w:rsidRPr="00703D5D">
        <w:t xml:space="preserve"> be carried out</w:t>
      </w:r>
      <w:r w:rsidR="00F53BB2" w:rsidRPr="00703D5D">
        <w:t xml:space="preserve"> by </w:t>
      </w:r>
      <w:r>
        <w:t xml:space="preserve">appropriately qualified </w:t>
      </w:r>
      <w:r w:rsidR="008648A9" w:rsidRPr="00703D5D">
        <w:t>employees</w:t>
      </w:r>
      <w:r w:rsidR="00F53BB2" w:rsidRPr="00703D5D">
        <w:t xml:space="preserve"> </w:t>
      </w:r>
      <w:r>
        <w:t>of your company and cannot be outsourced:</w:t>
      </w:r>
      <w:r w:rsidR="00C0565C" w:rsidRPr="00703D5D">
        <w:t xml:space="preserve"> </w:t>
      </w:r>
    </w:p>
    <w:p w14:paraId="63B9FAE5" w14:textId="7CDD54E4" w:rsidR="00F53BB2" w:rsidRPr="00703D5D" w:rsidRDefault="00F53BB2" w:rsidP="00F53BB2">
      <w:pPr>
        <w:pStyle w:val="ListBullet"/>
      </w:pPr>
      <w:r w:rsidRPr="00703D5D">
        <w:t>review of the qualifications and monitoring of the performance of external experts</w:t>
      </w:r>
    </w:p>
    <w:p w14:paraId="5AD4653F" w14:textId="5F6B281F" w:rsidR="00F53BB2" w:rsidRPr="00703D5D" w:rsidRDefault="00F53BB2" w:rsidP="00991640">
      <w:pPr>
        <w:pStyle w:val="ListBullet"/>
      </w:pPr>
      <w:r w:rsidRPr="00703D5D">
        <w:t>allocation of work to external experts for specific certification-related activities</w:t>
      </w:r>
    </w:p>
    <w:p w14:paraId="4C5C5FBD" w14:textId="77777777" w:rsidR="00097015" w:rsidRPr="000825B8" w:rsidRDefault="00097015" w:rsidP="00097015">
      <w:pPr>
        <w:pStyle w:val="ListBullet"/>
      </w:pPr>
      <w:r w:rsidRPr="000825B8">
        <w:t>auditing</w:t>
      </w:r>
      <w:r w:rsidRPr="000825B8">
        <w:rPr>
          <w:spacing w:val="-17"/>
        </w:rPr>
        <w:t xml:space="preserve"> </w:t>
      </w:r>
      <w:r w:rsidRPr="000825B8">
        <w:t>and</w:t>
      </w:r>
      <w:r w:rsidRPr="000825B8">
        <w:rPr>
          <w:spacing w:val="-15"/>
        </w:rPr>
        <w:t xml:space="preserve"> </w:t>
      </w:r>
      <w:r w:rsidRPr="000825B8">
        <w:t>certification</w:t>
      </w:r>
      <w:r w:rsidRPr="000825B8">
        <w:rPr>
          <w:spacing w:val="-13"/>
        </w:rPr>
        <w:t xml:space="preserve"> </w:t>
      </w:r>
      <w:r w:rsidRPr="000825B8">
        <w:t>activities</w:t>
      </w:r>
      <w:r w:rsidRPr="000825B8">
        <w:rPr>
          <w:spacing w:val="-15"/>
        </w:rPr>
        <w:t xml:space="preserve"> </w:t>
      </w:r>
      <w:r w:rsidRPr="000825B8">
        <w:t>where</w:t>
      </w:r>
      <w:r w:rsidRPr="000825B8">
        <w:rPr>
          <w:spacing w:val="-15"/>
        </w:rPr>
        <w:t xml:space="preserve"> </w:t>
      </w:r>
      <w:r w:rsidRPr="000825B8">
        <w:t>the</w:t>
      </w:r>
      <w:r w:rsidRPr="000825B8">
        <w:rPr>
          <w:spacing w:val="-14"/>
        </w:rPr>
        <w:t xml:space="preserve"> </w:t>
      </w:r>
      <w:r w:rsidRPr="000825B8">
        <w:t>subcontracting</w:t>
      </w:r>
      <w:r w:rsidRPr="000825B8">
        <w:rPr>
          <w:spacing w:val="-15"/>
        </w:rPr>
        <w:t xml:space="preserve"> </w:t>
      </w:r>
      <w:r w:rsidRPr="000825B8">
        <w:t>in</w:t>
      </w:r>
      <w:r w:rsidRPr="000825B8">
        <w:rPr>
          <w:spacing w:val="-15"/>
        </w:rPr>
        <w:t xml:space="preserve"> </w:t>
      </w:r>
      <w:r w:rsidRPr="000825B8">
        <w:t>question</w:t>
      </w:r>
      <w:r w:rsidRPr="000825B8">
        <w:rPr>
          <w:spacing w:val="-15"/>
        </w:rPr>
        <w:t xml:space="preserve"> </w:t>
      </w:r>
      <w:r w:rsidRPr="000825B8">
        <w:t>is</w:t>
      </w:r>
      <w:r w:rsidRPr="000825B8">
        <w:rPr>
          <w:spacing w:val="-14"/>
        </w:rPr>
        <w:t xml:space="preserve"> </w:t>
      </w:r>
      <w:r w:rsidRPr="000825B8">
        <w:t>to</w:t>
      </w:r>
      <w:r w:rsidRPr="000825B8">
        <w:rPr>
          <w:spacing w:val="-17"/>
        </w:rPr>
        <w:t xml:space="preserve"> </w:t>
      </w:r>
      <w:r w:rsidRPr="000825B8">
        <w:t>auditing</w:t>
      </w:r>
      <w:r w:rsidRPr="000825B8">
        <w:rPr>
          <w:spacing w:val="-15"/>
        </w:rPr>
        <w:t xml:space="preserve"> </w:t>
      </w:r>
      <w:r w:rsidRPr="000825B8">
        <w:t>or</w:t>
      </w:r>
      <w:r w:rsidRPr="000825B8">
        <w:rPr>
          <w:spacing w:val="-15"/>
        </w:rPr>
        <w:t xml:space="preserve"> </w:t>
      </w:r>
      <w:r w:rsidRPr="000825B8">
        <w:t>certification</w:t>
      </w:r>
      <w:r w:rsidRPr="000825B8">
        <w:rPr>
          <w:spacing w:val="-15"/>
        </w:rPr>
        <w:t xml:space="preserve"> </w:t>
      </w:r>
      <w:r>
        <w:t>organisations</w:t>
      </w:r>
    </w:p>
    <w:p w14:paraId="0E98523D" w14:textId="6BC452B5" w:rsidR="00D95C47" w:rsidRPr="00F31554" w:rsidRDefault="00F53BB2" w:rsidP="00C207D0">
      <w:pPr>
        <w:pStyle w:val="ListBullet"/>
      </w:pPr>
      <w:r w:rsidRPr="00703D5D">
        <w:t>the final review and decision making</w:t>
      </w:r>
      <w:r w:rsidR="001176C5" w:rsidRPr="00703D5D">
        <w:t xml:space="preserve"> </w:t>
      </w:r>
      <w:r w:rsidR="00C0565C" w:rsidRPr="00703D5D">
        <w:t>for the</w:t>
      </w:r>
      <w:r w:rsidR="001176C5" w:rsidRPr="00703D5D">
        <w:t xml:space="preserve"> issue of </w:t>
      </w:r>
      <w:r w:rsidR="00B62A0B" w:rsidRPr="00703D5D">
        <w:t>conformity assessment body</w:t>
      </w:r>
      <w:r w:rsidR="001176C5" w:rsidRPr="00703D5D">
        <w:t xml:space="preserve"> certificate</w:t>
      </w:r>
      <w:r w:rsidR="00B62A0B" w:rsidRPr="00703D5D">
        <w:t xml:space="preserve">s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63A78" w:rsidRPr="00F31554" w14:paraId="653FF095" w14:textId="77777777" w:rsidTr="00C207D0">
        <w:trPr>
          <w:trHeight w:val="1206"/>
        </w:trPr>
        <w:tc>
          <w:tcPr>
            <w:tcW w:w="1276" w:type="dxa"/>
            <w:vAlign w:val="center"/>
          </w:tcPr>
          <w:p w14:paraId="3EF27BBA" w14:textId="77777777" w:rsidR="00C63A78" w:rsidRPr="00703D5D" w:rsidRDefault="00C63A78" w:rsidP="00C207D0">
            <w:pPr>
              <w:spacing w:before="0"/>
              <w:rPr>
                <w:sz w:val="20"/>
              </w:rPr>
            </w:pPr>
            <w:r w:rsidRPr="00703D5D">
              <w:rPr>
                <w:noProof/>
                <w:sz w:val="20"/>
                <w:lang w:eastAsia="en-AU"/>
              </w:rPr>
              <w:drawing>
                <wp:inline distT="0" distB="0" distL="0" distR="0" wp14:anchorId="60FD6815" wp14:editId="748ED34E">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7815A9F" w14:textId="77DFAE43" w:rsidR="00C63A78" w:rsidRPr="00703D5D" w:rsidRDefault="00C63A78" w:rsidP="00C207D0">
            <w:pPr>
              <w:pStyle w:val="ListBullet"/>
              <w:numPr>
                <w:ilvl w:val="0"/>
                <w:numId w:val="0"/>
              </w:numPr>
            </w:pPr>
            <w:r w:rsidRPr="00703D5D">
              <w:t xml:space="preserve">You are required to have procedures and a written agreement with each </w:t>
            </w:r>
            <w:r w:rsidR="003A06F5" w:rsidRPr="00703D5D">
              <w:t>contractor that</w:t>
            </w:r>
            <w:r w:rsidRPr="00703D5D">
              <w:t xml:space="preserve"> permits access to their premises and allows the TGA to undertake assessment-related activities.</w:t>
            </w:r>
          </w:p>
          <w:p w14:paraId="387E6D9D" w14:textId="77777777" w:rsidR="00C63A78" w:rsidRPr="00703D5D" w:rsidRDefault="00C63A78" w:rsidP="00C207D0">
            <w:pPr>
              <w:pStyle w:val="ListBullet"/>
              <w:numPr>
                <w:ilvl w:val="0"/>
                <w:numId w:val="0"/>
              </w:numPr>
            </w:pPr>
            <w:r w:rsidRPr="00703D5D">
              <w:t>Home offices are not considered to be critical locations unless they are formally designated as an operating location by your company or a contractor.</w:t>
            </w:r>
          </w:p>
        </w:tc>
      </w:tr>
    </w:tbl>
    <w:p w14:paraId="263B0A9E" w14:textId="2BF72A0E" w:rsidR="008648A9" w:rsidRDefault="0045495B" w:rsidP="007555A9">
      <w:pPr>
        <w:pStyle w:val="ListBullet"/>
        <w:numPr>
          <w:ilvl w:val="0"/>
          <w:numId w:val="0"/>
        </w:numPr>
      </w:pPr>
      <w:r>
        <w:t xml:space="preserve">Other </w:t>
      </w:r>
      <w:r w:rsidR="00832A92">
        <w:t>activities that you sub-contract or refer</w:t>
      </w:r>
      <w:r w:rsidR="00B86872" w:rsidRPr="00703D5D">
        <w:t xml:space="preserve"> can</w:t>
      </w:r>
      <w:r w:rsidR="00487806" w:rsidRPr="00703D5D">
        <w:t xml:space="preserve">not involve any intermediaries. </w:t>
      </w:r>
      <w:r w:rsidR="000463EF" w:rsidRPr="00703D5D">
        <w:t>You</w:t>
      </w:r>
      <w:r w:rsidR="00487806" w:rsidRPr="00703D5D">
        <w:t xml:space="preserve"> </w:t>
      </w:r>
      <w:r w:rsidR="00B86872" w:rsidRPr="00703D5D">
        <w:t>must</w:t>
      </w:r>
      <w:r w:rsidR="00487806" w:rsidRPr="00703D5D">
        <w:t xml:space="preserve"> </w:t>
      </w:r>
      <w:r w:rsidR="00B86872" w:rsidRPr="00703D5D">
        <w:t xml:space="preserve">have a written agreement in place with each contractor </w:t>
      </w:r>
      <w:r w:rsidR="009D6B7A" w:rsidRPr="00703D5D">
        <w:t xml:space="preserve">or </w:t>
      </w:r>
      <w:r w:rsidR="006A61E9" w:rsidRPr="00703D5D">
        <w:t xml:space="preserve">consultant </w:t>
      </w:r>
      <w:r w:rsidR="00B86872" w:rsidRPr="00703D5D">
        <w:t xml:space="preserve">to address confidentiality and conflicts of interest, and </w:t>
      </w:r>
      <w:r w:rsidR="00487806" w:rsidRPr="00703D5D">
        <w:t xml:space="preserve">take full responsibility for the tasks performed </w:t>
      </w:r>
      <w:r w:rsidR="00C63A78" w:rsidRPr="00703D5D">
        <w:t xml:space="preserve">by </w:t>
      </w:r>
      <w:r w:rsidR="009D6B7A" w:rsidRPr="00703D5D">
        <w:t>these individuals</w:t>
      </w:r>
      <w:r w:rsidR="00487806" w:rsidRPr="00703D5D">
        <w:t>.</w:t>
      </w:r>
    </w:p>
    <w:p w14:paraId="47B405BE" w14:textId="77777777" w:rsidR="003A06F5" w:rsidRPr="00703D5D" w:rsidRDefault="003A06F5" w:rsidP="003A06F5">
      <w:pPr>
        <w:pStyle w:val="ListBullet"/>
        <w:numPr>
          <w:ilvl w:val="0"/>
          <w:numId w:val="0"/>
        </w:numPr>
      </w:pPr>
      <w:bookmarkStart w:id="11" w:name="_Toc955303"/>
      <w:r w:rsidRPr="00703D5D">
        <w:t xml:space="preserve">An authorised officer of the TGA may enter and inspect company or contractor premises to carry out </w:t>
      </w:r>
      <w:r>
        <w:t xml:space="preserve">assessment </w:t>
      </w:r>
      <w:r w:rsidRPr="00703D5D">
        <w:t>activities in Australia or overseas.</w:t>
      </w:r>
    </w:p>
    <w:p w14:paraId="192DF8BD" w14:textId="1963CF8F" w:rsidR="007F5F3A" w:rsidRDefault="007F5F3A" w:rsidP="00B25E07">
      <w:pPr>
        <w:pStyle w:val="Heading2"/>
      </w:pPr>
      <w:bookmarkStart w:id="12" w:name="_Toc75891341"/>
      <w:r w:rsidRPr="00AD7281">
        <w:t>Requirements for Australian conformity assessment bodies</w:t>
      </w:r>
      <w:bookmarkEnd w:id="11"/>
      <w:bookmarkEnd w:id="12"/>
    </w:p>
    <w:p w14:paraId="3E142D4D" w14:textId="140CF98B" w:rsidR="004D6A8F" w:rsidRDefault="004D6A8F" w:rsidP="007F5F3A">
      <w:r>
        <w:t xml:space="preserve">The requirements to be met by an Australian corporation seeking to become an Australian CAB, and to be maintained once your determination has been issued, are set out in Schedule 3AA of the </w:t>
      </w:r>
      <w:hyperlink r:id="rId17" w:history="1">
        <w:r w:rsidRPr="00B97318">
          <w:rPr>
            <w:rStyle w:val="Hyperlink"/>
          </w:rPr>
          <w:t>MD Regulations</w:t>
        </w:r>
      </w:hyperlink>
      <w:r>
        <w:t>.</w:t>
      </w:r>
    </w:p>
    <w:p w14:paraId="3BE048DA" w14:textId="77777777" w:rsidR="002C6F01" w:rsidRDefault="00F67C7F" w:rsidP="007F5F3A">
      <w:r>
        <w:t>As the applicant, y</w:t>
      </w:r>
      <w:r w:rsidR="00D402B1">
        <w:t>ou</w:t>
      </w:r>
      <w:r w:rsidR="00444702">
        <w:t>r company</w:t>
      </w:r>
      <w:r w:rsidR="009C55D7">
        <w:t xml:space="preserve"> </w:t>
      </w:r>
      <w:r w:rsidR="00444702">
        <w:t>is</w:t>
      </w:r>
      <w:r w:rsidR="009C55D7">
        <w:t xml:space="preserve"> required </w:t>
      </w:r>
      <w:r w:rsidR="00E652E2">
        <w:t>to</w:t>
      </w:r>
      <w:r w:rsidR="002C6F01">
        <w:t>:</w:t>
      </w:r>
    </w:p>
    <w:p w14:paraId="2C838DAB" w14:textId="2A33FF9D" w:rsidR="002C6F01" w:rsidRDefault="00E652E2" w:rsidP="008B7046">
      <w:pPr>
        <w:pStyle w:val="ListBullet"/>
      </w:pPr>
      <w:r>
        <w:t>em</w:t>
      </w:r>
      <w:r w:rsidR="00123816">
        <w:t>ploy</w:t>
      </w:r>
      <w:r>
        <w:t xml:space="preserve"> personnel with</w:t>
      </w:r>
      <w:r w:rsidR="00123816">
        <w:t xml:space="preserve"> </w:t>
      </w:r>
      <w:r w:rsidR="007F5F3A">
        <w:t>the necessary technical, scientific and clinical competence</w:t>
      </w:r>
    </w:p>
    <w:p w14:paraId="591083F5" w14:textId="24D27904" w:rsidR="002C6F01" w:rsidRDefault="009C55D7" w:rsidP="008B7046">
      <w:pPr>
        <w:pStyle w:val="ListBullet"/>
      </w:pPr>
      <w:r>
        <w:t xml:space="preserve">have </w:t>
      </w:r>
      <w:r w:rsidR="007F5F3A">
        <w:t xml:space="preserve">facilities and processes </w:t>
      </w:r>
      <w:r>
        <w:t xml:space="preserve">that </w:t>
      </w:r>
      <w:r w:rsidR="001D26F1">
        <w:t xml:space="preserve">will </w:t>
      </w:r>
      <w:r>
        <w:t xml:space="preserve">enable </w:t>
      </w:r>
      <w:r w:rsidR="00D402B1">
        <w:t xml:space="preserve">you </w:t>
      </w:r>
      <w:r w:rsidR="007F5F3A">
        <w:t xml:space="preserve">to carry out assessments for the issue of conformity assessment certificates within the scope of </w:t>
      </w:r>
      <w:r w:rsidR="00D402B1">
        <w:t xml:space="preserve">your </w:t>
      </w:r>
      <w:r w:rsidR="007F5F3A">
        <w:t>determination</w:t>
      </w:r>
    </w:p>
    <w:p w14:paraId="60F53096" w14:textId="4C742CEE" w:rsidR="002C6F01" w:rsidRDefault="007F5F3A" w:rsidP="008B7046">
      <w:pPr>
        <w:pStyle w:val="ListBullet"/>
      </w:pPr>
      <w:r>
        <w:t>undertake post-certification activities, including monitoring and surveillance activities</w:t>
      </w:r>
      <w:r w:rsidR="00BB41C9">
        <w:t xml:space="preserve"> </w:t>
      </w:r>
      <w:r w:rsidR="00E0685E">
        <w:t>of certified</w:t>
      </w:r>
      <w:r w:rsidR="00A759F3">
        <w:t xml:space="preserve"> manufacturers</w:t>
      </w:r>
      <w:r w:rsidR="00D402B1">
        <w:t xml:space="preserve"> throug</w:t>
      </w:r>
      <w:r w:rsidR="004716D9">
        <w:t>hout the audit cycle</w:t>
      </w:r>
    </w:p>
    <w:p w14:paraId="3AC3B05C" w14:textId="7B0DB487" w:rsidR="002C6F01" w:rsidRDefault="0023499D" w:rsidP="008B7046">
      <w:pPr>
        <w:pStyle w:val="ListBullet"/>
      </w:pPr>
      <w:r>
        <w:t>maintain</w:t>
      </w:r>
      <w:r w:rsidR="007F5F3A">
        <w:t xml:space="preserve"> independence and impartiality</w:t>
      </w:r>
    </w:p>
    <w:p w14:paraId="52A1C4C5" w14:textId="51653B42" w:rsidR="002C6F01" w:rsidRDefault="007F5F3A" w:rsidP="008B7046">
      <w:pPr>
        <w:pStyle w:val="ListBullet"/>
      </w:pPr>
      <w:r>
        <w:t xml:space="preserve">respond so that there are no actual or perceived conflicts of interest in relation to the manufacturers for whom </w:t>
      </w:r>
      <w:r w:rsidR="00444702">
        <w:t xml:space="preserve">you </w:t>
      </w:r>
      <w:r w:rsidR="009C55D7">
        <w:t xml:space="preserve">will </w:t>
      </w:r>
      <w:r>
        <w:t>perform certification-related activities</w:t>
      </w:r>
    </w:p>
    <w:p w14:paraId="1C96B1EE" w14:textId="5445E91D" w:rsidR="00C94B5A" w:rsidRDefault="009C55D7" w:rsidP="008B7046">
      <w:pPr>
        <w:pStyle w:val="ListBullet"/>
      </w:pPr>
      <w:r>
        <w:t xml:space="preserve">have </w:t>
      </w:r>
      <w:r w:rsidR="00AF4DB6">
        <w:t>adequate</w:t>
      </w:r>
      <w:r w:rsidR="007F5F3A">
        <w:t xml:space="preserve"> </w:t>
      </w:r>
      <w:r w:rsidR="00095E79">
        <w:t xml:space="preserve">general </w:t>
      </w:r>
      <w:r w:rsidR="007F5F3A">
        <w:t>liability insurance</w:t>
      </w:r>
    </w:p>
    <w:p w14:paraId="6F68BEBC" w14:textId="004564B8" w:rsidR="009C55D7" w:rsidRDefault="00C94B5A" w:rsidP="008B7046">
      <w:pPr>
        <w:pStyle w:val="ListBullet"/>
      </w:pPr>
      <w:r>
        <w:t xml:space="preserve">have </w:t>
      </w:r>
      <w:r w:rsidR="007F5F3A">
        <w:t>an effec</w:t>
      </w:r>
      <w:r w:rsidR="004716D9">
        <w:t>tive quality management system</w:t>
      </w:r>
    </w:p>
    <w:p w14:paraId="4DDBED13" w14:textId="208EF1F4" w:rsidR="007F5F3A" w:rsidRDefault="004D6A8F" w:rsidP="007F5F3A">
      <w:r>
        <w:t>You are requi</w:t>
      </w:r>
      <w:r w:rsidR="004C791F">
        <w:t>red to</w:t>
      </w:r>
      <w:r w:rsidR="007F5F3A">
        <w:t xml:space="preserve"> document and disclose the </w:t>
      </w:r>
      <w:r w:rsidR="00231005">
        <w:t xml:space="preserve">nature and management of </w:t>
      </w:r>
      <w:r w:rsidR="002100A8">
        <w:t xml:space="preserve">any </w:t>
      </w:r>
      <w:r w:rsidR="007F5F3A">
        <w:t xml:space="preserve">relationships between </w:t>
      </w:r>
      <w:r w:rsidR="00B007B1">
        <w:t>other</w:t>
      </w:r>
      <w:r w:rsidR="00203E6C">
        <w:t xml:space="preserve"> </w:t>
      </w:r>
      <w:r w:rsidR="007F5F3A">
        <w:t xml:space="preserve">legal entities </w:t>
      </w:r>
      <w:r w:rsidR="00AF4DB6">
        <w:t>when they are part of a larger</w:t>
      </w:r>
      <w:r w:rsidR="00231005">
        <w:t xml:space="preserve"> organisation</w:t>
      </w:r>
      <w:r w:rsidR="00444702">
        <w:t>,</w:t>
      </w:r>
      <w:r w:rsidR="00AF4DB6">
        <w:t xml:space="preserve"> </w:t>
      </w:r>
      <w:r w:rsidR="007F5F3A">
        <w:t xml:space="preserve">where </w:t>
      </w:r>
      <w:r w:rsidR="00231005">
        <w:t>those relationships</w:t>
      </w:r>
      <w:r w:rsidR="00AF4DB6">
        <w:t xml:space="preserve"> may have an impact on actual or perceived independence and impartiality</w:t>
      </w:r>
      <w:r w:rsidR="007F5F3A">
        <w:t>.</w:t>
      </w:r>
    </w:p>
    <w:p w14:paraId="50CC0EA4" w14:textId="6023D2BA" w:rsidR="00873CB9" w:rsidRDefault="007F5F3A" w:rsidP="007F5F3A">
      <w:r>
        <w:t xml:space="preserve">The </w:t>
      </w:r>
      <w:r w:rsidR="00D81711">
        <w:t xml:space="preserve">Australian CAB framework </w:t>
      </w:r>
      <w:r w:rsidR="00832A92">
        <w:t>aims to align where appropriate with</w:t>
      </w:r>
      <w:r>
        <w:t xml:space="preserve"> European Union (EU) </w:t>
      </w:r>
      <w:r w:rsidR="00231005">
        <w:t xml:space="preserve">requirements for notified bodies as defined in </w:t>
      </w:r>
      <w:r w:rsidR="00092815">
        <w:t xml:space="preserve">Annex VII of </w:t>
      </w:r>
      <w:r w:rsidR="00231005">
        <w:t xml:space="preserve">the </w:t>
      </w:r>
      <w:r w:rsidR="00D81711">
        <w:rPr>
          <w:lang w:eastAsia="en-AU"/>
        </w:rPr>
        <w:t>European Medical Devices R</w:t>
      </w:r>
      <w:r w:rsidR="00D81711" w:rsidRPr="00E87CA0">
        <w:rPr>
          <w:lang w:eastAsia="en-AU"/>
        </w:rPr>
        <w:t>egulat</w:t>
      </w:r>
      <w:r w:rsidR="00D81711">
        <w:rPr>
          <w:lang w:eastAsia="en-AU"/>
        </w:rPr>
        <w:t xml:space="preserve">ion </w:t>
      </w:r>
      <w:hyperlink r:id="rId18" w:history="1">
        <w:r w:rsidR="00D81711" w:rsidRPr="00100459">
          <w:rPr>
            <w:rStyle w:val="Hyperlink"/>
            <w:lang w:eastAsia="en-AU"/>
          </w:rPr>
          <w:t>2017/745</w:t>
        </w:r>
      </w:hyperlink>
      <w:r w:rsidR="00D81711">
        <w:rPr>
          <w:lang w:eastAsia="en-AU"/>
        </w:rPr>
        <w:t xml:space="preserve"> (EU MDR) and</w:t>
      </w:r>
      <w:r w:rsidR="00D81711" w:rsidRPr="00A50CFA">
        <w:rPr>
          <w:i/>
        </w:rPr>
        <w:t xml:space="preserve"> </w:t>
      </w:r>
      <w:r w:rsidR="00D81711">
        <w:t>I</w:t>
      </w:r>
      <w:r w:rsidR="00D81711" w:rsidRPr="00F0708A">
        <w:t xml:space="preserve">n </w:t>
      </w:r>
      <w:r w:rsidR="00D81711">
        <w:t>V</w:t>
      </w:r>
      <w:r w:rsidR="00D81711" w:rsidRPr="00F0708A">
        <w:t>itro</w:t>
      </w:r>
      <w:r w:rsidR="00D81711">
        <w:t xml:space="preserve"> Diagnostic </w:t>
      </w:r>
      <w:r w:rsidR="00D81711">
        <w:rPr>
          <w:lang w:eastAsia="en-AU"/>
        </w:rPr>
        <w:t>R</w:t>
      </w:r>
      <w:r w:rsidR="00D81711" w:rsidRPr="00E87CA0">
        <w:rPr>
          <w:lang w:eastAsia="en-AU"/>
        </w:rPr>
        <w:t>egulat</w:t>
      </w:r>
      <w:r w:rsidR="00D81711">
        <w:rPr>
          <w:lang w:eastAsia="en-AU"/>
        </w:rPr>
        <w:t xml:space="preserve">ion </w:t>
      </w:r>
      <w:hyperlink r:id="rId19" w:history="1">
        <w:r w:rsidR="00D81711" w:rsidRPr="007A01E4">
          <w:rPr>
            <w:rStyle w:val="Hyperlink"/>
            <w:lang w:eastAsia="en-AU"/>
          </w:rPr>
          <w:t>2017/746</w:t>
        </w:r>
      </w:hyperlink>
      <w:r w:rsidR="00D81711">
        <w:rPr>
          <w:lang w:eastAsia="en-AU"/>
        </w:rPr>
        <w:t xml:space="preserve"> (EU IVDR) </w:t>
      </w:r>
      <w:r>
        <w:t>that came into force on 25 May 2017</w:t>
      </w:r>
      <w:r w:rsidR="00231005" w:rsidRPr="004A672E">
        <w:t xml:space="preserve">. </w:t>
      </w:r>
    </w:p>
    <w:p w14:paraId="0922D57C" w14:textId="4C5A11D0" w:rsidR="007F5F3A" w:rsidRDefault="00231005" w:rsidP="007F5F3A">
      <w:r w:rsidRPr="004A672E">
        <w:t>The</w:t>
      </w:r>
      <w:r w:rsidR="00203E6C">
        <w:t xml:space="preserve"> requirements</w:t>
      </w:r>
      <w:r w:rsidRPr="004A672E">
        <w:t xml:space="preserve"> </w:t>
      </w:r>
      <w:r w:rsidR="00832A92">
        <w:t>also aim to</w:t>
      </w:r>
      <w:r w:rsidRPr="004A672E">
        <w:t xml:space="preserve"> </w:t>
      </w:r>
      <w:r w:rsidR="007F5F3A">
        <w:t>align with the Medical Device Single Audit Program’s (</w:t>
      </w:r>
      <w:hyperlink r:id="rId20" w:history="1">
        <w:r w:rsidR="007F5F3A" w:rsidRPr="00830370">
          <w:rPr>
            <w:rStyle w:val="Hyperlink"/>
          </w:rPr>
          <w:t>MDSAP</w:t>
        </w:r>
      </w:hyperlink>
      <w:r w:rsidR="007F5F3A">
        <w:t>) criteria for auditing organisations</w:t>
      </w:r>
      <w:r w:rsidR="00D81711">
        <w:t xml:space="preserve"> </w:t>
      </w:r>
      <w:r w:rsidR="004716D9">
        <w:t xml:space="preserve">(AO) </w:t>
      </w:r>
      <w:r w:rsidR="00D81711">
        <w:t>and implement recommendations from the International Medical Device Regulators Forum (IMDRF) Good Regulatory Review Practices (GRRP) working group</w:t>
      </w:r>
      <w:r w:rsidR="000D5A22">
        <w:t xml:space="preserve"> (</w:t>
      </w:r>
      <w:hyperlink r:id="rId21" w:history="1">
        <w:r w:rsidR="00D81711" w:rsidRPr="00C1144F">
          <w:rPr>
            <w:rStyle w:val="Hyperlink"/>
          </w:rPr>
          <w:t>R</w:t>
        </w:r>
        <w:r w:rsidR="00C1144F" w:rsidRPr="00C1144F">
          <w:rPr>
            <w:rStyle w:val="Hyperlink"/>
          </w:rPr>
          <w:t>equirements for Regulatory Authority recognition of CABs conducting medical device regulatory reviews</w:t>
        </w:r>
      </w:hyperlink>
      <w:r w:rsidR="00C1144F">
        <w:t xml:space="preserve"> and supporting documents</w:t>
      </w:r>
      <w:r w:rsidR="000D5A22">
        <w:t>)</w:t>
      </w:r>
      <w:r w:rsidR="007F5F3A">
        <w:t>.</w:t>
      </w:r>
    </w:p>
    <w:p w14:paraId="1864B8E3" w14:textId="32A02A12" w:rsidR="007F5F3A" w:rsidRDefault="007767D8" w:rsidP="007F5F3A">
      <w:pPr>
        <w:spacing w:after="120"/>
      </w:pPr>
      <w:r>
        <w:t>T</w:t>
      </w:r>
      <w:r w:rsidR="007F5F3A">
        <w:t>he requirements cover:</w:t>
      </w:r>
    </w:p>
    <w:p w14:paraId="42EA25B2" w14:textId="77777777" w:rsidR="00873CB9" w:rsidRDefault="007F5F3A" w:rsidP="007F5F3A">
      <w:pPr>
        <w:pStyle w:val="ListBullet"/>
        <w:numPr>
          <w:ilvl w:val="0"/>
          <w:numId w:val="3"/>
        </w:numPr>
      </w:pPr>
      <w:r>
        <w:t>organisational and general requirements for the structure of the Australian CAB</w:t>
      </w:r>
    </w:p>
    <w:p w14:paraId="6B1590D6" w14:textId="457ABE6B" w:rsidR="007F5F3A" w:rsidRDefault="007F5F3A" w:rsidP="007F5F3A">
      <w:pPr>
        <w:pStyle w:val="ListBullet"/>
        <w:numPr>
          <w:ilvl w:val="0"/>
          <w:numId w:val="3"/>
        </w:numPr>
      </w:pPr>
      <w:r>
        <w:t>the assignment of responsibilities, independence and impartiality, confidentiality, financial resources, and liability</w:t>
      </w:r>
    </w:p>
    <w:p w14:paraId="356260AC" w14:textId="1E1BA0FF" w:rsidR="007F5F3A" w:rsidRDefault="007F5F3A" w:rsidP="007F5F3A">
      <w:pPr>
        <w:pStyle w:val="ListBullet"/>
        <w:numPr>
          <w:ilvl w:val="0"/>
          <w:numId w:val="3"/>
        </w:numPr>
      </w:pPr>
      <w:r>
        <w:t>quality management system (QMS) requirements</w:t>
      </w:r>
    </w:p>
    <w:p w14:paraId="1A2374F0" w14:textId="1AF181C5" w:rsidR="007F5F3A" w:rsidRDefault="007F5F3A" w:rsidP="007F5F3A">
      <w:pPr>
        <w:pStyle w:val="ListBullet"/>
        <w:numPr>
          <w:ilvl w:val="0"/>
          <w:numId w:val="3"/>
        </w:numPr>
      </w:pPr>
      <w:r>
        <w:t>resource requirements, relating to the competence, availability, authorisation, monitoring and training of personnel and external resources undertaking certification-related activities, outsourcing arrangements, and the related facilities and equipment</w:t>
      </w:r>
    </w:p>
    <w:p w14:paraId="5D49D57B" w14:textId="532A4ABA" w:rsidR="007F5F3A" w:rsidRDefault="007F5F3A" w:rsidP="007F5F3A">
      <w:pPr>
        <w:pStyle w:val="ListBullet"/>
        <w:numPr>
          <w:ilvl w:val="0"/>
          <w:numId w:val="3"/>
        </w:numPr>
      </w:pPr>
      <w:r>
        <w:t>process requirements, for documented processes and procedures for the conduct of c</w:t>
      </w:r>
      <w:r w:rsidR="004716D9">
        <w:t>ertification-related activities</w:t>
      </w:r>
    </w:p>
    <w:p w14:paraId="748FB5A8" w14:textId="6C0022BB" w:rsidR="007F5F3A" w:rsidRDefault="007F5F3A" w:rsidP="00C6369D">
      <w:r>
        <w:t>The</w:t>
      </w:r>
      <w:r w:rsidRPr="006D02DD">
        <w:t xml:space="preserve"> requirements directly reference those in Annex VII, with </w:t>
      </w:r>
      <w:r>
        <w:t xml:space="preserve">some </w:t>
      </w:r>
      <w:r w:rsidRPr="006D02DD">
        <w:t>modifications</w:t>
      </w:r>
      <w:r>
        <w:t xml:space="preserve"> </w:t>
      </w:r>
      <w:r w:rsidRPr="006D02DD">
        <w:t>cover</w:t>
      </w:r>
      <w:r w:rsidR="00B007B1">
        <w:t>ing</w:t>
      </w:r>
      <w:r>
        <w:t>:</w:t>
      </w:r>
    </w:p>
    <w:p w14:paraId="3FB77A2A" w14:textId="16504B72" w:rsidR="000D5A22" w:rsidRDefault="007F5F3A" w:rsidP="007F5F3A">
      <w:pPr>
        <w:pStyle w:val="ListBullet"/>
        <w:numPr>
          <w:ilvl w:val="0"/>
          <w:numId w:val="3"/>
        </w:numPr>
      </w:pPr>
      <w:r w:rsidRPr="006D02DD">
        <w:t xml:space="preserve">differences in the terminology </w:t>
      </w:r>
      <w:r w:rsidR="004716D9">
        <w:t>used in Australia versus Europe</w:t>
      </w:r>
    </w:p>
    <w:p w14:paraId="4513179F" w14:textId="4C0C5F12" w:rsidR="000D5A22" w:rsidRDefault="007F5F3A" w:rsidP="007F5F3A">
      <w:pPr>
        <w:pStyle w:val="ListBullet"/>
        <w:numPr>
          <w:ilvl w:val="0"/>
          <w:numId w:val="3"/>
        </w:numPr>
      </w:pPr>
      <w:r>
        <w:t xml:space="preserve">the incorporation, of </w:t>
      </w:r>
      <w:r w:rsidRPr="006D02DD">
        <w:t xml:space="preserve">references to </w:t>
      </w:r>
      <w:r>
        <w:t xml:space="preserve">the </w:t>
      </w:r>
      <w:r w:rsidRPr="006D02DD">
        <w:t xml:space="preserve">Australian </w:t>
      </w:r>
      <w:r>
        <w:t>regulatory</w:t>
      </w:r>
      <w:r w:rsidR="004716D9">
        <w:t xml:space="preserve"> requirements for manufacturers</w:t>
      </w:r>
    </w:p>
    <w:p w14:paraId="089D30B7" w14:textId="68E2803B" w:rsidR="000D5A22" w:rsidRDefault="007F5F3A" w:rsidP="007F5F3A">
      <w:pPr>
        <w:pStyle w:val="ListBullet"/>
        <w:numPr>
          <w:ilvl w:val="0"/>
          <w:numId w:val="3"/>
        </w:numPr>
      </w:pPr>
      <w:r>
        <w:t>the</w:t>
      </w:r>
      <w:r w:rsidRPr="006D02DD">
        <w:t xml:space="preserve"> </w:t>
      </w:r>
      <w:r>
        <w:t>removal of</w:t>
      </w:r>
      <w:r w:rsidRPr="006D02DD">
        <w:t xml:space="preserve"> </w:t>
      </w:r>
      <w:r>
        <w:t>requirements</w:t>
      </w:r>
      <w:r w:rsidRPr="006D02DD">
        <w:t xml:space="preserve"> that are not</w:t>
      </w:r>
      <w:r>
        <w:t xml:space="preserve"> relevant</w:t>
      </w:r>
      <w:r w:rsidR="004716D9">
        <w:t xml:space="preserve"> to Australian CABs</w:t>
      </w:r>
    </w:p>
    <w:p w14:paraId="52A22E89" w14:textId="0A5CEC6A" w:rsidR="00446C51" w:rsidRDefault="00DF72E0" w:rsidP="00446C51">
      <w:r w:rsidRPr="00446C51">
        <w:t xml:space="preserve">Annex VII makes references to other “best practice” documents </w:t>
      </w:r>
      <w:r w:rsidR="001D2BF5" w:rsidRPr="00446C51">
        <w:t>that may be relied upon to establish expectations and detail for the interpretation of requir</w:t>
      </w:r>
      <w:r w:rsidR="000D5A22">
        <w:t>ements,</w:t>
      </w:r>
      <w:r w:rsidR="001D2BF5" w:rsidRPr="00446C51">
        <w:t xml:space="preserve"> for the implementation of processes</w:t>
      </w:r>
      <w:r w:rsidR="000D5A22">
        <w:t>,</w:t>
      </w:r>
      <w:r w:rsidR="001D2BF5" w:rsidRPr="00446C51">
        <w:t xml:space="preserve"> and for outputs of the scheme for regulatory purposes. These may include international standards (e.g. ISO17021-1) or guidance documents published by the </w:t>
      </w:r>
      <w:r w:rsidR="003E7EC5">
        <w:t>EU Medical Devices Coordination Group (</w:t>
      </w:r>
      <w:r w:rsidR="001D2BF5" w:rsidRPr="00446C51">
        <w:t>MDCG</w:t>
      </w:r>
      <w:r w:rsidR="003E7EC5">
        <w:t>)</w:t>
      </w:r>
      <w:r w:rsidR="001D2BF5" w:rsidRPr="00446C51">
        <w:t>, IMDRF, the MDSAP consortium</w:t>
      </w:r>
      <w:r w:rsidR="00993BD3">
        <w:t>,</w:t>
      </w:r>
      <w:r w:rsidR="001D2BF5" w:rsidRPr="00446C51">
        <w:t xml:space="preserve"> or </w:t>
      </w:r>
      <w:r w:rsidR="003E7EC5">
        <w:t>legacy documents from the Global Harmonisation Task Force (</w:t>
      </w:r>
      <w:r w:rsidR="001D2BF5" w:rsidRPr="00446C51">
        <w:t>GHTF</w:t>
      </w:r>
      <w:r w:rsidR="003E7EC5">
        <w:t>)</w:t>
      </w:r>
      <w:r w:rsidR="001D2BF5" w:rsidRPr="00446C51">
        <w:t>.</w:t>
      </w:r>
    </w:p>
    <w:p w14:paraId="4C5AE8E0" w14:textId="15B30558" w:rsidR="007F5F3A" w:rsidRDefault="007F5F3A" w:rsidP="007F5F3A">
      <w:pPr>
        <w:pStyle w:val="Heading2"/>
      </w:pPr>
      <w:bookmarkStart w:id="13" w:name="_Toc955304"/>
      <w:bookmarkStart w:id="14" w:name="_Toc75891342"/>
      <w:r>
        <w:t>Scope of a determination</w:t>
      </w:r>
      <w:bookmarkEnd w:id="13"/>
      <w:bookmarkEnd w:id="14"/>
    </w:p>
    <w:p w14:paraId="56A4A4FA" w14:textId="3AA09A0B" w:rsidR="007F5F3A" w:rsidRDefault="00B81B83" w:rsidP="007F5F3A">
      <w:r>
        <w:t>You</w:t>
      </w:r>
      <w:r w:rsidR="007F5F3A">
        <w:t xml:space="preserve"> may apply for an Australian </w:t>
      </w:r>
      <w:r w:rsidR="00993BD3">
        <w:t>c</w:t>
      </w:r>
      <w:r w:rsidR="007F5F3A">
        <w:t xml:space="preserve">onformity </w:t>
      </w:r>
      <w:r w:rsidR="00993BD3">
        <w:t>a</w:t>
      </w:r>
      <w:r w:rsidR="007F5F3A">
        <w:t xml:space="preserve">ssessment </w:t>
      </w:r>
      <w:r w:rsidR="00993BD3">
        <w:t>b</w:t>
      </w:r>
      <w:r w:rsidR="007F5F3A">
        <w:t xml:space="preserve">ody determination that </w:t>
      </w:r>
      <w:r w:rsidR="00B007B1">
        <w:t xml:space="preserve">either </w:t>
      </w:r>
      <w:r w:rsidR="007F5F3A">
        <w:t xml:space="preserve">allows </w:t>
      </w:r>
      <w:r>
        <w:t xml:space="preserve">you </w:t>
      </w:r>
      <w:r w:rsidR="007F5F3A">
        <w:t xml:space="preserve">to certify the </w:t>
      </w:r>
      <w:r w:rsidR="007F5F3A" w:rsidRPr="00AD7281">
        <w:t>full</w:t>
      </w:r>
      <w:r w:rsidR="007F5F3A" w:rsidRPr="007B1679">
        <w:rPr>
          <w:b/>
        </w:rPr>
        <w:t xml:space="preserve"> </w:t>
      </w:r>
      <w:r w:rsidR="007F5F3A" w:rsidRPr="00AD7281">
        <w:t>range</w:t>
      </w:r>
      <w:r w:rsidR="007F5F3A">
        <w:t xml:space="preserve"> of Australian conformity assessment procedures and </w:t>
      </w:r>
      <w:r w:rsidR="007F5F3A" w:rsidRPr="00AD7281">
        <w:t>all types</w:t>
      </w:r>
      <w:r w:rsidR="007F5F3A">
        <w:t xml:space="preserve"> of medical devices (including IVDs), or a </w:t>
      </w:r>
      <w:r w:rsidR="007F5F3A" w:rsidRPr="00AD7281">
        <w:t>limited range</w:t>
      </w:r>
      <w:r w:rsidR="007F5F3A">
        <w:t xml:space="preserve"> of Australian conformity assessment procedures for </w:t>
      </w:r>
      <w:r w:rsidR="007F5F3A" w:rsidRPr="00AD7281">
        <w:t>specifi</w:t>
      </w:r>
      <w:r w:rsidR="007F5F3A">
        <w:t>ed</w:t>
      </w:r>
      <w:r w:rsidR="007F5F3A" w:rsidRPr="00AD7281">
        <w:t xml:space="preserve"> types</w:t>
      </w:r>
      <w:r w:rsidR="007F5F3A">
        <w:t xml:space="preserve"> of medical devices.</w:t>
      </w:r>
    </w:p>
    <w:p w14:paraId="663B46D4" w14:textId="1D21ED44" w:rsidR="007F5F3A" w:rsidRDefault="007F5F3A" w:rsidP="00A45468">
      <w:r>
        <w:t xml:space="preserve">The </w:t>
      </w:r>
      <w:r w:rsidR="00C516C7">
        <w:t xml:space="preserve">scope of a determination </w:t>
      </w:r>
      <w:r>
        <w:t xml:space="preserve">will only include the procedures and device types for which </w:t>
      </w:r>
      <w:r w:rsidR="00B81B83">
        <w:t xml:space="preserve">you have </w:t>
      </w:r>
      <w:r w:rsidRPr="000D414A">
        <w:t xml:space="preserve">demonstrated </w:t>
      </w:r>
      <w:r w:rsidR="000D5A22">
        <w:t xml:space="preserve">adequate resources and </w:t>
      </w:r>
      <w:r w:rsidRPr="000D414A">
        <w:t>competence</w:t>
      </w:r>
      <w:r w:rsidR="00A45468">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F5F3A" w:rsidRPr="005162F9" w14:paraId="09B19B46" w14:textId="77777777" w:rsidTr="007555A9">
        <w:tc>
          <w:tcPr>
            <w:tcW w:w="1276" w:type="dxa"/>
            <w:vAlign w:val="center"/>
          </w:tcPr>
          <w:p w14:paraId="0B192D27" w14:textId="77777777" w:rsidR="007F5F3A" w:rsidRPr="005162F9" w:rsidRDefault="007F5F3A" w:rsidP="007F5F3A">
            <w:pPr>
              <w:spacing w:before="0"/>
              <w:rPr>
                <w:sz w:val="20"/>
              </w:rPr>
            </w:pPr>
            <w:r w:rsidRPr="005162F9">
              <w:rPr>
                <w:noProof/>
                <w:sz w:val="20"/>
                <w:lang w:eastAsia="en-AU"/>
              </w:rPr>
              <w:drawing>
                <wp:inline distT="0" distB="0" distL="0" distR="0" wp14:anchorId="16CFF6EA" wp14:editId="434023D5">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9288580" w14:textId="44919BDB" w:rsidR="007F5F3A" w:rsidRDefault="007F5F3A" w:rsidP="003F6218">
            <w:r>
              <w:t xml:space="preserve">The TGA will continue to </w:t>
            </w:r>
            <w:r w:rsidR="008F60F4">
              <w:t xml:space="preserve">accept applications for conformity assessments and </w:t>
            </w:r>
            <w:r>
              <w:t xml:space="preserve">issue </w:t>
            </w:r>
            <w:r w:rsidR="006C7730">
              <w:t>‘</w:t>
            </w:r>
            <w:r>
              <w:t>conformity assessment certificates</w:t>
            </w:r>
            <w:r w:rsidR="006C7730">
              <w:t>’</w:t>
            </w:r>
            <w:r w:rsidR="009A5EB9">
              <w:t xml:space="preserve">, </w:t>
            </w:r>
            <w:r>
              <w:t>and make decisions about the inclusion of medical devices in the Australian Register of Therapeutic Goods (ARTG)</w:t>
            </w:r>
            <w:r w:rsidR="009A5EB9">
              <w:t xml:space="preserve"> for marketing authorisation</w:t>
            </w:r>
            <w:r>
              <w:t>.</w:t>
            </w:r>
          </w:p>
          <w:p w14:paraId="11EE9AB4" w14:textId="1305CB1C" w:rsidR="004A672E" w:rsidRPr="005162F9" w:rsidRDefault="004A672E" w:rsidP="00B62A0B">
            <w:r>
              <w:t xml:space="preserve">Australian conformity assessment bodies will issue </w:t>
            </w:r>
            <w:r w:rsidR="00446C51">
              <w:t>‘</w:t>
            </w:r>
            <w:r>
              <w:t>Australian conformity assessment body certificat</w:t>
            </w:r>
            <w:r w:rsidR="00446C51">
              <w:t>es’</w:t>
            </w:r>
            <w:r>
              <w:t xml:space="preserve"> to indicate they have performed an assessment </w:t>
            </w:r>
            <w:r w:rsidR="00B62A0B">
              <w:t xml:space="preserve">and </w:t>
            </w:r>
            <w:r>
              <w:t>determine</w:t>
            </w:r>
            <w:r w:rsidR="00B62A0B">
              <w:t>d</w:t>
            </w:r>
            <w:r>
              <w:t xml:space="preserve"> </w:t>
            </w:r>
            <w:r w:rsidR="00B62A0B">
              <w:t xml:space="preserve">that </w:t>
            </w:r>
            <w:r>
              <w:t xml:space="preserve">a manufacturer has adequately applied a relevant conformity assessment procedure. </w:t>
            </w:r>
          </w:p>
        </w:tc>
      </w:tr>
    </w:tbl>
    <w:p w14:paraId="7D9E8286" w14:textId="1B6BC07D" w:rsidR="007F5F3A" w:rsidRPr="00E91268" w:rsidRDefault="007F5F3A" w:rsidP="007F5F3A">
      <w:pPr>
        <w:pStyle w:val="Heading3"/>
      </w:pPr>
      <w:bookmarkStart w:id="15" w:name="_Toc955305"/>
      <w:bookmarkStart w:id="16" w:name="_Toc75891343"/>
      <w:r w:rsidRPr="00E91268">
        <w:t>Conformity assessment procedures</w:t>
      </w:r>
      <w:bookmarkEnd w:id="15"/>
      <w:bookmarkEnd w:id="16"/>
    </w:p>
    <w:p w14:paraId="77B7E2AE" w14:textId="4432491A" w:rsidR="001D26F1" w:rsidRDefault="00B81B83" w:rsidP="007F5F3A">
      <w:pPr>
        <w:spacing w:after="120"/>
      </w:pPr>
      <w:r>
        <w:t xml:space="preserve">Your </w:t>
      </w:r>
      <w:r w:rsidR="007F5F3A">
        <w:t xml:space="preserve">application may be </w:t>
      </w:r>
      <w:r w:rsidR="00480D2D">
        <w:t>assess</w:t>
      </w:r>
      <w:r w:rsidR="008F60F4">
        <w:t>ed</w:t>
      </w:r>
      <w:r w:rsidR="00480D2D">
        <w:t xml:space="preserve"> against</w:t>
      </w:r>
      <w:r w:rsidR="007F5F3A">
        <w:t xml:space="preserve"> all</w:t>
      </w:r>
      <w:r w:rsidR="00A45468">
        <w:t xml:space="preserve"> or some</w:t>
      </w:r>
      <w:r w:rsidR="007F5F3A">
        <w:t xml:space="preserve"> conformity assessment procedures</w:t>
      </w:r>
      <w:r w:rsidR="00A45468">
        <w:t xml:space="preserve"> for </w:t>
      </w:r>
      <w:r w:rsidR="001D26F1">
        <w:t>medical devices and IVDs a</w:t>
      </w:r>
      <w:r w:rsidR="00A45468">
        <w:t>s</w:t>
      </w:r>
      <w:r w:rsidR="001D26F1">
        <w:t xml:space="preserve"> set out in Sc</w:t>
      </w:r>
      <w:r w:rsidR="004716D9">
        <w:t>hedule 3 of the MD Regulations.</w:t>
      </w:r>
    </w:p>
    <w:p w14:paraId="4502546D" w14:textId="64AE84EE" w:rsidR="007F5F3A" w:rsidRDefault="007F5F3A" w:rsidP="007F5F3A">
      <w:pPr>
        <w:spacing w:after="120"/>
      </w:pPr>
      <w:r>
        <w:t xml:space="preserve">The relevant conformity assessment procedures </w:t>
      </w:r>
      <w:r w:rsidR="00EB0BCC">
        <w:t xml:space="preserve">for medical devices </w:t>
      </w:r>
      <w:r>
        <w:t>are:</w:t>
      </w:r>
    </w:p>
    <w:p w14:paraId="056DBC48" w14:textId="1784DE39" w:rsidR="007F5F3A" w:rsidRDefault="007F5F3A" w:rsidP="007F5F3A">
      <w:pPr>
        <w:pStyle w:val="ListBullet"/>
        <w:numPr>
          <w:ilvl w:val="0"/>
          <w:numId w:val="3"/>
        </w:numPr>
        <w:rPr>
          <w:lang w:eastAsia="en-AU"/>
        </w:rPr>
      </w:pPr>
      <w:r>
        <w:rPr>
          <w:lang w:eastAsia="en-AU"/>
        </w:rPr>
        <w:t>Part 1 - Full quality assurance procedures including</w:t>
      </w:r>
      <w:r w:rsidR="00914506">
        <w:rPr>
          <w:lang w:eastAsia="en-AU"/>
        </w:rPr>
        <w:t xml:space="preserve"> </w:t>
      </w:r>
      <w:r>
        <w:rPr>
          <w:lang w:eastAsia="en-AU"/>
        </w:rPr>
        <w:t xml:space="preserve">clause 1.6 </w:t>
      </w:r>
      <w:r w:rsidR="00914506">
        <w:rPr>
          <w:lang w:eastAsia="en-AU"/>
        </w:rPr>
        <w:t xml:space="preserve">- </w:t>
      </w:r>
      <w:r>
        <w:rPr>
          <w:lang w:eastAsia="en-AU"/>
        </w:rPr>
        <w:t>examination of design</w:t>
      </w:r>
    </w:p>
    <w:p w14:paraId="2BA90329" w14:textId="7742EAB6" w:rsidR="00914506" w:rsidRDefault="00914506" w:rsidP="00914506">
      <w:pPr>
        <w:pStyle w:val="ListBullet"/>
        <w:numPr>
          <w:ilvl w:val="0"/>
          <w:numId w:val="3"/>
        </w:numPr>
        <w:rPr>
          <w:lang w:eastAsia="en-AU"/>
        </w:rPr>
      </w:pPr>
      <w:r>
        <w:rPr>
          <w:lang w:eastAsia="en-AU"/>
        </w:rPr>
        <w:t>Part 1 - Full quality assurance procedures excluding clause 1.6 - examination of design</w:t>
      </w:r>
    </w:p>
    <w:p w14:paraId="5DDCD219" w14:textId="77777777" w:rsidR="007F5F3A" w:rsidRDefault="007F5F3A" w:rsidP="007F5F3A">
      <w:pPr>
        <w:pStyle w:val="ListBullet"/>
        <w:numPr>
          <w:ilvl w:val="0"/>
          <w:numId w:val="3"/>
        </w:numPr>
        <w:rPr>
          <w:lang w:eastAsia="en-AU"/>
        </w:rPr>
      </w:pPr>
      <w:r>
        <w:rPr>
          <w:lang w:eastAsia="en-AU"/>
        </w:rPr>
        <w:t>Part 2 - Type examination procedures</w:t>
      </w:r>
    </w:p>
    <w:p w14:paraId="7B74EEE8" w14:textId="77777777" w:rsidR="007F5F3A" w:rsidRDefault="007F5F3A" w:rsidP="007F5F3A">
      <w:pPr>
        <w:pStyle w:val="ListBullet"/>
        <w:numPr>
          <w:ilvl w:val="0"/>
          <w:numId w:val="3"/>
        </w:numPr>
        <w:rPr>
          <w:lang w:eastAsia="en-AU"/>
        </w:rPr>
      </w:pPr>
      <w:r>
        <w:rPr>
          <w:lang w:eastAsia="en-AU"/>
        </w:rPr>
        <w:t>Part 3 - Verification procedures</w:t>
      </w:r>
    </w:p>
    <w:p w14:paraId="4FFE34B7" w14:textId="77777777" w:rsidR="007F5F3A" w:rsidRDefault="007F5F3A" w:rsidP="007F5F3A">
      <w:pPr>
        <w:pStyle w:val="ListBullet"/>
        <w:numPr>
          <w:ilvl w:val="0"/>
          <w:numId w:val="3"/>
        </w:numPr>
        <w:rPr>
          <w:lang w:eastAsia="en-AU"/>
        </w:rPr>
      </w:pPr>
      <w:r>
        <w:rPr>
          <w:lang w:eastAsia="en-AU"/>
        </w:rPr>
        <w:t>Part 4 - Production quality assurance procedures</w:t>
      </w:r>
    </w:p>
    <w:p w14:paraId="663922D3" w14:textId="28C5FD90" w:rsidR="007F5F3A" w:rsidRDefault="007F5F3A" w:rsidP="007F5F3A">
      <w:pPr>
        <w:pStyle w:val="ListBullet"/>
        <w:numPr>
          <w:ilvl w:val="0"/>
          <w:numId w:val="3"/>
        </w:numPr>
        <w:rPr>
          <w:lang w:eastAsia="en-AU"/>
        </w:rPr>
      </w:pPr>
      <w:r>
        <w:rPr>
          <w:lang w:eastAsia="en-AU"/>
        </w:rPr>
        <w:t>Part 5 - Produ</w:t>
      </w:r>
      <w:r w:rsidR="004716D9">
        <w:rPr>
          <w:lang w:eastAsia="en-AU"/>
        </w:rPr>
        <w:t>ct quality assurance procedures</w:t>
      </w:r>
    </w:p>
    <w:p w14:paraId="0DC3051F" w14:textId="2351E083" w:rsidR="00EB0BCC" w:rsidRDefault="00EB0BCC" w:rsidP="00EB0BCC">
      <w:pPr>
        <w:spacing w:after="120"/>
      </w:pPr>
      <w:r>
        <w:t xml:space="preserve">The relevant conformity assessment procedures </w:t>
      </w:r>
      <w:r w:rsidR="001D26F1">
        <w:t xml:space="preserve">for IVDs </w:t>
      </w:r>
      <w:r>
        <w:t>are:</w:t>
      </w:r>
    </w:p>
    <w:p w14:paraId="7DAC65DF" w14:textId="77777777" w:rsidR="00914506" w:rsidRDefault="00914506" w:rsidP="00914506">
      <w:pPr>
        <w:pStyle w:val="ListBullet"/>
        <w:numPr>
          <w:ilvl w:val="0"/>
          <w:numId w:val="3"/>
        </w:numPr>
        <w:rPr>
          <w:lang w:eastAsia="en-AU"/>
        </w:rPr>
      </w:pPr>
      <w:r>
        <w:rPr>
          <w:lang w:eastAsia="en-AU"/>
        </w:rPr>
        <w:t>Part 1 - Full quality assurance procedures including clause 1.6 - examination of design</w:t>
      </w:r>
    </w:p>
    <w:p w14:paraId="59CD1937" w14:textId="77777777" w:rsidR="00914506" w:rsidRDefault="00914506" w:rsidP="00914506">
      <w:pPr>
        <w:pStyle w:val="ListBullet"/>
        <w:numPr>
          <w:ilvl w:val="0"/>
          <w:numId w:val="3"/>
        </w:numPr>
        <w:rPr>
          <w:lang w:eastAsia="en-AU"/>
        </w:rPr>
      </w:pPr>
      <w:r>
        <w:rPr>
          <w:lang w:eastAsia="en-AU"/>
        </w:rPr>
        <w:t>Part 1 - Full quality assurance procedures excluding clause 1.6 - examination of design</w:t>
      </w:r>
    </w:p>
    <w:p w14:paraId="05C39B71" w14:textId="77777777" w:rsidR="00EB0BCC" w:rsidRDefault="00EB0BCC" w:rsidP="00EB0BCC">
      <w:pPr>
        <w:pStyle w:val="ListBullet"/>
        <w:numPr>
          <w:ilvl w:val="0"/>
          <w:numId w:val="3"/>
        </w:numPr>
        <w:rPr>
          <w:lang w:eastAsia="en-AU"/>
        </w:rPr>
      </w:pPr>
      <w:r>
        <w:rPr>
          <w:lang w:eastAsia="en-AU"/>
        </w:rPr>
        <w:t>Part 2 - Type examination procedures</w:t>
      </w:r>
    </w:p>
    <w:p w14:paraId="0093079D" w14:textId="0C269522" w:rsidR="00EB0BCC" w:rsidRDefault="00EB0BCC" w:rsidP="004272C4">
      <w:pPr>
        <w:pStyle w:val="ListBullet"/>
        <w:numPr>
          <w:ilvl w:val="0"/>
          <w:numId w:val="3"/>
        </w:numPr>
        <w:rPr>
          <w:lang w:eastAsia="en-AU"/>
        </w:rPr>
      </w:pPr>
      <w:r>
        <w:rPr>
          <w:lang w:eastAsia="en-AU"/>
        </w:rPr>
        <w:t>Part 4 - Production quality assurance procedures</w:t>
      </w:r>
    </w:p>
    <w:p w14:paraId="38F9EA65" w14:textId="6DD5F8AF" w:rsidR="007F5F3A" w:rsidRPr="00F67BE2" w:rsidRDefault="007F5F3A" w:rsidP="007F5F3A">
      <w:pPr>
        <w:pStyle w:val="Heading3"/>
      </w:pPr>
      <w:bookmarkStart w:id="17" w:name="_Toc955306"/>
      <w:bookmarkStart w:id="18" w:name="_Toc75891344"/>
      <w:r w:rsidRPr="00AD7281">
        <w:t>Medical devices</w:t>
      </w:r>
      <w:bookmarkEnd w:id="17"/>
      <w:bookmarkEnd w:id="18"/>
    </w:p>
    <w:p w14:paraId="6E21CAEC" w14:textId="1524429D" w:rsidR="007F5F3A" w:rsidRDefault="007F5F3A" w:rsidP="007F5F3A">
      <w:r>
        <w:t xml:space="preserve">The scope of medical devices included in a determination will be specified using </w:t>
      </w:r>
      <w:r w:rsidR="006B2F6A">
        <w:t xml:space="preserve">the </w:t>
      </w:r>
      <w:r>
        <w:t>list of codes and corresponding types of devices</w:t>
      </w:r>
      <w:r w:rsidR="001D2BF5">
        <w:t>/technologies</w:t>
      </w:r>
      <w:r>
        <w:t xml:space="preserve"> </w:t>
      </w:r>
      <w:r w:rsidR="001D2BF5">
        <w:t xml:space="preserve">that are defined </w:t>
      </w:r>
      <w:r>
        <w:t xml:space="preserve">in the EU’s </w:t>
      </w:r>
      <w:hyperlink r:id="rId22" w:history="1">
        <w:r w:rsidRPr="00CE3280">
          <w:rPr>
            <w:rStyle w:val="Hyperlink"/>
          </w:rPr>
          <w:t>Commission Implementing Regulation (EU) 2017/2185</w:t>
        </w:r>
      </w:hyperlink>
      <w:r>
        <w:t xml:space="preserve">. Annex I of </w:t>
      </w:r>
      <w:hyperlink r:id="rId23" w:history="1">
        <w:r w:rsidRPr="00B81B83">
          <w:rPr>
            <w:rStyle w:val="Hyperlink"/>
          </w:rPr>
          <w:t>EU Regulation 2017/2185</w:t>
        </w:r>
      </w:hyperlink>
      <w:r>
        <w:t xml:space="preserve"> </w:t>
      </w:r>
      <w:r w:rsidR="00381595">
        <w:t>defines</w:t>
      </w:r>
      <w:r>
        <w:t xml:space="preserve"> the codes and corresponding device types for non-IVD medical devices and Annex II </w:t>
      </w:r>
      <w:r w:rsidR="00381595">
        <w:t>defines</w:t>
      </w:r>
      <w:r>
        <w:t xml:space="preserve"> </w:t>
      </w:r>
      <w:r w:rsidR="006A6E1F">
        <w:t xml:space="preserve">the codes and corresponding device types for </w:t>
      </w:r>
      <w:r>
        <w:t>IVDs.</w:t>
      </w:r>
    </w:p>
    <w:p w14:paraId="3BD17AB2" w14:textId="3475E858" w:rsidR="007F5F3A" w:rsidRDefault="007F5F3A" w:rsidP="007F5F3A">
      <w:pPr>
        <w:pStyle w:val="Heading2"/>
      </w:pPr>
      <w:bookmarkStart w:id="19" w:name="_Toc955307"/>
      <w:bookmarkStart w:id="20" w:name="_Toc75891345"/>
      <w:r>
        <w:t>Application and determination process</w:t>
      </w:r>
      <w:bookmarkEnd w:id="19"/>
      <w:bookmarkEnd w:id="20"/>
    </w:p>
    <w:p w14:paraId="3D0C7F0D" w14:textId="58080101" w:rsidR="00C15D26" w:rsidRDefault="00631BFB" w:rsidP="007555A9">
      <w:pPr>
        <w:pStyle w:val="Heading3"/>
      </w:pPr>
      <w:bookmarkStart w:id="21" w:name="_Toc75891346"/>
      <w:r>
        <w:t>Assessment Program Cycle</w:t>
      </w:r>
      <w:bookmarkEnd w:id="21"/>
    </w:p>
    <w:p w14:paraId="461B6B70" w14:textId="3D154CDB" w:rsidR="00B97318" w:rsidRPr="00B97318" w:rsidRDefault="00B97318" w:rsidP="00B97318">
      <w:r>
        <w:t>The assessment program cycle is shown in Figure 1 below.</w:t>
      </w:r>
    </w:p>
    <w:p w14:paraId="6A1831A5" w14:textId="6BCA587E" w:rsidR="00877AAE" w:rsidRDefault="00877AAE" w:rsidP="00B81B83">
      <w:pPr>
        <w:jc w:val="center"/>
      </w:pPr>
      <w:r>
        <w:object w:dxaOrig="6306" w:dyaOrig="4260" w14:anchorId="2DC14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213.75pt" o:ole="">
            <v:imagedata r:id="rId24" o:title=""/>
          </v:shape>
          <o:OLEObject Type="Embed" ProgID="Word.Document.12" ShapeID="_x0000_i1025" DrawAspect="Content" ObjectID="_1686575509" r:id="rId25">
            <o:FieldCodes>\s</o:FieldCodes>
          </o:OLEObject>
        </w:object>
      </w:r>
    </w:p>
    <w:p w14:paraId="2823A9F9" w14:textId="3FF7E91F" w:rsidR="00D5109A" w:rsidRDefault="00877AAE" w:rsidP="00B81B83">
      <w:pPr>
        <w:pStyle w:val="Figuretitle"/>
        <w:jc w:val="center"/>
      </w:pPr>
      <w:r>
        <w:t xml:space="preserve">Figure </w:t>
      </w:r>
      <w:r w:rsidR="00CD5431">
        <w:fldChar w:fldCharType="begin"/>
      </w:r>
      <w:r w:rsidR="00CD5431">
        <w:instrText xml:space="preserve"> SEQ Figure \* ARABIC </w:instrText>
      </w:r>
      <w:r w:rsidR="00CD5431">
        <w:fldChar w:fldCharType="separate"/>
      </w:r>
      <w:r w:rsidR="00CB455A">
        <w:rPr>
          <w:noProof/>
        </w:rPr>
        <w:t>1</w:t>
      </w:r>
      <w:r w:rsidR="00CD5431">
        <w:rPr>
          <w:noProof/>
        </w:rPr>
        <w:fldChar w:fldCharType="end"/>
      </w:r>
      <w:r>
        <w:t xml:space="preserve"> Four year Assessment Program Cycle</w:t>
      </w:r>
    </w:p>
    <w:p w14:paraId="733C4A25" w14:textId="5C4A152E" w:rsidR="00300B3A" w:rsidRDefault="00832A92" w:rsidP="00C6369D">
      <w:r>
        <w:t>A</w:t>
      </w:r>
      <w:r w:rsidR="00B97318">
        <w:t xml:space="preserve">n initial Australian conformity assessment body determination </w:t>
      </w:r>
      <w:r>
        <w:t xml:space="preserve">will be </w:t>
      </w:r>
      <w:r w:rsidR="00B97318">
        <w:t>valid for 4 years</w:t>
      </w:r>
      <w:r>
        <w:t>, during which</w:t>
      </w:r>
      <w:r w:rsidR="00B97318">
        <w:t xml:space="preserve"> the TGA will </w:t>
      </w:r>
      <w:r w:rsidR="003524FA">
        <w:t>monitor</w:t>
      </w:r>
      <w:r>
        <w:t xml:space="preserve"> performance</w:t>
      </w:r>
      <w:r w:rsidR="00B97318">
        <w:t>.</w:t>
      </w:r>
      <w:r w:rsidR="00A45468">
        <w:t xml:space="preserve"> </w:t>
      </w:r>
      <w:r>
        <w:t xml:space="preserve">Separate </w:t>
      </w:r>
      <w:r w:rsidR="005B70B5">
        <w:t>guideline</w:t>
      </w:r>
      <w:r>
        <w:t>s</w:t>
      </w:r>
      <w:r w:rsidR="00FD5863">
        <w:t xml:space="preserve"> </w:t>
      </w:r>
      <w:r w:rsidR="006B2F6A">
        <w:t>detail</w:t>
      </w:r>
      <w:r w:rsidR="00FD5863">
        <w:t xml:space="preserve"> the requirements for </w:t>
      </w:r>
      <w:r w:rsidR="00D45961">
        <w:t xml:space="preserve">Australian </w:t>
      </w:r>
      <w:r w:rsidR="00FD5863">
        <w:t xml:space="preserve">CABs </w:t>
      </w:r>
      <w:r w:rsidR="006B2F6A">
        <w:t xml:space="preserve">once </w:t>
      </w:r>
      <w:r w:rsidR="00FD5863">
        <w:t xml:space="preserve">a determination </w:t>
      </w:r>
      <w:r w:rsidR="006B2F6A">
        <w:t xml:space="preserve">has been made, </w:t>
      </w:r>
      <w:r w:rsidR="00FD5863">
        <w:t xml:space="preserve">and </w:t>
      </w:r>
      <w:r w:rsidR="00541028">
        <w:t xml:space="preserve">for </w:t>
      </w:r>
      <w:r w:rsidR="00FD5863">
        <w:t xml:space="preserve">the </w:t>
      </w:r>
      <w:r w:rsidR="00541028">
        <w:t xml:space="preserve">ongoing </w:t>
      </w:r>
      <w:r w:rsidR="00FD5863">
        <w:t xml:space="preserve">monitoring activities undertaken by the TGA. </w:t>
      </w:r>
      <w:r w:rsidR="006B2F6A">
        <w:t>You</w:t>
      </w:r>
      <w:r w:rsidR="00FD5863">
        <w:t xml:space="preserve"> </w:t>
      </w:r>
      <w:r w:rsidR="006D4879">
        <w:t xml:space="preserve">should </w:t>
      </w:r>
      <w:r w:rsidR="00FD5863">
        <w:t>refer to Part 4A of the MD Regulations for the requirements relate</w:t>
      </w:r>
      <w:r w:rsidR="00AF1B3F">
        <w:t>d</w:t>
      </w:r>
      <w:r w:rsidR="00FD5863">
        <w:t xml:space="preserve"> to </w:t>
      </w:r>
      <w:r w:rsidR="00541028">
        <w:t>monitoring</w:t>
      </w:r>
      <w:r w:rsidR="00FD5863">
        <w:t>.</w:t>
      </w:r>
    </w:p>
    <w:p w14:paraId="2BF98938" w14:textId="28B86F78" w:rsidR="007F5F3A" w:rsidRDefault="007F5F3A" w:rsidP="00EE36C5">
      <w:pPr>
        <w:pStyle w:val="Heading3"/>
      </w:pPr>
      <w:bookmarkStart w:id="22" w:name="_Toc955308"/>
      <w:bookmarkStart w:id="23" w:name="_Toc75891347"/>
      <w:r>
        <w:t>Pre-</w:t>
      </w:r>
      <w:r w:rsidR="00E513B1">
        <w:t xml:space="preserve">application </w:t>
      </w:r>
      <w:r>
        <w:t>meetings</w:t>
      </w:r>
      <w:bookmarkEnd w:id="22"/>
      <w:bookmarkEnd w:id="23"/>
    </w:p>
    <w:p w14:paraId="394CD3A0" w14:textId="45C5F89D" w:rsidR="007F5F3A" w:rsidRDefault="007F5F3A" w:rsidP="00A21BC7">
      <w:pPr>
        <w:spacing w:after="120"/>
      </w:pPr>
      <w:r>
        <w:t xml:space="preserve">Prior to submitting an application, </w:t>
      </w:r>
      <w:r w:rsidR="001B1794">
        <w:t>it is</w:t>
      </w:r>
      <w:r>
        <w:t xml:space="preserve"> recommend</w:t>
      </w:r>
      <w:r w:rsidR="001B1794">
        <w:t>ed</w:t>
      </w:r>
      <w:r>
        <w:t xml:space="preserve"> that </w:t>
      </w:r>
      <w:r w:rsidR="006B2F6A">
        <w:t xml:space="preserve">your company arrange </w:t>
      </w:r>
      <w:r w:rsidR="00832A92">
        <w:t xml:space="preserve">a pre-application meeting to </w:t>
      </w:r>
      <w:r>
        <w:t>discuss the</w:t>
      </w:r>
      <w:r w:rsidR="00796BCA">
        <w:t xml:space="preserve"> </w:t>
      </w:r>
      <w:r w:rsidR="00DE358E">
        <w:t>requirements for a determination,</w:t>
      </w:r>
      <w:r>
        <w:t xml:space="preserve"> </w:t>
      </w:r>
      <w:r w:rsidR="00DE358E">
        <w:t xml:space="preserve">the </w:t>
      </w:r>
      <w:r>
        <w:t>assessment process</w:t>
      </w:r>
      <w:r w:rsidR="006D4879">
        <w:t>,</w:t>
      </w:r>
      <w:r w:rsidR="00796BCA">
        <w:t xml:space="preserve"> and </w:t>
      </w:r>
      <w:r w:rsidR="006D4879">
        <w:t xml:space="preserve">the </w:t>
      </w:r>
      <w:r>
        <w:t xml:space="preserve">obligations </w:t>
      </w:r>
      <w:r w:rsidR="00796BCA">
        <w:t xml:space="preserve">that must be </w:t>
      </w:r>
      <w:r w:rsidR="006D4879">
        <w:t xml:space="preserve">fulfilled </w:t>
      </w:r>
      <w:r w:rsidR="00796BCA">
        <w:t xml:space="preserve">by employees </w:t>
      </w:r>
      <w:r>
        <w:t xml:space="preserve">of </w:t>
      </w:r>
      <w:r w:rsidR="00796BCA">
        <w:t xml:space="preserve">the </w:t>
      </w:r>
      <w:r>
        <w:t>Australian CAB.</w:t>
      </w:r>
    </w:p>
    <w:p w14:paraId="535F7C29" w14:textId="6BCC1323" w:rsidR="007F5F3A" w:rsidRDefault="007F5F3A" w:rsidP="007F5F3A">
      <w:pPr>
        <w:spacing w:before="240"/>
      </w:pPr>
      <w:r>
        <w:t xml:space="preserve">To request a </w:t>
      </w:r>
      <w:r w:rsidR="00815D3A">
        <w:t xml:space="preserve">pre-application </w:t>
      </w:r>
      <w:r>
        <w:t xml:space="preserve">meeting with </w:t>
      </w:r>
      <w:r w:rsidR="00832A92">
        <w:t>the</w:t>
      </w:r>
      <w:r>
        <w:t xml:space="preserve"> TGA, please email </w:t>
      </w:r>
      <w:hyperlink r:id="rId26" w:history="1">
        <w:r w:rsidRPr="00BE4B79">
          <w:rPr>
            <w:rStyle w:val="Hyperlink"/>
          </w:rPr>
          <w:t>AUCAB@health.gov.au</w:t>
        </w:r>
      </w:hyperlink>
      <w:r>
        <w:t>.</w:t>
      </w:r>
    </w:p>
    <w:p w14:paraId="112B2556" w14:textId="499814D9" w:rsidR="007F5F3A" w:rsidRDefault="007F5F3A" w:rsidP="007F5F3A">
      <w:pPr>
        <w:pStyle w:val="Heading3"/>
      </w:pPr>
      <w:bookmarkStart w:id="24" w:name="_Toc955309"/>
      <w:bookmarkStart w:id="25" w:name="_Toc75891348"/>
      <w:r w:rsidRPr="009B1C22">
        <w:t>How to apply</w:t>
      </w:r>
      <w:bookmarkEnd w:id="24"/>
      <w:bookmarkEnd w:id="25"/>
    </w:p>
    <w:p w14:paraId="11B174F4" w14:textId="36B9E414" w:rsidR="00A97D61" w:rsidRDefault="007F5F3A" w:rsidP="007F5F3A">
      <w:r>
        <w:t xml:space="preserve">Instructions </w:t>
      </w:r>
      <w:r w:rsidR="00832A92">
        <w:t>on completing</w:t>
      </w:r>
      <w:r w:rsidR="00815D3A">
        <w:t xml:space="preserve"> and submitting </w:t>
      </w:r>
      <w:r w:rsidR="00832A92">
        <w:t>the</w:t>
      </w:r>
      <w:r w:rsidR="00815D3A">
        <w:t xml:space="preserve"> on-line application form and </w:t>
      </w:r>
      <w:r>
        <w:t>supporting documentation</w:t>
      </w:r>
      <w:r w:rsidR="00815D3A">
        <w:t>,</w:t>
      </w:r>
      <w:r>
        <w:t xml:space="preserve"> to the TGA, and for </w:t>
      </w:r>
      <w:r w:rsidR="00815D3A">
        <w:t xml:space="preserve">the </w:t>
      </w:r>
      <w:r>
        <w:t>payment of fees, are provided below.</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9351D" w:rsidRPr="005162F9" w14:paraId="7C7045FB" w14:textId="77777777" w:rsidTr="005067FD">
        <w:trPr>
          <w:trHeight w:val="1206"/>
        </w:trPr>
        <w:tc>
          <w:tcPr>
            <w:tcW w:w="1276" w:type="dxa"/>
            <w:vAlign w:val="center"/>
          </w:tcPr>
          <w:p w14:paraId="451D0247" w14:textId="77777777" w:rsidR="0069351D" w:rsidRPr="005162F9" w:rsidRDefault="0069351D" w:rsidP="005067FD">
            <w:pPr>
              <w:spacing w:before="0"/>
              <w:rPr>
                <w:sz w:val="20"/>
              </w:rPr>
            </w:pPr>
            <w:r w:rsidRPr="005162F9">
              <w:rPr>
                <w:noProof/>
                <w:sz w:val="20"/>
                <w:lang w:eastAsia="en-AU"/>
              </w:rPr>
              <w:drawing>
                <wp:inline distT="0" distB="0" distL="0" distR="0" wp14:anchorId="7A39AEAF" wp14:editId="11EF5D3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5D201D4" w14:textId="55EFA009" w:rsidR="0069351D" w:rsidRDefault="0069351D" w:rsidP="0069351D">
            <w:r w:rsidRPr="00D2684D">
              <w:rPr>
                <w:b/>
              </w:rPr>
              <w:t xml:space="preserve">Before commencing an application, </w:t>
            </w:r>
            <w:r w:rsidR="00B45B92">
              <w:rPr>
                <w:b/>
              </w:rPr>
              <w:t>you</w:t>
            </w:r>
            <w:r w:rsidRPr="00D2684D">
              <w:rPr>
                <w:b/>
              </w:rPr>
              <w:t xml:space="preserve"> will need to obtain a TGA Client ID</w:t>
            </w:r>
            <w:r w:rsidRPr="0069351D">
              <w:t>.</w:t>
            </w:r>
          </w:p>
          <w:p w14:paraId="198AC9E6" w14:textId="058E7E81" w:rsidR="0069351D" w:rsidRPr="005162F9" w:rsidRDefault="0069351D" w:rsidP="00BB4F79">
            <w:r>
              <w:t>F</w:t>
            </w:r>
            <w:r w:rsidRPr="0069351D">
              <w:t xml:space="preserve">ollow the instructions at </w:t>
            </w:r>
            <w:hyperlink r:id="rId27" w:history="1">
              <w:r w:rsidRPr="00965BEE">
                <w:rPr>
                  <w:rStyle w:val="Hyperlink"/>
                </w:rPr>
                <w:t>https://www.tga.gov.au/tga-business-services-getting-started-tga</w:t>
              </w:r>
            </w:hyperlink>
            <w:r>
              <w:t xml:space="preserve"> </w:t>
            </w:r>
            <w:r w:rsidRPr="0069351D">
              <w:t xml:space="preserve">to apply for </w:t>
            </w:r>
            <w:r w:rsidR="0090278B">
              <w:t xml:space="preserve">a Client identification number by completing an </w:t>
            </w:r>
            <w:hyperlink r:id="rId28" w:history="1">
              <w:r w:rsidR="0090278B" w:rsidRPr="0090278B">
                <w:rPr>
                  <w:rStyle w:val="Hyperlink"/>
                </w:rPr>
                <w:t>Organisation details form</w:t>
              </w:r>
            </w:hyperlink>
            <w:r w:rsidR="0090278B">
              <w:t>. E</w:t>
            </w:r>
            <w:r w:rsidR="0090278B" w:rsidRPr="0090278B">
              <w:t xml:space="preserve">nsure you select ‘Agent’ as the organisation role and explicitly identify your organisation as a potential </w:t>
            </w:r>
            <w:r w:rsidR="00BB4F79">
              <w:t xml:space="preserve">Australian </w:t>
            </w:r>
            <w:r w:rsidR="0090278B" w:rsidRPr="0090278B">
              <w:t>CAB at the time of submission.</w:t>
            </w:r>
          </w:p>
        </w:tc>
      </w:tr>
    </w:tbl>
    <w:p w14:paraId="31759DAB" w14:textId="43A2F9A4" w:rsidR="007F5F3A" w:rsidRPr="009565CC" w:rsidRDefault="009B1C22" w:rsidP="00B97318">
      <w:pPr>
        <w:pStyle w:val="Heading3"/>
      </w:pPr>
      <w:bookmarkStart w:id="26" w:name="_Toc955310"/>
      <w:bookmarkStart w:id="27" w:name="_Toc75891349"/>
      <w:r>
        <w:t xml:space="preserve">How to fill </w:t>
      </w:r>
      <w:r w:rsidR="007D07F7">
        <w:t xml:space="preserve">in </w:t>
      </w:r>
      <w:r>
        <w:t>the app</w:t>
      </w:r>
      <w:r w:rsidR="007F5F3A" w:rsidRPr="009565CC">
        <w:t>lication form</w:t>
      </w:r>
      <w:bookmarkEnd w:id="26"/>
      <w:bookmarkEnd w:id="27"/>
    </w:p>
    <w:p w14:paraId="646077C9" w14:textId="5D2FDBE4" w:rsidR="00801A68" w:rsidRDefault="007F5F3A" w:rsidP="004876AD">
      <w:r>
        <w:t xml:space="preserve">You must use the </w:t>
      </w:r>
      <w:hyperlink r:id="rId29" w:history="1">
        <w:r w:rsidR="00D75B93" w:rsidRPr="00C6369D">
          <w:rPr>
            <w:rStyle w:val="Hyperlink"/>
          </w:rPr>
          <w:t xml:space="preserve">on-line </w:t>
        </w:r>
        <w:r w:rsidRPr="00C6369D">
          <w:rPr>
            <w:rStyle w:val="Hyperlink"/>
          </w:rPr>
          <w:t>application form</w:t>
        </w:r>
      </w:hyperlink>
      <w:r w:rsidR="00D75B93" w:rsidRPr="001E5038">
        <w:t xml:space="preserve">. </w:t>
      </w:r>
      <w:r w:rsidR="0090278B">
        <w:t>Use Google Chrome as the web browser to complete this form. Other browsers may not support the functionality of the form. The form</w:t>
      </w:r>
      <w:r w:rsidR="00D75B93">
        <w:t xml:space="preserve"> </w:t>
      </w:r>
      <w:r>
        <w:t xml:space="preserve">is to be completed and signed </w:t>
      </w:r>
      <w:r w:rsidR="00B45B92">
        <w:t xml:space="preserve">electronically </w:t>
      </w:r>
      <w:r>
        <w:t>by a person</w:t>
      </w:r>
      <w:r w:rsidR="00D75B93">
        <w:t xml:space="preserve">, </w:t>
      </w:r>
      <w:r w:rsidR="006D4879">
        <w:t>who has</w:t>
      </w:r>
      <w:r>
        <w:t xml:space="preserve"> </w:t>
      </w:r>
      <w:r w:rsidR="00DE358E">
        <w:t xml:space="preserve">the relevant </w:t>
      </w:r>
      <w:r>
        <w:t xml:space="preserve">authority </w:t>
      </w:r>
      <w:r w:rsidR="006D4879">
        <w:t>with</w:t>
      </w:r>
      <w:r>
        <w:t>in the Australian corporation</w:t>
      </w:r>
      <w:r w:rsidR="00B45B92">
        <w:t xml:space="preserve"> to do so</w:t>
      </w:r>
      <w:r>
        <w:t>.</w:t>
      </w:r>
    </w:p>
    <w:p w14:paraId="51C75006" w14:textId="423E06EC" w:rsidR="00DF6A65" w:rsidRDefault="003C343E" w:rsidP="00586783">
      <w:pPr>
        <w:pStyle w:val="Heading4"/>
      </w:pPr>
      <w:bookmarkStart w:id="28" w:name="_Toc955311"/>
      <w:r w:rsidRPr="004876AD">
        <w:t>Supporting information</w:t>
      </w:r>
    </w:p>
    <w:bookmarkEnd w:id="28"/>
    <w:p w14:paraId="5880C65D" w14:textId="22B361C8" w:rsidR="00FF064D" w:rsidRDefault="002A07B0" w:rsidP="007F5F3A">
      <w:r>
        <w:t>The following d</w:t>
      </w:r>
      <w:r w:rsidR="00FF064D">
        <w:t xml:space="preserve">ocuments </w:t>
      </w:r>
      <w:r>
        <w:t xml:space="preserve">are </w:t>
      </w:r>
      <w:r w:rsidR="00FF064D">
        <w:t xml:space="preserve">to be provided at </w:t>
      </w:r>
      <w:r w:rsidR="00AB56FB">
        <w:t xml:space="preserve">the </w:t>
      </w:r>
      <w:r w:rsidR="00FF064D">
        <w:t>time of submitting the form:</w:t>
      </w:r>
    </w:p>
    <w:p w14:paraId="0F3430B6" w14:textId="233EB3F5" w:rsidR="005974A5" w:rsidRPr="00586783" w:rsidRDefault="005974A5" w:rsidP="005974A5">
      <w:pPr>
        <w:pStyle w:val="ListBullet"/>
      </w:pPr>
      <w:r>
        <w:t>Evidence of the legal status of the Australian corporation and the date obtained.</w:t>
      </w:r>
    </w:p>
    <w:p w14:paraId="7B56418F" w14:textId="2F51CA30" w:rsidR="002A07B0" w:rsidRPr="00586783" w:rsidRDefault="002A07B0" w:rsidP="00586783">
      <w:pPr>
        <w:pStyle w:val="ListBullet"/>
      </w:pPr>
      <w:r w:rsidRPr="00586783">
        <w:t>For the legal entities identified in Section 2, evidence of the legal status of the entities, and date obtained</w:t>
      </w:r>
      <w:r w:rsidR="00586783" w:rsidRPr="00586783">
        <w:t>.</w:t>
      </w:r>
    </w:p>
    <w:p w14:paraId="371DF6C6" w14:textId="4FD7B910" w:rsidR="002A07B0" w:rsidRPr="00586783" w:rsidRDefault="002A07B0" w:rsidP="00586783">
      <w:pPr>
        <w:pStyle w:val="ListBullet"/>
      </w:pPr>
      <w:r w:rsidRPr="00586783">
        <w:t>Proof of adequate (commercial) general liability insurance for the Australian corporation</w:t>
      </w:r>
      <w:r w:rsidR="00586783" w:rsidRPr="00586783">
        <w:t>.</w:t>
      </w:r>
    </w:p>
    <w:p w14:paraId="1390CC18" w14:textId="65E31C81" w:rsidR="002A07B0" w:rsidRPr="00586783" w:rsidRDefault="002A07B0" w:rsidP="00586783">
      <w:pPr>
        <w:pStyle w:val="ListBullet"/>
      </w:pPr>
      <w:r w:rsidRPr="00586783">
        <w:t xml:space="preserve">A brief history of your Australian </w:t>
      </w:r>
      <w:r w:rsidR="002A36E0">
        <w:t>company</w:t>
      </w:r>
      <w:r w:rsidR="00136D8E">
        <w:t>.</w:t>
      </w:r>
    </w:p>
    <w:p w14:paraId="4F1F965F" w14:textId="442D9FF6" w:rsidR="002A07B0" w:rsidRPr="00586783" w:rsidRDefault="002A07B0" w:rsidP="00A20A79">
      <w:pPr>
        <w:pStyle w:val="ListBullet"/>
      </w:pPr>
      <w:r w:rsidRPr="00586783">
        <w:t xml:space="preserve">A function and operational unit chart </w:t>
      </w:r>
    </w:p>
    <w:p w14:paraId="586EE7F2" w14:textId="0E2EE0CB" w:rsidR="002A07B0" w:rsidRPr="00586783" w:rsidRDefault="002A07B0" w:rsidP="00586783">
      <w:pPr>
        <w:pStyle w:val="ListBullet"/>
      </w:pPr>
      <w:r w:rsidRPr="00586783">
        <w:t>Evidence of recognition of being a</w:t>
      </w:r>
      <w:r w:rsidR="00136D8E">
        <w:t>n</w:t>
      </w:r>
      <w:r w:rsidRPr="00586783">
        <w:t xml:space="preserve"> MDSAP </w:t>
      </w:r>
      <w:r w:rsidR="003F6E00">
        <w:t>AO</w:t>
      </w:r>
      <w:r w:rsidRPr="00586783">
        <w:t>, as applicable, for the Applicant in Section 1 or any entity identified in Section 2</w:t>
      </w:r>
      <w:r w:rsidR="00586783" w:rsidRPr="00586783">
        <w:t>.</w:t>
      </w:r>
    </w:p>
    <w:p w14:paraId="31C525AD" w14:textId="4DB5FCAF" w:rsidR="002A07B0" w:rsidRDefault="002A07B0" w:rsidP="00586783">
      <w:pPr>
        <w:pStyle w:val="ListBullet"/>
      </w:pPr>
      <w:r>
        <w:t>Where relevant, the Designation Authority’s designation report under EU 2017/745 and</w:t>
      </w:r>
      <w:r w:rsidR="0086695A">
        <w:t>/or</w:t>
      </w:r>
      <w:r>
        <w:t xml:space="preserve"> EU 2017/746 for any entity </w:t>
      </w:r>
      <w:r w:rsidRPr="001167EE">
        <w:t>identified in Section 2</w:t>
      </w:r>
      <w:r>
        <w:t>.</w:t>
      </w:r>
    </w:p>
    <w:tbl>
      <w:tblPr>
        <w:tblW w:w="9406" w:type="dxa"/>
        <w:tblLayout w:type="fixed"/>
        <w:tblCellMar>
          <w:left w:w="0" w:type="dxa"/>
          <w:right w:w="0" w:type="dxa"/>
        </w:tblCellMar>
        <w:tblLook w:val="04A0" w:firstRow="1" w:lastRow="0" w:firstColumn="1" w:lastColumn="0" w:noHBand="0" w:noVBand="1"/>
      </w:tblPr>
      <w:tblGrid>
        <w:gridCol w:w="1327"/>
        <w:gridCol w:w="8079"/>
      </w:tblGrid>
      <w:tr w:rsidR="00B55B33" w:rsidRPr="005162F9" w14:paraId="2C952462" w14:textId="77777777" w:rsidTr="006F4E37">
        <w:trPr>
          <w:trHeight w:val="991"/>
        </w:trPr>
        <w:tc>
          <w:tcPr>
            <w:tcW w:w="1327" w:type="dxa"/>
            <w:vAlign w:val="center"/>
          </w:tcPr>
          <w:p w14:paraId="08AF183D" w14:textId="77777777" w:rsidR="00B55B33" w:rsidRPr="005A3334" w:rsidRDefault="00B55B33" w:rsidP="007E399C">
            <w:r w:rsidRPr="005A3334">
              <w:rPr>
                <w:noProof/>
                <w:lang w:eastAsia="en-AU"/>
              </w:rPr>
              <w:drawing>
                <wp:inline distT="0" distB="0" distL="0" distR="0" wp14:anchorId="70A1847D" wp14:editId="7F6494C9">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8079" w:type="dxa"/>
            <w:shd w:val="clear" w:color="auto" w:fill="EAEAEA"/>
            <w:tcMar>
              <w:top w:w="170" w:type="dxa"/>
              <w:left w:w="170" w:type="dxa"/>
              <w:bottom w:w="170" w:type="dxa"/>
              <w:right w:w="170" w:type="dxa"/>
            </w:tcMar>
          </w:tcPr>
          <w:p w14:paraId="404184EC" w14:textId="59FCE0FC" w:rsidR="00B55B33" w:rsidRPr="005162F9" w:rsidRDefault="006F4E37" w:rsidP="00A20A79">
            <w:pPr>
              <w:spacing w:before="0"/>
            </w:pPr>
            <w:r>
              <w:t xml:space="preserve">Ensure the required </w:t>
            </w:r>
            <w:r w:rsidR="00B55B33" w:rsidRPr="00B55B33">
              <w:t>supporting documentation</w:t>
            </w:r>
            <w:r>
              <w:t xml:space="preserve"> is assembled and</w:t>
            </w:r>
            <w:r w:rsidR="00B55B33" w:rsidRPr="00B55B33">
              <w:t xml:space="preserve"> in the correct format before starting </w:t>
            </w:r>
            <w:r w:rsidR="006632FE">
              <w:t>the</w:t>
            </w:r>
            <w:r w:rsidR="006632FE" w:rsidRPr="00B55B33">
              <w:t xml:space="preserve"> </w:t>
            </w:r>
            <w:r w:rsidR="006632FE">
              <w:t>on-line application.</w:t>
            </w:r>
            <w:r w:rsidR="00385023">
              <w:t xml:space="preserve"> </w:t>
            </w:r>
            <w:r w:rsidR="00B55B33" w:rsidRPr="00B55B33">
              <w:t xml:space="preserve">Documents will need to be </w:t>
            </w:r>
            <w:r>
              <w:t>attached to the form</w:t>
            </w:r>
            <w:r w:rsidRPr="00B55B33">
              <w:t xml:space="preserve"> </w:t>
            </w:r>
            <w:r w:rsidR="00B55B33" w:rsidRPr="00B55B33">
              <w:t>before the application can be submitted.</w:t>
            </w:r>
            <w:r w:rsidR="00A20A79">
              <w:t xml:space="preserve"> </w:t>
            </w:r>
          </w:p>
        </w:tc>
      </w:tr>
    </w:tbl>
    <w:p w14:paraId="54B4B475" w14:textId="73D8A839" w:rsidR="00A20A79" w:rsidRDefault="007F150E" w:rsidP="007F5F3A">
      <w:r>
        <w:t xml:space="preserve">Your </w:t>
      </w:r>
      <w:r w:rsidR="0069351D">
        <w:t>on-line application form will support up to 50Mb of attachments and no more than 20 documents. Any one document must not exceed 20Mb.</w:t>
      </w:r>
      <w:r w:rsidR="00B55B33">
        <w:t xml:space="preserve"> </w:t>
      </w:r>
      <w:r w:rsidR="00A20A79">
        <w:t>Preface e</w:t>
      </w:r>
      <w:r w:rsidR="00484B65">
        <w:t xml:space="preserve">ach filename with the application’s reference number. If an attachment </w:t>
      </w:r>
      <w:r w:rsidR="00A20A79">
        <w:t>consists of</w:t>
      </w:r>
      <w:r w:rsidR="00484B65">
        <w:t xml:space="preserve"> more than one file then provide the</w:t>
      </w:r>
      <w:r w:rsidR="00CD49C3">
        <w:t>m</w:t>
      </w:r>
      <w:r w:rsidR="00484B65">
        <w:t xml:space="preserve"> as a single </w:t>
      </w:r>
      <w:r w:rsidR="00A20A79">
        <w:t>‘ZIP’</w:t>
      </w:r>
      <w:r w:rsidR="00484B65">
        <w:t xml:space="preserve"> file.</w:t>
      </w:r>
    </w:p>
    <w:p w14:paraId="1F465A1D" w14:textId="1CE97198" w:rsidR="00E23E64" w:rsidRDefault="00E62D58" w:rsidP="007F5F3A">
      <w:r>
        <w:t xml:space="preserve">If you have </w:t>
      </w:r>
      <w:r w:rsidR="00E23E64">
        <w:t>other file formats</w:t>
      </w:r>
      <w:r w:rsidR="00FC466A">
        <w:t>,</w:t>
      </w:r>
      <w:r w:rsidR="0069351D">
        <w:t xml:space="preserve"> larger files </w:t>
      </w:r>
      <w:r>
        <w:t>that need to be submitted</w:t>
      </w:r>
      <w:r w:rsidR="00B55B33">
        <w:t>,</w:t>
      </w:r>
      <w:r>
        <w:t xml:space="preserve"> </w:t>
      </w:r>
      <w:r w:rsidR="00FC466A">
        <w:t xml:space="preserve">or are </w:t>
      </w:r>
      <w:r w:rsidR="00CD49C3">
        <w:t xml:space="preserve">having </w:t>
      </w:r>
      <w:r w:rsidR="00FC466A">
        <w:t xml:space="preserve">difficulties, </w:t>
      </w:r>
      <w:r>
        <w:t xml:space="preserve">please </w:t>
      </w:r>
      <w:r w:rsidR="00CD49C3">
        <w:t>contact</w:t>
      </w:r>
      <w:r>
        <w:t xml:space="preserve"> the </w:t>
      </w:r>
      <w:r w:rsidR="00C76758">
        <w:t>TGA</w:t>
      </w:r>
      <w:r w:rsidR="006D013E">
        <w:t xml:space="preserve"> a</w:t>
      </w:r>
      <w:r>
        <w:t xml:space="preserve">t </w:t>
      </w:r>
      <w:hyperlink r:id="rId30" w:history="1">
        <w:r w:rsidR="004876AD" w:rsidRPr="004876AD">
          <w:rPr>
            <w:rStyle w:val="Hyperlink"/>
          </w:rPr>
          <w:t>AUCAB@health.gov.au</w:t>
        </w:r>
      </w:hyperlink>
      <w:r w:rsidR="002002D1">
        <w:t>.</w:t>
      </w:r>
    </w:p>
    <w:p w14:paraId="396E0B74" w14:textId="023EBFCC" w:rsidR="00C76758" w:rsidRDefault="00967DD8" w:rsidP="00967DD8">
      <w:r>
        <w:t xml:space="preserve">Your company is required to have a number of </w:t>
      </w:r>
      <w:r w:rsidR="00282C36">
        <w:t xml:space="preserve">additional </w:t>
      </w:r>
      <w:r>
        <w:t>documents and records available to demonstrate compliance with Annex VII of the European Directives, as modified by Schedule 3AA</w:t>
      </w:r>
      <w:r w:rsidR="00136D8E">
        <w:t xml:space="preserve">. </w:t>
      </w:r>
      <w:r w:rsidR="00C76758">
        <w:t xml:space="preserve">You do not need to </w:t>
      </w:r>
      <w:r>
        <w:t>provide</w:t>
      </w:r>
      <w:r w:rsidR="00C76758">
        <w:t xml:space="preserve"> these </w:t>
      </w:r>
      <w:r w:rsidR="00924A86">
        <w:t>at the time of submitting the initial application form</w:t>
      </w:r>
      <w:r w:rsidR="00136D8E">
        <w:t>.</w:t>
      </w:r>
    </w:p>
    <w:p w14:paraId="0CD90C85" w14:textId="7CA36A78" w:rsidR="001167EE" w:rsidRDefault="00E62D58" w:rsidP="00586783">
      <w:pPr>
        <w:pStyle w:val="Heading4"/>
      </w:pPr>
      <w:r w:rsidRPr="004876AD">
        <w:t>Declaration and Signature</w:t>
      </w:r>
    </w:p>
    <w:p w14:paraId="4E3B6B01" w14:textId="3744978A" w:rsidR="002E57BE" w:rsidRDefault="00AB56FB">
      <w:r>
        <w:t>A</w:t>
      </w:r>
      <w:r w:rsidR="002E57BE">
        <w:t>pplication</w:t>
      </w:r>
      <w:r>
        <w:t xml:space="preserve">s are not </w:t>
      </w:r>
      <w:r w:rsidR="002E57BE">
        <w:t xml:space="preserve">effective until the </w:t>
      </w:r>
      <w:r w:rsidR="00101876">
        <w:t>application fee has been paid. In making the declaration, you are indicating that you</w:t>
      </w:r>
      <w:r w:rsidR="002E57BE">
        <w:t xml:space="preserve"> have considered the </w:t>
      </w:r>
      <w:r w:rsidR="004D2A3F">
        <w:t xml:space="preserve">Australian </w:t>
      </w:r>
      <w:r w:rsidR="002E57BE">
        <w:t>requirements</w:t>
      </w:r>
      <w:r w:rsidR="00732F56">
        <w:t>,</w:t>
      </w:r>
      <w:r w:rsidR="002E57BE">
        <w:t xml:space="preserve"> </w:t>
      </w:r>
      <w:r w:rsidR="00136C79">
        <w:t xml:space="preserve">and </w:t>
      </w:r>
      <w:r w:rsidR="002E57BE">
        <w:t xml:space="preserve">agree </w:t>
      </w:r>
      <w:r w:rsidR="00732F56">
        <w:t xml:space="preserve">to comply </w:t>
      </w:r>
      <w:r w:rsidR="002E57BE">
        <w:t xml:space="preserve">with those requirements should a determination be </w:t>
      </w:r>
      <w:r w:rsidR="00732F56">
        <w:t>made an</w:t>
      </w:r>
      <w:r w:rsidR="00101876">
        <w:t>d</w:t>
      </w:r>
      <w:r w:rsidR="00732F56">
        <w:t xml:space="preserve"> </w:t>
      </w:r>
      <w:r w:rsidR="002E57BE">
        <w:t>issued</w:t>
      </w:r>
      <w:r w:rsidR="00101876">
        <w:t xml:space="preserve"> to you</w:t>
      </w:r>
      <w:r w:rsidR="002E57BE">
        <w:t>.</w:t>
      </w:r>
    </w:p>
    <w:p w14:paraId="262F4C77" w14:textId="5458A717" w:rsidR="00136D8E" w:rsidRDefault="004D2A3F">
      <w:r>
        <w:t>A</w:t>
      </w:r>
      <w:r w:rsidR="00404239">
        <w:t xml:space="preserve"> number of </w:t>
      </w:r>
      <w:r w:rsidR="00101876">
        <w:t>s</w:t>
      </w:r>
      <w:r w:rsidR="00404239">
        <w:t xml:space="preserve">tandard conditions </w:t>
      </w:r>
      <w:r>
        <w:t>will be</w:t>
      </w:r>
      <w:r w:rsidR="00404239">
        <w:t xml:space="preserve"> applied to </w:t>
      </w:r>
      <w:r>
        <w:t>your</w:t>
      </w:r>
      <w:r w:rsidR="00404239">
        <w:t xml:space="preserve"> </w:t>
      </w:r>
      <w:r w:rsidR="00101876">
        <w:t>d</w:t>
      </w:r>
      <w:r w:rsidR="00404239">
        <w:t>etermination</w:t>
      </w:r>
      <w:r>
        <w:t xml:space="preserve"> when it is issued</w:t>
      </w:r>
      <w:r w:rsidR="00404239">
        <w:t xml:space="preserve">. </w:t>
      </w:r>
      <w:r w:rsidR="002A36E0">
        <w:t>(Refer Division 4A.3 of the Regulations.)</w:t>
      </w:r>
      <w:r w:rsidR="00DC5E86">
        <w:t xml:space="preserve"> </w:t>
      </w:r>
      <w:r w:rsidR="00101876">
        <w:t>In signing the declaration, you</w:t>
      </w:r>
      <w:r w:rsidR="00404239">
        <w:t xml:space="preserve"> </w:t>
      </w:r>
      <w:r>
        <w:t>acknowledg</w:t>
      </w:r>
      <w:r w:rsidR="00AB56FB">
        <w:t>e</w:t>
      </w:r>
      <w:r>
        <w:t xml:space="preserve"> </w:t>
      </w:r>
      <w:r w:rsidR="00404239">
        <w:t xml:space="preserve">that </w:t>
      </w:r>
      <w:r w:rsidR="00586783">
        <w:t>the TGA</w:t>
      </w:r>
      <w:r w:rsidR="00404239">
        <w:t xml:space="preserve"> may impose additional </w:t>
      </w:r>
      <w:r>
        <w:t xml:space="preserve">non-standard </w:t>
      </w:r>
      <w:r w:rsidR="00404239">
        <w:t xml:space="preserve">conditions after consulting with </w:t>
      </w:r>
      <w:r w:rsidR="00101876">
        <w:t>you</w:t>
      </w:r>
      <w:r w:rsidR="00404239">
        <w:t xml:space="preserve"> and p</w:t>
      </w:r>
      <w:r w:rsidR="00E61C64">
        <w:t>rior to issuing a determination</w:t>
      </w:r>
      <w:r w:rsidR="00404239">
        <w:t>.</w:t>
      </w:r>
    </w:p>
    <w:p w14:paraId="57997AB4" w14:textId="0C9E74AE" w:rsidR="007F5F3A" w:rsidRDefault="007F5F3A" w:rsidP="007F5F3A">
      <w:pPr>
        <w:pStyle w:val="Heading4"/>
        <w:rPr>
          <w:rFonts w:cs="Arial"/>
        </w:rPr>
      </w:pPr>
      <w:bookmarkStart w:id="29" w:name="_Declaration_for_paragraph"/>
      <w:bookmarkStart w:id="30" w:name="_Toc955313"/>
      <w:bookmarkEnd w:id="29"/>
      <w:r>
        <w:rPr>
          <w:rFonts w:cs="Arial"/>
        </w:rPr>
        <w:t>How to submit an application</w:t>
      </w:r>
      <w:bookmarkEnd w:id="30"/>
    </w:p>
    <w:p w14:paraId="27D36032" w14:textId="260E3175" w:rsidR="007938BD" w:rsidRDefault="007938BD" w:rsidP="007938BD">
      <w:pPr>
        <w:pStyle w:val="Numberbullet0"/>
      </w:pPr>
      <w:r>
        <w:t xml:space="preserve">A draft application form may be saved and closed at any time. </w:t>
      </w:r>
      <w:r w:rsidR="007535AA">
        <w:t>You</w:t>
      </w:r>
      <w:r>
        <w:t xml:space="preserve"> will be prompted to enter an email address so that a notification can be provided with instructions on how to access the draft form</w:t>
      </w:r>
      <w:r w:rsidR="0099127E">
        <w:t xml:space="preserve"> again</w:t>
      </w:r>
      <w:r>
        <w:t>.</w:t>
      </w:r>
    </w:p>
    <w:p w14:paraId="02EE91AD" w14:textId="78683883" w:rsidR="007938BD" w:rsidRDefault="00A45468" w:rsidP="007938BD">
      <w:pPr>
        <w:pStyle w:val="Numberbullet0"/>
      </w:pPr>
      <w:r>
        <w:t xml:space="preserve">To </w:t>
      </w:r>
      <w:r w:rsidR="007938BD">
        <w:t xml:space="preserve">share the draft application with another user, </w:t>
      </w:r>
      <w:r w:rsidR="007535AA">
        <w:t xml:space="preserve">you </w:t>
      </w:r>
      <w:r w:rsidR="007938BD">
        <w:t>will be prompted to enter the email address of the other user.</w:t>
      </w:r>
    </w:p>
    <w:p w14:paraId="4FDA85B6" w14:textId="4C391DDE" w:rsidR="007938BD" w:rsidRDefault="007938BD" w:rsidP="00136D8E">
      <w:pPr>
        <w:pStyle w:val="Numberbullet0"/>
      </w:pPr>
      <w:r>
        <w:t xml:space="preserve">A draft form may be opened using the link provided in the notification email or by selecting “Open Saved Form” </w:t>
      </w:r>
      <w:r w:rsidR="00C76758">
        <w:t>o</w:t>
      </w:r>
      <w:r>
        <w:t xml:space="preserve">n the on-line application </w:t>
      </w:r>
      <w:r w:rsidR="00C76758">
        <w:t xml:space="preserve">introduction </w:t>
      </w:r>
      <w:r>
        <w:t xml:space="preserve">page. </w:t>
      </w:r>
      <w:r w:rsidR="00DC5E86">
        <w:t>You will be</w:t>
      </w:r>
      <w:r>
        <w:t xml:space="preserve"> prompted to enter the </w:t>
      </w:r>
      <w:r w:rsidR="007535AA">
        <w:t xml:space="preserve">application </w:t>
      </w:r>
      <w:r>
        <w:t xml:space="preserve">reference </w:t>
      </w:r>
      <w:r w:rsidR="007535AA">
        <w:t>code</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50B32" w:rsidRPr="005162F9" w14:paraId="29C22DCC" w14:textId="77777777" w:rsidTr="00950B32">
        <w:trPr>
          <w:trHeight w:val="1206"/>
        </w:trPr>
        <w:tc>
          <w:tcPr>
            <w:tcW w:w="1276" w:type="dxa"/>
            <w:vAlign w:val="center"/>
          </w:tcPr>
          <w:p w14:paraId="74F5C095" w14:textId="77777777" w:rsidR="00950B32" w:rsidRPr="005162F9" w:rsidRDefault="00950B32" w:rsidP="00950B32">
            <w:pPr>
              <w:spacing w:before="0"/>
              <w:rPr>
                <w:sz w:val="20"/>
              </w:rPr>
            </w:pPr>
            <w:r w:rsidRPr="005162F9">
              <w:rPr>
                <w:noProof/>
                <w:sz w:val="20"/>
                <w:lang w:eastAsia="en-AU"/>
              </w:rPr>
              <w:drawing>
                <wp:inline distT="0" distB="0" distL="0" distR="0" wp14:anchorId="1963B0B8" wp14:editId="207F52DF">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BDA4B8D" w14:textId="6843C293" w:rsidR="00950B32" w:rsidRDefault="00950B32" w:rsidP="00950B32">
            <w:r>
              <w:t>Draft application forms must be started, completed and subm</w:t>
            </w:r>
            <w:r w:rsidR="007535AA">
              <w:t>itted within a 3 month period</w:t>
            </w:r>
            <w:r w:rsidR="0099127E">
              <w:t>, or the partially completed contents will be lost</w:t>
            </w:r>
            <w:r w:rsidR="007535AA">
              <w:t>.</w:t>
            </w:r>
          </w:p>
          <w:p w14:paraId="38F8542E" w14:textId="5BAA0EE6" w:rsidR="00950B32" w:rsidRPr="005162F9" w:rsidRDefault="00950B32" w:rsidP="00950B32">
            <w:r>
              <w:t xml:space="preserve">A Saved Form </w:t>
            </w:r>
            <w:r w:rsidR="00820365">
              <w:t>e</w:t>
            </w:r>
            <w:r>
              <w:t>mail notification will advise the date and time that the draft form will be deleted from the system. A reminder</w:t>
            </w:r>
            <w:r w:rsidR="007535AA">
              <w:t xml:space="preserve"> notification is not provided.</w:t>
            </w:r>
          </w:p>
        </w:tc>
      </w:tr>
    </w:tbl>
    <w:p w14:paraId="0AD1C0C2" w14:textId="5DA4DC6B" w:rsidR="009008FB" w:rsidRDefault="00950B32" w:rsidP="000A64BA">
      <w:pPr>
        <w:pStyle w:val="Numberbullet0"/>
      </w:pPr>
      <w:r>
        <w:t xml:space="preserve">Ensure that </w:t>
      </w:r>
      <w:r w:rsidR="00FF271C">
        <w:t>e</w:t>
      </w:r>
      <w:r w:rsidR="00252866">
        <w:t>lectronic copies of the</w:t>
      </w:r>
      <w:r w:rsidR="007F5F3A">
        <w:t xml:space="preserve"> supporting documentation</w:t>
      </w:r>
      <w:r w:rsidR="00252866">
        <w:t xml:space="preserve"> </w:t>
      </w:r>
      <w:r>
        <w:t xml:space="preserve">have been uploaded </w:t>
      </w:r>
      <w:r w:rsidR="00252866">
        <w:t>at the time that the application is submitted</w:t>
      </w:r>
      <w:r w:rsidR="00FF271C">
        <w:t>.</w:t>
      </w:r>
      <w:r>
        <w:t xml:space="preserve"> </w:t>
      </w:r>
    </w:p>
    <w:p w14:paraId="6077B6E9" w14:textId="396F7FDA" w:rsidR="00765973" w:rsidRDefault="006E1EE4" w:rsidP="000550F4">
      <w:pPr>
        <w:pStyle w:val="Numberbullet0"/>
        <w:numPr>
          <w:ilvl w:val="0"/>
          <w:numId w:val="0"/>
        </w:numPr>
      </w:pPr>
      <w:r>
        <w:t xml:space="preserve">Once the application is completed and the supporting documentation has been uploaded select the “Submit” </w:t>
      </w:r>
      <w:r w:rsidR="007938BD">
        <w:t>button on the last page of the application</w:t>
      </w:r>
      <w:r w:rsidR="00950B32">
        <w:t xml:space="preserve">. </w:t>
      </w:r>
      <w:r w:rsidR="007535AA">
        <w:t>You will</w:t>
      </w:r>
      <w:r w:rsidR="00950B32">
        <w:t xml:space="preserve"> receive a confirmation notification by email to confirm that the application has been received.</w:t>
      </w:r>
      <w:r w:rsidR="007535AA">
        <w:t xml:space="preserve"> </w:t>
      </w:r>
      <w:r w:rsidR="00252866" w:rsidRPr="00B97519">
        <w:t>If there are any concerns or questions about the application</w:t>
      </w:r>
      <w:r w:rsidR="00AC3222">
        <w:t>,</w:t>
      </w:r>
      <w:r w:rsidR="00252866" w:rsidRPr="00B97519">
        <w:t xml:space="preserve"> please contact the TGA via email at</w:t>
      </w:r>
      <w:r w:rsidR="00765973">
        <w:t xml:space="preserve"> </w:t>
      </w:r>
      <w:hyperlink r:id="rId31" w:history="1">
        <w:r w:rsidR="000C1F48">
          <w:rPr>
            <w:rStyle w:val="Hyperlink"/>
          </w:rPr>
          <w:t>AUCAB@health.gov.au</w:t>
        </w:r>
      </w:hyperlink>
      <w:r w:rsidR="00252866" w:rsidRPr="00B97519">
        <w:t xml:space="preserve">, or through the </w:t>
      </w:r>
      <w:r w:rsidR="007F5F3A" w:rsidRPr="00B97519">
        <w:t>Information Line on 1800 141 144.</w:t>
      </w:r>
      <w:r w:rsidR="00765973" w:rsidRPr="00B97519">
        <w:t xml:space="preserve"> </w:t>
      </w:r>
    </w:p>
    <w:p w14:paraId="5616C339" w14:textId="19CE36E9" w:rsidR="007F5F3A" w:rsidRDefault="00136D8E" w:rsidP="00FA7AEF">
      <w:pPr>
        <w:pStyle w:val="Numberbullet0"/>
        <w:numPr>
          <w:ilvl w:val="0"/>
          <w:numId w:val="0"/>
        </w:numPr>
      </w:pPr>
      <w:r>
        <w:t>The</w:t>
      </w:r>
      <w:r w:rsidR="001B1794">
        <w:t xml:space="preserve"> TGA </w:t>
      </w:r>
      <w:r w:rsidR="003B0E20">
        <w:t xml:space="preserve">will </w:t>
      </w:r>
      <w:r w:rsidR="007F5F3A">
        <w:t xml:space="preserve">send an invoice for payment of the relevant application fee. The application fee should not be paid before the invoice has been </w:t>
      </w:r>
      <w:r w:rsidR="00CD5431">
        <w:t>provided,</w:t>
      </w:r>
      <w:r w:rsidR="00765973">
        <w:t xml:space="preserve"> as the unique </w:t>
      </w:r>
      <w:r w:rsidR="00CD5431">
        <w:t>‘</w:t>
      </w:r>
      <w:r w:rsidR="00765973">
        <w:t xml:space="preserve">application </w:t>
      </w:r>
      <w:r w:rsidR="007535AA">
        <w:t>reference code</w:t>
      </w:r>
      <w:r w:rsidR="00CD5431">
        <w:t>’</w:t>
      </w:r>
      <w:r w:rsidR="007535AA">
        <w:t xml:space="preserve"> </w:t>
      </w:r>
      <w:r w:rsidR="00765973">
        <w:t>must be referenced in the fee payment</w:t>
      </w:r>
      <w:r w:rsidR="00971008">
        <w:t>.</w:t>
      </w:r>
    </w:p>
    <w:p w14:paraId="00B5059F" w14:textId="19924910" w:rsidR="007F5F3A" w:rsidRDefault="003B0E20" w:rsidP="00FA7AEF">
      <w:pPr>
        <w:pStyle w:val="Numberbullet0"/>
        <w:numPr>
          <w:ilvl w:val="0"/>
          <w:numId w:val="0"/>
        </w:numPr>
      </w:pPr>
      <w:r>
        <w:t xml:space="preserve">The </w:t>
      </w:r>
      <w:hyperlink w:anchor="_Assessment_process" w:history="1">
        <w:r w:rsidRPr="003B0E20">
          <w:rPr>
            <w:rStyle w:val="Hyperlink"/>
          </w:rPr>
          <w:t>Assessment Process</w:t>
        </w:r>
      </w:hyperlink>
      <w:r>
        <w:t xml:space="preserve"> section below describes how an </w:t>
      </w:r>
      <w:r w:rsidR="00E61C64">
        <w:t xml:space="preserve">application </w:t>
      </w:r>
      <w:r w:rsidR="005D71B5">
        <w:t xml:space="preserve">will </w:t>
      </w:r>
      <w:r>
        <w:t>be processed after receipt</w:t>
      </w:r>
      <w:r w:rsidR="005D71B5">
        <w:t xml:space="preserve"> of the </w:t>
      </w:r>
      <w:r>
        <w:t>application and payment of the application</w:t>
      </w:r>
      <w:r w:rsidR="00E61C64">
        <w:t xml:space="preserve"> fee.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F271C" w:rsidRPr="005162F9" w14:paraId="6817623D" w14:textId="77777777" w:rsidTr="0023499D">
        <w:trPr>
          <w:trHeight w:val="1206"/>
        </w:trPr>
        <w:tc>
          <w:tcPr>
            <w:tcW w:w="1276" w:type="dxa"/>
            <w:vAlign w:val="center"/>
          </w:tcPr>
          <w:p w14:paraId="3CF82004" w14:textId="77777777" w:rsidR="00FF271C" w:rsidRPr="005162F9" w:rsidRDefault="00FF271C" w:rsidP="0023499D">
            <w:pPr>
              <w:spacing w:before="0"/>
              <w:rPr>
                <w:sz w:val="20"/>
              </w:rPr>
            </w:pPr>
            <w:r w:rsidRPr="005162F9">
              <w:rPr>
                <w:noProof/>
                <w:sz w:val="20"/>
                <w:lang w:eastAsia="en-AU"/>
              </w:rPr>
              <w:drawing>
                <wp:inline distT="0" distB="0" distL="0" distR="0" wp14:anchorId="6420A99B" wp14:editId="54178B48">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6D658C0" w14:textId="2ABE8ED6" w:rsidR="00FF271C" w:rsidRPr="005162F9" w:rsidRDefault="00CC618A" w:rsidP="00A45468">
            <w:r>
              <w:t xml:space="preserve">The review of </w:t>
            </w:r>
            <w:r w:rsidR="00A45468">
              <w:t xml:space="preserve">your </w:t>
            </w:r>
            <w:r>
              <w:t>a</w:t>
            </w:r>
            <w:r w:rsidR="00E61C64">
              <w:t xml:space="preserve">pplication </w:t>
            </w:r>
            <w:r w:rsidR="00FF271C">
              <w:t>will not commence until the application form</w:t>
            </w:r>
            <w:r w:rsidR="00A45468">
              <w:t>,</w:t>
            </w:r>
            <w:r w:rsidR="00E61C64">
              <w:t xml:space="preserve"> </w:t>
            </w:r>
            <w:r w:rsidR="00FF271C">
              <w:t xml:space="preserve">the required supporting information has been submitted, and the relevant application fee has been receipted by </w:t>
            </w:r>
            <w:r>
              <w:t>us</w:t>
            </w:r>
            <w:r w:rsidR="00FF271C">
              <w:t>.</w:t>
            </w:r>
          </w:p>
        </w:tc>
      </w:tr>
    </w:tbl>
    <w:p w14:paraId="53535585" w14:textId="3F522FBA" w:rsidR="007F5F3A" w:rsidRDefault="007F5F3A" w:rsidP="007F5F3A">
      <w:pPr>
        <w:pStyle w:val="Heading3"/>
      </w:pPr>
      <w:bookmarkStart w:id="31" w:name="_Fees_and_charges"/>
      <w:bookmarkStart w:id="32" w:name="_Toc955314"/>
      <w:bookmarkStart w:id="33" w:name="_Toc75891350"/>
      <w:bookmarkEnd w:id="31"/>
      <w:r>
        <w:t>Fees and charges</w:t>
      </w:r>
      <w:bookmarkEnd w:id="32"/>
      <w:bookmarkEnd w:id="33"/>
    </w:p>
    <w:p w14:paraId="057E8FDD" w14:textId="06D3666C" w:rsidR="007F5F3A" w:rsidRDefault="00C31EB9" w:rsidP="00AC598C">
      <w:pPr>
        <w:pStyle w:val="ListBullet"/>
        <w:numPr>
          <w:ilvl w:val="0"/>
          <w:numId w:val="0"/>
        </w:numPr>
      </w:pPr>
      <w:r>
        <w:t>Application</w:t>
      </w:r>
      <w:r w:rsidR="007F5F3A">
        <w:t xml:space="preserve"> and assessment fees are based on </w:t>
      </w:r>
      <w:r w:rsidR="000803B7">
        <w:t xml:space="preserve">the scope of the determination </w:t>
      </w:r>
      <w:r w:rsidR="00CC618A">
        <w:t>you</w:t>
      </w:r>
      <w:r w:rsidR="0099127E">
        <w:t xml:space="preserve"> have applied for</w:t>
      </w:r>
      <w:r w:rsidR="007F5F3A">
        <w:t>. Payment can be made by electronic funds transfer (EFT)</w:t>
      </w:r>
      <w:r w:rsidR="005D71B5">
        <w:t xml:space="preserve"> or</w:t>
      </w:r>
      <w:r w:rsidR="007F5F3A">
        <w:t xml:space="preserve"> credit card (preferred).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F5F3A" w:rsidRPr="00215D48" w14:paraId="2549EE73" w14:textId="77777777" w:rsidTr="00A45468">
        <w:trPr>
          <w:trHeight w:val="767"/>
        </w:trPr>
        <w:tc>
          <w:tcPr>
            <w:tcW w:w="1276" w:type="dxa"/>
            <w:vAlign w:val="center"/>
          </w:tcPr>
          <w:p w14:paraId="0CDF1783" w14:textId="77777777" w:rsidR="007F5F3A" w:rsidRPr="00215D48" w:rsidRDefault="007F5F3A" w:rsidP="007F5F3A">
            <w:pPr>
              <w:spacing w:before="0"/>
              <w:rPr>
                <w:sz w:val="20"/>
              </w:rPr>
            </w:pPr>
            <w:r w:rsidRPr="00215D48">
              <w:rPr>
                <w:noProof/>
                <w:sz w:val="20"/>
                <w:lang w:eastAsia="en-AU"/>
              </w:rPr>
              <w:drawing>
                <wp:inline distT="0" distB="0" distL="0" distR="0" wp14:anchorId="61F37AFB" wp14:editId="54C1E5A5">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CB27547" w14:textId="11F4E875" w:rsidR="007F5F3A" w:rsidRPr="00A45468" w:rsidRDefault="007F5F3A" w:rsidP="00A45468">
            <w:pPr>
              <w:spacing w:after="120"/>
              <w:ind w:left="40"/>
              <w:rPr>
                <w:b/>
              </w:rPr>
            </w:pPr>
            <w:r w:rsidRPr="00081699">
              <w:rPr>
                <w:b/>
              </w:rPr>
              <w:t>Do not pay an</w:t>
            </w:r>
            <w:r w:rsidR="0099127E">
              <w:rPr>
                <w:b/>
              </w:rPr>
              <w:t>y</w:t>
            </w:r>
            <w:r w:rsidRPr="00081699">
              <w:rPr>
                <w:b/>
              </w:rPr>
              <w:t xml:space="preserve"> application or assessment fee</w:t>
            </w:r>
            <w:r w:rsidR="0099127E">
              <w:rPr>
                <w:b/>
              </w:rPr>
              <w:t>s</w:t>
            </w:r>
            <w:r w:rsidRPr="00081699">
              <w:rPr>
                <w:b/>
              </w:rPr>
              <w:t>, until you receive an invoice from the TGA.</w:t>
            </w:r>
          </w:p>
        </w:tc>
      </w:tr>
    </w:tbl>
    <w:p w14:paraId="692AC055" w14:textId="42AA69CC" w:rsidR="00D62D4D" w:rsidRDefault="007F5F3A" w:rsidP="00AB56FB">
      <w:pPr>
        <w:pStyle w:val="ListBullet"/>
        <w:numPr>
          <w:ilvl w:val="0"/>
          <w:numId w:val="0"/>
        </w:numPr>
        <w:spacing w:before="240"/>
        <w:rPr>
          <w:szCs w:val="22"/>
        </w:rPr>
      </w:pPr>
      <w:r>
        <w:t>There are three levels of application and assessment fees</w:t>
      </w:r>
      <w:r w:rsidR="007A7192">
        <w:rPr>
          <w:szCs w:val="22"/>
        </w:rPr>
        <w:t xml:space="preserve"> published on the TGA website</w:t>
      </w:r>
      <w:r w:rsidR="0044277A">
        <w:rPr>
          <w:szCs w:val="22"/>
        </w:rPr>
        <w:t xml:space="preserve">. </w:t>
      </w:r>
      <w:r w:rsidR="00E61C64">
        <w:rPr>
          <w:szCs w:val="22"/>
        </w:rPr>
        <w:t>S</w:t>
      </w:r>
      <w:r w:rsidR="007A7192">
        <w:t xml:space="preserve">ee </w:t>
      </w:r>
      <w:hyperlink r:id="rId32" w:history="1">
        <w:r w:rsidR="00A812F2">
          <w:rPr>
            <w:rStyle w:val="Hyperlink"/>
          </w:rPr>
          <w:t>Schedule of fees and charges - Medical Devices</w:t>
        </w:r>
      </w:hyperlink>
      <w:r w:rsidR="00387847">
        <w:rPr>
          <w:szCs w:val="22"/>
        </w:rPr>
        <w:t xml:space="preserve">. </w:t>
      </w:r>
    </w:p>
    <w:p w14:paraId="2C5C274E" w14:textId="6FF7C3BA" w:rsidR="007F5F3A" w:rsidRDefault="007F5F3A" w:rsidP="007F5F3A">
      <w:pPr>
        <w:pStyle w:val="Heading3"/>
      </w:pPr>
      <w:bookmarkStart w:id="34" w:name="_Assessment_process"/>
      <w:bookmarkStart w:id="35" w:name="_Toc955316"/>
      <w:bookmarkStart w:id="36" w:name="_Toc75891351"/>
      <w:bookmarkEnd w:id="34"/>
      <w:r w:rsidRPr="00841155">
        <w:t>Assessment process</w:t>
      </w:r>
      <w:bookmarkEnd w:id="35"/>
      <w:bookmarkEnd w:id="36"/>
    </w:p>
    <w:p w14:paraId="76C92E6F" w14:textId="36C35D50" w:rsidR="005C666F" w:rsidRDefault="00D45961" w:rsidP="00FD157B">
      <w:pPr>
        <w:keepNext/>
      </w:pPr>
      <w:r>
        <w:t xml:space="preserve">Australian </w:t>
      </w:r>
      <w:r w:rsidR="00A071C5">
        <w:t xml:space="preserve">CAB determinations are made and renewed on a four year cycle. </w:t>
      </w:r>
      <w:r w:rsidR="001B1794">
        <w:t>The TGA</w:t>
      </w:r>
      <w:r w:rsidR="001E1DBF">
        <w:t xml:space="preserve"> will base </w:t>
      </w:r>
      <w:r w:rsidR="001B1794">
        <w:t>thei</w:t>
      </w:r>
      <w:r w:rsidR="00387847">
        <w:t xml:space="preserve">r </w:t>
      </w:r>
      <w:r w:rsidR="001E1DBF">
        <w:t xml:space="preserve">assessment program on the processes </w:t>
      </w:r>
      <w:r w:rsidR="00070908">
        <w:t xml:space="preserve">agreed by Regulatory Authorities who are participating in MDSAP and </w:t>
      </w:r>
      <w:r w:rsidR="005C666F">
        <w:t>in the development of MDSRP.</w:t>
      </w:r>
      <w:r w:rsidR="001E1DBF">
        <w:t xml:space="preserve"> </w:t>
      </w:r>
    </w:p>
    <w:p w14:paraId="2F6B1AA7" w14:textId="1619EEDD" w:rsidR="009E3974" w:rsidRDefault="00A45468" w:rsidP="00CB0195">
      <w:r>
        <w:object w:dxaOrig="9270" w:dyaOrig="10875" w14:anchorId="3A91B9EA">
          <v:shape id="_x0000_i1026" type="#_x0000_t75" style="width:420pt;height:425.25pt" o:ole="">
            <v:imagedata r:id="rId33" o:title=""/>
          </v:shape>
          <o:OLEObject Type="Embed" ProgID="VisioViewer.Viewer.1" ShapeID="_x0000_i1026" DrawAspect="Content" ObjectID="_1686575510" r:id="rId34"/>
        </w:object>
      </w:r>
    </w:p>
    <w:p w14:paraId="6BA8FA39" w14:textId="257967C0" w:rsidR="009E3974" w:rsidRPr="00A45468" w:rsidRDefault="008A00A7" w:rsidP="008A00A7">
      <w:pPr>
        <w:rPr>
          <w:sz w:val="18"/>
          <w:szCs w:val="18"/>
        </w:rPr>
      </w:pPr>
      <w:r>
        <w:t>*</w:t>
      </w:r>
      <w:r w:rsidRPr="00A45468">
        <w:rPr>
          <w:sz w:val="18"/>
          <w:szCs w:val="18"/>
        </w:rPr>
        <w:t>assessment may be undertaken using an on-site, remote, or desktop assessment, or a combination of any of these</w:t>
      </w:r>
    </w:p>
    <w:p w14:paraId="0D715318" w14:textId="47BD1271" w:rsidR="007F5F3A" w:rsidRDefault="007F5F3A" w:rsidP="007F5F3A">
      <w:pPr>
        <w:pStyle w:val="Heading4"/>
        <w:rPr>
          <w:rFonts w:cs="Arial"/>
        </w:rPr>
      </w:pPr>
      <w:bookmarkStart w:id="37" w:name="_Toc955317"/>
      <w:r>
        <w:rPr>
          <w:rFonts w:cs="Arial"/>
        </w:rPr>
        <w:t>Initial application review</w:t>
      </w:r>
      <w:bookmarkEnd w:id="37"/>
    </w:p>
    <w:p w14:paraId="4F8D67F4" w14:textId="17083FB5" w:rsidR="007F5F3A" w:rsidRDefault="00F06DB3" w:rsidP="007F5F3A">
      <w:pPr>
        <w:spacing w:after="120"/>
      </w:pPr>
      <w:r>
        <w:t>The</w:t>
      </w:r>
      <w:r w:rsidR="004B0654">
        <w:t xml:space="preserve"> </w:t>
      </w:r>
      <w:r>
        <w:t>application review will</w:t>
      </w:r>
      <w:r w:rsidR="007F5F3A">
        <w:t xml:space="preserve"> determine:</w:t>
      </w:r>
    </w:p>
    <w:p w14:paraId="7ED9EA3B" w14:textId="7EC20B92" w:rsidR="007F5F3A" w:rsidRDefault="007F5F3A" w:rsidP="007F5F3A">
      <w:pPr>
        <w:pStyle w:val="ListBullet"/>
        <w:numPr>
          <w:ilvl w:val="0"/>
          <w:numId w:val="3"/>
        </w:numPr>
        <w:ind w:left="425" w:hanging="425"/>
      </w:pPr>
      <w:r>
        <w:t>the requested scope for a determination, i.e. the conformity assessment procedures and types of medical device</w:t>
      </w:r>
      <w:r w:rsidR="002C58D0">
        <w:t>s and the relevant technologies</w:t>
      </w:r>
    </w:p>
    <w:p w14:paraId="0B186A63" w14:textId="06E990B0" w:rsidR="00B20E46" w:rsidRDefault="007F5F3A" w:rsidP="007F5F3A">
      <w:pPr>
        <w:pStyle w:val="ListBullet"/>
        <w:numPr>
          <w:ilvl w:val="0"/>
          <w:numId w:val="3"/>
        </w:numPr>
        <w:ind w:left="425" w:hanging="425"/>
      </w:pPr>
      <w:r>
        <w:t xml:space="preserve">whether the supporting information is complete, or whether further </w:t>
      </w:r>
      <w:r w:rsidR="001E1DBF">
        <w:t xml:space="preserve">application </w:t>
      </w:r>
      <w:r>
        <w:t>information or documents are required</w:t>
      </w:r>
    </w:p>
    <w:p w14:paraId="3C665CAF" w14:textId="7AE791F1" w:rsidR="00E57305" w:rsidRDefault="00B20E46" w:rsidP="007F5F3A">
      <w:pPr>
        <w:pStyle w:val="ListBullet"/>
        <w:numPr>
          <w:ilvl w:val="0"/>
          <w:numId w:val="3"/>
        </w:numPr>
        <w:ind w:left="425" w:hanging="425"/>
      </w:pPr>
      <w:r>
        <w:t>the a</w:t>
      </w:r>
      <w:r w:rsidR="00AA5AF0">
        <w:t>pplicant’s eligibility to apply</w:t>
      </w:r>
    </w:p>
    <w:p w14:paraId="53EE9D5C" w14:textId="0E716BE5" w:rsidR="00426C40" w:rsidRDefault="00426C40" w:rsidP="00426C40">
      <w:pPr>
        <w:pStyle w:val="Heading4"/>
      </w:pPr>
      <w:bookmarkStart w:id="38" w:name="_Request_for_additional"/>
      <w:bookmarkEnd w:id="38"/>
      <w:r>
        <w:t>Request for additional information</w:t>
      </w:r>
    </w:p>
    <w:p w14:paraId="5FA30920" w14:textId="30BC1492" w:rsidR="001E1DBF" w:rsidRDefault="001D4BB1" w:rsidP="00AA5AF0">
      <w:pPr>
        <w:pStyle w:val="ListBullet"/>
        <w:numPr>
          <w:ilvl w:val="0"/>
          <w:numId w:val="0"/>
        </w:numPr>
      </w:pPr>
      <w:r>
        <w:t>The TGA</w:t>
      </w:r>
      <w:r w:rsidR="00387847">
        <w:t xml:space="preserve"> </w:t>
      </w:r>
      <w:r w:rsidR="001E1DBF">
        <w:t xml:space="preserve">will provide </w:t>
      </w:r>
      <w:r w:rsidR="00703D5D">
        <w:t xml:space="preserve">a </w:t>
      </w:r>
      <w:r w:rsidR="006A61E9" w:rsidRPr="006A61E9">
        <w:t>supporting information checklist</w:t>
      </w:r>
      <w:r w:rsidR="00642950">
        <w:t xml:space="preserve"> </w:t>
      </w:r>
      <w:r w:rsidR="001E1DBF">
        <w:t>to identify, by referenc</w:t>
      </w:r>
      <w:r w:rsidR="002100A8">
        <w:t>ing</w:t>
      </w:r>
      <w:r w:rsidR="00F157F9">
        <w:t xml:space="preserve"> specific document</w:t>
      </w:r>
      <w:r w:rsidR="002100A8">
        <w:t>s</w:t>
      </w:r>
      <w:r w:rsidR="00F157F9">
        <w:t xml:space="preserve"> and records</w:t>
      </w:r>
      <w:r w:rsidR="001E1DBF">
        <w:t xml:space="preserve">, the evidence </w:t>
      </w:r>
      <w:r w:rsidR="00290102">
        <w:t xml:space="preserve">which </w:t>
      </w:r>
      <w:r w:rsidR="001E1DBF">
        <w:t>show</w:t>
      </w:r>
      <w:r w:rsidR="00290102">
        <w:t>s</w:t>
      </w:r>
      <w:r w:rsidR="001E1DBF">
        <w:t xml:space="preserve"> </w:t>
      </w:r>
      <w:r w:rsidR="002100A8">
        <w:t>how you will</w:t>
      </w:r>
      <w:r w:rsidR="001E1DBF">
        <w:t xml:space="preserve"> be able to fulfil the requirements for an </w:t>
      </w:r>
      <w:r w:rsidR="003E2669">
        <w:t>Australian CAB determination</w:t>
      </w:r>
      <w:r w:rsidR="00AB56FB">
        <w:t xml:space="preserve"> including:</w:t>
      </w:r>
      <w:r w:rsidR="003E2669">
        <w:t xml:space="preserve"> </w:t>
      </w:r>
    </w:p>
    <w:p w14:paraId="40B55048" w14:textId="1197957E" w:rsidR="001E1DBF" w:rsidRDefault="00AB56FB" w:rsidP="003E2669">
      <w:pPr>
        <w:pStyle w:val="ListBullet"/>
      </w:pPr>
      <w:r>
        <w:t>R</w:t>
      </w:r>
      <w:r w:rsidR="001E1DBF">
        <w:t>egulation 4A.6(3)</w:t>
      </w:r>
      <w:r w:rsidR="00642950">
        <w:t>. S</w:t>
      </w:r>
      <w:r w:rsidR="00F157F9">
        <w:t xml:space="preserve">ee </w:t>
      </w:r>
      <w:hyperlink w:anchor="_Declaration_for_subregulation" w:history="1">
        <w:r w:rsidR="00642950" w:rsidRPr="001D4BB1">
          <w:rPr>
            <w:rStyle w:val="Hyperlink"/>
            <w:bCs/>
          </w:rPr>
          <w:t>Declaration for subregulation 4A.6(3)</w:t>
        </w:r>
      </w:hyperlink>
      <w:r w:rsidR="00642950" w:rsidRPr="00642950">
        <w:rPr>
          <w:b/>
          <w:bCs/>
        </w:rPr>
        <w:t xml:space="preserve"> </w:t>
      </w:r>
      <w:r w:rsidR="00642950" w:rsidRPr="00642950">
        <w:rPr>
          <w:bCs/>
        </w:rPr>
        <w:t>for further information</w:t>
      </w:r>
      <w:r w:rsidR="004716D9">
        <w:rPr>
          <w:bCs/>
        </w:rPr>
        <w:t>.</w:t>
      </w:r>
    </w:p>
    <w:p w14:paraId="26553EC2" w14:textId="51DF0C59" w:rsidR="00856748" w:rsidRDefault="004716D9" w:rsidP="003E2669">
      <w:pPr>
        <w:pStyle w:val="ListBullet"/>
      </w:pPr>
      <w:r>
        <w:t>S</w:t>
      </w:r>
      <w:r w:rsidR="0080319F">
        <w:t xml:space="preserve">tatutory </w:t>
      </w:r>
      <w:r w:rsidR="00856748">
        <w:t xml:space="preserve">conditions that </w:t>
      </w:r>
      <w:r w:rsidR="0080319F">
        <w:t>apply</w:t>
      </w:r>
      <w:r w:rsidR="00856748">
        <w:t xml:space="preserve"> to every determination</w:t>
      </w:r>
      <w:r>
        <w:t>.</w:t>
      </w:r>
    </w:p>
    <w:p w14:paraId="5C0FA74A" w14:textId="53252467" w:rsidR="001E1DBF" w:rsidRDefault="004716D9" w:rsidP="003E2669">
      <w:pPr>
        <w:pStyle w:val="ListBullet"/>
      </w:pPr>
      <w:r>
        <w:t>E</w:t>
      </w:r>
      <w:r w:rsidR="001E1DBF">
        <w:t xml:space="preserve">ach of the requirements of Annex VII of </w:t>
      </w:r>
      <w:r w:rsidR="003A7D64">
        <w:t xml:space="preserve">the </w:t>
      </w:r>
      <w:r w:rsidR="003A7D64">
        <w:rPr>
          <w:lang w:eastAsia="en-AU"/>
        </w:rPr>
        <w:t>European Medical Devices R</w:t>
      </w:r>
      <w:r w:rsidR="003A7D64" w:rsidRPr="00E87CA0">
        <w:rPr>
          <w:lang w:eastAsia="en-AU"/>
        </w:rPr>
        <w:t>egulat</w:t>
      </w:r>
      <w:r w:rsidR="003A7D64">
        <w:rPr>
          <w:lang w:eastAsia="en-AU"/>
        </w:rPr>
        <w:t xml:space="preserve">ion </w:t>
      </w:r>
      <w:hyperlink r:id="rId35" w:history="1">
        <w:r w:rsidR="003A7D64" w:rsidRPr="00100459">
          <w:rPr>
            <w:rStyle w:val="Hyperlink"/>
            <w:lang w:eastAsia="en-AU"/>
          </w:rPr>
          <w:t>2017/745</w:t>
        </w:r>
      </w:hyperlink>
      <w:r w:rsidR="003A7D64">
        <w:rPr>
          <w:lang w:eastAsia="en-AU"/>
        </w:rPr>
        <w:t xml:space="preserve"> (EU MDR) and</w:t>
      </w:r>
      <w:r w:rsidR="003A7D64" w:rsidRPr="00A50CFA">
        <w:rPr>
          <w:i/>
        </w:rPr>
        <w:t xml:space="preserve"> </w:t>
      </w:r>
      <w:r w:rsidR="003A7D64">
        <w:t>I</w:t>
      </w:r>
      <w:r w:rsidR="003A7D64" w:rsidRPr="00F0708A">
        <w:t xml:space="preserve">n </w:t>
      </w:r>
      <w:r w:rsidR="003A7D64">
        <w:t>V</w:t>
      </w:r>
      <w:r w:rsidR="003A7D64" w:rsidRPr="00F0708A">
        <w:t>itro</w:t>
      </w:r>
      <w:r w:rsidR="003A7D64">
        <w:t xml:space="preserve"> Diagnostic </w:t>
      </w:r>
      <w:r w:rsidR="003A7D64">
        <w:rPr>
          <w:lang w:eastAsia="en-AU"/>
        </w:rPr>
        <w:t>R</w:t>
      </w:r>
      <w:r w:rsidR="003A7D64" w:rsidRPr="00E87CA0">
        <w:rPr>
          <w:lang w:eastAsia="en-AU"/>
        </w:rPr>
        <w:t>egulat</w:t>
      </w:r>
      <w:r w:rsidR="003A7D64">
        <w:rPr>
          <w:lang w:eastAsia="en-AU"/>
        </w:rPr>
        <w:t xml:space="preserve">ion </w:t>
      </w:r>
      <w:hyperlink r:id="rId36" w:history="1">
        <w:r w:rsidR="003A7D64" w:rsidRPr="007A01E4">
          <w:rPr>
            <w:rStyle w:val="Hyperlink"/>
            <w:lang w:eastAsia="en-AU"/>
          </w:rPr>
          <w:t>2017/746</w:t>
        </w:r>
      </w:hyperlink>
      <w:r w:rsidR="003A7D64">
        <w:rPr>
          <w:lang w:eastAsia="en-AU"/>
        </w:rPr>
        <w:t xml:space="preserve"> (EU IVDR)</w:t>
      </w:r>
      <w:r w:rsidR="001E1DBF">
        <w:t xml:space="preserve"> as modified by Schedule 3AA of the </w:t>
      </w:r>
      <w:r w:rsidR="00642950">
        <w:t>MD R</w:t>
      </w:r>
      <w:r w:rsidR="001E1DBF">
        <w:t>egulations.</w:t>
      </w:r>
    </w:p>
    <w:p w14:paraId="73334E5E" w14:textId="0DAB4BC5" w:rsidR="00E57305" w:rsidRDefault="00AB56FB" w:rsidP="007F5F3A">
      <w:r>
        <w:t>T</w:t>
      </w:r>
      <w:r w:rsidR="001D4BB1">
        <w:t>he TGA</w:t>
      </w:r>
      <w:r w:rsidR="00B20E46">
        <w:t xml:space="preserve"> will identify </w:t>
      </w:r>
      <w:r>
        <w:t xml:space="preserve">if </w:t>
      </w:r>
      <w:r w:rsidR="00E57305">
        <w:t xml:space="preserve">any additional </w:t>
      </w:r>
      <w:r w:rsidR="0030005C">
        <w:t xml:space="preserve">information required </w:t>
      </w:r>
      <w:r w:rsidR="00E57305">
        <w:t xml:space="preserve">and </w:t>
      </w:r>
      <w:r w:rsidR="00BE4BBF">
        <w:t xml:space="preserve">make a </w:t>
      </w:r>
      <w:r w:rsidR="00E57305">
        <w:t xml:space="preserve">request </w:t>
      </w:r>
      <w:r w:rsidR="00BE4BBF">
        <w:t xml:space="preserve">for it </w:t>
      </w:r>
      <w:r w:rsidR="00E57305">
        <w:t>in writing prior to</w:t>
      </w:r>
      <w:r w:rsidR="00BE4BBF">
        <w:t xml:space="preserve"> the</w:t>
      </w:r>
      <w:r w:rsidR="00E57305">
        <w:t xml:space="preserve"> </w:t>
      </w:r>
      <w:r w:rsidR="00B20E46">
        <w:t>assessment</w:t>
      </w:r>
      <w:r w:rsidR="00E57305">
        <w:t>.</w:t>
      </w:r>
      <w:r w:rsidR="00B20E46">
        <w:t xml:space="preserve"> </w:t>
      </w:r>
    </w:p>
    <w:p w14:paraId="2D88936A" w14:textId="74DF3893" w:rsidR="007F5F3A" w:rsidRPr="00224B91" w:rsidRDefault="007F5F3A" w:rsidP="007F5F3A">
      <w:pPr>
        <w:pStyle w:val="Heading4"/>
        <w:rPr>
          <w:rFonts w:cs="Arial"/>
        </w:rPr>
      </w:pPr>
      <w:bookmarkStart w:id="39" w:name="_Toc955318"/>
      <w:r w:rsidRPr="00224B91">
        <w:rPr>
          <w:rFonts w:cs="Arial"/>
        </w:rPr>
        <w:t>Assessment</w:t>
      </w:r>
      <w:bookmarkEnd w:id="39"/>
    </w:p>
    <w:p w14:paraId="6B8C042D" w14:textId="215416CF" w:rsidR="007F5F3A" w:rsidRDefault="00AB56FB" w:rsidP="007F5F3A">
      <w:pPr>
        <w:spacing w:after="120"/>
      </w:pPr>
      <w:r>
        <w:t xml:space="preserve">Following receipt of </w:t>
      </w:r>
      <w:r w:rsidR="00912D7D">
        <w:t xml:space="preserve">all requested documentation and the assessment fee has been paid, </w:t>
      </w:r>
      <w:r w:rsidR="001B1794">
        <w:t xml:space="preserve">the TGA </w:t>
      </w:r>
      <w:r w:rsidR="007F5F3A">
        <w:t>will carry out an assessment of</w:t>
      </w:r>
      <w:r w:rsidR="00912D7D">
        <w:t>,</w:t>
      </w:r>
      <w:r w:rsidR="007F5F3A">
        <w:t xml:space="preserve"> </w:t>
      </w:r>
      <w:r w:rsidR="00912D7D">
        <w:t xml:space="preserve">at least, </w:t>
      </w:r>
      <w:r w:rsidR="007F5F3A">
        <w:t>the following:</w:t>
      </w:r>
    </w:p>
    <w:p w14:paraId="52399693" w14:textId="7856E517" w:rsidR="003C35DC" w:rsidRPr="00B645A8" w:rsidRDefault="00B645A8" w:rsidP="005F784D">
      <w:pPr>
        <w:pStyle w:val="ListBullet"/>
      </w:pPr>
      <w:r w:rsidRPr="00B645A8">
        <w:t>P</w:t>
      </w:r>
      <w:r w:rsidR="007F5F3A" w:rsidRPr="00B645A8">
        <w:t xml:space="preserve">rocedures and records to verify that </w:t>
      </w:r>
      <w:r w:rsidR="00C06B6C">
        <w:t xml:space="preserve">you </w:t>
      </w:r>
      <w:r w:rsidR="007F5F3A" w:rsidRPr="00B645A8">
        <w:t>will be able to comply with the requirements (determination criteria) for Australian CABs</w:t>
      </w:r>
      <w:r w:rsidR="00C06B6C">
        <w:t xml:space="preserve"> and </w:t>
      </w:r>
      <w:r w:rsidR="003C35DC" w:rsidRPr="00B645A8">
        <w:t xml:space="preserve">conditions that apply to </w:t>
      </w:r>
      <w:r w:rsidR="00C06B6C">
        <w:t>the determination</w:t>
      </w:r>
      <w:r w:rsidR="003C35DC" w:rsidRPr="00B645A8">
        <w:t xml:space="preserve">. </w:t>
      </w:r>
    </w:p>
    <w:p w14:paraId="5DE5DFCD" w14:textId="35472BA3" w:rsidR="007F5F3A" w:rsidRPr="00B645A8" w:rsidRDefault="00B645A8" w:rsidP="005F784D">
      <w:pPr>
        <w:pStyle w:val="ListBullet"/>
      </w:pPr>
      <w:r w:rsidRPr="00B645A8">
        <w:t>T</w:t>
      </w:r>
      <w:r w:rsidR="007F5F3A" w:rsidRPr="00B645A8">
        <w:t xml:space="preserve">he implementation of the procedures by </w:t>
      </w:r>
      <w:r w:rsidRPr="00B645A8">
        <w:t>your</w:t>
      </w:r>
      <w:r w:rsidR="007F5F3A" w:rsidRPr="00B645A8">
        <w:t xml:space="preserve"> personnel</w:t>
      </w:r>
      <w:r w:rsidR="00C06B6C">
        <w:t xml:space="preserve"> and </w:t>
      </w:r>
      <w:r w:rsidR="007F5F3A" w:rsidRPr="00B645A8">
        <w:t xml:space="preserve">effectiveness of </w:t>
      </w:r>
      <w:r w:rsidRPr="00B645A8">
        <w:t>your</w:t>
      </w:r>
      <w:r w:rsidR="007F5F3A" w:rsidRPr="00B645A8">
        <w:t xml:space="preserve"> </w:t>
      </w:r>
      <w:r w:rsidR="00C06B6C">
        <w:t>QMS</w:t>
      </w:r>
      <w:r w:rsidR="007F5F3A" w:rsidRPr="00B645A8">
        <w:t>.</w:t>
      </w:r>
    </w:p>
    <w:p w14:paraId="6EA68786" w14:textId="2BAAC185" w:rsidR="00112BC0" w:rsidRDefault="007F5F3A" w:rsidP="00C06B6C">
      <w:pPr>
        <w:spacing w:before="240" w:after="120"/>
      </w:pPr>
      <w:r w:rsidRPr="00F702EB">
        <w:t xml:space="preserve">The assessment activities </w:t>
      </w:r>
      <w:r w:rsidR="00C06B6C">
        <w:t xml:space="preserve">may </w:t>
      </w:r>
      <w:r w:rsidRPr="00F702EB">
        <w:t>include</w:t>
      </w:r>
      <w:r w:rsidR="00B645A8">
        <w:t xml:space="preserve"> </w:t>
      </w:r>
      <w:r w:rsidR="00C06B6C">
        <w:t>offsite</w:t>
      </w:r>
      <w:r w:rsidR="00A43CDD">
        <w:t>,</w:t>
      </w:r>
      <w:r w:rsidR="00C06B6C">
        <w:t xml:space="preserve"> onsite or remote, including head office locations.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12D7D" w:rsidRPr="00215D48" w14:paraId="1911A8ED" w14:textId="77777777" w:rsidTr="00C93D8B">
        <w:trPr>
          <w:trHeight w:val="1206"/>
        </w:trPr>
        <w:tc>
          <w:tcPr>
            <w:tcW w:w="1276" w:type="dxa"/>
            <w:vAlign w:val="center"/>
          </w:tcPr>
          <w:p w14:paraId="2AFA8D5F" w14:textId="77777777" w:rsidR="00912D7D" w:rsidRPr="00215D48" w:rsidRDefault="00912D7D" w:rsidP="00C93D8B">
            <w:pPr>
              <w:spacing w:before="0"/>
              <w:rPr>
                <w:sz w:val="20"/>
              </w:rPr>
            </w:pPr>
            <w:bookmarkStart w:id="40" w:name="_Stage_1_&amp;"/>
            <w:bookmarkEnd w:id="40"/>
            <w:r w:rsidRPr="00215D48">
              <w:rPr>
                <w:noProof/>
                <w:sz w:val="20"/>
                <w:lang w:eastAsia="en-AU"/>
              </w:rPr>
              <w:drawing>
                <wp:inline distT="0" distB="0" distL="0" distR="0" wp14:anchorId="558A5E71" wp14:editId="385606CB">
                  <wp:extent cx="487681" cy="487681"/>
                  <wp:effectExtent l="19050" t="0" r="7619" b="0"/>
                  <wp:docPr id="28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F05B585" w14:textId="66D2C463" w:rsidR="00912D7D" w:rsidRPr="00D62D44" w:rsidRDefault="00912D7D" w:rsidP="00B645A8">
            <w:r>
              <w:t xml:space="preserve">In addition to the Australian CABs registered business address (Head Office), </w:t>
            </w:r>
            <w:r w:rsidR="002E2308">
              <w:t>c</w:t>
            </w:r>
            <w:r>
              <w:t xml:space="preserve">ritical locations are sites or facilities where critical functions are carried out by, or on behalf of, the Australian CAB. </w:t>
            </w:r>
          </w:p>
        </w:tc>
      </w:tr>
    </w:tbl>
    <w:p w14:paraId="44EE4F11" w14:textId="5EDA9779" w:rsidR="007F5F3A" w:rsidRDefault="007F5F3A" w:rsidP="007F5F3A">
      <w:pPr>
        <w:pStyle w:val="Heading5"/>
      </w:pPr>
      <w:r>
        <w:t xml:space="preserve">Witnessing of audits </w:t>
      </w:r>
      <w:r w:rsidR="00A45468">
        <w:t xml:space="preserve">or </w:t>
      </w:r>
      <w:r>
        <w:t>design examination</w:t>
      </w:r>
      <w:r w:rsidR="00A45468">
        <w:t>s</w:t>
      </w:r>
    </w:p>
    <w:p w14:paraId="27A362C2" w14:textId="038E7746" w:rsidR="003B4273" w:rsidRDefault="007F5F3A" w:rsidP="007F5F3A">
      <w:r>
        <w:t xml:space="preserve">The </w:t>
      </w:r>
      <w:r w:rsidR="0027648D">
        <w:t xml:space="preserve">TGA may witness </w:t>
      </w:r>
      <w:r w:rsidR="007232BA">
        <w:t xml:space="preserve">you performing </w:t>
      </w:r>
      <w:r>
        <w:t>QMS audits</w:t>
      </w:r>
      <w:r w:rsidR="00C06B6C">
        <w:t xml:space="preserve"> or a design examination</w:t>
      </w:r>
      <w:r>
        <w:t>.</w:t>
      </w:r>
      <w:r w:rsidR="007232BA">
        <w:t xml:space="preserve"> You are</w:t>
      </w:r>
      <w:r w:rsidR="003B4273">
        <w:t xml:space="preserve"> required to have written agreements with the manufacturing facility</w:t>
      </w:r>
      <w:r w:rsidR="007232BA">
        <w:t xml:space="preserve"> that allows </w:t>
      </w:r>
      <w:r w:rsidR="005E55EC">
        <w:t xml:space="preserve">the TGA </w:t>
      </w:r>
      <w:r w:rsidR="003B4273">
        <w:t>to observe the audit</w:t>
      </w:r>
      <w:r w:rsidR="00C06B6C">
        <w:t xml:space="preserve"> and/or </w:t>
      </w:r>
      <w:r w:rsidR="003B4273">
        <w:t xml:space="preserve">have the manufacturer’s permission to use any audit </w:t>
      </w:r>
      <w:r w:rsidR="000A64BA">
        <w:t xml:space="preserve">or technical </w:t>
      </w:r>
      <w:r w:rsidR="003B4273">
        <w:t>documentation for regulatory purpose</w:t>
      </w:r>
      <w:r w:rsidR="00D448BE">
        <w:t>s</w:t>
      </w:r>
      <w:r w:rsidR="003B4273">
        <w:t>, or to share the info</w:t>
      </w:r>
      <w:r w:rsidR="00403E5A">
        <w:t>rmation with other Regulators.</w:t>
      </w:r>
    </w:p>
    <w:p w14:paraId="698C50D1" w14:textId="32A21815" w:rsidR="00703A5F" w:rsidRDefault="009E3974" w:rsidP="00B917F2">
      <w:r>
        <w:t>The TGA’s</w:t>
      </w:r>
      <w:r w:rsidR="007F5F3A">
        <w:t xml:space="preserve"> costs </w:t>
      </w:r>
      <w:r w:rsidR="002E2308">
        <w:t>for</w:t>
      </w:r>
      <w:r w:rsidR="007F5F3A">
        <w:t xml:space="preserve"> witnessing these </w:t>
      </w:r>
      <w:r w:rsidR="007232BA">
        <w:t xml:space="preserve">activities </w:t>
      </w:r>
      <w:r w:rsidR="007F5F3A">
        <w:t>are included in the relevant assessment fee.</w:t>
      </w:r>
      <w:r w:rsidR="00631D5D">
        <w:t xml:space="preserve"> </w:t>
      </w:r>
    </w:p>
    <w:p w14:paraId="7561FFA8" w14:textId="4366A346" w:rsidR="007F5F3A" w:rsidRPr="00C73117" w:rsidRDefault="007F5F3A" w:rsidP="00DD1E44">
      <w:pPr>
        <w:pStyle w:val="Heading2"/>
      </w:pPr>
      <w:bookmarkStart w:id="41" w:name="_Toc955319"/>
      <w:bookmarkStart w:id="42" w:name="_Toc75891352"/>
      <w:r>
        <w:t>The determination decision</w:t>
      </w:r>
      <w:bookmarkEnd w:id="41"/>
      <w:bookmarkEnd w:id="42"/>
    </w:p>
    <w:p w14:paraId="669CF90E" w14:textId="3FB77D3E" w:rsidR="007F5F3A" w:rsidRDefault="007F5F3A" w:rsidP="007F5F3A">
      <w:pPr>
        <w:spacing w:after="120"/>
      </w:pPr>
      <w:r>
        <w:t xml:space="preserve">A determination will only be made by the </w:t>
      </w:r>
      <w:r w:rsidR="00812BEA">
        <w:t xml:space="preserve">Secretary’s delegate </w:t>
      </w:r>
      <w:r>
        <w:t xml:space="preserve">once the following conditions are </w:t>
      </w:r>
      <w:r w:rsidR="00812BEA" w:rsidRPr="00D047F4">
        <w:rPr>
          <w:u w:val="single"/>
        </w:rPr>
        <w:t>all</w:t>
      </w:r>
      <w:r w:rsidR="00812BEA">
        <w:t xml:space="preserve"> </w:t>
      </w:r>
      <w:r>
        <w:t>met:</w:t>
      </w:r>
    </w:p>
    <w:p w14:paraId="5562269C" w14:textId="6E5377CD" w:rsidR="00A945BC" w:rsidRDefault="00812BEA" w:rsidP="007F5F3A">
      <w:pPr>
        <w:pStyle w:val="ListBullet"/>
        <w:numPr>
          <w:ilvl w:val="0"/>
          <w:numId w:val="3"/>
        </w:numPr>
        <w:ind w:left="425" w:hanging="425"/>
      </w:pPr>
      <w:r>
        <w:t>A</w:t>
      </w:r>
      <w:r w:rsidR="007F5F3A">
        <w:t xml:space="preserve">n assessment of the applicant’s evidence of compliance with the requirements of </w:t>
      </w:r>
      <w:r w:rsidR="00A945BC">
        <w:t>Annex VII as amended by S3AA</w:t>
      </w:r>
      <w:r w:rsidR="007F5F3A">
        <w:t xml:space="preserve"> is completed satisfactorily</w:t>
      </w:r>
      <w:r w:rsidR="00A945BC">
        <w:t>.</w:t>
      </w:r>
    </w:p>
    <w:p w14:paraId="2F0B8A78" w14:textId="2DCBB1D5" w:rsidR="007F5F3A" w:rsidRDefault="00A945BC" w:rsidP="007F5F3A">
      <w:pPr>
        <w:pStyle w:val="ListBullet"/>
        <w:numPr>
          <w:ilvl w:val="0"/>
          <w:numId w:val="3"/>
        </w:numPr>
        <w:ind w:left="425" w:hanging="425"/>
      </w:pPr>
      <w:r>
        <w:t>A</w:t>
      </w:r>
      <w:r w:rsidR="007F5F3A">
        <w:t xml:space="preserve">ny nonconformity </w:t>
      </w:r>
      <w:r>
        <w:t>identified during the assessment has been adequately addressed</w:t>
      </w:r>
      <w:r w:rsidR="00812BEA">
        <w:t>.</w:t>
      </w:r>
    </w:p>
    <w:p w14:paraId="68CBE526" w14:textId="26527854" w:rsidR="007F5F3A" w:rsidRDefault="00812BEA" w:rsidP="007F5F3A">
      <w:pPr>
        <w:pStyle w:val="ListBullet"/>
        <w:numPr>
          <w:ilvl w:val="0"/>
          <w:numId w:val="3"/>
        </w:numPr>
        <w:ind w:left="425" w:hanging="425"/>
      </w:pPr>
      <w:r>
        <w:t>A</w:t>
      </w:r>
      <w:r w:rsidR="007F5F3A">
        <w:t xml:space="preserve"> declaration for paragraph 4A.6(3) of the MD Regulations is completed</w:t>
      </w:r>
      <w:r>
        <w:t>.</w:t>
      </w:r>
    </w:p>
    <w:p w14:paraId="7122CE8D" w14:textId="435E0547" w:rsidR="007F5F3A" w:rsidRDefault="00790C1D" w:rsidP="007F5F3A">
      <w:pPr>
        <w:pStyle w:val="ListBullet"/>
        <w:numPr>
          <w:ilvl w:val="0"/>
          <w:numId w:val="3"/>
        </w:numPr>
        <w:ind w:left="425" w:hanging="425"/>
      </w:pPr>
      <w:r>
        <w:t>T</w:t>
      </w:r>
      <w:r w:rsidR="007F5F3A">
        <w:t>he assessment fee is paid in full</w:t>
      </w:r>
      <w:r w:rsidR="00812BEA">
        <w:t>.</w:t>
      </w:r>
    </w:p>
    <w:p w14:paraId="2D3F1C03" w14:textId="737953FE" w:rsidR="003A7D64" w:rsidRDefault="00C06B6C" w:rsidP="003A7D64">
      <w:bookmarkStart w:id="43" w:name="_Declaration_for_subregulation"/>
      <w:bookmarkEnd w:id="43"/>
      <w:r>
        <w:t xml:space="preserve">In addition you will need to </w:t>
      </w:r>
      <w:r w:rsidR="003A7D64" w:rsidRPr="00B55EB4">
        <w:t xml:space="preserve">self-assess whether </w:t>
      </w:r>
      <w:r w:rsidR="003A7D64">
        <w:t>you</w:t>
      </w:r>
      <w:r w:rsidR="003A7D64" w:rsidRPr="00B55EB4">
        <w:t xml:space="preserve">, or certain other persons associated with </w:t>
      </w:r>
      <w:r w:rsidR="003A7D64">
        <w:t>you</w:t>
      </w:r>
      <w:r w:rsidR="003A7D64" w:rsidRPr="00B55EB4">
        <w:t xml:space="preserve">, meet the criteria set out in </w:t>
      </w:r>
      <w:r w:rsidR="003A7D64">
        <w:t>sub-regulation</w:t>
      </w:r>
      <w:r w:rsidR="003A7D64" w:rsidRPr="00B55EB4">
        <w:t xml:space="preserve"> </w:t>
      </w:r>
      <w:r w:rsidR="003A7D64">
        <w:t xml:space="preserve">4A.6(3) </w:t>
      </w:r>
      <w:r w:rsidR="003A7D64" w:rsidRPr="00B55EB4">
        <w:t xml:space="preserve">of the </w:t>
      </w:r>
      <w:r w:rsidR="003A7D64">
        <w:t>MD Regulations.</w:t>
      </w:r>
    </w:p>
    <w:p w14:paraId="692271A9" w14:textId="7558EE2D" w:rsidR="003A7D64" w:rsidRDefault="00FD157B" w:rsidP="003A7D64">
      <w:hyperlink r:id="rId37" w:history="1">
        <w:r w:rsidR="003A7D64" w:rsidRPr="00426C40">
          <w:rPr>
            <w:rStyle w:val="Hyperlink"/>
          </w:rPr>
          <w:t>A template</w:t>
        </w:r>
      </w:hyperlink>
      <w:r w:rsidR="003A7D64">
        <w:t xml:space="preserve"> is available </w:t>
      </w:r>
      <w:r w:rsidR="003A7D64" w:rsidRPr="00B55EB4">
        <w:t xml:space="preserve">to certify the outcome </w:t>
      </w:r>
      <w:r w:rsidR="003A7D64">
        <w:t xml:space="preserve">of your assessment </w:t>
      </w:r>
      <w:r w:rsidR="003A7D64" w:rsidRPr="00B55EB4">
        <w:t xml:space="preserve">by submitting </w:t>
      </w:r>
      <w:r w:rsidR="003A7D64">
        <w:t xml:space="preserve">a signed statutory declaration. The signatory must </w:t>
      </w:r>
      <w:r w:rsidR="003A7D64" w:rsidRPr="00CB117D">
        <w:t xml:space="preserve">hold a senior position in </w:t>
      </w:r>
      <w:r w:rsidR="003A7D64">
        <w:t>the</w:t>
      </w:r>
      <w:r w:rsidR="003A7D64" w:rsidRPr="00CB117D">
        <w:t xml:space="preserve"> </w:t>
      </w:r>
      <w:r w:rsidR="003A7D64">
        <w:t>Australian corporation</w:t>
      </w:r>
      <w:r w:rsidR="003A7D64" w:rsidRPr="00CB117D">
        <w:t xml:space="preserve"> and be authorised to make the cer</w:t>
      </w:r>
      <w:r w:rsidR="003A7D64">
        <w:t>tification on behalf of the corporation. .</w:t>
      </w:r>
    </w:p>
    <w:p w14:paraId="2F1E235D" w14:textId="7D9FBD70" w:rsidR="007F5F3A" w:rsidRDefault="007F5F3A" w:rsidP="007F5F3A">
      <w:pPr>
        <w:spacing w:before="240"/>
      </w:pPr>
      <w:r>
        <w:t>The determination will be published on the TGA website</w:t>
      </w:r>
      <w:r w:rsidR="003C35DC">
        <w:t xml:space="preserve"> in </w:t>
      </w:r>
      <w:r w:rsidR="00812BEA">
        <w:t xml:space="preserve">the </w:t>
      </w:r>
      <w:hyperlink r:id="rId38" w:history="1">
        <w:r w:rsidR="002E2308" w:rsidRPr="00812BEA">
          <w:rPr>
            <w:rStyle w:val="Hyperlink"/>
          </w:rPr>
          <w:t>R</w:t>
        </w:r>
        <w:r w:rsidR="003C35DC" w:rsidRPr="00812BEA">
          <w:rPr>
            <w:rStyle w:val="Hyperlink"/>
          </w:rPr>
          <w:t>egister of Australian CABs</w:t>
        </w:r>
      </w:hyperlink>
      <w:r>
        <w:t>.</w:t>
      </w:r>
    </w:p>
    <w:p w14:paraId="424086F5" w14:textId="460DE940" w:rsidR="007B2014" w:rsidRDefault="007B2014" w:rsidP="007F5F3A">
      <w:pPr>
        <w:pStyle w:val="Heading2"/>
      </w:pPr>
      <w:bookmarkStart w:id="44" w:name="_Toc75891353"/>
      <w:bookmarkStart w:id="45" w:name="_Toc955343"/>
      <w:r>
        <w:t>What to expect once an initial determination is made</w:t>
      </w:r>
      <w:bookmarkEnd w:id="44"/>
    </w:p>
    <w:p w14:paraId="19B50249" w14:textId="0743E692" w:rsidR="00ED5C15" w:rsidRDefault="001572E5" w:rsidP="006F232C">
      <w:r>
        <w:t>T</w:t>
      </w:r>
      <w:r w:rsidR="00ED5C15">
        <w:t xml:space="preserve">he Australian CAB, and any subcontractors, will be subject to a cycle of annual surveillance assessments to </w:t>
      </w:r>
      <w:r w:rsidR="005E17D0">
        <w:t>confirm that</w:t>
      </w:r>
      <w:r w:rsidR="00ED5C15">
        <w:t xml:space="preserve"> the Australian CAB </w:t>
      </w:r>
      <w:r w:rsidR="005E17D0">
        <w:t xml:space="preserve">continues to satisfy </w:t>
      </w:r>
      <w:r w:rsidR="00ED5C15">
        <w:t>the regulatory requirements and fulfil</w:t>
      </w:r>
      <w:r w:rsidR="005E17D0">
        <w:t xml:space="preserve"> the</w:t>
      </w:r>
      <w:r w:rsidR="00DD394F">
        <w:t xml:space="preserve"> </w:t>
      </w:r>
      <w:r w:rsidR="00ED5C15">
        <w:t xml:space="preserve">obligations that are set out in the medical device regulations. </w:t>
      </w:r>
    </w:p>
    <w:p w14:paraId="3645ABA8" w14:textId="1D666F76" w:rsidR="008227D6" w:rsidRPr="007B2014" w:rsidRDefault="008227D6" w:rsidP="006F232C">
      <w:r>
        <w:t>Australian CAB</w:t>
      </w:r>
      <w:r w:rsidR="00C06B6C">
        <w:t xml:space="preserve">s are subject to </w:t>
      </w:r>
      <w:r>
        <w:t>re-determination assessment every 4 years.</w:t>
      </w:r>
    </w:p>
    <w:p w14:paraId="0B652B7A" w14:textId="6315468D" w:rsidR="007F5F3A" w:rsidRPr="00215D48" w:rsidRDefault="007F5F3A" w:rsidP="007F5F3A">
      <w:pPr>
        <w:pStyle w:val="Heading2"/>
      </w:pPr>
      <w:bookmarkStart w:id="46" w:name="_Toc75891354"/>
      <w:r>
        <w:t>Further information</w:t>
      </w:r>
      <w:bookmarkEnd w:id="45"/>
      <w:bookmarkEnd w:id="46"/>
    </w:p>
    <w:p w14:paraId="4341A7AF" w14:textId="63154623" w:rsidR="007F5F3A" w:rsidRDefault="007F5F3A" w:rsidP="007F5F3A">
      <w:r>
        <w:t xml:space="preserve">Applicants are encouraged to contact the </w:t>
      </w:r>
      <w:r w:rsidR="002E2308">
        <w:t xml:space="preserve">Australian CAB Program Manager at the </w:t>
      </w:r>
      <w:r>
        <w:t>TGA for further information.</w:t>
      </w:r>
    </w:p>
    <w:p w14:paraId="48CABF89" w14:textId="77777777" w:rsidR="007F5F3A" w:rsidRDefault="007F5F3A" w:rsidP="007F5F3A">
      <w:pPr>
        <w:pStyle w:val="ListBullet"/>
        <w:numPr>
          <w:ilvl w:val="0"/>
          <w:numId w:val="3"/>
        </w:numPr>
      </w:pPr>
      <w:r>
        <w:t xml:space="preserve">Phone: </w:t>
      </w:r>
      <w:r w:rsidRPr="00B64ECD">
        <w:rPr>
          <w:lang w:val="en"/>
        </w:rPr>
        <w:t xml:space="preserve">Medical Devices Information Line </w:t>
      </w:r>
      <w:r>
        <w:rPr>
          <w:lang w:val="en"/>
        </w:rPr>
        <w:t>-</w:t>
      </w:r>
      <w:r w:rsidRPr="00B64ECD">
        <w:rPr>
          <w:lang w:val="en"/>
        </w:rPr>
        <w:t xml:space="preserve"> 1800 141 144</w:t>
      </w:r>
    </w:p>
    <w:p w14:paraId="2349F0D0" w14:textId="49C50A32" w:rsidR="007B18DE" w:rsidRPr="00FD157B" w:rsidRDefault="007F5F3A" w:rsidP="004716D9">
      <w:pPr>
        <w:pStyle w:val="ListBullet"/>
        <w:rPr>
          <w:rStyle w:val="Hyperlink"/>
          <w:color w:val="auto"/>
          <w:u w:val="none"/>
        </w:rPr>
      </w:pPr>
      <w:r w:rsidRPr="007E399C">
        <w:rPr>
          <w:lang w:val="en"/>
        </w:rPr>
        <w:t xml:space="preserve">Email: </w:t>
      </w:r>
      <w:hyperlink r:id="rId39" w:history="1">
        <w:r w:rsidRPr="0059490F">
          <w:rPr>
            <w:rStyle w:val="Hyperlink"/>
          </w:rPr>
          <w:t>AUCAB@health.gov.au</w:t>
        </w:r>
      </w:hyperlink>
    </w:p>
    <w:p w14:paraId="2724F2BD" w14:textId="77777777" w:rsidR="00FD157B" w:rsidRPr="00FD157B" w:rsidRDefault="00FD157B" w:rsidP="00FD157B">
      <w:pPr>
        <w:pStyle w:val="ListBullet"/>
        <w:pageBreakBefore/>
        <w:numPr>
          <w:ilvl w:val="0"/>
          <w:numId w:val="0"/>
        </w:numPr>
        <w:ind w:left="357"/>
        <w:rPr>
          <w:rStyle w:val="Hyperlink"/>
          <w:color w:val="auto"/>
          <w:u w:val="none"/>
        </w:rPr>
      </w:pPr>
    </w:p>
    <w:tbl>
      <w:tblPr>
        <w:tblStyle w:val="TableTGAblack"/>
        <w:tblW w:w="9038" w:type="dxa"/>
        <w:tblLayout w:type="fixed"/>
        <w:tblLook w:val="04A0" w:firstRow="1" w:lastRow="0" w:firstColumn="1" w:lastColumn="0" w:noHBand="0" w:noVBand="1"/>
      </w:tblPr>
      <w:tblGrid>
        <w:gridCol w:w="1276"/>
        <w:gridCol w:w="3242"/>
        <w:gridCol w:w="2712"/>
        <w:gridCol w:w="1808"/>
      </w:tblGrid>
      <w:tr w:rsidR="00FD157B" w:rsidRPr="00215D48" w14:paraId="0AAC7845" w14:textId="77777777" w:rsidTr="001631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3542704" w14:textId="77777777" w:rsidR="00FD157B" w:rsidRPr="00215D48" w:rsidRDefault="00FD157B" w:rsidP="001631C6">
            <w:r w:rsidRPr="00215D48">
              <w:t xml:space="preserve">Version </w:t>
            </w:r>
            <w:bookmarkStart w:id="47" w:name="ColumnTitle_4"/>
          </w:p>
        </w:tc>
        <w:tc>
          <w:tcPr>
            <w:tcW w:w="3242" w:type="dxa"/>
          </w:tcPr>
          <w:p w14:paraId="4E696AE4" w14:textId="77777777" w:rsidR="00FD157B" w:rsidRPr="00215D48" w:rsidRDefault="00FD157B" w:rsidP="001631C6">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14:paraId="3D368DA3" w14:textId="77777777" w:rsidR="00FD157B" w:rsidRPr="00215D48" w:rsidRDefault="00FD157B" w:rsidP="001631C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0E48AC4" w14:textId="77777777" w:rsidR="00FD157B" w:rsidRPr="00215D48" w:rsidRDefault="00FD157B" w:rsidP="001631C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7"/>
      <w:tr w:rsidR="00FD157B" w:rsidRPr="00215D48" w14:paraId="1B5ADB78" w14:textId="77777777" w:rsidTr="001631C6">
        <w:trPr>
          <w:cantSplit w:val="0"/>
        </w:trPr>
        <w:tc>
          <w:tcPr>
            <w:cnfStyle w:val="001000000000" w:firstRow="0" w:lastRow="0" w:firstColumn="1" w:lastColumn="0" w:oddVBand="0" w:evenVBand="0" w:oddHBand="0" w:evenHBand="0" w:firstRowFirstColumn="0" w:firstRowLastColumn="0" w:lastRowFirstColumn="0" w:lastRowLastColumn="0"/>
            <w:tcW w:w="1276" w:type="dxa"/>
          </w:tcPr>
          <w:p w14:paraId="158E944F" w14:textId="77777777" w:rsidR="00FD157B" w:rsidRPr="00215D48" w:rsidRDefault="00FD157B" w:rsidP="001631C6">
            <w:pPr>
              <w:keepNext/>
            </w:pPr>
            <w:r w:rsidRPr="00215D48">
              <w:t>V1.0</w:t>
            </w:r>
          </w:p>
        </w:tc>
        <w:tc>
          <w:tcPr>
            <w:tcW w:w="3242" w:type="dxa"/>
          </w:tcPr>
          <w:p w14:paraId="19DC58BE" w14:textId="77777777" w:rsidR="00FD157B" w:rsidRPr="00215D48" w:rsidRDefault="00FD157B" w:rsidP="001631C6">
            <w:pPr>
              <w:keepNext/>
              <w:cnfStyle w:val="000000000000" w:firstRow="0" w:lastRow="0" w:firstColumn="0" w:lastColumn="0" w:oddVBand="0" w:evenVBand="0" w:oddHBand="0" w:evenHBand="0" w:firstRowFirstColumn="0" w:firstRowLastColumn="0" w:lastRowFirstColumn="0" w:lastRowLastColumn="0"/>
            </w:pPr>
            <w:r>
              <w:t>Original publication</w:t>
            </w:r>
          </w:p>
        </w:tc>
        <w:tc>
          <w:tcPr>
            <w:tcW w:w="2712" w:type="dxa"/>
          </w:tcPr>
          <w:p w14:paraId="354533C9" w14:textId="77777777" w:rsidR="00FD157B" w:rsidRPr="00215D48" w:rsidRDefault="00FD157B" w:rsidP="001631C6">
            <w:pPr>
              <w:keepNext/>
              <w:cnfStyle w:val="000000000000" w:firstRow="0" w:lastRow="0" w:firstColumn="0" w:lastColumn="0" w:oddVBand="0" w:evenVBand="0" w:oddHBand="0" w:evenHBand="0" w:firstRowFirstColumn="0" w:firstRowLastColumn="0" w:lastRowFirstColumn="0" w:lastRowLastColumn="0"/>
            </w:pPr>
            <w:r>
              <w:t>DQAAS/MDSB</w:t>
            </w:r>
          </w:p>
        </w:tc>
        <w:tc>
          <w:tcPr>
            <w:tcW w:w="1808" w:type="dxa"/>
          </w:tcPr>
          <w:p w14:paraId="50AD1712" w14:textId="0C86E7B4" w:rsidR="00FD157B" w:rsidRPr="00215D48" w:rsidRDefault="00FD157B" w:rsidP="00FD157B">
            <w:pPr>
              <w:keepNext/>
              <w:cnfStyle w:val="000000000000" w:firstRow="0" w:lastRow="0" w:firstColumn="0" w:lastColumn="0" w:oddVBand="0" w:evenVBand="0" w:oddHBand="0" w:evenHBand="0" w:firstRowFirstColumn="0" w:firstRowLastColumn="0" w:lastRowFirstColumn="0" w:lastRowLastColumn="0"/>
            </w:pPr>
            <w:r>
              <w:t>June 2021</w:t>
            </w:r>
          </w:p>
        </w:tc>
      </w:tr>
    </w:tbl>
    <w:p w14:paraId="213D417E" w14:textId="77777777" w:rsidR="00FD157B" w:rsidRPr="007E399C" w:rsidRDefault="00FD157B" w:rsidP="00FD157B">
      <w:pPr>
        <w:rPr>
          <w:rStyle w:val="Hyperlink"/>
          <w:color w:val="auto"/>
          <w:u w:val="none"/>
        </w:rPr>
      </w:pPr>
    </w:p>
    <w:p w14:paraId="44CE8476" w14:textId="77777777" w:rsidR="007F5F3A" w:rsidRPr="00A33D1A" w:rsidRDefault="007F5F3A" w:rsidP="004716D9">
      <w:pPr>
        <w:pStyle w:val="ListBullet"/>
        <w:numPr>
          <w:ilvl w:val="0"/>
          <w:numId w:val="0"/>
        </w:numPr>
        <w:ind w:left="360" w:hanging="360"/>
        <w:rPr>
          <w:rStyle w:val="Hyperlink"/>
          <w:color w:val="auto"/>
          <w:u w:val="none"/>
        </w:rPr>
        <w:sectPr w:rsidR="007F5F3A" w:rsidRPr="00A33D1A" w:rsidSect="007F5F3A">
          <w:headerReference w:type="default" r:id="rId40"/>
          <w:footerReference w:type="default" r:id="rId41"/>
          <w:pgSz w:w="11906" w:h="16838" w:code="9"/>
          <w:pgMar w:top="1134" w:right="1418" w:bottom="1361" w:left="1418" w:header="573" w:footer="567"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8504"/>
      </w:tblGrid>
      <w:tr w:rsidR="00C50E5C" w:rsidRPr="00215D48" w14:paraId="5A1E6B38" w14:textId="77777777" w:rsidTr="007555A9">
        <w:trPr>
          <w:cantSplit/>
          <w:jc w:val="center"/>
        </w:trPr>
        <w:tc>
          <w:tcPr>
            <w:tcW w:w="5000" w:type="pct"/>
          </w:tcPr>
          <w:p w14:paraId="0E07BE5B" w14:textId="77777777" w:rsidR="00C50E5C" w:rsidRPr="00215D48" w:rsidRDefault="00C50E5C" w:rsidP="007555A9">
            <w:pPr>
              <w:pStyle w:val="TGASignoff"/>
              <w:keepNext/>
              <w:widowControl w:val="0"/>
              <w:spacing w:before="0"/>
            </w:pPr>
            <w:bookmarkStart w:id="48" w:name="_Appendix_A:_Australian"/>
            <w:bookmarkStart w:id="49" w:name="_Appendix_B:_Australian"/>
            <w:bookmarkEnd w:id="48"/>
            <w:bookmarkEnd w:id="49"/>
            <w:r w:rsidRPr="00215D48">
              <w:t>Therapeutic Goods Administration</w:t>
            </w:r>
          </w:p>
        </w:tc>
      </w:tr>
      <w:tr w:rsidR="00C50E5C" w:rsidRPr="00215D48" w14:paraId="2B1DDDDF" w14:textId="77777777" w:rsidTr="007555A9">
        <w:trPr>
          <w:cantSplit/>
          <w:jc w:val="center"/>
        </w:trPr>
        <w:tc>
          <w:tcPr>
            <w:tcW w:w="5000" w:type="pct"/>
            <w:tcMar>
              <w:top w:w="28" w:type="dxa"/>
            </w:tcMar>
          </w:tcPr>
          <w:p w14:paraId="5C042C18" w14:textId="77777777" w:rsidR="00C50E5C" w:rsidRPr="00215D48" w:rsidRDefault="00C50E5C" w:rsidP="007555A9">
            <w:pPr>
              <w:pStyle w:val="Address"/>
              <w:keepNext/>
              <w:widowControl w:val="0"/>
              <w:jc w:val="center"/>
            </w:pPr>
            <w:r w:rsidRPr="00215D48">
              <w:t>PO Box 100 Woden ACT 2606 Australia</w:t>
            </w:r>
          </w:p>
          <w:p w14:paraId="271C6C03" w14:textId="77777777" w:rsidR="001A3190" w:rsidRDefault="00C50E5C" w:rsidP="007555A9">
            <w:pPr>
              <w:pStyle w:val="Address"/>
              <w:keepNext/>
              <w:widowControl w:val="0"/>
              <w:jc w:val="center"/>
              <w:rPr>
                <w:sz w:val="22"/>
                <w:szCs w:val="22"/>
              </w:rPr>
            </w:pPr>
            <w:r w:rsidRPr="00215D48">
              <w:t xml:space="preserve">Email: </w:t>
            </w:r>
            <w:hyperlink r:id="rId42" w:history="1">
              <w:r w:rsidRPr="00215D48">
                <w:rPr>
                  <w:rStyle w:val="Hyperlink"/>
                </w:rPr>
                <w:t>info@tga.gov.au</w:t>
              </w:r>
            </w:hyperlink>
            <w:r w:rsidRPr="00215D48">
              <w:t xml:space="preserve">  Phone: 1800 020 653  Fax: </w:t>
            </w:r>
            <w:r w:rsidR="001A3190" w:rsidRPr="00BA0DFC">
              <w:t>02 6203 1605</w:t>
            </w:r>
          </w:p>
          <w:p w14:paraId="08687A06" w14:textId="475FC978" w:rsidR="00C664AA" w:rsidRPr="00215D48" w:rsidRDefault="00FD157B" w:rsidP="007555A9">
            <w:pPr>
              <w:pStyle w:val="Address"/>
              <w:keepNext/>
              <w:widowControl w:val="0"/>
              <w:jc w:val="center"/>
              <w:rPr>
                <w:rStyle w:val="Hyperlink"/>
                <w:b/>
                <w:color w:val="auto"/>
                <w:sz w:val="22"/>
                <w:u w:val="none"/>
              </w:rPr>
            </w:pPr>
            <w:hyperlink r:id="rId43" w:history="1">
              <w:r w:rsidR="00215D48" w:rsidRPr="00C4721A">
                <w:rPr>
                  <w:rStyle w:val="Hyperlink"/>
                  <w:b/>
                </w:rPr>
                <w:t>https://www.tga.gov.au</w:t>
              </w:r>
            </w:hyperlink>
          </w:p>
        </w:tc>
      </w:tr>
      <w:tr w:rsidR="00C50E5C" w:rsidRPr="00215D48" w14:paraId="1F097FE7" w14:textId="77777777" w:rsidTr="007555A9">
        <w:trPr>
          <w:cantSplit/>
          <w:jc w:val="center"/>
        </w:trPr>
        <w:tc>
          <w:tcPr>
            <w:tcW w:w="5000" w:type="pct"/>
            <w:tcMar>
              <w:top w:w="28" w:type="dxa"/>
            </w:tcMar>
          </w:tcPr>
          <w:p w14:paraId="33D57580" w14:textId="338E009B" w:rsidR="00C50E5C" w:rsidRPr="00215D48" w:rsidRDefault="007B18DE" w:rsidP="007555A9">
            <w:pPr>
              <w:pStyle w:val="Address"/>
              <w:keepNext/>
              <w:widowControl w:val="0"/>
              <w:jc w:val="center"/>
            </w:pPr>
            <w:r w:rsidRPr="00215D48">
              <w:t>Reference/Publication #</w:t>
            </w:r>
          </w:p>
        </w:tc>
      </w:tr>
    </w:tbl>
    <w:p w14:paraId="4A7C7092" w14:textId="77777777" w:rsidR="00706634" w:rsidRPr="00215D48" w:rsidRDefault="00706634" w:rsidP="007B18DE">
      <w:pPr>
        <w:rPr>
          <w:sz w:val="20"/>
        </w:rPr>
      </w:pPr>
    </w:p>
    <w:sectPr w:rsidR="00706634" w:rsidRPr="00215D48" w:rsidSect="007555A9">
      <w:headerReference w:type="first" r:id="rId44"/>
      <w:footerReference w:type="first" r:id="rId45"/>
      <w:pgSz w:w="11906" w:h="16838" w:code="9"/>
      <w:pgMar w:top="12900" w:right="1701" w:bottom="567" w:left="1701" w:header="1134" w:footer="78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73542" w16cex:dateUtc="2021-06-18T05:07:00Z"/>
  <w16cex:commentExtensible w16cex:durableId="24773EFF" w16cex:dateUtc="2021-06-18T05:49:00Z"/>
  <w16cex:commentExtensible w16cex:durableId="24773F22" w16cex:dateUtc="2021-06-18T05:49:00Z"/>
  <w16cex:commentExtensible w16cex:durableId="24773F3A" w16cex:dateUtc="2021-06-18T05:50:00Z"/>
  <w16cex:commentExtensible w16cex:durableId="24773F62" w16cex:dateUtc="2021-06-18T05:50:00Z"/>
  <w16cex:commentExtensible w16cex:durableId="24773F6F" w16cex:dateUtc="2021-06-18T05:51:00Z"/>
  <w16cex:commentExtensible w16cex:durableId="24773F7C" w16cex:dateUtc="2021-06-18T05:51:00Z"/>
  <w16cex:commentExtensible w16cex:durableId="24773FED" w16cex:dateUtc="2021-06-18T05:53:00Z"/>
  <w16cex:commentExtensible w16cex:durableId="24774140" w16cex:dateUtc="2021-06-18T05:58:00Z"/>
  <w16cex:commentExtensible w16cex:durableId="2477416D" w16cex:dateUtc="2021-06-18T05:59:00Z"/>
  <w16cex:commentExtensible w16cex:durableId="247741CC" w16cex:dateUtc="2021-06-18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4D161E" w16cid:durableId="24773542"/>
  <w16cid:commentId w16cid:paraId="073E9505" w16cid:durableId="24773450"/>
  <w16cid:commentId w16cid:paraId="2B5A714B" w16cid:durableId="24773451"/>
  <w16cid:commentId w16cid:paraId="7C2AEF75" w16cid:durableId="24773452"/>
  <w16cid:commentId w16cid:paraId="1377527D" w16cid:durableId="24773453"/>
  <w16cid:commentId w16cid:paraId="7F941C6A" w16cid:durableId="24773454"/>
  <w16cid:commentId w16cid:paraId="4A508DB2" w16cid:durableId="24773455"/>
  <w16cid:commentId w16cid:paraId="63F90891" w16cid:durableId="24773456"/>
  <w16cid:commentId w16cid:paraId="795807AB" w16cid:durableId="24773EFF"/>
  <w16cid:commentId w16cid:paraId="2CAF8956" w16cid:durableId="24773457"/>
  <w16cid:commentId w16cid:paraId="72BA9CAF" w16cid:durableId="24773F22"/>
  <w16cid:commentId w16cid:paraId="4F0DECB3" w16cid:durableId="24773F3A"/>
  <w16cid:commentId w16cid:paraId="4736C251" w16cid:durableId="24773F62"/>
  <w16cid:commentId w16cid:paraId="748D8C69" w16cid:durableId="24773F6F"/>
  <w16cid:commentId w16cid:paraId="4F9A214E" w16cid:durableId="24773F7C"/>
  <w16cid:commentId w16cid:paraId="6AB6D5DC" w16cid:durableId="24773458"/>
  <w16cid:commentId w16cid:paraId="72D1C95B" w16cid:durableId="24773FED"/>
  <w16cid:commentId w16cid:paraId="7AF3DA90" w16cid:durableId="24773459"/>
  <w16cid:commentId w16cid:paraId="4FA78023" w16cid:durableId="2477345A"/>
  <w16cid:commentId w16cid:paraId="0D2440D6" w16cid:durableId="2477345B"/>
  <w16cid:commentId w16cid:paraId="47448B51" w16cid:durableId="2477345C"/>
  <w16cid:commentId w16cid:paraId="6B2CF2A1" w16cid:durableId="2477345D"/>
  <w16cid:commentId w16cid:paraId="6D5A5798" w16cid:durableId="2477345E"/>
  <w16cid:commentId w16cid:paraId="3C3F0A8C" w16cid:durableId="2477345F"/>
  <w16cid:commentId w16cid:paraId="33BA7516" w16cid:durableId="24773460"/>
  <w16cid:commentId w16cid:paraId="55B0C9FF" w16cid:durableId="24773461"/>
  <w16cid:commentId w16cid:paraId="15D3ADFF" w16cid:durableId="24773462"/>
  <w16cid:commentId w16cid:paraId="6C92EB3E" w16cid:durableId="24773463"/>
  <w16cid:commentId w16cid:paraId="6820342C" w16cid:durableId="24773464"/>
  <w16cid:commentId w16cid:paraId="440FF256" w16cid:durableId="24773465"/>
  <w16cid:commentId w16cid:paraId="2BE82BF2" w16cid:durableId="24773466"/>
  <w16cid:commentId w16cid:paraId="61908244" w16cid:durableId="24773467"/>
  <w16cid:commentId w16cid:paraId="12BD9261" w16cid:durableId="24773468"/>
  <w16cid:commentId w16cid:paraId="3C06CE96" w16cid:durableId="24773469"/>
  <w16cid:commentId w16cid:paraId="6489F8D2" w16cid:durableId="2477346A"/>
  <w16cid:commentId w16cid:paraId="6F2594B1" w16cid:durableId="2477346B"/>
  <w16cid:commentId w16cid:paraId="6426A0EB" w16cid:durableId="2477346C"/>
  <w16cid:commentId w16cid:paraId="6E2C3B40" w16cid:durableId="2477346D"/>
  <w16cid:commentId w16cid:paraId="50836E8C" w16cid:durableId="2477346E"/>
  <w16cid:commentId w16cid:paraId="2C1E9ED7" w16cid:durableId="2477346F"/>
  <w16cid:commentId w16cid:paraId="060FCC33" w16cid:durableId="24773470"/>
  <w16cid:commentId w16cid:paraId="167689C2" w16cid:durableId="24773471"/>
  <w16cid:commentId w16cid:paraId="5D3CED6E" w16cid:durableId="24773472"/>
  <w16cid:commentId w16cid:paraId="1B7E97C8" w16cid:durableId="24774140"/>
  <w16cid:commentId w16cid:paraId="304917C1" w16cid:durableId="24773473"/>
  <w16cid:commentId w16cid:paraId="2D216907" w16cid:durableId="2477416D"/>
  <w16cid:commentId w16cid:paraId="6479FF3B" w16cid:durableId="24773474"/>
  <w16cid:commentId w16cid:paraId="2B5912E0" w16cid:durableId="24773475"/>
  <w16cid:commentId w16cid:paraId="0821FAA2" w16cid:durableId="24773476"/>
  <w16cid:commentId w16cid:paraId="426F4671" w16cid:durableId="24773477"/>
  <w16cid:commentId w16cid:paraId="63B1226D" w16cid:durableId="24773478"/>
  <w16cid:commentId w16cid:paraId="06D7B4EC" w16cid:durableId="24773479"/>
  <w16cid:commentId w16cid:paraId="5B2E2FED" w16cid:durableId="247741CC"/>
  <w16cid:commentId w16cid:paraId="1AE418E2" w16cid:durableId="2477347A"/>
  <w16cid:commentId w16cid:paraId="5B00E5A7" w16cid:durableId="2477347B"/>
  <w16cid:commentId w16cid:paraId="3434CF8A" w16cid:durableId="2477347C"/>
  <w16cid:commentId w16cid:paraId="7BBB1AF6" w16cid:durableId="2477347D"/>
  <w16cid:commentId w16cid:paraId="532AB052" w16cid:durableId="2477347E"/>
  <w16cid:commentId w16cid:paraId="25B0728E" w16cid:durableId="2477347F"/>
  <w16cid:commentId w16cid:paraId="60A2C3F7" w16cid:durableId="24773480"/>
  <w16cid:commentId w16cid:paraId="313C230C" w16cid:durableId="24773481"/>
  <w16cid:commentId w16cid:paraId="67829653" w16cid:durableId="24773482"/>
  <w16cid:commentId w16cid:paraId="72162F88" w16cid:durableId="24773483"/>
  <w16cid:commentId w16cid:paraId="49A1FA75" w16cid:durableId="24773484"/>
  <w16cid:commentId w16cid:paraId="423FEBF1" w16cid:durableId="24773485"/>
  <w16cid:commentId w16cid:paraId="51B5E295" w16cid:durableId="24773486"/>
  <w16cid:commentId w16cid:paraId="155D9825" w16cid:durableId="24773487"/>
  <w16cid:commentId w16cid:paraId="3DDB5E86" w16cid:durableId="24773488"/>
  <w16cid:commentId w16cid:paraId="1C856503" w16cid:durableId="24773489"/>
  <w16cid:commentId w16cid:paraId="1ABEED3D" w16cid:durableId="2477348A"/>
  <w16cid:commentId w16cid:paraId="7C3D9C93" w16cid:durableId="2477348B"/>
  <w16cid:commentId w16cid:paraId="36065B0E" w16cid:durableId="2477348C"/>
  <w16cid:commentId w16cid:paraId="2CDFEE4C" w16cid:durableId="2477348D"/>
  <w16cid:commentId w16cid:paraId="62A0F697" w16cid:durableId="2477348E"/>
  <w16cid:commentId w16cid:paraId="340FC838" w16cid:durableId="2477348F"/>
  <w16cid:commentId w16cid:paraId="1AEC3EAB" w16cid:durableId="24773490"/>
  <w16cid:commentId w16cid:paraId="3514DFB6" w16cid:durableId="24773491"/>
  <w16cid:commentId w16cid:paraId="6E2FAD03" w16cid:durableId="24773492"/>
  <w16cid:commentId w16cid:paraId="4C7712B5" w16cid:durableId="24773493"/>
  <w16cid:commentId w16cid:paraId="45E9874D" w16cid:durableId="24773494"/>
  <w16cid:commentId w16cid:paraId="62BE6373" w16cid:durableId="24773495"/>
  <w16cid:commentId w16cid:paraId="0733871B" w16cid:durableId="24773496"/>
  <w16cid:commentId w16cid:paraId="6FECF141" w16cid:durableId="24773497"/>
  <w16cid:commentId w16cid:paraId="4085C6FE" w16cid:durableId="24773498"/>
  <w16cid:commentId w16cid:paraId="15177A27" w16cid:durableId="24773499"/>
  <w16cid:commentId w16cid:paraId="31F8EA82" w16cid:durableId="2477349A"/>
  <w16cid:commentId w16cid:paraId="696F40AD" w16cid:durableId="2477349B"/>
  <w16cid:commentId w16cid:paraId="64B56BCB" w16cid:durableId="2477349C"/>
  <w16cid:commentId w16cid:paraId="3C78B4B2" w16cid:durableId="2477349D"/>
  <w16cid:commentId w16cid:paraId="7DB8F165" w16cid:durableId="2477349E"/>
  <w16cid:commentId w16cid:paraId="10DA76D0" w16cid:durableId="2477349F"/>
  <w16cid:commentId w16cid:paraId="232E4399" w16cid:durableId="247734A0"/>
  <w16cid:commentId w16cid:paraId="5F7AC409" w16cid:durableId="247734A1"/>
  <w16cid:commentId w16cid:paraId="769BB610" w16cid:durableId="247734A2"/>
  <w16cid:commentId w16cid:paraId="5CBBFD63" w16cid:durableId="247734A3"/>
  <w16cid:commentId w16cid:paraId="44EEA426" w16cid:durableId="247734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5C2B" w14:textId="77777777" w:rsidR="005F784D" w:rsidRDefault="005F784D" w:rsidP="00C40A36">
      <w:pPr>
        <w:spacing w:after="0"/>
      </w:pPr>
      <w:r>
        <w:separator/>
      </w:r>
    </w:p>
  </w:endnote>
  <w:endnote w:type="continuationSeparator" w:id="0">
    <w:p w14:paraId="7D8B3691" w14:textId="77777777" w:rsidR="005F784D" w:rsidRDefault="005F784D" w:rsidP="00C40A36">
      <w:pPr>
        <w:spacing w:after="0"/>
      </w:pPr>
      <w:r>
        <w:continuationSeparator/>
      </w:r>
    </w:p>
  </w:endnote>
  <w:endnote w:type="continuationNotice" w:id="1">
    <w:p w14:paraId="3E5A8687" w14:textId="77777777" w:rsidR="005F784D" w:rsidRDefault="005F78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F784D" w:rsidRPr="00257138" w14:paraId="07AD81B3" w14:textId="77777777" w:rsidTr="000B30E5">
      <w:trPr>
        <w:trHeight w:val="423"/>
      </w:trPr>
      <w:tc>
        <w:tcPr>
          <w:tcW w:w="4360" w:type="dxa"/>
          <w:tcBorders>
            <w:top w:val="single" w:sz="4" w:space="0" w:color="auto"/>
          </w:tcBorders>
        </w:tcPr>
        <w:p w14:paraId="3DDE5E7C" w14:textId="77777777" w:rsidR="005F784D" w:rsidRDefault="005F784D" w:rsidP="000B30E5">
          <w:pPr>
            <w:pStyle w:val="Footer"/>
          </w:pPr>
        </w:p>
        <w:p w14:paraId="16DB9111" w14:textId="77777777" w:rsidR="005F784D" w:rsidRPr="00257138" w:rsidRDefault="005F784D"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05900BD" w14:textId="77777777" w:rsidR="005F784D" w:rsidRDefault="005F784D" w:rsidP="000B30E5">
              <w:pPr>
                <w:pStyle w:val="Footer"/>
                <w:jc w:val="right"/>
              </w:pPr>
            </w:p>
            <w:p w14:paraId="717DF1AE" w14:textId="7BF6A4DE" w:rsidR="005F784D" w:rsidRPr="00257138" w:rsidRDefault="005F784D"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D5431">
                <w:fldChar w:fldCharType="begin"/>
              </w:r>
              <w:r w:rsidR="00CD5431">
                <w:instrText xml:space="preserve"> NUMPAGES  </w:instrText>
              </w:r>
              <w:r w:rsidR="00CD5431">
                <w:fldChar w:fldCharType="separate"/>
              </w:r>
              <w:r>
                <w:rPr>
                  <w:noProof/>
                </w:rPr>
                <w:t>27</w:t>
              </w:r>
              <w:r w:rsidR="00CD5431">
                <w:rPr>
                  <w:noProof/>
                </w:rPr>
                <w:fldChar w:fldCharType="end"/>
              </w:r>
            </w:p>
          </w:sdtContent>
        </w:sdt>
      </w:tc>
    </w:tr>
    <w:tr w:rsidR="005F784D" w:rsidRPr="00257138" w14:paraId="2C1F8F70" w14:textId="77777777" w:rsidTr="000B30E5">
      <w:trPr>
        <w:trHeight w:val="263"/>
      </w:trPr>
      <w:tc>
        <w:tcPr>
          <w:tcW w:w="4360" w:type="dxa"/>
        </w:tcPr>
        <w:p w14:paraId="265557AB" w14:textId="77777777" w:rsidR="005F784D" w:rsidRPr="00257138" w:rsidRDefault="005F784D" w:rsidP="000B30E5">
          <w:pPr>
            <w:pStyle w:val="Footer"/>
          </w:pPr>
          <w:r w:rsidRPr="00257138">
            <w:t xml:space="preserve">V1.0 </w:t>
          </w:r>
          <w:r>
            <w:t>Month</w:t>
          </w:r>
          <w:r w:rsidRPr="00257138">
            <w:t xml:space="preserve"> 201</w:t>
          </w:r>
          <w:r>
            <w:t>2</w:t>
          </w:r>
        </w:p>
      </w:tc>
      <w:tc>
        <w:tcPr>
          <w:tcW w:w="4360" w:type="dxa"/>
        </w:tcPr>
        <w:p w14:paraId="3310F1F8" w14:textId="77777777" w:rsidR="005F784D" w:rsidRPr="00257138" w:rsidRDefault="005F784D" w:rsidP="000B30E5">
          <w:pPr>
            <w:pStyle w:val="Footer"/>
            <w:jc w:val="right"/>
          </w:pPr>
        </w:p>
      </w:tc>
    </w:tr>
  </w:tbl>
  <w:p w14:paraId="51CE7515" w14:textId="77777777" w:rsidR="005F784D" w:rsidRPr="00826007" w:rsidRDefault="005F784D"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4FA1" w14:textId="77777777" w:rsidR="005F784D" w:rsidRDefault="005F784D"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633"/>
      <w:gridCol w:w="1437"/>
    </w:tblGrid>
    <w:tr w:rsidR="005F784D" w:rsidRPr="004A3084" w14:paraId="360F490F" w14:textId="77777777" w:rsidTr="007555A9">
      <w:trPr>
        <w:trHeight w:val="423"/>
      </w:trPr>
      <w:tc>
        <w:tcPr>
          <w:tcW w:w="4208" w:type="pct"/>
          <w:tcBorders>
            <w:top w:val="single" w:sz="4" w:space="0" w:color="auto"/>
          </w:tcBorders>
        </w:tcPr>
        <w:p w14:paraId="6A03FD28" w14:textId="3FCEB697" w:rsidR="005F784D" w:rsidRDefault="005F784D" w:rsidP="00BB1A82">
          <w:pPr>
            <w:pStyle w:val="Footer"/>
          </w:pPr>
          <w:r w:rsidRPr="00785687">
            <w:t>Determinations for Australian conformity assessment bodies</w:t>
          </w:r>
        </w:p>
        <w:p w14:paraId="043D0FEC" w14:textId="6995E06C" w:rsidR="005F784D" w:rsidRPr="004A3084" w:rsidRDefault="005F784D" w:rsidP="00812BEA">
          <w:pPr>
            <w:pStyle w:val="Footer"/>
          </w:pPr>
          <w:r>
            <w:t>V1.0 June 2021</w:t>
          </w:r>
        </w:p>
      </w:tc>
      <w:tc>
        <w:tcPr>
          <w:tcW w:w="792" w:type="pct"/>
          <w:tcBorders>
            <w:top w:val="single" w:sz="4" w:space="0" w:color="auto"/>
          </w:tcBorders>
        </w:tcPr>
        <w:sdt>
          <w:sdtPr>
            <w:id w:val="1368174140"/>
            <w:docPartObj>
              <w:docPartGallery w:val="Page Numbers (Top of Page)"/>
              <w:docPartUnique/>
            </w:docPartObj>
          </w:sdtPr>
          <w:sdtEndPr>
            <w:rPr>
              <w:vanish/>
              <w:highlight w:val="yellow"/>
            </w:rPr>
          </w:sdtEndPr>
          <w:sdtContent>
            <w:p w14:paraId="35987D65" w14:textId="28A239CF" w:rsidR="005F784D" w:rsidRPr="004A3084" w:rsidRDefault="005F784D" w:rsidP="00231E8D">
              <w:pPr>
                <w:pStyle w:val="Footer"/>
                <w:jc w:val="right"/>
              </w:pPr>
              <w:r w:rsidRPr="004A3084">
                <w:t xml:space="preserve">Page </w:t>
              </w:r>
              <w:r>
                <w:fldChar w:fldCharType="begin"/>
              </w:r>
              <w:r>
                <w:instrText xml:space="preserve"> PAGE </w:instrText>
              </w:r>
              <w:r>
                <w:fldChar w:fldCharType="separate"/>
              </w:r>
              <w:r w:rsidR="00FD157B">
                <w:rPr>
                  <w:noProof/>
                </w:rPr>
                <w:t>15</w:t>
              </w:r>
              <w:r>
                <w:rPr>
                  <w:noProof/>
                </w:rPr>
                <w:fldChar w:fldCharType="end"/>
              </w:r>
              <w:r w:rsidRPr="004A3084">
                <w:t xml:space="preserve"> of </w:t>
              </w:r>
              <w:r w:rsidR="00CD5431">
                <w:fldChar w:fldCharType="begin"/>
              </w:r>
              <w:r w:rsidR="00CD5431">
                <w:instrText xml:space="preserve"> NUMPAGES  </w:instrText>
              </w:r>
              <w:r w:rsidR="00CD5431">
                <w:fldChar w:fldCharType="separate"/>
              </w:r>
              <w:r w:rsidR="00FD157B">
                <w:rPr>
                  <w:noProof/>
                </w:rPr>
                <w:t>16</w:t>
              </w:r>
              <w:r w:rsidR="00CD5431">
                <w:rPr>
                  <w:noProof/>
                </w:rPr>
                <w:fldChar w:fldCharType="end"/>
              </w:r>
            </w:p>
          </w:sdtContent>
        </w:sdt>
      </w:tc>
    </w:tr>
  </w:tbl>
  <w:p w14:paraId="0372953A" w14:textId="77777777" w:rsidR="005F784D" w:rsidRPr="00826007" w:rsidRDefault="005F784D" w:rsidP="007F5F3A">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E2A7" w14:textId="77777777" w:rsidR="005F784D" w:rsidRPr="008E3C43" w:rsidRDefault="005F784D"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E6704" w14:textId="77777777" w:rsidR="005F784D" w:rsidRDefault="005F784D" w:rsidP="00C40A36">
      <w:pPr>
        <w:spacing w:after="0"/>
      </w:pPr>
      <w:r>
        <w:separator/>
      </w:r>
    </w:p>
  </w:footnote>
  <w:footnote w:type="continuationSeparator" w:id="0">
    <w:p w14:paraId="1302642A" w14:textId="77777777" w:rsidR="005F784D" w:rsidRDefault="005F784D" w:rsidP="00C40A36">
      <w:pPr>
        <w:spacing w:after="0"/>
      </w:pPr>
      <w:r>
        <w:continuationSeparator/>
      </w:r>
    </w:p>
  </w:footnote>
  <w:footnote w:type="continuationNotice" w:id="1">
    <w:p w14:paraId="12494783" w14:textId="77777777" w:rsidR="005F784D" w:rsidRDefault="005F78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5AC5" w14:textId="300B3517" w:rsidR="005F784D" w:rsidRDefault="005F784D"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F784D" w:rsidRPr="002B29B2" w14:paraId="5238F770" w14:textId="77777777" w:rsidTr="00F71E1E">
      <w:trPr>
        <w:trHeight w:hRule="exact" w:val="8845"/>
      </w:trPr>
      <w:tc>
        <w:tcPr>
          <w:tcW w:w="11964" w:type="dxa"/>
          <w:vAlign w:val="center"/>
        </w:tcPr>
        <w:p w14:paraId="430C8437" w14:textId="77777777" w:rsidR="005F784D" w:rsidRPr="002B29B2" w:rsidRDefault="00FD157B" w:rsidP="006A2426">
          <w:pPr>
            <w:ind w:left="-57"/>
            <w:rPr>
              <w:noProof/>
            </w:rPr>
          </w:pPr>
          <w:sdt>
            <w:sdtPr>
              <w:rPr>
                <w:noProof/>
              </w:rPr>
              <w:id w:val="1926993388"/>
              <w:showingPlcHdr/>
              <w:picture/>
            </w:sdtPr>
            <w:sdtEndPr/>
            <w:sdtContent>
              <w:r w:rsidR="005F784D" w:rsidRPr="00F71E1E">
                <w:rPr>
                  <w:noProof/>
                  <w:lang w:eastAsia="en-AU"/>
                </w:rPr>
                <w:drawing>
                  <wp:inline distT="0" distB="0" distL="0" distR="0" wp14:anchorId="215EC926" wp14:editId="4C57773E">
                    <wp:extent cx="7600950" cy="552419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6E796C23" w14:textId="77777777" w:rsidR="005F784D" w:rsidRDefault="005F784D" w:rsidP="006D03E5">
    <w:pPr>
      <w:rPr>
        <w:noProof/>
      </w:rPr>
    </w:pPr>
    <w:r>
      <w:rPr>
        <w:noProof/>
        <w:lang w:eastAsia="en-AU"/>
      </w:rPr>
      <w:drawing>
        <wp:anchor distT="0" distB="0" distL="114300" distR="114300" simplePos="0" relativeHeight="251664384" behindDoc="0" locked="0" layoutInCell="1" allowOverlap="1" wp14:anchorId="52866774" wp14:editId="093BB67E">
          <wp:simplePos x="0" y="0"/>
          <wp:positionH relativeFrom="column">
            <wp:posOffset>-186055</wp:posOffset>
          </wp:positionH>
          <wp:positionV relativeFrom="paragraph">
            <wp:posOffset>-58420</wp:posOffset>
          </wp:positionV>
          <wp:extent cx="3524250" cy="1209675"/>
          <wp:effectExtent l="19050" t="0" r="0" b="0"/>
          <wp:wrapTopAndBottom/>
          <wp:docPr id="9"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52D4C216" wp14:editId="47269651">
          <wp:simplePos x="0" y="0"/>
          <wp:positionH relativeFrom="page">
            <wp:posOffset>0</wp:posOffset>
          </wp:positionH>
          <wp:positionV relativeFrom="page">
            <wp:posOffset>4152900</wp:posOffset>
          </wp:positionV>
          <wp:extent cx="7581900" cy="2447925"/>
          <wp:effectExtent l="19050" t="0" r="0" b="0"/>
          <wp:wrapNone/>
          <wp:docPr id="12" name="Picture 1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71C2" w14:textId="5BB563B0" w:rsidR="005F784D" w:rsidRDefault="005F784D"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E948" w14:textId="77777777" w:rsidR="005F784D" w:rsidRPr="00FE501F" w:rsidRDefault="005F784D"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F202C46"/>
    <w:lvl w:ilvl="0">
      <w:start w:val="1"/>
      <w:numFmt w:val="lowerLetter"/>
      <w:pStyle w:val="ListNumber2"/>
      <w:lvlText w:val="%1."/>
      <w:lvlJc w:val="left"/>
      <w:pPr>
        <w:ind w:left="644" w:hanging="360"/>
      </w:pPr>
    </w:lvl>
  </w:abstractNum>
  <w:abstractNum w:abstractNumId="1"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BA9EEE"/>
    <w:lvl w:ilvl="0">
      <w:start w:val="1"/>
      <w:numFmt w:val="bullet"/>
      <w:lvlText w:val="–"/>
      <w:lvlJc w:val="left"/>
      <w:pPr>
        <w:ind w:left="643" w:hanging="360"/>
      </w:pPr>
      <w:rPr>
        <w:rFonts w:ascii="Arial" w:hAnsi="Arial" w:hint="default"/>
      </w:rPr>
    </w:lvl>
  </w:abstractNum>
  <w:abstractNum w:abstractNumId="3" w15:restartNumberingAfterBreak="0">
    <w:nsid w:val="FFFFFF88"/>
    <w:multiLevelType w:val="multilevel"/>
    <w:tmpl w:val="AE80DAE8"/>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FFFFFF89"/>
    <w:multiLevelType w:val="singleLevel"/>
    <w:tmpl w:val="409C3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DD3C85"/>
    <w:multiLevelType w:val="hybridMultilevel"/>
    <w:tmpl w:val="CC38235C"/>
    <w:lvl w:ilvl="0" w:tplc="F6C0EB2E">
      <w:start w:val="5"/>
      <w:numFmt w:val="bullet"/>
      <w:lvlText w:val=""/>
      <w:lvlJc w:val="left"/>
      <w:pPr>
        <w:ind w:left="720" w:hanging="360"/>
      </w:pPr>
      <w:rPr>
        <w:rFonts w:ascii="Wingdings" w:eastAsia="Cambria"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022DB9"/>
    <w:multiLevelType w:val="hybridMultilevel"/>
    <w:tmpl w:val="8DD21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D96B46"/>
    <w:multiLevelType w:val="hybridMultilevel"/>
    <w:tmpl w:val="D82C9320"/>
    <w:lvl w:ilvl="0" w:tplc="50D21F30">
      <w:start w:val="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3E6BF9"/>
    <w:multiLevelType w:val="hybridMultilevel"/>
    <w:tmpl w:val="DD9644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15:restartNumberingAfterBreak="0">
    <w:nsid w:val="13502184"/>
    <w:multiLevelType w:val="hybridMultilevel"/>
    <w:tmpl w:val="6C5EEC9E"/>
    <w:lvl w:ilvl="0" w:tplc="FCD07DD2">
      <w:start w:val="4"/>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6D7C6D"/>
    <w:multiLevelType w:val="hybridMultilevel"/>
    <w:tmpl w:val="75C6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7375401"/>
    <w:multiLevelType w:val="hybridMultilevel"/>
    <w:tmpl w:val="B484CC7C"/>
    <w:lvl w:ilvl="0" w:tplc="121AB9A6">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D2CD7"/>
    <w:multiLevelType w:val="hybridMultilevel"/>
    <w:tmpl w:val="D73A7CC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6" w15:restartNumberingAfterBreak="0">
    <w:nsid w:val="1AB07FEC"/>
    <w:multiLevelType w:val="hybridMultilevel"/>
    <w:tmpl w:val="CFF8E468"/>
    <w:lvl w:ilvl="0" w:tplc="19BCAA88">
      <w:start w:val="5"/>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D12EF4"/>
    <w:multiLevelType w:val="hybridMultilevel"/>
    <w:tmpl w:val="E1B6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A04B0E"/>
    <w:multiLevelType w:val="hybridMultilevel"/>
    <w:tmpl w:val="2FB22162"/>
    <w:lvl w:ilvl="0" w:tplc="A7BAF8AA">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677300"/>
    <w:multiLevelType w:val="hybridMultilevel"/>
    <w:tmpl w:val="FD9618C6"/>
    <w:lvl w:ilvl="0" w:tplc="2994991A">
      <w:start w:val="4"/>
      <w:numFmt w:val="bullet"/>
      <w:lvlText w:val="-"/>
      <w:lvlJc w:val="left"/>
      <w:pPr>
        <w:ind w:left="1440" w:hanging="360"/>
      </w:pPr>
      <w:rPr>
        <w:rFonts w:ascii="Cambria" w:eastAsia="Cambria" w:hAnsi="Cambri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31809F6"/>
    <w:multiLevelType w:val="hybridMultilevel"/>
    <w:tmpl w:val="578CFC3A"/>
    <w:lvl w:ilvl="0" w:tplc="C69A9FF0">
      <w:start w:val="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180CD3"/>
    <w:multiLevelType w:val="hybridMultilevel"/>
    <w:tmpl w:val="7040B3F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24B455F2"/>
    <w:multiLevelType w:val="hybridMultilevel"/>
    <w:tmpl w:val="BDA2AA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B463CB"/>
    <w:multiLevelType w:val="hybridMultilevel"/>
    <w:tmpl w:val="723E2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FA6D70"/>
    <w:multiLevelType w:val="hybridMultilevel"/>
    <w:tmpl w:val="1E60B3E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3B8940B5"/>
    <w:multiLevelType w:val="hybridMultilevel"/>
    <w:tmpl w:val="4AEE1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6D5919"/>
    <w:multiLevelType w:val="hybridMultilevel"/>
    <w:tmpl w:val="97BC7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FF3BD5"/>
    <w:multiLevelType w:val="hybridMultilevel"/>
    <w:tmpl w:val="38A46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7C3917"/>
    <w:multiLevelType w:val="hybridMultilevel"/>
    <w:tmpl w:val="DC5EC690"/>
    <w:lvl w:ilvl="0" w:tplc="C69A9FF0">
      <w:start w:val="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3F5954"/>
    <w:multiLevelType w:val="hybridMultilevel"/>
    <w:tmpl w:val="D0920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8B4336"/>
    <w:multiLevelType w:val="hybridMultilevel"/>
    <w:tmpl w:val="87B0D0FA"/>
    <w:lvl w:ilvl="0" w:tplc="BF1C285A">
      <w:start w:val="4"/>
      <w:numFmt w:val="bullet"/>
      <w:lvlText w:val="-"/>
      <w:lvlJc w:val="left"/>
      <w:pPr>
        <w:ind w:left="1440" w:hanging="360"/>
      </w:pPr>
      <w:rPr>
        <w:rFonts w:ascii="Cambria" w:eastAsia="Cambria" w:hAnsi="Cambri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3" w15:restartNumberingAfterBreak="0">
    <w:nsid w:val="4FB21718"/>
    <w:multiLevelType w:val="hybridMultilevel"/>
    <w:tmpl w:val="44D64756"/>
    <w:lvl w:ilvl="0" w:tplc="7F7897F0">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6B6145"/>
    <w:multiLevelType w:val="hybridMultilevel"/>
    <w:tmpl w:val="AAFE3CA8"/>
    <w:lvl w:ilvl="0" w:tplc="7F7897F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DF490F"/>
    <w:multiLevelType w:val="hybridMultilevel"/>
    <w:tmpl w:val="1BE6B18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7" w15:restartNumberingAfterBreak="0">
    <w:nsid w:val="540F1B54"/>
    <w:multiLevelType w:val="hybridMultilevel"/>
    <w:tmpl w:val="25F69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2008EA"/>
    <w:multiLevelType w:val="hybridMultilevel"/>
    <w:tmpl w:val="4328D47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9" w15:restartNumberingAfterBreak="0">
    <w:nsid w:val="54C30285"/>
    <w:multiLevelType w:val="hybridMultilevel"/>
    <w:tmpl w:val="D284C46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0" w15:restartNumberingAfterBreak="0">
    <w:nsid w:val="5FF33984"/>
    <w:multiLevelType w:val="hybridMultilevel"/>
    <w:tmpl w:val="6FD479C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1" w15:restartNumberingAfterBreak="0">
    <w:nsid w:val="6B3A5E1F"/>
    <w:multiLevelType w:val="hybridMultilevel"/>
    <w:tmpl w:val="0778F1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E0C05EA"/>
    <w:multiLevelType w:val="hybridMultilevel"/>
    <w:tmpl w:val="DC984504"/>
    <w:lvl w:ilvl="0" w:tplc="851E53CA">
      <w:start w:val="4"/>
      <w:numFmt w:val="bullet"/>
      <w:lvlText w:val="-"/>
      <w:lvlJc w:val="left"/>
      <w:pPr>
        <w:ind w:left="1440" w:hanging="360"/>
      </w:pPr>
      <w:rPr>
        <w:rFonts w:ascii="Cambria" w:eastAsia="Cambria" w:hAnsi="Cambri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EB13BD2"/>
    <w:multiLevelType w:val="hybridMultilevel"/>
    <w:tmpl w:val="31B2E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CE59E9"/>
    <w:multiLevelType w:val="hybridMultilevel"/>
    <w:tmpl w:val="DA56D4D8"/>
    <w:lvl w:ilvl="0" w:tplc="6A408228">
      <w:start w:val="1"/>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350F2A"/>
    <w:multiLevelType w:val="multilevel"/>
    <w:tmpl w:val="F6A48DFA"/>
    <w:lvl w:ilvl="0">
      <w:start w:val="1"/>
      <w:numFmt w:val="bullet"/>
      <w:lvlText w:val=""/>
      <w:lvlJc w:val="left"/>
      <w:pPr>
        <w:tabs>
          <w:tab w:val="num" w:pos="785"/>
        </w:tabs>
        <w:ind w:left="785"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3"/>
  </w:num>
  <w:num w:numId="4">
    <w:abstractNumId w:val="13"/>
  </w:num>
  <w:num w:numId="5">
    <w:abstractNumId w:val="1"/>
  </w:num>
  <w:num w:numId="6">
    <w:abstractNumId w:val="13"/>
  </w:num>
  <w:num w:numId="7">
    <w:abstractNumId w:val="13"/>
  </w:num>
  <w:num w:numId="8">
    <w:abstractNumId w:val="9"/>
  </w:num>
  <w:num w:numId="9">
    <w:abstractNumId w:val="9"/>
  </w:num>
  <w:num w:numId="10">
    <w:abstractNumId w:val="9"/>
  </w:num>
  <w:num w:numId="11">
    <w:abstractNumId w:val="9"/>
  </w:num>
  <w:num w:numId="12">
    <w:abstractNumId w:val="13"/>
  </w:num>
  <w:num w:numId="13">
    <w:abstractNumId w:val="13"/>
  </w:num>
  <w:num w:numId="14">
    <w:abstractNumId w:val="13"/>
  </w:num>
  <w:num w:numId="15">
    <w:abstractNumId w:val="9"/>
  </w:num>
  <w:num w:numId="16">
    <w:abstractNumId w:val="9"/>
  </w:num>
  <w:num w:numId="17">
    <w:abstractNumId w:val="9"/>
  </w:num>
  <w:num w:numId="18">
    <w:abstractNumId w:val="11"/>
  </w:num>
  <w:num w:numId="19">
    <w:abstractNumId w:val="34"/>
  </w:num>
  <w:num w:numId="20">
    <w:abstractNumId w:val="22"/>
  </w:num>
  <w:num w:numId="21">
    <w:abstractNumId w:val="32"/>
  </w:num>
  <w:num w:numId="22">
    <w:abstractNumId w:val="6"/>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21"/>
  </w:num>
  <w:num w:numId="28">
    <w:abstractNumId w:val="41"/>
  </w:num>
  <w:num w:numId="29">
    <w:abstractNumId w:val="40"/>
  </w:num>
  <w:num w:numId="30">
    <w:abstractNumId w:val="39"/>
  </w:num>
  <w:num w:numId="31">
    <w:abstractNumId w:val="38"/>
  </w:num>
  <w:num w:numId="32">
    <w:abstractNumId w:val="9"/>
  </w:num>
  <w:num w:numId="33">
    <w:abstractNumId w:val="27"/>
  </w:num>
  <w:num w:numId="34">
    <w:abstractNumId w:val="14"/>
  </w:num>
  <w:num w:numId="35">
    <w:abstractNumId w:val="37"/>
  </w:num>
  <w:num w:numId="36">
    <w:abstractNumId w:val="26"/>
  </w:num>
  <w:num w:numId="37">
    <w:abstractNumId w:val="36"/>
  </w:num>
  <w:num w:numId="38">
    <w:abstractNumId w:val="17"/>
  </w:num>
  <w:num w:numId="39">
    <w:abstractNumId w:val="30"/>
  </w:num>
  <w:num w:numId="40">
    <w:abstractNumId w:val="43"/>
  </w:num>
  <w:num w:numId="41">
    <w:abstractNumId w:val="3"/>
  </w:num>
  <w:num w:numId="42">
    <w:abstractNumId w:val="0"/>
  </w:num>
  <w:num w:numId="43">
    <w:abstractNumId w:val="45"/>
  </w:num>
  <w:num w:numId="44">
    <w:abstractNumId w:val="13"/>
  </w:num>
  <w:num w:numId="45">
    <w:abstractNumId w:val="16"/>
  </w:num>
  <w:num w:numId="46">
    <w:abstractNumId w:val="5"/>
  </w:num>
  <w:num w:numId="47">
    <w:abstractNumId w:val="9"/>
  </w:num>
  <w:num w:numId="48">
    <w:abstractNumId w:val="9"/>
  </w:num>
  <w:num w:numId="49">
    <w:abstractNumId w:val="9"/>
  </w:num>
  <w:num w:numId="50">
    <w:abstractNumId w:val="9"/>
  </w:num>
  <w:num w:numId="51">
    <w:abstractNumId w:val="9"/>
  </w:num>
  <w:num w:numId="52">
    <w:abstractNumId w:val="9"/>
  </w:num>
  <w:num w:numId="53">
    <w:abstractNumId w:val="13"/>
  </w:num>
  <w:num w:numId="54">
    <w:abstractNumId w:val="13"/>
  </w:num>
  <w:num w:numId="55">
    <w:abstractNumId w:val="33"/>
  </w:num>
  <w:num w:numId="56">
    <w:abstractNumId w:val="13"/>
  </w:num>
  <w:num w:numId="57">
    <w:abstractNumId w:val="23"/>
  </w:num>
  <w:num w:numId="58">
    <w:abstractNumId w:val="9"/>
  </w:num>
  <w:num w:numId="59">
    <w:abstractNumId w:val="9"/>
  </w:num>
  <w:num w:numId="60">
    <w:abstractNumId w:val="9"/>
  </w:num>
  <w:num w:numId="61">
    <w:abstractNumId w:val="9"/>
  </w:num>
  <w:num w:numId="62">
    <w:abstractNumId w:val="35"/>
  </w:num>
  <w:num w:numId="63">
    <w:abstractNumId w:val="18"/>
  </w:num>
  <w:num w:numId="64">
    <w:abstractNumId w:val="44"/>
  </w:num>
  <w:num w:numId="65">
    <w:abstractNumId w:val="8"/>
  </w:num>
  <w:num w:numId="66">
    <w:abstractNumId w:val="13"/>
  </w:num>
  <w:num w:numId="67">
    <w:abstractNumId w:val="13"/>
  </w:num>
  <w:num w:numId="68">
    <w:abstractNumId w:val="13"/>
  </w:num>
  <w:num w:numId="69">
    <w:abstractNumId w:val="28"/>
  </w:num>
  <w:num w:numId="70">
    <w:abstractNumId w:val="13"/>
  </w:num>
  <w:num w:numId="71">
    <w:abstractNumId w:val="15"/>
  </w:num>
  <w:num w:numId="72">
    <w:abstractNumId w:val="10"/>
  </w:num>
  <w:num w:numId="73">
    <w:abstractNumId w:val="19"/>
  </w:num>
  <w:num w:numId="74">
    <w:abstractNumId w:val="31"/>
  </w:num>
  <w:num w:numId="75">
    <w:abstractNumId w:val="42"/>
  </w:num>
  <w:num w:numId="76">
    <w:abstractNumId w:val="20"/>
  </w:num>
  <w:num w:numId="77">
    <w:abstractNumId w:val="29"/>
  </w:num>
  <w:num w:numId="78">
    <w:abstractNumId w:val="13"/>
  </w:num>
  <w:num w:numId="79">
    <w:abstractNumId w:val="7"/>
  </w:num>
  <w:num w:numId="80">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5" fill="f" fillcolor="#c6d4e9" strokecolor="#002c47">
      <v:fill color="#c6d4e9" on="f"/>
      <v:stroke color="#002c47"/>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3A"/>
    <w:rsid w:val="00002031"/>
    <w:rsid w:val="000040BA"/>
    <w:rsid w:val="00004684"/>
    <w:rsid w:val="00004734"/>
    <w:rsid w:val="0000484A"/>
    <w:rsid w:val="000061FC"/>
    <w:rsid w:val="00006B22"/>
    <w:rsid w:val="00010E4D"/>
    <w:rsid w:val="00011AE1"/>
    <w:rsid w:val="0001276A"/>
    <w:rsid w:val="00015ACB"/>
    <w:rsid w:val="00016BEB"/>
    <w:rsid w:val="000224B9"/>
    <w:rsid w:val="000224F5"/>
    <w:rsid w:val="000246AE"/>
    <w:rsid w:val="00025C67"/>
    <w:rsid w:val="00030D34"/>
    <w:rsid w:val="00032FFB"/>
    <w:rsid w:val="00034921"/>
    <w:rsid w:val="000361AF"/>
    <w:rsid w:val="000463EF"/>
    <w:rsid w:val="00047B0A"/>
    <w:rsid w:val="0005073F"/>
    <w:rsid w:val="000550F4"/>
    <w:rsid w:val="0005559E"/>
    <w:rsid w:val="000561F3"/>
    <w:rsid w:val="0006094F"/>
    <w:rsid w:val="000664AB"/>
    <w:rsid w:val="0006763C"/>
    <w:rsid w:val="000703AB"/>
    <w:rsid w:val="00070908"/>
    <w:rsid w:val="0007728A"/>
    <w:rsid w:val="00077775"/>
    <w:rsid w:val="000803B7"/>
    <w:rsid w:val="00090471"/>
    <w:rsid w:val="00092815"/>
    <w:rsid w:val="000934A6"/>
    <w:rsid w:val="00095E79"/>
    <w:rsid w:val="00096884"/>
    <w:rsid w:val="00097015"/>
    <w:rsid w:val="000A18EA"/>
    <w:rsid w:val="000A3543"/>
    <w:rsid w:val="000A4371"/>
    <w:rsid w:val="000A4CE5"/>
    <w:rsid w:val="000A64BA"/>
    <w:rsid w:val="000B30E5"/>
    <w:rsid w:val="000B3532"/>
    <w:rsid w:val="000B3A75"/>
    <w:rsid w:val="000B42F4"/>
    <w:rsid w:val="000B574E"/>
    <w:rsid w:val="000B5E4E"/>
    <w:rsid w:val="000B6CAE"/>
    <w:rsid w:val="000B7084"/>
    <w:rsid w:val="000C0CA3"/>
    <w:rsid w:val="000C0E39"/>
    <w:rsid w:val="000C1F48"/>
    <w:rsid w:val="000C2928"/>
    <w:rsid w:val="000C3DFC"/>
    <w:rsid w:val="000D0851"/>
    <w:rsid w:val="000D157F"/>
    <w:rsid w:val="000D391B"/>
    <w:rsid w:val="000D3D6D"/>
    <w:rsid w:val="000D4FC7"/>
    <w:rsid w:val="000D5A22"/>
    <w:rsid w:val="000E22E8"/>
    <w:rsid w:val="000E43E1"/>
    <w:rsid w:val="000E5DAD"/>
    <w:rsid w:val="000F0241"/>
    <w:rsid w:val="000F0874"/>
    <w:rsid w:val="000F1C73"/>
    <w:rsid w:val="000F1D3F"/>
    <w:rsid w:val="000F27E6"/>
    <w:rsid w:val="000F2CF5"/>
    <w:rsid w:val="000F4869"/>
    <w:rsid w:val="000F5176"/>
    <w:rsid w:val="000F5978"/>
    <w:rsid w:val="000F5B42"/>
    <w:rsid w:val="000F6E6F"/>
    <w:rsid w:val="001003F2"/>
    <w:rsid w:val="001016A3"/>
    <w:rsid w:val="00101876"/>
    <w:rsid w:val="00101A12"/>
    <w:rsid w:val="00102BDA"/>
    <w:rsid w:val="00105C41"/>
    <w:rsid w:val="0010601F"/>
    <w:rsid w:val="00110EA5"/>
    <w:rsid w:val="00112BC0"/>
    <w:rsid w:val="00112FB9"/>
    <w:rsid w:val="00115240"/>
    <w:rsid w:val="00115508"/>
    <w:rsid w:val="001167EE"/>
    <w:rsid w:val="001176C5"/>
    <w:rsid w:val="001210F1"/>
    <w:rsid w:val="00123816"/>
    <w:rsid w:val="001238F4"/>
    <w:rsid w:val="00125091"/>
    <w:rsid w:val="00125318"/>
    <w:rsid w:val="001305A2"/>
    <w:rsid w:val="00133238"/>
    <w:rsid w:val="00136C79"/>
    <w:rsid w:val="00136D8E"/>
    <w:rsid w:val="00140FE3"/>
    <w:rsid w:val="0014141B"/>
    <w:rsid w:val="0014197B"/>
    <w:rsid w:val="0014247A"/>
    <w:rsid w:val="0014266D"/>
    <w:rsid w:val="001447CD"/>
    <w:rsid w:val="001450D8"/>
    <w:rsid w:val="00146855"/>
    <w:rsid w:val="00146CBF"/>
    <w:rsid w:val="0014780A"/>
    <w:rsid w:val="001500F7"/>
    <w:rsid w:val="001516B1"/>
    <w:rsid w:val="001525B4"/>
    <w:rsid w:val="00155CD3"/>
    <w:rsid w:val="00156316"/>
    <w:rsid w:val="001570D9"/>
    <w:rsid w:val="001572E5"/>
    <w:rsid w:val="0016231E"/>
    <w:rsid w:val="00165389"/>
    <w:rsid w:val="00165DC3"/>
    <w:rsid w:val="00170A50"/>
    <w:rsid w:val="001713A3"/>
    <w:rsid w:val="00172A15"/>
    <w:rsid w:val="0017693F"/>
    <w:rsid w:val="0018110E"/>
    <w:rsid w:val="00181684"/>
    <w:rsid w:val="001843C6"/>
    <w:rsid w:val="001850E0"/>
    <w:rsid w:val="0018660B"/>
    <w:rsid w:val="00192AAA"/>
    <w:rsid w:val="0019482F"/>
    <w:rsid w:val="00195FD1"/>
    <w:rsid w:val="001A1ED0"/>
    <w:rsid w:val="001A3190"/>
    <w:rsid w:val="001A525F"/>
    <w:rsid w:val="001A78DC"/>
    <w:rsid w:val="001B09F9"/>
    <w:rsid w:val="001B0E6E"/>
    <w:rsid w:val="001B1794"/>
    <w:rsid w:val="001B6448"/>
    <w:rsid w:val="001B78F1"/>
    <w:rsid w:val="001C2577"/>
    <w:rsid w:val="001C3A9E"/>
    <w:rsid w:val="001C3F06"/>
    <w:rsid w:val="001C5A2B"/>
    <w:rsid w:val="001C5CAD"/>
    <w:rsid w:val="001C5D53"/>
    <w:rsid w:val="001C7AEB"/>
    <w:rsid w:val="001D26F1"/>
    <w:rsid w:val="001D2BF5"/>
    <w:rsid w:val="001D4BB1"/>
    <w:rsid w:val="001D7224"/>
    <w:rsid w:val="001D74A9"/>
    <w:rsid w:val="001E07CF"/>
    <w:rsid w:val="001E1DBF"/>
    <w:rsid w:val="001E275A"/>
    <w:rsid w:val="001E5038"/>
    <w:rsid w:val="001E59F1"/>
    <w:rsid w:val="001F124F"/>
    <w:rsid w:val="001F20F9"/>
    <w:rsid w:val="001F4665"/>
    <w:rsid w:val="001F49EB"/>
    <w:rsid w:val="001F6CBA"/>
    <w:rsid w:val="00200064"/>
    <w:rsid w:val="002002D1"/>
    <w:rsid w:val="00201D4E"/>
    <w:rsid w:val="00203E6C"/>
    <w:rsid w:val="002043D1"/>
    <w:rsid w:val="00207C01"/>
    <w:rsid w:val="002100A8"/>
    <w:rsid w:val="002148EB"/>
    <w:rsid w:val="00215D48"/>
    <w:rsid w:val="00217091"/>
    <w:rsid w:val="00217EEF"/>
    <w:rsid w:val="0022000A"/>
    <w:rsid w:val="00220B8A"/>
    <w:rsid w:val="0022215B"/>
    <w:rsid w:val="002257F3"/>
    <w:rsid w:val="00230236"/>
    <w:rsid w:val="00231005"/>
    <w:rsid w:val="00231E8D"/>
    <w:rsid w:val="00232B8E"/>
    <w:rsid w:val="00233456"/>
    <w:rsid w:val="002339A5"/>
    <w:rsid w:val="0023499D"/>
    <w:rsid w:val="00235296"/>
    <w:rsid w:val="00237691"/>
    <w:rsid w:val="00241497"/>
    <w:rsid w:val="00247268"/>
    <w:rsid w:val="00247C4C"/>
    <w:rsid w:val="00247FB9"/>
    <w:rsid w:val="00252866"/>
    <w:rsid w:val="00256020"/>
    <w:rsid w:val="00257138"/>
    <w:rsid w:val="00257848"/>
    <w:rsid w:val="00265915"/>
    <w:rsid w:val="0027084A"/>
    <w:rsid w:val="00271D97"/>
    <w:rsid w:val="0027545A"/>
    <w:rsid w:val="0027648D"/>
    <w:rsid w:val="00277D18"/>
    <w:rsid w:val="00280C81"/>
    <w:rsid w:val="00281F9C"/>
    <w:rsid w:val="00282C36"/>
    <w:rsid w:val="00286434"/>
    <w:rsid w:val="00286C59"/>
    <w:rsid w:val="00290102"/>
    <w:rsid w:val="0029069E"/>
    <w:rsid w:val="00290795"/>
    <w:rsid w:val="00292216"/>
    <w:rsid w:val="002942D1"/>
    <w:rsid w:val="00294364"/>
    <w:rsid w:val="002A0556"/>
    <w:rsid w:val="002A07B0"/>
    <w:rsid w:val="002A36E0"/>
    <w:rsid w:val="002A592C"/>
    <w:rsid w:val="002A5B3A"/>
    <w:rsid w:val="002B051A"/>
    <w:rsid w:val="002B1638"/>
    <w:rsid w:val="002B25CB"/>
    <w:rsid w:val="002B288C"/>
    <w:rsid w:val="002B29B2"/>
    <w:rsid w:val="002B3640"/>
    <w:rsid w:val="002C376C"/>
    <w:rsid w:val="002C58D0"/>
    <w:rsid w:val="002C6E9C"/>
    <w:rsid w:val="002C6F01"/>
    <w:rsid w:val="002C7999"/>
    <w:rsid w:val="002D61F5"/>
    <w:rsid w:val="002E057A"/>
    <w:rsid w:val="002E193A"/>
    <w:rsid w:val="002E2308"/>
    <w:rsid w:val="002E2E44"/>
    <w:rsid w:val="002E364F"/>
    <w:rsid w:val="002E4C9A"/>
    <w:rsid w:val="002E57BE"/>
    <w:rsid w:val="002F0DBC"/>
    <w:rsid w:val="002F11F8"/>
    <w:rsid w:val="002F260A"/>
    <w:rsid w:val="002F342A"/>
    <w:rsid w:val="002F3F56"/>
    <w:rsid w:val="002F44B5"/>
    <w:rsid w:val="0030005C"/>
    <w:rsid w:val="00300350"/>
    <w:rsid w:val="00300B3A"/>
    <w:rsid w:val="00301FA3"/>
    <w:rsid w:val="00302D54"/>
    <w:rsid w:val="0030527C"/>
    <w:rsid w:val="00311AC0"/>
    <w:rsid w:val="00314FAB"/>
    <w:rsid w:val="003221ED"/>
    <w:rsid w:val="00322910"/>
    <w:rsid w:val="003235B6"/>
    <w:rsid w:val="00323F14"/>
    <w:rsid w:val="003252DE"/>
    <w:rsid w:val="00331DBB"/>
    <w:rsid w:val="00335C3B"/>
    <w:rsid w:val="003361D1"/>
    <w:rsid w:val="00336877"/>
    <w:rsid w:val="0034112D"/>
    <w:rsid w:val="00350236"/>
    <w:rsid w:val="0035146C"/>
    <w:rsid w:val="00351B31"/>
    <w:rsid w:val="003521E8"/>
    <w:rsid w:val="003524FA"/>
    <w:rsid w:val="0035565D"/>
    <w:rsid w:val="00357700"/>
    <w:rsid w:val="00361921"/>
    <w:rsid w:val="003634BF"/>
    <w:rsid w:val="0036361E"/>
    <w:rsid w:val="00364477"/>
    <w:rsid w:val="003664BF"/>
    <w:rsid w:val="00370569"/>
    <w:rsid w:val="003728F3"/>
    <w:rsid w:val="003757D0"/>
    <w:rsid w:val="00376793"/>
    <w:rsid w:val="00376C81"/>
    <w:rsid w:val="00381595"/>
    <w:rsid w:val="0038195B"/>
    <w:rsid w:val="003843F6"/>
    <w:rsid w:val="00385023"/>
    <w:rsid w:val="00387847"/>
    <w:rsid w:val="00390900"/>
    <w:rsid w:val="00393398"/>
    <w:rsid w:val="003966CF"/>
    <w:rsid w:val="003A06F5"/>
    <w:rsid w:val="003A2DDF"/>
    <w:rsid w:val="003A3508"/>
    <w:rsid w:val="003A5273"/>
    <w:rsid w:val="003A57C9"/>
    <w:rsid w:val="003A7C94"/>
    <w:rsid w:val="003A7D64"/>
    <w:rsid w:val="003B0E20"/>
    <w:rsid w:val="003B0E55"/>
    <w:rsid w:val="003B362C"/>
    <w:rsid w:val="003B4273"/>
    <w:rsid w:val="003B7E39"/>
    <w:rsid w:val="003C0E76"/>
    <w:rsid w:val="003C28EB"/>
    <w:rsid w:val="003C2DF7"/>
    <w:rsid w:val="003C343E"/>
    <w:rsid w:val="003C35DC"/>
    <w:rsid w:val="003C58DC"/>
    <w:rsid w:val="003D3B63"/>
    <w:rsid w:val="003D5A6E"/>
    <w:rsid w:val="003D6B56"/>
    <w:rsid w:val="003E0A10"/>
    <w:rsid w:val="003E0A89"/>
    <w:rsid w:val="003E2669"/>
    <w:rsid w:val="003E3208"/>
    <w:rsid w:val="003E6972"/>
    <w:rsid w:val="003E7EC5"/>
    <w:rsid w:val="003F0B04"/>
    <w:rsid w:val="003F2E95"/>
    <w:rsid w:val="003F3573"/>
    <w:rsid w:val="003F6218"/>
    <w:rsid w:val="003F6980"/>
    <w:rsid w:val="003F6E00"/>
    <w:rsid w:val="003F76B3"/>
    <w:rsid w:val="0040134E"/>
    <w:rsid w:val="00403E5A"/>
    <w:rsid w:val="00404239"/>
    <w:rsid w:val="00404B57"/>
    <w:rsid w:val="00404D72"/>
    <w:rsid w:val="00406DB9"/>
    <w:rsid w:val="004153AA"/>
    <w:rsid w:val="004154C9"/>
    <w:rsid w:val="00416BCB"/>
    <w:rsid w:val="0041798A"/>
    <w:rsid w:val="004222BA"/>
    <w:rsid w:val="00422F15"/>
    <w:rsid w:val="00424213"/>
    <w:rsid w:val="00426C40"/>
    <w:rsid w:val="004272C4"/>
    <w:rsid w:val="00440A2D"/>
    <w:rsid w:val="0044277A"/>
    <w:rsid w:val="00442D83"/>
    <w:rsid w:val="00442DA9"/>
    <w:rsid w:val="0044313E"/>
    <w:rsid w:val="00444702"/>
    <w:rsid w:val="004465C7"/>
    <w:rsid w:val="00446C51"/>
    <w:rsid w:val="0045040C"/>
    <w:rsid w:val="0045495B"/>
    <w:rsid w:val="004564A7"/>
    <w:rsid w:val="00460DF7"/>
    <w:rsid w:val="004617BF"/>
    <w:rsid w:val="004716D9"/>
    <w:rsid w:val="00472BE3"/>
    <w:rsid w:val="00473864"/>
    <w:rsid w:val="00480D2D"/>
    <w:rsid w:val="00483D37"/>
    <w:rsid w:val="00484B65"/>
    <w:rsid w:val="00486F5F"/>
    <w:rsid w:val="004876AD"/>
    <w:rsid w:val="00487806"/>
    <w:rsid w:val="00487B4F"/>
    <w:rsid w:val="00490256"/>
    <w:rsid w:val="004923FF"/>
    <w:rsid w:val="004927EC"/>
    <w:rsid w:val="00494CA4"/>
    <w:rsid w:val="00494E60"/>
    <w:rsid w:val="004969EF"/>
    <w:rsid w:val="0049734C"/>
    <w:rsid w:val="004A03D4"/>
    <w:rsid w:val="004A0586"/>
    <w:rsid w:val="004A3084"/>
    <w:rsid w:val="004A5AF6"/>
    <w:rsid w:val="004A6666"/>
    <w:rsid w:val="004A672E"/>
    <w:rsid w:val="004B0654"/>
    <w:rsid w:val="004B2BD3"/>
    <w:rsid w:val="004B7B76"/>
    <w:rsid w:val="004C0070"/>
    <w:rsid w:val="004C100A"/>
    <w:rsid w:val="004C128A"/>
    <w:rsid w:val="004C4096"/>
    <w:rsid w:val="004C615D"/>
    <w:rsid w:val="004C6E9B"/>
    <w:rsid w:val="004C705D"/>
    <w:rsid w:val="004C791F"/>
    <w:rsid w:val="004D1A9E"/>
    <w:rsid w:val="004D2A3F"/>
    <w:rsid w:val="004D51A6"/>
    <w:rsid w:val="004D6A8F"/>
    <w:rsid w:val="004F0F38"/>
    <w:rsid w:val="004F1240"/>
    <w:rsid w:val="004F40D8"/>
    <w:rsid w:val="004F484B"/>
    <w:rsid w:val="00501921"/>
    <w:rsid w:val="00503C8B"/>
    <w:rsid w:val="005067FD"/>
    <w:rsid w:val="0051037B"/>
    <w:rsid w:val="005106A1"/>
    <w:rsid w:val="00514DF0"/>
    <w:rsid w:val="00517A78"/>
    <w:rsid w:val="00521AD5"/>
    <w:rsid w:val="00523FB1"/>
    <w:rsid w:val="00525165"/>
    <w:rsid w:val="00530354"/>
    <w:rsid w:val="00532CFE"/>
    <w:rsid w:val="00534ACD"/>
    <w:rsid w:val="00535D83"/>
    <w:rsid w:val="0054053C"/>
    <w:rsid w:val="00541028"/>
    <w:rsid w:val="00541FD8"/>
    <w:rsid w:val="005423EF"/>
    <w:rsid w:val="005434C6"/>
    <w:rsid w:val="00543B39"/>
    <w:rsid w:val="00547183"/>
    <w:rsid w:val="00550096"/>
    <w:rsid w:val="00551572"/>
    <w:rsid w:val="005544E9"/>
    <w:rsid w:val="00555F8A"/>
    <w:rsid w:val="0055653F"/>
    <w:rsid w:val="00557FF9"/>
    <w:rsid w:val="00560037"/>
    <w:rsid w:val="00565333"/>
    <w:rsid w:val="00567A2E"/>
    <w:rsid w:val="00572454"/>
    <w:rsid w:val="00572648"/>
    <w:rsid w:val="0057564C"/>
    <w:rsid w:val="00576378"/>
    <w:rsid w:val="00577E38"/>
    <w:rsid w:val="00581BB4"/>
    <w:rsid w:val="00584285"/>
    <w:rsid w:val="00585322"/>
    <w:rsid w:val="00586783"/>
    <w:rsid w:val="00586B17"/>
    <w:rsid w:val="00587E44"/>
    <w:rsid w:val="0059345B"/>
    <w:rsid w:val="00593AD1"/>
    <w:rsid w:val="0059490F"/>
    <w:rsid w:val="005974A5"/>
    <w:rsid w:val="00597B5E"/>
    <w:rsid w:val="005A1131"/>
    <w:rsid w:val="005B0D68"/>
    <w:rsid w:val="005B70B5"/>
    <w:rsid w:val="005C0B36"/>
    <w:rsid w:val="005C4244"/>
    <w:rsid w:val="005C504C"/>
    <w:rsid w:val="005C5570"/>
    <w:rsid w:val="005C5FD4"/>
    <w:rsid w:val="005C666F"/>
    <w:rsid w:val="005C79A4"/>
    <w:rsid w:val="005C7A07"/>
    <w:rsid w:val="005D1689"/>
    <w:rsid w:val="005D1A7D"/>
    <w:rsid w:val="005D248B"/>
    <w:rsid w:val="005D5442"/>
    <w:rsid w:val="005D55A3"/>
    <w:rsid w:val="005D71B5"/>
    <w:rsid w:val="005D7EA6"/>
    <w:rsid w:val="005E0A84"/>
    <w:rsid w:val="005E17D0"/>
    <w:rsid w:val="005E5568"/>
    <w:rsid w:val="005E55EC"/>
    <w:rsid w:val="005E672A"/>
    <w:rsid w:val="005E7E0F"/>
    <w:rsid w:val="005F458A"/>
    <w:rsid w:val="005F5830"/>
    <w:rsid w:val="005F784D"/>
    <w:rsid w:val="00601855"/>
    <w:rsid w:val="00606232"/>
    <w:rsid w:val="006064EA"/>
    <w:rsid w:val="00610D73"/>
    <w:rsid w:val="00613A40"/>
    <w:rsid w:val="006153E6"/>
    <w:rsid w:val="006155E1"/>
    <w:rsid w:val="00615BDC"/>
    <w:rsid w:val="0061694D"/>
    <w:rsid w:val="00625015"/>
    <w:rsid w:val="00625465"/>
    <w:rsid w:val="00631B1F"/>
    <w:rsid w:val="00631BFB"/>
    <w:rsid w:val="00631D5D"/>
    <w:rsid w:val="00640FC3"/>
    <w:rsid w:val="00642020"/>
    <w:rsid w:val="00642950"/>
    <w:rsid w:val="0065200D"/>
    <w:rsid w:val="0065337B"/>
    <w:rsid w:val="0065419D"/>
    <w:rsid w:val="00654C2E"/>
    <w:rsid w:val="0065548E"/>
    <w:rsid w:val="00655965"/>
    <w:rsid w:val="006604D8"/>
    <w:rsid w:val="006632FE"/>
    <w:rsid w:val="00664A5B"/>
    <w:rsid w:val="00665A36"/>
    <w:rsid w:val="0066769A"/>
    <w:rsid w:val="00667942"/>
    <w:rsid w:val="00680C08"/>
    <w:rsid w:val="0068741A"/>
    <w:rsid w:val="006931B1"/>
    <w:rsid w:val="0069351D"/>
    <w:rsid w:val="00693D0B"/>
    <w:rsid w:val="00694BBE"/>
    <w:rsid w:val="0069725B"/>
    <w:rsid w:val="006A089B"/>
    <w:rsid w:val="006A15C0"/>
    <w:rsid w:val="006A2426"/>
    <w:rsid w:val="006A2A31"/>
    <w:rsid w:val="006A38E4"/>
    <w:rsid w:val="006A4933"/>
    <w:rsid w:val="006A61E9"/>
    <w:rsid w:val="006A6E1F"/>
    <w:rsid w:val="006B2F6A"/>
    <w:rsid w:val="006B66DD"/>
    <w:rsid w:val="006C1F3B"/>
    <w:rsid w:val="006C2532"/>
    <w:rsid w:val="006C2570"/>
    <w:rsid w:val="006C2A69"/>
    <w:rsid w:val="006C3E2A"/>
    <w:rsid w:val="006C43B5"/>
    <w:rsid w:val="006C5F4B"/>
    <w:rsid w:val="006C642F"/>
    <w:rsid w:val="006C7730"/>
    <w:rsid w:val="006D013E"/>
    <w:rsid w:val="006D03E5"/>
    <w:rsid w:val="006D3F39"/>
    <w:rsid w:val="006D4879"/>
    <w:rsid w:val="006D5D3E"/>
    <w:rsid w:val="006E08B3"/>
    <w:rsid w:val="006E1EE4"/>
    <w:rsid w:val="006E21E4"/>
    <w:rsid w:val="006E4E00"/>
    <w:rsid w:val="006E7769"/>
    <w:rsid w:val="006E77A1"/>
    <w:rsid w:val="006F1604"/>
    <w:rsid w:val="006F232C"/>
    <w:rsid w:val="006F3339"/>
    <w:rsid w:val="006F46EA"/>
    <w:rsid w:val="006F4E37"/>
    <w:rsid w:val="006F572E"/>
    <w:rsid w:val="006F6284"/>
    <w:rsid w:val="006F652C"/>
    <w:rsid w:val="006F6C81"/>
    <w:rsid w:val="007015B9"/>
    <w:rsid w:val="00703A33"/>
    <w:rsid w:val="00703A5F"/>
    <w:rsid w:val="00703D5D"/>
    <w:rsid w:val="007046D6"/>
    <w:rsid w:val="00705DB0"/>
    <w:rsid w:val="007060CD"/>
    <w:rsid w:val="00706634"/>
    <w:rsid w:val="00706AFE"/>
    <w:rsid w:val="007205EC"/>
    <w:rsid w:val="00720D97"/>
    <w:rsid w:val="007217AC"/>
    <w:rsid w:val="007232BA"/>
    <w:rsid w:val="00723BF8"/>
    <w:rsid w:val="00724E0E"/>
    <w:rsid w:val="007254EF"/>
    <w:rsid w:val="00726D3E"/>
    <w:rsid w:val="0073229A"/>
    <w:rsid w:val="00732F56"/>
    <w:rsid w:val="00732FEE"/>
    <w:rsid w:val="007366F5"/>
    <w:rsid w:val="0074253D"/>
    <w:rsid w:val="0074429B"/>
    <w:rsid w:val="007470A7"/>
    <w:rsid w:val="007477F8"/>
    <w:rsid w:val="00751976"/>
    <w:rsid w:val="00751EBD"/>
    <w:rsid w:val="007535AA"/>
    <w:rsid w:val="00753687"/>
    <w:rsid w:val="00753A56"/>
    <w:rsid w:val="00754D0B"/>
    <w:rsid w:val="0075524A"/>
    <w:rsid w:val="007555A9"/>
    <w:rsid w:val="007615BC"/>
    <w:rsid w:val="007622D7"/>
    <w:rsid w:val="00762F05"/>
    <w:rsid w:val="00764FC4"/>
    <w:rsid w:val="007652FF"/>
    <w:rsid w:val="00765973"/>
    <w:rsid w:val="00770556"/>
    <w:rsid w:val="00771329"/>
    <w:rsid w:val="007737E7"/>
    <w:rsid w:val="00773EF7"/>
    <w:rsid w:val="00774E1D"/>
    <w:rsid w:val="0077675A"/>
    <w:rsid w:val="007767D8"/>
    <w:rsid w:val="00777A11"/>
    <w:rsid w:val="00780355"/>
    <w:rsid w:val="007835B7"/>
    <w:rsid w:val="00784167"/>
    <w:rsid w:val="00784F79"/>
    <w:rsid w:val="00785721"/>
    <w:rsid w:val="0079068C"/>
    <w:rsid w:val="00790C1D"/>
    <w:rsid w:val="007938BD"/>
    <w:rsid w:val="00793A59"/>
    <w:rsid w:val="00795DC5"/>
    <w:rsid w:val="00796BCA"/>
    <w:rsid w:val="007A2162"/>
    <w:rsid w:val="007A7192"/>
    <w:rsid w:val="007B18DE"/>
    <w:rsid w:val="007B2014"/>
    <w:rsid w:val="007B3C16"/>
    <w:rsid w:val="007C0F3D"/>
    <w:rsid w:val="007C0FC0"/>
    <w:rsid w:val="007C1AF7"/>
    <w:rsid w:val="007C1FC1"/>
    <w:rsid w:val="007C2E82"/>
    <w:rsid w:val="007D07F7"/>
    <w:rsid w:val="007D1FEA"/>
    <w:rsid w:val="007D2AAF"/>
    <w:rsid w:val="007D65C8"/>
    <w:rsid w:val="007E175B"/>
    <w:rsid w:val="007E1EEE"/>
    <w:rsid w:val="007E25FD"/>
    <w:rsid w:val="007E399C"/>
    <w:rsid w:val="007F150E"/>
    <w:rsid w:val="007F17AF"/>
    <w:rsid w:val="007F2054"/>
    <w:rsid w:val="007F2075"/>
    <w:rsid w:val="007F5F3A"/>
    <w:rsid w:val="007F710A"/>
    <w:rsid w:val="00801A68"/>
    <w:rsid w:val="0080319F"/>
    <w:rsid w:val="00803CCB"/>
    <w:rsid w:val="00807FE1"/>
    <w:rsid w:val="00812BEA"/>
    <w:rsid w:val="00815D3A"/>
    <w:rsid w:val="00816164"/>
    <w:rsid w:val="008168DE"/>
    <w:rsid w:val="00820365"/>
    <w:rsid w:val="00821776"/>
    <w:rsid w:val="008227D6"/>
    <w:rsid w:val="00824D49"/>
    <w:rsid w:val="00826007"/>
    <w:rsid w:val="008320C3"/>
    <w:rsid w:val="008321F5"/>
    <w:rsid w:val="00832369"/>
    <w:rsid w:val="00832A92"/>
    <w:rsid w:val="00834660"/>
    <w:rsid w:val="00834B4C"/>
    <w:rsid w:val="00836BC2"/>
    <w:rsid w:val="00840F23"/>
    <w:rsid w:val="00844D67"/>
    <w:rsid w:val="00846DDF"/>
    <w:rsid w:val="00851DCA"/>
    <w:rsid w:val="0085641B"/>
    <w:rsid w:val="00856748"/>
    <w:rsid w:val="00857136"/>
    <w:rsid w:val="008648A9"/>
    <w:rsid w:val="00866774"/>
    <w:rsid w:val="0086695A"/>
    <w:rsid w:val="00873CB9"/>
    <w:rsid w:val="00877AAE"/>
    <w:rsid w:val="008852A2"/>
    <w:rsid w:val="00891CBC"/>
    <w:rsid w:val="00896018"/>
    <w:rsid w:val="008962E4"/>
    <w:rsid w:val="008A00A7"/>
    <w:rsid w:val="008A2B9D"/>
    <w:rsid w:val="008A47B7"/>
    <w:rsid w:val="008A5E0B"/>
    <w:rsid w:val="008A6D59"/>
    <w:rsid w:val="008A6D5D"/>
    <w:rsid w:val="008A7095"/>
    <w:rsid w:val="008A7BDB"/>
    <w:rsid w:val="008B1A25"/>
    <w:rsid w:val="008B3EBF"/>
    <w:rsid w:val="008B4B03"/>
    <w:rsid w:val="008B553E"/>
    <w:rsid w:val="008B596F"/>
    <w:rsid w:val="008B667D"/>
    <w:rsid w:val="008B7046"/>
    <w:rsid w:val="008C159F"/>
    <w:rsid w:val="008C1623"/>
    <w:rsid w:val="008C3927"/>
    <w:rsid w:val="008C51A9"/>
    <w:rsid w:val="008C63C5"/>
    <w:rsid w:val="008C7541"/>
    <w:rsid w:val="008D071E"/>
    <w:rsid w:val="008E2B84"/>
    <w:rsid w:val="008E3C43"/>
    <w:rsid w:val="008E3FF2"/>
    <w:rsid w:val="008F1CCC"/>
    <w:rsid w:val="008F2967"/>
    <w:rsid w:val="008F60F4"/>
    <w:rsid w:val="008F6EF7"/>
    <w:rsid w:val="009008FB"/>
    <w:rsid w:val="00901B38"/>
    <w:rsid w:val="0090278B"/>
    <w:rsid w:val="00905461"/>
    <w:rsid w:val="009074DB"/>
    <w:rsid w:val="00912D7D"/>
    <w:rsid w:val="0091406B"/>
    <w:rsid w:val="00914506"/>
    <w:rsid w:val="00914C2E"/>
    <w:rsid w:val="00915C71"/>
    <w:rsid w:val="0091691F"/>
    <w:rsid w:val="00920330"/>
    <w:rsid w:val="00920FF4"/>
    <w:rsid w:val="009219D7"/>
    <w:rsid w:val="00921A38"/>
    <w:rsid w:val="00922D53"/>
    <w:rsid w:val="00923B70"/>
    <w:rsid w:val="00924A86"/>
    <w:rsid w:val="0092600B"/>
    <w:rsid w:val="00926B0E"/>
    <w:rsid w:val="00926FAA"/>
    <w:rsid w:val="00930237"/>
    <w:rsid w:val="00932BBB"/>
    <w:rsid w:val="009375F8"/>
    <w:rsid w:val="009377D0"/>
    <w:rsid w:val="00940EEF"/>
    <w:rsid w:val="009458D9"/>
    <w:rsid w:val="00947BE9"/>
    <w:rsid w:val="00950B32"/>
    <w:rsid w:val="00961DFE"/>
    <w:rsid w:val="0096319D"/>
    <w:rsid w:val="00963C08"/>
    <w:rsid w:val="00964F68"/>
    <w:rsid w:val="00967DD8"/>
    <w:rsid w:val="00967FC7"/>
    <w:rsid w:val="009707B8"/>
    <w:rsid w:val="00971008"/>
    <w:rsid w:val="0097432F"/>
    <w:rsid w:val="00974DBB"/>
    <w:rsid w:val="0098172A"/>
    <w:rsid w:val="00990E79"/>
    <w:rsid w:val="0099110E"/>
    <w:rsid w:val="0099127E"/>
    <w:rsid w:val="00991640"/>
    <w:rsid w:val="00993BD3"/>
    <w:rsid w:val="00994189"/>
    <w:rsid w:val="0099619A"/>
    <w:rsid w:val="00996BD0"/>
    <w:rsid w:val="00996E0C"/>
    <w:rsid w:val="00997703"/>
    <w:rsid w:val="009A3D0E"/>
    <w:rsid w:val="009A4CED"/>
    <w:rsid w:val="009A5BC7"/>
    <w:rsid w:val="009A5EB9"/>
    <w:rsid w:val="009B1C22"/>
    <w:rsid w:val="009B1D12"/>
    <w:rsid w:val="009B3475"/>
    <w:rsid w:val="009B416B"/>
    <w:rsid w:val="009B68A6"/>
    <w:rsid w:val="009C4BD5"/>
    <w:rsid w:val="009C55D7"/>
    <w:rsid w:val="009D059A"/>
    <w:rsid w:val="009D2E04"/>
    <w:rsid w:val="009D6B7A"/>
    <w:rsid w:val="009D7B77"/>
    <w:rsid w:val="009E078A"/>
    <w:rsid w:val="009E0BB0"/>
    <w:rsid w:val="009E20A9"/>
    <w:rsid w:val="009E3974"/>
    <w:rsid w:val="009E3FBB"/>
    <w:rsid w:val="009E45E7"/>
    <w:rsid w:val="009F018D"/>
    <w:rsid w:val="009F0B33"/>
    <w:rsid w:val="00A071C5"/>
    <w:rsid w:val="00A10BEC"/>
    <w:rsid w:val="00A1148A"/>
    <w:rsid w:val="00A1235B"/>
    <w:rsid w:val="00A14DF7"/>
    <w:rsid w:val="00A15129"/>
    <w:rsid w:val="00A17E4B"/>
    <w:rsid w:val="00A20A79"/>
    <w:rsid w:val="00A21BC7"/>
    <w:rsid w:val="00A26683"/>
    <w:rsid w:val="00A26E24"/>
    <w:rsid w:val="00A3246D"/>
    <w:rsid w:val="00A33D1A"/>
    <w:rsid w:val="00A36FA7"/>
    <w:rsid w:val="00A4235C"/>
    <w:rsid w:val="00A43CDD"/>
    <w:rsid w:val="00A453F8"/>
    <w:rsid w:val="00A45468"/>
    <w:rsid w:val="00A475B7"/>
    <w:rsid w:val="00A47AF7"/>
    <w:rsid w:val="00A47C3E"/>
    <w:rsid w:val="00A50226"/>
    <w:rsid w:val="00A50E41"/>
    <w:rsid w:val="00A51A87"/>
    <w:rsid w:val="00A55EA6"/>
    <w:rsid w:val="00A60BAD"/>
    <w:rsid w:val="00A6142C"/>
    <w:rsid w:val="00A644D1"/>
    <w:rsid w:val="00A738DC"/>
    <w:rsid w:val="00A73A8D"/>
    <w:rsid w:val="00A74B66"/>
    <w:rsid w:val="00A759F3"/>
    <w:rsid w:val="00A77452"/>
    <w:rsid w:val="00A80C94"/>
    <w:rsid w:val="00A812F2"/>
    <w:rsid w:val="00A87334"/>
    <w:rsid w:val="00A87BE9"/>
    <w:rsid w:val="00A945BC"/>
    <w:rsid w:val="00A94825"/>
    <w:rsid w:val="00A97D61"/>
    <w:rsid w:val="00AA390B"/>
    <w:rsid w:val="00AA3EB9"/>
    <w:rsid w:val="00AA5AF0"/>
    <w:rsid w:val="00AA6DAB"/>
    <w:rsid w:val="00AA7AE4"/>
    <w:rsid w:val="00AB4DCC"/>
    <w:rsid w:val="00AB4DF8"/>
    <w:rsid w:val="00AB56FB"/>
    <w:rsid w:val="00AB6300"/>
    <w:rsid w:val="00AC2B40"/>
    <w:rsid w:val="00AC2BB2"/>
    <w:rsid w:val="00AC2C3C"/>
    <w:rsid w:val="00AC3222"/>
    <w:rsid w:val="00AC3BD9"/>
    <w:rsid w:val="00AC3D45"/>
    <w:rsid w:val="00AC598C"/>
    <w:rsid w:val="00AC6A59"/>
    <w:rsid w:val="00AD1373"/>
    <w:rsid w:val="00AD289D"/>
    <w:rsid w:val="00AD2B79"/>
    <w:rsid w:val="00AD33AB"/>
    <w:rsid w:val="00AD5831"/>
    <w:rsid w:val="00AE1F0A"/>
    <w:rsid w:val="00AE3FF0"/>
    <w:rsid w:val="00AE5AB2"/>
    <w:rsid w:val="00AE65EB"/>
    <w:rsid w:val="00AE6BA7"/>
    <w:rsid w:val="00AF0F9D"/>
    <w:rsid w:val="00AF1B3F"/>
    <w:rsid w:val="00AF1D94"/>
    <w:rsid w:val="00AF4DB6"/>
    <w:rsid w:val="00AF5F0F"/>
    <w:rsid w:val="00AF60C5"/>
    <w:rsid w:val="00AF69CB"/>
    <w:rsid w:val="00B007B1"/>
    <w:rsid w:val="00B009C6"/>
    <w:rsid w:val="00B00ACB"/>
    <w:rsid w:val="00B00D8C"/>
    <w:rsid w:val="00B01548"/>
    <w:rsid w:val="00B01551"/>
    <w:rsid w:val="00B147DA"/>
    <w:rsid w:val="00B150FA"/>
    <w:rsid w:val="00B20E46"/>
    <w:rsid w:val="00B21D29"/>
    <w:rsid w:val="00B21FC5"/>
    <w:rsid w:val="00B22125"/>
    <w:rsid w:val="00B23323"/>
    <w:rsid w:val="00B24FF5"/>
    <w:rsid w:val="00B25034"/>
    <w:rsid w:val="00B25E07"/>
    <w:rsid w:val="00B33863"/>
    <w:rsid w:val="00B3443B"/>
    <w:rsid w:val="00B344FF"/>
    <w:rsid w:val="00B34615"/>
    <w:rsid w:val="00B34FC5"/>
    <w:rsid w:val="00B37D17"/>
    <w:rsid w:val="00B4175E"/>
    <w:rsid w:val="00B45B92"/>
    <w:rsid w:val="00B510E1"/>
    <w:rsid w:val="00B54C25"/>
    <w:rsid w:val="00B55B33"/>
    <w:rsid w:val="00B62A0B"/>
    <w:rsid w:val="00B645A8"/>
    <w:rsid w:val="00B71187"/>
    <w:rsid w:val="00B73ED9"/>
    <w:rsid w:val="00B76ABB"/>
    <w:rsid w:val="00B76B91"/>
    <w:rsid w:val="00B81B83"/>
    <w:rsid w:val="00B83636"/>
    <w:rsid w:val="00B84905"/>
    <w:rsid w:val="00B86872"/>
    <w:rsid w:val="00B87BB7"/>
    <w:rsid w:val="00B917F2"/>
    <w:rsid w:val="00B92E83"/>
    <w:rsid w:val="00B946A9"/>
    <w:rsid w:val="00B9484C"/>
    <w:rsid w:val="00B94CFB"/>
    <w:rsid w:val="00B97318"/>
    <w:rsid w:val="00B97519"/>
    <w:rsid w:val="00BA0B6B"/>
    <w:rsid w:val="00BA0DFC"/>
    <w:rsid w:val="00BA10BF"/>
    <w:rsid w:val="00BB1A82"/>
    <w:rsid w:val="00BB41C9"/>
    <w:rsid w:val="00BB4F79"/>
    <w:rsid w:val="00BB7C11"/>
    <w:rsid w:val="00BC1CAB"/>
    <w:rsid w:val="00BC622A"/>
    <w:rsid w:val="00BD0B28"/>
    <w:rsid w:val="00BD5298"/>
    <w:rsid w:val="00BE0522"/>
    <w:rsid w:val="00BE0A78"/>
    <w:rsid w:val="00BE243C"/>
    <w:rsid w:val="00BE4BBF"/>
    <w:rsid w:val="00BE6496"/>
    <w:rsid w:val="00BE79F0"/>
    <w:rsid w:val="00BF046D"/>
    <w:rsid w:val="00BF0BD8"/>
    <w:rsid w:val="00BF43F2"/>
    <w:rsid w:val="00BF5D04"/>
    <w:rsid w:val="00BF6340"/>
    <w:rsid w:val="00BF7FE0"/>
    <w:rsid w:val="00C0565C"/>
    <w:rsid w:val="00C05C1F"/>
    <w:rsid w:val="00C06B6C"/>
    <w:rsid w:val="00C1144F"/>
    <w:rsid w:val="00C13563"/>
    <w:rsid w:val="00C14835"/>
    <w:rsid w:val="00C14BF6"/>
    <w:rsid w:val="00C15D26"/>
    <w:rsid w:val="00C1617C"/>
    <w:rsid w:val="00C207D0"/>
    <w:rsid w:val="00C23322"/>
    <w:rsid w:val="00C23477"/>
    <w:rsid w:val="00C24FC6"/>
    <w:rsid w:val="00C31EB9"/>
    <w:rsid w:val="00C3408D"/>
    <w:rsid w:val="00C341A2"/>
    <w:rsid w:val="00C3719F"/>
    <w:rsid w:val="00C404A6"/>
    <w:rsid w:val="00C40A36"/>
    <w:rsid w:val="00C41C5F"/>
    <w:rsid w:val="00C42F1D"/>
    <w:rsid w:val="00C44419"/>
    <w:rsid w:val="00C455C1"/>
    <w:rsid w:val="00C45E7B"/>
    <w:rsid w:val="00C471B1"/>
    <w:rsid w:val="00C4743E"/>
    <w:rsid w:val="00C50E5C"/>
    <w:rsid w:val="00C516C7"/>
    <w:rsid w:val="00C5355E"/>
    <w:rsid w:val="00C600CF"/>
    <w:rsid w:val="00C61BB4"/>
    <w:rsid w:val="00C6316B"/>
    <w:rsid w:val="00C634A9"/>
    <w:rsid w:val="00C6369D"/>
    <w:rsid w:val="00C63A78"/>
    <w:rsid w:val="00C6637D"/>
    <w:rsid w:val="00C664AA"/>
    <w:rsid w:val="00C66767"/>
    <w:rsid w:val="00C677B5"/>
    <w:rsid w:val="00C70074"/>
    <w:rsid w:val="00C71313"/>
    <w:rsid w:val="00C7475B"/>
    <w:rsid w:val="00C754DA"/>
    <w:rsid w:val="00C76758"/>
    <w:rsid w:val="00C76805"/>
    <w:rsid w:val="00C772FF"/>
    <w:rsid w:val="00C77F36"/>
    <w:rsid w:val="00C801AF"/>
    <w:rsid w:val="00C80256"/>
    <w:rsid w:val="00C85953"/>
    <w:rsid w:val="00C87DC4"/>
    <w:rsid w:val="00C92C73"/>
    <w:rsid w:val="00C93D8B"/>
    <w:rsid w:val="00C94B5A"/>
    <w:rsid w:val="00C94B8C"/>
    <w:rsid w:val="00C95F08"/>
    <w:rsid w:val="00CA46B4"/>
    <w:rsid w:val="00CA7F9C"/>
    <w:rsid w:val="00CB0195"/>
    <w:rsid w:val="00CB0E73"/>
    <w:rsid w:val="00CB455A"/>
    <w:rsid w:val="00CB45E0"/>
    <w:rsid w:val="00CB6BC0"/>
    <w:rsid w:val="00CB73C5"/>
    <w:rsid w:val="00CC1B7C"/>
    <w:rsid w:val="00CC2639"/>
    <w:rsid w:val="00CC2DBA"/>
    <w:rsid w:val="00CC2ED7"/>
    <w:rsid w:val="00CC329D"/>
    <w:rsid w:val="00CC33FD"/>
    <w:rsid w:val="00CC6142"/>
    <w:rsid w:val="00CC618A"/>
    <w:rsid w:val="00CC6F54"/>
    <w:rsid w:val="00CC727F"/>
    <w:rsid w:val="00CC7E38"/>
    <w:rsid w:val="00CD1F02"/>
    <w:rsid w:val="00CD30CC"/>
    <w:rsid w:val="00CD3899"/>
    <w:rsid w:val="00CD49C3"/>
    <w:rsid w:val="00CD5431"/>
    <w:rsid w:val="00CD6FCC"/>
    <w:rsid w:val="00CD7D6D"/>
    <w:rsid w:val="00CE4F71"/>
    <w:rsid w:val="00CE5067"/>
    <w:rsid w:val="00CE5BB0"/>
    <w:rsid w:val="00CF15C3"/>
    <w:rsid w:val="00CF26DF"/>
    <w:rsid w:val="00CF2B6F"/>
    <w:rsid w:val="00CF4791"/>
    <w:rsid w:val="00CF5A93"/>
    <w:rsid w:val="00CF6525"/>
    <w:rsid w:val="00D017ED"/>
    <w:rsid w:val="00D047F4"/>
    <w:rsid w:val="00D11F5C"/>
    <w:rsid w:val="00D153B1"/>
    <w:rsid w:val="00D2023D"/>
    <w:rsid w:val="00D20C54"/>
    <w:rsid w:val="00D224FE"/>
    <w:rsid w:val="00D229BA"/>
    <w:rsid w:val="00D25F22"/>
    <w:rsid w:val="00D2684D"/>
    <w:rsid w:val="00D26E1B"/>
    <w:rsid w:val="00D27857"/>
    <w:rsid w:val="00D30526"/>
    <w:rsid w:val="00D3646E"/>
    <w:rsid w:val="00D402B1"/>
    <w:rsid w:val="00D448BE"/>
    <w:rsid w:val="00D45961"/>
    <w:rsid w:val="00D5109A"/>
    <w:rsid w:val="00D51F5E"/>
    <w:rsid w:val="00D542D3"/>
    <w:rsid w:val="00D54788"/>
    <w:rsid w:val="00D55652"/>
    <w:rsid w:val="00D60C45"/>
    <w:rsid w:val="00D62C19"/>
    <w:rsid w:val="00D62D4D"/>
    <w:rsid w:val="00D64401"/>
    <w:rsid w:val="00D6493E"/>
    <w:rsid w:val="00D75B93"/>
    <w:rsid w:val="00D76FEE"/>
    <w:rsid w:val="00D81711"/>
    <w:rsid w:val="00D85417"/>
    <w:rsid w:val="00D9014F"/>
    <w:rsid w:val="00D9141E"/>
    <w:rsid w:val="00D95C47"/>
    <w:rsid w:val="00D9608B"/>
    <w:rsid w:val="00DA1124"/>
    <w:rsid w:val="00DA1C90"/>
    <w:rsid w:val="00DA24C7"/>
    <w:rsid w:val="00DA381C"/>
    <w:rsid w:val="00DA4CD9"/>
    <w:rsid w:val="00DA5BD6"/>
    <w:rsid w:val="00DB0227"/>
    <w:rsid w:val="00DC4B1F"/>
    <w:rsid w:val="00DC5E86"/>
    <w:rsid w:val="00DD1E44"/>
    <w:rsid w:val="00DD394F"/>
    <w:rsid w:val="00DD75A3"/>
    <w:rsid w:val="00DD76DE"/>
    <w:rsid w:val="00DE02AE"/>
    <w:rsid w:val="00DE358E"/>
    <w:rsid w:val="00DE3649"/>
    <w:rsid w:val="00DE6A0C"/>
    <w:rsid w:val="00DE6C04"/>
    <w:rsid w:val="00DF1D7F"/>
    <w:rsid w:val="00DF3850"/>
    <w:rsid w:val="00DF45B9"/>
    <w:rsid w:val="00DF6A65"/>
    <w:rsid w:val="00DF6BE8"/>
    <w:rsid w:val="00DF72E0"/>
    <w:rsid w:val="00E01104"/>
    <w:rsid w:val="00E01492"/>
    <w:rsid w:val="00E02FB4"/>
    <w:rsid w:val="00E03C14"/>
    <w:rsid w:val="00E0685E"/>
    <w:rsid w:val="00E06D33"/>
    <w:rsid w:val="00E1198B"/>
    <w:rsid w:val="00E11E4D"/>
    <w:rsid w:val="00E1340C"/>
    <w:rsid w:val="00E17245"/>
    <w:rsid w:val="00E177F4"/>
    <w:rsid w:val="00E20571"/>
    <w:rsid w:val="00E21651"/>
    <w:rsid w:val="00E22953"/>
    <w:rsid w:val="00E22BF9"/>
    <w:rsid w:val="00E235F7"/>
    <w:rsid w:val="00E239D4"/>
    <w:rsid w:val="00E23E64"/>
    <w:rsid w:val="00E30C88"/>
    <w:rsid w:val="00E32A5C"/>
    <w:rsid w:val="00E358F5"/>
    <w:rsid w:val="00E40B22"/>
    <w:rsid w:val="00E4588F"/>
    <w:rsid w:val="00E46DA3"/>
    <w:rsid w:val="00E47660"/>
    <w:rsid w:val="00E500F8"/>
    <w:rsid w:val="00E5101D"/>
    <w:rsid w:val="00E513B1"/>
    <w:rsid w:val="00E5225B"/>
    <w:rsid w:val="00E52AE7"/>
    <w:rsid w:val="00E57305"/>
    <w:rsid w:val="00E61C64"/>
    <w:rsid w:val="00E62D58"/>
    <w:rsid w:val="00E652E2"/>
    <w:rsid w:val="00E66C83"/>
    <w:rsid w:val="00E67774"/>
    <w:rsid w:val="00E81007"/>
    <w:rsid w:val="00E82FF8"/>
    <w:rsid w:val="00E8715C"/>
    <w:rsid w:val="00E93095"/>
    <w:rsid w:val="00E94889"/>
    <w:rsid w:val="00EA16DE"/>
    <w:rsid w:val="00EA1F09"/>
    <w:rsid w:val="00EA2D82"/>
    <w:rsid w:val="00EA350D"/>
    <w:rsid w:val="00EA406B"/>
    <w:rsid w:val="00EA7E1D"/>
    <w:rsid w:val="00EB0798"/>
    <w:rsid w:val="00EB0BCC"/>
    <w:rsid w:val="00EB40AD"/>
    <w:rsid w:val="00EB5622"/>
    <w:rsid w:val="00EB586E"/>
    <w:rsid w:val="00EB5FC8"/>
    <w:rsid w:val="00EB6CAF"/>
    <w:rsid w:val="00EC3F58"/>
    <w:rsid w:val="00ED1016"/>
    <w:rsid w:val="00ED249B"/>
    <w:rsid w:val="00ED555A"/>
    <w:rsid w:val="00ED5A41"/>
    <w:rsid w:val="00ED5C15"/>
    <w:rsid w:val="00ED6A67"/>
    <w:rsid w:val="00EE2B7C"/>
    <w:rsid w:val="00EE36C5"/>
    <w:rsid w:val="00EE3DEF"/>
    <w:rsid w:val="00EF024F"/>
    <w:rsid w:val="00EF1083"/>
    <w:rsid w:val="00EF3F86"/>
    <w:rsid w:val="00EF578B"/>
    <w:rsid w:val="00EF6895"/>
    <w:rsid w:val="00F033EC"/>
    <w:rsid w:val="00F04F68"/>
    <w:rsid w:val="00F0622D"/>
    <w:rsid w:val="00F06DB3"/>
    <w:rsid w:val="00F12670"/>
    <w:rsid w:val="00F12A6B"/>
    <w:rsid w:val="00F14B27"/>
    <w:rsid w:val="00F157F9"/>
    <w:rsid w:val="00F2301F"/>
    <w:rsid w:val="00F25FB1"/>
    <w:rsid w:val="00F27030"/>
    <w:rsid w:val="00F274A2"/>
    <w:rsid w:val="00F27E0D"/>
    <w:rsid w:val="00F31011"/>
    <w:rsid w:val="00F3148D"/>
    <w:rsid w:val="00F31554"/>
    <w:rsid w:val="00F3316B"/>
    <w:rsid w:val="00F35298"/>
    <w:rsid w:val="00F3529E"/>
    <w:rsid w:val="00F356B3"/>
    <w:rsid w:val="00F401EF"/>
    <w:rsid w:val="00F427F0"/>
    <w:rsid w:val="00F47E37"/>
    <w:rsid w:val="00F514CF"/>
    <w:rsid w:val="00F5270A"/>
    <w:rsid w:val="00F53BB2"/>
    <w:rsid w:val="00F54CA9"/>
    <w:rsid w:val="00F56B9D"/>
    <w:rsid w:val="00F56FAA"/>
    <w:rsid w:val="00F640B6"/>
    <w:rsid w:val="00F67C7F"/>
    <w:rsid w:val="00F71E1E"/>
    <w:rsid w:val="00F752C2"/>
    <w:rsid w:val="00F80E40"/>
    <w:rsid w:val="00F859D2"/>
    <w:rsid w:val="00F8709D"/>
    <w:rsid w:val="00F9022D"/>
    <w:rsid w:val="00F92CC7"/>
    <w:rsid w:val="00F940B2"/>
    <w:rsid w:val="00F94EA1"/>
    <w:rsid w:val="00FA0E5A"/>
    <w:rsid w:val="00FA2B8E"/>
    <w:rsid w:val="00FA43E5"/>
    <w:rsid w:val="00FA5B82"/>
    <w:rsid w:val="00FA639E"/>
    <w:rsid w:val="00FA7AEF"/>
    <w:rsid w:val="00FB0992"/>
    <w:rsid w:val="00FB3190"/>
    <w:rsid w:val="00FC03C8"/>
    <w:rsid w:val="00FC1750"/>
    <w:rsid w:val="00FC25E4"/>
    <w:rsid w:val="00FC2C78"/>
    <w:rsid w:val="00FC466A"/>
    <w:rsid w:val="00FC4EF7"/>
    <w:rsid w:val="00FC671C"/>
    <w:rsid w:val="00FC7606"/>
    <w:rsid w:val="00FD157B"/>
    <w:rsid w:val="00FD19EA"/>
    <w:rsid w:val="00FD5632"/>
    <w:rsid w:val="00FD5863"/>
    <w:rsid w:val="00FE1762"/>
    <w:rsid w:val="00FE1DEE"/>
    <w:rsid w:val="00FE206C"/>
    <w:rsid w:val="00FE501F"/>
    <w:rsid w:val="00FE5922"/>
    <w:rsid w:val="00FE6716"/>
    <w:rsid w:val="00FF064D"/>
    <w:rsid w:val="00FF2126"/>
    <w:rsid w:val="00FF271C"/>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5" fill="f" fillcolor="#c6d4e9" strokecolor="#002c47">
      <v:fill color="#c6d4e9" on="f"/>
      <v:stroke color="#002c47"/>
    </o:shapedefaults>
    <o:shapelayout v:ext="edit">
      <o:idmap v:ext="edit" data="1"/>
    </o:shapelayout>
  </w:shapeDefaults>
  <w:decimalSymbol w:val="."/>
  <w:listSeparator w:val=","/>
  <w14:docId w14:val="6D10F39D"/>
  <w15:docId w15:val="{839E3B32-9495-45BB-8081-BBA8C30E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A7192"/>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32"/>
      </w:numPr>
    </w:pPr>
  </w:style>
  <w:style w:type="paragraph" w:customStyle="1" w:styleId="Numberbullet2">
    <w:name w:val="Number bullet 2"/>
    <w:basedOn w:val="ListBullet2"/>
    <w:uiPriority w:val="3"/>
    <w:qFormat/>
    <w:rsid w:val="00F401EF"/>
    <w:pPr>
      <w:numPr>
        <w:numId w:val="32"/>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AE1F0A"/>
    <w:pPr>
      <w:keepNext/>
      <w:keepLines/>
      <w:tabs>
        <w:tab w:val="right" w:leader="underscore" w:pos="8505"/>
      </w:tabs>
      <w:spacing w:after="200"/>
    </w:pPr>
    <w:rPr>
      <w:rFonts w:ascii="Arial" w:hAnsi="Arial"/>
      <w:b/>
      <w:sz w:val="28"/>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unhideWhenUsed/>
    <w:rsid w:val="0045040C"/>
    <w:rPr>
      <w:sz w:val="16"/>
      <w:szCs w:val="16"/>
    </w:rPr>
  </w:style>
  <w:style w:type="paragraph" w:styleId="CommentText">
    <w:name w:val="annotation text"/>
    <w:basedOn w:val="Normal"/>
    <w:link w:val="CommentTextChar"/>
    <w:unhideWhenUsed/>
    <w:rsid w:val="0045040C"/>
    <w:pPr>
      <w:spacing w:line="240" w:lineRule="auto"/>
    </w:pPr>
    <w:rPr>
      <w:sz w:val="20"/>
    </w:rPr>
  </w:style>
  <w:style w:type="character" w:customStyle="1" w:styleId="CommentTextChar">
    <w:name w:val="Comment Text Char"/>
    <w:basedOn w:val="DefaultParagraphFont"/>
    <w:link w:val="CommentText"/>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rsid w:val="007F5F3A"/>
    <w:pPr>
      <w:ind w:left="720"/>
      <w:contextualSpacing/>
    </w:pPr>
  </w:style>
  <w:style w:type="paragraph" w:customStyle="1" w:styleId="Default">
    <w:name w:val="Default"/>
    <w:rsid w:val="007F5F3A"/>
    <w:pPr>
      <w:autoSpaceDE w:val="0"/>
      <w:autoSpaceDN w:val="0"/>
      <w:adjustRightInd w:val="0"/>
    </w:pPr>
    <w:rPr>
      <w:rFonts w:cs="Cambria"/>
      <w:color w:val="000000"/>
      <w:sz w:val="24"/>
      <w:szCs w:val="24"/>
    </w:rPr>
  </w:style>
  <w:style w:type="character" w:customStyle="1" w:styleId="CharDivText">
    <w:name w:val="CharDivText"/>
    <w:basedOn w:val="DefaultParagraphFont"/>
    <w:uiPriority w:val="1"/>
    <w:qFormat/>
    <w:rsid w:val="007F5F3A"/>
  </w:style>
  <w:style w:type="paragraph" w:customStyle="1" w:styleId="subsection">
    <w:name w:val="subsection"/>
    <w:aliases w:val="ss"/>
    <w:basedOn w:val="Normal"/>
    <w:link w:val="subsectionChar"/>
    <w:rsid w:val="007F5F3A"/>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
    <w:name w:val="paragraph"/>
    <w:aliases w:val="a"/>
    <w:basedOn w:val="Normal"/>
    <w:link w:val="paragraphChar"/>
    <w:rsid w:val="007F5F3A"/>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subsectionChar">
    <w:name w:val="subsection Char"/>
    <w:aliases w:val="ss Char"/>
    <w:link w:val="subsection"/>
    <w:locked/>
    <w:rsid w:val="007F5F3A"/>
    <w:rPr>
      <w:rFonts w:ascii="Times New Roman" w:eastAsia="Times New Roman" w:hAnsi="Times New Roman"/>
      <w:sz w:val="22"/>
    </w:rPr>
  </w:style>
  <w:style w:type="character" w:customStyle="1" w:styleId="paragraphChar">
    <w:name w:val="paragraph Char"/>
    <w:aliases w:val="a Char"/>
    <w:link w:val="paragraph"/>
    <w:rsid w:val="007F5F3A"/>
    <w:rPr>
      <w:rFonts w:ascii="Times New Roman" w:eastAsia="Times New Roman" w:hAnsi="Times New Roman"/>
      <w:sz w:val="22"/>
    </w:rPr>
  </w:style>
  <w:style w:type="paragraph" w:customStyle="1" w:styleId="SubsectionHead">
    <w:name w:val="SubsectionHead"/>
    <w:aliases w:val="ssh"/>
    <w:basedOn w:val="Normal"/>
    <w:next w:val="subsection"/>
    <w:rsid w:val="007F5F3A"/>
    <w:pPr>
      <w:keepNext/>
      <w:keepLines/>
      <w:spacing w:before="240" w:after="0" w:line="240" w:lineRule="auto"/>
      <w:ind w:left="1134"/>
    </w:pPr>
    <w:rPr>
      <w:rFonts w:ascii="Times New Roman" w:eastAsia="Times New Roman" w:hAnsi="Times New Roman"/>
      <w:i/>
      <w:lang w:eastAsia="en-AU"/>
    </w:rPr>
  </w:style>
  <w:style w:type="paragraph" w:customStyle="1" w:styleId="Definition">
    <w:name w:val="Definition"/>
    <w:aliases w:val="dd"/>
    <w:basedOn w:val="Normal"/>
    <w:rsid w:val="007F5F3A"/>
    <w:pPr>
      <w:spacing w:before="180" w:after="0" w:line="240" w:lineRule="auto"/>
      <w:ind w:left="1134"/>
    </w:pPr>
    <w:rPr>
      <w:rFonts w:ascii="Times New Roman" w:eastAsia="Times New Roman" w:hAnsi="Times New Roman"/>
      <w:lang w:eastAsia="en-AU"/>
    </w:rPr>
  </w:style>
  <w:style w:type="paragraph" w:customStyle="1" w:styleId="paragraphsub">
    <w:name w:val="paragraph(sub)"/>
    <w:aliases w:val="aa"/>
    <w:basedOn w:val="Normal"/>
    <w:rsid w:val="007F5F3A"/>
    <w:pPr>
      <w:tabs>
        <w:tab w:val="right" w:pos="1985"/>
      </w:tabs>
      <w:spacing w:before="40" w:after="0" w:line="240" w:lineRule="auto"/>
      <w:ind w:left="2098" w:hanging="2098"/>
    </w:pPr>
    <w:rPr>
      <w:rFonts w:ascii="Times New Roman" w:eastAsia="Times New Roman" w:hAnsi="Times New Roman"/>
      <w:lang w:eastAsia="en-AU"/>
    </w:rPr>
  </w:style>
  <w:style w:type="paragraph" w:customStyle="1" w:styleId="ActHead5">
    <w:name w:val="ActHead 5"/>
    <w:aliases w:val="s"/>
    <w:basedOn w:val="Normal"/>
    <w:next w:val="subsection"/>
    <w:link w:val="ActHead5Char"/>
    <w:qFormat/>
    <w:rsid w:val="007F5F3A"/>
    <w:pPr>
      <w:keepNext/>
      <w:keepLines/>
      <w:spacing w:before="280" w:after="0" w:line="240" w:lineRule="auto"/>
      <w:ind w:left="1134" w:hanging="1134"/>
      <w:outlineLvl w:val="4"/>
    </w:pPr>
    <w:rPr>
      <w:rFonts w:ascii="Times New Roman" w:eastAsia="Times New Roman" w:hAnsi="Times New Roman"/>
      <w:b/>
      <w:kern w:val="28"/>
      <w:sz w:val="24"/>
      <w:lang w:eastAsia="en-AU"/>
    </w:rPr>
  </w:style>
  <w:style w:type="character" w:customStyle="1" w:styleId="CharSectno">
    <w:name w:val="CharSectno"/>
    <w:basedOn w:val="DefaultParagraphFont"/>
    <w:qFormat/>
    <w:rsid w:val="007F5F3A"/>
  </w:style>
  <w:style w:type="character" w:customStyle="1" w:styleId="ActHead5Char">
    <w:name w:val="ActHead 5 Char"/>
    <w:aliases w:val="s Char"/>
    <w:link w:val="ActHead5"/>
    <w:locked/>
    <w:rsid w:val="007F5F3A"/>
    <w:rPr>
      <w:rFonts w:ascii="Times New Roman" w:eastAsia="Times New Roman" w:hAnsi="Times New Roman"/>
      <w:b/>
      <w:kern w:val="28"/>
      <w:sz w:val="24"/>
    </w:rPr>
  </w:style>
  <w:style w:type="paragraph" w:styleId="Revision">
    <w:name w:val="Revision"/>
    <w:hidden/>
    <w:uiPriority w:val="99"/>
    <w:semiHidden/>
    <w:rsid w:val="00203E6C"/>
    <w:rPr>
      <w:sz w:val="22"/>
      <w:lang w:eastAsia="en-US"/>
    </w:rPr>
  </w:style>
  <w:style w:type="paragraph" w:styleId="ListNumber">
    <w:name w:val="List Number"/>
    <w:basedOn w:val="Normal"/>
    <w:rsid w:val="007C0FC0"/>
    <w:pPr>
      <w:numPr>
        <w:numId w:val="41"/>
      </w:numPr>
      <w:adjustRightInd w:val="0"/>
      <w:snapToGrid w:val="0"/>
      <w:spacing w:before="180"/>
      <w:ind w:left="425" w:hanging="425"/>
    </w:pPr>
    <w:rPr>
      <w:rFonts w:ascii="Arial" w:hAnsi="Arial" w:cs="Arial"/>
      <w:szCs w:val="22"/>
    </w:rPr>
  </w:style>
  <w:style w:type="paragraph" w:styleId="ListNumber2">
    <w:name w:val="List Number 2"/>
    <w:basedOn w:val="Normal"/>
    <w:rsid w:val="007C0FC0"/>
    <w:pPr>
      <w:numPr>
        <w:numId w:val="42"/>
      </w:numPr>
      <w:adjustRightInd w:val="0"/>
      <w:snapToGrid w:val="0"/>
      <w:spacing w:before="180"/>
      <w:ind w:left="850" w:hanging="425"/>
    </w:pPr>
    <w:rPr>
      <w:rFonts w:ascii="Arial" w:hAnsi="Arial" w:cs="Arial"/>
      <w:szCs w:val="22"/>
    </w:rPr>
  </w:style>
  <w:style w:type="paragraph" w:customStyle="1" w:styleId="TableCopy">
    <w:name w:val="Table Copy"/>
    <w:basedOn w:val="Normal"/>
    <w:qFormat/>
    <w:rsid w:val="008A7BDB"/>
    <w:pPr>
      <w:adjustRightInd w:val="0"/>
      <w:snapToGrid w:val="0"/>
      <w:spacing w:before="180"/>
    </w:pPr>
    <w:rPr>
      <w:rFonts w:asciiTheme="minorHAnsi" w:hAnsiTheme="minorHAnsi" w:cs="Arial"/>
      <w:szCs w:val="22"/>
    </w:rPr>
  </w:style>
  <w:style w:type="paragraph" w:styleId="Caption">
    <w:name w:val="caption"/>
    <w:basedOn w:val="Normal"/>
    <w:next w:val="Normal"/>
    <w:uiPriority w:val="35"/>
    <w:rsid w:val="00926FAA"/>
    <w:pPr>
      <w:spacing w:before="0" w:after="200" w:line="240" w:lineRule="auto"/>
    </w:pPr>
    <w:rPr>
      <w:i/>
      <w:iCs/>
      <w:color w:val="002C4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9493275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1C00207" TargetMode="External"/><Relationship Id="rId18" Type="http://schemas.openxmlformats.org/officeDocument/2006/relationships/hyperlink" Target="https://eur-lex.europa.eu/legal-content/EN/TXT/?uri=uriserv%3AOJ.L_.2017.117.01.0001.01.ENG&amp;toc=OJ%3AL%3A2017%3A117%3ATOC" TargetMode="External"/><Relationship Id="rId26" Type="http://schemas.openxmlformats.org/officeDocument/2006/relationships/hyperlink" Target="mailto:AUCAB@health.gov.au" TargetMode="External"/><Relationship Id="rId39" Type="http://schemas.openxmlformats.org/officeDocument/2006/relationships/hyperlink" Target="mailto:AUCAB@health.gov.au" TargetMode="External"/><Relationship Id="rId3" Type="http://schemas.openxmlformats.org/officeDocument/2006/relationships/styles" Target="styles.xml"/><Relationship Id="rId21" Type="http://schemas.openxmlformats.org/officeDocument/2006/relationships/hyperlink" Target="http://www.imdrf.org/docs/imdrf/final/technical/imdrf-tech-200318-rrar-cab-cmdrr-n59.pdf" TargetMode="External"/><Relationship Id="rId34" Type="http://schemas.openxmlformats.org/officeDocument/2006/relationships/oleObject" Target="embeddings/oleObject1.bin"/><Relationship Id="rId42" Type="http://schemas.openxmlformats.org/officeDocument/2006/relationships/hyperlink" Target="mailto:info@tga.gov.a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package" Target="embeddings/Microsoft_Word_Document.docx"/><Relationship Id="rId33" Type="http://schemas.openxmlformats.org/officeDocument/2006/relationships/image" Target="media/image6.emf"/><Relationship Id="rId38" Type="http://schemas.openxmlformats.org/officeDocument/2006/relationships/hyperlink" Target="https://www.tga.gov.au/australian-conformity-assessment-bodies" TargetMode="External"/><Relationship Id="rId46" Type="http://schemas.openxmlformats.org/officeDocument/2006/relationships/fontTable" Target="fontTable.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legislation.gov.au/Series/C2004A00818" TargetMode="External"/><Relationship Id="rId20" Type="http://schemas.openxmlformats.org/officeDocument/2006/relationships/hyperlink" Target="https://www.fda.gov/MedicalDevices/InternationalPrograms/MDSAPPilot/ucm377581.htm" TargetMode="External"/><Relationship Id="rId29" Type="http://schemas.openxmlformats.org/officeDocument/2006/relationships/hyperlink" Target="https://www.tga.gov.au/australian-conformity-assessment-bodi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hyperlink" Target="https://www.tga.gov.au/book-page/medical-devices-3" TargetMode="External"/><Relationship Id="rId37" Type="http://schemas.openxmlformats.org/officeDocument/2006/relationships/hyperlink" Target="https://www.tga.gov.au/australian-conformity-assessment-bodies" TargetMode="External"/><Relationship Id="rId40" Type="http://schemas.openxmlformats.org/officeDocument/2006/relationships/header" Target="header3.xml"/><Relationship Id="rId45" Type="http://schemas.openxmlformats.org/officeDocument/2006/relationships/footer" Target="footer4.xml"/><Relationship Id="rId5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eur-lex.europa.eu/eli/reg_impl/2017/2185/oj" TargetMode="External"/><Relationship Id="rId28" Type="http://schemas.openxmlformats.org/officeDocument/2006/relationships/hyperlink" Target="https://www.tga.gov.au/form/organisation-details" TargetMode="External"/><Relationship Id="rId36" Type="http://schemas.openxmlformats.org/officeDocument/2006/relationships/hyperlink" Target="https://eur-lex.europa.eu/legal-content/EN/TXT/?uri=uriserv%3AOJ.L_.2017.117.01.0176.01.ENG&amp;toc=OJ%3AL%3A2017%3A117%3ATOC" TargetMode="External"/><Relationship Id="rId10" Type="http://schemas.openxmlformats.org/officeDocument/2006/relationships/header" Target="header2.xml"/><Relationship Id="rId19" Type="http://schemas.openxmlformats.org/officeDocument/2006/relationships/hyperlink" Target="https://eur-lex.europa.eu/legal-content/EN/TXT/?uri=uriserv%3AOJ.L_.2017.117.01.0176.01.ENG&amp;toc=OJ%3AL%3A2017%3A117%3ATOC" TargetMode="External"/><Relationship Id="rId31" Type="http://schemas.openxmlformats.org/officeDocument/2006/relationships/hyperlink" Target="mailto:AUCAB@health.gov.au"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2002B00237" TargetMode="External"/><Relationship Id="rId22" Type="http://schemas.openxmlformats.org/officeDocument/2006/relationships/hyperlink" Target="http://eur-lex.europa.eu/eli/reg_impl/2017/2185/oj" TargetMode="External"/><Relationship Id="rId27" Type="http://schemas.openxmlformats.org/officeDocument/2006/relationships/hyperlink" Target="https://www.tga.gov.au/tga-business-services-getting-started-tga" TargetMode="External"/><Relationship Id="rId30" Type="http://schemas.openxmlformats.org/officeDocument/2006/relationships/hyperlink" Target="mailto:AUCAB@health.gov.au" TargetMode="External"/><Relationship Id="rId35" Type="http://schemas.openxmlformats.org/officeDocument/2006/relationships/hyperlink" Target="https://eur-lex.europa.eu/legal-content/EN/TXT/?uri=uriserv%3AOJ.L_.2017.117.01.0001.01.ENG&amp;toc=OJ%3AL%3A2017%3A117%3ATOC" TargetMode="External"/><Relationship Id="rId43" Type="http://schemas.openxmlformats.org/officeDocument/2006/relationships/hyperlink" Target="https://www.tga.gov.au"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D14FB-2235-44CA-B1C4-66810C50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4443</Words>
  <Characters>24484</Characters>
  <Application>Microsoft Office Word</Application>
  <DocSecurity>0</DocSecurity>
  <Lines>556</Lines>
  <Paragraphs>340</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for Australian conformity assessment bodies</dc:title>
  <dc:subject>guidelines for applicants</dc:subject>
  <dc:creator>Therapeutic Goods Administration</dc:creator>
  <cp:lastModifiedBy>LACK, Janet</cp:lastModifiedBy>
  <cp:revision>3</cp:revision>
  <cp:lastPrinted>2021-06-27T20:54:00Z</cp:lastPrinted>
  <dcterms:created xsi:type="dcterms:W3CDTF">2021-06-30T06:15:00Z</dcterms:created>
  <dcterms:modified xsi:type="dcterms:W3CDTF">2021-06-30T06:25:00Z</dcterms:modified>
</cp:coreProperties>
</file>