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45862541" w14:textId="77777777" w:rsidTr="00ED0C8B">
        <w:tc>
          <w:tcPr>
            <w:tcW w:w="8720" w:type="dxa"/>
          </w:tcPr>
          <w:p w14:paraId="200045E5" w14:textId="592CDDCC" w:rsidR="001D480A" w:rsidRPr="009401F6" w:rsidRDefault="0067776F" w:rsidP="00ED0C8B">
            <w:pPr>
              <w:pStyle w:val="Title"/>
            </w:pPr>
            <w:permStart w:id="1708030479" w:edGrp="everyone"/>
            <w:r>
              <w:t xml:space="preserve">COVID -19 Rapid Antigen </w:t>
            </w:r>
            <w:r w:rsidR="00AF0BF9">
              <w:t xml:space="preserve">Point of </w:t>
            </w:r>
            <w:r w:rsidR="009661F6">
              <w:t>Care Testing</w:t>
            </w:r>
            <w:permEnd w:id="1708030479"/>
            <w:r>
              <w:t xml:space="preserve"> </w:t>
            </w:r>
          </w:p>
        </w:tc>
      </w:tr>
      <w:tr w:rsidR="00ED0C8B" w:rsidRPr="009401F6" w14:paraId="04E5D866" w14:textId="77777777" w:rsidTr="00ED0C8B">
        <w:trPr>
          <w:trHeight w:val="1387"/>
        </w:trPr>
        <w:tc>
          <w:tcPr>
            <w:tcW w:w="8720" w:type="dxa"/>
          </w:tcPr>
          <w:p w14:paraId="464FF7E5" w14:textId="262D6F3A" w:rsidR="001D480A" w:rsidRPr="009401F6" w:rsidRDefault="0067776F" w:rsidP="00ED0C8B">
            <w:pPr>
              <w:pStyle w:val="Subtitle"/>
              <w:ind w:left="0"/>
              <w:rPr>
                <w:lang w:eastAsia="en-AU"/>
              </w:rPr>
            </w:pPr>
            <w:r>
              <w:rPr>
                <w:lang w:eastAsia="en-AU"/>
              </w:rPr>
              <w:t xml:space="preserve">Guidance </w:t>
            </w:r>
            <w:r w:rsidR="005733E9">
              <w:rPr>
                <w:lang w:eastAsia="en-AU"/>
              </w:rPr>
              <w:t xml:space="preserve">for implementation </w:t>
            </w:r>
            <w:r>
              <w:rPr>
                <w:lang w:eastAsia="en-AU"/>
              </w:rPr>
              <w:t xml:space="preserve">and </w:t>
            </w:r>
            <w:r w:rsidR="003F4684">
              <w:rPr>
                <w:lang w:eastAsia="en-AU"/>
              </w:rPr>
              <w:t>c</w:t>
            </w:r>
            <w:r>
              <w:rPr>
                <w:lang w:eastAsia="en-AU"/>
              </w:rPr>
              <w:t xml:space="preserve">hecklist for </w:t>
            </w:r>
            <w:r w:rsidR="003F4684">
              <w:rPr>
                <w:lang w:eastAsia="en-AU"/>
              </w:rPr>
              <w:t>b</w:t>
            </w:r>
            <w:r>
              <w:rPr>
                <w:lang w:eastAsia="en-AU"/>
              </w:rPr>
              <w:t>usinesses</w:t>
            </w:r>
          </w:p>
        </w:tc>
      </w:tr>
      <w:tr w:rsidR="00ED0C8B" w:rsidRPr="009401F6" w14:paraId="4B12C90E" w14:textId="77777777" w:rsidTr="00ED0C8B">
        <w:tc>
          <w:tcPr>
            <w:tcW w:w="8720" w:type="dxa"/>
          </w:tcPr>
          <w:p w14:paraId="00AB6A1F" w14:textId="603E52DA" w:rsidR="00ED0C8B" w:rsidRPr="009401F6" w:rsidRDefault="00ED0C8B" w:rsidP="00EB182C">
            <w:pPr>
              <w:pStyle w:val="Date"/>
              <w:rPr>
                <w:lang w:eastAsia="en-AU"/>
              </w:rPr>
            </w:pPr>
            <w:r w:rsidRPr="009401F6">
              <w:rPr>
                <w:lang w:eastAsia="en-AU"/>
              </w:rPr>
              <w:t xml:space="preserve">Version </w:t>
            </w:r>
            <w:r w:rsidR="009970B1">
              <w:rPr>
                <w:lang w:eastAsia="en-AU"/>
              </w:rPr>
              <w:t>2.0</w:t>
            </w:r>
            <w:r w:rsidRPr="009401F6">
              <w:rPr>
                <w:lang w:eastAsia="en-AU"/>
              </w:rPr>
              <w:t xml:space="preserve">, </w:t>
            </w:r>
            <w:r w:rsidR="009970B1">
              <w:rPr>
                <w:lang w:eastAsia="en-AU"/>
              </w:rPr>
              <w:t>January 2022</w:t>
            </w:r>
          </w:p>
        </w:tc>
      </w:tr>
    </w:tbl>
    <w:p w14:paraId="2AB7F4DB" w14:textId="77777777" w:rsidR="00BA6FF1" w:rsidRPr="009401F6" w:rsidRDefault="00BA6FF1" w:rsidP="007C7B5B">
      <w:pPr>
        <w:rPr>
          <w:lang w:eastAsia="en-AU"/>
        </w:rPr>
      </w:pPr>
    </w:p>
    <w:p w14:paraId="6E394189" w14:textId="77777777"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14:paraId="259405A7" w14:textId="77777777" w:rsidR="00BA6FF1" w:rsidRPr="005D4EA1" w:rsidRDefault="00BA6FF1" w:rsidP="00FE1941">
      <w:pPr>
        <w:pStyle w:val="LegalSubheading"/>
        <w:pageBreakBefore/>
      </w:pPr>
      <w:r w:rsidRPr="00691723">
        <w:lastRenderedPageBreak/>
        <w:t>Copyright</w:t>
      </w:r>
    </w:p>
    <w:p w14:paraId="3AA9AC43" w14:textId="01E42EDF" w:rsidR="00611B57" w:rsidRDefault="00EA453A" w:rsidP="00FE1941">
      <w:pPr>
        <w:pStyle w:val="LegalCopy"/>
        <w:spacing w:after="0"/>
      </w:pPr>
      <w:r w:rsidRPr="009401F6">
        <w:t>© Commonwealth of Australia 20</w:t>
      </w:r>
      <w:r w:rsidR="00D433BD">
        <w:t>2</w:t>
      </w:r>
      <w:r w:rsidR="004256F1">
        <w:t>2</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p w14:paraId="1A4262F4" w14:textId="77777777" w:rsidR="008D2B09" w:rsidRPr="009401F6" w:rsidRDefault="008D2B09" w:rsidP="00611B57">
      <w:pPr>
        <w:pStyle w:val="LegalSubheading"/>
      </w:pPr>
      <w:r w:rsidRPr="009401F6">
        <w:t>Confidentiality</w:t>
      </w:r>
    </w:p>
    <w:p w14:paraId="7FDAF198" w14:textId="77777777"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14:paraId="0D7354F3" w14:textId="77777777" w:rsidR="00B92C72" w:rsidRPr="009401F6" w:rsidRDefault="00B92C72" w:rsidP="00B92C72">
          <w:pPr>
            <w:pStyle w:val="NonTOCheading2"/>
          </w:pPr>
          <w:r w:rsidRPr="009401F6">
            <w:t>Contents</w:t>
          </w:r>
        </w:p>
        <w:p w14:paraId="7DE35568" w14:textId="3CE47AFE" w:rsidR="0064330B"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93307811" w:history="1">
            <w:r w:rsidR="0064330B" w:rsidRPr="00373E63">
              <w:rPr>
                <w:rStyle w:val="Hyperlink"/>
                <w:noProof/>
              </w:rPr>
              <w:t>Introduction</w:t>
            </w:r>
            <w:r w:rsidR="0064330B">
              <w:rPr>
                <w:noProof/>
                <w:webHidden/>
              </w:rPr>
              <w:tab/>
            </w:r>
            <w:r w:rsidR="0064330B">
              <w:rPr>
                <w:noProof/>
                <w:webHidden/>
              </w:rPr>
              <w:fldChar w:fldCharType="begin"/>
            </w:r>
            <w:r w:rsidR="0064330B">
              <w:rPr>
                <w:noProof/>
                <w:webHidden/>
              </w:rPr>
              <w:instrText xml:space="preserve"> PAGEREF _Toc93307811 \h </w:instrText>
            </w:r>
            <w:r w:rsidR="0064330B">
              <w:rPr>
                <w:noProof/>
                <w:webHidden/>
              </w:rPr>
            </w:r>
            <w:r w:rsidR="0064330B">
              <w:rPr>
                <w:noProof/>
                <w:webHidden/>
              </w:rPr>
              <w:fldChar w:fldCharType="separate"/>
            </w:r>
            <w:r w:rsidR="0064330B">
              <w:rPr>
                <w:noProof/>
                <w:webHidden/>
              </w:rPr>
              <w:t>4</w:t>
            </w:r>
            <w:r w:rsidR="0064330B">
              <w:rPr>
                <w:noProof/>
                <w:webHidden/>
              </w:rPr>
              <w:fldChar w:fldCharType="end"/>
            </w:r>
          </w:hyperlink>
        </w:p>
        <w:p w14:paraId="15508453" w14:textId="50116F55" w:rsidR="0064330B" w:rsidRDefault="0064330B">
          <w:pPr>
            <w:pStyle w:val="TOC1"/>
            <w:rPr>
              <w:rFonts w:asciiTheme="minorHAnsi" w:eastAsiaTheme="minorEastAsia" w:hAnsiTheme="minorHAnsi" w:cstheme="minorBidi"/>
              <w:b w:val="0"/>
              <w:noProof/>
              <w:sz w:val="22"/>
              <w:szCs w:val="22"/>
              <w:lang w:eastAsia="en-AU"/>
            </w:rPr>
          </w:pPr>
          <w:hyperlink w:anchor="_Toc93307812" w:history="1">
            <w:r w:rsidRPr="00373E63">
              <w:rPr>
                <w:rStyle w:val="Hyperlink"/>
                <w:noProof/>
              </w:rPr>
              <w:t>Background</w:t>
            </w:r>
            <w:r>
              <w:rPr>
                <w:noProof/>
                <w:webHidden/>
              </w:rPr>
              <w:tab/>
            </w:r>
            <w:r>
              <w:rPr>
                <w:noProof/>
                <w:webHidden/>
              </w:rPr>
              <w:fldChar w:fldCharType="begin"/>
            </w:r>
            <w:r>
              <w:rPr>
                <w:noProof/>
                <w:webHidden/>
              </w:rPr>
              <w:instrText xml:space="preserve"> PAGEREF _Toc93307812 \h </w:instrText>
            </w:r>
            <w:r>
              <w:rPr>
                <w:noProof/>
                <w:webHidden/>
              </w:rPr>
            </w:r>
            <w:r>
              <w:rPr>
                <w:noProof/>
                <w:webHidden/>
              </w:rPr>
              <w:fldChar w:fldCharType="separate"/>
            </w:r>
            <w:r>
              <w:rPr>
                <w:noProof/>
                <w:webHidden/>
              </w:rPr>
              <w:t>4</w:t>
            </w:r>
            <w:r>
              <w:rPr>
                <w:noProof/>
                <w:webHidden/>
              </w:rPr>
              <w:fldChar w:fldCharType="end"/>
            </w:r>
          </w:hyperlink>
        </w:p>
        <w:p w14:paraId="4CF11C46" w14:textId="20CC8F9C" w:rsidR="0064330B" w:rsidRDefault="0064330B">
          <w:pPr>
            <w:pStyle w:val="TOC1"/>
            <w:rPr>
              <w:rFonts w:asciiTheme="minorHAnsi" w:eastAsiaTheme="minorEastAsia" w:hAnsiTheme="minorHAnsi" w:cstheme="minorBidi"/>
              <w:b w:val="0"/>
              <w:noProof/>
              <w:sz w:val="22"/>
              <w:szCs w:val="22"/>
              <w:lang w:eastAsia="en-AU"/>
            </w:rPr>
          </w:pPr>
          <w:hyperlink w:anchor="_Toc93307813" w:history="1">
            <w:r w:rsidRPr="00373E63">
              <w:rPr>
                <w:rStyle w:val="Hyperlink"/>
                <w:noProof/>
              </w:rPr>
              <w:t>General considerations</w:t>
            </w:r>
            <w:r>
              <w:rPr>
                <w:noProof/>
                <w:webHidden/>
              </w:rPr>
              <w:tab/>
            </w:r>
            <w:r>
              <w:rPr>
                <w:noProof/>
                <w:webHidden/>
              </w:rPr>
              <w:fldChar w:fldCharType="begin"/>
            </w:r>
            <w:r>
              <w:rPr>
                <w:noProof/>
                <w:webHidden/>
              </w:rPr>
              <w:instrText xml:space="preserve"> PAGEREF _Toc93307813 \h </w:instrText>
            </w:r>
            <w:r>
              <w:rPr>
                <w:noProof/>
                <w:webHidden/>
              </w:rPr>
            </w:r>
            <w:r>
              <w:rPr>
                <w:noProof/>
                <w:webHidden/>
              </w:rPr>
              <w:fldChar w:fldCharType="separate"/>
            </w:r>
            <w:r>
              <w:rPr>
                <w:noProof/>
                <w:webHidden/>
              </w:rPr>
              <w:t>4</w:t>
            </w:r>
            <w:r>
              <w:rPr>
                <w:noProof/>
                <w:webHidden/>
              </w:rPr>
              <w:fldChar w:fldCharType="end"/>
            </w:r>
          </w:hyperlink>
        </w:p>
        <w:p w14:paraId="58D68524" w14:textId="491BB046" w:rsidR="0064330B" w:rsidRDefault="0064330B">
          <w:pPr>
            <w:pStyle w:val="TOC1"/>
            <w:rPr>
              <w:rFonts w:asciiTheme="minorHAnsi" w:eastAsiaTheme="minorEastAsia" w:hAnsiTheme="minorHAnsi" w:cstheme="minorBidi"/>
              <w:b w:val="0"/>
              <w:noProof/>
              <w:sz w:val="22"/>
              <w:szCs w:val="22"/>
              <w:lang w:eastAsia="en-AU"/>
            </w:rPr>
          </w:pPr>
          <w:hyperlink w:anchor="_Toc93307814" w:history="1">
            <w:r w:rsidRPr="00373E63">
              <w:rPr>
                <w:rStyle w:val="Hyperlink"/>
                <w:noProof/>
              </w:rPr>
              <w:t>Test choice consideration</w:t>
            </w:r>
            <w:r>
              <w:rPr>
                <w:noProof/>
                <w:webHidden/>
              </w:rPr>
              <w:tab/>
            </w:r>
            <w:r>
              <w:rPr>
                <w:noProof/>
                <w:webHidden/>
              </w:rPr>
              <w:fldChar w:fldCharType="begin"/>
            </w:r>
            <w:r>
              <w:rPr>
                <w:noProof/>
                <w:webHidden/>
              </w:rPr>
              <w:instrText xml:space="preserve"> PAGEREF _Toc93307814 \h </w:instrText>
            </w:r>
            <w:r>
              <w:rPr>
                <w:noProof/>
                <w:webHidden/>
              </w:rPr>
            </w:r>
            <w:r>
              <w:rPr>
                <w:noProof/>
                <w:webHidden/>
              </w:rPr>
              <w:fldChar w:fldCharType="separate"/>
            </w:r>
            <w:r>
              <w:rPr>
                <w:noProof/>
                <w:webHidden/>
              </w:rPr>
              <w:t>6</w:t>
            </w:r>
            <w:r>
              <w:rPr>
                <w:noProof/>
                <w:webHidden/>
              </w:rPr>
              <w:fldChar w:fldCharType="end"/>
            </w:r>
          </w:hyperlink>
        </w:p>
        <w:p w14:paraId="38BE9C82" w14:textId="0318CF5E" w:rsidR="0064330B" w:rsidRDefault="0064330B">
          <w:pPr>
            <w:pStyle w:val="TOC1"/>
            <w:rPr>
              <w:rFonts w:asciiTheme="minorHAnsi" w:eastAsiaTheme="minorEastAsia" w:hAnsiTheme="minorHAnsi" w:cstheme="minorBidi"/>
              <w:b w:val="0"/>
              <w:noProof/>
              <w:sz w:val="22"/>
              <w:szCs w:val="22"/>
              <w:lang w:eastAsia="en-AU"/>
            </w:rPr>
          </w:pPr>
          <w:hyperlink w:anchor="_Toc93307815" w:history="1">
            <w:r w:rsidRPr="00373E63">
              <w:rPr>
                <w:rStyle w:val="Hyperlink"/>
                <w:noProof/>
              </w:rPr>
              <w:t>Test performance</w:t>
            </w:r>
            <w:r>
              <w:rPr>
                <w:noProof/>
                <w:webHidden/>
              </w:rPr>
              <w:tab/>
            </w:r>
            <w:r>
              <w:rPr>
                <w:noProof/>
                <w:webHidden/>
              </w:rPr>
              <w:fldChar w:fldCharType="begin"/>
            </w:r>
            <w:r>
              <w:rPr>
                <w:noProof/>
                <w:webHidden/>
              </w:rPr>
              <w:instrText xml:space="preserve"> PAGEREF _Toc93307815 \h </w:instrText>
            </w:r>
            <w:r>
              <w:rPr>
                <w:noProof/>
                <w:webHidden/>
              </w:rPr>
            </w:r>
            <w:r>
              <w:rPr>
                <w:noProof/>
                <w:webHidden/>
              </w:rPr>
              <w:fldChar w:fldCharType="separate"/>
            </w:r>
            <w:r>
              <w:rPr>
                <w:noProof/>
                <w:webHidden/>
              </w:rPr>
              <w:t>6</w:t>
            </w:r>
            <w:r>
              <w:rPr>
                <w:noProof/>
                <w:webHidden/>
              </w:rPr>
              <w:fldChar w:fldCharType="end"/>
            </w:r>
          </w:hyperlink>
        </w:p>
        <w:p w14:paraId="0386E652" w14:textId="4A934A7B" w:rsidR="0064330B" w:rsidRDefault="0064330B">
          <w:pPr>
            <w:pStyle w:val="TOC1"/>
            <w:rPr>
              <w:rFonts w:asciiTheme="minorHAnsi" w:eastAsiaTheme="minorEastAsia" w:hAnsiTheme="minorHAnsi" w:cstheme="minorBidi"/>
              <w:b w:val="0"/>
              <w:noProof/>
              <w:sz w:val="22"/>
              <w:szCs w:val="22"/>
              <w:lang w:eastAsia="en-AU"/>
            </w:rPr>
          </w:pPr>
          <w:hyperlink w:anchor="_Toc93307816" w:history="1">
            <w:r w:rsidRPr="00373E63">
              <w:rPr>
                <w:rStyle w:val="Hyperlink"/>
                <w:noProof/>
              </w:rPr>
              <w:t>Training</w:t>
            </w:r>
            <w:r>
              <w:rPr>
                <w:noProof/>
                <w:webHidden/>
              </w:rPr>
              <w:tab/>
            </w:r>
            <w:r>
              <w:rPr>
                <w:noProof/>
                <w:webHidden/>
              </w:rPr>
              <w:fldChar w:fldCharType="begin"/>
            </w:r>
            <w:r>
              <w:rPr>
                <w:noProof/>
                <w:webHidden/>
              </w:rPr>
              <w:instrText xml:space="preserve"> PAGEREF _Toc93307816 \h </w:instrText>
            </w:r>
            <w:r>
              <w:rPr>
                <w:noProof/>
                <w:webHidden/>
              </w:rPr>
            </w:r>
            <w:r>
              <w:rPr>
                <w:noProof/>
                <w:webHidden/>
              </w:rPr>
              <w:fldChar w:fldCharType="separate"/>
            </w:r>
            <w:r>
              <w:rPr>
                <w:noProof/>
                <w:webHidden/>
              </w:rPr>
              <w:t>7</w:t>
            </w:r>
            <w:r>
              <w:rPr>
                <w:noProof/>
                <w:webHidden/>
              </w:rPr>
              <w:fldChar w:fldCharType="end"/>
            </w:r>
          </w:hyperlink>
        </w:p>
        <w:p w14:paraId="693E8904" w14:textId="7E191D35" w:rsidR="0064330B" w:rsidRDefault="0064330B">
          <w:pPr>
            <w:pStyle w:val="TOC1"/>
            <w:rPr>
              <w:rFonts w:asciiTheme="minorHAnsi" w:eastAsiaTheme="minorEastAsia" w:hAnsiTheme="minorHAnsi" w:cstheme="minorBidi"/>
              <w:b w:val="0"/>
              <w:noProof/>
              <w:sz w:val="22"/>
              <w:szCs w:val="22"/>
              <w:lang w:eastAsia="en-AU"/>
            </w:rPr>
          </w:pPr>
          <w:hyperlink w:anchor="_Toc93307817" w:history="1">
            <w:r w:rsidRPr="00373E63">
              <w:rPr>
                <w:rStyle w:val="Hyperlink"/>
                <w:noProof/>
              </w:rPr>
              <w:t>Remote supervision</w:t>
            </w:r>
            <w:r>
              <w:rPr>
                <w:noProof/>
                <w:webHidden/>
              </w:rPr>
              <w:tab/>
            </w:r>
            <w:r>
              <w:rPr>
                <w:noProof/>
                <w:webHidden/>
              </w:rPr>
              <w:fldChar w:fldCharType="begin"/>
            </w:r>
            <w:r>
              <w:rPr>
                <w:noProof/>
                <w:webHidden/>
              </w:rPr>
              <w:instrText xml:space="preserve"> PAGEREF _Toc93307817 \h </w:instrText>
            </w:r>
            <w:r>
              <w:rPr>
                <w:noProof/>
                <w:webHidden/>
              </w:rPr>
            </w:r>
            <w:r>
              <w:rPr>
                <w:noProof/>
                <w:webHidden/>
              </w:rPr>
              <w:fldChar w:fldCharType="separate"/>
            </w:r>
            <w:r>
              <w:rPr>
                <w:noProof/>
                <w:webHidden/>
              </w:rPr>
              <w:t>7</w:t>
            </w:r>
            <w:r>
              <w:rPr>
                <w:noProof/>
                <w:webHidden/>
              </w:rPr>
              <w:fldChar w:fldCharType="end"/>
            </w:r>
          </w:hyperlink>
        </w:p>
        <w:p w14:paraId="1F1B4542" w14:textId="06605294" w:rsidR="0064330B" w:rsidRDefault="0064330B">
          <w:pPr>
            <w:pStyle w:val="TOC1"/>
            <w:rPr>
              <w:rFonts w:asciiTheme="minorHAnsi" w:eastAsiaTheme="minorEastAsia" w:hAnsiTheme="minorHAnsi" w:cstheme="minorBidi"/>
              <w:b w:val="0"/>
              <w:noProof/>
              <w:sz w:val="22"/>
              <w:szCs w:val="22"/>
              <w:lang w:eastAsia="en-AU"/>
            </w:rPr>
          </w:pPr>
          <w:hyperlink w:anchor="_Toc93307818" w:history="1">
            <w:r w:rsidRPr="00373E63">
              <w:rPr>
                <w:rStyle w:val="Hyperlink"/>
                <w:noProof/>
              </w:rPr>
              <w:t>Other considerations</w:t>
            </w:r>
            <w:r>
              <w:rPr>
                <w:noProof/>
                <w:webHidden/>
              </w:rPr>
              <w:tab/>
            </w:r>
            <w:r>
              <w:rPr>
                <w:noProof/>
                <w:webHidden/>
              </w:rPr>
              <w:fldChar w:fldCharType="begin"/>
            </w:r>
            <w:r>
              <w:rPr>
                <w:noProof/>
                <w:webHidden/>
              </w:rPr>
              <w:instrText xml:space="preserve"> PAGEREF _Toc93307818 \h </w:instrText>
            </w:r>
            <w:r>
              <w:rPr>
                <w:noProof/>
                <w:webHidden/>
              </w:rPr>
            </w:r>
            <w:r>
              <w:rPr>
                <w:noProof/>
                <w:webHidden/>
              </w:rPr>
              <w:fldChar w:fldCharType="separate"/>
            </w:r>
            <w:r>
              <w:rPr>
                <w:noProof/>
                <w:webHidden/>
              </w:rPr>
              <w:t>8</w:t>
            </w:r>
            <w:r>
              <w:rPr>
                <w:noProof/>
                <w:webHidden/>
              </w:rPr>
              <w:fldChar w:fldCharType="end"/>
            </w:r>
          </w:hyperlink>
        </w:p>
        <w:p w14:paraId="743CB08B" w14:textId="4AB4F62A" w:rsidR="0064330B" w:rsidRDefault="0064330B">
          <w:pPr>
            <w:pStyle w:val="TOC1"/>
            <w:rPr>
              <w:rFonts w:asciiTheme="minorHAnsi" w:eastAsiaTheme="minorEastAsia" w:hAnsiTheme="minorHAnsi" w:cstheme="minorBidi"/>
              <w:b w:val="0"/>
              <w:noProof/>
              <w:sz w:val="22"/>
              <w:szCs w:val="22"/>
              <w:lang w:eastAsia="en-AU"/>
            </w:rPr>
          </w:pPr>
          <w:hyperlink w:anchor="_Toc93307819" w:history="1">
            <w:r w:rsidRPr="00373E63">
              <w:rPr>
                <w:rStyle w:val="Hyperlink"/>
                <w:noProof/>
              </w:rPr>
              <w:t>Checklist for business when considering rapid antigen testing</w:t>
            </w:r>
            <w:r>
              <w:rPr>
                <w:noProof/>
                <w:webHidden/>
              </w:rPr>
              <w:tab/>
            </w:r>
            <w:r>
              <w:rPr>
                <w:noProof/>
                <w:webHidden/>
              </w:rPr>
              <w:fldChar w:fldCharType="begin"/>
            </w:r>
            <w:r>
              <w:rPr>
                <w:noProof/>
                <w:webHidden/>
              </w:rPr>
              <w:instrText xml:space="preserve"> PAGEREF _Toc93307819 \h </w:instrText>
            </w:r>
            <w:r>
              <w:rPr>
                <w:noProof/>
                <w:webHidden/>
              </w:rPr>
            </w:r>
            <w:r>
              <w:rPr>
                <w:noProof/>
                <w:webHidden/>
              </w:rPr>
              <w:fldChar w:fldCharType="separate"/>
            </w:r>
            <w:r>
              <w:rPr>
                <w:noProof/>
                <w:webHidden/>
              </w:rPr>
              <w:t>9</w:t>
            </w:r>
            <w:r>
              <w:rPr>
                <w:noProof/>
                <w:webHidden/>
              </w:rPr>
              <w:fldChar w:fldCharType="end"/>
            </w:r>
          </w:hyperlink>
        </w:p>
        <w:p w14:paraId="0B27CDB1" w14:textId="574DADD8" w:rsidR="00B92C72" w:rsidRPr="009401F6" w:rsidRDefault="006C626D" w:rsidP="0023397F">
          <w:r w:rsidRPr="009401F6">
            <w:fldChar w:fldCharType="end"/>
          </w:r>
        </w:p>
      </w:sdtContent>
    </w:sdt>
    <w:p w14:paraId="110AA90A" w14:textId="5517480A" w:rsidR="00F8365F" w:rsidRPr="009401F6" w:rsidRDefault="00F8365F" w:rsidP="008A07FF">
      <w:r w:rsidRPr="009401F6">
        <w:br w:type="page"/>
      </w:r>
    </w:p>
    <w:p w14:paraId="61039EC7" w14:textId="2389915E" w:rsidR="001525B4" w:rsidRPr="003F4684" w:rsidRDefault="0067776F" w:rsidP="003F4684">
      <w:pPr>
        <w:pStyle w:val="Heading2"/>
      </w:pPr>
      <w:bookmarkStart w:id="1" w:name="_Toc356305156"/>
      <w:bookmarkStart w:id="2" w:name="_Toc93307811"/>
      <w:r w:rsidRPr="003F4684">
        <w:lastRenderedPageBreak/>
        <w:t>Introduction</w:t>
      </w:r>
      <w:bookmarkEnd w:id="0"/>
      <w:bookmarkEnd w:id="1"/>
      <w:bookmarkEnd w:id="2"/>
    </w:p>
    <w:p w14:paraId="16860283" w14:textId="49245B6B" w:rsidR="0004727D" w:rsidRDefault="0067776F">
      <w:pPr>
        <w:spacing w:after="0" w:line="240" w:lineRule="auto"/>
        <w:rPr>
          <w:rFonts w:asciiTheme="minorHAnsi" w:eastAsia="Times New Roman" w:hAnsiTheme="minorHAnsi"/>
          <w:color w:val="000000"/>
          <w:szCs w:val="22"/>
          <w:lang w:eastAsia="en-AU"/>
        </w:rPr>
      </w:pPr>
      <w:r w:rsidRPr="00112E94">
        <w:rPr>
          <w:rFonts w:asciiTheme="minorHAnsi" w:eastAsia="Times New Roman" w:hAnsiTheme="minorHAnsi"/>
          <w:color w:val="000000"/>
          <w:szCs w:val="22"/>
          <w:lang w:eastAsia="en-AU"/>
        </w:rPr>
        <w:t xml:space="preserve">The purpose of this document is to provide </w:t>
      </w:r>
      <w:r w:rsidR="000865FB" w:rsidRPr="00112E94">
        <w:rPr>
          <w:rFonts w:asciiTheme="minorHAnsi" w:eastAsia="Times New Roman" w:hAnsiTheme="minorHAnsi"/>
          <w:color w:val="000000"/>
          <w:szCs w:val="22"/>
          <w:lang w:eastAsia="en-AU"/>
        </w:rPr>
        <w:t xml:space="preserve">some </w:t>
      </w:r>
      <w:r w:rsidRPr="00112E94">
        <w:rPr>
          <w:rFonts w:asciiTheme="minorHAnsi" w:eastAsia="Times New Roman" w:hAnsiTheme="minorHAnsi"/>
          <w:color w:val="000000"/>
          <w:szCs w:val="22"/>
          <w:lang w:eastAsia="en-AU"/>
        </w:rPr>
        <w:t xml:space="preserve">guidance to </w:t>
      </w:r>
      <w:r w:rsidR="00DB2D87">
        <w:rPr>
          <w:rFonts w:asciiTheme="minorHAnsi" w:eastAsia="Times New Roman" w:hAnsiTheme="minorHAnsi"/>
          <w:color w:val="000000"/>
          <w:szCs w:val="22"/>
          <w:lang w:eastAsia="en-AU"/>
        </w:rPr>
        <w:t>b</w:t>
      </w:r>
      <w:r w:rsidRPr="00112E94">
        <w:rPr>
          <w:rFonts w:asciiTheme="minorHAnsi" w:eastAsia="Times New Roman" w:hAnsiTheme="minorHAnsi"/>
          <w:color w:val="000000"/>
          <w:szCs w:val="22"/>
          <w:lang w:eastAsia="en-AU"/>
        </w:rPr>
        <w:t>usinesses who are considering</w:t>
      </w:r>
      <w:r w:rsidR="00DE2561">
        <w:rPr>
          <w:rFonts w:asciiTheme="minorHAnsi" w:eastAsia="Times New Roman" w:hAnsiTheme="minorHAnsi"/>
          <w:color w:val="000000"/>
          <w:szCs w:val="22"/>
          <w:lang w:eastAsia="en-AU"/>
        </w:rPr>
        <w:t>, or are,</w:t>
      </w:r>
      <w:r w:rsidRPr="00112E94">
        <w:rPr>
          <w:rFonts w:asciiTheme="minorHAnsi" w:eastAsia="Times New Roman" w:hAnsiTheme="minorHAnsi"/>
          <w:color w:val="000000"/>
          <w:szCs w:val="22"/>
          <w:lang w:eastAsia="en-AU"/>
        </w:rPr>
        <w:t xml:space="preserve"> using COVID-19 </w:t>
      </w:r>
      <w:r w:rsidR="0004727D">
        <w:rPr>
          <w:rFonts w:asciiTheme="minorHAnsi" w:eastAsia="Times New Roman" w:hAnsiTheme="minorHAnsi"/>
          <w:color w:val="000000"/>
          <w:szCs w:val="22"/>
          <w:lang w:eastAsia="en-AU"/>
        </w:rPr>
        <w:t xml:space="preserve">rapid antigen </w:t>
      </w:r>
      <w:r w:rsidR="00B74AE5">
        <w:rPr>
          <w:rFonts w:asciiTheme="minorHAnsi" w:eastAsia="Times New Roman" w:hAnsiTheme="minorHAnsi"/>
          <w:color w:val="000000"/>
          <w:szCs w:val="22"/>
          <w:lang w:eastAsia="en-AU"/>
        </w:rPr>
        <w:t>tests that are approved by the Therapeutic Goods Administration (TGA) as point-of-care test</w:t>
      </w:r>
      <w:r w:rsidR="00B74AE5" w:rsidRPr="00B74AE5">
        <w:rPr>
          <w:rFonts w:eastAsia="Times New Roman" w:cstheme="minorHAnsi"/>
          <w:lang w:eastAsia="en-AU"/>
        </w:rPr>
        <w:t xml:space="preserve"> </w:t>
      </w:r>
      <w:r w:rsidR="00B74AE5" w:rsidRPr="00B74AE5">
        <w:rPr>
          <w:rFonts w:asciiTheme="minorHAnsi" w:eastAsia="Times New Roman" w:hAnsiTheme="minorHAnsi"/>
          <w:color w:val="000000"/>
          <w:szCs w:val="22"/>
          <w:lang w:eastAsia="en-AU"/>
        </w:rPr>
        <w:t>for use by trained health practitioners and trained staff under their supervision</w:t>
      </w:r>
      <w:r w:rsidR="000B5232">
        <w:rPr>
          <w:rFonts w:asciiTheme="minorHAnsi" w:eastAsia="Times New Roman" w:hAnsiTheme="minorHAnsi"/>
          <w:color w:val="000000"/>
          <w:szCs w:val="22"/>
          <w:lang w:eastAsia="en-AU"/>
        </w:rPr>
        <w:t xml:space="preserve">. A business </w:t>
      </w:r>
      <w:r w:rsidR="0004727D">
        <w:rPr>
          <w:rFonts w:asciiTheme="minorHAnsi" w:eastAsia="Times New Roman" w:hAnsiTheme="minorHAnsi"/>
          <w:color w:val="000000"/>
          <w:szCs w:val="22"/>
          <w:lang w:eastAsia="en-AU"/>
        </w:rPr>
        <w:t xml:space="preserve">can choose </w:t>
      </w:r>
      <w:r w:rsidR="000B5232">
        <w:rPr>
          <w:rFonts w:asciiTheme="minorHAnsi" w:eastAsia="Times New Roman" w:hAnsiTheme="minorHAnsi"/>
          <w:color w:val="000000"/>
          <w:szCs w:val="22"/>
          <w:lang w:eastAsia="en-AU"/>
        </w:rPr>
        <w:t xml:space="preserve">instead </w:t>
      </w:r>
      <w:r w:rsidR="0004727D">
        <w:rPr>
          <w:rFonts w:asciiTheme="minorHAnsi" w:eastAsia="Times New Roman" w:hAnsiTheme="minorHAnsi"/>
          <w:color w:val="000000"/>
          <w:szCs w:val="22"/>
          <w:lang w:eastAsia="en-AU"/>
        </w:rPr>
        <w:t xml:space="preserve">to use rapid antigen </w:t>
      </w:r>
      <w:r w:rsidR="00736D7D">
        <w:rPr>
          <w:rFonts w:asciiTheme="minorHAnsi" w:eastAsia="Times New Roman" w:hAnsiTheme="minorHAnsi"/>
          <w:color w:val="000000"/>
          <w:szCs w:val="22"/>
          <w:lang w:eastAsia="en-AU"/>
        </w:rPr>
        <w:t xml:space="preserve">tests that are approved </w:t>
      </w:r>
      <w:r w:rsidR="00B74AE5">
        <w:rPr>
          <w:rFonts w:asciiTheme="minorHAnsi" w:eastAsia="Times New Roman" w:hAnsiTheme="minorHAnsi"/>
          <w:color w:val="000000"/>
          <w:szCs w:val="22"/>
          <w:lang w:eastAsia="en-AU"/>
        </w:rPr>
        <w:t xml:space="preserve">by the TGA </w:t>
      </w:r>
      <w:r w:rsidR="00736D7D">
        <w:rPr>
          <w:rFonts w:asciiTheme="minorHAnsi" w:eastAsia="Times New Roman" w:hAnsiTheme="minorHAnsi"/>
          <w:color w:val="000000"/>
          <w:szCs w:val="22"/>
          <w:lang w:eastAsia="en-AU"/>
        </w:rPr>
        <w:t xml:space="preserve">for use as </w:t>
      </w:r>
      <w:r w:rsidR="0004727D">
        <w:rPr>
          <w:rFonts w:asciiTheme="minorHAnsi" w:eastAsia="Times New Roman" w:hAnsiTheme="minorHAnsi"/>
          <w:color w:val="000000"/>
          <w:szCs w:val="22"/>
          <w:lang w:eastAsia="en-AU"/>
        </w:rPr>
        <w:t>self-test</w:t>
      </w:r>
      <w:r w:rsidR="00736D7D">
        <w:rPr>
          <w:rFonts w:asciiTheme="minorHAnsi" w:eastAsia="Times New Roman" w:hAnsiTheme="minorHAnsi"/>
          <w:color w:val="000000"/>
          <w:szCs w:val="22"/>
          <w:lang w:eastAsia="en-AU"/>
        </w:rPr>
        <w:t>s</w:t>
      </w:r>
      <w:r w:rsidR="000B5232">
        <w:rPr>
          <w:rFonts w:asciiTheme="minorHAnsi" w:eastAsia="Times New Roman" w:hAnsiTheme="minorHAnsi"/>
          <w:color w:val="000000"/>
          <w:szCs w:val="22"/>
          <w:lang w:eastAsia="en-AU"/>
        </w:rPr>
        <w:t>. In this case the involvement of a health practitioner is not required</w:t>
      </w:r>
      <w:r w:rsidR="00B74AE5">
        <w:rPr>
          <w:rFonts w:asciiTheme="minorHAnsi" w:eastAsia="Times New Roman" w:hAnsiTheme="minorHAnsi"/>
          <w:color w:val="000000"/>
          <w:szCs w:val="22"/>
          <w:lang w:eastAsia="en-AU"/>
        </w:rPr>
        <w:t xml:space="preserve"> although</w:t>
      </w:r>
      <w:r w:rsidR="000B5232">
        <w:rPr>
          <w:rFonts w:asciiTheme="minorHAnsi" w:eastAsia="Times New Roman" w:hAnsiTheme="minorHAnsi"/>
          <w:color w:val="000000"/>
          <w:szCs w:val="22"/>
          <w:lang w:eastAsia="en-AU"/>
        </w:rPr>
        <w:t xml:space="preserve"> this guidance still provides </w:t>
      </w:r>
      <w:r w:rsidR="00B74AE5">
        <w:rPr>
          <w:rFonts w:asciiTheme="minorHAnsi" w:eastAsia="Times New Roman" w:hAnsiTheme="minorHAnsi"/>
          <w:color w:val="000000"/>
          <w:szCs w:val="22"/>
          <w:lang w:eastAsia="en-AU"/>
        </w:rPr>
        <w:t>relevant</w:t>
      </w:r>
      <w:r w:rsidR="000B5232">
        <w:rPr>
          <w:rFonts w:asciiTheme="minorHAnsi" w:eastAsia="Times New Roman" w:hAnsiTheme="minorHAnsi"/>
          <w:color w:val="000000"/>
          <w:szCs w:val="22"/>
          <w:lang w:eastAsia="en-AU"/>
        </w:rPr>
        <w:t xml:space="preserve"> information on how </w:t>
      </w:r>
      <w:r w:rsidR="00B74AE5">
        <w:rPr>
          <w:rFonts w:asciiTheme="minorHAnsi" w:eastAsia="Times New Roman" w:hAnsiTheme="minorHAnsi"/>
          <w:color w:val="000000"/>
          <w:szCs w:val="22"/>
          <w:lang w:eastAsia="en-AU"/>
        </w:rPr>
        <w:t>a business can</w:t>
      </w:r>
      <w:r w:rsidR="000B5232">
        <w:rPr>
          <w:rFonts w:asciiTheme="minorHAnsi" w:eastAsia="Times New Roman" w:hAnsiTheme="minorHAnsi"/>
          <w:color w:val="000000"/>
          <w:szCs w:val="22"/>
          <w:lang w:eastAsia="en-AU"/>
        </w:rPr>
        <w:t xml:space="preserve"> safely </w:t>
      </w:r>
      <w:r w:rsidR="00B74AE5">
        <w:rPr>
          <w:rFonts w:asciiTheme="minorHAnsi" w:eastAsia="Times New Roman" w:hAnsiTheme="minorHAnsi"/>
          <w:color w:val="000000"/>
          <w:szCs w:val="22"/>
          <w:lang w:eastAsia="en-AU"/>
        </w:rPr>
        <w:t>implement</w:t>
      </w:r>
      <w:r w:rsidR="000B5232">
        <w:rPr>
          <w:rFonts w:asciiTheme="minorHAnsi" w:eastAsia="Times New Roman" w:hAnsiTheme="minorHAnsi"/>
          <w:color w:val="000000"/>
          <w:szCs w:val="22"/>
          <w:lang w:eastAsia="en-AU"/>
        </w:rPr>
        <w:t xml:space="preserve"> testing in the workplace.</w:t>
      </w:r>
    </w:p>
    <w:p w14:paraId="74162696" w14:textId="7BDE22C6" w:rsidR="008A2CE7" w:rsidRPr="003F4684" w:rsidRDefault="008A2CE7" w:rsidP="003F4684">
      <w:pPr>
        <w:pStyle w:val="Heading2"/>
      </w:pPr>
      <w:bookmarkStart w:id="3" w:name="_Toc93307812"/>
      <w:r w:rsidRPr="003F4684">
        <w:t>Background</w:t>
      </w:r>
      <w:bookmarkEnd w:id="3"/>
    </w:p>
    <w:p w14:paraId="1BC9726F" w14:textId="180F4DB8" w:rsidR="008A2CE7" w:rsidRPr="00623879" w:rsidRDefault="008A2CE7" w:rsidP="00566176">
      <w:pPr>
        <w:rPr>
          <w:rFonts w:eastAsia="Times New Roman" w:cstheme="minorHAnsi"/>
          <w:lang w:eastAsia="en-AU"/>
        </w:rPr>
      </w:pPr>
      <w:r w:rsidRPr="00EE1A0D">
        <w:rPr>
          <w:rFonts w:eastAsia="Times New Roman" w:cstheme="minorHAnsi"/>
          <w:lang w:eastAsia="en-AU"/>
        </w:rPr>
        <w:t>The T</w:t>
      </w:r>
      <w:r w:rsidR="00DB2D87">
        <w:rPr>
          <w:rFonts w:eastAsia="Times New Roman" w:cstheme="minorHAnsi"/>
          <w:lang w:eastAsia="en-AU"/>
        </w:rPr>
        <w:t>herapeutic Goods Administration (TGA)</w:t>
      </w:r>
      <w:r w:rsidRPr="00EE1A0D">
        <w:rPr>
          <w:rFonts w:eastAsia="Times New Roman" w:cstheme="minorHAnsi"/>
          <w:lang w:eastAsia="en-AU"/>
        </w:rPr>
        <w:t xml:space="preserve"> has approved </w:t>
      </w:r>
      <w:proofErr w:type="gramStart"/>
      <w:r>
        <w:rPr>
          <w:rFonts w:eastAsia="Times New Roman" w:cstheme="minorHAnsi"/>
          <w:lang w:eastAsia="en-AU"/>
        </w:rPr>
        <w:t>a number of</w:t>
      </w:r>
      <w:proofErr w:type="gramEnd"/>
      <w:r>
        <w:rPr>
          <w:rFonts w:eastAsia="Times New Roman" w:cstheme="minorHAnsi"/>
          <w:lang w:eastAsia="en-AU"/>
        </w:rPr>
        <w:t xml:space="preserve"> r</w:t>
      </w:r>
      <w:r w:rsidRPr="00EE1A0D">
        <w:rPr>
          <w:rFonts w:eastAsia="Times New Roman" w:cstheme="minorHAnsi"/>
          <w:lang w:eastAsia="en-AU"/>
        </w:rPr>
        <w:t>apid antigen</w:t>
      </w:r>
      <w:r w:rsidR="00C5787B">
        <w:rPr>
          <w:rFonts w:eastAsia="Times New Roman" w:cstheme="minorHAnsi"/>
          <w:lang w:eastAsia="en-AU"/>
        </w:rPr>
        <w:t xml:space="preserve"> point-of-care</w:t>
      </w:r>
      <w:r w:rsidRPr="00EE1A0D">
        <w:rPr>
          <w:rFonts w:eastAsia="Times New Roman" w:cstheme="minorHAnsi"/>
          <w:lang w:eastAsia="en-AU"/>
        </w:rPr>
        <w:t xml:space="preserve"> tests</w:t>
      </w:r>
      <w:r w:rsidR="006431B5">
        <w:rPr>
          <w:rFonts w:eastAsia="Times New Roman" w:cstheme="minorHAnsi"/>
          <w:lang w:eastAsia="en-AU"/>
        </w:rPr>
        <w:t xml:space="preserve"> for supply in Australia</w:t>
      </w:r>
      <w:r>
        <w:rPr>
          <w:rFonts w:eastAsia="Times New Roman" w:cstheme="minorHAnsi"/>
          <w:lang w:eastAsia="en-AU"/>
        </w:rPr>
        <w:t>.</w:t>
      </w:r>
      <w:r w:rsidR="006431B5">
        <w:rPr>
          <w:rFonts w:eastAsia="Times New Roman" w:cstheme="minorHAnsi"/>
          <w:lang w:eastAsia="en-AU"/>
        </w:rPr>
        <w:t xml:space="preserve"> </w:t>
      </w:r>
      <w:r>
        <w:rPr>
          <w:rFonts w:eastAsia="Times New Roman" w:cstheme="minorHAnsi"/>
          <w:lang w:eastAsia="en-AU"/>
        </w:rPr>
        <w:t xml:space="preserve">So that they are appropriately </w:t>
      </w:r>
      <w:r w:rsidR="00DB2D87">
        <w:rPr>
          <w:rFonts w:eastAsia="Times New Roman" w:cstheme="minorHAnsi"/>
          <w:lang w:eastAsia="en-AU"/>
        </w:rPr>
        <w:t>used,</w:t>
      </w:r>
      <w:r>
        <w:rPr>
          <w:rFonts w:eastAsia="Times New Roman" w:cstheme="minorHAnsi"/>
          <w:lang w:eastAsia="en-AU"/>
        </w:rPr>
        <w:t xml:space="preserve"> and the results interpreted correctly, they</w:t>
      </w:r>
      <w:r w:rsidRPr="00EE1A0D">
        <w:rPr>
          <w:rFonts w:eastAsia="Times New Roman" w:cstheme="minorHAnsi"/>
          <w:lang w:eastAsia="en-AU"/>
        </w:rPr>
        <w:t xml:space="preserve"> can </w:t>
      </w:r>
      <w:r w:rsidRPr="00884B68">
        <w:rPr>
          <w:rFonts w:eastAsia="Times New Roman" w:cstheme="minorHAnsi"/>
          <w:lang w:eastAsia="en-AU"/>
        </w:rPr>
        <w:t>currently</w:t>
      </w:r>
      <w:r>
        <w:rPr>
          <w:rFonts w:eastAsia="Times New Roman" w:cstheme="minorHAnsi"/>
          <w:lang w:eastAsia="en-AU"/>
        </w:rPr>
        <w:t xml:space="preserve"> only be legally</w:t>
      </w:r>
      <w:r w:rsidRPr="00EE1A0D">
        <w:rPr>
          <w:rFonts w:eastAsia="Times New Roman" w:cstheme="minorHAnsi"/>
          <w:lang w:eastAsia="en-AU"/>
        </w:rPr>
        <w:t xml:space="preserve"> supplied under specific conditions</w:t>
      </w:r>
      <w:r>
        <w:rPr>
          <w:rFonts w:eastAsia="Times New Roman" w:cstheme="minorHAnsi"/>
          <w:lang w:eastAsia="en-AU"/>
        </w:rPr>
        <w:t>. These include</w:t>
      </w:r>
      <w:r w:rsidRPr="00EE1A0D">
        <w:rPr>
          <w:rFonts w:eastAsia="Times New Roman" w:cstheme="minorHAnsi"/>
          <w:lang w:eastAsia="en-AU"/>
        </w:rPr>
        <w:t xml:space="preserve"> for use by </w:t>
      </w:r>
      <w:r w:rsidR="006431B5">
        <w:rPr>
          <w:rFonts w:eastAsia="Times New Roman" w:cstheme="minorHAnsi"/>
          <w:lang w:eastAsia="en-AU"/>
        </w:rPr>
        <w:t xml:space="preserve">specified </w:t>
      </w:r>
      <w:r w:rsidRPr="00EE1A0D">
        <w:rPr>
          <w:rFonts w:eastAsia="Times New Roman" w:cstheme="minorHAnsi"/>
          <w:lang w:eastAsia="en-AU"/>
        </w:rPr>
        <w:t>trained health practitioners and trained staff under their supervision</w:t>
      </w:r>
      <w:r>
        <w:rPr>
          <w:rFonts w:eastAsia="Times New Roman" w:cstheme="minorHAnsi"/>
          <w:lang w:eastAsia="en-AU"/>
        </w:rPr>
        <w:t xml:space="preserve"> to ensure a suitable health practitioner is available to provide immediate clinical advice if required</w:t>
      </w:r>
      <w:r w:rsidRPr="00EE1A0D">
        <w:rPr>
          <w:rFonts w:eastAsia="Times New Roman" w:cstheme="minorHAnsi"/>
          <w:lang w:eastAsia="en-AU"/>
        </w:rPr>
        <w:t>.</w:t>
      </w:r>
      <w:r w:rsidR="00566176">
        <w:rPr>
          <w:rFonts w:eastAsia="Times New Roman" w:cstheme="minorHAnsi"/>
          <w:lang w:eastAsia="en-AU"/>
        </w:rPr>
        <w:t xml:space="preserve"> </w:t>
      </w:r>
      <w:r w:rsidRPr="00623879">
        <w:rPr>
          <w:rFonts w:eastAsia="Times New Roman" w:cstheme="minorHAnsi"/>
          <w:lang w:eastAsia="en-AU"/>
        </w:rPr>
        <w:t xml:space="preserve">The conditions were </w:t>
      </w:r>
      <w:r>
        <w:rPr>
          <w:rFonts w:eastAsia="Times New Roman" w:cstheme="minorHAnsi"/>
          <w:lang w:eastAsia="en-AU"/>
        </w:rPr>
        <w:t xml:space="preserve">recently updated </w:t>
      </w:r>
      <w:r w:rsidRPr="00623879">
        <w:rPr>
          <w:rFonts w:eastAsia="Times New Roman" w:cstheme="minorHAnsi"/>
          <w:lang w:eastAsia="en-AU"/>
        </w:rPr>
        <w:t>to clarify:</w:t>
      </w:r>
    </w:p>
    <w:p w14:paraId="1A37BC95" w14:textId="77777777" w:rsidR="008A2CE7" w:rsidRPr="004C6E03" w:rsidRDefault="008A2CE7" w:rsidP="004C6E03">
      <w:pPr>
        <w:pStyle w:val="ListBullet"/>
      </w:pPr>
      <w:r w:rsidRPr="004C6E03">
        <w:t>in what circumstances the tests can be supplied</w:t>
      </w:r>
    </w:p>
    <w:p w14:paraId="674A52B4" w14:textId="77777777" w:rsidR="008A2CE7" w:rsidRPr="004C6E03" w:rsidRDefault="008A2CE7" w:rsidP="004C6E03">
      <w:pPr>
        <w:pStyle w:val="ListBullet"/>
      </w:pPr>
      <w:r w:rsidRPr="004C6E03">
        <w:t>who can perform the test; and</w:t>
      </w:r>
    </w:p>
    <w:p w14:paraId="2953B489" w14:textId="77777777" w:rsidR="008A2CE7" w:rsidRPr="004C6E03" w:rsidRDefault="008A2CE7" w:rsidP="004C6E03">
      <w:pPr>
        <w:pStyle w:val="ListBullet"/>
      </w:pPr>
      <w:r w:rsidRPr="004C6E03">
        <w:t>the requirements for supervision of testing.</w:t>
      </w:r>
    </w:p>
    <w:p w14:paraId="746B953C" w14:textId="1CF96FAC" w:rsidR="009C11DF" w:rsidRDefault="009C11DF" w:rsidP="009C11DF">
      <w:pPr>
        <w:pStyle w:val="ListBullet"/>
        <w:numPr>
          <w:ilvl w:val="0"/>
          <w:numId w:val="0"/>
        </w:numPr>
        <w:rPr>
          <w:lang w:eastAsia="en-AU"/>
        </w:rPr>
      </w:pPr>
      <w:r>
        <w:rPr>
          <w:lang w:eastAsia="en-AU"/>
        </w:rPr>
        <w:t>Business can purchase rapid antigen point-of-care tests to test their employees but only if they engage or employ a health practitioner or paramedic who will be responsible for performing the test or supervising the performance of the test by trained staff.</w:t>
      </w:r>
      <w:r w:rsidR="00D805E0">
        <w:rPr>
          <w:lang w:eastAsia="en-AU"/>
        </w:rPr>
        <w:t xml:space="preserve"> </w:t>
      </w:r>
      <w:r>
        <w:rPr>
          <w:lang w:eastAsia="en-AU"/>
        </w:rPr>
        <w:t>Small</w:t>
      </w:r>
      <w:r w:rsidR="00D805E0">
        <w:rPr>
          <w:lang w:eastAsia="en-AU"/>
        </w:rPr>
        <w:t>er</w:t>
      </w:r>
      <w:r>
        <w:rPr>
          <w:lang w:eastAsia="en-AU"/>
        </w:rPr>
        <w:t xml:space="preserve"> businesses </w:t>
      </w:r>
      <w:r w:rsidR="00D805E0">
        <w:rPr>
          <w:lang w:eastAsia="en-AU"/>
        </w:rPr>
        <w:t xml:space="preserve">may </w:t>
      </w:r>
      <w:r>
        <w:rPr>
          <w:lang w:eastAsia="en-AU"/>
        </w:rPr>
        <w:t xml:space="preserve">only need a health practitioner to be available </w:t>
      </w:r>
      <w:r w:rsidR="00D805E0">
        <w:rPr>
          <w:lang w:eastAsia="en-AU"/>
        </w:rPr>
        <w:t xml:space="preserve">for short periods of time by </w:t>
      </w:r>
      <w:r>
        <w:rPr>
          <w:lang w:eastAsia="en-AU"/>
        </w:rPr>
        <w:t xml:space="preserve">the phone or by videoconference to </w:t>
      </w:r>
      <w:r w:rsidR="00D805E0">
        <w:rPr>
          <w:lang w:eastAsia="en-AU"/>
        </w:rPr>
        <w:t>assist or advise</w:t>
      </w:r>
      <w:r>
        <w:rPr>
          <w:lang w:eastAsia="en-AU"/>
        </w:rPr>
        <w:t xml:space="preserve"> as required, </w:t>
      </w:r>
    </w:p>
    <w:p w14:paraId="274D30D4" w14:textId="7C1EA49F" w:rsidR="009C11DF" w:rsidRDefault="009C11DF" w:rsidP="009C11DF">
      <w:pPr>
        <w:pStyle w:val="ListBullet"/>
        <w:numPr>
          <w:ilvl w:val="0"/>
          <w:numId w:val="0"/>
        </w:numPr>
        <w:rPr>
          <w:lang w:eastAsia="en-AU"/>
        </w:rPr>
      </w:pPr>
      <w:r>
        <w:rPr>
          <w:lang w:eastAsia="en-AU"/>
        </w:rPr>
        <w:t>A h</w:t>
      </w:r>
      <w:r w:rsidRPr="00B74AE5">
        <w:rPr>
          <w:lang w:eastAsia="en-AU"/>
        </w:rPr>
        <w:t xml:space="preserve">ealth practitioner may </w:t>
      </w:r>
      <w:r>
        <w:rPr>
          <w:lang w:eastAsia="en-AU"/>
        </w:rPr>
        <w:t>also</w:t>
      </w:r>
      <w:r w:rsidRPr="00B74AE5">
        <w:rPr>
          <w:lang w:eastAsia="en-AU"/>
        </w:rPr>
        <w:t xml:space="preserve"> screen patients under their </w:t>
      </w:r>
      <w:r w:rsidR="00D805E0">
        <w:rPr>
          <w:lang w:eastAsia="en-AU"/>
        </w:rPr>
        <w:t xml:space="preserve">direct </w:t>
      </w:r>
      <w:r w:rsidRPr="00B74AE5">
        <w:rPr>
          <w:lang w:eastAsia="en-AU"/>
        </w:rPr>
        <w:t>care for COVID-19 but there is no requirement that they must do this. Except for pharmacists, healthcare practitioners are not permitted to provide a general testing service for members of the public</w:t>
      </w:r>
      <w:r>
        <w:rPr>
          <w:lang w:eastAsia="en-AU"/>
        </w:rPr>
        <w:t>.</w:t>
      </w:r>
    </w:p>
    <w:p w14:paraId="246ADF03" w14:textId="4B734416" w:rsidR="0067776F" w:rsidRPr="00112E94" w:rsidRDefault="0067776F" w:rsidP="0067776F">
      <w:pPr>
        <w:spacing w:after="0" w:line="240" w:lineRule="auto"/>
        <w:rPr>
          <w:rFonts w:asciiTheme="minorHAnsi" w:hAnsiTheme="minorHAnsi" w:cs="Calibri"/>
          <w:szCs w:val="22"/>
        </w:rPr>
      </w:pPr>
      <w:r w:rsidRPr="00112E94">
        <w:rPr>
          <w:rFonts w:asciiTheme="minorHAnsi" w:hAnsiTheme="minorHAnsi" w:cs="Calibri"/>
          <w:szCs w:val="22"/>
        </w:rPr>
        <w:t>This information should be read in conjunction with all relevant national and jurisdictional legislation</w:t>
      </w:r>
      <w:r w:rsidR="009330D4">
        <w:rPr>
          <w:rFonts w:asciiTheme="minorHAnsi" w:hAnsiTheme="minorHAnsi" w:cs="Calibri"/>
          <w:szCs w:val="22"/>
        </w:rPr>
        <w:t xml:space="preserve">. There is additional information on the TGA website about </w:t>
      </w:r>
      <w:hyperlink r:id="rId13" w:history="1">
        <w:r w:rsidR="009330D4" w:rsidRPr="009330D4">
          <w:rPr>
            <w:rStyle w:val="Hyperlink"/>
            <w:rFonts w:asciiTheme="minorHAnsi" w:hAnsiTheme="minorHAnsi" w:cs="Calibri"/>
            <w:szCs w:val="22"/>
          </w:rPr>
          <w:t>COVID-19 rapid antigen point-of-care tests</w:t>
        </w:r>
      </w:hyperlink>
      <w:r w:rsidR="009330D4">
        <w:rPr>
          <w:rFonts w:asciiTheme="minorHAnsi" w:hAnsiTheme="minorHAnsi" w:cs="Calibri"/>
          <w:szCs w:val="22"/>
        </w:rPr>
        <w:t xml:space="preserve"> and conditions of their supply, </w:t>
      </w:r>
      <w:r w:rsidR="00964B6B" w:rsidRPr="00112E94">
        <w:rPr>
          <w:rFonts w:asciiTheme="minorHAnsi" w:hAnsiTheme="minorHAnsi" w:cs="Calibri"/>
          <w:szCs w:val="22"/>
        </w:rPr>
        <w:t xml:space="preserve">with further explanation provided through </w:t>
      </w:r>
      <w:hyperlink r:id="rId14" w:history="1">
        <w:r w:rsidR="00964B6B" w:rsidRPr="009330D4">
          <w:rPr>
            <w:rStyle w:val="Hyperlink"/>
            <w:rFonts w:asciiTheme="minorHAnsi" w:hAnsiTheme="minorHAnsi" w:cs="Calibri"/>
            <w:szCs w:val="22"/>
          </w:rPr>
          <w:t>questions and answers</w:t>
        </w:r>
      </w:hyperlink>
      <w:r w:rsidR="00964B6B" w:rsidRPr="00112E94">
        <w:rPr>
          <w:rFonts w:asciiTheme="minorHAnsi" w:hAnsiTheme="minorHAnsi" w:cs="Calibri"/>
          <w:szCs w:val="22"/>
        </w:rPr>
        <w:t xml:space="preserve"> .</w:t>
      </w:r>
    </w:p>
    <w:p w14:paraId="5EB0F631" w14:textId="2007E453" w:rsidR="001525B4" w:rsidRPr="009401F6" w:rsidRDefault="0067776F" w:rsidP="003F4684">
      <w:pPr>
        <w:pStyle w:val="Heading2"/>
      </w:pPr>
      <w:bookmarkStart w:id="4" w:name="_Toc93307813"/>
      <w:r>
        <w:t xml:space="preserve">General </w:t>
      </w:r>
      <w:r w:rsidR="00426320">
        <w:t>c</w:t>
      </w:r>
      <w:r>
        <w:t>onsiderations</w:t>
      </w:r>
      <w:bookmarkEnd w:id="4"/>
    </w:p>
    <w:p w14:paraId="42D0EDBA" w14:textId="127C893D" w:rsidR="0067776F" w:rsidRDefault="0067776F" w:rsidP="0067776F">
      <w:pPr>
        <w:pStyle w:val="Numberbullet0"/>
      </w:pPr>
      <w:r w:rsidRPr="00F62CB4">
        <w:t xml:space="preserve">There must be a designated health practitioner </w:t>
      </w:r>
      <w:r w:rsidR="00964B6B">
        <w:t xml:space="preserve">(as defined in the </w:t>
      </w:r>
      <w:hyperlink r:id="rId15" w:history="1">
        <w:r w:rsidR="00964B6B" w:rsidRPr="00821170">
          <w:rPr>
            <w:rStyle w:val="Hyperlink"/>
            <w:i/>
            <w:iCs/>
          </w:rPr>
          <w:t>Therapeutic Goods Act 1989</w:t>
        </w:r>
        <w:r w:rsidR="00821170" w:rsidRPr="00821170">
          <w:rPr>
            <w:rStyle w:val="Hyperlink"/>
            <w:i/>
            <w:iCs/>
          </w:rPr>
          <w:t>, Chapter 1, 3(1)</w:t>
        </w:r>
      </w:hyperlink>
      <w:r w:rsidR="00964B6B">
        <w:t xml:space="preserve"> </w:t>
      </w:r>
      <w:r w:rsidR="00386B6D">
        <w:t xml:space="preserve">or paramedic </w:t>
      </w:r>
      <w:r w:rsidRPr="00F62CB4">
        <w:t xml:space="preserve">who </w:t>
      </w:r>
      <w:bookmarkStart w:id="5" w:name="_Hlk80522764"/>
      <w:r w:rsidRPr="00F62CB4">
        <w:t xml:space="preserve">will be the </w:t>
      </w:r>
      <w:proofErr w:type="spellStart"/>
      <w:r w:rsidRPr="00F62CB4">
        <w:t>PoCT</w:t>
      </w:r>
      <w:proofErr w:type="spellEnd"/>
      <w:r w:rsidRPr="00F62CB4">
        <w:t xml:space="preserve"> </w:t>
      </w:r>
      <w:r w:rsidR="001D4C29">
        <w:t>s</w:t>
      </w:r>
      <w:r w:rsidRPr="00F62CB4">
        <w:t>upervisor. This health practitioner will take responsibility and accountability for the conduct, quality and implementation of the testing being performed</w:t>
      </w:r>
      <w:r>
        <w:t xml:space="preserve"> and </w:t>
      </w:r>
      <w:bookmarkEnd w:id="5"/>
      <w:r>
        <w:t xml:space="preserve">must be </w:t>
      </w:r>
      <w:r w:rsidR="0055421A">
        <w:t>trained by the supplier</w:t>
      </w:r>
      <w:r>
        <w:t xml:space="preserve"> in the use of the </w:t>
      </w:r>
      <w:r w:rsidR="00566176">
        <w:t>r</w:t>
      </w:r>
      <w:r>
        <w:t xml:space="preserve">apid </w:t>
      </w:r>
      <w:r w:rsidR="00566176">
        <w:t>a</w:t>
      </w:r>
      <w:r>
        <w:t xml:space="preserve">ntigen </w:t>
      </w:r>
      <w:r w:rsidR="00566176">
        <w:t>t</w:t>
      </w:r>
      <w:r>
        <w:t>est</w:t>
      </w:r>
      <w:r w:rsidRPr="00F62CB4">
        <w:t>.</w:t>
      </w:r>
    </w:p>
    <w:p w14:paraId="01558591" w14:textId="75E0679E" w:rsidR="00821170" w:rsidRDefault="00821170" w:rsidP="004C6E03">
      <w:pPr>
        <w:ind w:left="425"/>
      </w:pPr>
      <w:r>
        <w:t xml:space="preserve">Health </w:t>
      </w:r>
      <w:r w:rsidR="001D4C29">
        <w:t>p</w:t>
      </w:r>
      <w:r>
        <w:t xml:space="preserve">ractitioner as </w:t>
      </w:r>
      <w:hyperlink r:id="rId16" w:history="1">
        <w:r w:rsidRPr="00823182">
          <w:rPr>
            <w:rStyle w:val="Hyperlink"/>
          </w:rPr>
          <w:t>defined</w:t>
        </w:r>
      </w:hyperlink>
      <w:r>
        <w:t xml:space="preserve"> by the </w:t>
      </w:r>
      <w:r>
        <w:rPr>
          <w:i/>
          <w:iCs/>
        </w:rPr>
        <w:t>Therapeutic Goods Act 1989</w:t>
      </w:r>
      <w:r>
        <w:t xml:space="preserve"> means:</w:t>
      </w:r>
    </w:p>
    <w:p w14:paraId="02438108" w14:textId="6BED3DCA" w:rsidR="00821170" w:rsidRDefault="00821170" w:rsidP="00823182">
      <w:pPr>
        <w:pStyle w:val="definition"/>
        <w:shd w:val="clear" w:color="auto" w:fill="FFFFFF"/>
        <w:spacing w:before="0" w:beforeAutospacing="0" w:after="0" w:afterAutospacing="0"/>
        <w:ind w:left="720"/>
        <w:rPr>
          <w:color w:val="000000"/>
          <w:sz w:val="22"/>
          <w:szCs w:val="22"/>
        </w:rPr>
      </w:pPr>
      <w:r>
        <w:rPr>
          <w:color w:val="000000"/>
          <w:sz w:val="22"/>
          <w:szCs w:val="22"/>
        </w:rPr>
        <w:t>a person who, under a law of a State or internal Territory, is registered or licensed to practice in any of the following health professions:</w:t>
      </w:r>
    </w:p>
    <w:p w14:paraId="72B9C2A1" w14:textId="3DB262F7" w:rsidR="00821170" w:rsidRDefault="00821170" w:rsidP="00823182">
      <w:pPr>
        <w:pStyle w:val="paragraph"/>
        <w:shd w:val="clear" w:color="auto" w:fill="FFFFFF"/>
        <w:spacing w:before="40" w:beforeAutospacing="0" w:after="0" w:afterAutospacing="0"/>
        <w:ind w:left="1939" w:hanging="793"/>
        <w:rPr>
          <w:color w:val="000000"/>
          <w:sz w:val="22"/>
          <w:szCs w:val="22"/>
        </w:rPr>
      </w:pPr>
      <w:r>
        <w:rPr>
          <w:color w:val="000000"/>
          <w:sz w:val="22"/>
          <w:szCs w:val="22"/>
        </w:rPr>
        <w:t>(a)  Aboriginal and Torres Strait Islander health practice</w:t>
      </w:r>
    </w:p>
    <w:p w14:paraId="5B6C9991" w14:textId="0F18AF2C" w:rsidR="00821170" w:rsidRDefault="00821170" w:rsidP="00823182">
      <w:pPr>
        <w:pStyle w:val="paragraph"/>
        <w:shd w:val="clear" w:color="auto" w:fill="FFFFFF"/>
        <w:spacing w:before="40" w:beforeAutospacing="0" w:after="0" w:afterAutospacing="0"/>
        <w:ind w:left="1939" w:hanging="793"/>
        <w:rPr>
          <w:color w:val="000000"/>
          <w:sz w:val="22"/>
          <w:szCs w:val="22"/>
        </w:rPr>
      </w:pPr>
      <w:r>
        <w:rPr>
          <w:color w:val="000000"/>
          <w:sz w:val="22"/>
          <w:szCs w:val="22"/>
        </w:rPr>
        <w:lastRenderedPageBreak/>
        <w:t xml:space="preserve">(b)  dental (not including the professions of dental therapist, dental hygienist, dental </w:t>
      </w:r>
      <w:proofErr w:type="gramStart"/>
      <w:r>
        <w:rPr>
          <w:color w:val="000000"/>
          <w:sz w:val="22"/>
          <w:szCs w:val="22"/>
        </w:rPr>
        <w:t>prosthetist</w:t>
      </w:r>
      <w:proofErr w:type="gramEnd"/>
      <w:r>
        <w:rPr>
          <w:color w:val="000000"/>
          <w:sz w:val="22"/>
          <w:szCs w:val="22"/>
        </w:rPr>
        <w:t xml:space="preserve"> or oral health therapist)</w:t>
      </w:r>
    </w:p>
    <w:p w14:paraId="704C42FD" w14:textId="3540C1C1" w:rsidR="00821170" w:rsidRDefault="00821170" w:rsidP="00823182">
      <w:pPr>
        <w:pStyle w:val="paragraph"/>
        <w:shd w:val="clear" w:color="auto" w:fill="FFFFFF"/>
        <w:spacing w:before="40" w:beforeAutospacing="0" w:after="0" w:afterAutospacing="0"/>
        <w:ind w:left="1939" w:hanging="793"/>
        <w:rPr>
          <w:color w:val="000000"/>
          <w:sz w:val="22"/>
          <w:szCs w:val="22"/>
        </w:rPr>
      </w:pPr>
      <w:r>
        <w:rPr>
          <w:color w:val="000000"/>
          <w:sz w:val="22"/>
          <w:szCs w:val="22"/>
        </w:rPr>
        <w:t>(c)  medical</w:t>
      </w:r>
    </w:p>
    <w:p w14:paraId="38B2D2A8" w14:textId="2DABAA95" w:rsidR="00821170" w:rsidRDefault="004C6E03" w:rsidP="00823182">
      <w:pPr>
        <w:pStyle w:val="paragraph"/>
        <w:shd w:val="clear" w:color="auto" w:fill="FFFFFF"/>
        <w:spacing w:before="40" w:beforeAutospacing="0" w:after="0" w:afterAutospacing="0"/>
        <w:ind w:left="1939" w:hanging="793"/>
        <w:rPr>
          <w:color w:val="000000"/>
          <w:sz w:val="22"/>
          <w:szCs w:val="22"/>
        </w:rPr>
      </w:pPr>
      <w:r>
        <w:rPr>
          <w:color w:val="000000"/>
          <w:sz w:val="22"/>
          <w:szCs w:val="22"/>
        </w:rPr>
        <w:t>(</w:t>
      </w:r>
      <w:r w:rsidR="00821170">
        <w:rPr>
          <w:color w:val="000000"/>
          <w:sz w:val="22"/>
          <w:szCs w:val="22"/>
        </w:rPr>
        <w:t>d)  medical radiation practice</w:t>
      </w:r>
    </w:p>
    <w:p w14:paraId="3F483C7D" w14:textId="2DBBD8F7" w:rsidR="00821170" w:rsidRDefault="00821170" w:rsidP="00823182">
      <w:pPr>
        <w:pStyle w:val="paragraph"/>
        <w:shd w:val="clear" w:color="auto" w:fill="FFFFFF"/>
        <w:spacing w:before="40" w:beforeAutospacing="0" w:after="0" w:afterAutospacing="0"/>
        <w:ind w:left="1939" w:hanging="793"/>
        <w:rPr>
          <w:color w:val="000000"/>
          <w:sz w:val="22"/>
          <w:szCs w:val="22"/>
        </w:rPr>
      </w:pPr>
      <w:r>
        <w:rPr>
          <w:color w:val="000000"/>
          <w:sz w:val="22"/>
          <w:szCs w:val="22"/>
        </w:rPr>
        <w:t>(e)  nursing</w:t>
      </w:r>
    </w:p>
    <w:p w14:paraId="51456FDC" w14:textId="22251229" w:rsidR="00821170" w:rsidRDefault="00821170" w:rsidP="00823182">
      <w:pPr>
        <w:pStyle w:val="paragraph"/>
        <w:shd w:val="clear" w:color="auto" w:fill="FFFFFF"/>
        <w:spacing w:before="40" w:beforeAutospacing="0" w:after="0" w:afterAutospacing="0"/>
        <w:ind w:left="1939" w:hanging="793"/>
        <w:rPr>
          <w:color w:val="000000"/>
          <w:sz w:val="22"/>
          <w:szCs w:val="22"/>
        </w:rPr>
      </w:pPr>
      <w:r>
        <w:rPr>
          <w:color w:val="000000"/>
          <w:sz w:val="22"/>
          <w:szCs w:val="22"/>
        </w:rPr>
        <w:t>(f)  midwifery</w:t>
      </w:r>
    </w:p>
    <w:p w14:paraId="6FE12CB3" w14:textId="78810152" w:rsidR="00821170" w:rsidRDefault="004C6E03" w:rsidP="00823182">
      <w:pPr>
        <w:pStyle w:val="paragraph"/>
        <w:shd w:val="clear" w:color="auto" w:fill="FFFFFF"/>
        <w:spacing w:before="40" w:beforeAutospacing="0" w:after="0" w:afterAutospacing="0"/>
        <w:ind w:left="1939" w:hanging="793"/>
        <w:rPr>
          <w:color w:val="000000"/>
          <w:sz w:val="22"/>
          <w:szCs w:val="22"/>
        </w:rPr>
      </w:pPr>
      <w:r>
        <w:rPr>
          <w:color w:val="000000"/>
          <w:sz w:val="22"/>
          <w:szCs w:val="22"/>
        </w:rPr>
        <w:t>(</w:t>
      </w:r>
      <w:r w:rsidR="00821170">
        <w:rPr>
          <w:color w:val="000000"/>
          <w:sz w:val="22"/>
          <w:szCs w:val="22"/>
        </w:rPr>
        <w:t>g)  occupational therapy</w:t>
      </w:r>
    </w:p>
    <w:p w14:paraId="2C7CD0CE" w14:textId="4D0E7DBA" w:rsidR="00821170" w:rsidRDefault="00821170" w:rsidP="00823182">
      <w:pPr>
        <w:pStyle w:val="paragraph"/>
        <w:shd w:val="clear" w:color="auto" w:fill="FFFFFF"/>
        <w:spacing w:before="40" w:beforeAutospacing="0" w:after="0" w:afterAutospacing="0"/>
        <w:ind w:left="1939" w:hanging="793"/>
        <w:rPr>
          <w:color w:val="000000"/>
          <w:sz w:val="22"/>
          <w:szCs w:val="22"/>
        </w:rPr>
      </w:pPr>
      <w:r>
        <w:rPr>
          <w:color w:val="000000"/>
          <w:sz w:val="22"/>
          <w:szCs w:val="22"/>
        </w:rPr>
        <w:t>(h)  optometry</w:t>
      </w:r>
    </w:p>
    <w:p w14:paraId="4B633964" w14:textId="3A5BF928" w:rsidR="00821170" w:rsidRDefault="00821170" w:rsidP="00823182">
      <w:pPr>
        <w:pStyle w:val="paragraph"/>
        <w:shd w:val="clear" w:color="auto" w:fill="FFFFFF"/>
        <w:spacing w:before="40" w:beforeAutospacing="0" w:after="0" w:afterAutospacing="0"/>
        <w:ind w:left="1939" w:hanging="793"/>
        <w:rPr>
          <w:color w:val="000000"/>
          <w:sz w:val="22"/>
          <w:szCs w:val="22"/>
        </w:rPr>
      </w:pPr>
      <w:r>
        <w:rPr>
          <w:color w:val="000000"/>
          <w:sz w:val="22"/>
          <w:szCs w:val="22"/>
        </w:rPr>
        <w:t>(</w:t>
      </w:r>
      <w:proofErr w:type="spellStart"/>
      <w:r>
        <w:rPr>
          <w:color w:val="000000"/>
          <w:sz w:val="22"/>
          <w:szCs w:val="22"/>
        </w:rPr>
        <w:t>i</w:t>
      </w:r>
      <w:proofErr w:type="spellEnd"/>
      <w:r>
        <w:rPr>
          <w:color w:val="000000"/>
          <w:sz w:val="22"/>
          <w:szCs w:val="22"/>
        </w:rPr>
        <w:t>)  pharmacy</w:t>
      </w:r>
    </w:p>
    <w:p w14:paraId="389D80E7" w14:textId="3A182954" w:rsidR="00821170" w:rsidRDefault="00821170" w:rsidP="00823182">
      <w:pPr>
        <w:pStyle w:val="paragraph"/>
        <w:shd w:val="clear" w:color="auto" w:fill="FFFFFF"/>
        <w:spacing w:before="40" w:beforeAutospacing="0" w:after="0" w:afterAutospacing="0"/>
        <w:ind w:left="1939" w:hanging="793"/>
        <w:rPr>
          <w:color w:val="000000"/>
          <w:sz w:val="22"/>
          <w:szCs w:val="22"/>
        </w:rPr>
      </w:pPr>
      <w:r>
        <w:rPr>
          <w:color w:val="000000"/>
          <w:sz w:val="22"/>
          <w:szCs w:val="22"/>
        </w:rPr>
        <w:t>(j)  physiotherapy</w:t>
      </w:r>
    </w:p>
    <w:p w14:paraId="0D66F404" w14:textId="4BF63C7A" w:rsidR="00821170" w:rsidRDefault="00821170" w:rsidP="00823182">
      <w:pPr>
        <w:pStyle w:val="paragraph"/>
        <w:shd w:val="clear" w:color="auto" w:fill="FFFFFF"/>
        <w:spacing w:before="40" w:beforeAutospacing="0" w:after="0" w:afterAutospacing="0"/>
        <w:ind w:left="1939" w:hanging="793"/>
        <w:rPr>
          <w:color w:val="000000"/>
          <w:sz w:val="22"/>
          <w:szCs w:val="22"/>
        </w:rPr>
      </w:pPr>
      <w:r>
        <w:rPr>
          <w:color w:val="000000"/>
          <w:sz w:val="22"/>
          <w:szCs w:val="22"/>
        </w:rPr>
        <w:t>(k)  podiatry</w:t>
      </w:r>
    </w:p>
    <w:p w14:paraId="41ABE59D" w14:textId="407B00AB" w:rsidR="00821170" w:rsidRDefault="00821170" w:rsidP="00823182">
      <w:pPr>
        <w:pStyle w:val="paragraph"/>
        <w:shd w:val="clear" w:color="auto" w:fill="FFFFFF"/>
        <w:spacing w:before="40" w:beforeAutospacing="0" w:after="0" w:afterAutospacing="0"/>
        <w:ind w:left="1939" w:hanging="793"/>
        <w:rPr>
          <w:color w:val="000000"/>
          <w:sz w:val="22"/>
          <w:szCs w:val="22"/>
        </w:rPr>
      </w:pPr>
      <w:r>
        <w:rPr>
          <w:color w:val="000000"/>
          <w:sz w:val="22"/>
          <w:szCs w:val="22"/>
        </w:rPr>
        <w:t>(l)  psychology.</w:t>
      </w:r>
    </w:p>
    <w:p w14:paraId="346422FD" w14:textId="6926C200" w:rsidR="005D49FB" w:rsidRDefault="005D49FB" w:rsidP="005D49FB">
      <w:pPr>
        <w:pStyle w:val="Numberbullet0"/>
        <w:numPr>
          <w:ilvl w:val="0"/>
          <w:numId w:val="0"/>
        </w:numPr>
        <w:ind w:left="425"/>
      </w:pPr>
      <w:proofErr w:type="gramStart"/>
      <w:r>
        <w:t>For the purpose of</w:t>
      </w:r>
      <w:proofErr w:type="gramEnd"/>
      <w:r>
        <w:t xml:space="preserve"> </w:t>
      </w:r>
      <w:r w:rsidRPr="005D49FB">
        <w:t xml:space="preserve">rapid antigen </w:t>
      </w:r>
      <w:r w:rsidR="00C5787B">
        <w:t xml:space="preserve">point-of-care </w:t>
      </w:r>
      <w:r w:rsidRPr="005D49FB">
        <w:t>test</w:t>
      </w:r>
      <w:r w:rsidR="00C5787B">
        <w:t>s,</w:t>
      </w:r>
      <w:r w:rsidRPr="005D49FB">
        <w:t xml:space="preserve"> health practitioner also includes a person registered under a law of a state or territory to practice paramedicine.</w:t>
      </w:r>
    </w:p>
    <w:p w14:paraId="0CE511DF" w14:textId="095D5B59" w:rsidR="0067776F" w:rsidRDefault="0067776F" w:rsidP="0067776F">
      <w:pPr>
        <w:pStyle w:val="Numberbullet0"/>
      </w:pPr>
      <w:r>
        <w:t xml:space="preserve">There </w:t>
      </w:r>
      <w:r w:rsidRPr="00F62CB4">
        <w:t xml:space="preserve">must </w:t>
      </w:r>
      <w:r>
        <w:t>be</w:t>
      </w:r>
      <w:r w:rsidRPr="00F62CB4">
        <w:t xml:space="preserve"> protocols</w:t>
      </w:r>
      <w:r>
        <w:t xml:space="preserve"> in place</w:t>
      </w:r>
      <w:r w:rsidRPr="00F62CB4">
        <w:t xml:space="preserve"> to manage safety of both the persons performing the test and the persons being tested.</w:t>
      </w:r>
    </w:p>
    <w:p w14:paraId="4AEB4D49" w14:textId="486407D6" w:rsidR="0067776F" w:rsidRPr="005257BF" w:rsidRDefault="00446C97" w:rsidP="0067776F">
      <w:pPr>
        <w:pStyle w:val="Numberbullet2"/>
        <w:rPr>
          <w:bCs/>
        </w:rPr>
      </w:pPr>
      <w:r>
        <w:rPr>
          <w:bCs/>
        </w:rPr>
        <w:t>This includes having adequate</w:t>
      </w:r>
      <w:r w:rsidR="0067776F">
        <w:rPr>
          <w:bCs/>
        </w:rPr>
        <w:t xml:space="preserve"> infection control protocols in place to</w:t>
      </w:r>
      <w:r w:rsidR="0067776F" w:rsidRPr="00F62CB4">
        <w:t xml:space="preserve"> ensure the safety of staff and persons </w:t>
      </w:r>
      <w:r w:rsidR="0067776F">
        <w:t xml:space="preserve">and to prevent </w:t>
      </w:r>
      <w:r w:rsidR="0067776F" w:rsidRPr="002B59DF">
        <w:t>the spread of infection.</w:t>
      </w:r>
    </w:p>
    <w:p w14:paraId="4000C8FA" w14:textId="0279F7BA" w:rsidR="0067776F" w:rsidRDefault="00446C97" w:rsidP="0067776F">
      <w:pPr>
        <w:pStyle w:val="Numberbullet2"/>
      </w:pPr>
      <w:r>
        <w:t>There m</w:t>
      </w:r>
      <w:r w:rsidR="0067776F" w:rsidRPr="005257BF">
        <w:t>ust be protocol</w:t>
      </w:r>
      <w:r w:rsidR="0067776F">
        <w:t>s</w:t>
      </w:r>
      <w:r w:rsidR="0067776F" w:rsidRPr="005257BF">
        <w:t xml:space="preserve"> relating to </w:t>
      </w:r>
      <w:r w:rsidR="001D4C29">
        <w:t>W</w:t>
      </w:r>
      <w:r w:rsidR="0067776F" w:rsidRPr="005257BF">
        <w:t xml:space="preserve">orkplace Health and Safety </w:t>
      </w:r>
      <w:r w:rsidR="00566176">
        <w:t xml:space="preserve">(WH&amp;S) </w:t>
      </w:r>
      <w:r w:rsidR="0067776F" w:rsidRPr="005257BF">
        <w:t>that are consistent with relevant national and jurisdictional workplace health and safety requirements.</w:t>
      </w:r>
    </w:p>
    <w:p w14:paraId="792B0864" w14:textId="5D861C67" w:rsidR="0067776F" w:rsidRPr="005257BF" w:rsidRDefault="0067776F" w:rsidP="0067776F">
      <w:pPr>
        <w:pStyle w:val="Numberbullet2"/>
        <w:rPr>
          <w:bCs/>
        </w:rPr>
      </w:pPr>
      <w:r w:rsidRPr="005257BF">
        <w:t xml:space="preserve">Every sample may be infectious and staff performing the tests should wear appropriate </w:t>
      </w:r>
      <w:r w:rsidR="001D4C29">
        <w:t>P</w:t>
      </w:r>
      <w:r w:rsidRPr="005257BF">
        <w:t xml:space="preserve">ersonal </w:t>
      </w:r>
      <w:r w:rsidR="001D4C29">
        <w:t>P</w:t>
      </w:r>
      <w:r w:rsidRPr="005257BF">
        <w:t xml:space="preserve">rotective </w:t>
      </w:r>
      <w:r w:rsidR="001D4C29">
        <w:t>E</w:t>
      </w:r>
      <w:r w:rsidRPr="005257BF">
        <w:t>quipment (PPE) (e.g. gloves, mask, gown, eye protection).</w:t>
      </w:r>
    </w:p>
    <w:p w14:paraId="02EDE1E9" w14:textId="3C489E2F" w:rsidR="0067776F" w:rsidRPr="005257BF" w:rsidRDefault="0067776F" w:rsidP="0067776F">
      <w:pPr>
        <w:pStyle w:val="Numberbullet2"/>
      </w:pPr>
      <w:r w:rsidRPr="005257BF">
        <w:t xml:space="preserve">Any accidents or incidents must be reported to the </w:t>
      </w:r>
      <w:proofErr w:type="spellStart"/>
      <w:r w:rsidRPr="005257BF">
        <w:t>PoCT</w:t>
      </w:r>
      <w:proofErr w:type="spellEnd"/>
      <w:r w:rsidRPr="005257BF">
        <w:t xml:space="preserve"> </w:t>
      </w:r>
      <w:r w:rsidR="001D4C29">
        <w:t>s</w:t>
      </w:r>
      <w:r w:rsidRPr="005257BF">
        <w:t>upervisor and followed up according to local workplace requirements.</w:t>
      </w:r>
    </w:p>
    <w:p w14:paraId="6A98A782" w14:textId="1D7B2D99" w:rsidR="0067776F" w:rsidRPr="0055421A" w:rsidRDefault="0067776F" w:rsidP="0055421A">
      <w:pPr>
        <w:pStyle w:val="Numberbullet0"/>
        <w:rPr>
          <w:bCs/>
        </w:rPr>
      </w:pPr>
      <w:r w:rsidRPr="00F62CB4">
        <w:t>The designated health practitioner must</w:t>
      </w:r>
      <w:r w:rsidRPr="0055421A">
        <w:rPr>
          <w:b/>
        </w:rPr>
        <w:t xml:space="preserve"> </w:t>
      </w:r>
      <w:r w:rsidRPr="00F62CB4">
        <w:t>be clearly identifiable and accessible and have the competence to ensure and take responsibility for</w:t>
      </w:r>
      <w:r w:rsidR="0055421A">
        <w:t xml:space="preserve"> all testing being performed (including staff training) and be available to provide clinical advice</w:t>
      </w:r>
      <w:r w:rsidRPr="00F62CB4">
        <w:t xml:space="preserve"> when required</w:t>
      </w:r>
      <w:r w:rsidR="0023017D">
        <w:t>.</w:t>
      </w:r>
    </w:p>
    <w:p w14:paraId="7DB15F3B" w14:textId="19911B1B" w:rsidR="0055421A" w:rsidRPr="0055421A" w:rsidRDefault="0067776F" w:rsidP="0067776F">
      <w:pPr>
        <w:pStyle w:val="Numberbullet0"/>
        <w:rPr>
          <w:bCs/>
        </w:rPr>
      </w:pPr>
      <w:r w:rsidRPr="00F62CB4">
        <w:t xml:space="preserve">The health practitioner must ensure that staff performing </w:t>
      </w:r>
      <w:r w:rsidR="00F951A8">
        <w:t xml:space="preserve">or supervising </w:t>
      </w:r>
      <w:r w:rsidRPr="00F62CB4">
        <w:t xml:space="preserve">the </w:t>
      </w:r>
      <w:r w:rsidR="00F951A8">
        <w:t xml:space="preserve">performance of the </w:t>
      </w:r>
      <w:r w:rsidRPr="00F62CB4">
        <w:t>test are trained in the correct performance and interpretation of the test including specimen collection.</w:t>
      </w:r>
    </w:p>
    <w:p w14:paraId="435B3DC6" w14:textId="1DABF804" w:rsidR="0067776F" w:rsidRPr="00F62CB4" w:rsidRDefault="0055421A" w:rsidP="0055421A">
      <w:pPr>
        <w:pStyle w:val="Numberbullet0"/>
        <w:numPr>
          <w:ilvl w:val="0"/>
          <w:numId w:val="0"/>
        </w:numPr>
        <w:ind w:left="425"/>
        <w:rPr>
          <w:bCs/>
        </w:rPr>
      </w:pPr>
      <w:r>
        <w:t>Note</w:t>
      </w:r>
      <w:r w:rsidR="004C6E03">
        <w:t>:</w:t>
      </w:r>
      <w:r>
        <w:t xml:space="preserve"> inadequate </w:t>
      </w:r>
      <w:r w:rsidR="000B5232">
        <w:t xml:space="preserve">or incorrect </w:t>
      </w:r>
      <w:r>
        <w:t>s</w:t>
      </w:r>
      <w:r w:rsidR="001D4C29">
        <w:t>ample</w:t>
      </w:r>
      <w:r>
        <w:t xml:space="preserve"> collection can affect the accuracy of the test.</w:t>
      </w:r>
    </w:p>
    <w:p w14:paraId="0D0BF5F7" w14:textId="32197974" w:rsidR="0067776F" w:rsidRPr="00F62CB4" w:rsidRDefault="0067776F" w:rsidP="0067776F">
      <w:pPr>
        <w:pStyle w:val="Numberbullet0"/>
        <w:rPr>
          <w:bCs/>
        </w:rPr>
      </w:pPr>
      <w:r w:rsidRPr="00F62CB4">
        <w:rPr>
          <w:bCs/>
        </w:rPr>
        <w:t xml:space="preserve">The privacy and confidentiality of individuals </w:t>
      </w:r>
      <w:proofErr w:type="gramStart"/>
      <w:r w:rsidRPr="00F62CB4">
        <w:rPr>
          <w:bCs/>
        </w:rPr>
        <w:t>must be maintained at all times</w:t>
      </w:r>
      <w:proofErr w:type="gramEnd"/>
      <w:r w:rsidRPr="00F62CB4">
        <w:rPr>
          <w:bCs/>
        </w:rPr>
        <w:t xml:space="preserve">. </w:t>
      </w:r>
      <w:r w:rsidRPr="00F62CB4">
        <w:t>Consent should be obtained from the individual to allow the collection and testing to be carried out.</w:t>
      </w:r>
    </w:p>
    <w:p w14:paraId="204029DA" w14:textId="1BF4C698" w:rsidR="0067776F" w:rsidRPr="00EA2CFD" w:rsidRDefault="0067776F" w:rsidP="0067776F">
      <w:pPr>
        <w:pStyle w:val="Numberbullet0"/>
        <w:rPr>
          <w:bCs/>
        </w:rPr>
      </w:pPr>
      <w:r w:rsidRPr="00F62CB4">
        <w:t>Collection of specimens must be performed with accurate identification of the p</w:t>
      </w:r>
      <w:r w:rsidR="0055421A">
        <w:t>erson being tested to ensure</w:t>
      </w:r>
      <w:r w:rsidRPr="00F62CB4">
        <w:t xml:space="preserve"> traceability of specimen</w:t>
      </w:r>
      <w:r w:rsidR="0055421A">
        <w:t xml:space="preserve"> collection</w:t>
      </w:r>
      <w:r w:rsidRPr="00F62CB4">
        <w:t xml:space="preserve"> to </w:t>
      </w:r>
      <w:proofErr w:type="gramStart"/>
      <w:r w:rsidR="0055421A">
        <w:t>final result</w:t>
      </w:r>
      <w:proofErr w:type="gramEnd"/>
      <w:r w:rsidRPr="00F62CB4">
        <w:t>.</w:t>
      </w:r>
    </w:p>
    <w:p w14:paraId="7D39BD56" w14:textId="0EED7749" w:rsidR="005D49FB" w:rsidRPr="005D49FB" w:rsidRDefault="00FC6800" w:rsidP="005D49FB">
      <w:pPr>
        <w:pStyle w:val="Numberbullet0"/>
        <w:rPr>
          <w:bCs/>
        </w:rPr>
      </w:pPr>
      <w:r>
        <w:rPr>
          <w:bCs/>
        </w:rPr>
        <w:t xml:space="preserve">If self-collection of a swab is </w:t>
      </w:r>
      <w:r w:rsidR="00823182">
        <w:rPr>
          <w:bCs/>
        </w:rPr>
        <w:t>necessary,</w:t>
      </w:r>
      <w:r w:rsidR="00F951A8">
        <w:rPr>
          <w:bCs/>
        </w:rPr>
        <w:t xml:space="preserve"> this must be conducted under the supervision of a person who has been trained in sample collection</w:t>
      </w:r>
      <w:r>
        <w:rPr>
          <w:bCs/>
        </w:rPr>
        <w:t xml:space="preserve"> </w:t>
      </w:r>
      <w:proofErr w:type="gramStart"/>
      <w:r>
        <w:rPr>
          <w:bCs/>
        </w:rPr>
        <w:t>in order to</w:t>
      </w:r>
      <w:proofErr w:type="gramEnd"/>
      <w:r>
        <w:rPr>
          <w:bCs/>
        </w:rPr>
        <w:t xml:space="preserve"> verify patient identification and ensure an appropriate sample is collected. Poor sample collection can result in false negative results.</w:t>
      </w:r>
    </w:p>
    <w:p w14:paraId="521FFC46" w14:textId="4705D39B" w:rsidR="005D49FB" w:rsidRPr="00566176" w:rsidRDefault="005D49FB" w:rsidP="0067776F">
      <w:pPr>
        <w:pStyle w:val="Numberbullet0"/>
        <w:rPr>
          <w:bCs/>
        </w:rPr>
      </w:pPr>
      <w:r w:rsidRPr="00566176">
        <w:rPr>
          <w:bCs/>
        </w:rPr>
        <w:t xml:space="preserve">There may be circumstances where it is necessary for certain essential workers (such disability or aged care home care workers) to have the test performed off-site under remote supervision. In this situation the business or organisation need to establish protocols to </w:t>
      </w:r>
      <w:r w:rsidRPr="00566176">
        <w:rPr>
          <w:bCs/>
        </w:rPr>
        <w:lastRenderedPageBreak/>
        <w:t>allow for remote supervision of testing under strict criteria</w:t>
      </w:r>
      <w:r w:rsidR="006E1385" w:rsidRPr="00566176">
        <w:rPr>
          <w:bCs/>
        </w:rPr>
        <w:t xml:space="preserve">, see </w:t>
      </w:r>
      <w:r w:rsidR="00566176" w:rsidRPr="00566176">
        <w:rPr>
          <w:bCs/>
        </w:rPr>
        <w:t>further information under ‘</w:t>
      </w:r>
      <w:hyperlink w:anchor="_Remote_Supervision" w:history="1">
        <w:r w:rsidR="00566176" w:rsidRPr="00823182">
          <w:rPr>
            <w:rStyle w:val="Hyperlink"/>
            <w:bCs/>
          </w:rPr>
          <w:t>Remote Supervision</w:t>
        </w:r>
      </w:hyperlink>
      <w:r w:rsidR="00566176" w:rsidRPr="00566176">
        <w:rPr>
          <w:bCs/>
        </w:rPr>
        <w:t>’</w:t>
      </w:r>
      <w:r w:rsidR="006E1385" w:rsidRPr="00566176">
        <w:rPr>
          <w:bCs/>
        </w:rPr>
        <w:t>.</w:t>
      </w:r>
    </w:p>
    <w:p w14:paraId="7C95184B" w14:textId="4382EA9F" w:rsidR="00386B6D" w:rsidRPr="0067776F" w:rsidRDefault="00386B6D" w:rsidP="0067776F">
      <w:pPr>
        <w:pStyle w:val="Numberbullet0"/>
        <w:rPr>
          <w:bCs/>
        </w:rPr>
      </w:pPr>
      <w:r>
        <w:rPr>
          <w:bCs/>
        </w:rPr>
        <w:t xml:space="preserve">Any </w:t>
      </w:r>
      <w:hyperlink r:id="rId17" w:history="1">
        <w:r w:rsidRPr="00823182">
          <w:rPr>
            <w:rStyle w:val="Hyperlink"/>
            <w:bCs/>
          </w:rPr>
          <w:t>state and territory requirements</w:t>
        </w:r>
      </w:hyperlink>
      <w:r>
        <w:rPr>
          <w:bCs/>
        </w:rPr>
        <w:t xml:space="preserve"> for COVID-19 testing of workers must be </w:t>
      </w:r>
      <w:r w:rsidR="008F4BBA">
        <w:rPr>
          <w:bCs/>
        </w:rPr>
        <w:t>taken into consideration.</w:t>
      </w:r>
    </w:p>
    <w:p w14:paraId="7A889F21" w14:textId="6AC8A692" w:rsidR="0067776F" w:rsidRPr="009401F6" w:rsidRDefault="0067776F" w:rsidP="003F4684">
      <w:pPr>
        <w:pStyle w:val="Heading2"/>
      </w:pPr>
      <w:bookmarkStart w:id="6" w:name="_Toc93307814"/>
      <w:r>
        <w:t>Test choice consideration</w:t>
      </w:r>
      <w:bookmarkEnd w:id="6"/>
    </w:p>
    <w:p w14:paraId="5FA11B8D" w14:textId="4593C1F7" w:rsidR="0055421A" w:rsidRPr="0055421A" w:rsidRDefault="0055421A" w:rsidP="0067776F">
      <w:pPr>
        <w:pStyle w:val="Numberbullet0"/>
        <w:rPr>
          <w:bCs/>
        </w:rPr>
      </w:pPr>
      <w:r w:rsidRPr="0055421A">
        <w:rPr>
          <w:bCs/>
        </w:rPr>
        <w:t xml:space="preserve">A list of all rapid antigen </w:t>
      </w:r>
      <w:r w:rsidR="000B5232">
        <w:rPr>
          <w:bCs/>
        </w:rPr>
        <w:t xml:space="preserve">point-of-care </w:t>
      </w:r>
      <w:r w:rsidRPr="0055421A">
        <w:rPr>
          <w:bCs/>
        </w:rPr>
        <w:t>tests approved for supply in Australia is available on the </w:t>
      </w:r>
      <w:hyperlink r:id="rId18" w:history="1">
        <w:r w:rsidR="00823182">
          <w:rPr>
            <w:rStyle w:val="Hyperlink"/>
            <w:bCs/>
          </w:rPr>
          <w:t>COVID-19 test kit</w:t>
        </w:r>
      </w:hyperlink>
      <w:r w:rsidRPr="0055421A">
        <w:rPr>
          <w:bCs/>
        </w:rPr>
        <w:t> </w:t>
      </w:r>
      <w:r w:rsidR="00823182">
        <w:rPr>
          <w:bCs/>
        </w:rPr>
        <w:t xml:space="preserve">page </w:t>
      </w:r>
      <w:r w:rsidRPr="0055421A">
        <w:rPr>
          <w:bCs/>
        </w:rPr>
        <w:t>and is regularly updated as new tests are approved or if tests are cancelled or withdrawn.</w:t>
      </w:r>
    </w:p>
    <w:p w14:paraId="1EA33D57" w14:textId="1FF8580F" w:rsidR="0067776F" w:rsidRPr="0023017D" w:rsidRDefault="002E083A" w:rsidP="0023017D">
      <w:pPr>
        <w:pStyle w:val="Numberbullet0"/>
      </w:pPr>
      <w:r w:rsidRPr="0023017D">
        <w:t xml:space="preserve">The instructions for use provide with the rapid antigen </w:t>
      </w:r>
      <w:r w:rsidR="00736D7D">
        <w:t xml:space="preserve">point-of-care </w:t>
      </w:r>
      <w:r w:rsidRPr="0023017D">
        <w:t xml:space="preserve">tests will provide information on the performance characteristics of the test such as sensitivity, </w:t>
      </w:r>
      <w:proofErr w:type="gramStart"/>
      <w:r w:rsidRPr="0023017D">
        <w:t>specificity</w:t>
      </w:r>
      <w:proofErr w:type="gramEnd"/>
      <w:r w:rsidRPr="0023017D">
        <w:t xml:space="preserve"> and storage requirements. </w:t>
      </w:r>
      <w:r w:rsidR="0067776F" w:rsidRPr="0023017D">
        <w:t>The following should be considered when selecting a rapid antigen test to use:</w:t>
      </w:r>
    </w:p>
    <w:p w14:paraId="64D36D9A" w14:textId="6FBCC061" w:rsidR="0067776F" w:rsidRPr="0067776F" w:rsidRDefault="0067776F" w:rsidP="004C6E03">
      <w:pPr>
        <w:pStyle w:val="ListBullet"/>
        <w:ind w:left="851"/>
      </w:pPr>
      <w:r w:rsidRPr="0067776F">
        <w:t>Sample type (</w:t>
      </w:r>
      <w:r w:rsidR="0055421A">
        <w:t>e</w:t>
      </w:r>
      <w:r w:rsidR="004C6E03">
        <w:t>.</w:t>
      </w:r>
      <w:r w:rsidR="0055421A">
        <w:t xml:space="preserve">g. </w:t>
      </w:r>
      <w:r w:rsidRPr="0067776F">
        <w:t>nasal</w:t>
      </w:r>
      <w:r w:rsidR="0055421A">
        <w:t xml:space="preserve">, </w:t>
      </w:r>
      <w:r w:rsidRPr="0067776F">
        <w:t>nasopharyngeal swab</w:t>
      </w:r>
      <w:r w:rsidR="0055421A">
        <w:t>, saliva</w:t>
      </w:r>
      <w:r w:rsidRPr="0067776F">
        <w:t>)</w:t>
      </w:r>
      <w:r w:rsidR="002E083A">
        <w:t xml:space="preserve"> – what sample types do you want to collect and what does it say in the instructions for use that the test can be used with.</w:t>
      </w:r>
    </w:p>
    <w:p w14:paraId="1E20A62F" w14:textId="3AF09718" w:rsidR="0067776F" w:rsidRPr="0067776F" w:rsidRDefault="0067776F" w:rsidP="004C6E03">
      <w:pPr>
        <w:pStyle w:val="ListBullet"/>
        <w:ind w:left="851"/>
      </w:pPr>
      <w:r w:rsidRPr="0067776F">
        <w:t>Clinical sensitivity (higher sensitivity will reduce the number of false negatives)</w:t>
      </w:r>
      <w:r w:rsidR="004C6E03">
        <w:t>.</w:t>
      </w:r>
    </w:p>
    <w:p w14:paraId="65940880" w14:textId="7D297814" w:rsidR="0067776F" w:rsidRPr="0067776F" w:rsidRDefault="0067776F" w:rsidP="004C6E03">
      <w:pPr>
        <w:pStyle w:val="ListBullet"/>
        <w:ind w:left="851"/>
      </w:pPr>
      <w:r w:rsidRPr="0067776F">
        <w:t>Clinical specificity (higher specificity will reduce the number of false positives)</w:t>
      </w:r>
      <w:r w:rsidR="004C6E03">
        <w:t>.</w:t>
      </w:r>
    </w:p>
    <w:p w14:paraId="7B1715E0" w14:textId="1186D86D" w:rsidR="0067776F" w:rsidRPr="0067776F" w:rsidRDefault="0067776F" w:rsidP="004C6E03">
      <w:pPr>
        <w:pStyle w:val="ListBullet"/>
        <w:ind w:left="851"/>
      </w:pPr>
      <w:r w:rsidRPr="0067776F">
        <w:t>Storage requirements of the test kits</w:t>
      </w:r>
      <w:r w:rsidR="002E083A">
        <w:t xml:space="preserve"> (can the test be stored at room temperature prior to use or does it require other storage arrangements)</w:t>
      </w:r>
      <w:r w:rsidR="004C6E03">
        <w:t>.</w:t>
      </w:r>
    </w:p>
    <w:p w14:paraId="21D881B9" w14:textId="40AEEB54" w:rsidR="005D49FB" w:rsidRPr="00566176" w:rsidRDefault="0067776F" w:rsidP="004C6E03">
      <w:pPr>
        <w:pStyle w:val="ListBullet"/>
        <w:ind w:left="851"/>
      </w:pPr>
      <w:r w:rsidRPr="00566176">
        <w:t>Storage requirements of samples once collected</w:t>
      </w:r>
      <w:r w:rsidR="005D49FB" w:rsidRPr="00566176">
        <w:t xml:space="preserve"> (how long can the sample be stored and at what temperature)</w:t>
      </w:r>
      <w:r w:rsidR="004C6E03">
        <w:t>.</w:t>
      </w:r>
    </w:p>
    <w:p w14:paraId="241678B3" w14:textId="6B1A38ED" w:rsidR="005D49FB" w:rsidRDefault="005D49FB" w:rsidP="004C6E03">
      <w:pPr>
        <w:pStyle w:val="ListBullet"/>
        <w:ind w:left="851"/>
      </w:pPr>
      <w:r w:rsidRPr="00566176">
        <w:t>Collection and storage of s</w:t>
      </w:r>
      <w:r w:rsidR="001D4C29">
        <w:t>amples</w:t>
      </w:r>
      <w:r w:rsidRPr="00566176">
        <w:t xml:space="preserve"> must be performed in accordance with the manufacturer’s instructions.</w:t>
      </w:r>
      <w:r w:rsidR="002E083A" w:rsidRPr="00566176">
        <w:t xml:space="preserve"> This may be a consideration for follow-up laboratory confirmatory testing.</w:t>
      </w:r>
    </w:p>
    <w:p w14:paraId="6C07F63F" w14:textId="508506B5" w:rsidR="0067776F" w:rsidRPr="0067776F" w:rsidRDefault="0067776F" w:rsidP="003F4684">
      <w:pPr>
        <w:pStyle w:val="Heading2"/>
      </w:pPr>
      <w:bookmarkStart w:id="7" w:name="_Toc93307815"/>
      <w:r>
        <w:t xml:space="preserve">Test </w:t>
      </w:r>
      <w:r w:rsidR="00426320">
        <w:t>p</w:t>
      </w:r>
      <w:r>
        <w:t>erformance</w:t>
      </w:r>
      <w:bookmarkEnd w:id="7"/>
    </w:p>
    <w:p w14:paraId="5B4F74EA" w14:textId="77CCC21C" w:rsidR="0067776F" w:rsidRPr="00426B69" w:rsidRDefault="0067776F" w:rsidP="004C6E03">
      <w:pPr>
        <w:rPr>
          <w:bCs/>
        </w:rPr>
      </w:pPr>
      <w:r w:rsidRPr="0067776F">
        <w:t>Factors such as s</w:t>
      </w:r>
      <w:r w:rsidR="001D4C29">
        <w:t>ample</w:t>
      </w:r>
      <w:r w:rsidRPr="0067776F">
        <w:t xml:space="preserve"> collection and sample application can all affect the quality of the</w:t>
      </w:r>
      <w:r w:rsidR="002E083A">
        <w:t xml:space="preserve"> </w:t>
      </w:r>
      <w:r w:rsidRPr="0067776F">
        <w:t>results obtained.</w:t>
      </w:r>
    </w:p>
    <w:p w14:paraId="72536584" w14:textId="77777777" w:rsidR="00426B69" w:rsidRPr="0067776F" w:rsidRDefault="00426B69" w:rsidP="0023017D">
      <w:pPr>
        <w:pStyle w:val="Numberbullet0"/>
        <w:rPr>
          <w:bCs/>
        </w:rPr>
      </w:pPr>
      <w:r w:rsidRPr="0067776F">
        <w:t>Protocols are required for:</w:t>
      </w:r>
    </w:p>
    <w:p w14:paraId="046A62D5" w14:textId="77777777" w:rsidR="00426B69" w:rsidRDefault="00426B69" w:rsidP="004C6E03">
      <w:pPr>
        <w:pStyle w:val="ListBullet"/>
        <w:ind w:left="851"/>
      </w:pPr>
      <w:r>
        <w:t>infection control practices</w:t>
      </w:r>
    </w:p>
    <w:p w14:paraId="005E2BD2" w14:textId="0D1EB7DC" w:rsidR="00426B69" w:rsidRPr="00FC0CF3" w:rsidRDefault="00FC6800" w:rsidP="004C6E03">
      <w:pPr>
        <w:pStyle w:val="ListBullet"/>
        <w:ind w:left="851"/>
      </w:pPr>
      <w:r>
        <w:t>i</w:t>
      </w:r>
      <w:r w:rsidR="00426B69">
        <w:t>dentification of the person being tested</w:t>
      </w:r>
    </w:p>
    <w:p w14:paraId="37C3D1BC" w14:textId="77777777" w:rsidR="00426B69" w:rsidRPr="00FC0CF3" w:rsidRDefault="00426B69" w:rsidP="004C6E03">
      <w:pPr>
        <w:pStyle w:val="ListBullet"/>
        <w:ind w:left="851"/>
      </w:pPr>
      <w:r>
        <w:t>correct sample collection technique</w:t>
      </w:r>
    </w:p>
    <w:p w14:paraId="6E51E6D9" w14:textId="0162F788" w:rsidR="00426B69" w:rsidRPr="00BE4E3F" w:rsidRDefault="00426B69" w:rsidP="004C6E03">
      <w:pPr>
        <w:pStyle w:val="ListBullet"/>
        <w:ind w:left="851"/>
      </w:pPr>
      <w:r w:rsidRPr="00FC0CF3">
        <w:t>correct s</w:t>
      </w:r>
      <w:r w:rsidR="001D4C29">
        <w:t>ample</w:t>
      </w:r>
      <w:r w:rsidRPr="00FC0CF3">
        <w:t xml:space="preserve"> </w:t>
      </w:r>
      <w:r>
        <w:t>preparation and performance of the test (m</w:t>
      </w:r>
      <w:r w:rsidRPr="00BE4E3F">
        <w:t xml:space="preserve">anufacturer’s instructions for </w:t>
      </w:r>
      <w:r>
        <w:t xml:space="preserve">performance of the test </w:t>
      </w:r>
      <w:r w:rsidRPr="00BE4E3F">
        <w:t>must be followed</w:t>
      </w:r>
      <w:r>
        <w:t>)</w:t>
      </w:r>
    </w:p>
    <w:p w14:paraId="5711FAFB" w14:textId="6E802D4A" w:rsidR="00426B69" w:rsidRPr="00FC0CF3" w:rsidRDefault="00FC6800" w:rsidP="004C6E03">
      <w:pPr>
        <w:pStyle w:val="ListBullet"/>
        <w:ind w:left="851"/>
      </w:pPr>
      <w:r>
        <w:t>r</w:t>
      </w:r>
      <w:r w:rsidR="00426B69" w:rsidRPr="00BE4E3F">
        <w:t>eagents and consumables must be stored in accordance with the manufacturer’s instructions.</w:t>
      </w:r>
    </w:p>
    <w:p w14:paraId="67D65B9A" w14:textId="77777777" w:rsidR="00426B69" w:rsidRPr="00FC0CF3" w:rsidRDefault="00426B69" w:rsidP="004C6E03">
      <w:pPr>
        <w:pStyle w:val="ListBullet"/>
        <w:ind w:left="851"/>
      </w:pPr>
      <w:r>
        <w:t>correct interpretation of the test</w:t>
      </w:r>
    </w:p>
    <w:p w14:paraId="25851CC8" w14:textId="54A69BEA" w:rsidR="00426B69" w:rsidRPr="00FC0CF3" w:rsidRDefault="00736D7D" w:rsidP="004C6E03">
      <w:pPr>
        <w:pStyle w:val="ListBullet"/>
        <w:ind w:left="851"/>
      </w:pPr>
      <w:r>
        <w:t xml:space="preserve">where applicable, </w:t>
      </w:r>
      <w:r w:rsidR="00426B69">
        <w:t xml:space="preserve">recording of test results </w:t>
      </w:r>
    </w:p>
    <w:p w14:paraId="7EADE577" w14:textId="77777777" w:rsidR="00426B69" w:rsidRDefault="00426B69" w:rsidP="004C6E03">
      <w:pPr>
        <w:pStyle w:val="ListBullet"/>
        <w:ind w:left="851"/>
      </w:pPr>
      <w:r>
        <w:lastRenderedPageBreak/>
        <w:t xml:space="preserve">obtaining </w:t>
      </w:r>
      <w:r w:rsidRPr="00FC0CF3">
        <w:t>timely clinic</w:t>
      </w:r>
      <w:r>
        <w:t>al advice if required</w:t>
      </w:r>
    </w:p>
    <w:p w14:paraId="70490B00" w14:textId="7AA2F5A4" w:rsidR="00426B69" w:rsidRDefault="00426B69" w:rsidP="004C6E03">
      <w:pPr>
        <w:pStyle w:val="ListBullet"/>
        <w:ind w:left="851"/>
      </w:pPr>
      <w:r>
        <w:t xml:space="preserve">management of </w:t>
      </w:r>
      <w:r w:rsidR="00736D7D">
        <w:t xml:space="preserve">a person with a </w:t>
      </w:r>
      <w:r>
        <w:t xml:space="preserve">positive </w:t>
      </w:r>
      <w:proofErr w:type="gramStart"/>
      <w:r>
        <w:t xml:space="preserve">result </w:t>
      </w:r>
      <w:r w:rsidR="00150791">
        <w:t xml:space="preserve"> including</w:t>
      </w:r>
      <w:proofErr w:type="gramEnd"/>
      <w:r w:rsidR="00150791">
        <w:t xml:space="preserve"> provision of information on how they can report a positive results according to the local health authority requirements.</w:t>
      </w:r>
    </w:p>
    <w:p w14:paraId="2FA3E9FC" w14:textId="2A388E61" w:rsidR="00150791" w:rsidRDefault="00C7347E" w:rsidP="00C7347E">
      <w:pPr>
        <w:pStyle w:val="ListBullet"/>
        <w:numPr>
          <w:ilvl w:val="0"/>
          <w:numId w:val="0"/>
        </w:numPr>
        <w:ind w:left="851"/>
      </w:pPr>
      <w:r w:rsidRPr="00C7347E">
        <w:t>As different states and territories may have different recommendations for testing and for reporting positive results please see their website for any local requirements</w:t>
      </w:r>
      <w:r>
        <w:t>.</w:t>
      </w:r>
    </w:p>
    <w:p w14:paraId="2782C86F" w14:textId="77777777" w:rsidR="00426B69" w:rsidRDefault="00426B69" w:rsidP="004C6E03">
      <w:pPr>
        <w:pStyle w:val="ListBullet"/>
        <w:ind w:left="851"/>
      </w:pPr>
      <w:r>
        <w:t>for safe disposal of samples and used tests</w:t>
      </w:r>
    </w:p>
    <w:p w14:paraId="5F501002" w14:textId="77777777" w:rsidR="00426B69" w:rsidRDefault="00426B69" w:rsidP="004C6E03">
      <w:pPr>
        <w:pStyle w:val="ListBullet"/>
        <w:ind w:left="851"/>
      </w:pPr>
      <w:r>
        <w:t>performing and monitoring quality control to ensure tests are working correctly.</w:t>
      </w:r>
    </w:p>
    <w:p w14:paraId="1D82F3B9" w14:textId="4DF3DBAD" w:rsidR="00426B69" w:rsidRDefault="00FC6800" w:rsidP="004C6E03">
      <w:pPr>
        <w:pStyle w:val="ListBullet"/>
        <w:ind w:left="851"/>
      </w:pPr>
      <w:r>
        <w:t>f</w:t>
      </w:r>
      <w:r w:rsidR="00426B69">
        <w:t xml:space="preserve">or </w:t>
      </w:r>
      <w:hyperlink r:id="rId19" w:history="1">
        <w:r w:rsidR="00426B69" w:rsidRPr="00132832">
          <w:rPr>
            <w:rStyle w:val="Hyperlink"/>
          </w:rPr>
          <w:t>reporting adverse event or problems</w:t>
        </w:r>
      </w:hyperlink>
      <w:r w:rsidR="00426B69">
        <w:t xml:space="preserve"> with the test to the Therapeutic Goods Administration</w:t>
      </w:r>
      <w:r>
        <w:t>.</w:t>
      </w:r>
    </w:p>
    <w:p w14:paraId="50AEB873" w14:textId="6E435CFB" w:rsidR="00426B69" w:rsidRDefault="00426B69" w:rsidP="00426B69">
      <w:pPr>
        <w:pStyle w:val="Numberbullet0"/>
        <w:rPr>
          <w:bCs/>
        </w:rPr>
      </w:pPr>
      <w:r w:rsidRPr="00426B69">
        <w:rPr>
          <w:bCs/>
        </w:rPr>
        <w:t>Manufacturer’s instructions for the maintenance of instruments and associated equipment must be followed.</w:t>
      </w:r>
    </w:p>
    <w:p w14:paraId="30D97FB1" w14:textId="77777777" w:rsidR="00426B69" w:rsidRPr="003F4684" w:rsidRDefault="00426B69" w:rsidP="003F4684">
      <w:pPr>
        <w:pStyle w:val="Heading2"/>
      </w:pPr>
      <w:bookmarkStart w:id="8" w:name="_Toc93307816"/>
      <w:r w:rsidRPr="003F4684">
        <w:t>Training</w:t>
      </w:r>
      <w:bookmarkEnd w:id="8"/>
    </w:p>
    <w:p w14:paraId="4F179B1A" w14:textId="20BC6DCB" w:rsidR="00426B69" w:rsidRPr="007F6CD2" w:rsidRDefault="002E083A" w:rsidP="004C6E03">
      <w:r>
        <w:t xml:space="preserve">So that they are appropriately </w:t>
      </w:r>
      <w:r w:rsidR="001D4C29">
        <w:t>used,</w:t>
      </w:r>
      <w:r>
        <w:t xml:space="preserve"> and the results interpreted correctly, h</w:t>
      </w:r>
      <w:r w:rsidR="00426B69">
        <w:t xml:space="preserve">ealth practitioners and </w:t>
      </w:r>
      <w:r>
        <w:t xml:space="preserve">all </w:t>
      </w:r>
      <w:r w:rsidR="00426B69">
        <w:t xml:space="preserve">staff </w:t>
      </w:r>
      <w:r>
        <w:t xml:space="preserve">performing the test </w:t>
      </w:r>
      <w:r w:rsidR="00426B69">
        <w:t xml:space="preserve">must be trained in the correct </w:t>
      </w:r>
      <w:r>
        <w:t>use</w:t>
      </w:r>
      <w:r w:rsidR="00426B69">
        <w:t xml:space="preserve"> and interpretation of the test, including specimen collection.</w:t>
      </w:r>
      <w:r w:rsidR="00426B69" w:rsidRPr="007401E3">
        <w:t xml:space="preserve"> </w:t>
      </w:r>
      <w:r w:rsidR="00775661">
        <w:t>Adequate</w:t>
      </w:r>
      <w:r w:rsidR="004F4463">
        <w:t xml:space="preserve"> numbers of </w:t>
      </w:r>
      <w:r w:rsidR="00775661">
        <w:t>health practitioners</w:t>
      </w:r>
      <w:r w:rsidR="001D4C29">
        <w:t xml:space="preserve"> and </w:t>
      </w:r>
      <w:r w:rsidR="00775661">
        <w:t xml:space="preserve">trained staff </w:t>
      </w:r>
      <w:r w:rsidR="00566176">
        <w:t xml:space="preserve">need to be </w:t>
      </w:r>
      <w:r w:rsidR="00775661">
        <w:t>available for the number of employees to be screened.</w:t>
      </w:r>
    </w:p>
    <w:p w14:paraId="340F6251" w14:textId="759E906C" w:rsidR="007F6CD2" w:rsidRDefault="007F6CD2" w:rsidP="00426B69">
      <w:pPr>
        <w:pStyle w:val="Numberbullet0"/>
      </w:pPr>
      <w:r>
        <w:t>Suppliers as a minimum need to provide training to the health practitioners performing or overseeing performance of the test. Suppliers will need to have procedures in place for performing training</w:t>
      </w:r>
      <w:r w:rsidR="00E82A71">
        <w:t xml:space="preserve"> (including mentorship programs)</w:t>
      </w:r>
      <w:r>
        <w:t xml:space="preserve"> and a means of assessing and recording competency of a person. Suppliers should also provide health practitioners with a training competency checklist so they can provide training to staff under their supervision.</w:t>
      </w:r>
    </w:p>
    <w:p w14:paraId="4EBD82CA" w14:textId="1DE0F1D4" w:rsidR="00426B69" w:rsidRPr="001C6AE0" w:rsidRDefault="00426B69" w:rsidP="00426B69">
      <w:pPr>
        <w:pStyle w:val="Numberbullet0"/>
        <w:rPr>
          <w:rFonts w:asciiTheme="minorHAnsi" w:hAnsiTheme="minorHAnsi" w:cs="Calibri"/>
          <w:szCs w:val="22"/>
        </w:rPr>
      </w:pPr>
      <w:r w:rsidRPr="001C6AE0">
        <w:rPr>
          <w:rFonts w:asciiTheme="minorHAnsi" w:hAnsiTheme="minorHAnsi" w:cs="Calibri"/>
          <w:szCs w:val="22"/>
        </w:rPr>
        <w:t xml:space="preserve">Testing must only be performed by trained health practitioners, or trained persons </w:t>
      </w:r>
      <w:r w:rsidR="004C5CA8">
        <w:rPr>
          <w:rFonts w:asciiTheme="minorHAnsi" w:hAnsiTheme="minorHAnsi" w:cs="Calibri"/>
          <w:szCs w:val="22"/>
        </w:rPr>
        <w:t xml:space="preserve">operating </w:t>
      </w:r>
      <w:r w:rsidRPr="001C6AE0">
        <w:rPr>
          <w:rFonts w:asciiTheme="minorHAnsi" w:hAnsiTheme="minorHAnsi" w:cs="Calibri"/>
          <w:szCs w:val="22"/>
        </w:rPr>
        <w:t>under the</w:t>
      </w:r>
      <w:r w:rsidR="004C5CA8">
        <w:rPr>
          <w:rFonts w:asciiTheme="minorHAnsi" w:hAnsiTheme="minorHAnsi" w:cs="Calibri"/>
          <w:szCs w:val="22"/>
        </w:rPr>
        <w:t xml:space="preserve"> </w:t>
      </w:r>
      <w:r w:rsidR="00574386">
        <w:rPr>
          <w:rFonts w:asciiTheme="minorHAnsi" w:hAnsiTheme="minorHAnsi" w:cs="Calibri"/>
          <w:szCs w:val="22"/>
        </w:rPr>
        <w:t>oversight</w:t>
      </w:r>
      <w:r w:rsidR="004C5CA8">
        <w:rPr>
          <w:rFonts w:asciiTheme="minorHAnsi" w:hAnsiTheme="minorHAnsi" w:cs="Calibri"/>
          <w:szCs w:val="22"/>
        </w:rPr>
        <w:t xml:space="preserve"> of the health practitioner</w:t>
      </w:r>
      <w:r w:rsidRPr="001C6AE0">
        <w:rPr>
          <w:rFonts w:asciiTheme="minorHAnsi" w:hAnsiTheme="minorHAnsi" w:cs="Calibri"/>
          <w:szCs w:val="22"/>
        </w:rPr>
        <w:t>.</w:t>
      </w:r>
    </w:p>
    <w:p w14:paraId="3B44FC32" w14:textId="564311C4" w:rsidR="00426B69" w:rsidRPr="001C6AE0" w:rsidRDefault="00426B69" w:rsidP="00426B69">
      <w:pPr>
        <w:pStyle w:val="Numberbullet0"/>
        <w:rPr>
          <w:rFonts w:asciiTheme="minorHAnsi" w:hAnsiTheme="minorHAnsi" w:cs="Calibri"/>
          <w:bCs/>
          <w:szCs w:val="22"/>
        </w:rPr>
      </w:pPr>
      <w:r w:rsidRPr="001C6AE0">
        <w:rPr>
          <w:rFonts w:asciiTheme="minorHAnsi" w:hAnsiTheme="minorHAnsi" w:cs="Calibri"/>
          <w:szCs w:val="22"/>
        </w:rPr>
        <w:t>Records of staff training must be kept.</w:t>
      </w:r>
    </w:p>
    <w:p w14:paraId="43F724BD" w14:textId="77777777" w:rsidR="00426B69" w:rsidRPr="001C6AE0" w:rsidRDefault="00426B69" w:rsidP="00426B69">
      <w:pPr>
        <w:pStyle w:val="Numberbullet0"/>
        <w:rPr>
          <w:rFonts w:asciiTheme="minorHAnsi" w:hAnsiTheme="minorHAnsi" w:cs="Calibri"/>
          <w:bCs/>
          <w:szCs w:val="22"/>
        </w:rPr>
      </w:pPr>
      <w:r w:rsidRPr="001C6AE0">
        <w:rPr>
          <w:rFonts w:asciiTheme="minorHAnsi" w:hAnsiTheme="minorHAnsi" w:cs="Calibri"/>
          <w:bCs/>
          <w:szCs w:val="22"/>
        </w:rPr>
        <w:t>Training should include but not be limited to the following areas:</w:t>
      </w:r>
    </w:p>
    <w:p w14:paraId="7B4946F1" w14:textId="34FB16E7" w:rsidR="00426B69" w:rsidRPr="0023017D" w:rsidRDefault="001D4C29" w:rsidP="0023017D">
      <w:pPr>
        <w:pStyle w:val="Numberbullet2"/>
      </w:pPr>
      <w:r w:rsidRPr="0023017D">
        <w:t>sample</w:t>
      </w:r>
      <w:r w:rsidR="00426B69" w:rsidRPr="0023017D">
        <w:t xml:space="preserve"> collection</w:t>
      </w:r>
    </w:p>
    <w:p w14:paraId="4533750D" w14:textId="77777777" w:rsidR="00426B69" w:rsidRPr="0023017D" w:rsidRDefault="00426B69" w:rsidP="0023017D">
      <w:pPr>
        <w:pStyle w:val="Numberbullet2"/>
      </w:pPr>
      <w:r w:rsidRPr="0023017D">
        <w:t>procedures for the safe performance of tests and accurate interpretation of results</w:t>
      </w:r>
    </w:p>
    <w:p w14:paraId="621E43F8" w14:textId="77777777" w:rsidR="00426B69" w:rsidRPr="0023017D" w:rsidRDefault="00426B69" w:rsidP="0023017D">
      <w:pPr>
        <w:pStyle w:val="Numberbullet2"/>
      </w:pPr>
      <w:r w:rsidRPr="0023017D">
        <w:t>confidentiality of patient and client information</w:t>
      </w:r>
    </w:p>
    <w:p w14:paraId="660D5E79" w14:textId="481B4490" w:rsidR="00426B69" w:rsidRPr="0023017D" w:rsidRDefault="00426B69" w:rsidP="0023017D">
      <w:pPr>
        <w:pStyle w:val="Numberbullet2"/>
      </w:pPr>
      <w:r w:rsidRPr="0023017D">
        <w:t>workplace health and safety and infection control protocols</w:t>
      </w:r>
    </w:p>
    <w:p w14:paraId="6FA9ACE5" w14:textId="1F1565F8" w:rsidR="00EC6D68" w:rsidRPr="0023017D" w:rsidRDefault="0023017D" w:rsidP="0023017D">
      <w:pPr>
        <w:pStyle w:val="Numberbullet2"/>
      </w:pPr>
      <w:r>
        <w:t>i</w:t>
      </w:r>
      <w:r w:rsidR="00EC6D68" w:rsidRPr="0023017D">
        <w:t>nformation on administering a test and delivering a test result</w:t>
      </w:r>
    </w:p>
    <w:p w14:paraId="769DCC55" w14:textId="5893BC17" w:rsidR="001D4C29" w:rsidRPr="001C6AE0" w:rsidRDefault="001D4C29" w:rsidP="001D4C29">
      <w:pPr>
        <w:pStyle w:val="Numberbullet0"/>
      </w:pPr>
      <w:r>
        <w:t xml:space="preserve">Training protocols also need to </w:t>
      </w:r>
      <w:r w:rsidRPr="001D4C29">
        <w:t>take into consideration the business’s existing COVID safe plan, standard operating procedures, and other arrangements.</w:t>
      </w:r>
    </w:p>
    <w:p w14:paraId="75F530E3" w14:textId="0973DE34" w:rsidR="006E1385" w:rsidRPr="003F4684" w:rsidRDefault="006E1385" w:rsidP="003F4684">
      <w:pPr>
        <w:pStyle w:val="Heading2"/>
      </w:pPr>
      <w:bookmarkStart w:id="9" w:name="_Remote_Supervision"/>
      <w:bookmarkStart w:id="10" w:name="_Toc93307817"/>
      <w:bookmarkEnd w:id="9"/>
      <w:r w:rsidRPr="003F4684">
        <w:t xml:space="preserve">Remote </w:t>
      </w:r>
      <w:r w:rsidR="00426320">
        <w:t>s</w:t>
      </w:r>
      <w:r w:rsidRPr="003F4684">
        <w:t>upervision</w:t>
      </w:r>
      <w:bookmarkEnd w:id="10"/>
    </w:p>
    <w:p w14:paraId="029FAC6D" w14:textId="2163BC96" w:rsidR="0059063B" w:rsidRDefault="0059063B" w:rsidP="00EA144F">
      <w:pPr>
        <w:pStyle w:val="Numberbullet0"/>
      </w:pPr>
      <w:r w:rsidRPr="0044602C">
        <w:t>The conditions allow for rapid antigen tests to be supplied to</w:t>
      </w:r>
      <w:r>
        <w:t xml:space="preserve"> business or organisations that employ</w:t>
      </w:r>
      <w:r w:rsidR="004C5CA8">
        <w:t xml:space="preserve"> or </w:t>
      </w:r>
      <w:r>
        <w:t>engage relevant health</w:t>
      </w:r>
      <w:r w:rsidRPr="0044602C">
        <w:t xml:space="preserve"> practitioners</w:t>
      </w:r>
      <w:r>
        <w:t xml:space="preserve"> to perform or oversee performance of </w:t>
      </w:r>
      <w:r>
        <w:lastRenderedPageBreak/>
        <w:t xml:space="preserve">testing on their staff or students of the organisation, </w:t>
      </w:r>
      <w:proofErr w:type="gramStart"/>
      <w:r>
        <w:t>business</w:t>
      </w:r>
      <w:proofErr w:type="gramEnd"/>
      <w:r>
        <w:t xml:space="preserve"> or institution. Preferably such testing would be performed on-site under the supervision of a trained health practitioner, or trained person </w:t>
      </w:r>
      <w:r w:rsidR="00574386">
        <w:t xml:space="preserve">operating </w:t>
      </w:r>
      <w:r>
        <w:t xml:space="preserve">under their </w:t>
      </w:r>
      <w:r w:rsidR="00574386">
        <w:t>oversight</w:t>
      </w:r>
      <w:r>
        <w:t>. W</w:t>
      </w:r>
      <w:r w:rsidRPr="00AF797B">
        <w:t xml:space="preserve">here </w:t>
      </w:r>
      <w:r>
        <w:t>employees</w:t>
      </w:r>
      <w:r w:rsidRPr="00AF797B">
        <w:t xml:space="preserve"> are </w:t>
      </w:r>
      <w:r>
        <w:t>distributed across</w:t>
      </w:r>
      <w:r w:rsidRPr="00AF797B">
        <w:t xml:space="preserve"> multiple geographical locations </w:t>
      </w:r>
      <w:r>
        <w:t>businesses or organisation may need to consider establishing ‘testing hubs’ to facilitate supervised testing</w:t>
      </w:r>
      <w:r w:rsidRPr="00D63A95">
        <w:t>.</w:t>
      </w:r>
    </w:p>
    <w:p w14:paraId="42A68958" w14:textId="77777777" w:rsidR="0059063B" w:rsidRDefault="0059063B" w:rsidP="00EA144F">
      <w:pPr>
        <w:pStyle w:val="Numberbullet0"/>
        <w:numPr>
          <w:ilvl w:val="0"/>
          <w:numId w:val="0"/>
        </w:numPr>
        <w:ind w:left="425"/>
      </w:pPr>
      <w:r>
        <w:t>However, there may be circumstances where it is necessary for certain essential workers (such disability or aged care home care workers) to have the test performed off-site under remote supervision. In this situation the business or organisation could establish protocols to allow for remote supervision of testing under strict criteria outlined below.</w:t>
      </w:r>
    </w:p>
    <w:p w14:paraId="09EFD435" w14:textId="20500E12" w:rsidR="0059063B" w:rsidRDefault="0059063B" w:rsidP="009E39B6">
      <w:pPr>
        <w:pStyle w:val="Numberbullet0"/>
        <w:numPr>
          <w:ilvl w:val="0"/>
          <w:numId w:val="0"/>
        </w:numPr>
        <w:ind w:left="425"/>
      </w:pPr>
      <w:r>
        <w:t xml:space="preserve">A business or organisation would need employees to be trained in how to self-collect a sample and perform and interpret the test. Once this was completed the employee could be provided with a number of </w:t>
      </w:r>
      <w:proofErr w:type="gramStart"/>
      <w:r>
        <w:t>tests</w:t>
      </w:r>
      <w:proofErr w:type="gramEnd"/>
      <w:r>
        <w:t xml:space="preserve"> they could use off-site under remote supervision.</w:t>
      </w:r>
    </w:p>
    <w:p w14:paraId="0A9EC8E7" w14:textId="77777777" w:rsidR="006E1385" w:rsidRPr="0053018A" w:rsidRDefault="006E1385" w:rsidP="00EA144F">
      <w:pPr>
        <w:pStyle w:val="Numberbullet0"/>
        <w:numPr>
          <w:ilvl w:val="0"/>
          <w:numId w:val="0"/>
        </w:numPr>
        <w:ind w:left="425"/>
        <w:rPr>
          <w:rFonts w:asciiTheme="minorHAnsi" w:eastAsia="Calibri" w:hAnsiTheme="minorHAnsi"/>
          <w:szCs w:val="22"/>
        </w:rPr>
      </w:pPr>
      <w:r w:rsidRPr="0053018A">
        <w:rPr>
          <w:rFonts w:asciiTheme="minorHAnsi" w:eastAsia="Calibri" w:hAnsiTheme="minorHAnsi"/>
          <w:szCs w:val="22"/>
        </w:rPr>
        <w:t>To ensure compliance with the conditions of supply and use of rapid antigen tests the site collection centre would need to:</w:t>
      </w:r>
    </w:p>
    <w:p w14:paraId="088DEDC1" w14:textId="77777777" w:rsidR="006E1385" w:rsidRPr="00A45735" w:rsidRDefault="006E1385" w:rsidP="00EA144F">
      <w:pPr>
        <w:pStyle w:val="ListBullet"/>
        <w:ind w:left="851"/>
      </w:pPr>
      <w:r w:rsidRPr="00A45735">
        <w:t>Record how many tests were supplied to the employee</w:t>
      </w:r>
    </w:p>
    <w:p w14:paraId="47E6C975" w14:textId="77777777" w:rsidR="006E1385" w:rsidRPr="00A45735" w:rsidRDefault="006E1385" w:rsidP="00EA144F">
      <w:pPr>
        <w:pStyle w:val="ListBullet"/>
        <w:ind w:left="851"/>
      </w:pPr>
      <w:r w:rsidRPr="00A45735">
        <w:t>Identify who would be responsible for the remote supervision arrangements for that employee</w:t>
      </w:r>
    </w:p>
    <w:p w14:paraId="7BCB6969" w14:textId="77777777" w:rsidR="006E1385" w:rsidRPr="00A45735" w:rsidRDefault="006E1385" w:rsidP="00EA144F">
      <w:pPr>
        <w:pStyle w:val="ListBullet"/>
        <w:ind w:left="851"/>
      </w:pPr>
      <w:r w:rsidRPr="00A45735">
        <w:t>Have protocols in place to facilitate remote supervision of testing</w:t>
      </w:r>
    </w:p>
    <w:p w14:paraId="4597D50F" w14:textId="77777777" w:rsidR="006E1385" w:rsidRPr="00A45735" w:rsidRDefault="006E1385" w:rsidP="00EA144F">
      <w:pPr>
        <w:pStyle w:val="ListBullet"/>
        <w:ind w:left="851"/>
      </w:pPr>
      <w:r w:rsidRPr="00A45735">
        <w:t xml:space="preserve">Have protocols in place for recording when testing is performed, by whom and who the supervising health practitioner (or trained person under their supervision) was. </w:t>
      </w:r>
    </w:p>
    <w:p w14:paraId="6CD57A49" w14:textId="619CD946" w:rsidR="006E1385" w:rsidRPr="00A45735" w:rsidRDefault="006E1385" w:rsidP="00EA144F">
      <w:pPr>
        <w:pStyle w:val="ListBullet"/>
        <w:ind w:left="851"/>
      </w:pPr>
      <w:r w:rsidRPr="00A45735">
        <w:t>Ensure availability of a health practitioner, or trained person under their supervision, at the time the employee needs to perform the test.</w:t>
      </w:r>
    </w:p>
    <w:p w14:paraId="54C13A8E" w14:textId="05AA0074" w:rsidR="006E1385" w:rsidRPr="0053018A" w:rsidRDefault="006E1385" w:rsidP="00EA144F">
      <w:pPr>
        <w:spacing w:before="0" w:after="200" w:line="276" w:lineRule="auto"/>
        <w:ind w:left="425"/>
        <w:rPr>
          <w:rFonts w:asciiTheme="minorHAnsi" w:eastAsia="Calibri" w:hAnsiTheme="minorHAnsi"/>
          <w:szCs w:val="22"/>
        </w:rPr>
      </w:pPr>
      <w:r w:rsidRPr="0053018A">
        <w:rPr>
          <w:rFonts w:asciiTheme="minorHAnsi" w:eastAsia="Calibri" w:hAnsiTheme="minorHAnsi"/>
          <w:szCs w:val="22"/>
        </w:rPr>
        <w:t>The health practitioner, or trained person under their supervision, would need to ensure:</w:t>
      </w:r>
    </w:p>
    <w:p w14:paraId="13F03321" w14:textId="77777777" w:rsidR="006E1385" w:rsidRPr="0053018A" w:rsidRDefault="006E1385" w:rsidP="00EA144F">
      <w:pPr>
        <w:pStyle w:val="ListBullet"/>
        <w:ind w:left="851"/>
      </w:pPr>
      <w:r w:rsidRPr="0053018A">
        <w:t>Training is provided to each person on how to self-collect a sample and how to perform the test as per the instructions for use.</w:t>
      </w:r>
    </w:p>
    <w:p w14:paraId="00E62ECA" w14:textId="22B7C5C7" w:rsidR="006E1385" w:rsidRPr="0053018A" w:rsidRDefault="006E1385" w:rsidP="00EA144F">
      <w:pPr>
        <w:pStyle w:val="ListBullet"/>
        <w:ind w:left="851"/>
      </w:pPr>
      <w:r w:rsidRPr="0053018A">
        <w:t>A copy of the instructions for use for the test is provided to the employee. This is particularly important as the tests come in boxes of 20 or more with only one copy of the instructions for use. All employees being provided the test need to have access to a copy of the instructions for use that is in the preferred language of the employee.</w:t>
      </w:r>
    </w:p>
    <w:p w14:paraId="199DBEE5" w14:textId="54AD75CE" w:rsidR="006E1385" w:rsidRDefault="006E1385" w:rsidP="00EA144F">
      <w:pPr>
        <w:pStyle w:val="ListBullet"/>
        <w:ind w:left="851"/>
      </w:pPr>
      <w:r w:rsidRPr="0053018A">
        <w:t>The employee is provided with instructions for how to access remote supervision (e.g. via mobile phone) and record and report results.</w:t>
      </w:r>
    </w:p>
    <w:p w14:paraId="6B3AFB0C" w14:textId="7BDB8C44" w:rsidR="00DE7797" w:rsidRDefault="00A73E43" w:rsidP="00C63B19">
      <w:pPr>
        <w:pStyle w:val="ListBullet"/>
        <w:ind w:left="851"/>
      </w:pPr>
      <w:r w:rsidRPr="00A73E43">
        <w:t xml:space="preserve">The employee is provided with advice on any </w:t>
      </w:r>
      <w:hyperlink r:id="rId20" w:history="1">
        <w:r w:rsidRPr="00132832">
          <w:rPr>
            <w:rStyle w:val="Hyperlink"/>
          </w:rPr>
          <w:t>state and territory requirements</w:t>
        </w:r>
      </w:hyperlink>
      <w:r w:rsidRPr="00A73E43">
        <w:t xml:space="preserve"> for reporting a positive test result to their state or territory health department.</w:t>
      </w:r>
    </w:p>
    <w:p w14:paraId="05A19391" w14:textId="0A468151" w:rsidR="00EC6D68" w:rsidRPr="003F4684" w:rsidRDefault="00EC6D68" w:rsidP="003F4684">
      <w:pPr>
        <w:pStyle w:val="Heading2"/>
      </w:pPr>
      <w:bookmarkStart w:id="11" w:name="_Toc93307818"/>
      <w:r w:rsidRPr="003F4684">
        <w:t xml:space="preserve">Other </w:t>
      </w:r>
      <w:r w:rsidR="00426320">
        <w:t>c</w:t>
      </w:r>
      <w:r w:rsidRPr="003F4684">
        <w:t>onsiderations</w:t>
      </w:r>
      <w:bookmarkEnd w:id="11"/>
    </w:p>
    <w:p w14:paraId="55B01407" w14:textId="50084AE1" w:rsidR="004F4463" w:rsidRPr="0053018A" w:rsidRDefault="004F4463" w:rsidP="004F4463">
      <w:pPr>
        <w:pStyle w:val="Numberbullet0"/>
        <w:rPr>
          <w:rFonts w:asciiTheme="minorHAnsi" w:hAnsiTheme="minorHAnsi" w:cs="Calibri"/>
          <w:bCs/>
          <w:szCs w:val="22"/>
        </w:rPr>
      </w:pPr>
      <w:r>
        <w:t>That COVID-19 screening sites are located in a safe and easily accessible site which includes adequate access to</w:t>
      </w:r>
      <w:r w:rsidR="0053018A">
        <w:t xml:space="preserve"> essential services (e</w:t>
      </w:r>
      <w:r w:rsidR="0023017D">
        <w:t>.</w:t>
      </w:r>
      <w:r w:rsidR="0053018A">
        <w:t>g</w:t>
      </w:r>
      <w:r w:rsidR="0023017D">
        <w:t>.</w:t>
      </w:r>
      <w:r w:rsidR="0053018A">
        <w:t xml:space="preserve"> power, water)</w:t>
      </w:r>
      <w:r>
        <w:t>, QR check in code for the site, well lit, secure, offers appropriate weather protection and suitable for COVID safe spacing and flow with adequate PPE, masks and hand sanitizing stations.</w:t>
      </w:r>
    </w:p>
    <w:p w14:paraId="6EA5EDB3" w14:textId="39553100" w:rsidR="0053018A" w:rsidRPr="0053018A" w:rsidRDefault="004F4463" w:rsidP="0053018A">
      <w:pPr>
        <w:pStyle w:val="Numberbullet0"/>
        <w:rPr>
          <w:rFonts w:asciiTheme="minorHAnsi" w:hAnsiTheme="minorHAnsi" w:cs="Calibri"/>
          <w:bCs/>
          <w:szCs w:val="22"/>
        </w:rPr>
      </w:pPr>
      <w:r>
        <w:t>That there is adequate</w:t>
      </w:r>
      <w:r w:rsidR="00EB7A0E">
        <w:t xml:space="preserve"> signage and instructions and </w:t>
      </w:r>
      <w:r w:rsidR="00F85B60">
        <w:t xml:space="preserve">appropriate </w:t>
      </w:r>
      <w:r w:rsidR="0053018A">
        <w:t xml:space="preserve">biological </w:t>
      </w:r>
      <w:r w:rsidR="00EB7A0E">
        <w:t>waste management and disposal processes in place.</w:t>
      </w:r>
    </w:p>
    <w:p w14:paraId="1C539502" w14:textId="72ACC277" w:rsidR="00D92039" w:rsidRDefault="00D92039" w:rsidP="003F4684">
      <w:pPr>
        <w:pStyle w:val="Heading2"/>
      </w:pPr>
      <w:bookmarkStart w:id="12" w:name="_Toc93307819"/>
      <w:r w:rsidRPr="00D92039">
        <w:lastRenderedPageBreak/>
        <w:t xml:space="preserve">Checklist for </w:t>
      </w:r>
      <w:r w:rsidR="001D4C29">
        <w:t>b</w:t>
      </w:r>
      <w:r w:rsidRPr="00D92039">
        <w:t xml:space="preserve">usiness when considering </w:t>
      </w:r>
      <w:r w:rsidR="001D4C29">
        <w:t>r</w:t>
      </w:r>
      <w:r w:rsidRPr="00D92039">
        <w:t xml:space="preserve">apid </w:t>
      </w:r>
      <w:r w:rsidR="001D4C29">
        <w:t>a</w:t>
      </w:r>
      <w:r w:rsidRPr="00D92039">
        <w:t xml:space="preserve">ntigen </w:t>
      </w:r>
      <w:r w:rsidR="001D4C29">
        <w:t>t</w:t>
      </w:r>
      <w:r w:rsidRPr="00D92039">
        <w:t>esting</w:t>
      </w:r>
      <w:bookmarkEnd w:id="12"/>
    </w:p>
    <w:p w14:paraId="0206618A" w14:textId="1445A259" w:rsidR="00D92039" w:rsidRDefault="00101C28" w:rsidP="0023017D">
      <w:r>
        <w:t>It is recommended that businesses</w:t>
      </w:r>
      <w:r w:rsidR="00DE7FD6">
        <w:t xml:space="preserve"> implementing</w:t>
      </w:r>
      <w:r>
        <w:t xml:space="preserve"> </w:t>
      </w:r>
      <w:r w:rsidR="00525ADB">
        <w:t>r</w:t>
      </w:r>
      <w:r>
        <w:t xml:space="preserve">apid </w:t>
      </w:r>
      <w:r w:rsidR="00525ADB">
        <w:t>a</w:t>
      </w:r>
      <w:r>
        <w:t xml:space="preserve">ntigen </w:t>
      </w:r>
      <w:r w:rsidR="00525ADB">
        <w:t>t</w:t>
      </w:r>
      <w:r>
        <w:t xml:space="preserve">esting </w:t>
      </w:r>
      <w:r w:rsidR="00702717">
        <w:t>take into consideration the f</w:t>
      </w:r>
      <w:r>
        <w:t>ollowing</w:t>
      </w:r>
      <w:r w:rsidR="001D11DF">
        <w:t>:</w:t>
      </w:r>
    </w:p>
    <w:p w14:paraId="474B60A6" w14:textId="0CA43C21" w:rsidR="00702717" w:rsidRDefault="0064330B" w:rsidP="0023017D">
      <w:r>
        <w:fldChar w:fldCharType="begin">
          <w:ffData>
            <w:name w:val="Check1"/>
            <w:enabled/>
            <w:calcOnExit w:val="0"/>
            <w:checkBox>
              <w:sizeAuto/>
              <w:default w:val="0"/>
            </w:checkBox>
          </w:ffData>
        </w:fldChar>
      </w:r>
      <w:bookmarkStart w:id="13" w:name="Check1"/>
      <w:r>
        <w:instrText xml:space="preserve"> FORMCHECKBOX </w:instrText>
      </w:r>
      <w:r>
        <w:fldChar w:fldCharType="end"/>
      </w:r>
      <w:bookmarkEnd w:id="13"/>
      <w:r w:rsidR="00702717" w:rsidRPr="00101C28">
        <w:t xml:space="preserve">  </w:t>
      </w:r>
      <w:r w:rsidR="00F8440F">
        <w:t>A</w:t>
      </w:r>
      <w:r w:rsidR="00702717">
        <w:t xml:space="preserve">n appropriate </w:t>
      </w:r>
      <w:r w:rsidR="0053018A">
        <w:t>r</w:t>
      </w:r>
      <w:r w:rsidR="00702717">
        <w:t xml:space="preserve">apid </w:t>
      </w:r>
      <w:r w:rsidR="0053018A">
        <w:t>a</w:t>
      </w:r>
      <w:r w:rsidR="00702717">
        <w:t xml:space="preserve">ntigen </w:t>
      </w:r>
      <w:r w:rsidR="0053018A">
        <w:t>t</w:t>
      </w:r>
      <w:r w:rsidR="00702717">
        <w:t xml:space="preserve">est registered in the Australian Register of Therapeutic Goods (ARTG) is sourced for use </w:t>
      </w:r>
      <w:proofErr w:type="gramStart"/>
      <w:r w:rsidR="00702717">
        <w:t>giving consideration to</w:t>
      </w:r>
      <w:proofErr w:type="gramEnd"/>
      <w:r w:rsidR="00702717">
        <w:t xml:space="preserve"> sample type, clinical sensitivity, clinical specificity, storage requirements of test kits and samples.</w:t>
      </w:r>
    </w:p>
    <w:p w14:paraId="330B8B79" w14:textId="7F841C90" w:rsidR="00525ADB" w:rsidRDefault="0064330B" w:rsidP="0023017D">
      <w:pPr>
        <w:rPr>
          <w:rFonts w:asciiTheme="minorHAnsi" w:hAnsiTheme="minorHAnsi"/>
          <w:szCs w:val="22"/>
        </w:rPr>
      </w:pPr>
      <w:r>
        <w:fldChar w:fldCharType="begin">
          <w:ffData>
            <w:name w:val="Check1"/>
            <w:enabled/>
            <w:calcOnExit w:val="0"/>
            <w:checkBox>
              <w:sizeAuto/>
              <w:default w:val="0"/>
            </w:checkBox>
          </w:ffData>
        </w:fldChar>
      </w:r>
      <w:r>
        <w:instrText xml:space="preserve"> FORMCHECKBOX </w:instrText>
      </w:r>
      <w:r>
        <w:fldChar w:fldCharType="end"/>
      </w:r>
      <w:r w:rsidR="00702717" w:rsidRPr="00101C28">
        <w:rPr>
          <w:rFonts w:asciiTheme="minorHAnsi" w:hAnsiTheme="minorHAnsi"/>
          <w:szCs w:val="22"/>
        </w:rPr>
        <w:t xml:space="preserve">  </w:t>
      </w:r>
      <w:r w:rsidR="00F8440F">
        <w:rPr>
          <w:rFonts w:asciiTheme="minorHAnsi" w:hAnsiTheme="minorHAnsi"/>
          <w:szCs w:val="22"/>
        </w:rPr>
        <w:t>T</w:t>
      </w:r>
      <w:r w:rsidR="00702717">
        <w:rPr>
          <w:rFonts w:asciiTheme="minorHAnsi" w:hAnsiTheme="minorHAnsi"/>
          <w:szCs w:val="22"/>
        </w:rPr>
        <w:t>here are</w:t>
      </w:r>
      <w:r w:rsidR="00702717" w:rsidRPr="00101C28">
        <w:rPr>
          <w:rFonts w:asciiTheme="minorHAnsi" w:hAnsiTheme="minorHAnsi"/>
          <w:szCs w:val="22"/>
        </w:rPr>
        <w:t xml:space="preserve"> </w:t>
      </w:r>
      <w:r w:rsidR="00702717">
        <w:rPr>
          <w:rFonts w:asciiTheme="minorHAnsi" w:hAnsiTheme="minorHAnsi"/>
          <w:szCs w:val="22"/>
        </w:rPr>
        <w:t>a</w:t>
      </w:r>
      <w:r w:rsidR="00702717" w:rsidRPr="00101C28">
        <w:rPr>
          <w:rFonts w:asciiTheme="minorHAnsi" w:hAnsiTheme="minorHAnsi"/>
          <w:szCs w:val="22"/>
        </w:rPr>
        <w:t>ppropriate</w:t>
      </w:r>
      <w:r w:rsidR="00B366A8">
        <w:rPr>
          <w:rFonts w:asciiTheme="minorHAnsi" w:hAnsiTheme="minorHAnsi"/>
          <w:szCs w:val="22"/>
        </w:rPr>
        <w:t>ly</w:t>
      </w:r>
      <w:r w:rsidR="00702717" w:rsidRPr="00101C28">
        <w:rPr>
          <w:rFonts w:asciiTheme="minorHAnsi" w:hAnsiTheme="minorHAnsi"/>
          <w:szCs w:val="22"/>
        </w:rPr>
        <w:t xml:space="preserve"> trained </w:t>
      </w:r>
      <w:r w:rsidR="001D4C29">
        <w:rPr>
          <w:rFonts w:asciiTheme="minorHAnsi" w:hAnsiTheme="minorHAnsi"/>
          <w:szCs w:val="22"/>
        </w:rPr>
        <w:t>m</w:t>
      </w:r>
      <w:r w:rsidR="00702717" w:rsidRPr="00101C28">
        <w:rPr>
          <w:rFonts w:asciiTheme="minorHAnsi" w:hAnsiTheme="minorHAnsi"/>
          <w:szCs w:val="22"/>
        </w:rPr>
        <w:t>edical Practitioner</w:t>
      </w:r>
      <w:r w:rsidR="00702717">
        <w:rPr>
          <w:rFonts w:asciiTheme="minorHAnsi" w:hAnsiTheme="minorHAnsi"/>
          <w:szCs w:val="22"/>
        </w:rPr>
        <w:t>s</w:t>
      </w:r>
      <w:r w:rsidR="00702717" w:rsidRPr="00101C28">
        <w:rPr>
          <w:rFonts w:asciiTheme="minorHAnsi" w:hAnsiTheme="minorHAnsi"/>
          <w:szCs w:val="22"/>
        </w:rPr>
        <w:t xml:space="preserve"> or </w:t>
      </w:r>
      <w:r w:rsidR="001D4C29">
        <w:rPr>
          <w:rFonts w:asciiTheme="minorHAnsi" w:hAnsiTheme="minorHAnsi"/>
          <w:szCs w:val="22"/>
        </w:rPr>
        <w:t>h</w:t>
      </w:r>
      <w:r w:rsidR="00702717" w:rsidRPr="00101C28">
        <w:rPr>
          <w:rFonts w:asciiTheme="minorHAnsi" w:hAnsiTheme="minorHAnsi"/>
          <w:szCs w:val="22"/>
        </w:rPr>
        <w:t xml:space="preserve">ealth </w:t>
      </w:r>
      <w:r w:rsidR="001D4C29">
        <w:rPr>
          <w:rFonts w:asciiTheme="minorHAnsi" w:hAnsiTheme="minorHAnsi"/>
          <w:szCs w:val="22"/>
        </w:rPr>
        <w:t>p</w:t>
      </w:r>
      <w:r w:rsidR="00702717" w:rsidRPr="00101C28">
        <w:rPr>
          <w:rFonts w:asciiTheme="minorHAnsi" w:hAnsiTheme="minorHAnsi"/>
          <w:szCs w:val="22"/>
        </w:rPr>
        <w:t>r</w:t>
      </w:r>
      <w:r w:rsidR="00B366A8">
        <w:rPr>
          <w:rFonts w:asciiTheme="minorHAnsi" w:hAnsiTheme="minorHAnsi"/>
          <w:szCs w:val="22"/>
        </w:rPr>
        <w:t>actitioners</w:t>
      </w:r>
      <w:r w:rsidR="00702717">
        <w:rPr>
          <w:rFonts w:asciiTheme="minorHAnsi" w:hAnsiTheme="minorHAnsi"/>
          <w:szCs w:val="22"/>
        </w:rPr>
        <w:t xml:space="preserve"> available</w:t>
      </w:r>
      <w:r w:rsidR="00702717" w:rsidRPr="00101C28">
        <w:rPr>
          <w:rFonts w:asciiTheme="minorHAnsi" w:hAnsiTheme="minorHAnsi"/>
          <w:szCs w:val="22"/>
        </w:rPr>
        <w:t xml:space="preserve"> </w:t>
      </w:r>
      <w:r w:rsidR="00525ADB">
        <w:rPr>
          <w:rFonts w:asciiTheme="minorHAnsi" w:hAnsiTheme="minorHAnsi"/>
          <w:szCs w:val="22"/>
        </w:rPr>
        <w:t>who will</w:t>
      </w:r>
      <w:r w:rsidR="00525ADB" w:rsidRPr="00525ADB">
        <w:t xml:space="preserve"> </w:t>
      </w:r>
      <w:r w:rsidR="00525ADB" w:rsidRPr="00525ADB">
        <w:rPr>
          <w:rFonts w:asciiTheme="minorHAnsi" w:hAnsiTheme="minorHAnsi"/>
          <w:szCs w:val="22"/>
        </w:rPr>
        <w:t xml:space="preserve">be the </w:t>
      </w:r>
      <w:r w:rsidR="004F29ED">
        <w:rPr>
          <w:rFonts w:asciiTheme="minorHAnsi" w:hAnsiTheme="minorHAnsi"/>
          <w:szCs w:val="22"/>
        </w:rPr>
        <w:t xml:space="preserve">designated </w:t>
      </w:r>
      <w:proofErr w:type="spellStart"/>
      <w:r w:rsidR="00525ADB" w:rsidRPr="00525ADB">
        <w:rPr>
          <w:rFonts w:asciiTheme="minorHAnsi" w:hAnsiTheme="minorHAnsi"/>
          <w:szCs w:val="22"/>
        </w:rPr>
        <w:t>PoCT</w:t>
      </w:r>
      <w:proofErr w:type="spellEnd"/>
      <w:r w:rsidR="00525ADB" w:rsidRPr="00525ADB">
        <w:rPr>
          <w:rFonts w:asciiTheme="minorHAnsi" w:hAnsiTheme="minorHAnsi"/>
          <w:szCs w:val="22"/>
        </w:rPr>
        <w:t xml:space="preserve"> </w:t>
      </w:r>
      <w:r w:rsidR="001D4C29">
        <w:rPr>
          <w:rFonts w:asciiTheme="minorHAnsi" w:hAnsiTheme="minorHAnsi"/>
          <w:szCs w:val="22"/>
        </w:rPr>
        <w:t>s</w:t>
      </w:r>
      <w:r w:rsidR="00525ADB" w:rsidRPr="00525ADB">
        <w:rPr>
          <w:rFonts w:asciiTheme="minorHAnsi" w:hAnsiTheme="minorHAnsi"/>
          <w:szCs w:val="22"/>
        </w:rPr>
        <w:t>upervisor</w:t>
      </w:r>
      <w:r w:rsidR="00525ADB">
        <w:rPr>
          <w:rFonts w:asciiTheme="minorHAnsi" w:hAnsiTheme="minorHAnsi"/>
          <w:szCs w:val="22"/>
        </w:rPr>
        <w:t>(s)</w:t>
      </w:r>
      <w:r w:rsidR="00525ADB" w:rsidRPr="00525ADB">
        <w:rPr>
          <w:rFonts w:asciiTheme="minorHAnsi" w:hAnsiTheme="minorHAnsi"/>
          <w:szCs w:val="22"/>
        </w:rPr>
        <w:t>. Th</w:t>
      </w:r>
      <w:r w:rsidR="00525ADB">
        <w:rPr>
          <w:rFonts w:asciiTheme="minorHAnsi" w:hAnsiTheme="minorHAnsi"/>
          <w:szCs w:val="22"/>
        </w:rPr>
        <w:t xml:space="preserve">ese </w:t>
      </w:r>
      <w:r w:rsidR="00525ADB" w:rsidRPr="00525ADB">
        <w:rPr>
          <w:rFonts w:asciiTheme="minorHAnsi" w:hAnsiTheme="minorHAnsi"/>
          <w:szCs w:val="22"/>
        </w:rPr>
        <w:t>health practitioner</w:t>
      </w:r>
      <w:r w:rsidR="00525ADB">
        <w:rPr>
          <w:rFonts w:asciiTheme="minorHAnsi" w:hAnsiTheme="minorHAnsi"/>
          <w:szCs w:val="22"/>
        </w:rPr>
        <w:t>s</w:t>
      </w:r>
      <w:r w:rsidR="00525ADB" w:rsidRPr="00525ADB">
        <w:rPr>
          <w:rFonts w:asciiTheme="minorHAnsi" w:hAnsiTheme="minorHAnsi"/>
          <w:szCs w:val="22"/>
        </w:rPr>
        <w:t xml:space="preserve"> will take responsibility and accountability for the conduct, </w:t>
      </w:r>
      <w:proofErr w:type="gramStart"/>
      <w:r w:rsidR="00525ADB" w:rsidRPr="00525ADB">
        <w:rPr>
          <w:rFonts w:asciiTheme="minorHAnsi" w:hAnsiTheme="minorHAnsi"/>
          <w:szCs w:val="22"/>
        </w:rPr>
        <w:t>quality</w:t>
      </w:r>
      <w:proofErr w:type="gramEnd"/>
      <w:r w:rsidR="00525ADB" w:rsidRPr="00525ADB">
        <w:rPr>
          <w:rFonts w:asciiTheme="minorHAnsi" w:hAnsiTheme="minorHAnsi"/>
          <w:szCs w:val="22"/>
        </w:rPr>
        <w:t xml:space="preserve"> and implementation of the testing</w:t>
      </w:r>
      <w:r w:rsidR="00525ADB">
        <w:rPr>
          <w:rFonts w:asciiTheme="minorHAnsi" w:hAnsiTheme="minorHAnsi"/>
          <w:szCs w:val="22"/>
        </w:rPr>
        <w:t>.</w:t>
      </w:r>
    </w:p>
    <w:p w14:paraId="27C7A9DF" w14:textId="0A48C7A3" w:rsidR="00525ADB" w:rsidRDefault="0064330B" w:rsidP="0023017D">
      <w:pPr>
        <w:rPr>
          <w:rFonts w:asciiTheme="minorHAnsi" w:hAnsiTheme="minorHAnsi"/>
          <w:szCs w:val="22"/>
        </w:rPr>
      </w:pPr>
      <w:r>
        <w:fldChar w:fldCharType="begin">
          <w:ffData>
            <w:name w:val="Check1"/>
            <w:enabled/>
            <w:calcOnExit w:val="0"/>
            <w:checkBox>
              <w:sizeAuto/>
              <w:default w:val="0"/>
            </w:checkBox>
          </w:ffData>
        </w:fldChar>
      </w:r>
      <w:r>
        <w:instrText xml:space="preserve"> FORMCHECKBOX </w:instrText>
      </w:r>
      <w:r>
        <w:fldChar w:fldCharType="end"/>
      </w:r>
      <w:r w:rsidR="00525ADB" w:rsidRPr="00101C28">
        <w:rPr>
          <w:rFonts w:asciiTheme="minorHAnsi" w:hAnsiTheme="minorHAnsi"/>
          <w:szCs w:val="22"/>
        </w:rPr>
        <w:t xml:space="preserve">  </w:t>
      </w:r>
      <w:r w:rsidR="00F8440F">
        <w:rPr>
          <w:rFonts w:asciiTheme="minorHAnsi" w:hAnsiTheme="minorHAnsi"/>
          <w:szCs w:val="22"/>
        </w:rPr>
        <w:t>A</w:t>
      </w:r>
      <w:r w:rsidR="00525ADB">
        <w:rPr>
          <w:rFonts w:asciiTheme="minorHAnsi" w:hAnsiTheme="minorHAnsi"/>
          <w:szCs w:val="22"/>
        </w:rPr>
        <w:t xml:space="preserve">ll health practitioners, and staff performing testing, </w:t>
      </w:r>
      <w:r w:rsidR="002C4176">
        <w:rPr>
          <w:rFonts w:asciiTheme="minorHAnsi" w:hAnsiTheme="minorHAnsi"/>
          <w:szCs w:val="22"/>
        </w:rPr>
        <w:t>are</w:t>
      </w:r>
      <w:r w:rsidR="00525ADB">
        <w:rPr>
          <w:rFonts w:asciiTheme="minorHAnsi" w:hAnsiTheme="minorHAnsi"/>
          <w:szCs w:val="22"/>
        </w:rPr>
        <w:t xml:space="preserve"> trained in the safe and correct performance of the test, including sample collection.</w:t>
      </w:r>
    </w:p>
    <w:p w14:paraId="25A85DBA" w14:textId="3E58990F" w:rsidR="00702717" w:rsidRDefault="002C4176" w:rsidP="0023017D">
      <w:pPr>
        <w:rPr>
          <w:rFonts w:asciiTheme="minorHAnsi" w:hAnsiTheme="minorHAnsi"/>
          <w:szCs w:val="22"/>
        </w:rPr>
      </w:pPr>
      <w:r>
        <w:rPr>
          <w:rFonts w:asciiTheme="minorHAnsi" w:hAnsiTheme="minorHAnsi"/>
          <w:szCs w:val="22"/>
        </w:rPr>
        <w:t>Suppliers of tests</w:t>
      </w:r>
      <w:r w:rsidR="00525ADB">
        <w:rPr>
          <w:rFonts w:asciiTheme="minorHAnsi" w:hAnsiTheme="minorHAnsi"/>
          <w:szCs w:val="22"/>
        </w:rPr>
        <w:t xml:space="preserve"> </w:t>
      </w:r>
      <w:r w:rsidR="00B366A8">
        <w:rPr>
          <w:rFonts w:asciiTheme="minorHAnsi" w:hAnsiTheme="minorHAnsi"/>
          <w:szCs w:val="22"/>
        </w:rPr>
        <w:t>must provide training</w:t>
      </w:r>
      <w:r w:rsidR="00525ADB">
        <w:rPr>
          <w:rFonts w:asciiTheme="minorHAnsi" w:hAnsiTheme="minorHAnsi"/>
          <w:szCs w:val="22"/>
        </w:rPr>
        <w:t xml:space="preserve"> to health practitioners</w:t>
      </w:r>
      <w:r w:rsidR="00DB2D87">
        <w:rPr>
          <w:rFonts w:asciiTheme="minorHAnsi" w:hAnsiTheme="minorHAnsi"/>
          <w:szCs w:val="22"/>
        </w:rPr>
        <w:t xml:space="preserve">. Business will need to supplement this and put in place additional training protocols for training of staff that will operate under the </w:t>
      </w:r>
      <w:r w:rsidR="00574386">
        <w:rPr>
          <w:rFonts w:asciiTheme="minorHAnsi" w:hAnsiTheme="minorHAnsi"/>
          <w:szCs w:val="22"/>
        </w:rPr>
        <w:t xml:space="preserve">oversight </w:t>
      </w:r>
      <w:r w:rsidR="00DB2D87">
        <w:rPr>
          <w:rFonts w:asciiTheme="minorHAnsi" w:hAnsiTheme="minorHAnsi"/>
          <w:szCs w:val="22"/>
        </w:rPr>
        <w:t xml:space="preserve">of the health practitioners. </w:t>
      </w:r>
      <w:r w:rsidR="001D4C29">
        <w:rPr>
          <w:rFonts w:asciiTheme="minorHAnsi" w:hAnsiTheme="minorHAnsi"/>
          <w:szCs w:val="22"/>
        </w:rPr>
        <w:t>P</w:t>
      </w:r>
      <w:r w:rsidR="00DB2D87">
        <w:rPr>
          <w:rFonts w:asciiTheme="minorHAnsi" w:hAnsiTheme="minorHAnsi"/>
          <w:szCs w:val="22"/>
        </w:rPr>
        <w:t xml:space="preserve">rotocols will need to </w:t>
      </w:r>
      <w:r w:rsidR="003F4684">
        <w:rPr>
          <w:rFonts w:asciiTheme="minorHAnsi" w:hAnsiTheme="minorHAnsi"/>
          <w:szCs w:val="22"/>
        </w:rPr>
        <w:t>include</w:t>
      </w:r>
      <w:r w:rsidR="00DB2D87">
        <w:rPr>
          <w:rFonts w:asciiTheme="minorHAnsi" w:hAnsiTheme="minorHAnsi"/>
          <w:szCs w:val="22"/>
        </w:rPr>
        <w:t xml:space="preserve"> </w:t>
      </w:r>
      <w:r w:rsidR="003F4684">
        <w:rPr>
          <w:rFonts w:asciiTheme="minorHAnsi" w:hAnsiTheme="minorHAnsi"/>
          <w:szCs w:val="22"/>
        </w:rPr>
        <w:t xml:space="preserve">on-going training and competency checks and take into consideration </w:t>
      </w:r>
      <w:r w:rsidR="00DB2D87">
        <w:rPr>
          <w:rFonts w:asciiTheme="minorHAnsi" w:hAnsiTheme="minorHAnsi"/>
          <w:szCs w:val="22"/>
        </w:rPr>
        <w:t xml:space="preserve">the business’s </w:t>
      </w:r>
      <w:r w:rsidR="00F85B60">
        <w:rPr>
          <w:rFonts w:asciiTheme="minorHAnsi" w:hAnsiTheme="minorHAnsi"/>
          <w:szCs w:val="22"/>
        </w:rPr>
        <w:t xml:space="preserve">existing COVID safe plan, </w:t>
      </w:r>
      <w:r w:rsidR="00525ADB">
        <w:rPr>
          <w:rFonts w:asciiTheme="minorHAnsi" w:hAnsiTheme="minorHAnsi"/>
          <w:szCs w:val="22"/>
        </w:rPr>
        <w:t xml:space="preserve">standard operating </w:t>
      </w:r>
      <w:proofErr w:type="gramStart"/>
      <w:r w:rsidR="00525ADB">
        <w:rPr>
          <w:rFonts w:asciiTheme="minorHAnsi" w:hAnsiTheme="minorHAnsi"/>
          <w:szCs w:val="22"/>
        </w:rPr>
        <w:t>procedures</w:t>
      </w:r>
      <w:proofErr w:type="gramEnd"/>
      <w:r w:rsidR="00F85B60">
        <w:rPr>
          <w:rFonts w:asciiTheme="minorHAnsi" w:hAnsiTheme="minorHAnsi"/>
          <w:szCs w:val="22"/>
        </w:rPr>
        <w:t xml:space="preserve"> and other arrangements</w:t>
      </w:r>
      <w:r w:rsidR="0062409C">
        <w:rPr>
          <w:rFonts w:asciiTheme="minorHAnsi" w:hAnsiTheme="minorHAnsi"/>
          <w:szCs w:val="22"/>
        </w:rPr>
        <w:t>.</w:t>
      </w:r>
    </w:p>
    <w:p w14:paraId="7C8F7812" w14:textId="251F6D7E" w:rsidR="002C4176" w:rsidRDefault="0064330B" w:rsidP="0023017D">
      <w:pPr>
        <w:rPr>
          <w:rFonts w:asciiTheme="minorHAnsi" w:eastAsia="Times New Roman" w:hAnsiTheme="minorHAnsi" w:cstheme="minorHAnsi"/>
          <w:szCs w:val="22"/>
          <w:lang w:eastAsia="en-AU"/>
        </w:rPr>
      </w:pPr>
      <w:r>
        <w:fldChar w:fldCharType="begin">
          <w:ffData>
            <w:name w:val="Check1"/>
            <w:enabled/>
            <w:calcOnExit w:val="0"/>
            <w:checkBox>
              <w:sizeAuto/>
              <w:default w:val="0"/>
            </w:checkBox>
          </w:ffData>
        </w:fldChar>
      </w:r>
      <w:r>
        <w:instrText xml:space="preserve"> FORMCHECKBOX </w:instrText>
      </w:r>
      <w:r>
        <w:fldChar w:fldCharType="end"/>
      </w:r>
      <w:r w:rsidR="002C4176" w:rsidRPr="00101C28">
        <w:rPr>
          <w:rFonts w:asciiTheme="minorHAnsi" w:hAnsiTheme="minorHAnsi"/>
          <w:szCs w:val="22"/>
        </w:rPr>
        <w:t xml:space="preserve">  </w:t>
      </w:r>
      <w:r w:rsidR="002C4176">
        <w:rPr>
          <w:rFonts w:asciiTheme="minorHAnsi" w:eastAsia="Times New Roman" w:hAnsiTheme="minorHAnsi" w:cstheme="minorHAnsi"/>
          <w:szCs w:val="22"/>
          <w:lang w:eastAsia="en-AU"/>
        </w:rPr>
        <w:t>P</w:t>
      </w:r>
      <w:r w:rsidR="002C4176" w:rsidRPr="00101C28">
        <w:rPr>
          <w:rFonts w:asciiTheme="minorHAnsi" w:eastAsia="Times New Roman" w:hAnsiTheme="minorHAnsi" w:cstheme="minorHAnsi"/>
          <w:szCs w:val="22"/>
          <w:lang w:eastAsia="en-AU"/>
        </w:rPr>
        <w:t>r</w:t>
      </w:r>
      <w:r w:rsidR="002C4176">
        <w:rPr>
          <w:rFonts w:asciiTheme="minorHAnsi" w:eastAsia="Times New Roman" w:hAnsiTheme="minorHAnsi" w:cstheme="minorHAnsi"/>
          <w:szCs w:val="22"/>
          <w:lang w:eastAsia="en-AU"/>
        </w:rPr>
        <w:t>ocedures</w:t>
      </w:r>
      <w:r w:rsidR="002C4176" w:rsidRPr="00101C28">
        <w:rPr>
          <w:rFonts w:asciiTheme="minorHAnsi" w:eastAsia="Times New Roman" w:hAnsiTheme="minorHAnsi" w:cstheme="minorHAnsi"/>
          <w:szCs w:val="22"/>
          <w:lang w:eastAsia="en-AU"/>
        </w:rPr>
        <w:t xml:space="preserve"> </w:t>
      </w:r>
      <w:r w:rsidR="002C4176">
        <w:rPr>
          <w:rFonts w:asciiTheme="minorHAnsi" w:eastAsia="Times New Roman" w:hAnsiTheme="minorHAnsi" w:cstheme="minorHAnsi"/>
          <w:szCs w:val="22"/>
          <w:lang w:eastAsia="en-AU"/>
        </w:rPr>
        <w:t xml:space="preserve">are in place for ensuring </w:t>
      </w:r>
      <w:r w:rsidR="00F8440F">
        <w:rPr>
          <w:rFonts w:asciiTheme="minorHAnsi" w:eastAsia="Times New Roman" w:hAnsiTheme="minorHAnsi" w:cstheme="minorHAnsi"/>
          <w:szCs w:val="22"/>
          <w:lang w:eastAsia="en-AU"/>
        </w:rPr>
        <w:t xml:space="preserve">any associated </w:t>
      </w:r>
      <w:r w:rsidR="002C4176">
        <w:rPr>
          <w:rFonts w:asciiTheme="minorHAnsi" w:eastAsia="Times New Roman" w:hAnsiTheme="minorHAnsi" w:cstheme="minorHAnsi"/>
          <w:szCs w:val="22"/>
          <w:lang w:eastAsia="en-AU"/>
        </w:rPr>
        <w:t>equipment and instrumentation is maintained according to manufacturer’s instructions and a</w:t>
      </w:r>
      <w:r w:rsidR="00C5787B">
        <w:rPr>
          <w:rFonts w:asciiTheme="minorHAnsi" w:eastAsia="Times New Roman" w:hAnsiTheme="minorHAnsi" w:cstheme="minorHAnsi"/>
          <w:szCs w:val="22"/>
          <w:lang w:eastAsia="en-AU"/>
        </w:rPr>
        <w:t>ny necessary</w:t>
      </w:r>
      <w:r w:rsidR="002C4176">
        <w:rPr>
          <w:rFonts w:asciiTheme="minorHAnsi" w:eastAsia="Times New Roman" w:hAnsiTheme="minorHAnsi" w:cstheme="minorHAnsi"/>
          <w:szCs w:val="22"/>
          <w:lang w:eastAsia="en-AU"/>
        </w:rPr>
        <w:t xml:space="preserve"> records are kept.</w:t>
      </w:r>
    </w:p>
    <w:p w14:paraId="77AD5C48" w14:textId="41B833DE" w:rsidR="002C4176" w:rsidRDefault="0064330B" w:rsidP="0023017D">
      <w:pPr>
        <w:rPr>
          <w:rFonts w:asciiTheme="minorHAnsi" w:hAnsiTheme="minorHAnsi"/>
          <w:szCs w:val="22"/>
        </w:rPr>
      </w:pPr>
      <w:r>
        <w:fldChar w:fldCharType="begin">
          <w:ffData>
            <w:name w:val="Check1"/>
            <w:enabled/>
            <w:calcOnExit w:val="0"/>
            <w:checkBox>
              <w:sizeAuto/>
              <w:default w:val="0"/>
            </w:checkBox>
          </w:ffData>
        </w:fldChar>
      </w:r>
      <w:r>
        <w:instrText xml:space="preserve"> FORMCHECKBOX </w:instrText>
      </w:r>
      <w:r>
        <w:fldChar w:fldCharType="end"/>
      </w:r>
      <w:r w:rsidR="002C4176" w:rsidRPr="00101C28">
        <w:rPr>
          <w:rFonts w:asciiTheme="minorHAnsi" w:hAnsiTheme="minorHAnsi"/>
          <w:szCs w:val="22"/>
        </w:rPr>
        <w:t xml:space="preserve">  </w:t>
      </w:r>
      <w:r w:rsidR="002C4176">
        <w:rPr>
          <w:rFonts w:asciiTheme="minorHAnsi" w:hAnsiTheme="minorHAnsi"/>
          <w:szCs w:val="22"/>
        </w:rPr>
        <w:t>There are protocols for recording all relevant information such as staff training; performance of testing (e</w:t>
      </w:r>
      <w:r w:rsidR="0023017D">
        <w:rPr>
          <w:rFonts w:asciiTheme="minorHAnsi" w:hAnsiTheme="minorHAnsi"/>
          <w:szCs w:val="22"/>
        </w:rPr>
        <w:t>.</w:t>
      </w:r>
      <w:r w:rsidR="002C4176">
        <w:rPr>
          <w:rFonts w:asciiTheme="minorHAnsi" w:hAnsiTheme="minorHAnsi"/>
          <w:szCs w:val="22"/>
        </w:rPr>
        <w:t>g</w:t>
      </w:r>
      <w:r w:rsidR="0023017D">
        <w:rPr>
          <w:rFonts w:asciiTheme="minorHAnsi" w:hAnsiTheme="minorHAnsi"/>
          <w:szCs w:val="22"/>
        </w:rPr>
        <w:t>.</w:t>
      </w:r>
      <w:r w:rsidR="002C4176">
        <w:rPr>
          <w:rFonts w:asciiTheme="minorHAnsi" w:hAnsiTheme="minorHAnsi"/>
          <w:szCs w:val="22"/>
        </w:rPr>
        <w:t xml:space="preserve"> when performed, who by and on whom), test result</w:t>
      </w:r>
      <w:r w:rsidR="0023017D">
        <w:rPr>
          <w:rFonts w:asciiTheme="minorHAnsi" w:hAnsiTheme="minorHAnsi"/>
          <w:szCs w:val="22"/>
        </w:rPr>
        <w:t>s</w:t>
      </w:r>
      <w:r w:rsidR="002C4176">
        <w:rPr>
          <w:rFonts w:asciiTheme="minorHAnsi" w:hAnsiTheme="minorHAnsi"/>
          <w:szCs w:val="22"/>
        </w:rPr>
        <w:t>.</w:t>
      </w:r>
    </w:p>
    <w:p w14:paraId="0A7F0CEC" w14:textId="52AAB539" w:rsidR="002C4176" w:rsidRDefault="0064330B" w:rsidP="0023017D">
      <w:pPr>
        <w:rPr>
          <w:rFonts w:asciiTheme="minorHAnsi" w:eastAsia="Times New Roman" w:hAnsiTheme="minorHAnsi" w:cstheme="minorHAnsi"/>
          <w:szCs w:val="22"/>
          <w:lang w:eastAsia="en-AU"/>
        </w:rPr>
      </w:pPr>
      <w:r>
        <w:fldChar w:fldCharType="begin">
          <w:ffData>
            <w:name w:val="Check1"/>
            <w:enabled/>
            <w:calcOnExit w:val="0"/>
            <w:checkBox>
              <w:sizeAuto/>
              <w:default w:val="0"/>
            </w:checkBox>
          </w:ffData>
        </w:fldChar>
      </w:r>
      <w:r>
        <w:instrText xml:space="preserve"> FORMCHECKBOX </w:instrText>
      </w:r>
      <w:r>
        <w:fldChar w:fldCharType="end"/>
      </w:r>
      <w:r w:rsidR="002C4176" w:rsidRPr="00101C28">
        <w:rPr>
          <w:rFonts w:asciiTheme="minorHAnsi" w:hAnsiTheme="minorHAnsi"/>
          <w:szCs w:val="22"/>
        </w:rPr>
        <w:t xml:space="preserve">  </w:t>
      </w:r>
      <w:r w:rsidR="002C4176">
        <w:rPr>
          <w:rFonts w:asciiTheme="minorHAnsi" w:eastAsia="Times New Roman" w:hAnsiTheme="minorHAnsi" w:cstheme="minorHAnsi"/>
          <w:szCs w:val="22"/>
          <w:lang w:eastAsia="en-AU"/>
        </w:rPr>
        <w:t xml:space="preserve">Protocols are in place for when a positive result is received including procedures </w:t>
      </w:r>
      <w:r w:rsidR="002C4176" w:rsidRPr="00101C28">
        <w:rPr>
          <w:rFonts w:asciiTheme="minorHAnsi" w:eastAsia="Times New Roman" w:hAnsiTheme="minorHAnsi" w:cstheme="minorHAnsi"/>
          <w:szCs w:val="22"/>
          <w:lang w:eastAsia="en-AU"/>
        </w:rPr>
        <w:t>for recording results and requirements for notification of positive results</w:t>
      </w:r>
      <w:r w:rsidR="002C4176">
        <w:rPr>
          <w:rFonts w:asciiTheme="minorHAnsi" w:eastAsia="Times New Roman" w:hAnsiTheme="minorHAnsi" w:cstheme="minorHAnsi"/>
          <w:szCs w:val="22"/>
          <w:lang w:eastAsia="en-AU"/>
        </w:rPr>
        <w:t xml:space="preserve"> to State and Territory organisations </w:t>
      </w:r>
      <w:r w:rsidR="00DE7797">
        <w:rPr>
          <w:rFonts w:asciiTheme="minorHAnsi" w:eastAsia="Times New Roman" w:hAnsiTheme="minorHAnsi" w:cstheme="minorHAnsi"/>
          <w:szCs w:val="22"/>
          <w:lang w:eastAsia="en-AU"/>
        </w:rPr>
        <w:t>(if required)</w:t>
      </w:r>
      <w:r w:rsidR="002C4176">
        <w:rPr>
          <w:rFonts w:asciiTheme="minorHAnsi" w:eastAsia="Times New Roman" w:hAnsiTheme="minorHAnsi" w:cstheme="minorHAnsi"/>
          <w:szCs w:val="22"/>
          <w:lang w:eastAsia="en-AU"/>
        </w:rPr>
        <w:t xml:space="preserve">, to individuals and what this means for the </w:t>
      </w:r>
      <w:proofErr w:type="gramStart"/>
      <w:r w:rsidR="002C4176">
        <w:rPr>
          <w:rFonts w:asciiTheme="minorHAnsi" w:eastAsia="Times New Roman" w:hAnsiTheme="minorHAnsi" w:cstheme="minorHAnsi"/>
          <w:szCs w:val="22"/>
          <w:lang w:eastAsia="en-AU"/>
        </w:rPr>
        <w:t>work place</w:t>
      </w:r>
      <w:proofErr w:type="gramEnd"/>
      <w:r w:rsidR="002C4176">
        <w:rPr>
          <w:rFonts w:asciiTheme="minorHAnsi" w:eastAsia="Times New Roman" w:hAnsiTheme="minorHAnsi" w:cstheme="minorHAnsi"/>
          <w:szCs w:val="22"/>
          <w:lang w:eastAsia="en-AU"/>
        </w:rPr>
        <w:t>.</w:t>
      </w:r>
    </w:p>
    <w:p w14:paraId="726330F0" w14:textId="79F722EC" w:rsidR="002C4176" w:rsidRDefault="0064330B" w:rsidP="0023017D">
      <w:pPr>
        <w:rPr>
          <w:rFonts w:asciiTheme="minorHAnsi" w:hAnsiTheme="minorHAnsi"/>
          <w:szCs w:val="22"/>
        </w:rPr>
      </w:pPr>
      <w:r>
        <w:fldChar w:fldCharType="begin">
          <w:ffData>
            <w:name w:val="Check1"/>
            <w:enabled/>
            <w:calcOnExit w:val="0"/>
            <w:checkBox>
              <w:sizeAuto/>
              <w:default w:val="0"/>
            </w:checkBox>
          </w:ffData>
        </w:fldChar>
      </w:r>
      <w:r>
        <w:instrText xml:space="preserve"> FORMCHECKBOX </w:instrText>
      </w:r>
      <w:r>
        <w:fldChar w:fldCharType="end"/>
      </w:r>
      <w:r w:rsidR="002C4176" w:rsidRPr="00101C28">
        <w:rPr>
          <w:rFonts w:asciiTheme="minorHAnsi" w:hAnsiTheme="minorHAnsi"/>
          <w:szCs w:val="22"/>
        </w:rPr>
        <w:t xml:space="preserve">  </w:t>
      </w:r>
      <w:r w:rsidR="002C4176">
        <w:rPr>
          <w:rFonts w:asciiTheme="minorHAnsi" w:hAnsiTheme="minorHAnsi"/>
          <w:szCs w:val="22"/>
        </w:rPr>
        <w:t>Procedures are in place for privacy and confidentiality of individuals with appropriate consents.</w:t>
      </w:r>
    </w:p>
    <w:p w14:paraId="4950F996" w14:textId="1903A20F" w:rsidR="00CD477F" w:rsidRDefault="0064330B" w:rsidP="0023017D">
      <w:r>
        <w:fldChar w:fldCharType="begin">
          <w:ffData>
            <w:name w:val="Check1"/>
            <w:enabled/>
            <w:calcOnExit w:val="0"/>
            <w:checkBox>
              <w:sizeAuto/>
              <w:default w:val="0"/>
            </w:checkBox>
          </w:ffData>
        </w:fldChar>
      </w:r>
      <w:r>
        <w:instrText xml:space="preserve"> FORMCHECKBOX </w:instrText>
      </w:r>
      <w:r>
        <w:fldChar w:fldCharType="end"/>
      </w:r>
      <w:r w:rsidR="00CD477F" w:rsidRPr="00101C28">
        <w:rPr>
          <w:rFonts w:asciiTheme="minorHAnsi" w:hAnsiTheme="minorHAnsi"/>
          <w:szCs w:val="22"/>
        </w:rPr>
        <w:t xml:space="preserve">  </w:t>
      </w:r>
      <w:r w:rsidR="00CD477F">
        <w:rPr>
          <w:rFonts w:asciiTheme="minorHAnsi" w:hAnsiTheme="minorHAnsi"/>
          <w:szCs w:val="22"/>
        </w:rPr>
        <w:t xml:space="preserve">The </w:t>
      </w:r>
      <w:r w:rsidR="00DB2D87">
        <w:rPr>
          <w:rFonts w:asciiTheme="minorHAnsi" w:hAnsiTheme="minorHAnsi"/>
          <w:szCs w:val="22"/>
        </w:rPr>
        <w:t>r</w:t>
      </w:r>
      <w:r w:rsidR="00CD477F">
        <w:rPr>
          <w:rFonts w:asciiTheme="minorHAnsi" w:hAnsiTheme="minorHAnsi"/>
          <w:szCs w:val="22"/>
        </w:rPr>
        <w:t xml:space="preserve">apid </w:t>
      </w:r>
      <w:r w:rsidR="00DB2D87">
        <w:rPr>
          <w:rFonts w:asciiTheme="minorHAnsi" w:hAnsiTheme="minorHAnsi"/>
          <w:szCs w:val="22"/>
        </w:rPr>
        <w:t>a</w:t>
      </w:r>
      <w:r w:rsidR="00CD477F">
        <w:rPr>
          <w:rFonts w:asciiTheme="minorHAnsi" w:hAnsiTheme="minorHAnsi"/>
          <w:szCs w:val="22"/>
        </w:rPr>
        <w:t xml:space="preserve">ntigen </w:t>
      </w:r>
      <w:r w:rsidR="00DB2D87">
        <w:rPr>
          <w:rFonts w:asciiTheme="minorHAnsi" w:hAnsiTheme="minorHAnsi"/>
          <w:szCs w:val="22"/>
        </w:rPr>
        <w:t>te</w:t>
      </w:r>
      <w:r w:rsidR="00CD477F">
        <w:rPr>
          <w:rFonts w:asciiTheme="minorHAnsi" w:hAnsiTheme="minorHAnsi"/>
          <w:szCs w:val="22"/>
        </w:rPr>
        <w:t>sting</w:t>
      </w:r>
      <w:r w:rsidR="00CD477F">
        <w:t xml:space="preserve"> site is located in a safe and easily accessible place which includes adequate access to </w:t>
      </w:r>
      <w:r w:rsidR="00525ADB">
        <w:t>essential services (e</w:t>
      </w:r>
      <w:r w:rsidR="0023017D">
        <w:t>.</w:t>
      </w:r>
      <w:r w:rsidR="00525ADB">
        <w:t>g</w:t>
      </w:r>
      <w:r w:rsidR="0023017D">
        <w:t>.</w:t>
      </w:r>
      <w:r w:rsidR="00525ADB">
        <w:t xml:space="preserve"> power, water)</w:t>
      </w:r>
      <w:r w:rsidR="00CD477F">
        <w:t>, QR check in code for the site, is well lit, secure, offers appropriate weather protection and suitable for COVID safe spacing and flow with adequate PPE, masks and hand sanitizing stations.</w:t>
      </w:r>
    </w:p>
    <w:p w14:paraId="3730DC4C" w14:textId="3B6CE9B3" w:rsidR="001D11DF" w:rsidRDefault="0064330B" w:rsidP="0023017D">
      <w:pPr>
        <w:rPr>
          <w:rFonts w:asciiTheme="minorHAnsi" w:hAnsiTheme="minorHAnsi"/>
          <w:szCs w:val="22"/>
        </w:rPr>
      </w:pPr>
      <w:r>
        <w:fldChar w:fldCharType="begin">
          <w:ffData>
            <w:name w:val="Check1"/>
            <w:enabled/>
            <w:calcOnExit w:val="0"/>
            <w:checkBox>
              <w:sizeAuto/>
              <w:default w:val="0"/>
            </w:checkBox>
          </w:ffData>
        </w:fldChar>
      </w:r>
      <w:r>
        <w:instrText xml:space="preserve"> FORMCHECKBOX </w:instrText>
      </w:r>
      <w:r>
        <w:fldChar w:fldCharType="end"/>
      </w:r>
      <w:r w:rsidR="001D11DF" w:rsidRPr="00101C28">
        <w:rPr>
          <w:rFonts w:asciiTheme="minorHAnsi" w:hAnsiTheme="minorHAnsi"/>
          <w:szCs w:val="22"/>
        </w:rPr>
        <w:t xml:space="preserve"> </w:t>
      </w:r>
      <w:r w:rsidR="0023017D">
        <w:rPr>
          <w:rFonts w:asciiTheme="minorHAnsi" w:hAnsiTheme="minorHAnsi"/>
          <w:szCs w:val="22"/>
        </w:rPr>
        <w:t xml:space="preserve"> </w:t>
      </w:r>
      <w:r w:rsidR="002C4176">
        <w:rPr>
          <w:rFonts w:asciiTheme="minorHAnsi" w:hAnsiTheme="minorHAnsi"/>
          <w:szCs w:val="22"/>
        </w:rPr>
        <w:t>T</w:t>
      </w:r>
      <w:r w:rsidR="001D11DF">
        <w:rPr>
          <w:rFonts w:asciiTheme="minorHAnsi" w:hAnsiTheme="minorHAnsi"/>
          <w:szCs w:val="22"/>
        </w:rPr>
        <w:t xml:space="preserve">he testing environment is fit for purpose. All equipment is in good working order, all procedures are carried out </w:t>
      </w:r>
      <w:r w:rsidR="00EA2CFD">
        <w:rPr>
          <w:rFonts w:asciiTheme="minorHAnsi" w:hAnsiTheme="minorHAnsi"/>
          <w:szCs w:val="22"/>
        </w:rPr>
        <w:t xml:space="preserve">accurately, </w:t>
      </w:r>
      <w:r w:rsidR="001D4C29">
        <w:rPr>
          <w:rFonts w:asciiTheme="minorHAnsi" w:hAnsiTheme="minorHAnsi"/>
          <w:szCs w:val="22"/>
        </w:rPr>
        <w:t>efficiently,</w:t>
      </w:r>
      <w:r w:rsidR="00EA2CFD">
        <w:rPr>
          <w:rFonts w:asciiTheme="minorHAnsi" w:hAnsiTheme="minorHAnsi"/>
          <w:szCs w:val="22"/>
        </w:rPr>
        <w:t xml:space="preserve"> and safely and the wellbeing and confidentiality of the individual is respected, especially in relation to test result</w:t>
      </w:r>
      <w:r w:rsidR="001D11DF">
        <w:rPr>
          <w:rFonts w:asciiTheme="minorHAnsi" w:hAnsiTheme="minorHAnsi"/>
          <w:szCs w:val="22"/>
        </w:rPr>
        <w:t>.</w:t>
      </w:r>
    </w:p>
    <w:p w14:paraId="353DB024" w14:textId="5C4E401B" w:rsidR="00D92039" w:rsidRDefault="0064330B" w:rsidP="0023017D">
      <w:pPr>
        <w:rPr>
          <w:rFonts w:asciiTheme="minorHAnsi" w:eastAsia="Times New Roman" w:hAnsiTheme="minorHAnsi" w:cstheme="minorHAnsi"/>
          <w:szCs w:val="22"/>
          <w:lang w:eastAsia="en-AU"/>
        </w:rPr>
      </w:pPr>
      <w:r>
        <w:fldChar w:fldCharType="begin">
          <w:ffData>
            <w:name w:val="Check1"/>
            <w:enabled/>
            <w:calcOnExit w:val="0"/>
            <w:checkBox>
              <w:sizeAuto/>
              <w:default w:val="0"/>
            </w:checkBox>
          </w:ffData>
        </w:fldChar>
      </w:r>
      <w:r>
        <w:instrText xml:space="preserve"> FORMCHECKBOX </w:instrText>
      </w:r>
      <w:r>
        <w:fldChar w:fldCharType="end"/>
      </w:r>
      <w:r w:rsidR="00101C28" w:rsidRPr="00101C28">
        <w:rPr>
          <w:rFonts w:asciiTheme="minorHAnsi" w:hAnsiTheme="minorHAnsi"/>
          <w:szCs w:val="22"/>
        </w:rPr>
        <w:t xml:space="preserve">  </w:t>
      </w:r>
      <w:r w:rsidR="002C4176">
        <w:rPr>
          <w:rFonts w:asciiTheme="minorHAnsi" w:hAnsiTheme="minorHAnsi"/>
          <w:szCs w:val="22"/>
        </w:rPr>
        <w:t>T</w:t>
      </w:r>
      <w:r w:rsidR="00452523">
        <w:rPr>
          <w:rFonts w:asciiTheme="minorHAnsi" w:hAnsiTheme="minorHAnsi"/>
          <w:szCs w:val="22"/>
        </w:rPr>
        <w:t>here are</w:t>
      </w:r>
      <w:r w:rsidR="00101C28" w:rsidRPr="00101C28">
        <w:rPr>
          <w:rFonts w:asciiTheme="minorHAnsi" w:hAnsiTheme="minorHAnsi"/>
          <w:szCs w:val="22"/>
        </w:rPr>
        <w:t xml:space="preserve"> </w:t>
      </w:r>
      <w:r w:rsidR="00101C28">
        <w:rPr>
          <w:rFonts w:asciiTheme="minorHAnsi" w:hAnsiTheme="minorHAnsi"/>
          <w:szCs w:val="22"/>
        </w:rPr>
        <w:t xml:space="preserve">appropriate </w:t>
      </w:r>
      <w:r w:rsidR="00D92039" w:rsidRPr="00101C28">
        <w:rPr>
          <w:rFonts w:asciiTheme="minorHAnsi" w:eastAsia="Times New Roman" w:hAnsiTheme="minorHAnsi" w:cstheme="minorHAnsi"/>
          <w:szCs w:val="22"/>
          <w:lang w:eastAsia="en-AU"/>
        </w:rPr>
        <w:t>infection control practices</w:t>
      </w:r>
      <w:r w:rsidR="00101C28" w:rsidRPr="00101C28">
        <w:rPr>
          <w:rFonts w:asciiTheme="minorHAnsi" w:eastAsia="Times New Roman" w:hAnsiTheme="minorHAnsi" w:cstheme="minorHAnsi"/>
          <w:szCs w:val="22"/>
          <w:lang w:eastAsia="en-AU"/>
        </w:rPr>
        <w:t xml:space="preserve"> </w:t>
      </w:r>
      <w:r w:rsidR="00101C28">
        <w:rPr>
          <w:rFonts w:asciiTheme="minorHAnsi" w:eastAsia="Times New Roman" w:hAnsiTheme="minorHAnsi" w:cstheme="minorHAnsi"/>
          <w:szCs w:val="22"/>
          <w:lang w:eastAsia="en-AU"/>
        </w:rPr>
        <w:t>and Work Health and Safety</w:t>
      </w:r>
      <w:r w:rsidR="001D4C29">
        <w:rPr>
          <w:rFonts w:asciiTheme="minorHAnsi" w:eastAsia="Times New Roman" w:hAnsiTheme="minorHAnsi" w:cstheme="minorHAnsi"/>
          <w:szCs w:val="22"/>
          <w:lang w:eastAsia="en-AU"/>
        </w:rPr>
        <w:t xml:space="preserve"> (WH&amp;S)</w:t>
      </w:r>
      <w:r w:rsidR="00101C28">
        <w:rPr>
          <w:rFonts w:asciiTheme="minorHAnsi" w:eastAsia="Times New Roman" w:hAnsiTheme="minorHAnsi" w:cstheme="minorHAnsi"/>
          <w:szCs w:val="22"/>
          <w:lang w:eastAsia="en-AU"/>
        </w:rPr>
        <w:t xml:space="preserve"> protocols</w:t>
      </w:r>
      <w:r w:rsidR="00702717">
        <w:rPr>
          <w:rFonts w:asciiTheme="minorHAnsi" w:eastAsia="Times New Roman" w:hAnsiTheme="minorHAnsi" w:cstheme="minorHAnsi"/>
          <w:szCs w:val="22"/>
          <w:lang w:eastAsia="en-AU"/>
        </w:rPr>
        <w:t xml:space="preserve"> are</w:t>
      </w:r>
      <w:r w:rsidR="00101C28">
        <w:rPr>
          <w:rFonts w:asciiTheme="minorHAnsi" w:eastAsia="Times New Roman" w:hAnsiTheme="minorHAnsi" w:cstheme="minorHAnsi"/>
          <w:szCs w:val="22"/>
          <w:lang w:eastAsia="en-AU"/>
        </w:rPr>
        <w:t xml:space="preserve"> </w:t>
      </w:r>
      <w:r w:rsidR="00101C28" w:rsidRPr="00101C28">
        <w:rPr>
          <w:rFonts w:asciiTheme="minorHAnsi" w:eastAsia="Times New Roman" w:hAnsiTheme="minorHAnsi" w:cstheme="minorHAnsi"/>
          <w:szCs w:val="22"/>
          <w:lang w:eastAsia="en-AU"/>
        </w:rPr>
        <w:t>in place</w:t>
      </w:r>
      <w:r w:rsidR="00101C28">
        <w:rPr>
          <w:rFonts w:asciiTheme="minorHAnsi" w:eastAsia="Times New Roman" w:hAnsiTheme="minorHAnsi" w:cstheme="minorHAnsi"/>
          <w:szCs w:val="22"/>
          <w:lang w:eastAsia="en-AU"/>
        </w:rPr>
        <w:t>.</w:t>
      </w:r>
    </w:p>
    <w:p w14:paraId="5D39C2DD" w14:textId="7535B217" w:rsidR="00D92039" w:rsidRDefault="0064330B" w:rsidP="0023017D">
      <w:pPr>
        <w:rPr>
          <w:rFonts w:asciiTheme="minorHAnsi" w:eastAsia="Times New Roman" w:hAnsiTheme="minorHAnsi" w:cstheme="minorHAnsi"/>
          <w:szCs w:val="22"/>
          <w:lang w:eastAsia="en-AU"/>
        </w:rPr>
      </w:pPr>
      <w:r>
        <w:fldChar w:fldCharType="begin">
          <w:ffData>
            <w:name w:val="Check1"/>
            <w:enabled/>
            <w:calcOnExit w:val="0"/>
            <w:checkBox>
              <w:sizeAuto/>
              <w:default w:val="0"/>
            </w:checkBox>
          </w:ffData>
        </w:fldChar>
      </w:r>
      <w:r>
        <w:instrText xml:space="preserve"> FORMCHECKBOX </w:instrText>
      </w:r>
      <w:r>
        <w:fldChar w:fldCharType="end"/>
      </w:r>
      <w:r w:rsidR="00D92039" w:rsidRPr="00101C28">
        <w:rPr>
          <w:rFonts w:asciiTheme="minorHAnsi" w:hAnsiTheme="minorHAnsi"/>
          <w:szCs w:val="22"/>
        </w:rPr>
        <w:t xml:space="preserve">  </w:t>
      </w:r>
      <w:r w:rsidR="002C4176">
        <w:rPr>
          <w:rFonts w:asciiTheme="minorHAnsi" w:hAnsiTheme="minorHAnsi"/>
          <w:szCs w:val="22"/>
        </w:rPr>
        <w:t>T</w:t>
      </w:r>
      <w:r w:rsidR="00452523">
        <w:rPr>
          <w:rFonts w:asciiTheme="minorHAnsi" w:hAnsiTheme="minorHAnsi"/>
          <w:szCs w:val="22"/>
        </w:rPr>
        <w:t xml:space="preserve">here are </w:t>
      </w:r>
      <w:r w:rsidR="00D92039" w:rsidRPr="00101C28">
        <w:rPr>
          <w:rFonts w:asciiTheme="minorHAnsi" w:eastAsia="Times New Roman" w:hAnsiTheme="minorHAnsi" w:cstheme="minorHAnsi"/>
          <w:szCs w:val="22"/>
          <w:lang w:eastAsia="en-AU"/>
        </w:rPr>
        <w:t>protocols for reporting any problems or adverse events associated with performance of the test, including false negative or false positive results, to the Therapeutic Goods Administration</w:t>
      </w:r>
      <w:r w:rsidR="001D4C29">
        <w:rPr>
          <w:rFonts w:asciiTheme="minorHAnsi" w:eastAsia="Times New Roman" w:hAnsiTheme="minorHAnsi" w:cstheme="minorHAnsi"/>
          <w:szCs w:val="22"/>
          <w:lang w:eastAsia="en-AU"/>
        </w:rPr>
        <w:t xml:space="preserve"> (TGA)</w:t>
      </w:r>
      <w:r w:rsidR="00D92039" w:rsidRPr="00101C28">
        <w:rPr>
          <w:rFonts w:asciiTheme="minorHAnsi" w:eastAsia="Times New Roman" w:hAnsiTheme="minorHAnsi" w:cstheme="minorHAnsi"/>
          <w:szCs w:val="22"/>
          <w:lang w:eastAsia="en-AU"/>
        </w:rPr>
        <w:t>.</w:t>
      </w:r>
    </w:p>
    <w:p w14:paraId="456B282D" w14:textId="1F882EBA" w:rsidR="00702717" w:rsidRPr="00452523" w:rsidRDefault="00702717" w:rsidP="0023017D">
      <w:pPr>
        <w:pStyle w:val="Numberbullet0"/>
        <w:numPr>
          <w:ilvl w:val="0"/>
          <w:numId w:val="0"/>
        </w:numPr>
        <w:spacing w:before="0" w:after="0"/>
        <w:rPr>
          <w:b/>
          <w:bCs/>
          <w:i/>
          <w:iCs/>
          <w:szCs w:val="22"/>
        </w:rPr>
      </w:pPr>
      <w:r w:rsidRPr="00452523">
        <w:rPr>
          <w:b/>
          <w:bCs/>
          <w:i/>
          <w:iCs/>
          <w:szCs w:val="22"/>
        </w:rPr>
        <w:t>Please note this is not an exhaustive list and should be considered in conjunction with National and State/Territory Legislation.</w:t>
      </w:r>
    </w:p>
    <w:p w14:paraId="07B2FEE2" w14:textId="77777777" w:rsidR="00BA6FF1" w:rsidRPr="009401F6" w:rsidRDefault="00BA6FF1" w:rsidP="00FE1941">
      <w:pPr>
        <w:pStyle w:val="NonTOCheading2"/>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14:paraId="4FC1E7BA" w14:textId="77777777" w:rsidTr="00B73F7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14:paraId="78E8EAE8" w14:textId="77777777" w:rsidR="00BA6FF1" w:rsidRPr="009401F6" w:rsidRDefault="00BA6FF1" w:rsidP="00B73F7A">
            <w:bookmarkStart w:id="14" w:name="ColumnTitle_4"/>
            <w:r w:rsidRPr="009401F6">
              <w:t>Version</w:t>
            </w:r>
          </w:p>
        </w:tc>
        <w:tc>
          <w:tcPr>
            <w:tcW w:w="3242" w:type="dxa"/>
          </w:tcPr>
          <w:p w14:paraId="1A88B913" w14:textId="77777777" w:rsidR="00BA6FF1" w:rsidRPr="009401F6" w:rsidRDefault="00BA6FF1" w:rsidP="00B73F7A">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14:paraId="0A30CBDF" w14:textId="77777777" w:rsidR="00BA6FF1" w:rsidRPr="009401F6" w:rsidRDefault="00BA6FF1" w:rsidP="00B73F7A">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14:paraId="0D09E5CF" w14:textId="77777777" w:rsidR="00BA6FF1" w:rsidRPr="009401F6" w:rsidRDefault="00BA6FF1" w:rsidP="00B73F7A">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14"/>
      <w:tr w:rsidR="00BA6FF1" w:rsidRPr="009401F6" w14:paraId="01AF8A9A" w14:textId="77777777" w:rsidTr="00B73F7A">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CE3A6E1" w14:textId="48704589" w:rsidR="00BA6FF1" w:rsidRPr="009401F6" w:rsidRDefault="00BA6FF1" w:rsidP="00B73F7A">
            <w:r w:rsidRPr="009401F6">
              <w:t>V1.0</w:t>
            </w:r>
          </w:p>
        </w:tc>
        <w:tc>
          <w:tcPr>
            <w:tcW w:w="3242" w:type="dxa"/>
          </w:tcPr>
          <w:p w14:paraId="2485FD8D" w14:textId="77777777" w:rsidR="00BA6FF1" w:rsidRPr="009401F6" w:rsidRDefault="00BA6FF1" w:rsidP="00B73F7A">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14:paraId="435CCEB5" w14:textId="27FF24A6" w:rsidR="00BA6FF1" w:rsidRPr="009401F6" w:rsidRDefault="00A45735" w:rsidP="00B73F7A">
            <w:pPr>
              <w:cnfStyle w:val="000000000000" w:firstRow="0" w:lastRow="0" w:firstColumn="0" w:lastColumn="0" w:oddVBand="0" w:evenVBand="0" w:oddHBand="0" w:evenHBand="0" w:firstRowFirstColumn="0" w:firstRowLastColumn="0" w:lastRowFirstColumn="0" w:lastRowLastColumn="0"/>
            </w:pPr>
            <w:r>
              <w:t>Therapeutic Goods Administration</w:t>
            </w:r>
          </w:p>
        </w:tc>
        <w:tc>
          <w:tcPr>
            <w:tcW w:w="1808" w:type="dxa"/>
          </w:tcPr>
          <w:p w14:paraId="5A72D057" w14:textId="0BD19622" w:rsidR="00BA6FF1" w:rsidRPr="009401F6" w:rsidRDefault="003F4684" w:rsidP="00B73F7A">
            <w:pPr>
              <w:cnfStyle w:val="000000000000" w:firstRow="0" w:lastRow="0" w:firstColumn="0" w:lastColumn="0" w:oddVBand="0" w:evenVBand="0" w:oddHBand="0" w:evenHBand="0" w:firstRowFirstColumn="0" w:firstRowLastColumn="0" w:lastRowFirstColumn="0" w:lastRowLastColumn="0"/>
            </w:pPr>
            <w:r>
              <w:t>August 2021</w:t>
            </w:r>
          </w:p>
        </w:tc>
      </w:tr>
      <w:tr w:rsidR="00A45735" w:rsidRPr="009401F6" w14:paraId="652E9E00" w14:textId="77777777" w:rsidTr="00B73F7A">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4F3FD7A" w14:textId="6F5E3196" w:rsidR="00A45735" w:rsidRPr="009401F6" w:rsidRDefault="00A45735" w:rsidP="00B73F7A">
            <w:r>
              <w:t>V1.1</w:t>
            </w:r>
          </w:p>
        </w:tc>
        <w:tc>
          <w:tcPr>
            <w:tcW w:w="3242" w:type="dxa"/>
          </w:tcPr>
          <w:p w14:paraId="1F4FE39A" w14:textId="3B3422F5" w:rsidR="00A45735" w:rsidRPr="009401F6" w:rsidRDefault="008E051D" w:rsidP="00B73F7A">
            <w:pPr>
              <w:cnfStyle w:val="000000000000" w:firstRow="0" w:lastRow="0" w:firstColumn="0" w:lastColumn="0" w:oddVBand="0" w:evenVBand="0" w:oddHBand="0" w:evenHBand="0" w:firstRowFirstColumn="0" w:firstRowLastColumn="0" w:lastRowFirstColumn="0" w:lastRowLastColumn="0"/>
            </w:pPr>
            <w:r>
              <w:t>Update to ‘Remote Supervision</w:t>
            </w:r>
            <w:r w:rsidR="00995B10">
              <w:t>’ and other minor amendments,</w:t>
            </w:r>
          </w:p>
        </w:tc>
        <w:tc>
          <w:tcPr>
            <w:tcW w:w="2712" w:type="dxa"/>
          </w:tcPr>
          <w:p w14:paraId="56DB4559" w14:textId="6D2C106A" w:rsidR="00A45735" w:rsidRPr="009401F6" w:rsidRDefault="008E051D" w:rsidP="00B73F7A">
            <w:pPr>
              <w:cnfStyle w:val="000000000000" w:firstRow="0" w:lastRow="0" w:firstColumn="0" w:lastColumn="0" w:oddVBand="0" w:evenVBand="0" w:oddHBand="0" w:evenHBand="0" w:firstRowFirstColumn="0" w:firstRowLastColumn="0" w:lastRowFirstColumn="0" w:lastRowLastColumn="0"/>
            </w:pPr>
            <w:r>
              <w:t>Therapeutic Goods Administration</w:t>
            </w:r>
          </w:p>
        </w:tc>
        <w:tc>
          <w:tcPr>
            <w:tcW w:w="1808" w:type="dxa"/>
          </w:tcPr>
          <w:p w14:paraId="35003CF0" w14:textId="64AB072E" w:rsidR="00A45735" w:rsidRDefault="00A45735" w:rsidP="00B73F7A">
            <w:pPr>
              <w:cnfStyle w:val="000000000000" w:firstRow="0" w:lastRow="0" w:firstColumn="0" w:lastColumn="0" w:oddVBand="0" w:evenVBand="0" w:oddHBand="0" w:evenHBand="0" w:firstRowFirstColumn="0" w:firstRowLastColumn="0" w:lastRowFirstColumn="0" w:lastRowLastColumn="0"/>
            </w:pPr>
            <w:r>
              <w:t>September 2021</w:t>
            </w:r>
          </w:p>
        </w:tc>
      </w:tr>
      <w:tr w:rsidR="009970B1" w:rsidRPr="009401F6" w14:paraId="655E7F92" w14:textId="77777777" w:rsidTr="00B73F7A">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0102FFA" w14:textId="40313009" w:rsidR="009970B1" w:rsidRDefault="009970B1" w:rsidP="00B73F7A">
            <w:r>
              <w:t>V2.0</w:t>
            </w:r>
          </w:p>
        </w:tc>
        <w:tc>
          <w:tcPr>
            <w:tcW w:w="3242" w:type="dxa"/>
          </w:tcPr>
          <w:p w14:paraId="380D6F59" w14:textId="266022CC" w:rsidR="009970B1" w:rsidRDefault="00426320" w:rsidP="00B73F7A">
            <w:pPr>
              <w:cnfStyle w:val="000000000000" w:firstRow="0" w:lastRow="0" w:firstColumn="0" w:lastColumn="0" w:oddVBand="0" w:evenVBand="0" w:oddHBand="0" w:evenHBand="0" w:firstRowFirstColumn="0" w:firstRowLastColumn="0" w:lastRowFirstColumn="0" w:lastRowLastColumn="0"/>
            </w:pPr>
            <w:r>
              <w:t xml:space="preserve">Addition of ‘Testing of </w:t>
            </w:r>
            <w:proofErr w:type="gramStart"/>
            <w:r>
              <w:t>general public</w:t>
            </w:r>
            <w:proofErr w:type="gramEnd"/>
            <w:r>
              <w:t xml:space="preserve"> carried out in a pharmacy’ and update to confirmatory testing and reporting requirements.</w:t>
            </w:r>
          </w:p>
        </w:tc>
        <w:tc>
          <w:tcPr>
            <w:tcW w:w="2712" w:type="dxa"/>
          </w:tcPr>
          <w:p w14:paraId="767587F7" w14:textId="2E605045" w:rsidR="009970B1" w:rsidRDefault="00426320" w:rsidP="00B73F7A">
            <w:pPr>
              <w:cnfStyle w:val="000000000000" w:firstRow="0" w:lastRow="0" w:firstColumn="0" w:lastColumn="0" w:oddVBand="0" w:evenVBand="0" w:oddHBand="0" w:evenHBand="0" w:firstRowFirstColumn="0" w:firstRowLastColumn="0" w:lastRowFirstColumn="0" w:lastRowLastColumn="0"/>
            </w:pPr>
            <w:r>
              <w:t>Therapeutic Goods Administration</w:t>
            </w:r>
          </w:p>
        </w:tc>
        <w:tc>
          <w:tcPr>
            <w:tcW w:w="1808" w:type="dxa"/>
          </w:tcPr>
          <w:p w14:paraId="15EDF862" w14:textId="5769F95F" w:rsidR="009970B1" w:rsidRDefault="00426320" w:rsidP="00B73F7A">
            <w:pPr>
              <w:cnfStyle w:val="000000000000" w:firstRow="0" w:lastRow="0" w:firstColumn="0" w:lastColumn="0" w:oddVBand="0" w:evenVBand="0" w:oddHBand="0" w:evenHBand="0" w:firstRowFirstColumn="0" w:firstRowLastColumn="0" w:lastRowFirstColumn="0" w:lastRowLastColumn="0"/>
            </w:pPr>
            <w:r>
              <w:t>January 2022</w:t>
            </w:r>
          </w:p>
        </w:tc>
      </w:tr>
    </w:tbl>
    <w:p w14:paraId="4664E620" w14:textId="77777777" w:rsidR="00BA6FF1" w:rsidRDefault="00BA6FF1" w:rsidP="00F8404D">
      <w:r>
        <w:br w:type="page"/>
      </w:r>
    </w:p>
    <w:p w14:paraId="27DD2B9A" w14:textId="77777777" w:rsidR="003E3D34" w:rsidRPr="009401F6" w:rsidRDefault="003E3D34" w:rsidP="00F8404D">
      <w:pPr>
        <w:sectPr w:rsidR="003E3D34" w:rsidRPr="009401F6" w:rsidSect="0074066C">
          <w:headerReference w:type="default" r:id="rId21"/>
          <w:footerReference w:type="default" r:id="rId22"/>
          <w:headerReference w:type="first" r:id="rId23"/>
          <w:type w:val="continuous"/>
          <w:pgSz w:w="11906" w:h="16838" w:code="9"/>
          <w:pgMar w:top="1530"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14:paraId="72DADA15" w14:textId="77777777" w:rsidTr="00E2124E">
        <w:trPr>
          <w:trHeight w:hRule="exact" w:val="565"/>
          <w:jc w:val="center"/>
        </w:trPr>
        <w:tc>
          <w:tcPr>
            <w:tcW w:w="9145" w:type="dxa"/>
          </w:tcPr>
          <w:p w14:paraId="6ADE727B" w14:textId="77777777" w:rsidR="00F8404D" w:rsidRPr="009401F6" w:rsidRDefault="00F8404D" w:rsidP="00E2124E">
            <w:pPr>
              <w:pStyle w:val="TGASignoff"/>
            </w:pPr>
            <w:r w:rsidRPr="009401F6">
              <w:lastRenderedPageBreak/>
              <w:t>Therapeutic Goods Administration</w:t>
            </w:r>
          </w:p>
        </w:tc>
      </w:tr>
      <w:tr w:rsidR="00F8404D" w:rsidRPr="009401F6" w14:paraId="23C2E505" w14:textId="77777777" w:rsidTr="00E2124E">
        <w:trPr>
          <w:trHeight w:val="963"/>
          <w:jc w:val="center"/>
        </w:trPr>
        <w:tc>
          <w:tcPr>
            <w:tcW w:w="9145" w:type="dxa"/>
            <w:tcMar>
              <w:top w:w="28" w:type="dxa"/>
            </w:tcMar>
          </w:tcPr>
          <w:p w14:paraId="50ED4C24" w14:textId="77777777" w:rsidR="00F8404D" w:rsidRPr="009401F6" w:rsidRDefault="00F8404D" w:rsidP="00E2124E">
            <w:pPr>
              <w:pStyle w:val="Address"/>
              <w:jc w:val="center"/>
            </w:pPr>
            <w:r w:rsidRPr="009401F6">
              <w:t>PO Box 100 Woden ACT 2606 Australia</w:t>
            </w:r>
          </w:p>
          <w:p w14:paraId="3A8EEC4D" w14:textId="77777777" w:rsidR="00F8404D" w:rsidRPr="009401F6" w:rsidRDefault="00F8404D" w:rsidP="00E2124E">
            <w:pPr>
              <w:pStyle w:val="Address"/>
              <w:jc w:val="center"/>
            </w:pPr>
            <w:r w:rsidRPr="009401F6">
              <w:t xml:space="preserve">Email: </w:t>
            </w:r>
            <w:hyperlink r:id="rId24" w:history="1">
              <w:r w:rsidRPr="009401F6">
                <w:rPr>
                  <w:rStyle w:val="Hyperlink"/>
                </w:rPr>
                <w:t>info@tga.gov.au</w:t>
              </w:r>
            </w:hyperlink>
            <w:r w:rsidRPr="009401F6">
              <w:t xml:space="preserve">  Phone: 1800 020 </w:t>
            </w:r>
            <w:proofErr w:type="gramStart"/>
            <w:r w:rsidRPr="009401F6">
              <w:t>653  Fax</w:t>
            </w:r>
            <w:proofErr w:type="gramEnd"/>
            <w:r w:rsidRPr="009401F6">
              <w:t>: 02 62</w:t>
            </w:r>
            <w:r w:rsidR="003204DD">
              <w:t>0</w:t>
            </w:r>
            <w:r w:rsidRPr="009401F6">
              <w:t xml:space="preserve">3 </w:t>
            </w:r>
            <w:r w:rsidR="003204DD">
              <w:t>1</w:t>
            </w:r>
            <w:r w:rsidRPr="009401F6">
              <w:t>605</w:t>
            </w:r>
          </w:p>
          <w:p w14:paraId="180C1D0B" w14:textId="77777777" w:rsidR="00F8404D" w:rsidRPr="009401F6" w:rsidRDefault="0064330B" w:rsidP="00E2124E">
            <w:pPr>
              <w:pStyle w:val="Address"/>
              <w:spacing w:line="260" w:lineRule="atLeast"/>
              <w:jc w:val="center"/>
              <w:rPr>
                <w:rStyle w:val="Hyperlink"/>
                <w:b/>
              </w:rPr>
            </w:pPr>
            <w:hyperlink r:id="rId25" w:history="1">
              <w:r w:rsidR="009401F6" w:rsidRPr="009401F6">
                <w:rPr>
                  <w:rStyle w:val="Hyperlink"/>
                  <w:b/>
                </w:rPr>
                <w:t>https://www.tga.gov.au</w:t>
              </w:r>
            </w:hyperlink>
          </w:p>
        </w:tc>
      </w:tr>
      <w:tr w:rsidR="00F8404D" w:rsidRPr="009401F6" w14:paraId="45ACC329" w14:textId="77777777" w:rsidTr="00E2124E">
        <w:trPr>
          <w:trHeight w:val="251"/>
          <w:jc w:val="center"/>
        </w:trPr>
        <w:tc>
          <w:tcPr>
            <w:tcW w:w="9145" w:type="dxa"/>
            <w:tcMar>
              <w:top w:w="28" w:type="dxa"/>
            </w:tcMar>
          </w:tcPr>
          <w:p w14:paraId="06D8C93C" w14:textId="77777777" w:rsidR="00F8404D" w:rsidRPr="009401F6" w:rsidRDefault="00F8404D" w:rsidP="00E2124E">
            <w:pPr>
              <w:pStyle w:val="Address"/>
              <w:jc w:val="center"/>
            </w:pPr>
            <w:r w:rsidRPr="009401F6">
              <w:t>Reference/Publication #</w:t>
            </w:r>
          </w:p>
        </w:tc>
      </w:tr>
    </w:tbl>
    <w:p w14:paraId="0FC7D6DC" w14:textId="77777777" w:rsidR="0084580B" w:rsidRPr="009401F6" w:rsidRDefault="0084580B" w:rsidP="00F8404D">
      <w:pPr>
        <w:pStyle w:val="Footer"/>
      </w:pPr>
    </w:p>
    <w:sectPr w:rsidR="0084580B" w:rsidRPr="009401F6" w:rsidSect="00F8404D">
      <w:headerReference w:type="first" r:id="rId26"/>
      <w:footerReference w:type="first" r:id="rId27"/>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73F58" w14:textId="77777777" w:rsidR="00014F76" w:rsidRDefault="00014F76" w:rsidP="00C40A36">
      <w:pPr>
        <w:spacing w:after="0"/>
      </w:pPr>
      <w:r>
        <w:separator/>
      </w:r>
    </w:p>
    <w:p w14:paraId="35A5DBBA" w14:textId="77777777" w:rsidR="00014F76" w:rsidRDefault="00014F76"/>
  </w:endnote>
  <w:endnote w:type="continuationSeparator" w:id="0">
    <w:p w14:paraId="77AAFF54" w14:textId="77777777" w:rsidR="00014F76" w:rsidRDefault="00014F76" w:rsidP="00C40A36">
      <w:pPr>
        <w:spacing w:after="0"/>
      </w:pPr>
      <w:r>
        <w:continuationSeparator/>
      </w:r>
    </w:p>
    <w:p w14:paraId="76122569" w14:textId="77777777" w:rsidR="00014F76" w:rsidRDefault="00014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CC981" w14:textId="77777777" w:rsidR="00F739D1" w:rsidRDefault="00F739D1"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739D1" w:rsidRPr="00257138" w14:paraId="13C65D19" w14:textId="77777777" w:rsidTr="00A3654F">
      <w:trPr>
        <w:trHeight w:val="423"/>
      </w:trPr>
      <w:tc>
        <w:tcPr>
          <w:tcW w:w="4360" w:type="dxa"/>
          <w:tcBorders>
            <w:top w:val="single" w:sz="4" w:space="0" w:color="auto"/>
          </w:tcBorders>
        </w:tcPr>
        <w:p w14:paraId="569B1B6D" w14:textId="77777777" w:rsidR="00F739D1" w:rsidRDefault="00F739D1" w:rsidP="008D4740">
          <w:pPr>
            <w:pStyle w:val="Footer"/>
          </w:pPr>
        </w:p>
        <w:p w14:paraId="1777FBF8" w14:textId="77777777" w:rsidR="00F739D1" w:rsidRPr="00257138" w:rsidRDefault="00F739D1"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14:paraId="710A04A0" w14:textId="77777777" w:rsidR="00F739D1" w:rsidRDefault="00F739D1" w:rsidP="008D4740">
              <w:pPr>
                <w:pStyle w:val="Footer"/>
                <w:jc w:val="right"/>
              </w:pPr>
            </w:p>
            <w:p w14:paraId="28605C6C" w14:textId="77777777" w:rsidR="00F739D1" w:rsidRPr="00257138" w:rsidRDefault="00F739D1" w:rsidP="008D4740">
              <w:pPr>
                <w:pStyle w:val="Footer"/>
                <w:jc w:val="right"/>
              </w:pPr>
              <w:r w:rsidRPr="00257138">
                <w:t xml:space="preserve">Page </w:t>
              </w:r>
              <w:r w:rsidR="00F87B87">
                <w:fldChar w:fldCharType="begin"/>
              </w:r>
              <w:r w:rsidR="00F87B87">
                <w:instrText xml:space="preserve"> PAGE </w:instrText>
              </w:r>
              <w:r w:rsidR="00F87B87">
                <w:fldChar w:fldCharType="separate"/>
              </w:r>
              <w:r w:rsidR="00FE1941">
                <w:rPr>
                  <w:noProof/>
                </w:rPr>
                <w:t>2</w:t>
              </w:r>
              <w:r w:rsidR="00F87B87">
                <w:rPr>
                  <w:noProof/>
                </w:rPr>
                <w:fldChar w:fldCharType="end"/>
              </w:r>
              <w:r w:rsidRPr="00257138">
                <w:t xml:space="preserve"> of </w:t>
              </w:r>
              <w:fldSimple w:instr=" NUMPAGES  ">
                <w:r w:rsidR="004C2E29">
                  <w:rPr>
                    <w:noProof/>
                  </w:rPr>
                  <w:t>2</w:t>
                </w:r>
              </w:fldSimple>
            </w:p>
          </w:sdtContent>
        </w:sdt>
      </w:tc>
    </w:tr>
    <w:tr w:rsidR="00F739D1" w:rsidRPr="00257138" w14:paraId="07C91C17" w14:textId="77777777" w:rsidTr="00A3654F">
      <w:trPr>
        <w:trHeight w:val="263"/>
      </w:trPr>
      <w:tc>
        <w:tcPr>
          <w:tcW w:w="4360" w:type="dxa"/>
        </w:tcPr>
        <w:p w14:paraId="3BEE54F6" w14:textId="77777777" w:rsidR="00F739D1" w:rsidRPr="00257138" w:rsidRDefault="00F739D1" w:rsidP="008D4740">
          <w:pPr>
            <w:pStyle w:val="Footer"/>
          </w:pPr>
          <w:r w:rsidRPr="00257138">
            <w:t xml:space="preserve">V1.0 </w:t>
          </w:r>
          <w:r>
            <w:t>Month</w:t>
          </w:r>
          <w:r w:rsidRPr="00257138">
            <w:t xml:space="preserve"> 201</w:t>
          </w:r>
          <w:r>
            <w:t>2</w:t>
          </w:r>
        </w:p>
      </w:tc>
      <w:tc>
        <w:tcPr>
          <w:tcW w:w="4360" w:type="dxa"/>
        </w:tcPr>
        <w:p w14:paraId="413E22C8" w14:textId="77777777" w:rsidR="00F739D1" w:rsidRPr="00257138" w:rsidRDefault="00F739D1" w:rsidP="008D4740">
          <w:pPr>
            <w:pStyle w:val="Footer"/>
            <w:jc w:val="right"/>
          </w:pPr>
        </w:p>
      </w:tc>
    </w:tr>
  </w:tbl>
  <w:p w14:paraId="49475221" w14:textId="77777777" w:rsidR="00F739D1" w:rsidRPr="00826007" w:rsidRDefault="00F739D1"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FBC77" w14:textId="77777777" w:rsidR="00F739D1" w:rsidRDefault="00F739D1"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593"/>
    </w:tblGrid>
    <w:tr w:rsidR="00F739D1" w:rsidRPr="00257138" w14:paraId="7DB229EB" w14:textId="77777777" w:rsidTr="00D433BD">
      <w:trPr>
        <w:trHeight w:val="423"/>
      </w:trPr>
      <w:tc>
        <w:tcPr>
          <w:tcW w:w="7479" w:type="dxa"/>
        </w:tcPr>
        <w:p w14:paraId="246847FA" w14:textId="621934B8" w:rsidR="00F739D1" w:rsidRPr="00257138" w:rsidRDefault="00F739D1" w:rsidP="003F4684">
          <w:pPr>
            <w:pStyle w:val="Footer"/>
            <w:spacing w:after="120"/>
          </w:pPr>
          <w:r w:rsidRPr="00EE1482">
            <w:t>Document</w:t>
          </w:r>
          <w:r w:rsidRPr="00257138">
            <w:t xml:space="preserve"> title</w:t>
          </w:r>
          <w:r>
            <w:t>:</w:t>
          </w:r>
          <w:r w:rsidR="00EE1482">
            <w:t xml:space="preserve"> </w:t>
          </w:r>
          <w:r w:rsidR="003F4684">
            <w:t>COVID -19 Rapid Antigen Point of Care Testing -Guidance and checklist for businesses</w:t>
          </w:r>
          <w:r w:rsidR="00EE1482">
            <w:br/>
          </w:r>
          <w:r w:rsidR="009970B1">
            <w:t>V2.0 January 2022</w:t>
          </w:r>
        </w:p>
      </w:tc>
      <w:tc>
        <w:tcPr>
          <w:tcW w:w="1593" w:type="dxa"/>
        </w:tcPr>
        <w:sdt>
          <w:sdtPr>
            <w:id w:val="3702141"/>
            <w:docPartObj>
              <w:docPartGallery w:val="Page Numbers (Top of Page)"/>
              <w:docPartUnique/>
            </w:docPartObj>
          </w:sdtPr>
          <w:sdtEndPr/>
          <w:sdtContent>
            <w:p w14:paraId="4F9E0EFF" w14:textId="3334B880" w:rsidR="00F739D1" w:rsidRPr="00257138" w:rsidRDefault="00F739D1" w:rsidP="00EE1482">
              <w:pPr>
                <w:pStyle w:val="Footer"/>
                <w:spacing w:before="120" w:after="120"/>
                <w:jc w:val="right"/>
              </w:pPr>
              <w:r w:rsidRPr="00257138">
                <w:t xml:space="preserve">Page </w:t>
              </w:r>
              <w:r w:rsidR="00F87B87">
                <w:fldChar w:fldCharType="begin"/>
              </w:r>
              <w:r w:rsidR="00F87B87">
                <w:instrText xml:space="preserve"> PAGE </w:instrText>
              </w:r>
              <w:r w:rsidR="00F87B87">
                <w:fldChar w:fldCharType="separate"/>
              </w:r>
              <w:r w:rsidR="00F85B60">
                <w:rPr>
                  <w:noProof/>
                </w:rPr>
                <w:t>4</w:t>
              </w:r>
              <w:r w:rsidR="00F87B87">
                <w:rPr>
                  <w:noProof/>
                </w:rPr>
                <w:fldChar w:fldCharType="end"/>
              </w:r>
              <w:r w:rsidRPr="00257138">
                <w:t xml:space="preserve"> of </w:t>
              </w:r>
              <w:fldSimple w:instr=" NUMPAGES  ">
                <w:r w:rsidR="00F85B60">
                  <w:rPr>
                    <w:noProof/>
                  </w:rPr>
                  <w:t>12</w:t>
                </w:r>
              </w:fldSimple>
            </w:p>
          </w:sdtContent>
        </w:sdt>
      </w:tc>
    </w:tr>
  </w:tbl>
  <w:p w14:paraId="36FF220B" w14:textId="77777777" w:rsidR="00F739D1" w:rsidRPr="00826007" w:rsidRDefault="00F739D1" w:rsidP="0023017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530CA" w14:textId="77777777" w:rsidR="00F739D1" w:rsidRPr="00F8404D" w:rsidRDefault="00F739D1"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19AC3" w14:textId="77777777" w:rsidR="00014F76" w:rsidRDefault="00014F76" w:rsidP="00FE1941">
      <w:pPr>
        <w:spacing w:after="0"/>
      </w:pPr>
      <w:r>
        <w:separator/>
      </w:r>
    </w:p>
  </w:footnote>
  <w:footnote w:type="continuationSeparator" w:id="0">
    <w:p w14:paraId="40BF652F" w14:textId="77777777" w:rsidR="00014F76" w:rsidRDefault="00014F76" w:rsidP="00C40A36">
      <w:pPr>
        <w:spacing w:after="0"/>
      </w:pPr>
      <w:r>
        <w:continuationSeparator/>
      </w:r>
    </w:p>
    <w:p w14:paraId="0999A401" w14:textId="77777777" w:rsidR="00014F76" w:rsidRDefault="00014F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72395" w14:textId="77777777" w:rsidR="00F739D1" w:rsidRPr="00920FF4" w:rsidRDefault="00F739D1"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2B5AC" w14:textId="554F3F71" w:rsidR="00FF7B50" w:rsidRPr="00E32326" w:rsidRDefault="00F3255D" w:rsidP="00F202AB">
    <w:r w:rsidRPr="00F3255D">
      <w:rPr>
        <w:noProof/>
        <w:lang w:eastAsia="en-AU"/>
      </w:rPr>
      <w:drawing>
        <wp:anchor distT="0" distB="0" distL="114300" distR="114300" simplePos="0" relativeHeight="251657728" behindDoc="0" locked="0" layoutInCell="1" allowOverlap="1" wp14:anchorId="5E860794" wp14:editId="56DD9646">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F7B50" w:rsidRPr="00FF7B50" w14:paraId="5D1E2E11" w14:textId="77777777" w:rsidTr="002C6B85">
      <w:trPr>
        <w:trHeight w:hRule="exact" w:val="8845"/>
      </w:trPr>
      <w:tc>
        <w:tcPr>
          <w:tcW w:w="11964" w:type="dxa"/>
        </w:tcPr>
        <w:p w14:paraId="78407D91" w14:textId="77777777" w:rsidR="00FF7B50" w:rsidRPr="00FF7B50" w:rsidRDefault="0064330B" w:rsidP="00AE0320">
          <w:pPr>
            <w:pStyle w:val="Header"/>
            <w:ind w:left="-57"/>
            <w:jc w:val="left"/>
            <w:rPr>
              <w:noProof/>
              <w:lang w:eastAsia="en-AU"/>
            </w:rPr>
          </w:pPr>
          <w:sdt>
            <w:sdtPr>
              <w:rPr>
                <w:noProof/>
                <w:lang w:eastAsia="en-AU"/>
              </w:rPr>
              <w:id w:val="3702145"/>
              <w:showingPlcHdr/>
              <w:picture/>
            </w:sdtPr>
            <w:sdtEndPr/>
            <w:sdtContent>
              <w:r w:rsidR="00FF7B50" w:rsidRPr="00FF7B50">
                <w:rPr>
                  <w:noProof/>
                  <w:lang w:eastAsia="en-AU"/>
                </w:rPr>
                <w:drawing>
                  <wp:inline distT="0" distB="0" distL="0" distR="0" wp14:anchorId="0DDAEFA6" wp14:editId="23285C38">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69DA2EE5" w14:textId="77777777" w:rsidR="00F739D1" w:rsidRPr="00E32326" w:rsidRDefault="00FF7B50" w:rsidP="00F202AB">
    <w:r>
      <w:rPr>
        <w:noProof/>
        <w:lang w:eastAsia="en-AU"/>
      </w:rPr>
      <w:drawing>
        <wp:anchor distT="0" distB="0" distL="114300" distR="114300" simplePos="0" relativeHeight="251656704" behindDoc="0" locked="0" layoutInCell="0" allowOverlap="1" wp14:anchorId="5E668A90" wp14:editId="1EDE9553">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1AAD3" w14:textId="461A2678" w:rsidR="00F739D1" w:rsidRPr="00920FF4" w:rsidRDefault="00F739D1"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BB54F" w14:textId="6D60E8B8" w:rsidR="001D480A" w:rsidRPr="00920FF4" w:rsidRDefault="001D480A"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824EA" w14:textId="77777777" w:rsidR="00F739D1" w:rsidRPr="0023017D" w:rsidRDefault="00F739D1" w:rsidP="00230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5814BE"/>
    <w:multiLevelType w:val="hybridMultilevel"/>
    <w:tmpl w:val="CE926D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616703"/>
    <w:multiLevelType w:val="hybridMultilevel"/>
    <w:tmpl w:val="3B882C72"/>
    <w:lvl w:ilvl="0" w:tplc="0C09000F">
      <w:start w:val="6"/>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B37EB2"/>
    <w:multiLevelType w:val="hybridMultilevel"/>
    <w:tmpl w:val="7E867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3D3BC9"/>
    <w:multiLevelType w:val="hybridMultilevel"/>
    <w:tmpl w:val="8940E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053F11"/>
    <w:multiLevelType w:val="multilevel"/>
    <w:tmpl w:val="575CEDBE"/>
    <w:styleLink w:val="NumberBullet"/>
    <w:lvl w:ilvl="0">
      <w:start w:val="1"/>
      <w:numFmt w:val="decimal"/>
      <w:pStyle w:val="Numberbullet0"/>
      <w:lvlText w:val="%1."/>
      <w:lvlJc w:val="left"/>
      <w:pPr>
        <w:ind w:left="567"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2042F1"/>
    <w:multiLevelType w:val="hybridMultilevel"/>
    <w:tmpl w:val="D4787A00"/>
    <w:lvl w:ilvl="0" w:tplc="E578D3FC">
      <w:start w:val="1"/>
      <w:numFmt w:val="bullet"/>
      <w:lvlText w:val=""/>
      <w:lvlJc w:val="left"/>
      <w:pPr>
        <w:tabs>
          <w:tab w:val="num" w:pos="363"/>
        </w:tabs>
        <w:ind w:left="363" w:hanging="363"/>
      </w:pPr>
      <w:rPr>
        <w:rFonts w:ascii="Symbol" w:hAnsi="Symbol" w:hint="default"/>
      </w:rPr>
    </w:lvl>
    <w:lvl w:ilvl="1" w:tplc="0C090001">
      <w:start w:val="1"/>
      <w:numFmt w:val="bullet"/>
      <w:lvlText w:val=""/>
      <w:lvlJc w:val="left"/>
      <w:pPr>
        <w:tabs>
          <w:tab w:val="num" w:pos="726"/>
        </w:tabs>
        <w:ind w:left="726" w:hanging="360"/>
      </w:pPr>
      <w:rPr>
        <w:rFonts w:ascii="Symbol" w:hAnsi="Symbol" w:hint="default"/>
      </w:rPr>
    </w:lvl>
    <w:lvl w:ilvl="2" w:tplc="08090005">
      <w:start w:val="1"/>
      <w:numFmt w:val="bullet"/>
      <w:lvlText w:val=""/>
      <w:lvlJc w:val="left"/>
      <w:pPr>
        <w:tabs>
          <w:tab w:val="num" w:pos="1446"/>
        </w:tabs>
        <w:ind w:left="1446" w:hanging="360"/>
      </w:pPr>
      <w:rPr>
        <w:rFonts w:ascii="Wingdings" w:hAnsi="Wingdings" w:hint="default"/>
      </w:rPr>
    </w:lvl>
    <w:lvl w:ilvl="3" w:tplc="08090001" w:tentative="1">
      <w:start w:val="1"/>
      <w:numFmt w:val="bullet"/>
      <w:lvlText w:val=""/>
      <w:lvlJc w:val="left"/>
      <w:pPr>
        <w:tabs>
          <w:tab w:val="num" w:pos="2166"/>
        </w:tabs>
        <w:ind w:left="2166" w:hanging="360"/>
      </w:pPr>
      <w:rPr>
        <w:rFonts w:ascii="Symbol" w:hAnsi="Symbol" w:hint="default"/>
      </w:rPr>
    </w:lvl>
    <w:lvl w:ilvl="4" w:tplc="08090003" w:tentative="1">
      <w:start w:val="1"/>
      <w:numFmt w:val="bullet"/>
      <w:lvlText w:val="o"/>
      <w:lvlJc w:val="left"/>
      <w:pPr>
        <w:tabs>
          <w:tab w:val="num" w:pos="2886"/>
        </w:tabs>
        <w:ind w:left="2886" w:hanging="360"/>
      </w:pPr>
      <w:rPr>
        <w:rFonts w:ascii="Courier New" w:hAnsi="Courier New" w:cs="Courier New" w:hint="default"/>
      </w:rPr>
    </w:lvl>
    <w:lvl w:ilvl="5" w:tplc="08090005" w:tentative="1">
      <w:start w:val="1"/>
      <w:numFmt w:val="bullet"/>
      <w:lvlText w:val=""/>
      <w:lvlJc w:val="left"/>
      <w:pPr>
        <w:tabs>
          <w:tab w:val="num" w:pos="3606"/>
        </w:tabs>
        <w:ind w:left="3606" w:hanging="360"/>
      </w:pPr>
      <w:rPr>
        <w:rFonts w:ascii="Wingdings" w:hAnsi="Wingdings" w:hint="default"/>
      </w:rPr>
    </w:lvl>
    <w:lvl w:ilvl="6" w:tplc="08090001" w:tentative="1">
      <w:start w:val="1"/>
      <w:numFmt w:val="bullet"/>
      <w:lvlText w:val=""/>
      <w:lvlJc w:val="left"/>
      <w:pPr>
        <w:tabs>
          <w:tab w:val="num" w:pos="4326"/>
        </w:tabs>
        <w:ind w:left="4326" w:hanging="360"/>
      </w:pPr>
      <w:rPr>
        <w:rFonts w:ascii="Symbol" w:hAnsi="Symbol" w:hint="default"/>
      </w:rPr>
    </w:lvl>
    <w:lvl w:ilvl="7" w:tplc="08090003" w:tentative="1">
      <w:start w:val="1"/>
      <w:numFmt w:val="bullet"/>
      <w:lvlText w:val="o"/>
      <w:lvlJc w:val="left"/>
      <w:pPr>
        <w:tabs>
          <w:tab w:val="num" w:pos="5046"/>
        </w:tabs>
        <w:ind w:left="5046" w:hanging="360"/>
      </w:pPr>
      <w:rPr>
        <w:rFonts w:ascii="Courier New" w:hAnsi="Courier New" w:cs="Courier New" w:hint="default"/>
      </w:rPr>
    </w:lvl>
    <w:lvl w:ilvl="8" w:tplc="08090005" w:tentative="1">
      <w:start w:val="1"/>
      <w:numFmt w:val="bullet"/>
      <w:lvlText w:val=""/>
      <w:lvlJc w:val="left"/>
      <w:pPr>
        <w:tabs>
          <w:tab w:val="num" w:pos="5766"/>
        </w:tabs>
        <w:ind w:left="5766" w:hanging="360"/>
      </w:pPr>
      <w:rPr>
        <w:rFonts w:ascii="Wingdings" w:hAnsi="Wingdings" w:hint="default"/>
      </w:rPr>
    </w:lvl>
  </w:abstractNum>
  <w:abstractNum w:abstractNumId="11" w15:restartNumberingAfterBreak="0">
    <w:nsid w:val="2CE86DD4"/>
    <w:multiLevelType w:val="hybridMultilevel"/>
    <w:tmpl w:val="85F0D1B4"/>
    <w:lvl w:ilvl="0" w:tplc="95F8E528">
      <w:start w:val="1"/>
      <w:numFmt w:val="decimal"/>
      <w:lvlText w:val="%1."/>
      <w:lvlJc w:val="left"/>
      <w:pPr>
        <w:ind w:left="360" w:hanging="360"/>
      </w:pPr>
      <w:rPr>
        <w:rFonts w:ascii="Times New Roman" w:eastAsia="MS Mincho" w:hAnsi="Times New Roman" w:cs="Times New Roman"/>
        <w:b w:val="0"/>
        <w:bCs/>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0112FA6"/>
    <w:multiLevelType w:val="hybridMultilevel"/>
    <w:tmpl w:val="67665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32C417B"/>
    <w:multiLevelType w:val="multilevel"/>
    <w:tmpl w:val="7C90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33773F"/>
    <w:multiLevelType w:val="hybridMultilevel"/>
    <w:tmpl w:val="0CD48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8"/>
  </w:num>
  <w:num w:numId="5">
    <w:abstractNumId w:val="0"/>
  </w:num>
  <w:num w:numId="6">
    <w:abstractNumId w:val="8"/>
  </w:num>
  <w:num w:numId="7">
    <w:abstractNumId w:val="8"/>
  </w:num>
  <w:num w:numId="8">
    <w:abstractNumId w:val="7"/>
  </w:num>
  <w:num w:numId="9">
    <w:abstractNumId w:val="7"/>
  </w:num>
  <w:num w:numId="10">
    <w:abstractNumId w:val="7"/>
  </w:num>
  <w:num w:numId="11">
    <w:abstractNumId w:val="7"/>
  </w:num>
  <w:num w:numId="12">
    <w:abstractNumId w:val="8"/>
  </w:num>
  <w:num w:numId="13">
    <w:abstractNumId w:val="8"/>
  </w:num>
  <w:num w:numId="14">
    <w:abstractNumId w:val="8"/>
  </w:num>
  <w:num w:numId="15">
    <w:abstractNumId w:val="7"/>
  </w:num>
  <w:num w:numId="16">
    <w:abstractNumId w:val="7"/>
  </w:num>
  <w:num w:numId="17">
    <w:abstractNumId w:val="7"/>
  </w:num>
  <w:num w:numId="18">
    <w:abstractNumId w:val="8"/>
  </w:num>
  <w:num w:numId="19">
    <w:abstractNumId w:val="8"/>
  </w:num>
  <w:num w:numId="20">
    <w:abstractNumId w:val="8"/>
  </w:num>
  <w:num w:numId="21">
    <w:abstractNumId w:val="7"/>
  </w:num>
  <w:num w:numId="22">
    <w:abstractNumId w:val="7"/>
  </w:num>
  <w:num w:numId="23">
    <w:abstractNumId w:val="7"/>
  </w:num>
  <w:num w:numId="24">
    <w:abstractNumId w:val="9"/>
  </w:num>
  <w:num w:numId="25">
    <w:abstractNumId w:val="8"/>
  </w:num>
  <w:num w:numId="26">
    <w:abstractNumId w:val="8"/>
  </w:num>
  <w:num w:numId="27">
    <w:abstractNumId w:val="8"/>
  </w:num>
  <w:num w:numId="28">
    <w:abstractNumId w:val="7"/>
  </w:num>
  <w:num w:numId="29">
    <w:abstractNumId w:val="7"/>
  </w:num>
  <w:num w:numId="30">
    <w:abstractNumId w:val="7"/>
  </w:num>
  <w:num w:numId="31">
    <w:abstractNumId w:val="13"/>
  </w:num>
  <w:num w:numId="32">
    <w:abstractNumId w:val="14"/>
  </w:num>
  <w:num w:numId="33">
    <w:abstractNumId w:val="11"/>
  </w:num>
  <w:num w:numId="34">
    <w:abstractNumId w:val="10"/>
  </w:num>
  <w:num w:numId="35">
    <w:abstractNumId w:val="4"/>
  </w:num>
  <w:num w:numId="36">
    <w:abstractNumId w:val="6"/>
  </w:num>
  <w:num w:numId="37">
    <w:abstractNumId w:val="12"/>
  </w:num>
  <w:num w:numId="38">
    <w:abstractNumId w:val="16"/>
  </w:num>
  <w:num w:numId="39">
    <w:abstractNumId w:val="5"/>
  </w:num>
  <w:num w:numId="40">
    <w:abstractNumId w:val="3"/>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76F"/>
    <w:rsid w:val="00002031"/>
    <w:rsid w:val="00004734"/>
    <w:rsid w:val="00006B22"/>
    <w:rsid w:val="0001276A"/>
    <w:rsid w:val="00014F76"/>
    <w:rsid w:val="000246AE"/>
    <w:rsid w:val="00025C67"/>
    <w:rsid w:val="0003306D"/>
    <w:rsid w:val="0004727D"/>
    <w:rsid w:val="00055129"/>
    <w:rsid w:val="000554B4"/>
    <w:rsid w:val="0005559E"/>
    <w:rsid w:val="00061E51"/>
    <w:rsid w:val="00063028"/>
    <w:rsid w:val="00077775"/>
    <w:rsid w:val="000865FB"/>
    <w:rsid w:val="00090471"/>
    <w:rsid w:val="000958DF"/>
    <w:rsid w:val="000A0965"/>
    <w:rsid w:val="000B0A5D"/>
    <w:rsid w:val="000B3532"/>
    <w:rsid w:val="000B3A75"/>
    <w:rsid w:val="000B5232"/>
    <w:rsid w:val="000B7084"/>
    <w:rsid w:val="000C1C08"/>
    <w:rsid w:val="000C5A31"/>
    <w:rsid w:val="000D391B"/>
    <w:rsid w:val="000D3D6D"/>
    <w:rsid w:val="000D4FC7"/>
    <w:rsid w:val="000F4869"/>
    <w:rsid w:val="000F5B42"/>
    <w:rsid w:val="000F6E6F"/>
    <w:rsid w:val="001003F2"/>
    <w:rsid w:val="00101C28"/>
    <w:rsid w:val="0010368E"/>
    <w:rsid w:val="0010601F"/>
    <w:rsid w:val="00107378"/>
    <w:rsid w:val="00110EA5"/>
    <w:rsid w:val="001119DF"/>
    <w:rsid w:val="00112E94"/>
    <w:rsid w:val="00115240"/>
    <w:rsid w:val="00117BF2"/>
    <w:rsid w:val="00125091"/>
    <w:rsid w:val="00125318"/>
    <w:rsid w:val="001305A2"/>
    <w:rsid w:val="00132294"/>
    <w:rsid w:val="00132832"/>
    <w:rsid w:val="00133238"/>
    <w:rsid w:val="00140FE3"/>
    <w:rsid w:val="0014197B"/>
    <w:rsid w:val="001447CD"/>
    <w:rsid w:val="00150791"/>
    <w:rsid w:val="001516B1"/>
    <w:rsid w:val="001525B4"/>
    <w:rsid w:val="00156316"/>
    <w:rsid w:val="00160006"/>
    <w:rsid w:val="00165389"/>
    <w:rsid w:val="00170CED"/>
    <w:rsid w:val="0017693F"/>
    <w:rsid w:val="0018110E"/>
    <w:rsid w:val="00181684"/>
    <w:rsid w:val="001843C6"/>
    <w:rsid w:val="001850E0"/>
    <w:rsid w:val="0018693C"/>
    <w:rsid w:val="0019255A"/>
    <w:rsid w:val="001A525F"/>
    <w:rsid w:val="001A69AB"/>
    <w:rsid w:val="001B09F9"/>
    <w:rsid w:val="001B6448"/>
    <w:rsid w:val="001C6AE0"/>
    <w:rsid w:val="001D11DF"/>
    <w:rsid w:val="001D480A"/>
    <w:rsid w:val="001D4C29"/>
    <w:rsid w:val="001E07CF"/>
    <w:rsid w:val="001E3D18"/>
    <w:rsid w:val="001E59F1"/>
    <w:rsid w:val="001F49EB"/>
    <w:rsid w:val="001F6CBA"/>
    <w:rsid w:val="001F78B9"/>
    <w:rsid w:val="00201D4E"/>
    <w:rsid w:val="00204F19"/>
    <w:rsid w:val="00207515"/>
    <w:rsid w:val="00211C7B"/>
    <w:rsid w:val="00220B8A"/>
    <w:rsid w:val="002232C2"/>
    <w:rsid w:val="002257F3"/>
    <w:rsid w:val="0023017D"/>
    <w:rsid w:val="002302EC"/>
    <w:rsid w:val="002303B0"/>
    <w:rsid w:val="002314E8"/>
    <w:rsid w:val="00233456"/>
    <w:rsid w:val="0023397F"/>
    <w:rsid w:val="002339A5"/>
    <w:rsid w:val="002452E7"/>
    <w:rsid w:val="00245F98"/>
    <w:rsid w:val="00246194"/>
    <w:rsid w:val="002538AE"/>
    <w:rsid w:val="002541E7"/>
    <w:rsid w:val="00257138"/>
    <w:rsid w:val="00257848"/>
    <w:rsid w:val="0027084A"/>
    <w:rsid w:val="00271109"/>
    <w:rsid w:val="00277EF5"/>
    <w:rsid w:val="00286434"/>
    <w:rsid w:val="00286C59"/>
    <w:rsid w:val="002942D1"/>
    <w:rsid w:val="002A0556"/>
    <w:rsid w:val="002A0F74"/>
    <w:rsid w:val="002B0C2E"/>
    <w:rsid w:val="002B1638"/>
    <w:rsid w:val="002B706C"/>
    <w:rsid w:val="002C1D7D"/>
    <w:rsid w:val="002C2511"/>
    <w:rsid w:val="002C4176"/>
    <w:rsid w:val="002D1EDF"/>
    <w:rsid w:val="002D6A4D"/>
    <w:rsid w:val="002E083A"/>
    <w:rsid w:val="002E4C9A"/>
    <w:rsid w:val="002F11F8"/>
    <w:rsid w:val="002F3F56"/>
    <w:rsid w:val="002F44B5"/>
    <w:rsid w:val="00311AC0"/>
    <w:rsid w:val="003204DD"/>
    <w:rsid w:val="00331DBB"/>
    <w:rsid w:val="00332680"/>
    <w:rsid w:val="003521E8"/>
    <w:rsid w:val="00364F56"/>
    <w:rsid w:val="00365DDD"/>
    <w:rsid w:val="003664BF"/>
    <w:rsid w:val="0037199C"/>
    <w:rsid w:val="003728F3"/>
    <w:rsid w:val="00373EC1"/>
    <w:rsid w:val="00386B6D"/>
    <w:rsid w:val="00390900"/>
    <w:rsid w:val="003A13F0"/>
    <w:rsid w:val="003A35BD"/>
    <w:rsid w:val="003B00C5"/>
    <w:rsid w:val="003B443E"/>
    <w:rsid w:val="003B7E39"/>
    <w:rsid w:val="003C30DC"/>
    <w:rsid w:val="003C58DC"/>
    <w:rsid w:val="003C7461"/>
    <w:rsid w:val="003D0CD9"/>
    <w:rsid w:val="003D191A"/>
    <w:rsid w:val="003E3208"/>
    <w:rsid w:val="003E3D34"/>
    <w:rsid w:val="003E7EAA"/>
    <w:rsid w:val="003F0B04"/>
    <w:rsid w:val="003F4684"/>
    <w:rsid w:val="003F6F7D"/>
    <w:rsid w:val="0040134E"/>
    <w:rsid w:val="00410839"/>
    <w:rsid w:val="0041452B"/>
    <w:rsid w:val="004169A8"/>
    <w:rsid w:val="004256F1"/>
    <w:rsid w:val="00426320"/>
    <w:rsid w:val="00426B69"/>
    <w:rsid w:val="00434E29"/>
    <w:rsid w:val="004352DC"/>
    <w:rsid w:val="00440A2D"/>
    <w:rsid w:val="004414E4"/>
    <w:rsid w:val="00446C97"/>
    <w:rsid w:val="00452523"/>
    <w:rsid w:val="00455A6F"/>
    <w:rsid w:val="004564A7"/>
    <w:rsid w:val="004617BF"/>
    <w:rsid w:val="004634F1"/>
    <w:rsid w:val="00465E90"/>
    <w:rsid w:val="004706C3"/>
    <w:rsid w:val="0047772E"/>
    <w:rsid w:val="00477BB1"/>
    <w:rsid w:val="004923FF"/>
    <w:rsid w:val="00494E60"/>
    <w:rsid w:val="00496BAC"/>
    <w:rsid w:val="004B4CB5"/>
    <w:rsid w:val="004B5A6B"/>
    <w:rsid w:val="004B7B76"/>
    <w:rsid w:val="004C0070"/>
    <w:rsid w:val="004C2E29"/>
    <w:rsid w:val="004C5CA8"/>
    <w:rsid w:val="004C6E03"/>
    <w:rsid w:val="004D3B35"/>
    <w:rsid w:val="004D51A6"/>
    <w:rsid w:val="004F0F38"/>
    <w:rsid w:val="004F1A46"/>
    <w:rsid w:val="004F29ED"/>
    <w:rsid w:val="004F4463"/>
    <w:rsid w:val="004F4D12"/>
    <w:rsid w:val="00501921"/>
    <w:rsid w:val="00511904"/>
    <w:rsid w:val="00522A0C"/>
    <w:rsid w:val="005234E9"/>
    <w:rsid w:val="00525ADB"/>
    <w:rsid w:val="0053018A"/>
    <w:rsid w:val="00530354"/>
    <w:rsid w:val="00531B11"/>
    <w:rsid w:val="005434C6"/>
    <w:rsid w:val="00543B39"/>
    <w:rsid w:val="0054583D"/>
    <w:rsid w:val="005477E7"/>
    <w:rsid w:val="00550096"/>
    <w:rsid w:val="0055421A"/>
    <w:rsid w:val="0055532D"/>
    <w:rsid w:val="00557FF9"/>
    <w:rsid w:val="00566176"/>
    <w:rsid w:val="00572457"/>
    <w:rsid w:val="005733E9"/>
    <w:rsid w:val="00574386"/>
    <w:rsid w:val="00576378"/>
    <w:rsid w:val="00577279"/>
    <w:rsid w:val="00577E38"/>
    <w:rsid w:val="00585322"/>
    <w:rsid w:val="0059063B"/>
    <w:rsid w:val="00590AC3"/>
    <w:rsid w:val="00593AD1"/>
    <w:rsid w:val="00594D03"/>
    <w:rsid w:val="00597877"/>
    <w:rsid w:val="005A1131"/>
    <w:rsid w:val="005A61CE"/>
    <w:rsid w:val="005B3127"/>
    <w:rsid w:val="005C5570"/>
    <w:rsid w:val="005C79A4"/>
    <w:rsid w:val="005D49FB"/>
    <w:rsid w:val="005D4EA1"/>
    <w:rsid w:val="005D5442"/>
    <w:rsid w:val="005E6592"/>
    <w:rsid w:val="00601BD6"/>
    <w:rsid w:val="00611B57"/>
    <w:rsid w:val="00614F2D"/>
    <w:rsid w:val="00617EAC"/>
    <w:rsid w:val="006239CD"/>
    <w:rsid w:val="0062409C"/>
    <w:rsid w:val="00640190"/>
    <w:rsid w:val="006405A9"/>
    <w:rsid w:val="00640FC3"/>
    <w:rsid w:val="00642020"/>
    <w:rsid w:val="006431B5"/>
    <w:rsid w:val="0064330B"/>
    <w:rsid w:val="00650C29"/>
    <w:rsid w:val="00651C87"/>
    <w:rsid w:val="0065337B"/>
    <w:rsid w:val="00653FBF"/>
    <w:rsid w:val="0065419D"/>
    <w:rsid w:val="006604D8"/>
    <w:rsid w:val="00664A5B"/>
    <w:rsid w:val="00665F8C"/>
    <w:rsid w:val="00667942"/>
    <w:rsid w:val="00667B4F"/>
    <w:rsid w:val="0067776F"/>
    <w:rsid w:val="00680C08"/>
    <w:rsid w:val="0068741A"/>
    <w:rsid w:val="00691723"/>
    <w:rsid w:val="006931B1"/>
    <w:rsid w:val="00693CDB"/>
    <w:rsid w:val="006A15C0"/>
    <w:rsid w:val="006B188D"/>
    <w:rsid w:val="006C1F3B"/>
    <w:rsid w:val="006C3E2A"/>
    <w:rsid w:val="006C626D"/>
    <w:rsid w:val="006C642F"/>
    <w:rsid w:val="006C6EDB"/>
    <w:rsid w:val="006D039E"/>
    <w:rsid w:val="006D03E5"/>
    <w:rsid w:val="006D0C3B"/>
    <w:rsid w:val="006D2E90"/>
    <w:rsid w:val="006D5D3E"/>
    <w:rsid w:val="006E0207"/>
    <w:rsid w:val="006E08B3"/>
    <w:rsid w:val="006E1385"/>
    <w:rsid w:val="006E5AB4"/>
    <w:rsid w:val="006F572E"/>
    <w:rsid w:val="00702717"/>
    <w:rsid w:val="007046D6"/>
    <w:rsid w:val="00705DB0"/>
    <w:rsid w:val="00706AFE"/>
    <w:rsid w:val="00724FE4"/>
    <w:rsid w:val="00725A8B"/>
    <w:rsid w:val="00736D7D"/>
    <w:rsid w:val="0074066C"/>
    <w:rsid w:val="00742004"/>
    <w:rsid w:val="0074253D"/>
    <w:rsid w:val="0074429B"/>
    <w:rsid w:val="007477F8"/>
    <w:rsid w:val="00750F14"/>
    <w:rsid w:val="007615BC"/>
    <w:rsid w:val="00762F05"/>
    <w:rsid w:val="00763336"/>
    <w:rsid w:val="00764EB9"/>
    <w:rsid w:val="007652FF"/>
    <w:rsid w:val="00766F39"/>
    <w:rsid w:val="00771329"/>
    <w:rsid w:val="00773EF7"/>
    <w:rsid w:val="00774E1D"/>
    <w:rsid w:val="00775661"/>
    <w:rsid w:val="0077675A"/>
    <w:rsid w:val="00780355"/>
    <w:rsid w:val="00785721"/>
    <w:rsid w:val="00793A59"/>
    <w:rsid w:val="007943B6"/>
    <w:rsid w:val="007A0AF2"/>
    <w:rsid w:val="007A2162"/>
    <w:rsid w:val="007B302B"/>
    <w:rsid w:val="007B43ED"/>
    <w:rsid w:val="007B4BF9"/>
    <w:rsid w:val="007C0F3D"/>
    <w:rsid w:val="007C1AF7"/>
    <w:rsid w:val="007C67AB"/>
    <w:rsid w:val="007C7A6D"/>
    <w:rsid w:val="007C7B5B"/>
    <w:rsid w:val="007E7BF8"/>
    <w:rsid w:val="007F2FF0"/>
    <w:rsid w:val="007F6CD2"/>
    <w:rsid w:val="00810598"/>
    <w:rsid w:val="00811166"/>
    <w:rsid w:val="00814492"/>
    <w:rsid w:val="00821170"/>
    <w:rsid w:val="00821776"/>
    <w:rsid w:val="00823182"/>
    <w:rsid w:val="00826007"/>
    <w:rsid w:val="008321F5"/>
    <w:rsid w:val="00832369"/>
    <w:rsid w:val="00834660"/>
    <w:rsid w:val="00834C8E"/>
    <w:rsid w:val="00836BC2"/>
    <w:rsid w:val="0084156C"/>
    <w:rsid w:val="0084580B"/>
    <w:rsid w:val="00845BCA"/>
    <w:rsid w:val="00853C8F"/>
    <w:rsid w:val="0085641B"/>
    <w:rsid w:val="00857136"/>
    <w:rsid w:val="00870B12"/>
    <w:rsid w:val="008752CE"/>
    <w:rsid w:val="008821AA"/>
    <w:rsid w:val="008855B8"/>
    <w:rsid w:val="008932F3"/>
    <w:rsid w:val="00896018"/>
    <w:rsid w:val="008A07FF"/>
    <w:rsid w:val="008A16F6"/>
    <w:rsid w:val="008A2B9D"/>
    <w:rsid w:val="008A2CE7"/>
    <w:rsid w:val="008A5E0B"/>
    <w:rsid w:val="008A5E18"/>
    <w:rsid w:val="008A6D59"/>
    <w:rsid w:val="008B2D31"/>
    <w:rsid w:val="008B4B03"/>
    <w:rsid w:val="008B596F"/>
    <w:rsid w:val="008C159F"/>
    <w:rsid w:val="008C1623"/>
    <w:rsid w:val="008C51A9"/>
    <w:rsid w:val="008C56D9"/>
    <w:rsid w:val="008D2B09"/>
    <w:rsid w:val="008D4740"/>
    <w:rsid w:val="008E051D"/>
    <w:rsid w:val="008E7B83"/>
    <w:rsid w:val="008F1CCC"/>
    <w:rsid w:val="008F2967"/>
    <w:rsid w:val="008F407A"/>
    <w:rsid w:val="008F4BBA"/>
    <w:rsid w:val="0090354E"/>
    <w:rsid w:val="00907ACE"/>
    <w:rsid w:val="00920330"/>
    <w:rsid w:val="00920FF4"/>
    <w:rsid w:val="009219D7"/>
    <w:rsid w:val="00922D53"/>
    <w:rsid w:val="00923B70"/>
    <w:rsid w:val="00925DC5"/>
    <w:rsid w:val="0092600B"/>
    <w:rsid w:val="00930237"/>
    <w:rsid w:val="009330D4"/>
    <w:rsid w:val="00934397"/>
    <w:rsid w:val="009401F6"/>
    <w:rsid w:val="00940F44"/>
    <w:rsid w:val="00941988"/>
    <w:rsid w:val="00952562"/>
    <w:rsid w:val="00963C08"/>
    <w:rsid w:val="00964B6B"/>
    <w:rsid w:val="009661F6"/>
    <w:rsid w:val="00995B10"/>
    <w:rsid w:val="009970B1"/>
    <w:rsid w:val="00997420"/>
    <w:rsid w:val="009A09AA"/>
    <w:rsid w:val="009A474D"/>
    <w:rsid w:val="009A4CED"/>
    <w:rsid w:val="009B15F1"/>
    <w:rsid w:val="009B1D12"/>
    <w:rsid w:val="009B416B"/>
    <w:rsid w:val="009C11DF"/>
    <w:rsid w:val="009C4BD5"/>
    <w:rsid w:val="009D2E04"/>
    <w:rsid w:val="009D7B77"/>
    <w:rsid w:val="009E0BB0"/>
    <w:rsid w:val="009E39B6"/>
    <w:rsid w:val="009E3FBB"/>
    <w:rsid w:val="009E71F4"/>
    <w:rsid w:val="009F018D"/>
    <w:rsid w:val="009F7D61"/>
    <w:rsid w:val="00A052B5"/>
    <w:rsid w:val="00A1235B"/>
    <w:rsid w:val="00A14DF7"/>
    <w:rsid w:val="00A23F3C"/>
    <w:rsid w:val="00A3246D"/>
    <w:rsid w:val="00A3654F"/>
    <w:rsid w:val="00A36FA7"/>
    <w:rsid w:val="00A45735"/>
    <w:rsid w:val="00A475B7"/>
    <w:rsid w:val="00A47AF7"/>
    <w:rsid w:val="00A47C3E"/>
    <w:rsid w:val="00A50226"/>
    <w:rsid w:val="00A539AC"/>
    <w:rsid w:val="00A56488"/>
    <w:rsid w:val="00A60BAD"/>
    <w:rsid w:val="00A64387"/>
    <w:rsid w:val="00A736F3"/>
    <w:rsid w:val="00A73A8D"/>
    <w:rsid w:val="00A73E43"/>
    <w:rsid w:val="00A84503"/>
    <w:rsid w:val="00A85B04"/>
    <w:rsid w:val="00A87334"/>
    <w:rsid w:val="00AB0CDA"/>
    <w:rsid w:val="00AB6F47"/>
    <w:rsid w:val="00AC2B40"/>
    <w:rsid w:val="00AC2BB2"/>
    <w:rsid w:val="00AC2C3C"/>
    <w:rsid w:val="00AC3BD9"/>
    <w:rsid w:val="00AC62E7"/>
    <w:rsid w:val="00AC75AC"/>
    <w:rsid w:val="00AC7EB0"/>
    <w:rsid w:val="00AE0320"/>
    <w:rsid w:val="00AE62EA"/>
    <w:rsid w:val="00AE65EB"/>
    <w:rsid w:val="00AF0BF9"/>
    <w:rsid w:val="00AF1D94"/>
    <w:rsid w:val="00AF60C5"/>
    <w:rsid w:val="00B009C6"/>
    <w:rsid w:val="00B01548"/>
    <w:rsid w:val="00B21D29"/>
    <w:rsid w:val="00B21FC5"/>
    <w:rsid w:val="00B21FEE"/>
    <w:rsid w:val="00B25034"/>
    <w:rsid w:val="00B27D47"/>
    <w:rsid w:val="00B33863"/>
    <w:rsid w:val="00B366A8"/>
    <w:rsid w:val="00B37D17"/>
    <w:rsid w:val="00B40C62"/>
    <w:rsid w:val="00B4175E"/>
    <w:rsid w:val="00B510E1"/>
    <w:rsid w:val="00B54C25"/>
    <w:rsid w:val="00B600DA"/>
    <w:rsid w:val="00B64F68"/>
    <w:rsid w:val="00B74AE5"/>
    <w:rsid w:val="00B76B91"/>
    <w:rsid w:val="00B803D1"/>
    <w:rsid w:val="00B92C72"/>
    <w:rsid w:val="00BA6FF1"/>
    <w:rsid w:val="00BB0909"/>
    <w:rsid w:val="00BB6529"/>
    <w:rsid w:val="00BC1CAB"/>
    <w:rsid w:val="00BC622A"/>
    <w:rsid w:val="00BD6F8A"/>
    <w:rsid w:val="00BE0A78"/>
    <w:rsid w:val="00BE79F0"/>
    <w:rsid w:val="00BF046D"/>
    <w:rsid w:val="00BF4487"/>
    <w:rsid w:val="00BF5D04"/>
    <w:rsid w:val="00C13563"/>
    <w:rsid w:val="00C339C6"/>
    <w:rsid w:val="00C404A6"/>
    <w:rsid w:val="00C40A36"/>
    <w:rsid w:val="00C44419"/>
    <w:rsid w:val="00C45E7B"/>
    <w:rsid w:val="00C471B1"/>
    <w:rsid w:val="00C52BEE"/>
    <w:rsid w:val="00C5787B"/>
    <w:rsid w:val="00C6316B"/>
    <w:rsid w:val="00C634A9"/>
    <w:rsid w:val="00C63B19"/>
    <w:rsid w:val="00C7347E"/>
    <w:rsid w:val="00C73D6C"/>
    <w:rsid w:val="00C772FF"/>
    <w:rsid w:val="00C77BC8"/>
    <w:rsid w:val="00C801AF"/>
    <w:rsid w:val="00C80256"/>
    <w:rsid w:val="00C87928"/>
    <w:rsid w:val="00CA6712"/>
    <w:rsid w:val="00CA77CC"/>
    <w:rsid w:val="00CB6BC0"/>
    <w:rsid w:val="00CC1B7C"/>
    <w:rsid w:val="00CC727F"/>
    <w:rsid w:val="00CD2699"/>
    <w:rsid w:val="00CD477F"/>
    <w:rsid w:val="00CD7871"/>
    <w:rsid w:val="00CE5BB0"/>
    <w:rsid w:val="00CF15C3"/>
    <w:rsid w:val="00CF2B6F"/>
    <w:rsid w:val="00CF3409"/>
    <w:rsid w:val="00D017ED"/>
    <w:rsid w:val="00D153B1"/>
    <w:rsid w:val="00D224FE"/>
    <w:rsid w:val="00D229BA"/>
    <w:rsid w:val="00D26B84"/>
    <w:rsid w:val="00D422C4"/>
    <w:rsid w:val="00D433BD"/>
    <w:rsid w:val="00D5616E"/>
    <w:rsid w:val="00D634FE"/>
    <w:rsid w:val="00D6493E"/>
    <w:rsid w:val="00D805E0"/>
    <w:rsid w:val="00D85383"/>
    <w:rsid w:val="00D85AC0"/>
    <w:rsid w:val="00D92039"/>
    <w:rsid w:val="00DA1124"/>
    <w:rsid w:val="00DA1DEF"/>
    <w:rsid w:val="00DA3043"/>
    <w:rsid w:val="00DA605F"/>
    <w:rsid w:val="00DB2D87"/>
    <w:rsid w:val="00DD4C9F"/>
    <w:rsid w:val="00DD75A3"/>
    <w:rsid w:val="00DD7A91"/>
    <w:rsid w:val="00DE02AE"/>
    <w:rsid w:val="00DE2561"/>
    <w:rsid w:val="00DE6A0C"/>
    <w:rsid w:val="00DE6C04"/>
    <w:rsid w:val="00DE75AC"/>
    <w:rsid w:val="00DE7797"/>
    <w:rsid w:val="00DE7FD6"/>
    <w:rsid w:val="00DF1D7F"/>
    <w:rsid w:val="00E02FB4"/>
    <w:rsid w:val="00E1340C"/>
    <w:rsid w:val="00E20571"/>
    <w:rsid w:val="00E21651"/>
    <w:rsid w:val="00E235F7"/>
    <w:rsid w:val="00E239D4"/>
    <w:rsid w:val="00E32326"/>
    <w:rsid w:val="00E40B22"/>
    <w:rsid w:val="00E4588F"/>
    <w:rsid w:val="00E46DA3"/>
    <w:rsid w:val="00E51164"/>
    <w:rsid w:val="00E8120B"/>
    <w:rsid w:val="00E82A71"/>
    <w:rsid w:val="00E97B7B"/>
    <w:rsid w:val="00EA144F"/>
    <w:rsid w:val="00EA16DE"/>
    <w:rsid w:val="00EA2CFD"/>
    <w:rsid w:val="00EA406B"/>
    <w:rsid w:val="00EA453A"/>
    <w:rsid w:val="00EB0798"/>
    <w:rsid w:val="00EB182C"/>
    <w:rsid w:val="00EB19F8"/>
    <w:rsid w:val="00EB40AD"/>
    <w:rsid w:val="00EB586E"/>
    <w:rsid w:val="00EB5FC8"/>
    <w:rsid w:val="00EB7A0E"/>
    <w:rsid w:val="00EC1271"/>
    <w:rsid w:val="00EC6D68"/>
    <w:rsid w:val="00ED0C8B"/>
    <w:rsid w:val="00ED21AF"/>
    <w:rsid w:val="00ED5A41"/>
    <w:rsid w:val="00EE1482"/>
    <w:rsid w:val="00EE255A"/>
    <w:rsid w:val="00EF0EAB"/>
    <w:rsid w:val="00EF47F3"/>
    <w:rsid w:val="00EF578B"/>
    <w:rsid w:val="00F033EC"/>
    <w:rsid w:val="00F04F68"/>
    <w:rsid w:val="00F0627D"/>
    <w:rsid w:val="00F11A17"/>
    <w:rsid w:val="00F12670"/>
    <w:rsid w:val="00F14B27"/>
    <w:rsid w:val="00F202AB"/>
    <w:rsid w:val="00F3148D"/>
    <w:rsid w:val="00F3255D"/>
    <w:rsid w:val="00F35298"/>
    <w:rsid w:val="00F3529E"/>
    <w:rsid w:val="00F36C32"/>
    <w:rsid w:val="00F40F73"/>
    <w:rsid w:val="00F4305F"/>
    <w:rsid w:val="00F44B0D"/>
    <w:rsid w:val="00F4663D"/>
    <w:rsid w:val="00F467A6"/>
    <w:rsid w:val="00F47E37"/>
    <w:rsid w:val="00F623FD"/>
    <w:rsid w:val="00F63C0D"/>
    <w:rsid w:val="00F640B6"/>
    <w:rsid w:val="00F67B16"/>
    <w:rsid w:val="00F73701"/>
    <w:rsid w:val="00F739D1"/>
    <w:rsid w:val="00F80E40"/>
    <w:rsid w:val="00F8365F"/>
    <w:rsid w:val="00F8404D"/>
    <w:rsid w:val="00F8440F"/>
    <w:rsid w:val="00F85B60"/>
    <w:rsid w:val="00F87B87"/>
    <w:rsid w:val="00F951A8"/>
    <w:rsid w:val="00F9636D"/>
    <w:rsid w:val="00FA4D6D"/>
    <w:rsid w:val="00FA5B82"/>
    <w:rsid w:val="00FA639E"/>
    <w:rsid w:val="00FB59CE"/>
    <w:rsid w:val="00FC03C8"/>
    <w:rsid w:val="00FC25E4"/>
    <w:rsid w:val="00FC260C"/>
    <w:rsid w:val="00FC4EF7"/>
    <w:rsid w:val="00FC6800"/>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C1BC12"/>
  <w15:docId w15:val="{064A776D-7F3B-414B-A7CE-9BDFCE6C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27"/>
      </w:numPr>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2B706C"/>
    <w:pPr>
      <w:numPr>
        <w:numId w:val="31"/>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ind w:left="425"/>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Normal"/>
    <w:uiPriority w:val="2"/>
    <w:qFormat/>
    <w:rsid w:val="004B4CB5"/>
    <w:pPr>
      <w:numPr>
        <w:numId w:val="32"/>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67776F"/>
    <w:pPr>
      <w:spacing w:before="0" w:after="200" w:line="276" w:lineRule="auto"/>
      <w:ind w:left="720"/>
      <w:contextualSpacing/>
    </w:pPr>
    <w:rPr>
      <w:rFonts w:asciiTheme="minorHAnsi" w:eastAsiaTheme="minorHAnsi" w:hAnsiTheme="minorHAnsi" w:cstheme="minorBidi"/>
      <w:szCs w:val="22"/>
    </w:rPr>
  </w:style>
  <w:style w:type="paragraph" w:customStyle="1" w:styleId="Chapterheadingarialbold18">
    <w:name w:val="Chapter heading arial bold 18"/>
    <w:basedOn w:val="Normal"/>
    <w:uiPriority w:val="99"/>
    <w:qFormat/>
    <w:rsid w:val="0067776F"/>
    <w:pPr>
      <w:spacing w:before="0" w:after="200" w:line="276" w:lineRule="auto"/>
    </w:pPr>
    <w:rPr>
      <w:rFonts w:ascii="Arial" w:eastAsiaTheme="minorHAnsi" w:hAnsi="Arial" w:cs="Arial"/>
      <w:b/>
      <w:sz w:val="36"/>
      <w:szCs w:val="36"/>
    </w:rPr>
  </w:style>
  <w:style w:type="character" w:customStyle="1" w:styleId="UnresolvedMention1">
    <w:name w:val="Unresolved Mention1"/>
    <w:basedOn w:val="DefaultParagraphFont"/>
    <w:uiPriority w:val="99"/>
    <w:semiHidden/>
    <w:unhideWhenUsed/>
    <w:rsid w:val="00964B6B"/>
    <w:rPr>
      <w:color w:val="605E5C"/>
      <w:shd w:val="clear" w:color="auto" w:fill="E1DFDD"/>
    </w:rPr>
  </w:style>
  <w:style w:type="paragraph" w:customStyle="1" w:styleId="definition">
    <w:name w:val="definition"/>
    <w:basedOn w:val="Normal"/>
    <w:rsid w:val="00821170"/>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basedOn w:val="Normal"/>
    <w:rsid w:val="00821170"/>
    <w:pPr>
      <w:spacing w:before="100" w:beforeAutospacing="1" w:after="100" w:afterAutospacing="1" w:line="240" w:lineRule="auto"/>
    </w:pPr>
    <w:rPr>
      <w:rFonts w:ascii="Times New Roman" w:eastAsia="Times New Roman" w:hAnsi="Times New Roman"/>
      <w:sz w:val="24"/>
      <w:szCs w:val="24"/>
      <w:lang w:eastAsia="en-AU"/>
    </w:rPr>
  </w:style>
  <w:style w:type="character" w:styleId="UnresolvedMention">
    <w:name w:val="Unresolved Mention"/>
    <w:basedOn w:val="DefaultParagraphFont"/>
    <w:uiPriority w:val="99"/>
    <w:semiHidden/>
    <w:unhideWhenUsed/>
    <w:rsid w:val="00A73E43"/>
    <w:rPr>
      <w:color w:val="605E5C"/>
      <w:shd w:val="clear" w:color="auto" w:fill="E1DFDD"/>
    </w:rPr>
  </w:style>
  <w:style w:type="paragraph" w:styleId="NormalWeb">
    <w:name w:val="Normal (Web)"/>
    <w:basedOn w:val="Normal"/>
    <w:uiPriority w:val="99"/>
    <w:semiHidden/>
    <w:unhideWhenUsed/>
    <w:rsid w:val="00150791"/>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3403">
      <w:bodyDiv w:val="1"/>
      <w:marLeft w:val="0"/>
      <w:marRight w:val="0"/>
      <w:marTop w:val="0"/>
      <w:marBottom w:val="0"/>
      <w:divBdr>
        <w:top w:val="none" w:sz="0" w:space="0" w:color="auto"/>
        <w:left w:val="none" w:sz="0" w:space="0" w:color="auto"/>
        <w:bottom w:val="none" w:sz="0" w:space="0" w:color="auto"/>
        <w:right w:val="none" w:sz="0" w:space="0" w:color="auto"/>
      </w:divBdr>
      <w:divsChild>
        <w:div w:id="728917763">
          <w:marLeft w:val="0"/>
          <w:marRight w:val="0"/>
          <w:marTop w:val="0"/>
          <w:marBottom w:val="0"/>
          <w:divBdr>
            <w:top w:val="none" w:sz="0" w:space="0" w:color="auto"/>
            <w:left w:val="none" w:sz="0" w:space="0" w:color="auto"/>
            <w:bottom w:val="none" w:sz="0" w:space="0" w:color="auto"/>
            <w:right w:val="none" w:sz="0" w:space="0" w:color="auto"/>
          </w:divBdr>
          <w:divsChild>
            <w:div w:id="1816602054">
              <w:marLeft w:val="0"/>
              <w:marRight w:val="0"/>
              <w:marTop w:val="0"/>
              <w:marBottom w:val="0"/>
              <w:divBdr>
                <w:top w:val="none" w:sz="0" w:space="0" w:color="auto"/>
                <w:left w:val="none" w:sz="0" w:space="0" w:color="auto"/>
                <w:bottom w:val="none" w:sz="0" w:space="0" w:color="auto"/>
                <w:right w:val="none" w:sz="0" w:space="0" w:color="auto"/>
              </w:divBdr>
              <w:divsChild>
                <w:div w:id="1880050022">
                  <w:marLeft w:val="0"/>
                  <w:marRight w:val="0"/>
                  <w:marTop w:val="0"/>
                  <w:marBottom w:val="0"/>
                  <w:divBdr>
                    <w:top w:val="none" w:sz="0" w:space="0" w:color="auto"/>
                    <w:left w:val="none" w:sz="0" w:space="0" w:color="auto"/>
                    <w:bottom w:val="none" w:sz="0" w:space="0" w:color="auto"/>
                    <w:right w:val="none" w:sz="0" w:space="0" w:color="auto"/>
                  </w:divBdr>
                  <w:divsChild>
                    <w:div w:id="2074547641">
                      <w:marLeft w:val="0"/>
                      <w:marRight w:val="0"/>
                      <w:marTop w:val="0"/>
                      <w:marBottom w:val="0"/>
                      <w:divBdr>
                        <w:top w:val="none" w:sz="0" w:space="0" w:color="auto"/>
                        <w:left w:val="none" w:sz="0" w:space="0" w:color="auto"/>
                        <w:bottom w:val="none" w:sz="0" w:space="0" w:color="auto"/>
                        <w:right w:val="none" w:sz="0" w:space="0" w:color="auto"/>
                      </w:divBdr>
                      <w:divsChild>
                        <w:div w:id="1701785897">
                          <w:marLeft w:val="0"/>
                          <w:marRight w:val="0"/>
                          <w:marTop w:val="0"/>
                          <w:marBottom w:val="0"/>
                          <w:divBdr>
                            <w:top w:val="none" w:sz="0" w:space="0" w:color="auto"/>
                            <w:left w:val="none" w:sz="0" w:space="0" w:color="auto"/>
                            <w:bottom w:val="none" w:sz="0" w:space="0" w:color="auto"/>
                            <w:right w:val="none" w:sz="0" w:space="0" w:color="auto"/>
                          </w:divBdr>
                          <w:divsChild>
                            <w:div w:id="1201362129">
                              <w:marLeft w:val="0"/>
                              <w:marRight w:val="0"/>
                              <w:marTop w:val="0"/>
                              <w:marBottom w:val="0"/>
                              <w:divBdr>
                                <w:top w:val="none" w:sz="0" w:space="0" w:color="auto"/>
                                <w:left w:val="none" w:sz="0" w:space="0" w:color="auto"/>
                                <w:bottom w:val="none" w:sz="0" w:space="0" w:color="auto"/>
                                <w:right w:val="none" w:sz="0" w:space="0" w:color="auto"/>
                              </w:divBdr>
                              <w:divsChild>
                                <w:div w:id="811285984">
                                  <w:marLeft w:val="0"/>
                                  <w:marRight w:val="0"/>
                                  <w:marTop w:val="0"/>
                                  <w:marBottom w:val="0"/>
                                  <w:divBdr>
                                    <w:top w:val="none" w:sz="0" w:space="0" w:color="auto"/>
                                    <w:left w:val="none" w:sz="0" w:space="0" w:color="auto"/>
                                    <w:bottom w:val="none" w:sz="0" w:space="0" w:color="auto"/>
                                    <w:right w:val="none" w:sz="0" w:space="0" w:color="auto"/>
                                  </w:divBdr>
                                  <w:divsChild>
                                    <w:div w:id="1491293605">
                                      <w:marLeft w:val="0"/>
                                      <w:marRight w:val="0"/>
                                      <w:marTop w:val="0"/>
                                      <w:marBottom w:val="0"/>
                                      <w:divBdr>
                                        <w:top w:val="none" w:sz="0" w:space="0" w:color="auto"/>
                                        <w:left w:val="none" w:sz="0" w:space="0" w:color="auto"/>
                                        <w:bottom w:val="none" w:sz="0" w:space="0" w:color="auto"/>
                                        <w:right w:val="none" w:sz="0" w:space="0" w:color="auto"/>
                                      </w:divBdr>
                                      <w:divsChild>
                                        <w:div w:id="2075815175">
                                          <w:marLeft w:val="0"/>
                                          <w:marRight w:val="0"/>
                                          <w:marTop w:val="0"/>
                                          <w:marBottom w:val="0"/>
                                          <w:divBdr>
                                            <w:top w:val="none" w:sz="0" w:space="0" w:color="auto"/>
                                            <w:left w:val="none" w:sz="0" w:space="0" w:color="auto"/>
                                            <w:bottom w:val="none" w:sz="0" w:space="0" w:color="auto"/>
                                            <w:right w:val="none" w:sz="0" w:space="0" w:color="auto"/>
                                          </w:divBdr>
                                          <w:divsChild>
                                            <w:div w:id="85172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5929435">
      <w:bodyDiv w:val="1"/>
      <w:marLeft w:val="0"/>
      <w:marRight w:val="0"/>
      <w:marTop w:val="0"/>
      <w:marBottom w:val="0"/>
      <w:divBdr>
        <w:top w:val="none" w:sz="0" w:space="0" w:color="auto"/>
        <w:left w:val="none" w:sz="0" w:space="0" w:color="auto"/>
        <w:bottom w:val="none" w:sz="0" w:space="0" w:color="auto"/>
        <w:right w:val="none" w:sz="0" w:space="0" w:color="auto"/>
      </w:divBdr>
    </w:div>
    <w:div w:id="1400784717">
      <w:bodyDiv w:val="1"/>
      <w:marLeft w:val="0"/>
      <w:marRight w:val="0"/>
      <w:marTop w:val="0"/>
      <w:marBottom w:val="0"/>
      <w:divBdr>
        <w:top w:val="none" w:sz="0" w:space="0" w:color="auto"/>
        <w:left w:val="none" w:sz="0" w:space="0" w:color="auto"/>
        <w:bottom w:val="none" w:sz="0" w:space="0" w:color="auto"/>
        <w:right w:val="none" w:sz="0" w:space="0" w:color="auto"/>
      </w:divBdr>
      <w:divsChild>
        <w:div w:id="1366175319">
          <w:marLeft w:val="0"/>
          <w:marRight w:val="0"/>
          <w:marTop w:val="0"/>
          <w:marBottom w:val="0"/>
          <w:divBdr>
            <w:top w:val="none" w:sz="0" w:space="0" w:color="auto"/>
            <w:left w:val="none" w:sz="0" w:space="0" w:color="auto"/>
            <w:bottom w:val="none" w:sz="0" w:space="0" w:color="auto"/>
            <w:right w:val="none" w:sz="0" w:space="0" w:color="auto"/>
          </w:divBdr>
          <w:divsChild>
            <w:div w:id="2121026951">
              <w:marLeft w:val="0"/>
              <w:marRight w:val="0"/>
              <w:marTop w:val="0"/>
              <w:marBottom w:val="0"/>
              <w:divBdr>
                <w:top w:val="none" w:sz="0" w:space="0" w:color="auto"/>
                <w:left w:val="none" w:sz="0" w:space="0" w:color="auto"/>
                <w:bottom w:val="none" w:sz="0" w:space="0" w:color="auto"/>
                <w:right w:val="none" w:sz="0" w:space="0" w:color="auto"/>
              </w:divBdr>
              <w:divsChild>
                <w:div w:id="556941390">
                  <w:marLeft w:val="0"/>
                  <w:marRight w:val="0"/>
                  <w:marTop w:val="0"/>
                  <w:marBottom w:val="0"/>
                  <w:divBdr>
                    <w:top w:val="none" w:sz="0" w:space="0" w:color="auto"/>
                    <w:left w:val="none" w:sz="0" w:space="0" w:color="auto"/>
                    <w:bottom w:val="none" w:sz="0" w:space="0" w:color="auto"/>
                    <w:right w:val="none" w:sz="0" w:space="0" w:color="auto"/>
                  </w:divBdr>
                  <w:divsChild>
                    <w:div w:id="1964539023">
                      <w:marLeft w:val="0"/>
                      <w:marRight w:val="0"/>
                      <w:marTop w:val="0"/>
                      <w:marBottom w:val="0"/>
                      <w:divBdr>
                        <w:top w:val="none" w:sz="0" w:space="0" w:color="auto"/>
                        <w:left w:val="none" w:sz="0" w:space="0" w:color="auto"/>
                        <w:bottom w:val="none" w:sz="0" w:space="0" w:color="auto"/>
                        <w:right w:val="none" w:sz="0" w:space="0" w:color="auto"/>
                      </w:divBdr>
                      <w:divsChild>
                        <w:div w:id="1632175668">
                          <w:marLeft w:val="0"/>
                          <w:marRight w:val="0"/>
                          <w:marTop w:val="0"/>
                          <w:marBottom w:val="0"/>
                          <w:divBdr>
                            <w:top w:val="none" w:sz="0" w:space="0" w:color="auto"/>
                            <w:left w:val="none" w:sz="0" w:space="0" w:color="auto"/>
                            <w:bottom w:val="none" w:sz="0" w:space="0" w:color="auto"/>
                            <w:right w:val="none" w:sz="0" w:space="0" w:color="auto"/>
                          </w:divBdr>
                          <w:divsChild>
                            <w:div w:id="1812020411">
                              <w:marLeft w:val="0"/>
                              <w:marRight w:val="0"/>
                              <w:marTop w:val="0"/>
                              <w:marBottom w:val="0"/>
                              <w:divBdr>
                                <w:top w:val="none" w:sz="0" w:space="0" w:color="auto"/>
                                <w:left w:val="none" w:sz="0" w:space="0" w:color="auto"/>
                                <w:bottom w:val="none" w:sz="0" w:space="0" w:color="auto"/>
                                <w:right w:val="none" w:sz="0" w:space="0" w:color="auto"/>
                              </w:divBdr>
                              <w:divsChild>
                                <w:div w:id="1032343213">
                                  <w:marLeft w:val="0"/>
                                  <w:marRight w:val="0"/>
                                  <w:marTop w:val="0"/>
                                  <w:marBottom w:val="0"/>
                                  <w:divBdr>
                                    <w:top w:val="none" w:sz="0" w:space="0" w:color="auto"/>
                                    <w:left w:val="none" w:sz="0" w:space="0" w:color="auto"/>
                                    <w:bottom w:val="none" w:sz="0" w:space="0" w:color="auto"/>
                                    <w:right w:val="none" w:sz="0" w:space="0" w:color="auto"/>
                                  </w:divBdr>
                                  <w:divsChild>
                                    <w:div w:id="1029064100">
                                      <w:marLeft w:val="0"/>
                                      <w:marRight w:val="0"/>
                                      <w:marTop w:val="0"/>
                                      <w:marBottom w:val="0"/>
                                      <w:divBdr>
                                        <w:top w:val="none" w:sz="0" w:space="0" w:color="auto"/>
                                        <w:left w:val="none" w:sz="0" w:space="0" w:color="auto"/>
                                        <w:bottom w:val="none" w:sz="0" w:space="0" w:color="auto"/>
                                        <w:right w:val="none" w:sz="0" w:space="0" w:color="auto"/>
                                      </w:divBdr>
                                      <w:divsChild>
                                        <w:div w:id="1814441885">
                                          <w:marLeft w:val="0"/>
                                          <w:marRight w:val="0"/>
                                          <w:marTop w:val="0"/>
                                          <w:marBottom w:val="0"/>
                                          <w:divBdr>
                                            <w:top w:val="none" w:sz="0" w:space="0" w:color="auto"/>
                                            <w:left w:val="none" w:sz="0" w:space="0" w:color="auto"/>
                                            <w:bottom w:val="none" w:sz="0" w:space="0" w:color="auto"/>
                                            <w:right w:val="none" w:sz="0" w:space="0" w:color="auto"/>
                                          </w:divBdr>
                                          <w:divsChild>
                                            <w:div w:id="18426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3927650">
      <w:bodyDiv w:val="1"/>
      <w:marLeft w:val="0"/>
      <w:marRight w:val="0"/>
      <w:marTop w:val="0"/>
      <w:marBottom w:val="0"/>
      <w:divBdr>
        <w:top w:val="none" w:sz="0" w:space="0" w:color="auto"/>
        <w:left w:val="none" w:sz="0" w:space="0" w:color="auto"/>
        <w:bottom w:val="none" w:sz="0" w:space="0" w:color="auto"/>
        <w:right w:val="none" w:sz="0" w:space="0" w:color="auto"/>
      </w:divBdr>
    </w:div>
    <w:div w:id="1779132108">
      <w:bodyDiv w:val="1"/>
      <w:marLeft w:val="0"/>
      <w:marRight w:val="0"/>
      <w:marTop w:val="0"/>
      <w:marBottom w:val="0"/>
      <w:divBdr>
        <w:top w:val="none" w:sz="0" w:space="0" w:color="auto"/>
        <w:left w:val="none" w:sz="0" w:space="0" w:color="auto"/>
        <w:bottom w:val="none" w:sz="0" w:space="0" w:color="auto"/>
        <w:right w:val="none" w:sz="0" w:space="0" w:color="auto"/>
      </w:divBdr>
    </w:div>
    <w:div w:id="1834643548">
      <w:bodyDiv w:val="1"/>
      <w:marLeft w:val="0"/>
      <w:marRight w:val="0"/>
      <w:marTop w:val="0"/>
      <w:marBottom w:val="0"/>
      <w:divBdr>
        <w:top w:val="none" w:sz="0" w:space="0" w:color="auto"/>
        <w:left w:val="none" w:sz="0" w:space="0" w:color="auto"/>
        <w:bottom w:val="none" w:sz="0" w:space="0" w:color="auto"/>
        <w:right w:val="none" w:sz="0" w:space="0" w:color="auto"/>
      </w:divBdr>
      <w:divsChild>
        <w:div w:id="932974095">
          <w:marLeft w:val="0"/>
          <w:marRight w:val="0"/>
          <w:marTop w:val="0"/>
          <w:marBottom w:val="0"/>
          <w:divBdr>
            <w:top w:val="none" w:sz="0" w:space="0" w:color="auto"/>
            <w:left w:val="none" w:sz="0" w:space="0" w:color="auto"/>
            <w:bottom w:val="none" w:sz="0" w:space="0" w:color="auto"/>
            <w:right w:val="none" w:sz="0" w:space="0" w:color="auto"/>
          </w:divBdr>
          <w:divsChild>
            <w:div w:id="1893035761">
              <w:marLeft w:val="0"/>
              <w:marRight w:val="0"/>
              <w:marTop w:val="0"/>
              <w:marBottom w:val="0"/>
              <w:divBdr>
                <w:top w:val="none" w:sz="0" w:space="0" w:color="auto"/>
                <w:left w:val="none" w:sz="0" w:space="0" w:color="auto"/>
                <w:bottom w:val="none" w:sz="0" w:space="0" w:color="auto"/>
                <w:right w:val="none" w:sz="0" w:space="0" w:color="auto"/>
              </w:divBdr>
              <w:divsChild>
                <w:div w:id="2008439864">
                  <w:marLeft w:val="0"/>
                  <w:marRight w:val="0"/>
                  <w:marTop w:val="0"/>
                  <w:marBottom w:val="0"/>
                  <w:divBdr>
                    <w:top w:val="none" w:sz="0" w:space="0" w:color="auto"/>
                    <w:left w:val="none" w:sz="0" w:space="0" w:color="auto"/>
                    <w:bottom w:val="none" w:sz="0" w:space="0" w:color="auto"/>
                    <w:right w:val="none" w:sz="0" w:space="0" w:color="auto"/>
                  </w:divBdr>
                  <w:divsChild>
                    <w:div w:id="1401832456">
                      <w:marLeft w:val="0"/>
                      <w:marRight w:val="0"/>
                      <w:marTop w:val="0"/>
                      <w:marBottom w:val="0"/>
                      <w:divBdr>
                        <w:top w:val="none" w:sz="0" w:space="0" w:color="auto"/>
                        <w:left w:val="none" w:sz="0" w:space="0" w:color="auto"/>
                        <w:bottom w:val="none" w:sz="0" w:space="0" w:color="auto"/>
                        <w:right w:val="none" w:sz="0" w:space="0" w:color="auto"/>
                      </w:divBdr>
                      <w:divsChild>
                        <w:div w:id="1975284990">
                          <w:marLeft w:val="0"/>
                          <w:marRight w:val="0"/>
                          <w:marTop w:val="0"/>
                          <w:marBottom w:val="0"/>
                          <w:divBdr>
                            <w:top w:val="none" w:sz="0" w:space="0" w:color="auto"/>
                            <w:left w:val="none" w:sz="0" w:space="0" w:color="auto"/>
                            <w:bottom w:val="none" w:sz="0" w:space="0" w:color="auto"/>
                            <w:right w:val="none" w:sz="0" w:space="0" w:color="auto"/>
                          </w:divBdr>
                          <w:divsChild>
                            <w:div w:id="1947957853">
                              <w:marLeft w:val="0"/>
                              <w:marRight w:val="0"/>
                              <w:marTop w:val="0"/>
                              <w:marBottom w:val="0"/>
                              <w:divBdr>
                                <w:top w:val="none" w:sz="0" w:space="0" w:color="auto"/>
                                <w:left w:val="none" w:sz="0" w:space="0" w:color="auto"/>
                                <w:bottom w:val="none" w:sz="0" w:space="0" w:color="auto"/>
                                <w:right w:val="none" w:sz="0" w:space="0" w:color="auto"/>
                              </w:divBdr>
                              <w:divsChild>
                                <w:div w:id="495345760">
                                  <w:marLeft w:val="0"/>
                                  <w:marRight w:val="0"/>
                                  <w:marTop w:val="0"/>
                                  <w:marBottom w:val="0"/>
                                  <w:divBdr>
                                    <w:top w:val="none" w:sz="0" w:space="0" w:color="auto"/>
                                    <w:left w:val="none" w:sz="0" w:space="0" w:color="auto"/>
                                    <w:bottom w:val="none" w:sz="0" w:space="0" w:color="auto"/>
                                    <w:right w:val="none" w:sz="0" w:space="0" w:color="auto"/>
                                  </w:divBdr>
                                  <w:divsChild>
                                    <w:div w:id="1119834892">
                                      <w:marLeft w:val="0"/>
                                      <w:marRight w:val="0"/>
                                      <w:marTop w:val="0"/>
                                      <w:marBottom w:val="0"/>
                                      <w:divBdr>
                                        <w:top w:val="none" w:sz="0" w:space="0" w:color="auto"/>
                                        <w:left w:val="none" w:sz="0" w:space="0" w:color="auto"/>
                                        <w:bottom w:val="none" w:sz="0" w:space="0" w:color="auto"/>
                                        <w:right w:val="none" w:sz="0" w:space="0" w:color="auto"/>
                                      </w:divBdr>
                                      <w:divsChild>
                                        <w:div w:id="228270978">
                                          <w:marLeft w:val="0"/>
                                          <w:marRight w:val="0"/>
                                          <w:marTop w:val="0"/>
                                          <w:marBottom w:val="0"/>
                                          <w:divBdr>
                                            <w:top w:val="none" w:sz="0" w:space="0" w:color="auto"/>
                                            <w:left w:val="none" w:sz="0" w:space="0" w:color="auto"/>
                                            <w:bottom w:val="none" w:sz="0" w:space="0" w:color="auto"/>
                                            <w:right w:val="none" w:sz="0" w:space="0" w:color="auto"/>
                                          </w:divBdr>
                                          <w:divsChild>
                                            <w:div w:id="7635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covid-19-point-care-tests" TargetMode="External"/><Relationship Id="rId18" Type="http://schemas.openxmlformats.org/officeDocument/2006/relationships/hyperlink" Target="https://www.tga.gov.au/covid-19-test-kits-included-artg-legal-supply-australia"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covid-19-tests" TargetMode="External"/><Relationship Id="rId25"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https://www.tga.gov.au/book-page/definitions" TargetMode="External"/><Relationship Id="rId20" Type="http://schemas.openxmlformats.org/officeDocument/2006/relationships/hyperlink" Target="https://www.tga.gov.au/covid-19-tes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info@tga.gov.au" TargetMode="External"/><Relationship Id="rId5" Type="http://schemas.openxmlformats.org/officeDocument/2006/relationships/webSettings" Target="webSettings.xml"/><Relationship Id="rId15" Type="http://schemas.openxmlformats.org/officeDocument/2006/relationships/hyperlink" Target="https://www.legislation.gov.au/Details/C2021C00207"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tga.gov.au/reporting-problem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qas-conditions-supply-rapid-antigen-tests" TargetMode="External"/><Relationship Id="rId22" Type="http://schemas.openxmlformats.org/officeDocument/2006/relationships/footer" Target="footer3.xml"/><Relationship Id="rId27"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CDE16-D3B1-463F-B71C-E91F99E03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9</TotalTime>
  <Pages>11</Pages>
  <Words>3032</Words>
  <Characters>17288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Health, TGA</Company>
  <LinksUpToDate>false</LinksUpToDate>
  <CharactersWithSpaces>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 -19 Rapid Antigen Point of Care Testing</dc:title>
  <dc:creator>Therapeutic Goods Administration</dc:creator>
  <cp:lastModifiedBy>LACK, Janet</cp:lastModifiedBy>
  <cp:revision>3</cp:revision>
  <cp:lastPrinted>2021-08-09T05:28:00Z</cp:lastPrinted>
  <dcterms:created xsi:type="dcterms:W3CDTF">2022-01-16T23:22:00Z</dcterms:created>
  <dcterms:modified xsi:type="dcterms:W3CDTF">2022-01-16T23:30:00Z</dcterms:modified>
</cp:coreProperties>
</file>