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06F9C1E4" w14:textId="77777777" w:rsidTr="00ED0C8B">
        <w:tc>
          <w:tcPr>
            <w:tcW w:w="8720" w:type="dxa"/>
          </w:tcPr>
          <w:p w14:paraId="5156B8BB" w14:textId="10765EBB" w:rsidR="001D480A" w:rsidRPr="009401F6" w:rsidRDefault="00E16218" w:rsidP="00F03B6D">
            <w:pPr>
              <w:pStyle w:val="Title"/>
            </w:pPr>
            <w:r>
              <w:t xml:space="preserve">Consultation: Proposed </w:t>
            </w:r>
            <w:r w:rsidR="00F03B6D">
              <w:t xml:space="preserve">refinements to the </w:t>
            </w:r>
            <w:r>
              <w:t>regulat</w:t>
            </w:r>
            <w:r w:rsidR="00F03B6D">
              <w:t xml:space="preserve">ion of </w:t>
            </w:r>
            <w:r>
              <w:t>personalised medical devices</w:t>
            </w:r>
          </w:p>
        </w:tc>
      </w:tr>
      <w:tr w:rsidR="00ED0C8B" w:rsidRPr="009401F6" w14:paraId="4E6EDC93" w14:textId="77777777" w:rsidTr="00ED0C8B">
        <w:trPr>
          <w:trHeight w:val="1387"/>
        </w:trPr>
        <w:tc>
          <w:tcPr>
            <w:tcW w:w="8720" w:type="dxa"/>
          </w:tcPr>
          <w:p w14:paraId="7238D39C" w14:textId="77777777" w:rsidR="001D480A" w:rsidRDefault="001D480A" w:rsidP="00ED0C8B">
            <w:pPr>
              <w:pStyle w:val="Subtitle"/>
              <w:ind w:left="0"/>
              <w:rPr>
                <w:lang w:eastAsia="en-AU"/>
              </w:rPr>
            </w:pPr>
          </w:p>
          <w:p w14:paraId="36900725" w14:textId="268E4ED1" w:rsidR="00581EAF" w:rsidRPr="009401F6" w:rsidRDefault="00581EAF" w:rsidP="00ED0C8B">
            <w:pPr>
              <w:pStyle w:val="Subtitle"/>
              <w:ind w:left="0"/>
              <w:rPr>
                <w:lang w:eastAsia="en-AU"/>
              </w:rPr>
            </w:pPr>
          </w:p>
        </w:tc>
      </w:tr>
      <w:tr w:rsidR="00ED0C8B" w:rsidRPr="009401F6" w14:paraId="35B59429" w14:textId="77777777" w:rsidTr="00ED0C8B">
        <w:tc>
          <w:tcPr>
            <w:tcW w:w="8720" w:type="dxa"/>
          </w:tcPr>
          <w:p w14:paraId="0E10CDD8" w14:textId="3ED48BF1" w:rsidR="00ED0C8B" w:rsidRPr="009401F6" w:rsidRDefault="00ED0C8B" w:rsidP="00F03B6D">
            <w:pPr>
              <w:pStyle w:val="Date"/>
              <w:rPr>
                <w:lang w:eastAsia="en-AU"/>
              </w:rPr>
            </w:pPr>
            <w:r w:rsidRPr="009401F6">
              <w:rPr>
                <w:lang w:eastAsia="en-AU"/>
              </w:rPr>
              <w:t xml:space="preserve">Version 1.0, </w:t>
            </w:r>
            <w:r w:rsidR="00F03B6D">
              <w:rPr>
                <w:lang w:eastAsia="en-AU"/>
              </w:rPr>
              <w:t>June</w:t>
            </w:r>
            <w:r w:rsidR="00E16218">
              <w:rPr>
                <w:lang w:eastAsia="en-AU"/>
              </w:rPr>
              <w:t xml:space="preserve"> 2021</w:t>
            </w:r>
          </w:p>
        </w:tc>
      </w:tr>
    </w:tbl>
    <w:p w14:paraId="1201C7AF" w14:textId="77777777" w:rsidR="00BA6FF1" w:rsidRPr="009401F6" w:rsidRDefault="00BA6FF1" w:rsidP="007C7B5B">
      <w:pPr>
        <w:rPr>
          <w:lang w:eastAsia="en-AU"/>
        </w:rPr>
      </w:pPr>
    </w:p>
    <w:p w14:paraId="69562F6E"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2A668B45" w14:textId="77777777" w:rsidR="00BA6FF1" w:rsidRPr="005D4EA1" w:rsidRDefault="00BA6FF1" w:rsidP="00FE1941">
      <w:pPr>
        <w:pStyle w:val="LegalSubheading"/>
        <w:pageBreakBefore/>
      </w:pPr>
      <w:r w:rsidRPr="00691723">
        <w:lastRenderedPageBreak/>
        <w:t>Copyright</w:t>
      </w:r>
    </w:p>
    <w:p w14:paraId="3AF996A8" w14:textId="77777777" w:rsidR="00611B57" w:rsidRDefault="00EA453A" w:rsidP="00FE1941">
      <w:pPr>
        <w:pStyle w:val="LegalCopy"/>
        <w:spacing w:after="0"/>
      </w:pPr>
      <w:r w:rsidRPr="009401F6">
        <w:t>© Commonwealth of Australia 20</w:t>
      </w:r>
      <w:r w:rsidR="00D433BD">
        <w:t>21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1415748A" w14:textId="77777777" w:rsidR="008D2B09" w:rsidRPr="009401F6" w:rsidRDefault="008D2B09" w:rsidP="00611B57">
      <w:pPr>
        <w:pStyle w:val="LegalSubheading"/>
      </w:pPr>
      <w:r w:rsidRPr="009401F6">
        <w:t>Confidentiality</w:t>
      </w:r>
    </w:p>
    <w:p w14:paraId="16248CE1"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133D56CD" w14:textId="77777777" w:rsidR="00B92C72" w:rsidRPr="009401F6" w:rsidRDefault="00B92C72" w:rsidP="00B92C72">
          <w:pPr>
            <w:pStyle w:val="NonTOCheading2"/>
          </w:pPr>
          <w:r w:rsidRPr="009401F6">
            <w:t>Contents</w:t>
          </w:r>
        </w:p>
        <w:p w14:paraId="0F3A28DD" w14:textId="240503F6" w:rsidR="00A8068A"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73443768" w:history="1">
            <w:r w:rsidR="00A8068A" w:rsidRPr="000D5B72">
              <w:rPr>
                <w:rStyle w:val="Hyperlink"/>
                <w:noProof/>
              </w:rPr>
              <w:t>Introduction</w:t>
            </w:r>
            <w:r w:rsidR="00A8068A">
              <w:rPr>
                <w:noProof/>
                <w:webHidden/>
              </w:rPr>
              <w:tab/>
            </w:r>
            <w:r w:rsidR="00A8068A">
              <w:rPr>
                <w:noProof/>
                <w:webHidden/>
              </w:rPr>
              <w:fldChar w:fldCharType="begin"/>
            </w:r>
            <w:r w:rsidR="00A8068A">
              <w:rPr>
                <w:noProof/>
                <w:webHidden/>
              </w:rPr>
              <w:instrText xml:space="preserve"> PAGEREF _Toc73443768 \h </w:instrText>
            </w:r>
            <w:r w:rsidR="00A8068A">
              <w:rPr>
                <w:noProof/>
                <w:webHidden/>
              </w:rPr>
            </w:r>
            <w:r w:rsidR="00A8068A">
              <w:rPr>
                <w:noProof/>
                <w:webHidden/>
              </w:rPr>
              <w:fldChar w:fldCharType="separate"/>
            </w:r>
            <w:r w:rsidR="00581EAF">
              <w:rPr>
                <w:noProof/>
                <w:webHidden/>
              </w:rPr>
              <w:t>4</w:t>
            </w:r>
            <w:r w:rsidR="00A8068A">
              <w:rPr>
                <w:noProof/>
                <w:webHidden/>
              </w:rPr>
              <w:fldChar w:fldCharType="end"/>
            </w:r>
          </w:hyperlink>
        </w:p>
        <w:p w14:paraId="453E4D6F" w14:textId="1266CA7E" w:rsidR="00A8068A" w:rsidRDefault="006B3394">
          <w:pPr>
            <w:pStyle w:val="TOC1"/>
            <w:rPr>
              <w:rFonts w:asciiTheme="minorHAnsi" w:eastAsiaTheme="minorEastAsia" w:hAnsiTheme="minorHAnsi" w:cstheme="minorBidi"/>
              <w:b w:val="0"/>
              <w:noProof/>
              <w:sz w:val="22"/>
              <w:szCs w:val="22"/>
              <w:lang w:eastAsia="en-AU"/>
            </w:rPr>
          </w:pPr>
          <w:hyperlink w:anchor="_Toc73443769" w:history="1">
            <w:r w:rsidR="00A8068A" w:rsidRPr="000D5B72">
              <w:rPr>
                <w:rStyle w:val="Hyperlink"/>
                <w:noProof/>
              </w:rPr>
              <w:t>Background</w:t>
            </w:r>
            <w:r w:rsidR="00A8068A">
              <w:rPr>
                <w:noProof/>
                <w:webHidden/>
              </w:rPr>
              <w:tab/>
            </w:r>
            <w:r w:rsidR="00A8068A">
              <w:rPr>
                <w:noProof/>
                <w:webHidden/>
              </w:rPr>
              <w:fldChar w:fldCharType="begin"/>
            </w:r>
            <w:r w:rsidR="00A8068A">
              <w:rPr>
                <w:noProof/>
                <w:webHidden/>
              </w:rPr>
              <w:instrText xml:space="preserve"> PAGEREF _Toc73443769 \h </w:instrText>
            </w:r>
            <w:r w:rsidR="00A8068A">
              <w:rPr>
                <w:noProof/>
                <w:webHidden/>
              </w:rPr>
            </w:r>
            <w:r w:rsidR="00A8068A">
              <w:rPr>
                <w:noProof/>
                <w:webHidden/>
              </w:rPr>
              <w:fldChar w:fldCharType="separate"/>
            </w:r>
            <w:r w:rsidR="00581EAF">
              <w:rPr>
                <w:noProof/>
                <w:webHidden/>
              </w:rPr>
              <w:t>4</w:t>
            </w:r>
            <w:r w:rsidR="00A8068A">
              <w:rPr>
                <w:noProof/>
                <w:webHidden/>
              </w:rPr>
              <w:fldChar w:fldCharType="end"/>
            </w:r>
          </w:hyperlink>
        </w:p>
        <w:p w14:paraId="022D84CA" w14:textId="32029E3C" w:rsidR="00A8068A" w:rsidRDefault="006B3394">
          <w:pPr>
            <w:pStyle w:val="TOC2"/>
            <w:rPr>
              <w:rFonts w:asciiTheme="minorHAnsi" w:eastAsiaTheme="minorEastAsia" w:hAnsiTheme="minorHAnsi" w:cstheme="minorBidi"/>
              <w:b w:val="0"/>
              <w:noProof/>
              <w:sz w:val="22"/>
              <w:szCs w:val="22"/>
              <w:lang w:eastAsia="en-AU"/>
            </w:rPr>
          </w:pPr>
          <w:hyperlink w:anchor="_Toc73443770" w:history="1">
            <w:r w:rsidR="00A8068A" w:rsidRPr="000D5B72">
              <w:rPr>
                <w:rStyle w:val="Hyperlink"/>
                <w:noProof/>
              </w:rPr>
              <w:t>Consultation on the regulation of personalised medical devices</w:t>
            </w:r>
            <w:r w:rsidR="00A8068A">
              <w:rPr>
                <w:noProof/>
                <w:webHidden/>
              </w:rPr>
              <w:tab/>
            </w:r>
            <w:r w:rsidR="00A8068A">
              <w:rPr>
                <w:noProof/>
                <w:webHidden/>
              </w:rPr>
              <w:fldChar w:fldCharType="begin"/>
            </w:r>
            <w:r w:rsidR="00A8068A">
              <w:rPr>
                <w:noProof/>
                <w:webHidden/>
              </w:rPr>
              <w:instrText xml:space="preserve"> PAGEREF _Toc73443770 \h </w:instrText>
            </w:r>
            <w:r w:rsidR="00A8068A">
              <w:rPr>
                <w:noProof/>
                <w:webHidden/>
              </w:rPr>
            </w:r>
            <w:r w:rsidR="00A8068A">
              <w:rPr>
                <w:noProof/>
                <w:webHidden/>
              </w:rPr>
              <w:fldChar w:fldCharType="separate"/>
            </w:r>
            <w:r w:rsidR="00581EAF">
              <w:rPr>
                <w:noProof/>
                <w:webHidden/>
              </w:rPr>
              <w:t>5</w:t>
            </w:r>
            <w:r w:rsidR="00A8068A">
              <w:rPr>
                <w:noProof/>
                <w:webHidden/>
              </w:rPr>
              <w:fldChar w:fldCharType="end"/>
            </w:r>
          </w:hyperlink>
        </w:p>
        <w:p w14:paraId="274BF2EE" w14:textId="4073D8C6" w:rsidR="00A8068A" w:rsidRDefault="006B3394">
          <w:pPr>
            <w:pStyle w:val="TOC2"/>
            <w:rPr>
              <w:rFonts w:asciiTheme="minorHAnsi" w:eastAsiaTheme="minorEastAsia" w:hAnsiTheme="minorHAnsi" w:cstheme="minorBidi"/>
              <w:b w:val="0"/>
              <w:noProof/>
              <w:sz w:val="22"/>
              <w:szCs w:val="22"/>
              <w:lang w:eastAsia="en-AU"/>
            </w:rPr>
          </w:pPr>
          <w:hyperlink w:anchor="_Toc73443771" w:history="1">
            <w:r w:rsidR="00A8068A" w:rsidRPr="000D5B72">
              <w:rPr>
                <w:rStyle w:val="Hyperlink"/>
                <w:noProof/>
              </w:rPr>
              <w:t>Summary of the changes</w:t>
            </w:r>
            <w:r w:rsidR="00A8068A">
              <w:rPr>
                <w:noProof/>
                <w:webHidden/>
              </w:rPr>
              <w:tab/>
            </w:r>
            <w:r w:rsidR="00A8068A">
              <w:rPr>
                <w:noProof/>
                <w:webHidden/>
              </w:rPr>
              <w:fldChar w:fldCharType="begin"/>
            </w:r>
            <w:r w:rsidR="00A8068A">
              <w:rPr>
                <w:noProof/>
                <w:webHidden/>
              </w:rPr>
              <w:instrText xml:space="preserve"> PAGEREF _Toc73443771 \h </w:instrText>
            </w:r>
            <w:r w:rsidR="00A8068A">
              <w:rPr>
                <w:noProof/>
                <w:webHidden/>
              </w:rPr>
            </w:r>
            <w:r w:rsidR="00A8068A">
              <w:rPr>
                <w:noProof/>
                <w:webHidden/>
              </w:rPr>
              <w:fldChar w:fldCharType="separate"/>
            </w:r>
            <w:r w:rsidR="00581EAF">
              <w:rPr>
                <w:noProof/>
                <w:webHidden/>
              </w:rPr>
              <w:t>6</w:t>
            </w:r>
            <w:r w:rsidR="00A8068A">
              <w:rPr>
                <w:noProof/>
                <w:webHidden/>
              </w:rPr>
              <w:fldChar w:fldCharType="end"/>
            </w:r>
          </w:hyperlink>
        </w:p>
        <w:p w14:paraId="27B35B1F" w14:textId="10715B24" w:rsidR="00A8068A" w:rsidRDefault="006B3394">
          <w:pPr>
            <w:pStyle w:val="TOC2"/>
            <w:rPr>
              <w:rFonts w:asciiTheme="minorHAnsi" w:eastAsiaTheme="minorEastAsia" w:hAnsiTheme="minorHAnsi" w:cstheme="minorBidi"/>
              <w:b w:val="0"/>
              <w:noProof/>
              <w:sz w:val="22"/>
              <w:szCs w:val="22"/>
              <w:lang w:eastAsia="en-AU"/>
            </w:rPr>
          </w:pPr>
          <w:hyperlink w:anchor="_Toc73443772" w:history="1">
            <w:r w:rsidR="00A8068A" w:rsidRPr="000D5B72">
              <w:rPr>
                <w:rStyle w:val="Hyperlink"/>
                <w:noProof/>
              </w:rPr>
              <w:t>Feedback following the introduction of the framework</w:t>
            </w:r>
            <w:r w:rsidR="00A8068A">
              <w:rPr>
                <w:noProof/>
                <w:webHidden/>
              </w:rPr>
              <w:tab/>
            </w:r>
            <w:r w:rsidR="00A8068A">
              <w:rPr>
                <w:noProof/>
                <w:webHidden/>
              </w:rPr>
              <w:fldChar w:fldCharType="begin"/>
            </w:r>
            <w:r w:rsidR="00A8068A">
              <w:rPr>
                <w:noProof/>
                <w:webHidden/>
              </w:rPr>
              <w:instrText xml:space="preserve"> PAGEREF _Toc73443772 \h </w:instrText>
            </w:r>
            <w:r w:rsidR="00A8068A">
              <w:rPr>
                <w:noProof/>
                <w:webHidden/>
              </w:rPr>
            </w:r>
            <w:r w:rsidR="00A8068A">
              <w:rPr>
                <w:noProof/>
                <w:webHidden/>
              </w:rPr>
              <w:fldChar w:fldCharType="separate"/>
            </w:r>
            <w:r w:rsidR="00581EAF">
              <w:rPr>
                <w:noProof/>
                <w:webHidden/>
              </w:rPr>
              <w:t>7</w:t>
            </w:r>
            <w:r w:rsidR="00A8068A">
              <w:rPr>
                <w:noProof/>
                <w:webHidden/>
              </w:rPr>
              <w:fldChar w:fldCharType="end"/>
            </w:r>
          </w:hyperlink>
        </w:p>
        <w:p w14:paraId="26BB89C2" w14:textId="205CEE46" w:rsidR="00A8068A" w:rsidRDefault="006B3394">
          <w:pPr>
            <w:pStyle w:val="TOC1"/>
            <w:rPr>
              <w:rFonts w:asciiTheme="minorHAnsi" w:eastAsiaTheme="minorEastAsia" w:hAnsiTheme="minorHAnsi" w:cstheme="minorBidi"/>
              <w:b w:val="0"/>
              <w:noProof/>
              <w:sz w:val="22"/>
              <w:szCs w:val="22"/>
              <w:lang w:eastAsia="en-AU"/>
            </w:rPr>
          </w:pPr>
          <w:hyperlink w:anchor="_Toc73443773" w:history="1">
            <w:r w:rsidR="00A8068A" w:rsidRPr="000D5B72">
              <w:rPr>
                <w:rStyle w:val="Hyperlink"/>
                <w:noProof/>
              </w:rPr>
              <w:t>This consultation</w:t>
            </w:r>
            <w:r w:rsidR="00A8068A">
              <w:rPr>
                <w:noProof/>
                <w:webHidden/>
              </w:rPr>
              <w:tab/>
            </w:r>
            <w:r w:rsidR="00A8068A">
              <w:rPr>
                <w:noProof/>
                <w:webHidden/>
              </w:rPr>
              <w:fldChar w:fldCharType="begin"/>
            </w:r>
            <w:r w:rsidR="00A8068A">
              <w:rPr>
                <w:noProof/>
                <w:webHidden/>
              </w:rPr>
              <w:instrText xml:space="preserve"> PAGEREF _Toc73443773 \h </w:instrText>
            </w:r>
            <w:r w:rsidR="00A8068A">
              <w:rPr>
                <w:noProof/>
                <w:webHidden/>
              </w:rPr>
            </w:r>
            <w:r w:rsidR="00A8068A">
              <w:rPr>
                <w:noProof/>
                <w:webHidden/>
              </w:rPr>
              <w:fldChar w:fldCharType="separate"/>
            </w:r>
            <w:r w:rsidR="00581EAF">
              <w:rPr>
                <w:noProof/>
                <w:webHidden/>
              </w:rPr>
              <w:t>7</w:t>
            </w:r>
            <w:r w:rsidR="00A8068A">
              <w:rPr>
                <w:noProof/>
                <w:webHidden/>
              </w:rPr>
              <w:fldChar w:fldCharType="end"/>
            </w:r>
          </w:hyperlink>
        </w:p>
        <w:p w14:paraId="03A0949F" w14:textId="7E9633D7" w:rsidR="00A8068A" w:rsidRDefault="006B3394">
          <w:pPr>
            <w:pStyle w:val="TOC2"/>
            <w:rPr>
              <w:rFonts w:asciiTheme="minorHAnsi" w:eastAsiaTheme="minorEastAsia" w:hAnsiTheme="minorHAnsi" w:cstheme="minorBidi"/>
              <w:b w:val="0"/>
              <w:noProof/>
              <w:sz w:val="22"/>
              <w:szCs w:val="22"/>
              <w:lang w:eastAsia="en-AU"/>
            </w:rPr>
          </w:pPr>
          <w:hyperlink w:anchor="_Toc73443774" w:history="1">
            <w:r w:rsidR="00A8068A" w:rsidRPr="000D5B72">
              <w:rPr>
                <w:rStyle w:val="Hyperlink"/>
                <w:noProof/>
              </w:rPr>
              <w:t>Mechanisms for refinement of the Framework</w:t>
            </w:r>
            <w:r w:rsidR="00A8068A">
              <w:rPr>
                <w:noProof/>
                <w:webHidden/>
              </w:rPr>
              <w:tab/>
            </w:r>
            <w:r w:rsidR="00A8068A">
              <w:rPr>
                <w:noProof/>
                <w:webHidden/>
              </w:rPr>
              <w:fldChar w:fldCharType="begin"/>
            </w:r>
            <w:r w:rsidR="00A8068A">
              <w:rPr>
                <w:noProof/>
                <w:webHidden/>
              </w:rPr>
              <w:instrText xml:space="preserve"> PAGEREF _Toc73443774 \h </w:instrText>
            </w:r>
            <w:r w:rsidR="00A8068A">
              <w:rPr>
                <w:noProof/>
                <w:webHidden/>
              </w:rPr>
            </w:r>
            <w:r w:rsidR="00A8068A">
              <w:rPr>
                <w:noProof/>
                <w:webHidden/>
              </w:rPr>
              <w:fldChar w:fldCharType="separate"/>
            </w:r>
            <w:r w:rsidR="00581EAF">
              <w:rPr>
                <w:noProof/>
                <w:webHidden/>
              </w:rPr>
              <w:t>8</w:t>
            </w:r>
            <w:r w:rsidR="00A8068A">
              <w:rPr>
                <w:noProof/>
                <w:webHidden/>
              </w:rPr>
              <w:fldChar w:fldCharType="end"/>
            </w:r>
          </w:hyperlink>
        </w:p>
        <w:p w14:paraId="427253A1" w14:textId="059349A4" w:rsidR="00A8068A" w:rsidRDefault="006B3394">
          <w:pPr>
            <w:pStyle w:val="TOC3"/>
            <w:rPr>
              <w:rFonts w:asciiTheme="minorHAnsi" w:eastAsiaTheme="minorEastAsia" w:hAnsiTheme="minorHAnsi" w:cstheme="minorBidi"/>
              <w:b w:val="0"/>
              <w:noProof/>
              <w:szCs w:val="22"/>
              <w:lang w:eastAsia="en-AU"/>
            </w:rPr>
          </w:pPr>
          <w:hyperlink w:anchor="_Toc73443775" w:history="1">
            <w:r w:rsidR="00A8068A" w:rsidRPr="000D5B72">
              <w:rPr>
                <w:rStyle w:val="Hyperlink"/>
                <w:noProof/>
              </w:rPr>
              <w:t>Exclusion</w:t>
            </w:r>
            <w:r w:rsidR="00A8068A">
              <w:rPr>
                <w:noProof/>
                <w:webHidden/>
              </w:rPr>
              <w:tab/>
            </w:r>
            <w:r w:rsidR="00A8068A">
              <w:rPr>
                <w:noProof/>
                <w:webHidden/>
              </w:rPr>
              <w:fldChar w:fldCharType="begin"/>
            </w:r>
            <w:r w:rsidR="00A8068A">
              <w:rPr>
                <w:noProof/>
                <w:webHidden/>
              </w:rPr>
              <w:instrText xml:space="preserve"> PAGEREF _Toc73443775 \h </w:instrText>
            </w:r>
            <w:r w:rsidR="00A8068A">
              <w:rPr>
                <w:noProof/>
                <w:webHidden/>
              </w:rPr>
            </w:r>
            <w:r w:rsidR="00A8068A">
              <w:rPr>
                <w:noProof/>
                <w:webHidden/>
              </w:rPr>
              <w:fldChar w:fldCharType="separate"/>
            </w:r>
            <w:r w:rsidR="00581EAF">
              <w:rPr>
                <w:noProof/>
                <w:webHidden/>
              </w:rPr>
              <w:t>8</w:t>
            </w:r>
            <w:r w:rsidR="00A8068A">
              <w:rPr>
                <w:noProof/>
                <w:webHidden/>
              </w:rPr>
              <w:fldChar w:fldCharType="end"/>
            </w:r>
          </w:hyperlink>
        </w:p>
        <w:p w14:paraId="36FF2659" w14:textId="12C17CE0" w:rsidR="00A8068A" w:rsidRDefault="006B3394">
          <w:pPr>
            <w:pStyle w:val="TOC3"/>
            <w:rPr>
              <w:rFonts w:asciiTheme="minorHAnsi" w:eastAsiaTheme="minorEastAsia" w:hAnsiTheme="minorHAnsi" w:cstheme="minorBidi"/>
              <w:b w:val="0"/>
              <w:noProof/>
              <w:szCs w:val="22"/>
              <w:lang w:eastAsia="en-AU"/>
            </w:rPr>
          </w:pPr>
          <w:hyperlink w:anchor="_Toc73443776" w:history="1">
            <w:r w:rsidR="00A8068A" w:rsidRPr="000D5B72">
              <w:rPr>
                <w:rStyle w:val="Hyperlink"/>
                <w:noProof/>
              </w:rPr>
              <w:t>Exemption</w:t>
            </w:r>
            <w:r w:rsidR="00A8068A">
              <w:rPr>
                <w:noProof/>
                <w:webHidden/>
              </w:rPr>
              <w:tab/>
            </w:r>
            <w:r w:rsidR="00A8068A">
              <w:rPr>
                <w:noProof/>
                <w:webHidden/>
              </w:rPr>
              <w:fldChar w:fldCharType="begin"/>
            </w:r>
            <w:r w:rsidR="00A8068A">
              <w:rPr>
                <w:noProof/>
                <w:webHidden/>
              </w:rPr>
              <w:instrText xml:space="preserve"> PAGEREF _Toc73443776 \h </w:instrText>
            </w:r>
            <w:r w:rsidR="00A8068A">
              <w:rPr>
                <w:noProof/>
                <w:webHidden/>
              </w:rPr>
            </w:r>
            <w:r w:rsidR="00A8068A">
              <w:rPr>
                <w:noProof/>
                <w:webHidden/>
              </w:rPr>
              <w:fldChar w:fldCharType="separate"/>
            </w:r>
            <w:r w:rsidR="00581EAF">
              <w:rPr>
                <w:noProof/>
                <w:webHidden/>
              </w:rPr>
              <w:t>9</w:t>
            </w:r>
            <w:r w:rsidR="00A8068A">
              <w:rPr>
                <w:noProof/>
                <w:webHidden/>
              </w:rPr>
              <w:fldChar w:fldCharType="end"/>
            </w:r>
          </w:hyperlink>
        </w:p>
        <w:p w14:paraId="756EFC85" w14:textId="719B7512" w:rsidR="00A8068A" w:rsidRDefault="006B3394">
          <w:pPr>
            <w:pStyle w:val="TOC3"/>
            <w:rPr>
              <w:rFonts w:asciiTheme="minorHAnsi" w:eastAsiaTheme="minorEastAsia" w:hAnsiTheme="minorHAnsi" w:cstheme="minorBidi"/>
              <w:b w:val="0"/>
              <w:noProof/>
              <w:szCs w:val="22"/>
              <w:lang w:eastAsia="en-AU"/>
            </w:rPr>
          </w:pPr>
          <w:hyperlink w:anchor="_Toc73443777" w:history="1">
            <w:r w:rsidR="00A8068A" w:rsidRPr="000D5B72">
              <w:rPr>
                <w:rStyle w:val="Hyperlink"/>
                <w:noProof/>
              </w:rPr>
              <w:t>Special conformity assessment procedures for inclusion in ARTG</w:t>
            </w:r>
            <w:r w:rsidR="00A8068A">
              <w:rPr>
                <w:noProof/>
                <w:webHidden/>
              </w:rPr>
              <w:tab/>
            </w:r>
            <w:r w:rsidR="00A8068A">
              <w:rPr>
                <w:noProof/>
                <w:webHidden/>
              </w:rPr>
              <w:fldChar w:fldCharType="begin"/>
            </w:r>
            <w:r w:rsidR="00A8068A">
              <w:rPr>
                <w:noProof/>
                <w:webHidden/>
              </w:rPr>
              <w:instrText xml:space="preserve"> PAGEREF _Toc73443777 \h </w:instrText>
            </w:r>
            <w:r w:rsidR="00A8068A">
              <w:rPr>
                <w:noProof/>
                <w:webHidden/>
              </w:rPr>
            </w:r>
            <w:r w:rsidR="00A8068A">
              <w:rPr>
                <w:noProof/>
                <w:webHidden/>
              </w:rPr>
              <w:fldChar w:fldCharType="separate"/>
            </w:r>
            <w:r w:rsidR="00581EAF">
              <w:rPr>
                <w:noProof/>
                <w:webHidden/>
              </w:rPr>
              <w:t>9</w:t>
            </w:r>
            <w:r w:rsidR="00A8068A">
              <w:rPr>
                <w:noProof/>
                <w:webHidden/>
              </w:rPr>
              <w:fldChar w:fldCharType="end"/>
            </w:r>
          </w:hyperlink>
        </w:p>
        <w:p w14:paraId="3DDA7280" w14:textId="0340C53F" w:rsidR="00A8068A" w:rsidRDefault="006B3394">
          <w:pPr>
            <w:pStyle w:val="TOC2"/>
            <w:rPr>
              <w:rFonts w:asciiTheme="minorHAnsi" w:eastAsiaTheme="minorEastAsia" w:hAnsiTheme="minorHAnsi" w:cstheme="minorBidi"/>
              <w:b w:val="0"/>
              <w:noProof/>
              <w:sz w:val="22"/>
              <w:szCs w:val="22"/>
              <w:lang w:eastAsia="en-AU"/>
            </w:rPr>
          </w:pPr>
          <w:hyperlink w:anchor="_Toc73443778" w:history="1">
            <w:r w:rsidR="00A8068A" w:rsidRPr="000D5B72">
              <w:rPr>
                <w:rStyle w:val="Hyperlink"/>
                <w:noProof/>
              </w:rPr>
              <w:t>Proposed principles for consideration of potential refinements to the Framework</w:t>
            </w:r>
            <w:r w:rsidR="00A8068A">
              <w:rPr>
                <w:noProof/>
                <w:webHidden/>
              </w:rPr>
              <w:tab/>
            </w:r>
            <w:r w:rsidR="00A8068A">
              <w:rPr>
                <w:noProof/>
                <w:webHidden/>
              </w:rPr>
              <w:fldChar w:fldCharType="begin"/>
            </w:r>
            <w:r w:rsidR="00A8068A">
              <w:rPr>
                <w:noProof/>
                <w:webHidden/>
              </w:rPr>
              <w:instrText xml:space="preserve"> PAGEREF _Toc73443778 \h </w:instrText>
            </w:r>
            <w:r w:rsidR="00A8068A">
              <w:rPr>
                <w:noProof/>
                <w:webHidden/>
              </w:rPr>
            </w:r>
            <w:r w:rsidR="00A8068A">
              <w:rPr>
                <w:noProof/>
                <w:webHidden/>
              </w:rPr>
              <w:fldChar w:fldCharType="separate"/>
            </w:r>
            <w:r w:rsidR="00581EAF">
              <w:rPr>
                <w:noProof/>
                <w:webHidden/>
              </w:rPr>
              <w:t>9</w:t>
            </w:r>
            <w:r w:rsidR="00A8068A">
              <w:rPr>
                <w:noProof/>
                <w:webHidden/>
              </w:rPr>
              <w:fldChar w:fldCharType="end"/>
            </w:r>
          </w:hyperlink>
        </w:p>
        <w:p w14:paraId="00677FD5" w14:textId="155C4760" w:rsidR="00A8068A" w:rsidRDefault="006B3394">
          <w:pPr>
            <w:pStyle w:val="TOC3"/>
            <w:tabs>
              <w:tab w:val="left" w:pos="1276"/>
            </w:tabs>
            <w:rPr>
              <w:rFonts w:asciiTheme="minorHAnsi" w:eastAsiaTheme="minorEastAsia" w:hAnsiTheme="minorHAnsi" w:cstheme="minorBidi"/>
              <w:b w:val="0"/>
              <w:noProof/>
              <w:szCs w:val="22"/>
              <w:lang w:eastAsia="en-AU"/>
            </w:rPr>
          </w:pPr>
          <w:hyperlink w:anchor="_Toc73443779" w:history="1">
            <w:r w:rsidR="00A8068A" w:rsidRPr="000D5B72">
              <w:rPr>
                <w:rStyle w:val="Hyperlink"/>
                <w:noProof/>
              </w:rPr>
              <w:t>1.</w:t>
            </w:r>
            <w:r w:rsidR="00A8068A">
              <w:rPr>
                <w:rFonts w:asciiTheme="minorHAnsi" w:eastAsiaTheme="minorEastAsia" w:hAnsiTheme="minorHAnsi" w:cstheme="minorBidi"/>
                <w:b w:val="0"/>
                <w:noProof/>
                <w:szCs w:val="22"/>
                <w:lang w:eastAsia="en-AU"/>
              </w:rPr>
              <w:tab/>
            </w:r>
            <w:r w:rsidR="00A8068A" w:rsidRPr="000D5B72">
              <w:rPr>
                <w:rStyle w:val="Hyperlink"/>
                <w:noProof/>
              </w:rPr>
              <w:t>Products that could potentially be excluded from regulation</w:t>
            </w:r>
            <w:r w:rsidR="00A8068A">
              <w:rPr>
                <w:noProof/>
                <w:webHidden/>
              </w:rPr>
              <w:tab/>
            </w:r>
            <w:r w:rsidR="00A8068A">
              <w:rPr>
                <w:noProof/>
                <w:webHidden/>
              </w:rPr>
              <w:fldChar w:fldCharType="begin"/>
            </w:r>
            <w:r w:rsidR="00A8068A">
              <w:rPr>
                <w:noProof/>
                <w:webHidden/>
              </w:rPr>
              <w:instrText xml:space="preserve"> PAGEREF _Toc73443779 \h </w:instrText>
            </w:r>
            <w:r w:rsidR="00A8068A">
              <w:rPr>
                <w:noProof/>
                <w:webHidden/>
              </w:rPr>
            </w:r>
            <w:r w:rsidR="00A8068A">
              <w:rPr>
                <w:noProof/>
                <w:webHidden/>
              </w:rPr>
              <w:fldChar w:fldCharType="separate"/>
            </w:r>
            <w:r w:rsidR="00581EAF">
              <w:rPr>
                <w:noProof/>
                <w:webHidden/>
              </w:rPr>
              <w:t>10</w:t>
            </w:r>
            <w:r w:rsidR="00A8068A">
              <w:rPr>
                <w:noProof/>
                <w:webHidden/>
              </w:rPr>
              <w:fldChar w:fldCharType="end"/>
            </w:r>
          </w:hyperlink>
        </w:p>
        <w:p w14:paraId="1D9FAE00" w14:textId="5BEDFF02" w:rsidR="00A8068A" w:rsidRDefault="006B3394">
          <w:pPr>
            <w:pStyle w:val="TOC3"/>
            <w:tabs>
              <w:tab w:val="left" w:pos="1276"/>
            </w:tabs>
            <w:rPr>
              <w:rFonts w:asciiTheme="minorHAnsi" w:eastAsiaTheme="minorEastAsia" w:hAnsiTheme="minorHAnsi" w:cstheme="minorBidi"/>
              <w:b w:val="0"/>
              <w:noProof/>
              <w:szCs w:val="22"/>
              <w:lang w:eastAsia="en-AU"/>
            </w:rPr>
          </w:pPr>
          <w:hyperlink w:anchor="_Toc73443780" w:history="1">
            <w:r w:rsidR="00A8068A" w:rsidRPr="000D5B72">
              <w:rPr>
                <w:rStyle w:val="Hyperlink"/>
                <w:noProof/>
              </w:rPr>
              <w:t>2.</w:t>
            </w:r>
            <w:r w:rsidR="00A8068A">
              <w:rPr>
                <w:rFonts w:asciiTheme="minorHAnsi" w:eastAsiaTheme="minorEastAsia" w:hAnsiTheme="minorHAnsi" w:cstheme="minorBidi"/>
                <w:b w:val="0"/>
                <w:noProof/>
                <w:szCs w:val="22"/>
                <w:lang w:eastAsia="en-AU"/>
              </w:rPr>
              <w:tab/>
            </w:r>
            <w:r w:rsidR="00A8068A" w:rsidRPr="000D5B72">
              <w:rPr>
                <w:rStyle w:val="Hyperlink"/>
                <w:noProof/>
              </w:rPr>
              <w:t>Patient-matched medical devices that could potentially be exempt from inclusion in the ARTG</w:t>
            </w:r>
            <w:r w:rsidR="00A8068A">
              <w:rPr>
                <w:noProof/>
                <w:webHidden/>
              </w:rPr>
              <w:tab/>
            </w:r>
            <w:r w:rsidR="00A8068A">
              <w:rPr>
                <w:noProof/>
                <w:webHidden/>
              </w:rPr>
              <w:fldChar w:fldCharType="begin"/>
            </w:r>
            <w:r w:rsidR="00A8068A">
              <w:rPr>
                <w:noProof/>
                <w:webHidden/>
              </w:rPr>
              <w:instrText xml:space="preserve"> PAGEREF _Toc73443780 \h </w:instrText>
            </w:r>
            <w:r w:rsidR="00A8068A">
              <w:rPr>
                <w:noProof/>
                <w:webHidden/>
              </w:rPr>
            </w:r>
            <w:r w:rsidR="00A8068A">
              <w:rPr>
                <w:noProof/>
                <w:webHidden/>
              </w:rPr>
              <w:fldChar w:fldCharType="separate"/>
            </w:r>
            <w:r w:rsidR="00581EAF">
              <w:rPr>
                <w:noProof/>
                <w:webHidden/>
              </w:rPr>
              <w:t>11</w:t>
            </w:r>
            <w:r w:rsidR="00A8068A">
              <w:rPr>
                <w:noProof/>
                <w:webHidden/>
              </w:rPr>
              <w:fldChar w:fldCharType="end"/>
            </w:r>
          </w:hyperlink>
        </w:p>
        <w:p w14:paraId="11E30282" w14:textId="077F67E9" w:rsidR="00A8068A" w:rsidRDefault="006B3394">
          <w:pPr>
            <w:pStyle w:val="TOC3"/>
            <w:tabs>
              <w:tab w:val="left" w:pos="1276"/>
            </w:tabs>
            <w:rPr>
              <w:rFonts w:asciiTheme="minorHAnsi" w:eastAsiaTheme="minorEastAsia" w:hAnsiTheme="minorHAnsi" w:cstheme="minorBidi"/>
              <w:b w:val="0"/>
              <w:noProof/>
              <w:szCs w:val="22"/>
              <w:lang w:eastAsia="en-AU"/>
            </w:rPr>
          </w:pPr>
          <w:hyperlink w:anchor="_Toc73443781" w:history="1">
            <w:r w:rsidR="00A8068A" w:rsidRPr="000D5B72">
              <w:rPr>
                <w:rStyle w:val="Hyperlink"/>
                <w:noProof/>
              </w:rPr>
              <w:t>3.</w:t>
            </w:r>
            <w:r w:rsidR="00A8068A">
              <w:rPr>
                <w:rFonts w:asciiTheme="minorHAnsi" w:eastAsiaTheme="minorEastAsia" w:hAnsiTheme="minorHAnsi" w:cstheme="minorBidi"/>
                <w:b w:val="0"/>
                <w:noProof/>
                <w:szCs w:val="22"/>
                <w:lang w:eastAsia="en-AU"/>
              </w:rPr>
              <w:tab/>
            </w:r>
            <w:r w:rsidR="00A8068A" w:rsidRPr="000D5B72">
              <w:rPr>
                <w:rStyle w:val="Hyperlink"/>
                <w:noProof/>
              </w:rPr>
              <w:t>Inclusion of patient-matched medical devices in the ARTG using an alternative conformity assessment procedure</w:t>
            </w:r>
            <w:r w:rsidR="00A8068A">
              <w:rPr>
                <w:noProof/>
                <w:webHidden/>
              </w:rPr>
              <w:tab/>
            </w:r>
            <w:r w:rsidR="00A8068A">
              <w:rPr>
                <w:noProof/>
                <w:webHidden/>
              </w:rPr>
              <w:fldChar w:fldCharType="begin"/>
            </w:r>
            <w:r w:rsidR="00A8068A">
              <w:rPr>
                <w:noProof/>
                <w:webHidden/>
              </w:rPr>
              <w:instrText xml:space="preserve"> PAGEREF _Toc73443781 \h </w:instrText>
            </w:r>
            <w:r w:rsidR="00A8068A">
              <w:rPr>
                <w:noProof/>
                <w:webHidden/>
              </w:rPr>
            </w:r>
            <w:r w:rsidR="00A8068A">
              <w:rPr>
                <w:noProof/>
                <w:webHidden/>
              </w:rPr>
              <w:fldChar w:fldCharType="separate"/>
            </w:r>
            <w:r w:rsidR="00581EAF">
              <w:rPr>
                <w:noProof/>
                <w:webHidden/>
              </w:rPr>
              <w:t>13</w:t>
            </w:r>
            <w:r w:rsidR="00A8068A">
              <w:rPr>
                <w:noProof/>
                <w:webHidden/>
              </w:rPr>
              <w:fldChar w:fldCharType="end"/>
            </w:r>
          </w:hyperlink>
        </w:p>
        <w:p w14:paraId="4CE3E22F" w14:textId="58BC523C" w:rsidR="00A8068A" w:rsidRDefault="006B3394">
          <w:pPr>
            <w:pStyle w:val="TOC1"/>
            <w:rPr>
              <w:rFonts w:asciiTheme="minorHAnsi" w:eastAsiaTheme="minorEastAsia" w:hAnsiTheme="minorHAnsi" w:cstheme="minorBidi"/>
              <w:b w:val="0"/>
              <w:noProof/>
              <w:sz w:val="22"/>
              <w:szCs w:val="22"/>
              <w:lang w:eastAsia="en-AU"/>
            </w:rPr>
          </w:pPr>
          <w:hyperlink w:anchor="_Toc73443782" w:history="1">
            <w:r w:rsidR="00A8068A" w:rsidRPr="000D5B72">
              <w:rPr>
                <w:rStyle w:val="Hyperlink"/>
                <w:noProof/>
              </w:rPr>
              <w:t>What we invite you to do</w:t>
            </w:r>
            <w:r w:rsidR="00A8068A">
              <w:rPr>
                <w:noProof/>
                <w:webHidden/>
              </w:rPr>
              <w:tab/>
            </w:r>
            <w:r w:rsidR="00A8068A">
              <w:rPr>
                <w:noProof/>
                <w:webHidden/>
              </w:rPr>
              <w:fldChar w:fldCharType="begin"/>
            </w:r>
            <w:r w:rsidR="00A8068A">
              <w:rPr>
                <w:noProof/>
                <w:webHidden/>
              </w:rPr>
              <w:instrText xml:space="preserve"> PAGEREF _Toc73443782 \h </w:instrText>
            </w:r>
            <w:r w:rsidR="00A8068A">
              <w:rPr>
                <w:noProof/>
                <w:webHidden/>
              </w:rPr>
            </w:r>
            <w:r w:rsidR="00A8068A">
              <w:rPr>
                <w:noProof/>
                <w:webHidden/>
              </w:rPr>
              <w:fldChar w:fldCharType="separate"/>
            </w:r>
            <w:r w:rsidR="00581EAF">
              <w:rPr>
                <w:noProof/>
                <w:webHidden/>
              </w:rPr>
              <w:t>15</w:t>
            </w:r>
            <w:r w:rsidR="00A8068A">
              <w:rPr>
                <w:noProof/>
                <w:webHidden/>
              </w:rPr>
              <w:fldChar w:fldCharType="end"/>
            </w:r>
          </w:hyperlink>
        </w:p>
        <w:p w14:paraId="5D68FE50" w14:textId="1200206B" w:rsidR="00A8068A" w:rsidRDefault="006B3394">
          <w:pPr>
            <w:pStyle w:val="TOC1"/>
            <w:rPr>
              <w:rFonts w:asciiTheme="minorHAnsi" w:eastAsiaTheme="minorEastAsia" w:hAnsiTheme="minorHAnsi" w:cstheme="minorBidi"/>
              <w:b w:val="0"/>
              <w:noProof/>
              <w:sz w:val="22"/>
              <w:szCs w:val="22"/>
              <w:lang w:eastAsia="en-AU"/>
            </w:rPr>
          </w:pPr>
          <w:hyperlink w:anchor="_Toc73443783" w:history="1">
            <w:r w:rsidR="00A8068A" w:rsidRPr="000D5B72">
              <w:rPr>
                <w:rStyle w:val="Hyperlink"/>
                <w:noProof/>
              </w:rPr>
              <w:t>Questions</w:t>
            </w:r>
            <w:r w:rsidR="00A8068A">
              <w:rPr>
                <w:noProof/>
                <w:webHidden/>
              </w:rPr>
              <w:tab/>
            </w:r>
            <w:r w:rsidR="00A8068A">
              <w:rPr>
                <w:noProof/>
                <w:webHidden/>
              </w:rPr>
              <w:fldChar w:fldCharType="begin"/>
            </w:r>
            <w:r w:rsidR="00A8068A">
              <w:rPr>
                <w:noProof/>
                <w:webHidden/>
              </w:rPr>
              <w:instrText xml:space="preserve"> PAGEREF _Toc73443783 \h </w:instrText>
            </w:r>
            <w:r w:rsidR="00A8068A">
              <w:rPr>
                <w:noProof/>
                <w:webHidden/>
              </w:rPr>
            </w:r>
            <w:r w:rsidR="00A8068A">
              <w:rPr>
                <w:noProof/>
                <w:webHidden/>
              </w:rPr>
              <w:fldChar w:fldCharType="separate"/>
            </w:r>
            <w:r w:rsidR="00581EAF">
              <w:rPr>
                <w:noProof/>
                <w:webHidden/>
              </w:rPr>
              <w:t>15</w:t>
            </w:r>
            <w:r w:rsidR="00A8068A">
              <w:rPr>
                <w:noProof/>
                <w:webHidden/>
              </w:rPr>
              <w:fldChar w:fldCharType="end"/>
            </w:r>
          </w:hyperlink>
        </w:p>
        <w:p w14:paraId="1FF129B7" w14:textId="50B8C4B0" w:rsidR="00A8068A" w:rsidRDefault="006B3394">
          <w:pPr>
            <w:pStyle w:val="TOC2"/>
            <w:rPr>
              <w:rFonts w:asciiTheme="minorHAnsi" w:eastAsiaTheme="minorEastAsia" w:hAnsiTheme="minorHAnsi" w:cstheme="minorBidi"/>
              <w:b w:val="0"/>
              <w:noProof/>
              <w:sz w:val="22"/>
              <w:szCs w:val="22"/>
              <w:lang w:eastAsia="en-AU"/>
            </w:rPr>
          </w:pPr>
          <w:hyperlink w:anchor="_Toc73443784" w:history="1">
            <w:r w:rsidR="00A8068A" w:rsidRPr="000D5B72">
              <w:rPr>
                <w:rStyle w:val="Hyperlink"/>
                <w:noProof/>
              </w:rPr>
              <w:t>How to submit your response</w:t>
            </w:r>
            <w:r w:rsidR="00A8068A">
              <w:rPr>
                <w:noProof/>
                <w:webHidden/>
              </w:rPr>
              <w:tab/>
            </w:r>
            <w:r w:rsidR="00A8068A">
              <w:rPr>
                <w:noProof/>
                <w:webHidden/>
              </w:rPr>
              <w:fldChar w:fldCharType="begin"/>
            </w:r>
            <w:r w:rsidR="00A8068A">
              <w:rPr>
                <w:noProof/>
                <w:webHidden/>
              </w:rPr>
              <w:instrText xml:space="preserve"> PAGEREF _Toc73443784 \h </w:instrText>
            </w:r>
            <w:r w:rsidR="00A8068A">
              <w:rPr>
                <w:noProof/>
                <w:webHidden/>
              </w:rPr>
            </w:r>
            <w:r w:rsidR="00A8068A">
              <w:rPr>
                <w:noProof/>
                <w:webHidden/>
              </w:rPr>
              <w:fldChar w:fldCharType="separate"/>
            </w:r>
            <w:r w:rsidR="00581EAF">
              <w:rPr>
                <w:noProof/>
                <w:webHidden/>
              </w:rPr>
              <w:t>17</w:t>
            </w:r>
            <w:r w:rsidR="00A8068A">
              <w:rPr>
                <w:noProof/>
                <w:webHidden/>
              </w:rPr>
              <w:fldChar w:fldCharType="end"/>
            </w:r>
          </w:hyperlink>
        </w:p>
        <w:p w14:paraId="01DA257B" w14:textId="4FC3272E" w:rsidR="00A8068A" w:rsidRDefault="006B3394">
          <w:pPr>
            <w:pStyle w:val="TOC2"/>
            <w:rPr>
              <w:rFonts w:asciiTheme="minorHAnsi" w:eastAsiaTheme="minorEastAsia" w:hAnsiTheme="minorHAnsi" w:cstheme="minorBidi"/>
              <w:b w:val="0"/>
              <w:noProof/>
              <w:sz w:val="22"/>
              <w:szCs w:val="22"/>
              <w:lang w:eastAsia="en-AU"/>
            </w:rPr>
          </w:pPr>
          <w:hyperlink w:anchor="_Toc73443785" w:history="1">
            <w:r w:rsidR="00A8068A" w:rsidRPr="000D5B72">
              <w:rPr>
                <w:rStyle w:val="Hyperlink"/>
                <w:noProof/>
              </w:rPr>
              <w:t>Enquiries</w:t>
            </w:r>
            <w:r w:rsidR="00A8068A">
              <w:rPr>
                <w:noProof/>
                <w:webHidden/>
              </w:rPr>
              <w:tab/>
            </w:r>
            <w:r w:rsidR="00A8068A">
              <w:rPr>
                <w:noProof/>
                <w:webHidden/>
              </w:rPr>
              <w:fldChar w:fldCharType="begin"/>
            </w:r>
            <w:r w:rsidR="00A8068A">
              <w:rPr>
                <w:noProof/>
                <w:webHidden/>
              </w:rPr>
              <w:instrText xml:space="preserve"> PAGEREF _Toc73443785 \h </w:instrText>
            </w:r>
            <w:r w:rsidR="00A8068A">
              <w:rPr>
                <w:noProof/>
                <w:webHidden/>
              </w:rPr>
            </w:r>
            <w:r w:rsidR="00A8068A">
              <w:rPr>
                <w:noProof/>
                <w:webHidden/>
              </w:rPr>
              <w:fldChar w:fldCharType="separate"/>
            </w:r>
            <w:r w:rsidR="00581EAF">
              <w:rPr>
                <w:noProof/>
                <w:webHidden/>
              </w:rPr>
              <w:t>17</w:t>
            </w:r>
            <w:r w:rsidR="00A8068A">
              <w:rPr>
                <w:noProof/>
                <w:webHidden/>
              </w:rPr>
              <w:fldChar w:fldCharType="end"/>
            </w:r>
          </w:hyperlink>
        </w:p>
        <w:p w14:paraId="28DC848D" w14:textId="2F411878" w:rsidR="00A8068A" w:rsidRDefault="006B3394">
          <w:pPr>
            <w:pStyle w:val="TOC2"/>
            <w:rPr>
              <w:rFonts w:asciiTheme="minorHAnsi" w:eastAsiaTheme="minorEastAsia" w:hAnsiTheme="minorHAnsi" w:cstheme="minorBidi"/>
              <w:b w:val="0"/>
              <w:noProof/>
              <w:sz w:val="22"/>
              <w:szCs w:val="22"/>
              <w:lang w:eastAsia="en-AU"/>
            </w:rPr>
          </w:pPr>
          <w:hyperlink w:anchor="_Toc73443786" w:history="1">
            <w:r w:rsidR="00A8068A" w:rsidRPr="000D5B72">
              <w:rPr>
                <w:rStyle w:val="Hyperlink"/>
                <w:noProof/>
              </w:rPr>
              <w:t>Next steps</w:t>
            </w:r>
            <w:r w:rsidR="00A8068A">
              <w:rPr>
                <w:noProof/>
                <w:webHidden/>
              </w:rPr>
              <w:tab/>
            </w:r>
            <w:r w:rsidR="00A8068A">
              <w:rPr>
                <w:noProof/>
                <w:webHidden/>
              </w:rPr>
              <w:fldChar w:fldCharType="begin"/>
            </w:r>
            <w:r w:rsidR="00A8068A">
              <w:rPr>
                <w:noProof/>
                <w:webHidden/>
              </w:rPr>
              <w:instrText xml:space="preserve"> PAGEREF _Toc73443786 \h </w:instrText>
            </w:r>
            <w:r w:rsidR="00A8068A">
              <w:rPr>
                <w:noProof/>
                <w:webHidden/>
              </w:rPr>
            </w:r>
            <w:r w:rsidR="00A8068A">
              <w:rPr>
                <w:noProof/>
                <w:webHidden/>
              </w:rPr>
              <w:fldChar w:fldCharType="separate"/>
            </w:r>
            <w:r w:rsidR="00581EAF">
              <w:rPr>
                <w:noProof/>
                <w:webHidden/>
              </w:rPr>
              <w:t>17</w:t>
            </w:r>
            <w:r w:rsidR="00A8068A">
              <w:rPr>
                <w:noProof/>
                <w:webHidden/>
              </w:rPr>
              <w:fldChar w:fldCharType="end"/>
            </w:r>
          </w:hyperlink>
        </w:p>
        <w:p w14:paraId="2ED5D6CA" w14:textId="191914A1" w:rsidR="00A8068A" w:rsidRDefault="006B3394">
          <w:pPr>
            <w:pStyle w:val="TOC1"/>
            <w:rPr>
              <w:rFonts w:asciiTheme="minorHAnsi" w:eastAsiaTheme="minorEastAsia" w:hAnsiTheme="minorHAnsi" w:cstheme="minorBidi"/>
              <w:b w:val="0"/>
              <w:noProof/>
              <w:sz w:val="22"/>
              <w:szCs w:val="22"/>
              <w:lang w:eastAsia="en-AU"/>
            </w:rPr>
          </w:pPr>
          <w:hyperlink w:anchor="_Toc73443787" w:history="1">
            <w:r w:rsidR="00A8068A" w:rsidRPr="000D5B72">
              <w:rPr>
                <w:rStyle w:val="Hyperlink"/>
                <w:noProof/>
              </w:rPr>
              <w:t>Appendix 1 – The legal definition of a medical device</w:t>
            </w:r>
            <w:r w:rsidR="00A8068A">
              <w:rPr>
                <w:noProof/>
                <w:webHidden/>
              </w:rPr>
              <w:tab/>
            </w:r>
            <w:r w:rsidR="00A8068A">
              <w:rPr>
                <w:noProof/>
                <w:webHidden/>
              </w:rPr>
              <w:fldChar w:fldCharType="begin"/>
            </w:r>
            <w:r w:rsidR="00A8068A">
              <w:rPr>
                <w:noProof/>
                <w:webHidden/>
              </w:rPr>
              <w:instrText xml:space="preserve"> PAGEREF _Toc73443787 \h </w:instrText>
            </w:r>
            <w:r w:rsidR="00A8068A">
              <w:rPr>
                <w:noProof/>
                <w:webHidden/>
              </w:rPr>
            </w:r>
            <w:r w:rsidR="00A8068A">
              <w:rPr>
                <w:noProof/>
                <w:webHidden/>
              </w:rPr>
              <w:fldChar w:fldCharType="separate"/>
            </w:r>
            <w:r w:rsidR="00581EAF">
              <w:rPr>
                <w:noProof/>
                <w:webHidden/>
              </w:rPr>
              <w:t>18</w:t>
            </w:r>
            <w:r w:rsidR="00A8068A">
              <w:rPr>
                <w:noProof/>
                <w:webHidden/>
              </w:rPr>
              <w:fldChar w:fldCharType="end"/>
            </w:r>
          </w:hyperlink>
        </w:p>
        <w:p w14:paraId="42022C29" w14:textId="29BB3DAF" w:rsidR="00B92C72" w:rsidRPr="009401F6" w:rsidRDefault="006C626D" w:rsidP="0023397F">
          <w:r w:rsidRPr="009401F6">
            <w:fldChar w:fldCharType="end"/>
          </w:r>
        </w:p>
      </w:sdtContent>
    </w:sdt>
    <w:p w14:paraId="6864FA82" w14:textId="77777777" w:rsidR="00F8365F" w:rsidRPr="009401F6" w:rsidRDefault="00F8365F" w:rsidP="008A07FF">
      <w:r w:rsidRPr="009401F6">
        <w:br w:type="page"/>
      </w:r>
    </w:p>
    <w:p w14:paraId="04EB305C" w14:textId="77777777" w:rsidR="001525B4" w:rsidRDefault="00E16218" w:rsidP="00FB59CE">
      <w:pPr>
        <w:pStyle w:val="Heading2"/>
      </w:pPr>
      <w:bookmarkStart w:id="1" w:name="_Toc73443768"/>
      <w:bookmarkEnd w:id="0"/>
      <w:r>
        <w:lastRenderedPageBreak/>
        <w:t>Introduction</w:t>
      </w:r>
      <w:bookmarkEnd w:id="1"/>
    </w:p>
    <w:p w14:paraId="4DAAF8D0" w14:textId="77777777" w:rsidR="00AA4C54" w:rsidRPr="003D7768" w:rsidRDefault="00AA4C54" w:rsidP="00AA4C54">
      <w:pPr>
        <w:rPr>
          <w:color w:val="000000"/>
        </w:rPr>
      </w:pPr>
      <w:r w:rsidRPr="003D7768">
        <w:rPr>
          <w:color w:val="000000"/>
        </w:rPr>
        <w:t xml:space="preserve">The Australian Government is undertaking a significant program of reform to the regulation of therapeutic goods in Australia. As part of the Australian Government Department of Health, </w:t>
      </w:r>
      <w:r>
        <w:rPr>
          <w:color w:val="000000"/>
        </w:rPr>
        <w:t xml:space="preserve">the </w:t>
      </w:r>
      <w:r w:rsidRPr="003D7768">
        <w:rPr>
          <w:color w:val="000000"/>
        </w:rPr>
        <w:t xml:space="preserve">Therapeutic Goods Administration </w:t>
      </w:r>
      <w:r>
        <w:rPr>
          <w:color w:val="000000"/>
        </w:rPr>
        <w:t>(</w:t>
      </w:r>
      <w:r w:rsidRPr="003D7768">
        <w:rPr>
          <w:color w:val="000000"/>
        </w:rPr>
        <w:t>TGA</w:t>
      </w:r>
      <w:r>
        <w:rPr>
          <w:color w:val="000000"/>
        </w:rPr>
        <w:t>)</w:t>
      </w:r>
      <w:r w:rsidRPr="003D7768">
        <w:rPr>
          <w:color w:val="000000"/>
        </w:rPr>
        <w:t xml:space="preserve"> regulates therapeutic goods, and is responsible for implementing the Government's reforms. The </w:t>
      </w:r>
      <w:r>
        <w:rPr>
          <w:color w:val="000000"/>
        </w:rPr>
        <w:t xml:space="preserve">TGA </w:t>
      </w:r>
      <w:r w:rsidRPr="003D7768">
        <w:rPr>
          <w:color w:val="000000"/>
        </w:rPr>
        <w:t>has issued this consultation paper as part of the Government's reform program.</w:t>
      </w:r>
    </w:p>
    <w:p w14:paraId="331810AA" w14:textId="77777777" w:rsidR="00C9017A" w:rsidRDefault="00C9017A" w:rsidP="00C9017A">
      <w:pPr>
        <w:pStyle w:val="Heading2"/>
      </w:pPr>
      <w:bookmarkStart w:id="2" w:name="_Toc698628"/>
      <w:bookmarkStart w:id="3" w:name="_Toc73443769"/>
      <w:bookmarkStart w:id="4" w:name="_Toc323738671"/>
      <w:bookmarkStart w:id="5" w:name="_Toc356305157"/>
      <w:r w:rsidRPr="00963DE3">
        <w:t>Background</w:t>
      </w:r>
      <w:bookmarkEnd w:id="2"/>
      <w:bookmarkEnd w:id="3"/>
    </w:p>
    <w:p w14:paraId="3D442013" w14:textId="77777777" w:rsidR="00AA4C54" w:rsidRDefault="00AA4C54" w:rsidP="00AA4C54">
      <w:bookmarkStart w:id="6" w:name="_Toc698629"/>
      <w:r>
        <w:t xml:space="preserve">On </w:t>
      </w:r>
      <w:r w:rsidRPr="00FD637D">
        <w:rPr>
          <w:b/>
        </w:rPr>
        <w:t>25 February 2021</w:t>
      </w:r>
      <w:r>
        <w:t xml:space="preserve">, changes to the </w:t>
      </w:r>
      <w:hyperlink r:id="rId13" w:history="1">
        <w:r w:rsidRPr="00FD637D">
          <w:rPr>
            <w:rStyle w:val="Hyperlink"/>
            <w:i/>
          </w:rPr>
          <w:t>Therapeutic Goods (Medical Devices) Regulations 2002</w:t>
        </w:r>
      </w:hyperlink>
      <w:r>
        <w:t xml:space="preserve"> (‘the Regulations’) commenced to introduce a new framework </w:t>
      </w:r>
      <w:r w:rsidR="00B92855">
        <w:t xml:space="preserve">(the Framework) </w:t>
      </w:r>
      <w:r>
        <w:t>for the regulation of medical devices that are designed and manufactured for individual patients</w:t>
      </w:r>
      <w:r w:rsidR="00B92855">
        <w:t xml:space="preserve"> (otherwise known as personalised medical devices)</w:t>
      </w:r>
      <w:r>
        <w:t>.  The Framework includes new definitions and regulatory requirements for personalised medical devices including custom-made medical devices.</w:t>
      </w:r>
    </w:p>
    <w:p w14:paraId="798F5C54" w14:textId="77777777" w:rsidR="00AA4C54" w:rsidRDefault="00AA4C54" w:rsidP="00AA4C54">
      <w:pPr>
        <w:rPr>
          <w:color w:val="000000"/>
        </w:rPr>
      </w:pPr>
      <w:r w:rsidRPr="003D7768">
        <w:rPr>
          <w:color w:val="000000"/>
        </w:rPr>
        <w:t xml:space="preserve">The definition of medical device in the </w:t>
      </w:r>
      <w:hyperlink r:id="rId14" w:history="1">
        <w:r w:rsidRPr="00EE7E11">
          <w:rPr>
            <w:rStyle w:val="Hyperlink"/>
            <w:i/>
          </w:rPr>
          <w:t>Therapeutic Goods Act 1989</w:t>
        </w:r>
        <w:r w:rsidRPr="00EE7E11">
          <w:rPr>
            <w:rStyle w:val="Hyperlink"/>
          </w:rPr>
          <w:t xml:space="preserve"> (the Act) </w:t>
        </w:r>
      </w:hyperlink>
      <w:r w:rsidRPr="003D7768">
        <w:rPr>
          <w:color w:val="000000"/>
        </w:rPr>
        <w:t>(</w:t>
      </w:r>
      <w:hyperlink w:anchor="_Appendix_1_-" w:history="1">
        <w:r w:rsidRPr="003870D3">
          <w:rPr>
            <w:rStyle w:val="Hyperlink"/>
          </w:rPr>
          <w:t>Appendix 1</w:t>
        </w:r>
      </w:hyperlink>
      <w:r w:rsidRPr="003D7768">
        <w:rPr>
          <w:color w:val="000000"/>
        </w:rPr>
        <w:t>) states that a medical device is any instrument, apparatus, appliance, material or other article intended to be used for:</w:t>
      </w:r>
    </w:p>
    <w:p w14:paraId="0BD60425" w14:textId="77777777" w:rsidR="00AA4C54" w:rsidRPr="003D7768" w:rsidRDefault="00AA4C54" w:rsidP="00675335">
      <w:pPr>
        <w:pStyle w:val="ListBullet"/>
        <w:numPr>
          <w:ilvl w:val="0"/>
          <w:numId w:val="1"/>
        </w:numPr>
      </w:pPr>
      <w:r w:rsidRPr="003D7768">
        <w:t xml:space="preserve">diagnosis, prevention, monitoring, </w:t>
      </w:r>
      <w:r>
        <w:t xml:space="preserve">prediction, prognosis, </w:t>
      </w:r>
      <w:r w:rsidRPr="003D7768">
        <w:t>treatment</w:t>
      </w:r>
      <w:r>
        <w:t xml:space="preserve"> or</w:t>
      </w:r>
      <w:r w:rsidRPr="003D7768">
        <w:t xml:space="preserve"> alleviation of a </w:t>
      </w:r>
      <w:proofErr w:type="gramStart"/>
      <w:r w:rsidRPr="003D7768">
        <w:t>disease;</w:t>
      </w:r>
      <w:proofErr w:type="gramEnd"/>
    </w:p>
    <w:p w14:paraId="2C69BC36" w14:textId="77777777" w:rsidR="00AA4C54" w:rsidRPr="003D7768" w:rsidRDefault="00AA4C54" w:rsidP="00675335">
      <w:pPr>
        <w:pStyle w:val="ListBullet"/>
        <w:numPr>
          <w:ilvl w:val="0"/>
          <w:numId w:val="1"/>
        </w:numPr>
      </w:pPr>
      <w:r w:rsidRPr="006E6983">
        <w:t xml:space="preserve">diagnosis, monitoring, treatment, alleviation of or compensation for an injury or </w:t>
      </w:r>
      <w:proofErr w:type="gramStart"/>
      <w:r w:rsidRPr="006E6983">
        <w:t>disability</w:t>
      </w:r>
      <w:r w:rsidRPr="003D7768">
        <w:t>;</w:t>
      </w:r>
      <w:proofErr w:type="gramEnd"/>
      <w:r w:rsidRPr="003D7768">
        <w:t xml:space="preserve"> </w:t>
      </w:r>
    </w:p>
    <w:p w14:paraId="6F662301" w14:textId="77777777" w:rsidR="00AA4C54" w:rsidRPr="003D7768" w:rsidRDefault="00AA4C54" w:rsidP="00675335">
      <w:pPr>
        <w:pStyle w:val="ListBullet"/>
        <w:numPr>
          <w:ilvl w:val="0"/>
          <w:numId w:val="1"/>
        </w:numPr>
      </w:pPr>
      <w:r w:rsidRPr="003D7768">
        <w:t>investigation</w:t>
      </w:r>
      <w:r>
        <w:t xml:space="preserve">, </w:t>
      </w:r>
      <w:proofErr w:type="gramStart"/>
      <w:r>
        <w:t>replacement</w:t>
      </w:r>
      <w:proofErr w:type="gramEnd"/>
      <w:r>
        <w:t xml:space="preserve"> or modification</w:t>
      </w:r>
      <w:r w:rsidRPr="003D7768">
        <w:t xml:space="preserve"> of the anatomy or of a physiologic</w:t>
      </w:r>
      <w:r>
        <w:t>al or pathological process or state</w:t>
      </w:r>
      <w:r w:rsidRPr="003D7768">
        <w:t>; or</w:t>
      </w:r>
    </w:p>
    <w:p w14:paraId="3C59D0D4" w14:textId="678C2B67" w:rsidR="00AA4C54" w:rsidRPr="0038532E" w:rsidRDefault="00AA4C54" w:rsidP="00675335">
      <w:pPr>
        <w:pStyle w:val="ListBullet"/>
        <w:numPr>
          <w:ilvl w:val="0"/>
          <w:numId w:val="1"/>
        </w:numPr>
      </w:pPr>
      <w:r w:rsidRPr="003D7768">
        <w:t xml:space="preserve">control </w:t>
      </w:r>
      <w:r w:rsidR="002C3BE3">
        <w:t xml:space="preserve">and support </w:t>
      </w:r>
      <w:r w:rsidRPr="003D7768">
        <w:t>of conception</w:t>
      </w:r>
      <w:r w:rsidRPr="0038532E">
        <w:t>.</w:t>
      </w:r>
    </w:p>
    <w:p w14:paraId="5CAD2B68" w14:textId="77777777" w:rsidR="00AA4C54" w:rsidRPr="003D7768" w:rsidRDefault="00AA4C54" w:rsidP="00AA4C54">
      <w:pPr>
        <w:rPr>
          <w:color w:val="000000"/>
          <w:highlight w:val="yellow"/>
        </w:rPr>
      </w:pPr>
      <w:r w:rsidRPr="003D7768">
        <w:rPr>
          <w:color w:val="000000"/>
        </w:rPr>
        <w:t xml:space="preserve">The manufacturer assigns the </w:t>
      </w:r>
      <w:r w:rsidRPr="003D7768">
        <w:rPr>
          <w:b/>
          <w:color w:val="000000"/>
        </w:rPr>
        <w:t>intended purpose</w:t>
      </w:r>
      <w:r w:rsidRPr="003D7768">
        <w:rPr>
          <w:color w:val="000000"/>
        </w:rPr>
        <w:t xml:space="preserve"> of the </w:t>
      </w:r>
      <w:r>
        <w:rPr>
          <w:color w:val="000000"/>
        </w:rPr>
        <w:t xml:space="preserve">medical device. </w:t>
      </w:r>
      <w:r w:rsidRPr="003D7768">
        <w:rPr>
          <w:color w:val="000000"/>
        </w:rPr>
        <w:t xml:space="preserve">The intended purpose is reflected in the labelling, instructions for use or any advertising material (including website advertising) provided with or for the </w:t>
      </w:r>
      <w:r>
        <w:rPr>
          <w:color w:val="000000"/>
        </w:rPr>
        <w:t xml:space="preserve">device. </w:t>
      </w:r>
      <w:r w:rsidRPr="003D7768">
        <w:rPr>
          <w:color w:val="000000"/>
        </w:rPr>
        <w:t xml:space="preserve">For regulatory purposes, the intended purpose will determine the </w:t>
      </w:r>
      <w:r w:rsidRPr="003D7768">
        <w:rPr>
          <w:b/>
          <w:color w:val="000000"/>
        </w:rPr>
        <w:t>classification of the device</w:t>
      </w:r>
      <w:r w:rsidRPr="003D7768">
        <w:rPr>
          <w:color w:val="000000"/>
        </w:rPr>
        <w:t xml:space="preserve"> and </w:t>
      </w:r>
      <w:r>
        <w:rPr>
          <w:color w:val="000000"/>
        </w:rPr>
        <w:t xml:space="preserve">minimum </w:t>
      </w:r>
      <w:r w:rsidRPr="003D7768">
        <w:rPr>
          <w:b/>
          <w:color w:val="000000"/>
        </w:rPr>
        <w:t>conformity assessment</w:t>
      </w:r>
      <w:r w:rsidRPr="003D7768">
        <w:rPr>
          <w:color w:val="000000"/>
        </w:rPr>
        <w:t xml:space="preserve"> procedures that </w:t>
      </w:r>
      <w:r>
        <w:rPr>
          <w:color w:val="000000"/>
        </w:rPr>
        <w:t xml:space="preserve">the manufacturer </w:t>
      </w:r>
      <w:r w:rsidRPr="003D7768">
        <w:rPr>
          <w:color w:val="000000"/>
        </w:rPr>
        <w:t>must compl</w:t>
      </w:r>
      <w:r>
        <w:rPr>
          <w:color w:val="000000"/>
        </w:rPr>
        <w:t xml:space="preserve">y with </w:t>
      </w:r>
      <w:r w:rsidRPr="003D7768">
        <w:rPr>
          <w:color w:val="000000"/>
        </w:rPr>
        <w:t>for inclusion in the Australian Register of Therapeutic Goods (ARTG).</w:t>
      </w:r>
      <w:r w:rsidR="00B92855">
        <w:rPr>
          <w:color w:val="000000"/>
        </w:rPr>
        <w:t xml:space="preserve">  Medical devices must be included in the ARTG before import, </w:t>
      </w:r>
      <w:proofErr w:type="gramStart"/>
      <w:r w:rsidR="00B92855">
        <w:rPr>
          <w:color w:val="000000"/>
        </w:rPr>
        <w:t>export</w:t>
      </w:r>
      <w:proofErr w:type="gramEnd"/>
      <w:r w:rsidR="00B92855">
        <w:rPr>
          <w:color w:val="000000"/>
        </w:rPr>
        <w:t xml:space="preserve"> or supply, unless an exemption (such as being a custom-made device) applies. </w:t>
      </w:r>
    </w:p>
    <w:p w14:paraId="7A671F2D" w14:textId="77777777" w:rsidR="00AA4C54" w:rsidRPr="001074C2" w:rsidRDefault="00AA4C54" w:rsidP="00AA4C54">
      <w:r>
        <w:t xml:space="preserve">Conformity assessment procedures are requirements placed on the manufacturer of a medical device. They include controls around manufacture (design and construction) of medical devices, keeping and maintaining records, and managing complaints and recalls. The minimum conformity assessment procedures that apply are determined by the classification of the device. The procedures </w:t>
      </w:r>
      <w:r w:rsidRPr="001074C2">
        <w:t xml:space="preserve">are followed by the manufacturer </w:t>
      </w:r>
      <w:proofErr w:type="gramStart"/>
      <w:r w:rsidRPr="001074C2">
        <w:t>in order to</w:t>
      </w:r>
      <w:proofErr w:type="gramEnd"/>
      <w:r w:rsidRPr="001074C2">
        <w:t xml:space="preserve"> demonstrate conformity with safety and performance principles (the essential principles of safety and performance). This principles-based approach provides flexibility for manufacturers of medical devices </w:t>
      </w:r>
      <w:r w:rsidR="00B92855">
        <w:t xml:space="preserve">on </w:t>
      </w:r>
      <w:r w:rsidRPr="001074C2">
        <w:t>how to demonstrate compliance and supports different technologies and technological advances over time.</w:t>
      </w:r>
    </w:p>
    <w:p w14:paraId="6123FEDA" w14:textId="77777777" w:rsidR="00AA4C54" w:rsidRDefault="00AA4C54" w:rsidP="00AA4C54">
      <w:pPr>
        <w:rPr>
          <w:rFonts w:eastAsia="Times New Roman"/>
          <w:color w:val="000000"/>
        </w:rPr>
      </w:pPr>
      <w:r w:rsidRPr="001074C2">
        <w:rPr>
          <w:rFonts w:eastAsia="Times New Roman"/>
          <w:color w:val="000000"/>
        </w:rPr>
        <w:t xml:space="preserve">The degree of oversight by </w:t>
      </w:r>
      <w:r w:rsidR="00B92855">
        <w:rPr>
          <w:rFonts w:eastAsia="Times New Roman"/>
          <w:color w:val="000000"/>
        </w:rPr>
        <w:t>TGA</w:t>
      </w:r>
      <w:r w:rsidRPr="001074C2">
        <w:rPr>
          <w:rFonts w:eastAsia="Times New Roman"/>
          <w:color w:val="000000"/>
        </w:rPr>
        <w:t xml:space="preserve"> varies according to the classification of the device and the manufacturer’s intended purpose for the device. There is a four-tier classificat</w:t>
      </w:r>
      <w:r>
        <w:rPr>
          <w:rFonts w:eastAsia="Times New Roman"/>
          <w:color w:val="000000"/>
        </w:rPr>
        <w:t>ion system for medical devices:</w:t>
      </w:r>
    </w:p>
    <w:p w14:paraId="3CF4D4A0" w14:textId="77777777" w:rsidR="00AA4C54" w:rsidRPr="00AA4C54" w:rsidRDefault="00AA4C54" w:rsidP="00675335">
      <w:pPr>
        <w:pStyle w:val="ListBullet"/>
        <w:numPr>
          <w:ilvl w:val="0"/>
          <w:numId w:val="1"/>
        </w:numPr>
      </w:pPr>
      <w:r w:rsidRPr="00B92855">
        <w:t xml:space="preserve">Class I </w:t>
      </w:r>
      <w:r w:rsidR="005528C3" w:rsidRPr="00B92855">
        <w:t xml:space="preserve">non-sterile, non-measuring </w:t>
      </w:r>
      <w:r w:rsidRPr="00B92855">
        <w:t>(lowest classification</w:t>
      </w:r>
      <w:proofErr w:type="gramStart"/>
      <w:r w:rsidRPr="00B92855">
        <w:t>);</w:t>
      </w:r>
      <w:proofErr w:type="gramEnd"/>
    </w:p>
    <w:p w14:paraId="178DD964" w14:textId="77777777" w:rsidR="00AA4C54" w:rsidRPr="00AA4C54" w:rsidRDefault="00AA4C54" w:rsidP="00675335">
      <w:pPr>
        <w:pStyle w:val="ListBullet"/>
        <w:numPr>
          <w:ilvl w:val="0"/>
          <w:numId w:val="1"/>
        </w:numPr>
      </w:pPr>
      <w:r w:rsidRPr="00B92855">
        <w:lastRenderedPageBreak/>
        <w:t xml:space="preserve">Class </w:t>
      </w:r>
      <w:proofErr w:type="spellStart"/>
      <w:r w:rsidRPr="00B92855">
        <w:t>IIa</w:t>
      </w:r>
      <w:proofErr w:type="spellEnd"/>
      <w:r w:rsidR="005528C3" w:rsidRPr="00B92855">
        <w:t>, Class I sterile and Class I measuring (low-medium risk</w:t>
      </w:r>
      <w:proofErr w:type="gramStart"/>
      <w:r w:rsidR="005528C3" w:rsidRPr="00B92855">
        <w:t>)</w:t>
      </w:r>
      <w:r w:rsidRPr="00B92855">
        <w:t>;</w:t>
      </w:r>
      <w:proofErr w:type="gramEnd"/>
    </w:p>
    <w:p w14:paraId="37D98DF2" w14:textId="77777777" w:rsidR="00AA4C54" w:rsidRPr="00AA4C54" w:rsidRDefault="00AA4C54" w:rsidP="00675335">
      <w:pPr>
        <w:pStyle w:val="ListBullet"/>
        <w:numPr>
          <w:ilvl w:val="0"/>
          <w:numId w:val="1"/>
        </w:numPr>
      </w:pPr>
      <w:r w:rsidRPr="00B92855">
        <w:t>Class IIb</w:t>
      </w:r>
      <w:r w:rsidR="005528C3" w:rsidRPr="00B92855">
        <w:t xml:space="preserve"> (medium-high risk)</w:t>
      </w:r>
      <w:r w:rsidRPr="00B92855">
        <w:t>; and</w:t>
      </w:r>
    </w:p>
    <w:p w14:paraId="302754BB" w14:textId="77777777" w:rsidR="00AA4C54" w:rsidRPr="00AA4C54" w:rsidRDefault="00AA4C54" w:rsidP="00675335">
      <w:pPr>
        <w:pStyle w:val="ListBullet"/>
        <w:numPr>
          <w:ilvl w:val="0"/>
          <w:numId w:val="1"/>
        </w:numPr>
      </w:pPr>
      <w:r w:rsidRPr="00B92855">
        <w:t xml:space="preserve">Class III </w:t>
      </w:r>
      <w:r w:rsidR="005528C3" w:rsidRPr="00B92855">
        <w:t xml:space="preserve">and Active Implantable Medical Devices (AIMD) </w:t>
      </w:r>
      <w:r w:rsidRPr="00B92855">
        <w:t>(highest classification).</w:t>
      </w:r>
    </w:p>
    <w:p w14:paraId="6FEA5F46" w14:textId="77777777" w:rsidR="00AA4C54" w:rsidRPr="001074C2" w:rsidRDefault="00AA4C54" w:rsidP="00AA4C54">
      <w:r w:rsidRPr="00AA4C54">
        <w:rPr>
          <w:rFonts w:eastAsia="Times New Roman"/>
          <w:color w:val="000000"/>
        </w:rPr>
        <w:t xml:space="preserve">The higher the classification of the device the higher the level of regulatory scrutiny. </w:t>
      </w:r>
      <w:r w:rsidRPr="001074C2">
        <w:t>Manufacturers of all medical devices</w:t>
      </w:r>
      <w:r w:rsidR="00C50074">
        <w:t xml:space="preserve"> </w:t>
      </w:r>
      <w:r w:rsidRPr="001074C2">
        <w:t>supplied in Australia must:</w:t>
      </w:r>
    </w:p>
    <w:p w14:paraId="0D55FC5D" w14:textId="77777777" w:rsidR="00AA4C54" w:rsidRPr="001074C2" w:rsidRDefault="00AA4C54" w:rsidP="00675335">
      <w:pPr>
        <w:pStyle w:val="ListBullet"/>
        <w:numPr>
          <w:ilvl w:val="0"/>
          <w:numId w:val="1"/>
        </w:numPr>
      </w:pPr>
      <w:r w:rsidRPr="001074C2">
        <w:t>meet the minimum conformity assessment certification requirements appropriate to the level of classification of devices being manufactured; and</w:t>
      </w:r>
    </w:p>
    <w:p w14:paraId="36BF400C" w14:textId="77777777" w:rsidR="00AA4C54" w:rsidRPr="001074C2" w:rsidRDefault="00AA4C54" w:rsidP="00675335">
      <w:pPr>
        <w:pStyle w:val="ListBullet"/>
        <w:numPr>
          <w:ilvl w:val="0"/>
          <w:numId w:val="1"/>
        </w:numPr>
      </w:pPr>
      <w:r w:rsidRPr="001074C2">
        <w:t>have evidence that demonstrates compliance of their medical devices with the relevant essential principles.</w:t>
      </w:r>
    </w:p>
    <w:p w14:paraId="6208D20A" w14:textId="301C1FEF" w:rsidR="00AA4C54" w:rsidRPr="003F3881" w:rsidRDefault="005528C3" w:rsidP="00AA4C54">
      <w:pPr>
        <w:rPr>
          <w:color w:val="000000"/>
        </w:rPr>
      </w:pPr>
      <w:r>
        <w:rPr>
          <w:color w:val="000000"/>
        </w:rPr>
        <w:t xml:space="preserve">Class </w:t>
      </w:r>
      <w:r w:rsidR="00AA4C54" w:rsidRPr="001074C2">
        <w:rPr>
          <w:color w:val="000000"/>
        </w:rPr>
        <w:t xml:space="preserve">I </w:t>
      </w:r>
      <w:r>
        <w:rPr>
          <w:color w:val="000000"/>
        </w:rPr>
        <w:t xml:space="preserve">non-sterile, non-measuring </w:t>
      </w:r>
      <w:r w:rsidR="00AA4C54" w:rsidRPr="001074C2">
        <w:rPr>
          <w:color w:val="000000"/>
        </w:rPr>
        <w:t xml:space="preserve">medical devices are self-certified and </w:t>
      </w:r>
      <w:proofErr w:type="gramStart"/>
      <w:r w:rsidR="00B92855">
        <w:rPr>
          <w:color w:val="000000"/>
        </w:rPr>
        <w:t>the majority of</w:t>
      </w:r>
      <w:proofErr w:type="gramEnd"/>
      <w:r w:rsidR="00B92855">
        <w:rPr>
          <w:color w:val="000000"/>
        </w:rPr>
        <w:t xml:space="preserve"> </w:t>
      </w:r>
      <w:r w:rsidR="00AA4C54" w:rsidRPr="001074C2">
        <w:rPr>
          <w:color w:val="000000"/>
        </w:rPr>
        <w:t xml:space="preserve">applications for inclusion in the ARTG are processed with no </w:t>
      </w:r>
      <w:r w:rsidR="00B92855">
        <w:rPr>
          <w:color w:val="000000"/>
        </w:rPr>
        <w:t xml:space="preserve">further </w:t>
      </w:r>
      <w:r w:rsidR="00AA4C54" w:rsidRPr="001074C2">
        <w:rPr>
          <w:color w:val="000000"/>
        </w:rPr>
        <w:t xml:space="preserve">assessment undertaken by the TGA. Manufacturers of </w:t>
      </w:r>
      <w:r>
        <w:rPr>
          <w:color w:val="000000"/>
        </w:rPr>
        <w:t xml:space="preserve">all devices other than Class I non-sterile, non-measuring </w:t>
      </w:r>
      <w:r w:rsidR="00AA4C54" w:rsidRPr="001074C2">
        <w:rPr>
          <w:color w:val="000000"/>
        </w:rPr>
        <w:t>medical devices must obtain conformity assessment certification from an independent body (</w:t>
      </w:r>
      <w:proofErr w:type="spellStart"/>
      <w:r w:rsidR="00AA4C54" w:rsidRPr="001074C2">
        <w:rPr>
          <w:color w:val="000000"/>
        </w:rPr>
        <w:t>e.g</w:t>
      </w:r>
      <w:proofErr w:type="spellEnd"/>
      <w:r w:rsidR="00AA4C54" w:rsidRPr="001074C2">
        <w:rPr>
          <w:color w:val="000000"/>
        </w:rPr>
        <w:t xml:space="preserve">, from a European notified body) or from the TGA prior to an application being made for inclusion in the ARTG. Manufacturers of </w:t>
      </w:r>
      <w:r>
        <w:rPr>
          <w:color w:val="000000"/>
        </w:rPr>
        <w:t>Class </w:t>
      </w:r>
      <w:r w:rsidR="00AA4C54" w:rsidRPr="001074C2">
        <w:rPr>
          <w:color w:val="000000"/>
        </w:rPr>
        <w:t xml:space="preserve">III medical devices are also required to have the design of </w:t>
      </w:r>
      <w:r w:rsidR="00D1722D">
        <w:rPr>
          <w:color w:val="000000"/>
        </w:rPr>
        <w:t xml:space="preserve">each individual </w:t>
      </w:r>
      <w:r w:rsidR="00AA4C54" w:rsidRPr="001074C2">
        <w:rPr>
          <w:color w:val="000000"/>
        </w:rPr>
        <w:t>device examined by the conformity assessment body.</w:t>
      </w:r>
    </w:p>
    <w:p w14:paraId="076EC6FE" w14:textId="77777777" w:rsidR="00E06EE5" w:rsidRPr="008610B9" w:rsidRDefault="00E06EE5" w:rsidP="00E06EE5">
      <w:pPr>
        <w:pStyle w:val="Heading3"/>
      </w:pPr>
      <w:bookmarkStart w:id="7" w:name="_Toc35874413"/>
      <w:bookmarkStart w:id="8" w:name="_Toc73443770"/>
      <w:r>
        <w:t>C</w:t>
      </w:r>
      <w:r w:rsidRPr="008610B9">
        <w:t xml:space="preserve">onsultation on </w:t>
      </w:r>
      <w:r>
        <w:t>the regulation of personalised medical devices</w:t>
      </w:r>
      <w:bookmarkEnd w:id="7"/>
      <w:bookmarkEnd w:id="8"/>
    </w:p>
    <w:p w14:paraId="40E95AD9" w14:textId="584F6859" w:rsidR="00730718" w:rsidRDefault="00E305D0" w:rsidP="00E305D0">
      <w:pPr>
        <w:rPr>
          <w:color w:val="000000"/>
        </w:rPr>
      </w:pPr>
      <w:r w:rsidRPr="00E305D0">
        <w:rPr>
          <w:color w:val="000000"/>
        </w:rPr>
        <w:t>Prior to 25 February 2021 most Personalised Medical Devices (PMD) met the definition of 'custom-made'</w:t>
      </w:r>
      <w:r w:rsidR="00730718">
        <w:rPr>
          <w:color w:val="000000"/>
        </w:rPr>
        <w:t xml:space="preserve">.  While </w:t>
      </w:r>
      <w:r w:rsidR="0095453C">
        <w:rPr>
          <w:color w:val="000000"/>
        </w:rPr>
        <w:t xml:space="preserve">devices that </w:t>
      </w:r>
      <w:r w:rsidR="00730718">
        <w:rPr>
          <w:color w:val="000000"/>
        </w:rPr>
        <w:t xml:space="preserve">met the definition of custom-made were </w:t>
      </w:r>
      <w:r w:rsidRPr="00E305D0">
        <w:rPr>
          <w:color w:val="000000"/>
        </w:rPr>
        <w:t>exempt from inclusion in the ARTG</w:t>
      </w:r>
      <w:r w:rsidR="00730718">
        <w:rPr>
          <w:color w:val="000000"/>
        </w:rPr>
        <w:t>, they were still required to meet all other regulatory obligations for devices including:</w:t>
      </w:r>
    </w:p>
    <w:p w14:paraId="03C57D14" w14:textId="630326F0" w:rsidR="00730718" w:rsidRDefault="00730718" w:rsidP="00730718">
      <w:pPr>
        <w:pStyle w:val="ListParagraph"/>
        <w:numPr>
          <w:ilvl w:val="0"/>
          <w:numId w:val="34"/>
        </w:numPr>
        <w:rPr>
          <w:color w:val="000000"/>
        </w:rPr>
      </w:pPr>
      <w:r>
        <w:rPr>
          <w:color w:val="000000"/>
        </w:rPr>
        <w:t>Ensuring the Essential Principles were met</w:t>
      </w:r>
      <w:r w:rsidR="0095453C">
        <w:rPr>
          <w:color w:val="000000"/>
        </w:rPr>
        <w:t xml:space="preserve"> </w:t>
      </w:r>
      <w:proofErr w:type="gramStart"/>
      <w:r w:rsidR="0095453C">
        <w:rPr>
          <w:color w:val="000000"/>
        </w:rPr>
        <w:t>including</w:t>
      </w:r>
      <w:r>
        <w:rPr>
          <w:color w:val="000000"/>
        </w:rPr>
        <w:t>;</w:t>
      </w:r>
      <w:proofErr w:type="gramEnd"/>
    </w:p>
    <w:p w14:paraId="71C7D5B1" w14:textId="16B1AF4E" w:rsidR="0095453C" w:rsidRDefault="0095453C" w:rsidP="0095453C">
      <w:pPr>
        <w:pStyle w:val="ListParagraph"/>
        <w:numPr>
          <w:ilvl w:val="1"/>
          <w:numId w:val="34"/>
        </w:numPr>
        <w:rPr>
          <w:color w:val="000000"/>
        </w:rPr>
      </w:pPr>
      <w:r>
        <w:rPr>
          <w:color w:val="000000"/>
        </w:rPr>
        <w:t xml:space="preserve">Designing and producing the device in a way that does not compromised health and </w:t>
      </w:r>
      <w:proofErr w:type="gramStart"/>
      <w:r>
        <w:rPr>
          <w:color w:val="000000"/>
        </w:rPr>
        <w:t>safety;</w:t>
      </w:r>
      <w:proofErr w:type="gramEnd"/>
    </w:p>
    <w:p w14:paraId="1B85B690" w14:textId="1E2FB398" w:rsidR="0095453C" w:rsidRDefault="0095453C" w:rsidP="0095453C">
      <w:pPr>
        <w:pStyle w:val="ListParagraph"/>
        <w:numPr>
          <w:ilvl w:val="1"/>
          <w:numId w:val="34"/>
        </w:numPr>
        <w:rPr>
          <w:color w:val="000000"/>
        </w:rPr>
      </w:pPr>
      <w:r>
        <w:rPr>
          <w:color w:val="000000"/>
        </w:rPr>
        <w:t xml:space="preserve">Having evidence demonstrating the </w:t>
      </w:r>
      <w:proofErr w:type="gramStart"/>
      <w:r>
        <w:rPr>
          <w:color w:val="000000"/>
        </w:rPr>
        <w:t>long term</w:t>
      </w:r>
      <w:proofErr w:type="gramEnd"/>
      <w:r>
        <w:rPr>
          <w:color w:val="000000"/>
        </w:rPr>
        <w:t xml:space="preserve"> safety of the device;</w:t>
      </w:r>
    </w:p>
    <w:p w14:paraId="5EEF209D" w14:textId="22185BC7" w:rsidR="00730718" w:rsidRDefault="00730718" w:rsidP="0095453C">
      <w:pPr>
        <w:pStyle w:val="ListParagraph"/>
        <w:numPr>
          <w:ilvl w:val="1"/>
          <w:numId w:val="34"/>
        </w:numPr>
        <w:rPr>
          <w:color w:val="000000"/>
        </w:rPr>
      </w:pPr>
      <w:r>
        <w:rPr>
          <w:color w:val="000000"/>
        </w:rPr>
        <w:t xml:space="preserve">Meeting packaging and labelling </w:t>
      </w:r>
      <w:proofErr w:type="gramStart"/>
      <w:r>
        <w:rPr>
          <w:color w:val="000000"/>
        </w:rPr>
        <w:t>requirements;</w:t>
      </w:r>
      <w:proofErr w:type="gramEnd"/>
    </w:p>
    <w:p w14:paraId="6F604750" w14:textId="09BE8B2E" w:rsidR="00730718" w:rsidRDefault="00730718" w:rsidP="0095453C">
      <w:pPr>
        <w:pStyle w:val="ListParagraph"/>
        <w:numPr>
          <w:ilvl w:val="1"/>
          <w:numId w:val="34"/>
        </w:numPr>
        <w:rPr>
          <w:color w:val="000000"/>
        </w:rPr>
      </w:pPr>
      <w:r>
        <w:rPr>
          <w:color w:val="000000"/>
        </w:rPr>
        <w:t>Supplying the device with Instructions for Use to ensure it could be safely used and maintained by the end user; and</w:t>
      </w:r>
    </w:p>
    <w:p w14:paraId="778C17D4" w14:textId="0B883192" w:rsidR="00800173" w:rsidRDefault="00730718" w:rsidP="00730718">
      <w:pPr>
        <w:pStyle w:val="ListParagraph"/>
        <w:numPr>
          <w:ilvl w:val="0"/>
          <w:numId w:val="34"/>
        </w:numPr>
        <w:rPr>
          <w:color w:val="000000"/>
        </w:rPr>
      </w:pPr>
      <w:r>
        <w:rPr>
          <w:color w:val="000000"/>
        </w:rPr>
        <w:t>Reporting adverse events associate with the device to the TGA</w:t>
      </w:r>
      <w:r w:rsidR="00E305D0" w:rsidRPr="00730718">
        <w:rPr>
          <w:color w:val="000000"/>
        </w:rPr>
        <w:t xml:space="preserve">. </w:t>
      </w:r>
    </w:p>
    <w:p w14:paraId="02E2760D" w14:textId="0295A9B3" w:rsidR="00730718" w:rsidRPr="00730718" w:rsidRDefault="00730718" w:rsidP="00730718">
      <w:pPr>
        <w:rPr>
          <w:color w:val="000000"/>
        </w:rPr>
      </w:pPr>
      <w:r>
        <w:rPr>
          <w:color w:val="000000"/>
        </w:rPr>
        <w:t>Manufacturers and sponsors of custom-made medical devices were also required to notify the TGA of the manufacture/supply of a custom-made medical device within two (2) months of</w:t>
      </w:r>
      <w:r w:rsidR="00842243">
        <w:rPr>
          <w:color w:val="000000"/>
        </w:rPr>
        <w:t xml:space="preserve"> initial manufacture/supply.</w:t>
      </w:r>
    </w:p>
    <w:p w14:paraId="1C92CE26" w14:textId="77777777" w:rsidR="00730718" w:rsidRDefault="00E305D0" w:rsidP="00E305D0">
      <w:pPr>
        <w:rPr>
          <w:color w:val="000000"/>
        </w:rPr>
      </w:pPr>
      <w:r>
        <w:rPr>
          <w:color w:val="000000"/>
        </w:rPr>
        <w:t>This exemption had been in place since 2002</w:t>
      </w:r>
      <w:r w:rsidR="00800173">
        <w:rPr>
          <w:color w:val="000000"/>
        </w:rPr>
        <w:t>. A</w:t>
      </w:r>
      <w:r w:rsidR="00730718">
        <w:rPr>
          <w:color w:val="000000"/>
        </w:rPr>
        <w:t xml:space="preserve">t that time </w:t>
      </w:r>
      <w:proofErr w:type="gramStart"/>
      <w:r>
        <w:rPr>
          <w:color w:val="000000"/>
        </w:rPr>
        <w:t>the majority of</w:t>
      </w:r>
      <w:proofErr w:type="gramEnd"/>
      <w:r>
        <w:rPr>
          <w:color w:val="000000"/>
        </w:rPr>
        <w:t xml:space="preserve"> custom-made medical devices were relatively low in risk, and usually manufactured by trained, accredited professionals.</w:t>
      </w:r>
      <w:r w:rsidR="00800173">
        <w:rPr>
          <w:color w:val="000000"/>
        </w:rPr>
        <w:t xml:space="preserve"> </w:t>
      </w:r>
      <w:r w:rsidR="00730718">
        <w:rPr>
          <w:color w:val="000000"/>
        </w:rPr>
        <w:t>Examples include:</w:t>
      </w:r>
    </w:p>
    <w:p w14:paraId="1FE49C3C" w14:textId="77777777" w:rsidR="00730718" w:rsidRDefault="00730718" w:rsidP="00730718">
      <w:pPr>
        <w:pStyle w:val="ListParagraph"/>
        <w:numPr>
          <w:ilvl w:val="0"/>
          <w:numId w:val="34"/>
        </w:numPr>
        <w:rPr>
          <w:color w:val="000000"/>
        </w:rPr>
      </w:pPr>
      <w:r w:rsidRPr="00730718">
        <w:rPr>
          <w:color w:val="000000"/>
        </w:rPr>
        <w:t>prescription spectacles</w:t>
      </w:r>
      <w:r>
        <w:rPr>
          <w:color w:val="000000"/>
        </w:rPr>
        <w:t xml:space="preserve"> from </w:t>
      </w:r>
      <w:proofErr w:type="gramStart"/>
      <w:r>
        <w:rPr>
          <w:color w:val="000000"/>
        </w:rPr>
        <w:t>optometrists;</w:t>
      </w:r>
      <w:proofErr w:type="gramEnd"/>
    </w:p>
    <w:p w14:paraId="241B0386" w14:textId="59B5B99C" w:rsidR="00730718" w:rsidRDefault="00730718" w:rsidP="00730718">
      <w:pPr>
        <w:pStyle w:val="ListParagraph"/>
        <w:numPr>
          <w:ilvl w:val="0"/>
          <w:numId w:val="34"/>
        </w:numPr>
        <w:rPr>
          <w:color w:val="000000"/>
        </w:rPr>
      </w:pPr>
      <w:r w:rsidRPr="00730718">
        <w:rPr>
          <w:color w:val="000000"/>
        </w:rPr>
        <w:t>occlusal splints</w:t>
      </w:r>
      <w:r>
        <w:rPr>
          <w:color w:val="000000"/>
        </w:rPr>
        <w:t xml:space="preserve"> made by dental </w:t>
      </w:r>
      <w:proofErr w:type="gramStart"/>
      <w:r>
        <w:rPr>
          <w:color w:val="000000"/>
        </w:rPr>
        <w:t>technicians;</w:t>
      </w:r>
      <w:proofErr w:type="gramEnd"/>
    </w:p>
    <w:p w14:paraId="79CF6E70" w14:textId="77777777" w:rsidR="00730718" w:rsidRDefault="00730718" w:rsidP="00730718">
      <w:pPr>
        <w:pStyle w:val="ListParagraph"/>
        <w:numPr>
          <w:ilvl w:val="0"/>
          <w:numId w:val="34"/>
        </w:numPr>
        <w:rPr>
          <w:color w:val="000000"/>
        </w:rPr>
      </w:pPr>
      <w:r w:rsidRPr="00730718">
        <w:rPr>
          <w:color w:val="000000"/>
        </w:rPr>
        <w:t>dentures</w:t>
      </w:r>
      <w:r>
        <w:rPr>
          <w:color w:val="000000"/>
        </w:rPr>
        <w:t xml:space="preserve"> manufactured by dental </w:t>
      </w:r>
      <w:proofErr w:type="spellStart"/>
      <w:proofErr w:type="gramStart"/>
      <w:r>
        <w:rPr>
          <w:color w:val="000000"/>
        </w:rPr>
        <w:t>prostetists</w:t>
      </w:r>
      <w:proofErr w:type="spellEnd"/>
      <w:r>
        <w:rPr>
          <w:color w:val="000000"/>
        </w:rPr>
        <w:t>;</w:t>
      </w:r>
      <w:proofErr w:type="gramEnd"/>
    </w:p>
    <w:p w14:paraId="3375042A" w14:textId="77777777" w:rsidR="00730718" w:rsidRDefault="00730718" w:rsidP="00730718">
      <w:pPr>
        <w:pStyle w:val="ListParagraph"/>
        <w:numPr>
          <w:ilvl w:val="0"/>
          <w:numId w:val="34"/>
        </w:numPr>
        <w:rPr>
          <w:color w:val="000000"/>
        </w:rPr>
      </w:pPr>
      <w:r w:rsidRPr="00730718">
        <w:rPr>
          <w:color w:val="000000"/>
        </w:rPr>
        <w:t>prosthetic eyes</w:t>
      </w:r>
      <w:r>
        <w:rPr>
          <w:color w:val="000000"/>
        </w:rPr>
        <w:t xml:space="preserve"> made by </w:t>
      </w:r>
      <w:proofErr w:type="spellStart"/>
      <w:r>
        <w:rPr>
          <w:color w:val="000000"/>
        </w:rPr>
        <w:t>occularists</w:t>
      </w:r>
      <w:proofErr w:type="spellEnd"/>
      <w:r>
        <w:rPr>
          <w:color w:val="000000"/>
        </w:rPr>
        <w:t>; and</w:t>
      </w:r>
    </w:p>
    <w:p w14:paraId="3FD4AD54" w14:textId="1F6171ED" w:rsidR="00E305D0" w:rsidRPr="00730718" w:rsidRDefault="00730718" w:rsidP="00730718">
      <w:pPr>
        <w:pStyle w:val="ListParagraph"/>
        <w:numPr>
          <w:ilvl w:val="0"/>
          <w:numId w:val="34"/>
        </w:numPr>
        <w:rPr>
          <w:color w:val="000000"/>
        </w:rPr>
      </w:pPr>
      <w:r>
        <w:rPr>
          <w:color w:val="000000"/>
        </w:rPr>
        <w:t>a range of products made by occupational therapists.</w:t>
      </w:r>
    </w:p>
    <w:p w14:paraId="5D0A4C0D" w14:textId="77777777" w:rsidR="00E305D0" w:rsidRPr="00E305D0" w:rsidRDefault="00E305D0" w:rsidP="00E305D0">
      <w:pPr>
        <w:rPr>
          <w:color w:val="000000"/>
        </w:rPr>
      </w:pPr>
      <w:r w:rsidRPr="00E305D0">
        <w:rPr>
          <w:color w:val="000000"/>
        </w:rPr>
        <w:lastRenderedPageBreak/>
        <w:t>Over the past two decades, rapid advances in computing technology and materials science have resulted in significant changes to medical imaging technology, manufacturing technology and, as a result, medical device technology. Newer methods of manufacture such as 3D-printing allow more complex and, in some cases, higher-risk medical devices to be personalised for an individual patient and supplied under the custom-made medical device exemption.  For lower risk devices these advances resulted in new manufacturers</w:t>
      </w:r>
      <w:r>
        <w:rPr>
          <w:color w:val="000000"/>
        </w:rPr>
        <w:t>, who are not always trained or accredited,</w:t>
      </w:r>
      <w:r w:rsidRPr="00E305D0">
        <w:rPr>
          <w:color w:val="000000"/>
        </w:rPr>
        <w:t xml:space="preserve"> entering the </w:t>
      </w:r>
      <w:r>
        <w:rPr>
          <w:color w:val="000000"/>
        </w:rPr>
        <w:t>market.</w:t>
      </w:r>
    </w:p>
    <w:p w14:paraId="6F147512" w14:textId="1201E19C" w:rsidR="00E06EE5" w:rsidRDefault="00E06EE5" w:rsidP="00E06EE5">
      <w:pPr>
        <w:rPr>
          <w:color w:val="000000"/>
        </w:rPr>
      </w:pPr>
      <w:r>
        <w:rPr>
          <w:color w:val="000000"/>
        </w:rPr>
        <w:t>T</w:t>
      </w:r>
      <w:r w:rsidRPr="003D7768">
        <w:rPr>
          <w:color w:val="000000"/>
        </w:rPr>
        <w:t xml:space="preserve">he </w:t>
      </w:r>
      <w:r w:rsidRPr="00730718">
        <w:rPr>
          <w:color w:val="000000"/>
        </w:rPr>
        <w:t>TGA conducted</w:t>
      </w:r>
      <w:r w:rsidR="00F03B6D" w:rsidRPr="00730718">
        <w:rPr>
          <w:color w:val="000000"/>
        </w:rPr>
        <w:t xml:space="preserve"> workshops, targeted discussions and</w:t>
      </w:r>
      <w:r w:rsidRPr="00730718">
        <w:rPr>
          <w:color w:val="000000"/>
        </w:rPr>
        <w:t xml:space="preserve"> two public</w:t>
      </w:r>
      <w:r w:rsidRPr="003D7768">
        <w:rPr>
          <w:color w:val="000000"/>
        </w:rPr>
        <w:t xml:space="preserve"> consultation</w:t>
      </w:r>
      <w:r>
        <w:rPr>
          <w:color w:val="000000"/>
        </w:rPr>
        <w:t>s relating to personalised medical devices:</w:t>
      </w:r>
    </w:p>
    <w:p w14:paraId="7EDC3862" w14:textId="77777777" w:rsidR="00E06EE5" w:rsidRDefault="00E06EE5" w:rsidP="003305A6">
      <w:pPr>
        <w:pStyle w:val="ListBullet"/>
        <w:numPr>
          <w:ilvl w:val="0"/>
          <w:numId w:val="24"/>
        </w:numPr>
        <w:rPr>
          <w:color w:val="000000"/>
        </w:rPr>
      </w:pPr>
      <w:r>
        <w:rPr>
          <w:color w:val="000000"/>
        </w:rPr>
        <w:t xml:space="preserve">2017:  </w:t>
      </w:r>
      <w:hyperlink r:id="rId15" w:history="1">
        <w:r w:rsidRPr="00E06EE5">
          <w:rPr>
            <w:rStyle w:val="Hyperlink"/>
          </w:rPr>
          <w:t>Proposed regulatory changes related to personalised and 3D printed medical devices</w:t>
        </w:r>
      </w:hyperlink>
      <w:r>
        <w:rPr>
          <w:color w:val="000000"/>
        </w:rPr>
        <w:t>.</w:t>
      </w:r>
    </w:p>
    <w:p w14:paraId="616C09C0" w14:textId="521B4900" w:rsidR="00E06EE5" w:rsidRDefault="00E06EE5" w:rsidP="003305A6">
      <w:pPr>
        <w:pStyle w:val="ListBullet"/>
        <w:numPr>
          <w:ilvl w:val="0"/>
          <w:numId w:val="24"/>
        </w:numPr>
        <w:rPr>
          <w:color w:val="000000"/>
        </w:rPr>
      </w:pPr>
      <w:r>
        <w:rPr>
          <w:color w:val="000000"/>
        </w:rPr>
        <w:t xml:space="preserve">2019:  </w:t>
      </w:r>
      <w:hyperlink r:id="rId16" w:history="1">
        <w:r w:rsidRPr="00E06EE5">
          <w:rPr>
            <w:rStyle w:val="Hyperlink"/>
          </w:rPr>
          <w:t>Proposed regulatory scheme for personalised medical devices, including 3D-printed devices</w:t>
        </w:r>
      </w:hyperlink>
      <w:r>
        <w:rPr>
          <w:color w:val="000000"/>
        </w:rPr>
        <w:t>.</w:t>
      </w:r>
    </w:p>
    <w:p w14:paraId="7444B206" w14:textId="0A968FD8" w:rsidR="00B92855" w:rsidRPr="00B92855" w:rsidRDefault="00176692" w:rsidP="0095453C">
      <w:pPr>
        <w:pStyle w:val="ListBullet"/>
        <w:numPr>
          <w:ilvl w:val="0"/>
          <w:numId w:val="0"/>
        </w:numPr>
        <w:rPr>
          <w:color w:val="000000"/>
        </w:rPr>
      </w:pPr>
      <w:r>
        <w:rPr>
          <w:color w:val="000000"/>
        </w:rPr>
        <w:t>R</w:t>
      </w:r>
      <w:r w:rsidRPr="00B92855">
        <w:rPr>
          <w:color w:val="000000"/>
        </w:rPr>
        <w:t xml:space="preserve">egulatory </w:t>
      </w:r>
      <w:hyperlink r:id="rId17" w:history="1">
        <w:r w:rsidRPr="00465404">
          <w:rPr>
            <w:rStyle w:val="Hyperlink"/>
          </w:rPr>
          <w:t>changes</w:t>
        </w:r>
      </w:hyperlink>
      <w:r w:rsidRPr="00B92855">
        <w:rPr>
          <w:color w:val="000000"/>
        </w:rPr>
        <w:t xml:space="preserve"> </w:t>
      </w:r>
      <w:r>
        <w:rPr>
          <w:color w:val="000000"/>
        </w:rPr>
        <w:t>were made by the</w:t>
      </w:r>
      <w:r w:rsidRPr="00B92855">
        <w:rPr>
          <w:color w:val="000000"/>
        </w:rPr>
        <w:t xml:space="preserve"> government decisions following th</w:t>
      </w:r>
      <w:r>
        <w:rPr>
          <w:color w:val="000000"/>
        </w:rPr>
        <w:t>ese</w:t>
      </w:r>
      <w:r w:rsidR="00842243">
        <w:rPr>
          <w:color w:val="000000"/>
        </w:rPr>
        <w:t xml:space="preserve"> consultation on 12 </w:t>
      </w:r>
      <w:r w:rsidRPr="00B92855">
        <w:rPr>
          <w:color w:val="000000"/>
        </w:rPr>
        <w:t>December 2019</w:t>
      </w:r>
      <w:r>
        <w:rPr>
          <w:color w:val="000000"/>
        </w:rPr>
        <w:t xml:space="preserve">. </w:t>
      </w:r>
      <w:proofErr w:type="gramStart"/>
      <w:r w:rsidR="00B92855" w:rsidRPr="00B92855">
        <w:rPr>
          <w:color w:val="000000"/>
        </w:rPr>
        <w:t>The majority of</w:t>
      </w:r>
      <w:proofErr w:type="gramEnd"/>
      <w:r w:rsidR="00B92855" w:rsidRPr="00B92855">
        <w:rPr>
          <w:color w:val="000000"/>
        </w:rPr>
        <w:t xml:space="preserve"> the new requirements became effective from 25 February 2021 but include a transition period for eligible manufacturers and sponsors until 1 November 2024. A summary of the changes can be found on the TGA website </w:t>
      </w:r>
      <w:hyperlink r:id="rId18" w:history="1">
        <w:r w:rsidR="00B92855" w:rsidRPr="00E06EE5">
          <w:rPr>
            <w:rStyle w:val="Hyperlink"/>
          </w:rPr>
          <w:t>here</w:t>
        </w:r>
      </w:hyperlink>
      <w:r w:rsidR="00B92855" w:rsidRPr="00B92855">
        <w:rPr>
          <w:color w:val="000000"/>
        </w:rPr>
        <w:t>.</w:t>
      </w:r>
    </w:p>
    <w:p w14:paraId="0A6E92B5" w14:textId="665D59DD" w:rsidR="00E06EE5" w:rsidRDefault="00E06EE5" w:rsidP="00E06EE5">
      <w:pPr>
        <w:rPr>
          <w:color w:val="000000"/>
        </w:rPr>
      </w:pPr>
      <w:r>
        <w:rPr>
          <w:color w:val="000000"/>
        </w:rPr>
        <w:t>F</w:t>
      </w:r>
      <w:r w:rsidRPr="008610B9">
        <w:t>urther</w:t>
      </w:r>
      <w:r w:rsidR="00800173">
        <w:t>, more</w:t>
      </w:r>
      <w:r w:rsidRPr="008610B9">
        <w:t xml:space="preserve"> detailed guidance </w:t>
      </w:r>
      <w:r>
        <w:t>will</w:t>
      </w:r>
      <w:r w:rsidR="00D1722D">
        <w:t xml:space="preserve"> also</w:t>
      </w:r>
      <w:r>
        <w:t xml:space="preserve"> </w:t>
      </w:r>
      <w:r w:rsidRPr="008610B9">
        <w:t>be informed by th</w:t>
      </w:r>
      <w:r w:rsidR="00176692">
        <w:t>e current</w:t>
      </w:r>
      <w:r w:rsidRPr="008610B9">
        <w:t xml:space="preserve"> consultation process</w:t>
      </w:r>
      <w:r w:rsidR="00176692">
        <w:t xml:space="preserve">, and </w:t>
      </w:r>
      <w:r>
        <w:t xml:space="preserve">will be published on the </w:t>
      </w:r>
      <w:hyperlink r:id="rId19" w:history="1">
        <w:r w:rsidRPr="00E06EE5">
          <w:rPr>
            <w:rStyle w:val="Hyperlink"/>
          </w:rPr>
          <w:t>Medical devices reforms: Personalised medical devices</w:t>
        </w:r>
      </w:hyperlink>
      <w:r>
        <w:t xml:space="preserve"> landing page.</w:t>
      </w:r>
    </w:p>
    <w:p w14:paraId="4EFEED6A" w14:textId="55F2DA44" w:rsidR="00AA4C54" w:rsidRDefault="00E06EE5" w:rsidP="00EC4948">
      <w:pPr>
        <w:pStyle w:val="Heading3"/>
      </w:pPr>
      <w:bookmarkStart w:id="9" w:name="_Toc73443771"/>
      <w:r>
        <w:t>Summary of the changes</w:t>
      </w:r>
      <w:bookmarkEnd w:id="9"/>
    </w:p>
    <w:p w14:paraId="24E6D62C" w14:textId="2A9F240F" w:rsidR="00E06EE5" w:rsidRDefault="00E06EE5" w:rsidP="00AA4C54">
      <w:r>
        <w:t xml:space="preserve">The main </w:t>
      </w:r>
      <w:r w:rsidR="00E305D0">
        <w:t xml:space="preserve">changes introduced under </w:t>
      </w:r>
      <w:r>
        <w:t>the Framework are:</w:t>
      </w:r>
    </w:p>
    <w:p w14:paraId="2BEDF77C" w14:textId="77777777" w:rsidR="00800173" w:rsidRDefault="00E06EE5" w:rsidP="00420A9C">
      <w:pPr>
        <w:pStyle w:val="ListParagraph"/>
        <w:numPr>
          <w:ilvl w:val="0"/>
          <w:numId w:val="12"/>
        </w:numPr>
      </w:pPr>
      <w:proofErr w:type="gramStart"/>
      <w:r>
        <w:t>The majority of</w:t>
      </w:r>
      <w:proofErr w:type="gramEnd"/>
      <w:r>
        <w:t xml:space="preserve"> </w:t>
      </w:r>
      <w:r w:rsidR="00B92855">
        <w:t>medical devices that previously met the definition of a custom-made medical device (which are exempt from inclusion in the ARTG)</w:t>
      </w:r>
      <w:r>
        <w:t xml:space="preserve"> will now meet the definition of a </w:t>
      </w:r>
      <w:r w:rsidRPr="00176692">
        <w:rPr>
          <w:b/>
        </w:rPr>
        <w:t>patient-matched medical device and will require inclusion in the ARTG</w:t>
      </w:r>
      <w:r w:rsidR="00940443" w:rsidRPr="00176692">
        <w:rPr>
          <w:b/>
        </w:rPr>
        <w:t>.</w:t>
      </w:r>
    </w:p>
    <w:p w14:paraId="504D6BC9" w14:textId="4CB0CB46" w:rsidR="00BE7EA9" w:rsidRDefault="00BE7EA9" w:rsidP="00800173">
      <w:pPr>
        <w:pStyle w:val="ListParagraph"/>
      </w:pPr>
    </w:p>
    <w:p w14:paraId="7928CF3A" w14:textId="650BEA02" w:rsidR="00D1722D" w:rsidRDefault="00420A9C" w:rsidP="00420A9C">
      <w:pPr>
        <w:pStyle w:val="ListParagraph"/>
        <w:numPr>
          <w:ilvl w:val="0"/>
          <w:numId w:val="12"/>
        </w:numPr>
      </w:pPr>
      <w:r w:rsidRPr="00176692">
        <w:rPr>
          <w:b/>
        </w:rPr>
        <w:t>Changes to the condition</w:t>
      </w:r>
      <w:r w:rsidR="00BE7EA9" w:rsidRPr="00176692">
        <w:rPr>
          <w:b/>
        </w:rPr>
        <w:t>s</w:t>
      </w:r>
      <w:r w:rsidRPr="00176692">
        <w:rPr>
          <w:b/>
        </w:rPr>
        <w:t xml:space="preserve"> of exemption for medical devices</w:t>
      </w:r>
      <w:r>
        <w:t xml:space="preserve"> that continue to meet the definition of a custom-made medical </w:t>
      </w:r>
      <w:proofErr w:type="gramStart"/>
      <w:r>
        <w:t>device;</w:t>
      </w:r>
      <w:proofErr w:type="gramEnd"/>
    </w:p>
    <w:p w14:paraId="7A5A23B3" w14:textId="77777777" w:rsidR="00800173" w:rsidRDefault="00800173" w:rsidP="00800173">
      <w:pPr>
        <w:pStyle w:val="ListParagraph"/>
      </w:pPr>
    </w:p>
    <w:p w14:paraId="5BE87DDB" w14:textId="75E0B19B" w:rsidR="00BE7EA9" w:rsidRDefault="00BE7EA9" w:rsidP="00BE7EA9">
      <w:pPr>
        <w:pStyle w:val="ListParagraph"/>
        <w:numPr>
          <w:ilvl w:val="0"/>
          <w:numId w:val="12"/>
        </w:numPr>
      </w:pPr>
      <w:r>
        <w:t xml:space="preserve">The </w:t>
      </w:r>
      <w:r w:rsidRPr="00176692">
        <w:rPr>
          <w:b/>
        </w:rPr>
        <w:t xml:space="preserve">introduction of </w:t>
      </w:r>
      <w:r w:rsidR="00800173" w:rsidRPr="00176692">
        <w:rPr>
          <w:b/>
        </w:rPr>
        <w:t>“</w:t>
      </w:r>
      <w:r w:rsidRPr="00176692">
        <w:rPr>
          <w:b/>
        </w:rPr>
        <w:t>Medical Device Production Systems</w:t>
      </w:r>
      <w:r w:rsidR="00800173" w:rsidRPr="00176692">
        <w:rPr>
          <w:b/>
        </w:rPr>
        <w:t>”</w:t>
      </w:r>
      <w:r w:rsidRPr="00E91312">
        <w:t xml:space="preserve"> where</w:t>
      </w:r>
      <w:r w:rsidR="00800173">
        <w:t>in</w:t>
      </w:r>
      <w:r w:rsidRPr="00E91312">
        <w:t xml:space="preserve"> an end-to-end system for the manufacture of </w:t>
      </w:r>
      <w:r>
        <w:t xml:space="preserve">patient-matched </w:t>
      </w:r>
      <w:r w:rsidRPr="00E91312">
        <w:t xml:space="preserve">medical devices can be included in the ARTG, thereby allowing medical devices to be manufactured within healthcare facilities without </w:t>
      </w:r>
      <w:r>
        <w:t>the need to undergo full conformity assessment and application for inclusion in the ARTG.</w:t>
      </w:r>
    </w:p>
    <w:p w14:paraId="2C65F027" w14:textId="77777777" w:rsidR="00800173" w:rsidRDefault="00800173" w:rsidP="00800173">
      <w:pPr>
        <w:pStyle w:val="ListParagraph"/>
      </w:pPr>
    </w:p>
    <w:p w14:paraId="54BEF2B4" w14:textId="34F2F58E" w:rsidR="009C5114" w:rsidRDefault="002A7167" w:rsidP="00790747">
      <w:pPr>
        <w:pStyle w:val="ListParagraph"/>
        <w:numPr>
          <w:ilvl w:val="0"/>
          <w:numId w:val="12"/>
        </w:numPr>
      </w:pPr>
      <w:r>
        <w:t>New classification rules</w:t>
      </w:r>
      <w:r w:rsidR="00790747">
        <w:t xml:space="preserve"> </w:t>
      </w:r>
      <w:r w:rsidR="00BE7EA9">
        <w:t xml:space="preserve">including </w:t>
      </w:r>
      <w:r>
        <w:t>t</w:t>
      </w:r>
      <w:r w:rsidR="00EC4948">
        <w:t xml:space="preserve">he </w:t>
      </w:r>
      <w:r w:rsidR="00790747">
        <w:t xml:space="preserve">reclassification of </w:t>
      </w:r>
      <w:r w:rsidR="00790747" w:rsidRPr="00844809">
        <w:rPr>
          <w:b/>
        </w:rPr>
        <w:t>anatomical models</w:t>
      </w:r>
      <w:r w:rsidR="00790747" w:rsidRPr="00EC4948">
        <w:t xml:space="preserve"> (physical or virtual) for the diagnosis and/or monitoring of a disease, injury or disability or the investigation of a physiological process</w:t>
      </w:r>
      <w:r w:rsidR="00790747">
        <w:t xml:space="preserve"> as Class </w:t>
      </w:r>
      <w:proofErr w:type="spellStart"/>
      <w:r w:rsidR="00790747">
        <w:t>IIa</w:t>
      </w:r>
      <w:proofErr w:type="spellEnd"/>
      <w:r w:rsidR="00790747">
        <w:t xml:space="preserve"> medical devices.</w:t>
      </w:r>
    </w:p>
    <w:p w14:paraId="3C71C4F3" w14:textId="067EFD81" w:rsidR="00EC4948" w:rsidRDefault="00EC4948" w:rsidP="00EC4948">
      <w:r>
        <w:t xml:space="preserve">Sponsors of </w:t>
      </w:r>
      <w:r w:rsidR="00176692">
        <w:t>affected</w:t>
      </w:r>
      <w:r>
        <w:t xml:space="preserve"> medical devices will need to </w:t>
      </w:r>
      <w:r w:rsidR="002A7167">
        <w:t xml:space="preserve">include </w:t>
      </w:r>
      <w:r>
        <w:t xml:space="preserve">their </w:t>
      </w:r>
      <w:r w:rsidR="00176692">
        <w:t>products</w:t>
      </w:r>
      <w:r>
        <w:t xml:space="preserve"> in the ARTG at the correct classification level</w:t>
      </w:r>
      <w:r w:rsidR="002A7167">
        <w:t xml:space="preserve"> prior to </w:t>
      </w:r>
      <w:r w:rsidR="00176692">
        <w:t>1 November 2024</w:t>
      </w:r>
      <w:r>
        <w:t>.  Manufacturers of impacted devices will need to ensure they have third party certification to demonstrate conformity assessment before the sponsor of the device can submit a valid application for inclusion.</w:t>
      </w:r>
    </w:p>
    <w:p w14:paraId="739D64C8" w14:textId="2D599024" w:rsidR="00C9017A" w:rsidRPr="00963DE3" w:rsidRDefault="00176692" w:rsidP="00C9017A">
      <w:pPr>
        <w:pStyle w:val="Heading3"/>
      </w:pPr>
      <w:bookmarkStart w:id="10" w:name="_Toc73443772"/>
      <w:bookmarkEnd w:id="6"/>
      <w:r>
        <w:lastRenderedPageBreak/>
        <w:t>Feedback following the introduction of the framework</w:t>
      </w:r>
      <w:bookmarkEnd w:id="10"/>
    </w:p>
    <w:p w14:paraId="19F797B0" w14:textId="08E71851" w:rsidR="00BE7EA9" w:rsidRDefault="003F5995" w:rsidP="0095453C">
      <w:r>
        <w:t xml:space="preserve">We have received a range </w:t>
      </w:r>
      <w:r w:rsidR="0095453C">
        <w:t xml:space="preserve">of feedback and information </w:t>
      </w:r>
      <w:proofErr w:type="gramStart"/>
      <w:r w:rsidR="0095453C">
        <w:t>during the course of</w:t>
      </w:r>
      <w:proofErr w:type="gramEnd"/>
      <w:r w:rsidR="0095453C">
        <w:t xml:space="preserve"> introducing the Framework including </w:t>
      </w:r>
      <w:r w:rsidR="00800173">
        <w:t>concerns</w:t>
      </w:r>
      <w:r w:rsidR="00AA4C54">
        <w:t xml:space="preserve"> from </w:t>
      </w:r>
      <w:r w:rsidR="00D1722D">
        <w:t xml:space="preserve">some </w:t>
      </w:r>
      <w:r w:rsidR="00AA4C54">
        <w:t>sectors about the impact of the changes</w:t>
      </w:r>
      <w:r w:rsidR="0095453C">
        <w:t>.  M</w:t>
      </w:r>
      <w:r w:rsidR="00BE7EA9">
        <w:t>anufacturers and sponsors of patient-matched medical devices include</w:t>
      </w:r>
      <w:r w:rsidR="0095453C">
        <w:t>s</w:t>
      </w:r>
      <w:r w:rsidR="00BE7EA9">
        <w:t xml:space="preserve"> </w:t>
      </w:r>
      <w:r w:rsidR="0095453C">
        <w:t xml:space="preserve">the following </w:t>
      </w:r>
      <w:r w:rsidR="00BE7EA9">
        <w:t>health</w:t>
      </w:r>
      <w:r w:rsidR="0095453C">
        <w:t>care</w:t>
      </w:r>
      <w:r w:rsidR="00BE7EA9">
        <w:t xml:space="preserve"> professionals who produce or import devices for treating their patients:</w:t>
      </w:r>
    </w:p>
    <w:p w14:paraId="4A82F754" w14:textId="315968AE" w:rsidR="00BE7EA9" w:rsidRDefault="00176692" w:rsidP="00BE7EA9">
      <w:pPr>
        <w:pStyle w:val="ListParagraph"/>
        <w:numPr>
          <w:ilvl w:val="0"/>
          <w:numId w:val="25"/>
        </w:numPr>
      </w:pPr>
      <w:r>
        <w:t>D</w:t>
      </w:r>
      <w:r w:rsidR="00BE7EA9">
        <w:t xml:space="preserve">entists, </w:t>
      </w:r>
      <w:proofErr w:type="gramStart"/>
      <w:r w:rsidR="00BE7EA9">
        <w:t>prosthodontists</w:t>
      </w:r>
      <w:proofErr w:type="gramEnd"/>
      <w:r w:rsidR="00BE7EA9">
        <w:t xml:space="preserve"> and orthodontists</w:t>
      </w:r>
    </w:p>
    <w:p w14:paraId="1D573ACB" w14:textId="7A3732E8" w:rsidR="00BE7EA9" w:rsidRDefault="00BE7EA9" w:rsidP="00BE7EA9">
      <w:pPr>
        <w:pStyle w:val="ListParagraph"/>
        <w:numPr>
          <w:ilvl w:val="0"/>
          <w:numId w:val="25"/>
        </w:numPr>
      </w:pPr>
      <w:r>
        <w:t>Dental technicians</w:t>
      </w:r>
    </w:p>
    <w:p w14:paraId="36773917" w14:textId="7DB6DE53" w:rsidR="00BE7EA9" w:rsidRDefault="00BE7EA9" w:rsidP="00BE7EA9">
      <w:pPr>
        <w:pStyle w:val="ListParagraph"/>
        <w:numPr>
          <w:ilvl w:val="0"/>
          <w:numId w:val="25"/>
        </w:numPr>
      </w:pPr>
      <w:r>
        <w:t>Dental prosthetists</w:t>
      </w:r>
    </w:p>
    <w:p w14:paraId="16D5FBCD" w14:textId="77DE68F8" w:rsidR="00BE7EA9" w:rsidRDefault="00BE7EA9" w:rsidP="00BE7EA9">
      <w:pPr>
        <w:pStyle w:val="ListParagraph"/>
        <w:numPr>
          <w:ilvl w:val="0"/>
          <w:numId w:val="25"/>
        </w:numPr>
      </w:pPr>
      <w:r>
        <w:t>Orthotists</w:t>
      </w:r>
    </w:p>
    <w:p w14:paraId="2A29B626" w14:textId="79BD58B5" w:rsidR="00BE7EA9" w:rsidRDefault="00BE7EA9" w:rsidP="00BE7EA9">
      <w:pPr>
        <w:pStyle w:val="ListParagraph"/>
        <w:numPr>
          <w:ilvl w:val="0"/>
          <w:numId w:val="25"/>
        </w:numPr>
      </w:pPr>
      <w:r>
        <w:t>Rehabilitation engineers producing custom wheelchair assemblies</w:t>
      </w:r>
    </w:p>
    <w:p w14:paraId="1D3D9F02" w14:textId="4CEA1A51" w:rsidR="00BE7EA9" w:rsidRDefault="00BE7EA9" w:rsidP="00BE7EA9">
      <w:pPr>
        <w:pStyle w:val="ListParagraph"/>
        <w:numPr>
          <w:ilvl w:val="0"/>
          <w:numId w:val="25"/>
        </w:numPr>
      </w:pPr>
      <w:r>
        <w:t>Radiation therapists</w:t>
      </w:r>
    </w:p>
    <w:p w14:paraId="6009C2FA" w14:textId="242B76F7" w:rsidR="00BE7EA9" w:rsidRDefault="00BE7EA9" w:rsidP="00BE7EA9">
      <w:pPr>
        <w:pStyle w:val="ListParagraph"/>
        <w:numPr>
          <w:ilvl w:val="0"/>
          <w:numId w:val="25"/>
        </w:numPr>
      </w:pPr>
      <w:r>
        <w:t>Audiologists</w:t>
      </w:r>
    </w:p>
    <w:p w14:paraId="7189D3F3" w14:textId="37FAF399" w:rsidR="00BE7EA9" w:rsidRDefault="00BE7EA9" w:rsidP="00BE7EA9">
      <w:pPr>
        <w:pStyle w:val="ListParagraph"/>
        <w:numPr>
          <w:ilvl w:val="0"/>
          <w:numId w:val="25"/>
        </w:numPr>
      </w:pPr>
      <w:r>
        <w:t>Hand therapists</w:t>
      </w:r>
    </w:p>
    <w:p w14:paraId="4F94F708" w14:textId="1257AC48" w:rsidR="00BE7EA9" w:rsidRDefault="00BE7EA9" w:rsidP="00BE7EA9">
      <w:pPr>
        <w:pStyle w:val="ListParagraph"/>
        <w:numPr>
          <w:ilvl w:val="0"/>
          <w:numId w:val="25"/>
        </w:numPr>
      </w:pPr>
      <w:r>
        <w:t>Prosthetists</w:t>
      </w:r>
    </w:p>
    <w:p w14:paraId="20D5BB29" w14:textId="77777777" w:rsidR="00BE7EA9" w:rsidRDefault="00BE7EA9" w:rsidP="00BE7EA9">
      <w:pPr>
        <w:pStyle w:val="ListParagraph"/>
        <w:numPr>
          <w:ilvl w:val="0"/>
          <w:numId w:val="25"/>
        </w:numPr>
      </w:pPr>
      <w:r>
        <w:t>Osteopaths.</w:t>
      </w:r>
    </w:p>
    <w:p w14:paraId="783049EF" w14:textId="6197A6E9" w:rsidR="00AA4C54" w:rsidRDefault="00800173" w:rsidP="00AA4C54">
      <w:r>
        <w:t xml:space="preserve">In some </w:t>
      </w:r>
      <w:proofErr w:type="gramStart"/>
      <w:r>
        <w:t>cases</w:t>
      </w:r>
      <w:proofErr w:type="gramEnd"/>
      <w:r>
        <w:t xml:space="preserve"> it was claimed that </w:t>
      </w:r>
      <w:r w:rsidR="00F9445B">
        <w:t>the regulatory requirements were:</w:t>
      </w:r>
    </w:p>
    <w:p w14:paraId="6F914AA3" w14:textId="0EE850AA" w:rsidR="00F9445B" w:rsidRDefault="00F9445B" w:rsidP="00675335">
      <w:pPr>
        <w:pStyle w:val="ListParagraph"/>
        <w:numPr>
          <w:ilvl w:val="0"/>
          <w:numId w:val="11"/>
        </w:numPr>
      </w:pPr>
      <w:r>
        <w:t xml:space="preserve">a duplication of existing regulation already provided by professional accrediting bodies or other regulatory </w:t>
      </w:r>
      <w:proofErr w:type="gramStart"/>
      <w:r>
        <w:t>bodies;</w:t>
      </w:r>
      <w:proofErr w:type="gramEnd"/>
      <w:r>
        <w:t xml:space="preserve"> </w:t>
      </w:r>
    </w:p>
    <w:p w14:paraId="33E92FF3" w14:textId="5E88ABA5" w:rsidR="00F9445B" w:rsidRDefault="0074077E" w:rsidP="00675335">
      <w:pPr>
        <w:pStyle w:val="ListParagraph"/>
        <w:numPr>
          <w:ilvl w:val="0"/>
          <w:numId w:val="11"/>
        </w:numPr>
      </w:pPr>
      <w:r>
        <w:t xml:space="preserve">the requirements for some devices </w:t>
      </w:r>
      <w:r w:rsidR="00800173">
        <w:t xml:space="preserve">were excessive compared with </w:t>
      </w:r>
      <w:r>
        <w:t xml:space="preserve">the </w:t>
      </w:r>
      <w:r w:rsidR="004313A3">
        <w:t>actual risk posed by the device; and/or</w:t>
      </w:r>
    </w:p>
    <w:p w14:paraId="3C2DCC1B" w14:textId="3A983FAE" w:rsidR="004313A3" w:rsidRDefault="004313A3" w:rsidP="00675335">
      <w:pPr>
        <w:pStyle w:val="ListParagraph"/>
        <w:numPr>
          <w:ilvl w:val="0"/>
          <w:numId w:val="11"/>
        </w:numPr>
      </w:pPr>
      <w:r>
        <w:t>the regulatory burden imposed by the introduction of the Framework is unreasonable.</w:t>
      </w:r>
    </w:p>
    <w:p w14:paraId="727C9A31" w14:textId="0B82A40F" w:rsidR="004742F6" w:rsidRDefault="00456C37" w:rsidP="00456C37">
      <w:r>
        <w:t xml:space="preserve">During the introduction of the framework we have also received information and evidence demonstrating that manufacturers and sponsors of devices that met the custom-made definition were not aware of, </w:t>
      </w:r>
      <w:r w:rsidR="0075759B">
        <w:t>and therefore not</w:t>
      </w:r>
      <w:r>
        <w:t xml:space="preserve"> complying with, their exi</w:t>
      </w:r>
      <w:r w:rsidR="004742F6">
        <w:t xml:space="preserve">sting regulatory requirements.  </w:t>
      </w:r>
    </w:p>
    <w:p w14:paraId="67E3BFA1" w14:textId="4A6DD476" w:rsidR="00176692" w:rsidRPr="00176692" w:rsidRDefault="00456C37" w:rsidP="00456C37">
      <w:pPr>
        <w:rPr>
          <w:b/>
        </w:rPr>
      </w:pPr>
      <w:r>
        <w:t xml:space="preserve">We are now </w:t>
      </w:r>
      <w:r w:rsidR="00176692" w:rsidRPr="00730718">
        <w:t xml:space="preserve">seeking feedback on potential refinements </w:t>
      </w:r>
      <w:r>
        <w:t xml:space="preserve">to the Framework that </w:t>
      </w:r>
      <w:r w:rsidR="00176692" w:rsidRPr="00730718">
        <w:t>could be considered to ensure risks associated with personalised medical devices are appropriately mitigated without imposing unnecessary administrative and regulatory burden.</w:t>
      </w:r>
    </w:p>
    <w:p w14:paraId="43F80CAE" w14:textId="285BE16C" w:rsidR="00C9017A" w:rsidRDefault="00053582" w:rsidP="00C9017A">
      <w:pPr>
        <w:pStyle w:val="Heading2"/>
      </w:pPr>
      <w:bookmarkStart w:id="11" w:name="_Toc73443773"/>
      <w:r>
        <w:t>This consultation</w:t>
      </w:r>
      <w:bookmarkEnd w:id="11"/>
    </w:p>
    <w:p w14:paraId="1E0B356C" w14:textId="5CAA2493" w:rsidR="00053582" w:rsidRDefault="00053582" w:rsidP="00053582">
      <w:r>
        <w:t>In considering what could be refined, we propose the following principles:</w:t>
      </w:r>
    </w:p>
    <w:p w14:paraId="274221BB" w14:textId="4C8B8F6E" w:rsidR="00053582" w:rsidRDefault="00456C37" w:rsidP="00675335">
      <w:pPr>
        <w:pStyle w:val="ListBullet2"/>
        <w:numPr>
          <w:ilvl w:val="0"/>
          <w:numId w:val="11"/>
        </w:numPr>
      </w:pPr>
      <w:r>
        <w:t>R</w:t>
      </w:r>
      <w:r w:rsidR="005240B8">
        <w:t xml:space="preserve">eduction or removal of </w:t>
      </w:r>
      <w:r w:rsidR="00053582">
        <w:t>unnecessary regulatory burden by:</w:t>
      </w:r>
    </w:p>
    <w:p w14:paraId="2F14BBBB" w14:textId="77777777" w:rsidR="00B7076D" w:rsidRPr="003D7768" w:rsidRDefault="002A7167" w:rsidP="00675335">
      <w:pPr>
        <w:pStyle w:val="ListBullet2"/>
        <w:numPr>
          <w:ilvl w:val="1"/>
          <w:numId w:val="11"/>
        </w:numPr>
      </w:pPr>
      <w:bookmarkStart w:id="12" w:name="_Toc698632"/>
      <w:r>
        <w:t xml:space="preserve">not </w:t>
      </w:r>
      <w:r w:rsidR="00B7076D" w:rsidRPr="003D7768">
        <w:t xml:space="preserve">regulating products where </w:t>
      </w:r>
      <w:r w:rsidR="00824BD5">
        <w:t xml:space="preserve">there is no </w:t>
      </w:r>
      <w:r w:rsidR="00B7076D" w:rsidRPr="003D7768">
        <w:t>risk to safety (a no-harm principle)</w:t>
      </w:r>
      <w:r w:rsidR="00B7076D">
        <w:t>; or</w:t>
      </w:r>
    </w:p>
    <w:p w14:paraId="325BFFC7" w14:textId="6E232771" w:rsidR="00AC2118" w:rsidRDefault="005240B8" w:rsidP="00BE7EA9">
      <w:pPr>
        <w:pStyle w:val="ListBullet2"/>
        <w:numPr>
          <w:ilvl w:val="1"/>
          <w:numId w:val="11"/>
        </w:numPr>
      </w:pPr>
      <w:r>
        <w:t xml:space="preserve">not </w:t>
      </w:r>
      <w:r w:rsidR="00B7076D" w:rsidRPr="003D7768">
        <w:t>regulating twice (that is, where suitable frameworks for product or system oversight are already in place)</w:t>
      </w:r>
      <w:r w:rsidR="00974B82">
        <w:t>.</w:t>
      </w:r>
    </w:p>
    <w:p w14:paraId="012671EC" w14:textId="4364952D" w:rsidR="00456C37" w:rsidRDefault="00456C37" w:rsidP="00456C37">
      <w:pPr>
        <w:pStyle w:val="ListBullet2"/>
        <w:numPr>
          <w:ilvl w:val="0"/>
          <w:numId w:val="11"/>
        </w:numPr>
      </w:pPr>
      <w:r>
        <w:t>Applying an appropriate level of oversight which is commensurate with the risk of the device.</w:t>
      </w:r>
    </w:p>
    <w:p w14:paraId="5D0CAC9B" w14:textId="77777777" w:rsidR="00D50B6F" w:rsidRDefault="00456C37" w:rsidP="00456C37">
      <w:pPr>
        <w:pStyle w:val="ListBullet2"/>
        <w:numPr>
          <w:ilvl w:val="0"/>
          <w:numId w:val="11"/>
        </w:numPr>
      </w:pPr>
      <w:r>
        <w:t>Ensuring the Australian regulatory requirements for medical devices are met, thereby ensuring devices are safe and fit for their intended purpose</w:t>
      </w:r>
      <w:r w:rsidR="00D50B6F">
        <w:t>.</w:t>
      </w:r>
    </w:p>
    <w:p w14:paraId="04BBC7CD" w14:textId="48481385" w:rsidR="00456C37" w:rsidRDefault="00D50B6F" w:rsidP="00D50B6F">
      <w:pPr>
        <w:pStyle w:val="ListBullet2"/>
        <w:numPr>
          <w:ilvl w:val="0"/>
          <w:numId w:val="0"/>
        </w:numPr>
      </w:pPr>
      <w:r>
        <w:t xml:space="preserve">Basing the proposed refinements on these principles ensures the Framework </w:t>
      </w:r>
      <w:r w:rsidR="00456C37">
        <w:t xml:space="preserve">meets the Australian Government’s commitment to ensuring a patient-focused, transparent </w:t>
      </w:r>
      <w:r>
        <w:t xml:space="preserve">regulatory system </w:t>
      </w:r>
      <w:r w:rsidR="004742F6">
        <w:t xml:space="preserve">thereby </w:t>
      </w:r>
      <w:r>
        <w:t>meet</w:t>
      </w:r>
      <w:r w:rsidR="004742F6">
        <w:t>ing</w:t>
      </w:r>
      <w:r>
        <w:t xml:space="preserve"> consumer expectations</w:t>
      </w:r>
      <w:r w:rsidR="004742F6">
        <w:t xml:space="preserve"> and </w:t>
      </w:r>
      <w:r>
        <w:t>increasing public confidence.</w:t>
      </w:r>
    </w:p>
    <w:p w14:paraId="52A1A88D" w14:textId="77777777" w:rsidR="00C9017A" w:rsidRDefault="00824BD5" w:rsidP="00C9017A">
      <w:pPr>
        <w:pStyle w:val="Heading3"/>
      </w:pPr>
      <w:bookmarkStart w:id="13" w:name="_Toc73443774"/>
      <w:bookmarkEnd w:id="12"/>
      <w:r>
        <w:lastRenderedPageBreak/>
        <w:t xml:space="preserve">Mechanisms for </w:t>
      </w:r>
      <w:r w:rsidR="002A7167">
        <w:t>refinement of the Framework</w:t>
      </w:r>
      <w:bookmarkEnd w:id="13"/>
    </w:p>
    <w:p w14:paraId="7C65F259" w14:textId="77777777" w:rsidR="00456C37" w:rsidRDefault="00456C37" w:rsidP="00456C37">
      <w:r>
        <w:t>There are three main mechanisms available to refine the regulatory approach for personalised medical devices:</w:t>
      </w:r>
    </w:p>
    <w:p w14:paraId="6E0F30CC" w14:textId="77777777" w:rsidR="00456C37" w:rsidRDefault="00456C37" w:rsidP="00456C37">
      <w:pPr>
        <w:pStyle w:val="Numberbullet0"/>
        <w:numPr>
          <w:ilvl w:val="0"/>
          <w:numId w:val="8"/>
        </w:numPr>
      </w:pPr>
      <w:r>
        <w:t>Exclusion</w:t>
      </w:r>
    </w:p>
    <w:p w14:paraId="57CFF4AC" w14:textId="77777777" w:rsidR="00456C37" w:rsidRDefault="00456C37" w:rsidP="00456C37">
      <w:pPr>
        <w:pStyle w:val="Numberbullet0"/>
        <w:numPr>
          <w:ilvl w:val="0"/>
          <w:numId w:val="8"/>
        </w:numPr>
      </w:pPr>
      <w:r>
        <w:t>Exemption</w:t>
      </w:r>
    </w:p>
    <w:p w14:paraId="5FEA6058" w14:textId="6F8AD94A" w:rsidR="00456C37" w:rsidRDefault="002C3BE3" w:rsidP="00456C37">
      <w:pPr>
        <w:pStyle w:val="Numberbullet0"/>
        <w:numPr>
          <w:ilvl w:val="0"/>
          <w:numId w:val="8"/>
        </w:numPr>
      </w:pPr>
      <w:r>
        <w:t xml:space="preserve">Inclusion in the ARTG through an </w:t>
      </w:r>
      <w:r w:rsidR="00456C37">
        <w:t>alternative conformity assessment procedure.</w:t>
      </w:r>
    </w:p>
    <w:p w14:paraId="71C6808F" w14:textId="77777777" w:rsidR="001713B2" w:rsidRDefault="001713B2" w:rsidP="001713B2">
      <w:pPr>
        <w:pStyle w:val="Heading4"/>
      </w:pPr>
      <w:bookmarkStart w:id="14" w:name="_Toc73443775"/>
      <w:r>
        <w:t>Exclusion</w:t>
      </w:r>
      <w:bookmarkEnd w:id="14"/>
    </w:p>
    <w:p w14:paraId="4DAB5E5B" w14:textId="77777777" w:rsidR="00176692" w:rsidRDefault="001713B2" w:rsidP="001713B2">
      <w:pPr>
        <w:rPr>
          <w:b/>
          <w:color w:val="000000"/>
        </w:rPr>
      </w:pPr>
      <w:r w:rsidRPr="003D7768">
        <w:rPr>
          <w:color w:val="000000"/>
        </w:rPr>
        <w:t xml:space="preserve">An </w:t>
      </w:r>
      <w:r w:rsidRPr="003D7768">
        <w:rPr>
          <w:b/>
          <w:color w:val="000000"/>
        </w:rPr>
        <w:t>exclusion</w:t>
      </w:r>
      <w:r w:rsidRPr="003D7768">
        <w:rPr>
          <w:color w:val="000000"/>
        </w:rPr>
        <w:t xml:space="preserve"> means that the specified products are </w:t>
      </w:r>
      <w:r w:rsidRPr="003D7768">
        <w:rPr>
          <w:b/>
          <w:color w:val="000000"/>
        </w:rPr>
        <w:t>not subject to regulation by the TGA</w:t>
      </w:r>
      <w:r>
        <w:rPr>
          <w:b/>
          <w:color w:val="000000"/>
        </w:rPr>
        <w:t xml:space="preserve">. </w:t>
      </w:r>
    </w:p>
    <w:p w14:paraId="673ED01A" w14:textId="2B67F193" w:rsidR="001713B2" w:rsidRPr="003D7768" w:rsidRDefault="001713B2" w:rsidP="001713B2">
      <w:pPr>
        <w:rPr>
          <w:color w:val="000000"/>
        </w:rPr>
      </w:pPr>
      <w:r w:rsidRPr="003D7768">
        <w:rPr>
          <w:color w:val="000000"/>
        </w:rPr>
        <w:t xml:space="preserve">Specified products may be excluded for all </w:t>
      </w:r>
      <w:r w:rsidR="00B92855">
        <w:rPr>
          <w:color w:val="000000"/>
        </w:rPr>
        <w:t>uses or</w:t>
      </w:r>
      <w:r w:rsidRPr="003D7768">
        <w:rPr>
          <w:color w:val="000000"/>
        </w:rPr>
        <w:t>, alternatively, only when used, advertised, or supplied in a specified m</w:t>
      </w:r>
      <w:r>
        <w:rPr>
          <w:color w:val="000000"/>
        </w:rPr>
        <w:t>anner for a particular purpose.</w:t>
      </w:r>
    </w:p>
    <w:p w14:paraId="6FC273D9" w14:textId="77777777" w:rsidR="001713B2" w:rsidRPr="003D7768" w:rsidRDefault="001713B2" w:rsidP="001713B2">
      <w:pPr>
        <w:rPr>
          <w:color w:val="000000"/>
        </w:rPr>
      </w:pPr>
      <w:r w:rsidRPr="003D7768">
        <w:rPr>
          <w:color w:val="000000"/>
        </w:rPr>
        <w:t xml:space="preserve">Excluded products </w:t>
      </w:r>
      <w:r>
        <w:rPr>
          <w:color w:val="000000"/>
        </w:rPr>
        <w:t>would not be</w:t>
      </w:r>
      <w:r w:rsidRPr="003D7768">
        <w:rPr>
          <w:color w:val="000000"/>
        </w:rPr>
        <w:t>:</w:t>
      </w:r>
    </w:p>
    <w:p w14:paraId="11E33615" w14:textId="77777777" w:rsidR="001713B2" w:rsidRPr="003D7768" w:rsidRDefault="001713B2" w:rsidP="003305A6">
      <w:pPr>
        <w:pStyle w:val="ListBullet2"/>
        <w:numPr>
          <w:ilvl w:val="1"/>
          <w:numId w:val="20"/>
        </w:numPr>
      </w:pPr>
      <w:r w:rsidRPr="003D7768">
        <w:t xml:space="preserve">able to be included in the </w:t>
      </w:r>
      <w:proofErr w:type="gramStart"/>
      <w:r w:rsidRPr="003D7768">
        <w:t>ARTG;</w:t>
      </w:r>
      <w:proofErr w:type="gramEnd"/>
    </w:p>
    <w:p w14:paraId="549E8CFC" w14:textId="77777777" w:rsidR="001713B2" w:rsidRPr="003D7768" w:rsidRDefault="001713B2" w:rsidP="003305A6">
      <w:pPr>
        <w:pStyle w:val="ListBullet2"/>
        <w:numPr>
          <w:ilvl w:val="1"/>
          <w:numId w:val="20"/>
        </w:numPr>
      </w:pPr>
      <w:r w:rsidRPr="003D7768">
        <w:t xml:space="preserve">required to be assessed in any way by the TGA before they are made available in Australia; </w:t>
      </w:r>
      <w:r>
        <w:t>or</w:t>
      </w:r>
    </w:p>
    <w:p w14:paraId="619372B7" w14:textId="77777777" w:rsidR="001713B2" w:rsidRPr="003D7768" w:rsidRDefault="001713B2" w:rsidP="003305A6">
      <w:pPr>
        <w:pStyle w:val="ListBullet2"/>
        <w:numPr>
          <w:ilvl w:val="1"/>
          <w:numId w:val="20"/>
        </w:numPr>
      </w:pPr>
      <w:r w:rsidRPr="003D7768">
        <w:t>monitored for ongoing safety by the TGA</w:t>
      </w:r>
      <w:r>
        <w:t xml:space="preserve"> after they are made available.</w:t>
      </w:r>
    </w:p>
    <w:p w14:paraId="70A4C825" w14:textId="776B717E" w:rsidR="001713B2" w:rsidRPr="003D7768" w:rsidRDefault="001713B2" w:rsidP="001713B2">
      <w:pPr>
        <w:rPr>
          <w:color w:val="000000"/>
        </w:rPr>
      </w:pPr>
      <w:r w:rsidRPr="003D7768">
        <w:rPr>
          <w:color w:val="000000"/>
        </w:rPr>
        <w:t xml:space="preserve">Suppliers of excluded products would also not </w:t>
      </w:r>
      <w:r>
        <w:rPr>
          <w:color w:val="000000"/>
        </w:rPr>
        <w:t xml:space="preserve">be </w:t>
      </w:r>
      <w:r w:rsidRPr="003D7768">
        <w:rPr>
          <w:color w:val="000000"/>
        </w:rPr>
        <w:t xml:space="preserve">required to report </w:t>
      </w:r>
      <w:hyperlink r:id="rId20" w:history="1">
        <w:r w:rsidRPr="003F7305">
          <w:rPr>
            <w:rStyle w:val="Hyperlink"/>
          </w:rPr>
          <w:t>adverse events</w:t>
        </w:r>
      </w:hyperlink>
      <w:r w:rsidRPr="003D7768">
        <w:rPr>
          <w:color w:val="000000"/>
        </w:rPr>
        <w:t xml:space="preserve"> associated with their product and the TGA would be unable to take </w:t>
      </w:r>
      <w:hyperlink r:id="rId21" w:history="1">
        <w:r w:rsidRPr="003F7305">
          <w:rPr>
            <w:rStyle w:val="Hyperlink"/>
          </w:rPr>
          <w:t>regulatory action</w:t>
        </w:r>
      </w:hyperlink>
      <w:r w:rsidRPr="003D7768">
        <w:rPr>
          <w:color w:val="000000"/>
        </w:rPr>
        <w:t xml:space="preserve"> such as </w:t>
      </w:r>
      <w:r w:rsidR="00595F64">
        <w:rPr>
          <w:color w:val="000000"/>
        </w:rPr>
        <w:t xml:space="preserve">conducting </w:t>
      </w:r>
      <w:r w:rsidRPr="003D7768">
        <w:rPr>
          <w:color w:val="000000"/>
        </w:rPr>
        <w:t xml:space="preserve">a recall or issuing a hazard alert if there is a problem with the </w:t>
      </w:r>
      <w:r w:rsidRPr="00074065">
        <w:rPr>
          <w:color w:val="000000"/>
        </w:rPr>
        <w:t xml:space="preserve">product. </w:t>
      </w:r>
      <w:r w:rsidR="00074065" w:rsidRPr="00074065">
        <w:rPr>
          <w:color w:val="000000"/>
        </w:rPr>
        <w:t>Advertising of excluded goods is also not subject to TGA legislation, including the Therapeutic Goods Advertising Code.</w:t>
      </w:r>
    </w:p>
    <w:p w14:paraId="7C9F2255" w14:textId="0E66AE1C" w:rsidR="001713B2" w:rsidRPr="003D7768" w:rsidRDefault="001713B2" w:rsidP="001713B2">
      <w:pPr>
        <w:rPr>
          <w:color w:val="000000"/>
        </w:rPr>
      </w:pPr>
      <w:r w:rsidRPr="003D7768">
        <w:rPr>
          <w:color w:val="000000"/>
        </w:rPr>
        <w:t xml:space="preserve">Before </w:t>
      </w:r>
      <w:proofErr w:type="gramStart"/>
      <w:r w:rsidRPr="003D7768">
        <w:rPr>
          <w:color w:val="000000"/>
        </w:rPr>
        <w:t>making a determination</w:t>
      </w:r>
      <w:proofErr w:type="gramEnd"/>
      <w:r w:rsidRPr="003D7768">
        <w:rPr>
          <w:color w:val="000000"/>
        </w:rPr>
        <w:t xml:space="preserve"> to exclude goods from the regulatory scheme, the Minister must have regard to:</w:t>
      </w:r>
    </w:p>
    <w:p w14:paraId="7FF5107C" w14:textId="77777777" w:rsidR="001713B2" w:rsidRPr="003D7768" w:rsidRDefault="001713B2" w:rsidP="003305A6">
      <w:pPr>
        <w:pStyle w:val="ListBullet2"/>
        <w:numPr>
          <w:ilvl w:val="1"/>
          <w:numId w:val="21"/>
        </w:numPr>
      </w:pPr>
      <w:r w:rsidRPr="003D7768">
        <w:t xml:space="preserve">whether it is likely that the specified product, if not regulated under the Act, might harm the health of members of the </w:t>
      </w:r>
      <w:proofErr w:type="gramStart"/>
      <w:r w:rsidRPr="003D7768">
        <w:t>public;</w:t>
      </w:r>
      <w:proofErr w:type="gramEnd"/>
      <w:r w:rsidRPr="003D7768">
        <w:t xml:space="preserve"> </w:t>
      </w:r>
    </w:p>
    <w:p w14:paraId="77865DC1" w14:textId="77777777" w:rsidR="001713B2" w:rsidRPr="003D7768" w:rsidRDefault="001713B2" w:rsidP="003305A6">
      <w:pPr>
        <w:pStyle w:val="ListBullet2"/>
        <w:numPr>
          <w:ilvl w:val="1"/>
          <w:numId w:val="21"/>
        </w:numPr>
      </w:pPr>
      <w:r w:rsidRPr="003D7768">
        <w:t xml:space="preserve">whether it is appropriate in all the circumstances to apply the national system of controls relating to the quality, safety, </w:t>
      </w:r>
      <w:proofErr w:type="gramStart"/>
      <w:r w:rsidRPr="003D7768">
        <w:t>efficacy</w:t>
      </w:r>
      <w:proofErr w:type="gramEnd"/>
      <w:r w:rsidRPr="003D7768">
        <w:t xml:space="preserve"> and performance of therapeutic goods established by TGA legislation to regulate the specified product; and</w:t>
      </w:r>
    </w:p>
    <w:p w14:paraId="78C7A6ED" w14:textId="77777777" w:rsidR="001713B2" w:rsidRPr="003D7768" w:rsidRDefault="001713B2" w:rsidP="003305A6">
      <w:pPr>
        <w:pStyle w:val="ListBullet2"/>
        <w:numPr>
          <w:ilvl w:val="1"/>
          <w:numId w:val="21"/>
        </w:numPr>
      </w:pPr>
      <w:r w:rsidRPr="003D7768">
        <w:t>whether the kinds of risks from the specified product to which members of the public might be exposed could be more appropriately dealt with under another regulatory scheme</w:t>
      </w:r>
      <w:r w:rsidR="002A7167">
        <w:t xml:space="preserve"> or mechanisms of oversight</w:t>
      </w:r>
      <w:r w:rsidRPr="003D7768">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713B2" w:rsidRPr="009401F6" w14:paraId="78E42012" w14:textId="77777777" w:rsidTr="009C5114">
        <w:tc>
          <w:tcPr>
            <w:tcW w:w="1276" w:type="dxa"/>
            <w:vAlign w:val="center"/>
          </w:tcPr>
          <w:p w14:paraId="1E5BCF01" w14:textId="77777777" w:rsidR="001713B2" w:rsidRPr="009401F6" w:rsidRDefault="001713B2" w:rsidP="009C5114">
            <w:pPr>
              <w:spacing w:before="0"/>
              <w:rPr>
                <w:sz w:val="20"/>
              </w:rPr>
            </w:pPr>
            <w:r w:rsidRPr="009401F6">
              <w:rPr>
                <w:noProof/>
                <w:sz w:val="20"/>
                <w:lang w:eastAsia="en-AU"/>
              </w:rPr>
              <w:drawing>
                <wp:inline distT="0" distB="0" distL="0" distR="0" wp14:anchorId="54B9275A" wp14:editId="5E278880">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3212B69" w14:textId="77777777" w:rsidR="001713B2" w:rsidRPr="009401F6" w:rsidRDefault="001713B2" w:rsidP="009C5114">
            <w:r>
              <w:t>Note</w:t>
            </w:r>
          </w:p>
          <w:p w14:paraId="6A8B3103" w14:textId="77777777" w:rsidR="001713B2" w:rsidRPr="009401F6" w:rsidRDefault="001713B2" w:rsidP="001713B2">
            <w:r>
              <w:t xml:space="preserve">Excluded products </w:t>
            </w:r>
            <w:r w:rsidRPr="003D7768">
              <w:rPr>
                <w:color w:val="000000"/>
              </w:rPr>
              <w:t xml:space="preserve">are still subject to </w:t>
            </w:r>
            <w:r w:rsidR="00B92855">
              <w:rPr>
                <w:color w:val="000000"/>
              </w:rPr>
              <w:t xml:space="preserve">other regulatory requirements, including </w:t>
            </w:r>
            <w:r w:rsidRPr="003D7768">
              <w:rPr>
                <w:color w:val="000000"/>
              </w:rPr>
              <w:t>relevant consumer laws.</w:t>
            </w:r>
          </w:p>
        </w:tc>
      </w:tr>
    </w:tbl>
    <w:p w14:paraId="62AF4687" w14:textId="77777777" w:rsidR="004A2EB5" w:rsidRDefault="004A2EB5" w:rsidP="004A2EB5">
      <w:pPr>
        <w:pStyle w:val="Heading4"/>
      </w:pPr>
      <w:bookmarkStart w:id="15" w:name="_Toc73443776"/>
      <w:r>
        <w:t>Exemption</w:t>
      </w:r>
      <w:bookmarkEnd w:id="15"/>
    </w:p>
    <w:p w14:paraId="793189C6" w14:textId="77777777" w:rsidR="004A2EB5" w:rsidRDefault="004A2EB5" w:rsidP="004A2EB5">
      <w:pPr>
        <w:rPr>
          <w:color w:val="000000"/>
        </w:rPr>
      </w:pPr>
      <w:r>
        <w:rPr>
          <w:b/>
          <w:color w:val="000000"/>
        </w:rPr>
        <w:t>Exempt</w:t>
      </w:r>
      <w:r w:rsidRPr="003D7768">
        <w:rPr>
          <w:b/>
          <w:color w:val="000000"/>
        </w:rPr>
        <w:t xml:space="preserve"> products</w:t>
      </w:r>
      <w:r w:rsidRPr="003D7768">
        <w:rPr>
          <w:color w:val="000000"/>
        </w:rPr>
        <w:t xml:space="preserve"> </w:t>
      </w:r>
      <w:r>
        <w:rPr>
          <w:color w:val="000000"/>
        </w:rPr>
        <w:t>are not required to be included in the ARTG</w:t>
      </w:r>
      <w:r w:rsidRPr="003D7768">
        <w:rPr>
          <w:color w:val="000000"/>
        </w:rPr>
        <w:t xml:space="preserve"> (and thus an application relating to the product does not have to be submitted to TGA for review) but </w:t>
      </w:r>
      <w:r>
        <w:rPr>
          <w:color w:val="000000"/>
        </w:rPr>
        <w:t xml:space="preserve">must meet all other </w:t>
      </w:r>
      <w:r>
        <w:rPr>
          <w:color w:val="000000"/>
        </w:rPr>
        <w:lastRenderedPageBreak/>
        <w:t>Australian regulatory requirements associated with the manufacture and supply of a medical device including:</w:t>
      </w:r>
    </w:p>
    <w:p w14:paraId="25B2476E" w14:textId="6C506A49" w:rsidR="00D50B6F" w:rsidRDefault="00D50B6F" w:rsidP="00D50B6F">
      <w:pPr>
        <w:pStyle w:val="ListBullet2"/>
        <w:numPr>
          <w:ilvl w:val="1"/>
          <w:numId w:val="22"/>
        </w:numPr>
        <w:rPr>
          <w:color w:val="000000"/>
        </w:rPr>
      </w:pPr>
      <w:r>
        <w:rPr>
          <w:color w:val="000000"/>
        </w:rPr>
        <w:t xml:space="preserve">meeting all relevant Essential Principles </w:t>
      </w:r>
      <w:proofErr w:type="gramStart"/>
      <w:r>
        <w:rPr>
          <w:color w:val="000000"/>
        </w:rPr>
        <w:t>including;</w:t>
      </w:r>
      <w:proofErr w:type="gramEnd"/>
    </w:p>
    <w:p w14:paraId="436B103E" w14:textId="77777777" w:rsidR="00D50B6F" w:rsidRDefault="00D50B6F" w:rsidP="00D50B6F">
      <w:pPr>
        <w:pStyle w:val="ListParagraph"/>
        <w:numPr>
          <w:ilvl w:val="2"/>
          <w:numId w:val="36"/>
        </w:numPr>
        <w:rPr>
          <w:color w:val="000000"/>
        </w:rPr>
      </w:pPr>
      <w:r>
        <w:rPr>
          <w:color w:val="000000"/>
        </w:rPr>
        <w:t xml:space="preserve">Designing and producing the device in a way that does not compromised health and </w:t>
      </w:r>
      <w:proofErr w:type="gramStart"/>
      <w:r>
        <w:rPr>
          <w:color w:val="000000"/>
        </w:rPr>
        <w:t>safety;</w:t>
      </w:r>
      <w:proofErr w:type="gramEnd"/>
    </w:p>
    <w:p w14:paraId="7D5AE6B9" w14:textId="77777777" w:rsidR="00D50B6F" w:rsidRDefault="00D50B6F" w:rsidP="00D50B6F">
      <w:pPr>
        <w:pStyle w:val="ListParagraph"/>
        <w:numPr>
          <w:ilvl w:val="2"/>
          <w:numId w:val="36"/>
        </w:numPr>
        <w:rPr>
          <w:color w:val="000000"/>
        </w:rPr>
      </w:pPr>
      <w:r>
        <w:rPr>
          <w:color w:val="000000"/>
        </w:rPr>
        <w:t xml:space="preserve">Having evidence demonstrating the </w:t>
      </w:r>
      <w:proofErr w:type="gramStart"/>
      <w:r>
        <w:rPr>
          <w:color w:val="000000"/>
        </w:rPr>
        <w:t>long term</w:t>
      </w:r>
      <w:proofErr w:type="gramEnd"/>
      <w:r>
        <w:rPr>
          <w:color w:val="000000"/>
        </w:rPr>
        <w:t xml:space="preserve"> safety of the device;</w:t>
      </w:r>
    </w:p>
    <w:p w14:paraId="23523CFF" w14:textId="77777777" w:rsidR="00D50B6F" w:rsidRDefault="00D50B6F" w:rsidP="00D50B6F">
      <w:pPr>
        <w:pStyle w:val="ListParagraph"/>
        <w:numPr>
          <w:ilvl w:val="2"/>
          <w:numId w:val="36"/>
        </w:numPr>
        <w:rPr>
          <w:color w:val="000000"/>
        </w:rPr>
      </w:pPr>
      <w:r>
        <w:rPr>
          <w:color w:val="000000"/>
        </w:rPr>
        <w:t xml:space="preserve">Meeting packaging and labelling </w:t>
      </w:r>
      <w:proofErr w:type="gramStart"/>
      <w:r>
        <w:rPr>
          <w:color w:val="000000"/>
        </w:rPr>
        <w:t>requirements;</w:t>
      </w:r>
      <w:proofErr w:type="gramEnd"/>
    </w:p>
    <w:p w14:paraId="24FACACB" w14:textId="09706B22" w:rsidR="00D50B6F" w:rsidRDefault="00D50B6F" w:rsidP="00D50B6F">
      <w:pPr>
        <w:pStyle w:val="ListParagraph"/>
        <w:numPr>
          <w:ilvl w:val="2"/>
          <w:numId w:val="36"/>
        </w:numPr>
        <w:rPr>
          <w:color w:val="000000"/>
        </w:rPr>
      </w:pPr>
      <w:r>
        <w:rPr>
          <w:color w:val="000000"/>
        </w:rPr>
        <w:t xml:space="preserve">Supplying the device with Instructions for Use to ensure it could be safely used and maintained by the end </w:t>
      </w:r>
      <w:proofErr w:type="gramStart"/>
      <w:r>
        <w:rPr>
          <w:color w:val="000000"/>
        </w:rPr>
        <w:t>user;</w:t>
      </w:r>
      <w:proofErr w:type="gramEnd"/>
      <w:r>
        <w:rPr>
          <w:color w:val="000000"/>
        </w:rPr>
        <w:t xml:space="preserve"> </w:t>
      </w:r>
    </w:p>
    <w:p w14:paraId="3D413869" w14:textId="79371F81" w:rsidR="004A2EB5" w:rsidRPr="005D255E" w:rsidRDefault="00B92855" w:rsidP="003305A6">
      <w:pPr>
        <w:pStyle w:val="ListBullet2"/>
        <w:numPr>
          <w:ilvl w:val="1"/>
          <w:numId w:val="22"/>
        </w:numPr>
      </w:pPr>
      <w:r w:rsidRPr="005D255E">
        <w:t xml:space="preserve">keeping records of supply; </w:t>
      </w:r>
      <w:r w:rsidR="004A2EB5" w:rsidRPr="005D255E">
        <w:t>and</w:t>
      </w:r>
    </w:p>
    <w:p w14:paraId="0A1DEC7D" w14:textId="58F1DAC2" w:rsidR="004A2EB5" w:rsidRPr="005D255E" w:rsidRDefault="004A2EB5" w:rsidP="003305A6">
      <w:pPr>
        <w:pStyle w:val="ListBullet2"/>
        <w:numPr>
          <w:ilvl w:val="1"/>
          <w:numId w:val="22"/>
        </w:numPr>
      </w:pPr>
      <w:r w:rsidRPr="005D255E">
        <w:t>reporting adverse events associated with the medical device</w:t>
      </w:r>
      <w:r w:rsidR="00D50B6F">
        <w:t xml:space="preserve"> </w:t>
      </w:r>
      <w:r w:rsidR="00D50B6F" w:rsidRPr="00D50B6F">
        <w:t>to the TGA</w:t>
      </w:r>
      <w:r w:rsidRPr="005D255E">
        <w:t>.</w:t>
      </w:r>
    </w:p>
    <w:p w14:paraId="7C7C8C9D" w14:textId="5145D060" w:rsidR="00D50B6F" w:rsidRDefault="004A2EB5" w:rsidP="004A2EB5">
      <w:pPr>
        <w:rPr>
          <w:color w:val="000000"/>
        </w:rPr>
      </w:pPr>
      <w:r>
        <w:rPr>
          <w:color w:val="000000"/>
        </w:rPr>
        <w:t xml:space="preserve">The TGA maintains all relevant regulatory powers with respect to the device </w:t>
      </w:r>
      <w:r w:rsidR="00D50B6F">
        <w:rPr>
          <w:color w:val="000000"/>
        </w:rPr>
        <w:t>including the capacity to:</w:t>
      </w:r>
    </w:p>
    <w:p w14:paraId="4EFEF498" w14:textId="6F5B2EE3" w:rsidR="00D50B6F" w:rsidRDefault="00D50B6F" w:rsidP="00D50B6F">
      <w:pPr>
        <w:pStyle w:val="ListParagraph"/>
        <w:numPr>
          <w:ilvl w:val="1"/>
          <w:numId w:val="22"/>
        </w:numPr>
        <w:rPr>
          <w:color w:val="000000"/>
        </w:rPr>
      </w:pPr>
      <w:r>
        <w:rPr>
          <w:color w:val="000000"/>
        </w:rPr>
        <w:t xml:space="preserve">undertake a post-market review of the device to ensure it meets all relevant regulatory </w:t>
      </w:r>
      <w:proofErr w:type="gramStart"/>
      <w:r>
        <w:rPr>
          <w:color w:val="000000"/>
        </w:rPr>
        <w:t>requirements;</w:t>
      </w:r>
      <w:proofErr w:type="gramEnd"/>
    </w:p>
    <w:p w14:paraId="2B1548D5" w14:textId="57017020" w:rsidR="00D50B6F" w:rsidRDefault="00D50B6F" w:rsidP="00D50B6F">
      <w:pPr>
        <w:pStyle w:val="ListParagraph"/>
        <w:numPr>
          <w:ilvl w:val="1"/>
          <w:numId w:val="22"/>
        </w:numPr>
        <w:rPr>
          <w:color w:val="000000"/>
        </w:rPr>
      </w:pPr>
      <w:r>
        <w:rPr>
          <w:color w:val="000000"/>
        </w:rPr>
        <w:t xml:space="preserve">request relevant information relating to the device including, but not limited </w:t>
      </w:r>
      <w:proofErr w:type="gramStart"/>
      <w:r>
        <w:rPr>
          <w:color w:val="000000"/>
        </w:rPr>
        <w:t>to;</w:t>
      </w:r>
      <w:proofErr w:type="gramEnd"/>
    </w:p>
    <w:p w14:paraId="6D374F9E" w14:textId="17F4DD23" w:rsidR="00D50B6F" w:rsidRDefault="00023945" w:rsidP="00D50B6F">
      <w:pPr>
        <w:pStyle w:val="ListParagraph"/>
        <w:numPr>
          <w:ilvl w:val="2"/>
          <w:numId w:val="22"/>
        </w:numPr>
        <w:rPr>
          <w:color w:val="000000"/>
        </w:rPr>
      </w:pPr>
      <w:r>
        <w:rPr>
          <w:color w:val="000000"/>
        </w:rPr>
        <w:t xml:space="preserve">samples of the device for </w:t>
      </w:r>
      <w:proofErr w:type="gramStart"/>
      <w:r>
        <w:rPr>
          <w:color w:val="000000"/>
        </w:rPr>
        <w:t>testing;</w:t>
      </w:r>
      <w:proofErr w:type="gramEnd"/>
    </w:p>
    <w:p w14:paraId="27D44BD4" w14:textId="72D4F883" w:rsidR="00023945" w:rsidRDefault="00023945" w:rsidP="00D50B6F">
      <w:pPr>
        <w:pStyle w:val="ListParagraph"/>
        <w:numPr>
          <w:ilvl w:val="2"/>
          <w:numId w:val="22"/>
        </w:numPr>
        <w:rPr>
          <w:color w:val="000000"/>
        </w:rPr>
      </w:pPr>
      <w:r>
        <w:rPr>
          <w:color w:val="000000"/>
        </w:rPr>
        <w:t xml:space="preserve">examples of the packaging, labelling or advertising material for the </w:t>
      </w:r>
      <w:proofErr w:type="gramStart"/>
      <w:r>
        <w:rPr>
          <w:color w:val="000000"/>
        </w:rPr>
        <w:t>device;</w:t>
      </w:r>
      <w:proofErr w:type="gramEnd"/>
    </w:p>
    <w:p w14:paraId="6F4E9BF8" w14:textId="04DC0753" w:rsidR="00023945" w:rsidRDefault="00023945" w:rsidP="00D50B6F">
      <w:pPr>
        <w:pStyle w:val="ListParagraph"/>
        <w:numPr>
          <w:ilvl w:val="2"/>
          <w:numId w:val="22"/>
        </w:numPr>
        <w:rPr>
          <w:color w:val="000000"/>
        </w:rPr>
      </w:pPr>
      <w:r>
        <w:rPr>
          <w:color w:val="000000"/>
        </w:rPr>
        <w:t xml:space="preserve">supply records for the </w:t>
      </w:r>
      <w:proofErr w:type="gramStart"/>
      <w:r>
        <w:rPr>
          <w:color w:val="000000"/>
        </w:rPr>
        <w:t>device;</w:t>
      </w:r>
      <w:proofErr w:type="gramEnd"/>
    </w:p>
    <w:p w14:paraId="32D8022F" w14:textId="3EFD725E" w:rsidR="00D50B6F" w:rsidRDefault="00023945" w:rsidP="00D50B6F">
      <w:pPr>
        <w:pStyle w:val="ListParagraph"/>
        <w:numPr>
          <w:ilvl w:val="1"/>
          <w:numId w:val="22"/>
        </w:numPr>
        <w:rPr>
          <w:color w:val="000000"/>
        </w:rPr>
      </w:pPr>
      <w:r>
        <w:rPr>
          <w:color w:val="000000"/>
        </w:rPr>
        <w:t>suspend manufacture or supply of the device;</w:t>
      </w:r>
      <w:r w:rsidR="00BF6D93">
        <w:rPr>
          <w:color w:val="000000"/>
        </w:rPr>
        <w:t xml:space="preserve"> and</w:t>
      </w:r>
    </w:p>
    <w:p w14:paraId="411C5AA4" w14:textId="77777777" w:rsidR="00023945" w:rsidRDefault="00023945" w:rsidP="00023945">
      <w:pPr>
        <w:pStyle w:val="ListParagraph"/>
        <w:numPr>
          <w:ilvl w:val="1"/>
          <w:numId w:val="22"/>
        </w:numPr>
        <w:rPr>
          <w:color w:val="000000"/>
        </w:rPr>
      </w:pPr>
      <w:r>
        <w:rPr>
          <w:color w:val="000000"/>
        </w:rPr>
        <w:t xml:space="preserve">conduct a </w:t>
      </w:r>
      <w:hyperlink r:id="rId23" w:history="1">
        <w:r w:rsidRPr="00023945">
          <w:rPr>
            <w:rStyle w:val="Hyperlink"/>
          </w:rPr>
          <w:t>recall activity</w:t>
        </w:r>
      </w:hyperlink>
      <w:r>
        <w:rPr>
          <w:color w:val="000000"/>
        </w:rPr>
        <w:t xml:space="preserve"> in relation to the device including issuing a </w:t>
      </w:r>
      <w:r w:rsidR="004A2EB5" w:rsidRPr="003D7768">
        <w:rPr>
          <w:color w:val="000000"/>
        </w:rPr>
        <w:t>hazard alert if there is a problem with the product</w:t>
      </w:r>
      <w:r>
        <w:rPr>
          <w:color w:val="000000"/>
        </w:rPr>
        <w:t>.</w:t>
      </w:r>
    </w:p>
    <w:p w14:paraId="390630CE" w14:textId="7DB798BF" w:rsidR="004A2EB5" w:rsidRPr="00023945" w:rsidRDefault="002A7167" w:rsidP="00023945">
      <w:pPr>
        <w:rPr>
          <w:color w:val="000000"/>
        </w:rPr>
      </w:pPr>
      <w:r w:rsidRPr="00023945">
        <w:rPr>
          <w:color w:val="000000"/>
        </w:rPr>
        <w:t xml:space="preserve">The TGA is also able to take regulatory action if the device is advertised in contravention of the advertising requirements under </w:t>
      </w:r>
      <w:r w:rsidR="00176692" w:rsidRPr="00023945">
        <w:rPr>
          <w:color w:val="000000"/>
        </w:rPr>
        <w:t>Therapeutic Goods</w:t>
      </w:r>
      <w:r w:rsidRPr="00023945">
        <w:rPr>
          <w:color w:val="000000"/>
        </w:rPr>
        <w:t xml:space="preserve"> legislation.</w:t>
      </w:r>
    </w:p>
    <w:p w14:paraId="3D8B2DEC" w14:textId="2A629B3D" w:rsidR="004A2EB5" w:rsidRDefault="004A2EB5" w:rsidP="004A2EB5">
      <w:pPr>
        <w:rPr>
          <w:color w:val="000000"/>
        </w:rPr>
      </w:pPr>
      <w:r w:rsidRPr="004A2EB5">
        <w:rPr>
          <w:color w:val="000000"/>
        </w:rPr>
        <w:t>An exemption can either be made for a product without conditions or be made subject to conditions that can be prescribed in the Regulations (e.g., exemption for a specified product</w:t>
      </w:r>
      <w:r>
        <w:rPr>
          <w:color w:val="000000"/>
        </w:rPr>
        <w:t xml:space="preserve"> when manufactured by a particular professional or</w:t>
      </w:r>
      <w:r w:rsidRPr="004A2EB5">
        <w:rPr>
          <w:color w:val="000000"/>
        </w:rPr>
        <w:t xml:space="preserve"> when supplied to a certain type of facility or for a specified purpose)</w:t>
      </w:r>
      <w:r>
        <w:rPr>
          <w:color w:val="000000"/>
        </w:rPr>
        <w:t>.</w:t>
      </w:r>
    </w:p>
    <w:p w14:paraId="00B91CBF" w14:textId="77777777" w:rsidR="004742F6" w:rsidRDefault="004742F6" w:rsidP="004742F6">
      <w:pPr>
        <w:pStyle w:val="Heading4"/>
      </w:pPr>
      <w:bookmarkStart w:id="16" w:name="_Toc73443777"/>
      <w:r>
        <w:t>Special conformity assessment procedures for inclusion in ARTG</w:t>
      </w:r>
      <w:bookmarkEnd w:id="16"/>
    </w:p>
    <w:p w14:paraId="23EA2C8F" w14:textId="7C4A1D6C" w:rsidR="004742F6" w:rsidRPr="004A2EB5" w:rsidRDefault="004742F6" w:rsidP="004A2EB5">
      <w:pPr>
        <w:rPr>
          <w:color w:val="000000"/>
        </w:rPr>
      </w:pPr>
      <w:r w:rsidRPr="005D255E">
        <w:rPr>
          <w:color w:val="000000"/>
        </w:rPr>
        <w:t>An alternative conformity assessment procedure c</w:t>
      </w:r>
      <w:r>
        <w:rPr>
          <w:color w:val="000000"/>
        </w:rPr>
        <w:t>ould</w:t>
      </w:r>
      <w:r w:rsidRPr="005D255E">
        <w:rPr>
          <w:color w:val="000000"/>
        </w:rPr>
        <w:t xml:space="preserve"> be made for </w:t>
      </w:r>
      <w:r>
        <w:rPr>
          <w:color w:val="000000"/>
        </w:rPr>
        <w:t xml:space="preserve">inclusion of </w:t>
      </w:r>
      <w:r w:rsidRPr="005D255E">
        <w:rPr>
          <w:color w:val="000000"/>
        </w:rPr>
        <w:t xml:space="preserve">certain </w:t>
      </w:r>
      <w:r w:rsidR="002C3BE3">
        <w:rPr>
          <w:color w:val="000000"/>
        </w:rPr>
        <w:t xml:space="preserve">patient-matched </w:t>
      </w:r>
      <w:r w:rsidRPr="005D255E">
        <w:rPr>
          <w:color w:val="000000"/>
        </w:rPr>
        <w:t>medical device</w:t>
      </w:r>
      <w:r>
        <w:rPr>
          <w:color w:val="000000"/>
        </w:rPr>
        <w:t>s in the ARTG. This would only be considered</w:t>
      </w:r>
      <w:r w:rsidRPr="005D255E">
        <w:rPr>
          <w:color w:val="000000"/>
        </w:rPr>
        <w:t xml:space="preserve"> if </w:t>
      </w:r>
      <w:r w:rsidRPr="00634B71">
        <w:t>there are already adequate alternative mechanisms of oversight in place so that the risks associated with their use and performance can be appropriately mitigated</w:t>
      </w:r>
      <w:r>
        <w:t>.</w:t>
      </w:r>
      <w:r w:rsidRPr="005D255E">
        <w:rPr>
          <w:color w:val="000000"/>
        </w:rPr>
        <w:t xml:space="preserve"> Such a procedure could replace the need for a manufacturer to obtain quality management system certification</w:t>
      </w:r>
      <w:r>
        <w:rPr>
          <w:color w:val="000000"/>
        </w:rPr>
        <w:t xml:space="preserve"> prior to applying for inclusion of their device in the ARTG</w:t>
      </w:r>
      <w:r w:rsidRPr="005D255E">
        <w:rPr>
          <w:color w:val="000000"/>
        </w:rPr>
        <w:t>.</w:t>
      </w:r>
    </w:p>
    <w:p w14:paraId="4B211D2C" w14:textId="77777777" w:rsidR="005D255E" w:rsidRDefault="005D255E" w:rsidP="005D255E">
      <w:pPr>
        <w:pStyle w:val="Heading3"/>
      </w:pPr>
      <w:bookmarkStart w:id="17" w:name="_Toc73443778"/>
      <w:r>
        <w:t>Proposed principles for consideration of potential refinements to the Framework</w:t>
      </w:r>
      <w:bookmarkEnd w:id="17"/>
    </w:p>
    <w:p w14:paraId="39B12FD5" w14:textId="036E2267" w:rsidR="00F111FD" w:rsidRDefault="00DA5D5C">
      <w:pPr>
        <w:pStyle w:val="Numberbullet0"/>
        <w:numPr>
          <w:ilvl w:val="0"/>
          <w:numId w:val="0"/>
        </w:numPr>
      </w:pPr>
      <w:r>
        <w:t xml:space="preserve">In Australia the risk posed by a medical device is established through key factors including duration of use and level of invasiveness.  </w:t>
      </w:r>
      <w:r w:rsidR="00F111FD">
        <w:t xml:space="preserve">The level of regulation imposed under each mechanism </w:t>
      </w:r>
      <w:r>
        <w:t xml:space="preserve">for refinement </w:t>
      </w:r>
      <w:r w:rsidR="00F111FD">
        <w:t>varies, and we are therefore proposing to apply the mechanisms available according to the following principles:</w:t>
      </w:r>
    </w:p>
    <w:tbl>
      <w:tblPr>
        <w:tblStyle w:val="TableTGAblue"/>
        <w:tblW w:w="0" w:type="auto"/>
        <w:tblLook w:val="04A0" w:firstRow="1" w:lastRow="0" w:firstColumn="1" w:lastColumn="0" w:noHBand="0" w:noVBand="1"/>
      </w:tblPr>
      <w:tblGrid>
        <w:gridCol w:w="4525"/>
        <w:gridCol w:w="4525"/>
      </w:tblGrid>
      <w:tr w:rsidR="00F111FD" w14:paraId="59E0CF35" w14:textId="77777777" w:rsidTr="009C42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Pr>
          <w:p w14:paraId="5D84E2EE" w14:textId="77777777" w:rsidR="00F111FD" w:rsidRDefault="00F111FD" w:rsidP="009C425D">
            <w:pPr>
              <w:pStyle w:val="Numberbullet0"/>
              <w:numPr>
                <w:ilvl w:val="0"/>
                <w:numId w:val="0"/>
              </w:numPr>
            </w:pPr>
            <w:r>
              <w:t>Mechanism</w:t>
            </w:r>
          </w:p>
        </w:tc>
        <w:tc>
          <w:tcPr>
            <w:tcW w:w="4525" w:type="dxa"/>
          </w:tcPr>
          <w:p w14:paraId="4E02BB85" w14:textId="77777777" w:rsidR="00F111FD" w:rsidRDefault="00F111FD" w:rsidP="009C425D">
            <w:pPr>
              <w:pStyle w:val="Numberbullet0"/>
              <w:numPr>
                <w:ilvl w:val="0"/>
                <w:numId w:val="0"/>
              </w:numPr>
              <w:cnfStyle w:val="100000000000" w:firstRow="1" w:lastRow="0" w:firstColumn="0" w:lastColumn="0" w:oddVBand="0" w:evenVBand="0" w:oddHBand="0" w:evenHBand="0" w:firstRowFirstColumn="0" w:firstRowLastColumn="0" w:lastRowFirstColumn="0" w:lastRowLastColumn="0"/>
            </w:pPr>
            <w:r>
              <w:t>Application</w:t>
            </w:r>
          </w:p>
        </w:tc>
      </w:tr>
      <w:tr w:rsidR="00F111FD" w14:paraId="64625CCE" w14:textId="77777777" w:rsidTr="009C425D">
        <w:tc>
          <w:tcPr>
            <w:cnfStyle w:val="001000000000" w:firstRow="0" w:lastRow="0" w:firstColumn="1" w:lastColumn="0" w:oddVBand="0" w:evenVBand="0" w:oddHBand="0" w:evenHBand="0" w:firstRowFirstColumn="0" w:firstRowLastColumn="0" w:lastRowFirstColumn="0" w:lastRowLastColumn="0"/>
            <w:tcW w:w="4525" w:type="dxa"/>
          </w:tcPr>
          <w:p w14:paraId="207A01B1" w14:textId="4DBA6238" w:rsidR="00F111FD" w:rsidRDefault="00F111FD" w:rsidP="009C425D">
            <w:pPr>
              <w:pStyle w:val="Numberbullet0"/>
              <w:numPr>
                <w:ilvl w:val="0"/>
                <w:numId w:val="0"/>
              </w:numPr>
            </w:pPr>
            <w:r>
              <w:t>Exclusion</w:t>
            </w:r>
            <w:r w:rsidR="002C3BE3">
              <w:t xml:space="preserve"> from regulation</w:t>
            </w:r>
          </w:p>
        </w:tc>
        <w:tc>
          <w:tcPr>
            <w:tcW w:w="4525" w:type="dxa"/>
          </w:tcPr>
          <w:p w14:paraId="039FAA30" w14:textId="77777777" w:rsidR="00F111FD" w:rsidRDefault="00F111FD" w:rsidP="009C425D">
            <w:pPr>
              <w:pStyle w:val="Numberbullet0"/>
              <w:numPr>
                <w:ilvl w:val="0"/>
                <w:numId w:val="0"/>
              </w:numPr>
              <w:cnfStyle w:val="000000000000" w:firstRow="0" w:lastRow="0" w:firstColumn="0" w:lastColumn="0" w:oddVBand="0" w:evenVBand="0" w:oddHBand="0" w:evenHBand="0" w:firstRowFirstColumn="0" w:firstRowLastColumn="0" w:lastRowFirstColumn="0" w:lastRowLastColumn="0"/>
            </w:pPr>
            <w:r>
              <w:t>Products that:</w:t>
            </w:r>
          </w:p>
          <w:p w14:paraId="1F50A079" w14:textId="2DAF9BEB" w:rsidR="00F111FD" w:rsidRDefault="00F111FD" w:rsidP="009C425D">
            <w:pPr>
              <w:pStyle w:val="Numberbullet0"/>
              <w:numPr>
                <w:ilvl w:val="0"/>
                <w:numId w:val="11"/>
              </w:numPr>
              <w:cnfStyle w:val="000000000000" w:firstRow="0" w:lastRow="0" w:firstColumn="0" w:lastColumn="0" w:oddVBand="0" w:evenVBand="0" w:oddHBand="0" w:evenHBand="0" w:firstRowFirstColumn="0" w:firstRowLastColumn="0" w:lastRowFirstColumn="0" w:lastRowLastColumn="0"/>
            </w:pPr>
            <w:r>
              <w:t>do not meet the definition of a medical device (for the sake of clarity</w:t>
            </w:r>
            <w:proofErr w:type="gramStart"/>
            <w:r>
              <w:t>);</w:t>
            </w:r>
            <w:proofErr w:type="gramEnd"/>
          </w:p>
          <w:p w14:paraId="7328FBCD" w14:textId="227DD7CE" w:rsidR="00F111FD" w:rsidRDefault="00F111FD" w:rsidP="009C425D">
            <w:pPr>
              <w:pStyle w:val="Numberbullet0"/>
              <w:numPr>
                <w:ilvl w:val="0"/>
                <w:numId w:val="11"/>
              </w:numPr>
              <w:cnfStyle w:val="000000000000" w:firstRow="0" w:lastRow="0" w:firstColumn="0" w:lastColumn="0" w:oddVBand="0" w:evenVBand="0" w:oddHBand="0" w:evenHBand="0" w:firstRowFirstColumn="0" w:firstRowLastColumn="0" w:lastRowFirstColumn="0" w:lastRowLastColumn="0"/>
            </w:pPr>
            <w:r>
              <w:t xml:space="preserve">meet the definition of an accessory that do not </w:t>
            </w:r>
            <w:r w:rsidRPr="00435903">
              <w:t>pose significant harm to the individual (</w:t>
            </w:r>
            <w:r>
              <w:t xml:space="preserve">including </w:t>
            </w:r>
            <w:r w:rsidRPr="00435903">
              <w:t>due to inappropriate use of the product);</w:t>
            </w:r>
            <w:r>
              <w:t xml:space="preserve"> and</w:t>
            </w:r>
          </w:p>
          <w:p w14:paraId="0650CA02" w14:textId="77777777" w:rsidR="00F111FD" w:rsidRDefault="00F111FD" w:rsidP="009C425D">
            <w:pPr>
              <w:pStyle w:val="Numberbullet0"/>
              <w:numPr>
                <w:ilvl w:val="0"/>
                <w:numId w:val="11"/>
              </w:numPr>
              <w:cnfStyle w:val="000000000000" w:firstRow="0" w:lastRow="0" w:firstColumn="0" w:lastColumn="0" w:oddVBand="0" w:evenVBand="0" w:oddHBand="0" w:evenHBand="0" w:firstRowFirstColumn="0" w:firstRowLastColumn="0" w:lastRowFirstColumn="0" w:lastRowLastColumn="0"/>
            </w:pPr>
            <w:r>
              <w:t>meet the definition of a medical device but are predominantly used for cosmetic purposes and do not present a risk of harm.</w:t>
            </w:r>
          </w:p>
        </w:tc>
      </w:tr>
      <w:tr w:rsidR="00F111FD" w14:paraId="1C373805" w14:textId="77777777" w:rsidTr="009C425D">
        <w:tc>
          <w:tcPr>
            <w:cnfStyle w:val="001000000000" w:firstRow="0" w:lastRow="0" w:firstColumn="1" w:lastColumn="0" w:oddVBand="0" w:evenVBand="0" w:oddHBand="0" w:evenHBand="0" w:firstRowFirstColumn="0" w:firstRowLastColumn="0" w:lastRowFirstColumn="0" w:lastRowLastColumn="0"/>
            <w:tcW w:w="4525" w:type="dxa"/>
          </w:tcPr>
          <w:p w14:paraId="2C8F3FE0" w14:textId="741303B3" w:rsidR="00F111FD" w:rsidRDefault="00F111FD" w:rsidP="009C425D">
            <w:pPr>
              <w:pStyle w:val="Numberbullet0"/>
              <w:numPr>
                <w:ilvl w:val="0"/>
                <w:numId w:val="0"/>
              </w:numPr>
            </w:pPr>
            <w:r>
              <w:t>Exemption</w:t>
            </w:r>
            <w:r w:rsidR="002C3BE3">
              <w:t xml:space="preserve"> from inclusion in the ARTG</w:t>
            </w:r>
          </w:p>
        </w:tc>
        <w:tc>
          <w:tcPr>
            <w:tcW w:w="4525" w:type="dxa"/>
          </w:tcPr>
          <w:p w14:paraId="0E924394" w14:textId="260BEF39" w:rsidR="00F111FD" w:rsidRDefault="00F111FD" w:rsidP="00D65FB5">
            <w:pPr>
              <w:pStyle w:val="Numberbullet0"/>
              <w:numPr>
                <w:ilvl w:val="0"/>
                <w:numId w:val="0"/>
              </w:numPr>
              <w:cnfStyle w:val="000000000000" w:firstRow="0" w:lastRow="0" w:firstColumn="0" w:lastColumn="0" w:oddVBand="0" w:evenVBand="0" w:oddHBand="0" w:evenHBand="0" w:firstRowFirstColumn="0" w:firstRowLastColumn="0" w:lastRowFirstColumn="0" w:lastRowLastColumn="0"/>
            </w:pPr>
            <w:r>
              <w:t>Class I non-sterile, non-measuring</w:t>
            </w:r>
            <w:r w:rsidR="00842243">
              <w:t xml:space="preserve"> patient-matched</w:t>
            </w:r>
            <w:r>
              <w:t xml:space="preserve"> </w:t>
            </w:r>
            <w:r w:rsidR="002C3BE3">
              <w:t xml:space="preserve">medical </w:t>
            </w:r>
            <w:r>
              <w:t xml:space="preserve">devices </w:t>
            </w:r>
            <w:r w:rsidR="002C3BE3">
              <w:t>where the</w:t>
            </w:r>
            <w:r w:rsidR="00D65FB5">
              <w:t>re</w:t>
            </w:r>
            <w:r w:rsidR="002C3BE3">
              <w:t xml:space="preserve"> are alternative mechanisms of </w:t>
            </w:r>
            <w:r w:rsidR="00D65FB5">
              <w:t>oversight for the manufacture and use of the device</w:t>
            </w:r>
            <w:r>
              <w:t>.</w:t>
            </w:r>
          </w:p>
        </w:tc>
      </w:tr>
      <w:tr w:rsidR="00F111FD" w14:paraId="4066D434" w14:textId="77777777" w:rsidTr="009C425D">
        <w:tc>
          <w:tcPr>
            <w:cnfStyle w:val="001000000000" w:firstRow="0" w:lastRow="0" w:firstColumn="1" w:lastColumn="0" w:oddVBand="0" w:evenVBand="0" w:oddHBand="0" w:evenHBand="0" w:firstRowFirstColumn="0" w:firstRowLastColumn="0" w:lastRowFirstColumn="0" w:lastRowLastColumn="0"/>
            <w:tcW w:w="4525" w:type="dxa"/>
          </w:tcPr>
          <w:p w14:paraId="0D6CD496" w14:textId="77777777" w:rsidR="00F111FD" w:rsidRDefault="00F111FD" w:rsidP="009C425D">
            <w:pPr>
              <w:pStyle w:val="Numberbullet0"/>
              <w:numPr>
                <w:ilvl w:val="0"/>
                <w:numId w:val="0"/>
              </w:numPr>
            </w:pPr>
            <w:r>
              <w:t>Alternative conformity assessment procedure</w:t>
            </w:r>
          </w:p>
        </w:tc>
        <w:tc>
          <w:tcPr>
            <w:tcW w:w="4525" w:type="dxa"/>
          </w:tcPr>
          <w:p w14:paraId="091D35AA" w14:textId="5AD6FA17" w:rsidR="00D65FB5" w:rsidRDefault="00F111FD" w:rsidP="00D65FB5">
            <w:pPr>
              <w:pStyle w:val="Numberbullet0"/>
              <w:numPr>
                <w:ilvl w:val="0"/>
                <w:numId w:val="0"/>
              </w:numPr>
              <w:cnfStyle w:val="000000000000" w:firstRow="0" w:lastRow="0" w:firstColumn="0" w:lastColumn="0" w:oddVBand="0" w:evenVBand="0" w:oddHBand="0" w:evenHBand="0" w:firstRowFirstColumn="0" w:firstRowLastColumn="0" w:lastRowFirstColumn="0" w:lastRowLastColumn="0"/>
            </w:pPr>
            <w:r>
              <w:t xml:space="preserve">Class </w:t>
            </w:r>
            <w:proofErr w:type="spellStart"/>
            <w:r>
              <w:t>IIa</w:t>
            </w:r>
            <w:proofErr w:type="spellEnd"/>
            <w:r>
              <w:t xml:space="preserve"> </w:t>
            </w:r>
            <w:r w:rsidR="00842243">
              <w:t xml:space="preserve">patient-matched </w:t>
            </w:r>
            <w:r>
              <w:t xml:space="preserve">devices </w:t>
            </w:r>
            <w:r w:rsidR="00D65FB5">
              <w:t>where:</w:t>
            </w:r>
          </w:p>
          <w:p w14:paraId="1AEE21DC" w14:textId="19E521D1" w:rsidR="00D65FB5" w:rsidRDefault="00D65FB5" w:rsidP="00D65FB5">
            <w:pPr>
              <w:pStyle w:val="Numberbullet0"/>
              <w:numPr>
                <w:ilvl w:val="0"/>
                <w:numId w:val="11"/>
              </w:numPr>
              <w:cnfStyle w:val="000000000000" w:firstRow="0" w:lastRow="0" w:firstColumn="0" w:lastColumn="0" w:oddVBand="0" w:evenVBand="0" w:oddHBand="0" w:evenHBand="0" w:firstRowFirstColumn="0" w:firstRowLastColumn="0" w:lastRowFirstColumn="0" w:lastRowLastColumn="0"/>
            </w:pPr>
            <w:r>
              <w:t xml:space="preserve">there are </w:t>
            </w:r>
            <w:r w:rsidRPr="00D65FB5">
              <w:t xml:space="preserve">alternative mechanisms of oversight for the manufacture and </w:t>
            </w:r>
            <w:r>
              <w:t xml:space="preserve">an alternative </w:t>
            </w:r>
            <w:r w:rsidRPr="00D65FB5">
              <w:t>use of the</w:t>
            </w:r>
            <w:r>
              <w:t xml:space="preserve"> device; and</w:t>
            </w:r>
          </w:p>
          <w:p w14:paraId="23243DE2" w14:textId="0551416D" w:rsidR="00F111FD" w:rsidRDefault="00D65FB5" w:rsidP="00D65FB5">
            <w:pPr>
              <w:pStyle w:val="Numberbullet0"/>
              <w:numPr>
                <w:ilvl w:val="0"/>
                <w:numId w:val="11"/>
              </w:numPr>
              <w:cnfStyle w:val="000000000000" w:firstRow="0" w:lastRow="0" w:firstColumn="0" w:lastColumn="0" w:oddVBand="0" w:evenVBand="0" w:oddHBand="0" w:evenHBand="0" w:firstRowFirstColumn="0" w:firstRowLastColumn="0" w:lastRowFirstColumn="0" w:lastRowLastColumn="0"/>
            </w:pPr>
            <w:r>
              <w:t>the manufacturer undertakes a self-assessment and declaration that they meet the regulatory requirements</w:t>
            </w:r>
            <w:r w:rsidR="00F111FD">
              <w:t>.</w:t>
            </w:r>
          </w:p>
        </w:tc>
      </w:tr>
    </w:tbl>
    <w:p w14:paraId="4D6D2713" w14:textId="5D6F9A81" w:rsidR="005D255E" w:rsidRDefault="005D255E" w:rsidP="00675335">
      <w:pPr>
        <w:pStyle w:val="Heading4"/>
        <w:numPr>
          <w:ilvl w:val="0"/>
          <w:numId w:val="9"/>
        </w:numPr>
        <w:ind w:left="426" w:hanging="426"/>
      </w:pPr>
      <w:bookmarkStart w:id="18" w:name="_Toc73443779"/>
      <w:r w:rsidRPr="006930C7">
        <w:rPr>
          <w:color w:val="000000"/>
        </w:rPr>
        <w:t>P</w:t>
      </w:r>
      <w:r w:rsidR="001C1D69">
        <w:rPr>
          <w:color w:val="000000"/>
        </w:rPr>
        <w:t>roducts</w:t>
      </w:r>
      <w:r>
        <w:t xml:space="preserve"> that could potentially </w:t>
      </w:r>
      <w:r w:rsidR="009C425D">
        <w:t xml:space="preserve">be </w:t>
      </w:r>
      <w:r>
        <w:t>excluded from regulation</w:t>
      </w:r>
      <w:bookmarkEnd w:id="18"/>
      <w:r>
        <w:t xml:space="preserve"> </w:t>
      </w:r>
    </w:p>
    <w:p w14:paraId="664F750D" w14:textId="4F870DAB" w:rsidR="00974B82" w:rsidRDefault="009C425D" w:rsidP="005D255E">
      <w:r>
        <w:t>Given exclusion from regulation will remove the requirement for manufacturers of products to meet the Australian regulatory requirements for medical de</w:t>
      </w:r>
      <w:r w:rsidR="00D65FB5">
        <w:t>vices, it is proposed this would be</w:t>
      </w:r>
      <w:r>
        <w:t xml:space="preserve"> limited to </w:t>
      </w:r>
      <w:r w:rsidR="005D255E">
        <w:t>products</w:t>
      </w:r>
      <w:r>
        <w:t xml:space="preserve"> that</w:t>
      </w:r>
      <w:r w:rsidR="00974B82">
        <w:t>:</w:t>
      </w:r>
    </w:p>
    <w:p w14:paraId="259E060B" w14:textId="5A912886" w:rsidR="00974B82" w:rsidRDefault="009C425D" w:rsidP="00974B82">
      <w:pPr>
        <w:pStyle w:val="ListParagraph"/>
        <w:numPr>
          <w:ilvl w:val="1"/>
          <w:numId w:val="23"/>
        </w:numPr>
      </w:pPr>
      <w:r>
        <w:t xml:space="preserve">do not meet the definition of a medical device and the </w:t>
      </w:r>
      <w:r w:rsidR="00974B82">
        <w:t>product’s regulatory status</w:t>
      </w:r>
      <w:r>
        <w:t xml:space="preserve"> requires clarification</w:t>
      </w:r>
      <w:r w:rsidR="00974B82">
        <w:t>; or</w:t>
      </w:r>
    </w:p>
    <w:p w14:paraId="792D057C" w14:textId="083005E7" w:rsidR="00974B82" w:rsidRDefault="000E2F29" w:rsidP="00974B82">
      <w:pPr>
        <w:pStyle w:val="ListParagraph"/>
        <w:numPr>
          <w:ilvl w:val="1"/>
          <w:numId w:val="23"/>
        </w:numPr>
      </w:pPr>
      <w:r>
        <w:t>meet</w:t>
      </w:r>
      <w:r w:rsidR="00974B82">
        <w:t xml:space="preserve"> the definition of a</w:t>
      </w:r>
      <w:r w:rsidR="00FC3FFE">
        <w:t xml:space="preserve"> medical device</w:t>
      </w:r>
      <w:r w:rsidR="009C425D">
        <w:t>,</w:t>
      </w:r>
      <w:r w:rsidR="00FC3FFE">
        <w:t xml:space="preserve"> or a</w:t>
      </w:r>
      <w:r>
        <w:t>n accessory to a</w:t>
      </w:r>
      <w:r w:rsidR="00974B82">
        <w:t xml:space="preserve"> medical device</w:t>
      </w:r>
      <w:r w:rsidR="009C425D">
        <w:t>,</w:t>
      </w:r>
      <w:r w:rsidR="00974B82">
        <w:t xml:space="preserve"> but the level of risk posed by the devices </w:t>
      </w:r>
      <w:proofErr w:type="gramStart"/>
      <w:r w:rsidR="00974B82">
        <w:t>is considered to be</w:t>
      </w:r>
      <w:proofErr w:type="gramEnd"/>
      <w:r w:rsidR="00974B82">
        <w:t xml:space="preserve"> </w:t>
      </w:r>
      <w:r w:rsidR="00AD2EAF">
        <w:t xml:space="preserve">very </w:t>
      </w:r>
      <w:r w:rsidR="00974B82">
        <w:t>low.</w:t>
      </w:r>
    </w:p>
    <w:p w14:paraId="3C158739" w14:textId="6FBCF459" w:rsidR="005D255E" w:rsidRDefault="009C425D" w:rsidP="00974B82">
      <w:r>
        <w:t>Examples of products that could be excluded from regulation are</w:t>
      </w:r>
      <w:r w:rsidR="00744284">
        <w:t>:</w:t>
      </w:r>
    </w:p>
    <w:p w14:paraId="66C30090" w14:textId="33578323" w:rsidR="00744284" w:rsidRDefault="00744284" w:rsidP="00744284">
      <w:pPr>
        <w:pStyle w:val="ListParagraph"/>
        <w:numPr>
          <w:ilvl w:val="0"/>
          <w:numId w:val="32"/>
        </w:numPr>
      </w:pPr>
      <w:r>
        <w:t>Physical impressions of a patient’s anatomy</w:t>
      </w:r>
      <w:r w:rsidR="00BE7EA9">
        <w:t xml:space="preserve"> and models cast from these</w:t>
      </w:r>
    </w:p>
    <w:p w14:paraId="6271D200" w14:textId="4C114A87" w:rsidR="00744284" w:rsidRDefault="00744284" w:rsidP="00744284">
      <w:pPr>
        <w:pStyle w:val="ListParagraph"/>
        <w:numPr>
          <w:ilvl w:val="0"/>
          <w:numId w:val="32"/>
        </w:numPr>
      </w:pPr>
      <w:r>
        <w:t>Anatomical models manufactured for educational purposes</w:t>
      </w:r>
    </w:p>
    <w:p w14:paraId="01834704" w14:textId="7BC4EC0D" w:rsidR="00744284" w:rsidRDefault="00744284" w:rsidP="00744284">
      <w:pPr>
        <w:pStyle w:val="ListParagraph"/>
        <w:numPr>
          <w:ilvl w:val="0"/>
          <w:numId w:val="32"/>
        </w:numPr>
      </w:pPr>
      <w:r>
        <w:t>Plastic moulds used to ancho</w:t>
      </w:r>
      <w:r w:rsidR="00BE7EA9">
        <w:t>r a hearing aid in the ear canal</w:t>
      </w:r>
    </w:p>
    <w:p w14:paraId="5D3A14F1" w14:textId="7777E0AC" w:rsidR="00744284" w:rsidRDefault="00744284" w:rsidP="00744284">
      <w:pPr>
        <w:pStyle w:val="ListParagraph"/>
        <w:numPr>
          <w:ilvl w:val="0"/>
          <w:numId w:val="32"/>
        </w:numPr>
      </w:pPr>
      <w:r>
        <w:t>Orthodontic appliance positioning tray</w:t>
      </w:r>
    </w:p>
    <w:p w14:paraId="66A9A5AE" w14:textId="4EA3FB84" w:rsidR="00744284" w:rsidRDefault="00744284" w:rsidP="00744284">
      <w:pPr>
        <w:pStyle w:val="ListParagraph"/>
        <w:numPr>
          <w:ilvl w:val="0"/>
          <w:numId w:val="32"/>
        </w:numPr>
      </w:pPr>
      <w:r>
        <w:t>Mouthguards for sports purposes</w:t>
      </w:r>
    </w:p>
    <w:p w14:paraId="03F4D4EB" w14:textId="0E79AE14" w:rsidR="00744284" w:rsidRDefault="00744284" w:rsidP="00744284">
      <w:pPr>
        <w:pStyle w:val="ListParagraph"/>
        <w:numPr>
          <w:ilvl w:val="0"/>
          <w:numId w:val="32"/>
        </w:numPr>
      </w:pPr>
      <w:r>
        <w:t>Spectacle frames</w:t>
      </w:r>
    </w:p>
    <w:p w14:paraId="065C3A99" w14:textId="2AB9F76D" w:rsidR="00744284" w:rsidRDefault="00744284" w:rsidP="00744284">
      <w:pPr>
        <w:pStyle w:val="ListParagraph"/>
        <w:numPr>
          <w:ilvl w:val="0"/>
          <w:numId w:val="32"/>
        </w:numPr>
      </w:pPr>
      <w:r>
        <w:t>Bleaching trays</w:t>
      </w:r>
    </w:p>
    <w:p w14:paraId="7A80B6AD" w14:textId="2806ECD7" w:rsidR="00744284" w:rsidRDefault="00744284" w:rsidP="00744284">
      <w:pPr>
        <w:pStyle w:val="ListParagraph"/>
        <w:numPr>
          <w:ilvl w:val="0"/>
          <w:numId w:val="32"/>
        </w:numPr>
      </w:pPr>
      <w:r>
        <w:t>Eyeball prosthesis</w:t>
      </w:r>
    </w:p>
    <w:p w14:paraId="2CB8C8DA" w14:textId="2357E10A" w:rsidR="00744284" w:rsidRDefault="00BE7EA9" w:rsidP="00744284">
      <w:pPr>
        <w:pStyle w:val="ListParagraph"/>
        <w:numPr>
          <w:ilvl w:val="0"/>
          <w:numId w:val="32"/>
        </w:numPr>
      </w:pPr>
      <w:r>
        <w:t>Denture</w:t>
      </w:r>
      <w:r w:rsidR="00744284">
        <w:t xml:space="preserve"> repair kits</w:t>
      </w:r>
    </w:p>
    <w:p w14:paraId="7D610995" w14:textId="1A473E91" w:rsidR="00023945" w:rsidRDefault="00023945" w:rsidP="00744284">
      <w:pPr>
        <w:pStyle w:val="ListParagraph"/>
        <w:numPr>
          <w:ilvl w:val="0"/>
          <w:numId w:val="32"/>
        </w:numPr>
      </w:pPr>
      <w:r>
        <w:t>Polymers and resins used in the manufacture of a medical device</w:t>
      </w:r>
    </w:p>
    <w:p w14:paraId="3A37F5CD" w14:textId="7B0C4E8C" w:rsidR="00A727BF" w:rsidRDefault="00A727BF" w:rsidP="00744284">
      <w:pPr>
        <w:pStyle w:val="ListParagraph"/>
        <w:numPr>
          <w:ilvl w:val="0"/>
          <w:numId w:val="32"/>
        </w:numPr>
      </w:pPr>
      <w:r>
        <w:t>Cosmetic finishing components for orthoses</w:t>
      </w:r>
    </w:p>
    <w:p w14:paraId="13174396" w14:textId="1469DF93" w:rsidR="00623C51" w:rsidRPr="00A727BF" w:rsidRDefault="00623C51" w:rsidP="00A727BF">
      <w:r w:rsidRPr="00A727BF">
        <w:rPr>
          <w:b/>
        </w:rPr>
        <w:t>Impact of the proposal</w:t>
      </w:r>
    </w:p>
    <w:p w14:paraId="7E889D77" w14:textId="77777777" w:rsidR="00623C51" w:rsidRPr="008273F0" w:rsidRDefault="00623C51" w:rsidP="00C76936">
      <w:r w:rsidRPr="008273F0">
        <w:t>The impact of this exclusion is that these kinds of products will not need to meet any of the regulatory obligations associated with the manufacture or supply of a medical device including:</w:t>
      </w:r>
    </w:p>
    <w:p w14:paraId="5A0DE57A" w14:textId="55C8741B" w:rsidR="00B54833" w:rsidRPr="008273F0" w:rsidRDefault="00623C51" w:rsidP="00675335">
      <w:pPr>
        <w:pStyle w:val="ListParagraph"/>
        <w:numPr>
          <w:ilvl w:val="0"/>
          <w:numId w:val="10"/>
        </w:numPr>
      </w:pPr>
      <w:r w:rsidRPr="008273F0">
        <w:t>demonstrating that they meet the Essential Principles;</w:t>
      </w:r>
      <w:r w:rsidR="009C425D">
        <w:t xml:space="preserve"> and</w:t>
      </w:r>
    </w:p>
    <w:p w14:paraId="62294DEA" w14:textId="77777777" w:rsidR="00623C51" w:rsidRPr="008273F0" w:rsidRDefault="00623C51" w:rsidP="00675335">
      <w:pPr>
        <w:pStyle w:val="ListParagraph"/>
        <w:numPr>
          <w:ilvl w:val="0"/>
          <w:numId w:val="10"/>
        </w:numPr>
      </w:pPr>
      <w:r w:rsidRPr="008273F0">
        <w:t>reporting adverse events to the TGA; and</w:t>
      </w:r>
    </w:p>
    <w:p w14:paraId="7E31489C" w14:textId="77777777" w:rsidR="00074065" w:rsidRPr="00074065" w:rsidRDefault="00074065" w:rsidP="00074065">
      <w:pPr>
        <w:pStyle w:val="ListParagraph"/>
        <w:numPr>
          <w:ilvl w:val="0"/>
          <w:numId w:val="10"/>
        </w:numPr>
      </w:pPr>
      <w:r w:rsidRPr="00074065">
        <w:t>meeting the advertising requirements for therapeutic goods under the TGA legislation including the Therapeutic Goods Advertising Code.</w:t>
      </w:r>
    </w:p>
    <w:p w14:paraId="1C0228B9" w14:textId="090AE133" w:rsidR="00623C51" w:rsidRDefault="00623C51" w:rsidP="00623C51">
      <w:r w:rsidRPr="008273F0">
        <w:t>These products would be subject to consumer protection laws administered by the Australian Competition and Consumer Commission (ACCC)</w:t>
      </w:r>
      <w:r w:rsidR="00AD2EAF">
        <w:t xml:space="preserve"> as well as state or territory consumer protection laws</w:t>
      </w:r>
      <w:r w:rsidRPr="008273F0">
        <w:t>.</w:t>
      </w:r>
    </w:p>
    <w:p w14:paraId="19E0F536" w14:textId="3F01A277" w:rsidR="002A1EB6" w:rsidRDefault="00861FC3" w:rsidP="00675335">
      <w:pPr>
        <w:pStyle w:val="Heading4"/>
        <w:numPr>
          <w:ilvl w:val="0"/>
          <w:numId w:val="9"/>
        </w:numPr>
        <w:ind w:left="426" w:hanging="426"/>
      </w:pPr>
      <w:bookmarkStart w:id="19" w:name="_Toc73443780"/>
      <w:r>
        <w:t xml:space="preserve">Patient-matched </w:t>
      </w:r>
      <w:r w:rsidR="002A1EB6">
        <w:t>medical devices</w:t>
      </w:r>
      <w:r w:rsidR="002A1EB6" w:rsidRPr="0056575B">
        <w:t xml:space="preserve"> that could </w:t>
      </w:r>
      <w:r w:rsidR="001E58CE">
        <w:t xml:space="preserve">potentially be </w:t>
      </w:r>
      <w:r w:rsidR="002A1EB6" w:rsidRPr="0056575B">
        <w:t>ex</w:t>
      </w:r>
      <w:r w:rsidR="002A1EB6">
        <w:t>empt</w:t>
      </w:r>
      <w:r w:rsidR="001E58CE">
        <w:t xml:space="preserve"> from inclusion in the ARTG</w:t>
      </w:r>
      <w:bookmarkEnd w:id="19"/>
    </w:p>
    <w:p w14:paraId="5704AEA7" w14:textId="00735B1F" w:rsidR="001E58CE" w:rsidRDefault="001E58CE" w:rsidP="00970EC9">
      <w:r>
        <w:t xml:space="preserve">Class I </w:t>
      </w:r>
      <w:r w:rsidR="00F111FD">
        <w:t>non-sterile, non-measuring</w:t>
      </w:r>
      <w:r w:rsidR="00970EC9">
        <w:t xml:space="preserve"> patient-matched medical devices </w:t>
      </w:r>
      <w:r>
        <w:t>represent a low risk to end users that is currently managed through:</w:t>
      </w:r>
    </w:p>
    <w:p w14:paraId="0AD77B15" w14:textId="1AE06BC4" w:rsidR="001E58CE" w:rsidRDefault="001E58CE" w:rsidP="00A235EE">
      <w:pPr>
        <w:pStyle w:val="ListParagraph"/>
        <w:numPr>
          <w:ilvl w:val="0"/>
          <w:numId w:val="10"/>
        </w:numPr>
      </w:pPr>
      <w:r>
        <w:t xml:space="preserve">self-declaration by the manufacturer </w:t>
      </w:r>
      <w:r w:rsidR="00EB62B4">
        <w:t xml:space="preserve">that </w:t>
      </w:r>
      <w:r>
        <w:t>they have met Australian regulatory requirements; and</w:t>
      </w:r>
    </w:p>
    <w:p w14:paraId="2E92F1FB" w14:textId="75971497" w:rsidR="001E58CE" w:rsidRDefault="001E58CE" w:rsidP="00A235EE">
      <w:pPr>
        <w:pStyle w:val="ListParagraph"/>
        <w:numPr>
          <w:ilvl w:val="0"/>
          <w:numId w:val="10"/>
        </w:numPr>
      </w:pPr>
      <w:r>
        <w:t xml:space="preserve">inclusion </w:t>
      </w:r>
      <w:r w:rsidR="00BA0273">
        <w:t xml:space="preserve">of the device </w:t>
      </w:r>
      <w:r>
        <w:t>in the ARTG.</w:t>
      </w:r>
    </w:p>
    <w:p w14:paraId="180B93EE" w14:textId="2910D22B" w:rsidR="00970EC9" w:rsidRDefault="00A235EE">
      <w:r>
        <w:t xml:space="preserve">It is proposed </w:t>
      </w:r>
      <w:r w:rsidR="001E58CE">
        <w:t xml:space="preserve">some </w:t>
      </w:r>
      <w:r>
        <w:t xml:space="preserve">Class I </w:t>
      </w:r>
      <w:r w:rsidR="001E58CE">
        <w:t>patient-matched medical devices</w:t>
      </w:r>
      <w:r>
        <w:t xml:space="preserve"> could be exempted</w:t>
      </w:r>
      <w:r w:rsidR="00EB62B4">
        <w:t xml:space="preserve"> from inclusion in the ARTG </w:t>
      </w:r>
      <w:r w:rsidR="001E58CE">
        <w:t xml:space="preserve">where </w:t>
      </w:r>
      <w:r w:rsidR="00970EC9">
        <w:t>it can be demonstrated t</w:t>
      </w:r>
      <w:r w:rsidR="001E58CE">
        <w:t xml:space="preserve">he risks </w:t>
      </w:r>
      <w:r>
        <w:t>associated with the manufacture and use of</w:t>
      </w:r>
      <w:r w:rsidR="001E58CE">
        <w:t xml:space="preserve"> the device </w:t>
      </w:r>
      <w:r>
        <w:t>can be</w:t>
      </w:r>
      <w:r w:rsidR="001E58CE">
        <w:t xml:space="preserve"> adequately managed:</w:t>
      </w:r>
    </w:p>
    <w:p w14:paraId="043DD9A6" w14:textId="254ADC17" w:rsidR="00075981" w:rsidRDefault="00970EC9" w:rsidP="00970EC9">
      <w:pPr>
        <w:pStyle w:val="ListParagraph"/>
        <w:numPr>
          <w:ilvl w:val="0"/>
          <w:numId w:val="30"/>
        </w:numPr>
      </w:pPr>
      <w:r>
        <w:t xml:space="preserve">the </w:t>
      </w:r>
      <w:r w:rsidR="00075981">
        <w:t>device is manufactured by a trained, accredited professional; or</w:t>
      </w:r>
    </w:p>
    <w:p w14:paraId="43DB5AC7" w14:textId="05F07D9B" w:rsidR="00970EC9" w:rsidRDefault="00970EC9" w:rsidP="00970EC9">
      <w:pPr>
        <w:pStyle w:val="ListParagraph"/>
        <w:numPr>
          <w:ilvl w:val="0"/>
          <w:numId w:val="30"/>
        </w:numPr>
      </w:pPr>
      <w:r>
        <w:t xml:space="preserve">other third-party </w:t>
      </w:r>
      <w:r w:rsidR="00EB62B4">
        <w:t>mechanisms of oversight are</w:t>
      </w:r>
      <w:r>
        <w:t xml:space="preserve"> in place that </w:t>
      </w:r>
      <w:r w:rsidR="001E58CE">
        <w:t xml:space="preserve">are </w:t>
      </w:r>
      <w:r>
        <w:t xml:space="preserve">suitable to manage the </w:t>
      </w:r>
      <w:r w:rsidR="00075981">
        <w:t xml:space="preserve">low </w:t>
      </w:r>
      <w:r>
        <w:t>risk that may be posed</w:t>
      </w:r>
      <w:r w:rsidR="00075981">
        <w:t xml:space="preserve"> by the device</w:t>
      </w:r>
      <w:r>
        <w:t>.</w:t>
      </w:r>
    </w:p>
    <w:p w14:paraId="1AB1952D" w14:textId="3A5424D2" w:rsidR="000964D4" w:rsidRDefault="000964D4" w:rsidP="000964D4">
      <w:r>
        <w:t xml:space="preserve">It is considered that where a medical device has been “prescribed” by a registered health professional and is manufactured by a qualified or accredited professional according to the specifications provided by the healthcare practitioner, risks can be adequately mitigated.  </w:t>
      </w:r>
    </w:p>
    <w:p w14:paraId="208DC152" w14:textId="5F8380B9" w:rsidR="00970EC9" w:rsidRDefault="001E58CE" w:rsidP="00970EC9">
      <w:r>
        <w:t xml:space="preserve">Examples where </w:t>
      </w:r>
      <w:r w:rsidR="00EB62B4">
        <w:t>Class I (</w:t>
      </w:r>
      <w:r w:rsidR="00970EC9">
        <w:t>low-risk</w:t>
      </w:r>
      <w:r w:rsidR="00EB62B4">
        <w:t>)</w:t>
      </w:r>
      <w:r w:rsidR="00970EC9">
        <w:t xml:space="preserve"> patient-matched medical devices </w:t>
      </w:r>
      <w:r w:rsidR="009D5581">
        <w:t xml:space="preserve">could be exempted </w:t>
      </w:r>
      <w:r w:rsidR="00970EC9">
        <w:t xml:space="preserve">are </w:t>
      </w:r>
      <w:r>
        <w:t xml:space="preserve">where they are </w:t>
      </w:r>
      <w:r w:rsidR="00970EC9">
        <w:t>being manufactured:</w:t>
      </w:r>
    </w:p>
    <w:p w14:paraId="793E2FEA" w14:textId="77777777" w:rsidR="00970EC9" w:rsidRDefault="00970EC9" w:rsidP="00970EC9">
      <w:pPr>
        <w:pStyle w:val="ListParagraph"/>
        <w:numPr>
          <w:ilvl w:val="0"/>
          <w:numId w:val="27"/>
        </w:numPr>
        <w:rPr>
          <w:color w:val="000000"/>
        </w:rPr>
      </w:pPr>
      <w:r>
        <w:rPr>
          <w:color w:val="000000"/>
        </w:rPr>
        <w:t xml:space="preserve">Within a healthcare facility accredited against the National Safety and Quality Health Service (NSQHS) Standards by a body recognised by the Australian Commission on Safety and Quality in Health Care (ASCQHC); </w:t>
      </w:r>
      <w:r>
        <w:rPr>
          <w:b/>
          <w:color w:val="000000"/>
        </w:rPr>
        <w:t>or</w:t>
      </w:r>
    </w:p>
    <w:p w14:paraId="61C12F00" w14:textId="77777777" w:rsidR="00970EC9" w:rsidRDefault="00970EC9" w:rsidP="00970EC9">
      <w:pPr>
        <w:pStyle w:val="ListParagraph"/>
        <w:numPr>
          <w:ilvl w:val="0"/>
          <w:numId w:val="27"/>
        </w:numPr>
        <w:rPr>
          <w:color w:val="000000"/>
        </w:rPr>
      </w:pPr>
      <w:r>
        <w:rPr>
          <w:color w:val="000000"/>
        </w:rPr>
        <w:t xml:space="preserve">By a provider who has been registered with the National Disability Insurance Scheme Quality and Safeguards Commission (NDISQSC), and the scope of their registration encompasses the patient-matched medical devices that they are producing; </w:t>
      </w:r>
      <w:r>
        <w:rPr>
          <w:b/>
          <w:color w:val="000000"/>
        </w:rPr>
        <w:t>or</w:t>
      </w:r>
    </w:p>
    <w:p w14:paraId="481E4966" w14:textId="13180CB1" w:rsidR="00970EC9" w:rsidRDefault="00970EC9" w:rsidP="00420A9C">
      <w:pPr>
        <w:pStyle w:val="ListParagraph"/>
        <w:numPr>
          <w:ilvl w:val="0"/>
          <w:numId w:val="27"/>
        </w:numPr>
        <w:rPr>
          <w:color w:val="000000"/>
        </w:rPr>
      </w:pPr>
      <w:r w:rsidRPr="00E9322A">
        <w:rPr>
          <w:color w:val="000000"/>
        </w:rPr>
        <w:t xml:space="preserve">By a health professional registered with the Australian Health Practitioner Regulation Agency (AHPRA) under the </w:t>
      </w:r>
      <w:r w:rsidRPr="00E9322A">
        <w:rPr>
          <w:i/>
          <w:color w:val="000000"/>
        </w:rPr>
        <w:t>Health Practitioner Regulation National Law Act 2009,</w:t>
      </w:r>
      <w:r w:rsidRPr="00E9322A">
        <w:rPr>
          <w:color w:val="000000"/>
        </w:rPr>
        <w:t xml:space="preserve"> and whose scope of practice encompasses production of the patient-matched medical devices that they are producing; </w:t>
      </w:r>
      <w:r w:rsidRPr="00E9322A">
        <w:rPr>
          <w:b/>
          <w:color w:val="000000"/>
        </w:rPr>
        <w:t>and</w:t>
      </w:r>
      <w:r w:rsidR="00E9322A">
        <w:rPr>
          <w:b/>
          <w:color w:val="000000"/>
        </w:rPr>
        <w:br/>
      </w:r>
      <w:r w:rsidRPr="00E9322A">
        <w:rPr>
          <w:color w:val="000000"/>
        </w:rPr>
        <w:t>The devices they produce are intended to be used by a patient of the healthcare facility, registered provider or AHPRA-registered health professional.</w:t>
      </w:r>
    </w:p>
    <w:p w14:paraId="1CAB90C2" w14:textId="08BB7E60" w:rsidR="00E9322A" w:rsidRDefault="00E9322A" w:rsidP="00420A9C">
      <w:pPr>
        <w:pStyle w:val="ListParagraph"/>
        <w:numPr>
          <w:ilvl w:val="0"/>
          <w:numId w:val="27"/>
        </w:numPr>
        <w:rPr>
          <w:color w:val="000000"/>
        </w:rPr>
      </w:pPr>
      <w:r>
        <w:rPr>
          <w:color w:val="000000"/>
        </w:rPr>
        <w:t>By a dental technician who holds a recognised qualification under the Aust</w:t>
      </w:r>
      <w:r w:rsidR="00F111FD">
        <w:rPr>
          <w:color w:val="000000"/>
        </w:rPr>
        <w:t xml:space="preserve">ralian Qualifications Framework </w:t>
      </w:r>
      <w:r w:rsidR="00F111FD" w:rsidRPr="00E9322A">
        <w:rPr>
          <w:b/>
          <w:color w:val="000000"/>
        </w:rPr>
        <w:t>and</w:t>
      </w:r>
      <w:r w:rsidR="00F111FD">
        <w:rPr>
          <w:b/>
          <w:color w:val="000000"/>
        </w:rPr>
        <w:br/>
      </w:r>
      <w:r w:rsidR="00F111FD" w:rsidRPr="00E9322A">
        <w:rPr>
          <w:color w:val="000000"/>
        </w:rPr>
        <w:t xml:space="preserve">The devices they produce are intended to be used by a patient of </w:t>
      </w:r>
      <w:r w:rsidR="00A50C12">
        <w:rPr>
          <w:color w:val="000000"/>
        </w:rPr>
        <w:t>a</w:t>
      </w:r>
      <w:r w:rsidR="00F111FD" w:rsidRPr="00E9322A">
        <w:rPr>
          <w:color w:val="000000"/>
        </w:rPr>
        <w:t xml:space="preserve"> healthcare facility, registered </w:t>
      </w:r>
      <w:proofErr w:type="gramStart"/>
      <w:r w:rsidR="00F111FD" w:rsidRPr="00E9322A">
        <w:rPr>
          <w:color w:val="000000"/>
        </w:rPr>
        <w:t>provider</w:t>
      </w:r>
      <w:proofErr w:type="gramEnd"/>
      <w:r w:rsidR="00F111FD" w:rsidRPr="00E9322A">
        <w:rPr>
          <w:color w:val="000000"/>
        </w:rPr>
        <w:t xml:space="preserve"> or AHPRA-registered health professional.</w:t>
      </w:r>
    </w:p>
    <w:p w14:paraId="6D9806A9" w14:textId="0E7DE73A" w:rsidR="005F2EDD" w:rsidRDefault="00023945" w:rsidP="00420A9C">
      <w:pPr>
        <w:pStyle w:val="ListParagraph"/>
        <w:numPr>
          <w:ilvl w:val="0"/>
          <w:numId w:val="27"/>
        </w:numPr>
        <w:rPr>
          <w:color w:val="000000"/>
        </w:rPr>
      </w:pPr>
      <w:r w:rsidRPr="00023945">
        <w:t xml:space="preserve">By a dental laboratory accredited by the Oral </w:t>
      </w:r>
      <w:r w:rsidR="00A50C12">
        <w:t>H</w:t>
      </w:r>
      <w:r w:rsidR="00F111FD">
        <w:t xml:space="preserve">ealth Professional Association </w:t>
      </w:r>
      <w:r w:rsidR="00F111FD" w:rsidRPr="00E9322A">
        <w:rPr>
          <w:b/>
          <w:color w:val="000000"/>
        </w:rPr>
        <w:t>and</w:t>
      </w:r>
      <w:r w:rsidR="00F111FD">
        <w:rPr>
          <w:b/>
          <w:color w:val="000000"/>
        </w:rPr>
        <w:br/>
      </w:r>
      <w:r w:rsidR="00F111FD" w:rsidRPr="00E9322A">
        <w:rPr>
          <w:color w:val="000000"/>
        </w:rPr>
        <w:t xml:space="preserve">The devices they produce are intended to be used by a patient of </w:t>
      </w:r>
      <w:r w:rsidR="00A50C12">
        <w:rPr>
          <w:color w:val="000000"/>
        </w:rPr>
        <w:t>a</w:t>
      </w:r>
      <w:r w:rsidR="00F111FD" w:rsidRPr="00E9322A">
        <w:rPr>
          <w:color w:val="000000"/>
        </w:rPr>
        <w:t xml:space="preserve"> healthcare facility, registered </w:t>
      </w:r>
      <w:proofErr w:type="gramStart"/>
      <w:r w:rsidR="00F111FD" w:rsidRPr="00E9322A">
        <w:rPr>
          <w:color w:val="000000"/>
        </w:rPr>
        <w:t>provider</w:t>
      </w:r>
      <w:proofErr w:type="gramEnd"/>
      <w:r w:rsidR="00F111FD" w:rsidRPr="00E9322A">
        <w:rPr>
          <w:color w:val="000000"/>
        </w:rPr>
        <w:t xml:space="preserve"> or AHPRA-registered health professional.</w:t>
      </w:r>
    </w:p>
    <w:p w14:paraId="0F1C461C" w14:textId="793F408D" w:rsidR="001E58CE" w:rsidRPr="000964D4" w:rsidRDefault="001E58CE">
      <w:pPr>
        <w:pStyle w:val="ListParagraph"/>
        <w:numPr>
          <w:ilvl w:val="0"/>
          <w:numId w:val="27"/>
        </w:numPr>
        <w:rPr>
          <w:color w:val="000000"/>
        </w:rPr>
      </w:pPr>
      <w:r>
        <w:rPr>
          <w:color w:val="000000"/>
        </w:rPr>
        <w:t>By an orthotist or prosthetist who is a full member of the Australian Orthotic Prosthetic Association.</w:t>
      </w:r>
    </w:p>
    <w:p w14:paraId="586BED44" w14:textId="03951A14" w:rsidR="001E6A69" w:rsidRDefault="00A50C12" w:rsidP="001E6A69">
      <w:r>
        <w:t>Examples of devices that could potentially be exempt include:</w:t>
      </w:r>
    </w:p>
    <w:tbl>
      <w:tblPr>
        <w:tblStyle w:val="TableTGAblue"/>
        <w:tblW w:w="0" w:type="auto"/>
        <w:tblLook w:val="04A0" w:firstRow="1" w:lastRow="0" w:firstColumn="1" w:lastColumn="0" w:noHBand="0" w:noVBand="1"/>
      </w:tblPr>
      <w:tblGrid>
        <w:gridCol w:w="4525"/>
        <w:gridCol w:w="4525"/>
      </w:tblGrid>
      <w:tr w:rsidR="00F12D1B" w14:paraId="55FDE20E" w14:textId="77777777" w:rsidTr="00F12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Pr>
          <w:p w14:paraId="2048981D" w14:textId="30D4CB2D" w:rsidR="00F12D1B" w:rsidRDefault="00F12D1B" w:rsidP="00F12D1B">
            <w:r>
              <w:t>Profession</w:t>
            </w:r>
          </w:p>
        </w:tc>
        <w:tc>
          <w:tcPr>
            <w:tcW w:w="4525" w:type="dxa"/>
          </w:tcPr>
          <w:p w14:paraId="1C0063B5" w14:textId="389D8995" w:rsidR="00F12D1B" w:rsidRDefault="00F12D1B" w:rsidP="00A50C12">
            <w:pPr>
              <w:cnfStyle w:val="100000000000" w:firstRow="1" w:lastRow="0" w:firstColumn="0" w:lastColumn="0" w:oddVBand="0" w:evenVBand="0" w:oddHBand="0" w:evenHBand="0" w:firstRowFirstColumn="0" w:firstRowLastColumn="0" w:lastRowFirstColumn="0" w:lastRowLastColumn="0"/>
            </w:pPr>
            <w:r>
              <w:t xml:space="preserve">Examples of </w:t>
            </w:r>
            <w:r w:rsidR="00A50C12">
              <w:t xml:space="preserve">Class I non-sterile non-measuring patient-matched </w:t>
            </w:r>
            <w:r>
              <w:t>medical devices</w:t>
            </w:r>
          </w:p>
        </w:tc>
      </w:tr>
      <w:tr w:rsidR="00F12D1B" w14:paraId="558CE73B" w14:textId="77777777" w:rsidTr="00F12D1B">
        <w:tc>
          <w:tcPr>
            <w:cnfStyle w:val="001000000000" w:firstRow="0" w:lastRow="0" w:firstColumn="1" w:lastColumn="0" w:oddVBand="0" w:evenVBand="0" w:oddHBand="0" w:evenHBand="0" w:firstRowFirstColumn="0" w:firstRowLastColumn="0" w:lastRowFirstColumn="0" w:lastRowLastColumn="0"/>
            <w:tcW w:w="4525" w:type="dxa"/>
          </w:tcPr>
          <w:p w14:paraId="07D621FC" w14:textId="148A538E" w:rsidR="00F12D1B" w:rsidRDefault="00F12D1B" w:rsidP="00F12D1B">
            <w:r>
              <w:t>Dental prosthetists</w:t>
            </w:r>
          </w:p>
        </w:tc>
        <w:tc>
          <w:tcPr>
            <w:tcW w:w="4525" w:type="dxa"/>
          </w:tcPr>
          <w:p w14:paraId="6DED9AF8" w14:textId="586B9D43" w:rsidR="001E58CE" w:rsidRDefault="00F12D1B" w:rsidP="000964D4">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1E58CE">
              <w:t>Dentures (including complete and partial),</w:t>
            </w:r>
          </w:p>
          <w:p w14:paraId="1F87F9A9" w14:textId="337CFECA" w:rsidR="00861FC3" w:rsidRDefault="001E58CE" w:rsidP="000964D4">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O</w:t>
            </w:r>
            <w:r w:rsidR="00F12D1B" w:rsidRPr="001E58CE">
              <w:t>cclusal splints</w:t>
            </w:r>
          </w:p>
          <w:p w14:paraId="7B26682B" w14:textId="13FAF04D" w:rsidR="00861FC3" w:rsidRDefault="00861FC3" w:rsidP="000964D4">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A</w:t>
            </w:r>
            <w:r w:rsidR="00F12D1B" w:rsidRPr="001E58CE">
              <w:t>ligners</w:t>
            </w:r>
          </w:p>
          <w:p w14:paraId="3CE26D6E" w14:textId="03A45798" w:rsidR="00F12D1B" w:rsidRPr="00861FC3" w:rsidRDefault="00861FC3" w:rsidP="000964D4">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P</w:t>
            </w:r>
            <w:r w:rsidR="00F12D1B" w:rsidRPr="00861FC3">
              <w:t>alate prosthesis</w:t>
            </w:r>
          </w:p>
        </w:tc>
      </w:tr>
      <w:tr w:rsidR="00F12D1B" w14:paraId="3E596920" w14:textId="77777777" w:rsidTr="00F12D1B">
        <w:tc>
          <w:tcPr>
            <w:cnfStyle w:val="001000000000" w:firstRow="0" w:lastRow="0" w:firstColumn="1" w:lastColumn="0" w:oddVBand="0" w:evenVBand="0" w:oddHBand="0" w:evenHBand="0" w:firstRowFirstColumn="0" w:firstRowLastColumn="0" w:lastRowFirstColumn="0" w:lastRowLastColumn="0"/>
            <w:tcW w:w="4525" w:type="dxa"/>
          </w:tcPr>
          <w:p w14:paraId="198FAD36" w14:textId="780235FE" w:rsidR="00F12D1B" w:rsidRDefault="00F12D1B" w:rsidP="00F12D1B">
            <w:r>
              <w:t>Dental technicians</w:t>
            </w:r>
          </w:p>
        </w:tc>
        <w:tc>
          <w:tcPr>
            <w:tcW w:w="4525" w:type="dxa"/>
          </w:tcPr>
          <w:p w14:paraId="0CFB2D7F" w14:textId="11202CD0" w:rsidR="00861FC3" w:rsidRDefault="00F12D1B" w:rsidP="000964D4">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861FC3">
              <w:t>Dentures (including complete and partial)</w:t>
            </w:r>
          </w:p>
          <w:p w14:paraId="3DCDAABA" w14:textId="39DAFCC3" w:rsidR="00861FC3" w:rsidRDefault="00861FC3" w:rsidP="000964D4">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O</w:t>
            </w:r>
            <w:r w:rsidR="00F12D1B">
              <w:t>cclusal splints</w:t>
            </w:r>
          </w:p>
          <w:p w14:paraId="1101F88C" w14:textId="392FB70A" w:rsidR="00861FC3" w:rsidRDefault="00861FC3" w:rsidP="000964D4">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A</w:t>
            </w:r>
            <w:r w:rsidR="00F12D1B">
              <w:t>ligners</w:t>
            </w:r>
          </w:p>
          <w:p w14:paraId="37F49DE0" w14:textId="7F02B9D0" w:rsidR="00F12D1B" w:rsidRDefault="00861FC3" w:rsidP="000964D4">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P</w:t>
            </w:r>
            <w:r w:rsidR="00F12D1B">
              <w:t>alate prosthesis</w:t>
            </w:r>
          </w:p>
        </w:tc>
      </w:tr>
      <w:tr w:rsidR="00F12D1B" w14:paraId="4AA74934" w14:textId="77777777" w:rsidTr="00F12D1B">
        <w:tc>
          <w:tcPr>
            <w:cnfStyle w:val="001000000000" w:firstRow="0" w:lastRow="0" w:firstColumn="1" w:lastColumn="0" w:oddVBand="0" w:evenVBand="0" w:oddHBand="0" w:evenHBand="0" w:firstRowFirstColumn="0" w:firstRowLastColumn="0" w:lastRowFirstColumn="0" w:lastRowLastColumn="0"/>
            <w:tcW w:w="4525" w:type="dxa"/>
          </w:tcPr>
          <w:p w14:paraId="14A3ECA3" w14:textId="16D79EA0" w:rsidR="00F12D1B" w:rsidRDefault="00F12D1B" w:rsidP="00F12D1B">
            <w:pPr>
              <w:rPr>
                <w:rFonts w:asciiTheme="minorHAnsi" w:hAnsiTheme="minorHAnsi" w:cs="Calibri"/>
                <w:szCs w:val="22"/>
              </w:rPr>
            </w:pPr>
            <w:r>
              <w:rPr>
                <w:rFonts w:asciiTheme="minorHAnsi" w:hAnsiTheme="minorHAnsi" w:cs="Calibri"/>
                <w:szCs w:val="22"/>
              </w:rPr>
              <w:t>Orthotists and prosthetists</w:t>
            </w:r>
          </w:p>
        </w:tc>
        <w:tc>
          <w:tcPr>
            <w:tcW w:w="4525" w:type="dxa"/>
          </w:tcPr>
          <w:p w14:paraId="2024BF07" w14:textId="77777777" w:rsidR="00861FC3" w:rsidRDefault="00F111FD" w:rsidP="00F111FD">
            <w:pPr>
              <w:cnfStyle w:val="000000000000" w:firstRow="0" w:lastRow="0" w:firstColumn="0" w:lastColumn="0" w:oddVBand="0" w:evenVBand="0" w:oddHBand="0" w:evenHBand="0" w:firstRowFirstColumn="0" w:firstRowLastColumn="0" w:lastRowFirstColumn="0" w:lastRowLastColumn="0"/>
            </w:pPr>
            <w:r>
              <w:t>Non-invasive o</w:t>
            </w:r>
            <w:r w:rsidR="00F12D1B">
              <w:t>rthoses and prostheses including</w:t>
            </w:r>
            <w:r w:rsidR="00861FC3">
              <w:t>:</w:t>
            </w:r>
          </w:p>
          <w:p w14:paraId="318B59CA" w14:textId="48DAC55E" w:rsidR="00861FC3" w:rsidRDefault="00861FC3" w:rsidP="000964D4">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 xml:space="preserve">Hand </w:t>
            </w:r>
            <w:r w:rsidR="00F12D1B" w:rsidRPr="00861FC3">
              <w:t>splints</w:t>
            </w:r>
            <w:r>
              <w:t xml:space="preserve"> (with or without outrigger)</w:t>
            </w:r>
          </w:p>
          <w:p w14:paraId="47CA41E0" w14:textId="2CCEA5C0" w:rsidR="00861FC3" w:rsidRDefault="00861FC3" w:rsidP="000964D4">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Shoulder orthosis</w:t>
            </w:r>
          </w:p>
          <w:p w14:paraId="0EB97D7D" w14:textId="6C2EFA78" w:rsidR="00861FC3" w:rsidRDefault="00861FC3" w:rsidP="000964D4">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Ankle-foot orthosis</w:t>
            </w:r>
          </w:p>
          <w:p w14:paraId="50C43E9F" w14:textId="77777777" w:rsidR="00861FC3" w:rsidRDefault="00861FC3" w:rsidP="000964D4">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Orthopaedic shoes</w:t>
            </w:r>
          </w:p>
          <w:p w14:paraId="6FB9EC33" w14:textId="749C4000" w:rsidR="001E6A69" w:rsidRPr="00861FC3" w:rsidRDefault="00861FC3" w:rsidP="000964D4">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Orthotics</w:t>
            </w:r>
          </w:p>
        </w:tc>
      </w:tr>
      <w:tr w:rsidR="00F12D1B" w14:paraId="698A2B42" w14:textId="77777777" w:rsidTr="00F12D1B">
        <w:tc>
          <w:tcPr>
            <w:cnfStyle w:val="001000000000" w:firstRow="0" w:lastRow="0" w:firstColumn="1" w:lastColumn="0" w:oddVBand="0" w:evenVBand="0" w:oddHBand="0" w:evenHBand="0" w:firstRowFirstColumn="0" w:firstRowLastColumn="0" w:lastRowFirstColumn="0" w:lastRowLastColumn="0"/>
            <w:tcW w:w="4525" w:type="dxa"/>
          </w:tcPr>
          <w:p w14:paraId="56B004F8" w14:textId="0505D5ED" w:rsidR="00F12D1B" w:rsidRDefault="00F12D1B" w:rsidP="00F12D1B">
            <w:pPr>
              <w:rPr>
                <w:rFonts w:asciiTheme="minorHAnsi" w:hAnsiTheme="minorHAnsi" w:cs="Calibri"/>
                <w:szCs w:val="22"/>
              </w:rPr>
            </w:pPr>
            <w:r>
              <w:rPr>
                <w:rFonts w:asciiTheme="minorHAnsi" w:hAnsiTheme="minorHAnsi" w:cs="Calibri"/>
                <w:szCs w:val="22"/>
              </w:rPr>
              <w:t>Osteopaths</w:t>
            </w:r>
          </w:p>
        </w:tc>
        <w:tc>
          <w:tcPr>
            <w:tcW w:w="4525" w:type="dxa"/>
          </w:tcPr>
          <w:p w14:paraId="39BB8280" w14:textId="5F50A11D" w:rsidR="00F12D1B" w:rsidRDefault="00F12D1B" w:rsidP="00F12D1B">
            <w:pPr>
              <w:cnfStyle w:val="000000000000" w:firstRow="0" w:lastRow="0" w:firstColumn="0" w:lastColumn="0" w:oddVBand="0" w:evenVBand="0" w:oddHBand="0" w:evenHBand="0" w:firstRowFirstColumn="0" w:firstRowLastColumn="0" w:lastRowFirstColumn="0" w:lastRowLastColumn="0"/>
            </w:pPr>
            <w:r>
              <w:t>Plagiocephaly helmets</w:t>
            </w:r>
          </w:p>
        </w:tc>
      </w:tr>
    </w:tbl>
    <w:p w14:paraId="6F376192" w14:textId="77777777" w:rsidR="00F12D1B" w:rsidRDefault="00F12D1B" w:rsidP="00F12D1B"/>
    <w:p w14:paraId="141A0E20" w14:textId="77777777" w:rsidR="00970EC9" w:rsidRDefault="00970EC9" w:rsidP="00970EC9">
      <w:pPr>
        <w:rPr>
          <w:b/>
        </w:rPr>
      </w:pPr>
      <w:r>
        <w:rPr>
          <w:b/>
        </w:rPr>
        <w:t>Impact of the proposal</w:t>
      </w:r>
    </w:p>
    <w:p w14:paraId="469C9CE5" w14:textId="7CCEA1FA" w:rsidR="00970EC9" w:rsidRDefault="00970EC9" w:rsidP="00970EC9">
      <w:r>
        <w:t xml:space="preserve">The impact of this exemption is that any Class I </w:t>
      </w:r>
      <w:r w:rsidR="004742F6">
        <w:t xml:space="preserve">non-sterile, non-measuring </w:t>
      </w:r>
      <w:r>
        <w:t>patient-matched medical devices manufactured by a party that falls into any of the above categories would not need to be included in the ARTG. The manufacturer and sponsor would still need to meet all other regulatory requirements for medical devices including:</w:t>
      </w:r>
    </w:p>
    <w:p w14:paraId="013BCAAC" w14:textId="77777777" w:rsidR="00970EC9" w:rsidRDefault="00970EC9" w:rsidP="00970EC9">
      <w:pPr>
        <w:pStyle w:val="ListParagraph"/>
        <w:numPr>
          <w:ilvl w:val="0"/>
          <w:numId w:val="28"/>
        </w:numPr>
      </w:pPr>
      <w:r>
        <w:t xml:space="preserve">ensuring their device(s) meet all relevant Essential Principles, including supplying the devices with adequate labelling and instructions for </w:t>
      </w:r>
      <w:proofErr w:type="gramStart"/>
      <w:r>
        <w:t>use;</w:t>
      </w:r>
      <w:proofErr w:type="gramEnd"/>
    </w:p>
    <w:p w14:paraId="7F270A31" w14:textId="2A397DC6" w:rsidR="00970EC9" w:rsidRDefault="00970EC9">
      <w:pPr>
        <w:pStyle w:val="ListParagraph"/>
        <w:numPr>
          <w:ilvl w:val="0"/>
          <w:numId w:val="28"/>
        </w:numPr>
      </w:pPr>
      <w:r>
        <w:t>documenting evidence of conformity assessment (holding a declaration of conformity for the devices);</w:t>
      </w:r>
      <w:r w:rsidR="00861FC3">
        <w:t xml:space="preserve"> </w:t>
      </w:r>
      <w:r>
        <w:t>and</w:t>
      </w:r>
    </w:p>
    <w:p w14:paraId="17BF08D7" w14:textId="77777777" w:rsidR="00970EC9" w:rsidRDefault="00970EC9" w:rsidP="00970EC9">
      <w:pPr>
        <w:pStyle w:val="ListParagraph"/>
        <w:numPr>
          <w:ilvl w:val="0"/>
          <w:numId w:val="28"/>
        </w:numPr>
      </w:pPr>
      <w:r>
        <w:t>reporting adverse events associated with the use of their device(s).</w:t>
      </w:r>
    </w:p>
    <w:p w14:paraId="279CCAFB" w14:textId="6849F164" w:rsidR="00BF3987" w:rsidRPr="003E3D61" w:rsidRDefault="00861FC3" w:rsidP="00BF3987">
      <w:r>
        <w:t>A further impact of exempting these kinds of devices from inclusion in the ARTG is that they would not be able to be advertised to consumers.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93949" w:rsidRPr="009401F6" w14:paraId="31C50301" w14:textId="77777777" w:rsidTr="00A05C36">
        <w:tc>
          <w:tcPr>
            <w:tcW w:w="1276" w:type="dxa"/>
            <w:vAlign w:val="center"/>
          </w:tcPr>
          <w:p w14:paraId="7233C88B" w14:textId="77777777" w:rsidR="00F93949" w:rsidRPr="009401F6" w:rsidRDefault="00F93949" w:rsidP="00A05C36">
            <w:pPr>
              <w:spacing w:before="0"/>
              <w:rPr>
                <w:sz w:val="20"/>
              </w:rPr>
            </w:pPr>
            <w:r w:rsidRPr="009401F6">
              <w:rPr>
                <w:noProof/>
                <w:sz w:val="20"/>
                <w:lang w:eastAsia="en-AU"/>
              </w:rPr>
              <w:drawing>
                <wp:inline distT="0" distB="0" distL="0" distR="0" wp14:anchorId="2DAC8A6A" wp14:editId="4F46DE45">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7A17488" w14:textId="77777777" w:rsidR="00F93949" w:rsidRPr="009401F6" w:rsidRDefault="00F93949" w:rsidP="00A05C36">
            <w:r>
              <w:t>Note</w:t>
            </w:r>
          </w:p>
          <w:p w14:paraId="1F30E4C4" w14:textId="73A97DCC" w:rsidR="007560F1" w:rsidRPr="009401F6" w:rsidRDefault="003214DF" w:rsidP="00F12D1B">
            <w:r>
              <w:t xml:space="preserve">This proposal would not apply to higher risk devices (i.e., Class </w:t>
            </w:r>
            <w:proofErr w:type="spellStart"/>
            <w:r>
              <w:t>IIa</w:t>
            </w:r>
            <w:proofErr w:type="spellEnd"/>
            <w:r>
              <w:t xml:space="preserve">, IIb or III </w:t>
            </w:r>
            <w:r w:rsidR="00F12D1B">
              <w:t>patient-matched</w:t>
            </w:r>
            <w:r>
              <w:t xml:space="preserve"> medical devices).</w:t>
            </w:r>
          </w:p>
        </w:tc>
      </w:tr>
    </w:tbl>
    <w:p w14:paraId="156E177D" w14:textId="64DD9AFD" w:rsidR="00F111FD" w:rsidRDefault="001C2E5D" w:rsidP="00F111FD">
      <w:pPr>
        <w:pStyle w:val="Heading4"/>
        <w:numPr>
          <w:ilvl w:val="0"/>
          <w:numId w:val="9"/>
        </w:numPr>
        <w:ind w:left="426" w:hanging="426"/>
        <w:rPr>
          <w:color w:val="000000"/>
        </w:rPr>
      </w:pPr>
      <w:bookmarkStart w:id="20" w:name="_Toc73443781"/>
      <w:bookmarkStart w:id="21" w:name="_Toc532924256"/>
      <w:bookmarkStart w:id="22" w:name="_Toc35874428"/>
      <w:bookmarkEnd w:id="4"/>
      <w:bookmarkEnd w:id="5"/>
      <w:r>
        <w:rPr>
          <w:color w:val="000000"/>
        </w:rPr>
        <w:t>Inclusion of patient-matched medical devices in the ARTG using an a</w:t>
      </w:r>
      <w:r w:rsidR="00DB7960">
        <w:rPr>
          <w:color w:val="000000"/>
        </w:rPr>
        <w:t>lternative conformi</w:t>
      </w:r>
      <w:r w:rsidR="00861FC3">
        <w:rPr>
          <w:color w:val="000000"/>
        </w:rPr>
        <w:t>t</w:t>
      </w:r>
      <w:r w:rsidR="00DB7960">
        <w:rPr>
          <w:color w:val="000000"/>
        </w:rPr>
        <w:t>y</w:t>
      </w:r>
      <w:r w:rsidR="00861FC3">
        <w:rPr>
          <w:color w:val="000000"/>
        </w:rPr>
        <w:t xml:space="preserve"> assessment procedure</w:t>
      </w:r>
      <w:bookmarkEnd w:id="20"/>
    </w:p>
    <w:p w14:paraId="770E2208" w14:textId="0B189AD6" w:rsidR="00EF08ED" w:rsidRDefault="00861FC3" w:rsidP="00A50C12">
      <w:r>
        <w:t xml:space="preserve">Class </w:t>
      </w:r>
      <w:proofErr w:type="spellStart"/>
      <w:r>
        <w:t>IIa</w:t>
      </w:r>
      <w:proofErr w:type="spellEnd"/>
      <w:r>
        <w:t xml:space="preserve"> medical device</w:t>
      </w:r>
      <w:r w:rsidR="00161184">
        <w:t>s</w:t>
      </w:r>
      <w:r>
        <w:t xml:space="preserve"> represent low-medium levels of risk to patients</w:t>
      </w:r>
      <w:r w:rsidR="001C2E5D">
        <w:t xml:space="preserve">. </w:t>
      </w:r>
      <w:r w:rsidR="00EF08ED" w:rsidRPr="00EF08ED">
        <w:t xml:space="preserve">Currently the minimum conformity assessment procedures for </w:t>
      </w:r>
      <w:r w:rsidR="00EF08ED">
        <w:t xml:space="preserve">inclusion of </w:t>
      </w:r>
      <w:r w:rsidR="00EF08ED" w:rsidRPr="00EF08ED">
        <w:t xml:space="preserve">a Class </w:t>
      </w:r>
      <w:proofErr w:type="spellStart"/>
      <w:r w:rsidR="00EF08ED" w:rsidRPr="00EF08ED">
        <w:t>IIa</w:t>
      </w:r>
      <w:proofErr w:type="spellEnd"/>
      <w:r w:rsidR="00EF08ED" w:rsidRPr="00EF08ED">
        <w:t xml:space="preserve"> </w:t>
      </w:r>
      <w:r w:rsidR="00EF08ED">
        <w:t xml:space="preserve">medical </w:t>
      </w:r>
      <w:r w:rsidR="00EF08ED" w:rsidRPr="00EF08ED">
        <w:t>device</w:t>
      </w:r>
      <w:r w:rsidR="00EF08ED">
        <w:t xml:space="preserve"> in the ARTG</w:t>
      </w:r>
      <w:r w:rsidR="00EF08ED" w:rsidRPr="00EF08ED">
        <w:t xml:space="preserve"> requires </w:t>
      </w:r>
      <w:r w:rsidR="00EF08ED">
        <w:t xml:space="preserve">the manufacture have a quality management system that has been certified by the TGA or another </w:t>
      </w:r>
      <w:proofErr w:type="gramStart"/>
      <w:r w:rsidR="00EF08ED">
        <w:t>third party</w:t>
      </w:r>
      <w:proofErr w:type="gramEnd"/>
      <w:r w:rsidR="00EF08ED">
        <w:t xml:space="preserve"> conformity assessment body. </w:t>
      </w:r>
      <w:r w:rsidR="00EF08ED" w:rsidRPr="00EF08ED">
        <w:t>Manufacturers are also required to hold evidence that their devices comply with the Essential Principles.</w:t>
      </w:r>
    </w:p>
    <w:p w14:paraId="2D9FE8F9" w14:textId="6D29C8ED" w:rsidR="00861FC3" w:rsidRDefault="00161184" w:rsidP="00A50C12">
      <w:r>
        <w:t xml:space="preserve">Examples of </w:t>
      </w:r>
      <w:r w:rsidR="00DB7960">
        <w:t>Class </w:t>
      </w:r>
      <w:proofErr w:type="spellStart"/>
      <w:r>
        <w:t>IIa</w:t>
      </w:r>
      <w:proofErr w:type="spellEnd"/>
      <w:r>
        <w:t xml:space="preserve"> patient-matched devices </w:t>
      </w:r>
      <w:r w:rsidR="00861FC3">
        <w:t>include:</w:t>
      </w:r>
    </w:p>
    <w:p w14:paraId="7D76A865" w14:textId="4C0A054B" w:rsidR="00861FC3" w:rsidRDefault="00861FC3" w:rsidP="001C2E5D">
      <w:pPr>
        <w:pStyle w:val="ListParagraph"/>
        <w:numPr>
          <w:ilvl w:val="0"/>
          <w:numId w:val="28"/>
        </w:numPr>
      </w:pPr>
      <w:r>
        <w:t xml:space="preserve">Dental devices that are intended to remain in the oral cavity for more than 30 days </w:t>
      </w:r>
      <w:proofErr w:type="gramStart"/>
      <w:r>
        <w:t>continuously;</w:t>
      </w:r>
      <w:proofErr w:type="gramEnd"/>
      <w:r>
        <w:t xml:space="preserve"> and</w:t>
      </w:r>
    </w:p>
    <w:p w14:paraId="4050638E" w14:textId="594F04AB" w:rsidR="00861FC3" w:rsidRDefault="00861FC3" w:rsidP="001C2E5D">
      <w:pPr>
        <w:pStyle w:val="ListParagraph"/>
        <w:numPr>
          <w:ilvl w:val="0"/>
          <w:numId w:val="28"/>
        </w:numPr>
      </w:pPr>
      <w:r>
        <w:t>Orthoses that are intended to penetrate the skin and be anchored within the body.</w:t>
      </w:r>
    </w:p>
    <w:p w14:paraId="1C30B605" w14:textId="3A74AC8A" w:rsidR="00B46E39" w:rsidRDefault="00161184" w:rsidP="00B46E39">
      <w:r>
        <w:t xml:space="preserve">The risks posed by Class </w:t>
      </w:r>
      <w:proofErr w:type="spellStart"/>
      <w:r>
        <w:t>IIa</w:t>
      </w:r>
      <w:proofErr w:type="spellEnd"/>
      <w:r>
        <w:t xml:space="preserve"> devices include the potential for significant harm if the device integrity cannot be assured.  Failure of Class </w:t>
      </w:r>
      <w:proofErr w:type="spellStart"/>
      <w:r>
        <w:t>IIa</w:t>
      </w:r>
      <w:proofErr w:type="spellEnd"/>
      <w:r>
        <w:t xml:space="preserve"> </w:t>
      </w:r>
      <w:r w:rsidR="00B46E39">
        <w:t xml:space="preserve">fixed </w:t>
      </w:r>
      <w:r>
        <w:t xml:space="preserve">dental </w:t>
      </w:r>
      <w:r w:rsidR="00B46E39">
        <w:t xml:space="preserve">prostheses </w:t>
      </w:r>
      <w:r>
        <w:t xml:space="preserve">such as a crown or bridge can </w:t>
      </w:r>
      <w:r w:rsidR="00B46E39">
        <w:t>include biological complications such as secondary caries and tooth or root fractures, and technical complications such as device fractures, problems with marginal integrity and loss of retention</w:t>
      </w:r>
      <w:r w:rsidR="00A8068A">
        <w:rPr>
          <w:rStyle w:val="FootnoteReference"/>
        </w:rPr>
        <w:footnoteReference w:id="1"/>
      </w:r>
      <w:r w:rsidR="00B46E39">
        <w:t>.</w:t>
      </w:r>
    </w:p>
    <w:p w14:paraId="19DB0FAA" w14:textId="6D578FCD" w:rsidR="00161184" w:rsidRDefault="00161184">
      <w:r>
        <w:t xml:space="preserve">For invasive orthoses the risk of failure </w:t>
      </w:r>
      <w:r w:rsidR="00864C57">
        <w:t xml:space="preserve">is directly linked to the stability of the device structure, which can have significant patient impacts </w:t>
      </w:r>
      <w:r w:rsidR="00B46E39">
        <w:t xml:space="preserve">including nerve and tissue damage </w:t>
      </w:r>
      <w:r w:rsidR="00864C57">
        <w:t>if not managed through appropriate design and construction.</w:t>
      </w:r>
    </w:p>
    <w:p w14:paraId="343E0E22" w14:textId="22ABC96A" w:rsidR="00D93CA8" w:rsidRDefault="00864C57">
      <w:r>
        <w:t>Given the risk posed by these kinds of devices</w:t>
      </w:r>
      <w:r w:rsidR="00D93CA8">
        <w:t>,</w:t>
      </w:r>
      <w:r>
        <w:t xml:space="preserve"> and that most </w:t>
      </w:r>
      <w:r w:rsidR="00161184">
        <w:t xml:space="preserve">Class </w:t>
      </w:r>
      <w:proofErr w:type="spellStart"/>
      <w:r w:rsidR="00161184">
        <w:t>IIa</w:t>
      </w:r>
      <w:proofErr w:type="spellEnd"/>
      <w:r w:rsidR="00161184">
        <w:t xml:space="preserve"> patient-matched </w:t>
      </w:r>
      <w:r w:rsidR="001C2E5D">
        <w:t xml:space="preserve">medical </w:t>
      </w:r>
      <w:r w:rsidR="00161184">
        <w:t>devices cannot be removed without the assistance of a healthcare professional, it is</w:t>
      </w:r>
      <w:r w:rsidR="001C2E5D">
        <w:t xml:space="preserve"> considered</w:t>
      </w:r>
      <w:r w:rsidR="00161184">
        <w:t xml:space="preserve"> inappropriate to exclude or exempt these devices</w:t>
      </w:r>
      <w:r w:rsidR="00D93CA8">
        <w:t>.</w:t>
      </w:r>
      <w:r w:rsidR="00EF08ED">
        <w:t xml:space="preserve"> </w:t>
      </w:r>
    </w:p>
    <w:p w14:paraId="69C729C3" w14:textId="1B4E0384" w:rsidR="00EF08ED" w:rsidRDefault="00D2665E" w:rsidP="00EF08ED">
      <w:r>
        <w:t>I</w:t>
      </w:r>
      <w:r w:rsidR="00EF08ED">
        <w:t xml:space="preserve">t is proposed that Class </w:t>
      </w:r>
      <w:proofErr w:type="spellStart"/>
      <w:r w:rsidR="00EF08ED">
        <w:t>IIa</w:t>
      </w:r>
      <w:proofErr w:type="spellEnd"/>
      <w:r w:rsidR="00EF08ED">
        <w:t xml:space="preserve"> patient-matched medical devices </w:t>
      </w:r>
      <w:r>
        <w:t xml:space="preserve">should still be included in the ARTG but </w:t>
      </w:r>
      <w:r w:rsidR="00EF08ED">
        <w:t>an</w:t>
      </w:r>
      <w:r w:rsidR="002360E7">
        <w:t xml:space="preserve"> alternative conformity assessment procedure </w:t>
      </w:r>
      <w:r>
        <w:t xml:space="preserve">could be considered </w:t>
      </w:r>
      <w:r w:rsidR="002360E7">
        <w:t xml:space="preserve">where </w:t>
      </w:r>
      <w:r w:rsidR="00EF08ED">
        <w:t>it can be demonstrated the risks associated with the manufacture and use of the device can be</w:t>
      </w:r>
      <w:r>
        <w:t xml:space="preserve"> adequately managed:</w:t>
      </w:r>
    </w:p>
    <w:p w14:paraId="189A0BFD" w14:textId="0CD87E62" w:rsidR="00EF08ED" w:rsidRDefault="00EF08ED" w:rsidP="00EF08ED">
      <w:pPr>
        <w:pStyle w:val="ListParagraph"/>
        <w:numPr>
          <w:ilvl w:val="0"/>
          <w:numId w:val="40"/>
        </w:numPr>
      </w:pPr>
      <w:r>
        <w:t>the device is manufactured by a trained, accredited professional; or</w:t>
      </w:r>
    </w:p>
    <w:p w14:paraId="68CA9CD5" w14:textId="77777777" w:rsidR="00EF08ED" w:rsidRDefault="00EF08ED" w:rsidP="00EF08ED">
      <w:pPr>
        <w:pStyle w:val="ListParagraph"/>
        <w:numPr>
          <w:ilvl w:val="0"/>
          <w:numId w:val="40"/>
        </w:numPr>
      </w:pPr>
      <w:r>
        <w:t>other third-party mechanisms of oversight are in place that are suitable to manage the low risk that may be posed by the device.</w:t>
      </w:r>
    </w:p>
    <w:p w14:paraId="50CE4E0A" w14:textId="7687D136" w:rsidR="002360E7" w:rsidRDefault="002360E7" w:rsidP="00EF08ED">
      <w:r>
        <w:t xml:space="preserve">The alternative procedure would </w:t>
      </w:r>
      <w:r w:rsidR="00EF08ED">
        <w:t xml:space="preserve">also require the manufacturer to </w:t>
      </w:r>
      <w:r w:rsidR="00240EA8">
        <w:t>perform</w:t>
      </w:r>
      <w:r w:rsidR="00EF08ED">
        <w:t xml:space="preserve"> a self-assessment and </w:t>
      </w:r>
      <w:r w:rsidR="00240EA8">
        <w:t xml:space="preserve">make </w:t>
      </w:r>
      <w:r w:rsidR="00EF08ED">
        <w:t>declaration that they meet the regulatory requirements</w:t>
      </w:r>
      <w:r w:rsidR="00240EA8">
        <w:t xml:space="preserve">, including that the device(s) comply with the Essential Principles. The TGA would develop a self-assessment template for use for this purpose. The completed template and declaration could then be submitted to the </w:t>
      </w:r>
      <w:r w:rsidR="00D93CA8">
        <w:t xml:space="preserve">TGA in support of an </w:t>
      </w:r>
      <w:r w:rsidR="00B46E39">
        <w:t xml:space="preserve">application for inclusion in the </w:t>
      </w:r>
      <w:r w:rsidR="00D93CA8">
        <w:t>ARTG</w:t>
      </w:r>
      <w:r w:rsidR="00240EA8">
        <w:t>. I</w:t>
      </w:r>
      <w:r w:rsidR="00B46E39">
        <w:t>nclusion in the ARTG</w:t>
      </w:r>
      <w:r w:rsidR="00D93CA8">
        <w:t xml:space="preserve"> would be required before the device could be </w:t>
      </w:r>
      <w:r w:rsidR="00240EA8">
        <w:t xml:space="preserve">legally </w:t>
      </w:r>
      <w:r w:rsidR="00D93CA8">
        <w:t>supplied.</w:t>
      </w:r>
    </w:p>
    <w:p w14:paraId="7AFD599C" w14:textId="77777777" w:rsidR="00D2665E" w:rsidRDefault="00D2665E" w:rsidP="00D2665E">
      <w:r w:rsidRPr="00E11724">
        <w:t xml:space="preserve">This </w:t>
      </w:r>
      <w:r>
        <w:t>proposal still requires the manufacturer to:</w:t>
      </w:r>
    </w:p>
    <w:p w14:paraId="6463A577" w14:textId="77777777" w:rsidR="00D2665E" w:rsidRPr="007B23AC" w:rsidRDefault="00D2665E" w:rsidP="00D2665E">
      <w:pPr>
        <w:pStyle w:val="paragraph"/>
      </w:pPr>
      <w:r>
        <w:tab/>
        <w:t>(a)</w:t>
      </w:r>
      <w:r>
        <w:tab/>
        <w:t>prepare and hold</w:t>
      </w:r>
      <w:r w:rsidRPr="007B23AC">
        <w:t xml:space="preserve"> technical documentation in relation to the kind of device to enable assessment of the device; and</w:t>
      </w:r>
    </w:p>
    <w:p w14:paraId="5DCFA05E" w14:textId="77777777" w:rsidR="00D2665E" w:rsidRPr="007B23AC" w:rsidRDefault="00D2665E" w:rsidP="00D2665E">
      <w:pPr>
        <w:pStyle w:val="paragraph"/>
      </w:pPr>
      <w:r w:rsidRPr="007B23AC">
        <w:tab/>
        <w:t>(b)</w:t>
      </w:r>
      <w:r w:rsidRPr="007B23AC">
        <w:tab/>
      </w:r>
      <w:r>
        <w:t>hold evidence that the device meets the Essential Principles</w:t>
      </w:r>
      <w:r w:rsidRPr="007B23AC">
        <w:t>; and</w:t>
      </w:r>
    </w:p>
    <w:p w14:paraId="014823B3" w14:textId="77777777" w:rsidR="00D2665E" w:rsidRDefault="00D2665E" w:rsidP="00D2665E">
      <w:pPr>
        <w:pStyle w:val="paragraph"/>
      </w:pPr>
      <w:r w:rsidRPr="007B23AC">
        <w:tab/>
        <w:t>(c)</w:t>
      </w:r>
      <w:r w:rsidRPr="007B23AC">
        <w:tab/>
        <w:t>establish and keep up</w:t>
      </w:r>
      <w:r>
        <w:noBreakHyphen/>
      </w:r>
      <w:r w:rsidRPr="007B23AC">
        <w:t>to</w:t>
      </w:r>
      <w:r>
        <w:noBreakHyphen/>
      </w:r>
      <w:r w:rsidRPr="007B23AC">
        <w:t>date a post</w:t>
      </w:r>
      <w:r>
        <w:noBreakHyphen/>
      </w:r>
      <w:r w:rsidRPr="007B23AC">
        <w:t>market monitoring, reporting and corrective action system.</w:t>
      </w:r>
    </w:p>
    <w:p w14:paraId="6B762128" w14:textId="5440705D" w:rsidR="00240EA8" w:rsidRDefault="00240EA8" w:rsidP="00D76930">
      <w:r>
        <w:t xml:space="preserve">This proposal </w:t>
      </w:r>
      <w:r w:rsidR="00D2665E">
        <w:t>removes</w:t>
      </w:r>
      <w:r>
        <w:t xml:space="preserve"> the requirement for a manufacture to obtain certification for their quality management system </w:t>
      </w:r>
      <w:r w:rsidR="00D2665E">
        <w:t xml:space="preserve">from the TGA (or another body) and significantly reduces the regulatory burden associated with including a Class </w:t>
      </w:r>
      <w:proofErr w:type="spellStart"/>
      <w:r w:rsidR="00D2665E">
        <w:t>IIa</w:t>
      </w:r>
      <w:proofErr w:type="spellEnd"/>
      <w:r w:rsidR="00D2665E">
        <w:t xml:space="preserve"> device in the ARTG while maintaining an appropriate level of regulation oversight.</w:t>
      </w:r>
      <w:r>
        <w:t xml:space="preserve"> </w:t>
      </w:r>
    </w:p>
    <w:p w14:paraId="518E3048" w14:textId="1981347A" w:rsidR="00842243" w:rsidRDefault="00D93CA8">
      <w:r>
        <w:t xml:space="preserve">Examples where Class </w:t>
      </w:r>
      <w:proofErr w:type="spellStart"/>
      <w:r>
        <w:t>IIa</w:t>
      </w:r>
      <w:proofErr w:type="spellEnd"/>
      <w:r>
        <w:t xml:space="preserve"> (low-medium risk) patient-matched medical devices could be </w:t>
      </w:r>
      <w:r w:rsidR="00D76930">
        <w:t xml:space="preserve">subject to alternative conformity assessment procedures </w:t>
      </w:r>
      <w:r>
        <w:t xml:space="preserve">are </w:t>
      </w:r>
      <w:r w:rsidR="00842243">
        <w:t>if they are being manufactured:</w:t>
      </w:r>
    </w:p>
    <w:p w14:paraId="56DF24B4" w14:textId="77777777" w:rsidR="00842243" w:rsidRDefault="00842243" w:rsidP="00842243">
      <w:pPr>
        <w:pStyle w:val="ListParagraph"/>
        <w:numPr>
          <w:ilvl w:val="0"/>
          <w:numId w:val="27"/>
        </w:numPr>
        <w:rPr>
          <w:color w:val="000000"/>
        </w:rPr>
      </w:pPr>
      <w:r>
        <w:rPr>
          <w:color w:val="000000"/>
        </w:rPr>
        <w:t xml:space="preserve">Within a healthcare facility accredited against the National Safety and Quality Health Service (NSQHS) Standards by a body recognised by the Australian Commission on Safety and Quality in Health Care (ASCQHC); </w:t>
      </w:r>
      <w:r>
        <w:rPr>
          <w:b/>
          <w:color w:val="000000"/>
        </w:rPr>
        <w:t>or</w:t>
      </w:r>
    </w:p>
    <w:p w14:paraId="498FF278" w14:textId="77777777" w:rsidR="00842243" w:rsidRDefault="00842243" w:rsidP="00842243">
      <w:pPr>
        <w:pStyle w:val="ListParagraph"/>
        <w:numPr>
          <w:ilvl w:val="0"/>
          <w:numId w:val="27"/>
        </w:numPr>
        <w:rPr>
          <w:color w:val="000000"/>
        </w:rPr>
      </w:pPr>
      <w:r>
        <w:rPr>
          <w:color w:val="000000"/>
        </w:rPr>
        <w:t xml:space="preserve">By a provider who has been registered with the National Disability Insurance Scheme Quality and Safeguards Commission (NDISQSC), and the scope of their registration encompasses the patient-matched medical devices that they are producing; </w:t>
      </w:r>
      <w:r>
        <w:rPr>
          <w:b/>
          <w:color w:val="000000"/>
        </w:rPr>
        <w:t>or</w:t>
      </w:r>
    </w:p>
    <w:p w14:paraId="3255C0B5" w14:textId="77777777" w:rsidR="00842243" w:rsidRDefault="00842243" w:rsidP="00842243">
      <w:pPr>
        <w:pStyle w:val="ListParagraph"/>
        <w:numPr>
          <w:ilvl w:val="0"/>
          <w:numId w:val="27"/>
        </w:numPr>
        <w:rPr>
          <w:color w:val="000000"/>
        </w:rPr>
      </w:pPr>
      <w:r w:rsidRPr="00E9322A">
        <w:rPr>
          <w:color w:val="000000"/>
        </w:rPr>
        <w:t xml:space="preserve">By a health professional registered with the Australian Health Practitioner Regulation Agency (AHPRA) under the </w:t>
      </w:r>
      <w:r w:rsidRPr="00E9322A">
        <w:rPr>
          <w:i/>
          <w:color w:val="000000"/>
        </w:rPr>
        <w:t>Health Practitioner Regulation National Law Act 2009,</w:t>
      </w:r>
      <w:r w:rsidRPr="00E9322A">
        <w:rPr>
          <w:color w:val="000000"/>
        </w:rPr>
        <w:t xml:space="preserve"> and whose scope of practice encompasses production of the patient-matched medical devices that they are producing; </w:t>
      </w:r>
      <w:r w:rsidRPr="00E9322A">
        <w:rPr>
          <w:b/>
          <w:color w:val="000000"/>
        </w:rPr>
        <w:t>and</w:t>
      </w:r>
      <w:r>
        <w:rPr>
          <w:b/>
          <w:color w:val="000000"/>
        </w:rPr>
        <w:br/>
      </w:r>
      <w:r w:rsidRPr="00E9322A">
        <w:rPr>
          <w:color w:val="000000"/>
        </w:rPr>
        <w:t>The devices they produce are intended to be used by a patient of the healthcare facility, registered provider or AHPRA-registered health professional.</w:t>
      </w:r>
    </w:p>
    <w:p w14:paraId="1ECEB4CD" w14:textId="77777777" w:rsidR="00842243" w:rsidRDefault="00842243" w:rsidP="00842243">
      <w:pPr>
        <w:pStyle w:val="ListParagraph"/>
        <w:numPr>
          <w:ilvl w:val="0"/>
          <w:numId w:val="27"/>
        </w:numPr>
        <w:rPr>
          <w:color w:val="000000"/>
        </w:rPr>
      </w:pPr>
      <w:r>
        <w:rPr>
          <w:color w:val="000000"/>
        </w:rPr>
        <w:t xml:space="preserve">By a dental technician who holds a recognised qualification under the Australian Qualifications Framework </w:t>
      </w:r>
      <w:r w:rsidRPr="00E9322A">
        <w:rPr>
          <w:b/>
          <w:color w:val="000000"/>
        </w:rPr>
        <w:t>and</w:t>
      </w:r>
      <w:r>
        <w:rPr>
          <w:b/>
          <w:color w:val="000000"/>
        </w:rPr>
        <w:br/>
      </w:r>
      <w:r w:rsidRPr="00E9322A">
        <w:rPr>
          <w:color w:val="000000"/>
        </w:rPr>
        <w:t xml:space="preserve">The devices they produce are intended to be used by a patient of the healthcare facility, registered </w:t>
      </w:r>
      <w:proofErr w:type="gramStart"/>
      <w:r w:rsidRPr="00E9322A">
        <w:rPr>
          <w:color w:val="000000"/>
        </w:rPr>
        <w:t>provider</w:t>
      </w:r>
      <w:proofErr w:type="gramEnd"/>
      <w:r w:rsidRPr="00E9322A">
        <w:rPr>
          <w:color w:val="000000"/>
        </w:rPr>
        <w:t xml:space="preserve"> or AHPRA-registered health professional.</w:t>
      </w:r>
    </w:p>
    <w:p w14:paraId="32687A43" w14:textId="77777777" w:rsidR="00B46E39" w:rsidRPr="00023945" w:rsidRDefault="00B46E39" w:rsidP="00B46E39">
      <w:pPr>
        <w:pStyle w:val="ListParagraph"/>
        <w:numPr>
          <w:ilvl w:val="0"/>
          <w:numId w:val="27"/>
        </w:numPr>
        <w:rPr>
          <w:color w:val="000000"/>
        </w:rPr>
      </w:pPr>
      <w:r w:rsidRPr="00023945">
        <w:t xml:space="preserve">By a dental laboratory accredited by the Oral </w:t>
      </w:r>
      <w:r>
        <w:t xml:space="preserve">Health Professional Association </w:t>
      </w:r>
      <w:r w:rsidRPr="00E9322A">
        <w:rPr>
          <w:b/>
          <w:color w:val="000000"/>
        </w:rPr>
        <w:t>and</w:t>
      </w:r>
      <w:r>
        <w:rPr>
          <w:b/>
          <w:color w:val="000000"/>
        </w:rPr>
        <w:br/>
      </w:r>
      <w:r w:rsidRPr="00E9322A">
        <w:rPr>
          <w:color w:val="000000"/>
        </w:rPr>
        <w:t xml:space="preserve">The devices they produce are intended to be used by a patient of the healthcare facility, registered </w:t>
      </w:r>
      <w:proofErr w:type="gramStart"/>
      <w:r w:rsidRPr="00E9322A">
        <w:rPr>
          <w:color w:val="000000"/>
        </w:rPr>
        <w:t>provider</w:t>
      </w:r>
      <w:proofErr w:type="gramEnd"/>
      <w:r w:rsidRPr="00E9322A">
        <w:rPr>
          <w:color w:val="000000"/>
        </w:rPr>
        <w:t xml:space="preserve"> or AHPRA-registered health professional.</w:t>
      </w:r>
    </w:p>
    <w:p w14:paraId="7AFAD62A" w14:textId="77777777" w:rsidR="00842243" w:rsidRDefault="00842243" w:rsidP="00842243">
      <w:pPr>
        <w:pStyle w:val="ListParagraph"/>
        <w:numPr>
          <w:ilvl w:val="0"/>
          <w:numId w:val="27"/>
        </w:numPr>
        <w:rPr>
          <w:color w:val="000000"/>
        </w:rPr>
      </w:pPr>
      <w:r>
        <w:rPr>
          <w:color w:val="000000"/>
        </w:rPr>
        <w:t>By an orthotist or prosthetist who is a full member of the Australian Orthotic Prosthetic Association.</w:t>
      </w:r>
    </w:p>
    <w:p w14:paraId="59AA8CF0" w14:textId="67C83FEB" w:rsidR="00842243" w:rsidRDefault="00842243" w:rsidP="00842243">
      <w:r>
        <w:t xml:space="preserve">The kinds of Class </w:t>
      </w:r>
      <w:proofErr w:type="spellStart"/>
      <w:r>
        <w:t>I</w:t>
      </w:r>
      <w:r w:rsidR="00A50C12">
        <w:t>Ia</w:t>
      </w:r>
      <w:proofErr w:type="spellEnd"/>
      <w:r>
        <w:t xml:space="preserve"> medical devices that could be exempted under such a proposal may include:</w:t>
      </w:r>
    </w:p>
    <w:tbl>
      <w:tblPr>
        <w:tblStyle w:val="TableTGAblue"/>
        <w:tblW w:w="0" w:type="auto"/>
        <w:tblLook w:val="04A0" w:firstRow="1" w:lastRow="0" w:firstColumn="1" w:lastColumn="0" w:noHBand="0" w:noVBand="1"/>
      </w:tblPr>
      <w:tblGrid>
        <w:gridCol w:w="4525"/>
        <w:gridCol w:w="4525"/>
      </w:tblGrid>
      <w:tr w:rsidR="00842243" w14:paraId="5F7D5017" w14:textId="77777777" w:rsidTr="009C42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5" w:type="dxa"/>
          </w:tcPr>
          <w:p w14:paraId="7EEDB57D" w14:textId="77777777" w:rsidR="00842243" w:rsidRDefault="00842243" w:rsidP="009C425D">
            <w:r>
              <w:t>Profession</w:t>
            </w:r>
          </w:p>
        </w:tc>
        <w:tc>
          <w:tcPr>
            <w:tcW w:w="4525" w:type="dxa"/>
          </w:tcPr>
          <w:p w14:paraId="0058889B" w14:textId="58D2089E" w:rsidR="00842243" w:rsidRDefault="00842243" w:rsidP="009C425D">
            <w:pPr>
              <w:cnfStyle w:val="100000000000" w:firstRow="1" w:lastRow="0" w:firstColumn="0" w:lastColumn="0" w:oddVBand="0" w:evenVBand="0" w:oddHBand="0" w:evenHBand="0" w:firstRowFirstColumn="0" w:firstRowLastColumn="0" w:lastRowFirstColumn="0" w:lastRowLastColumn="0"/>
            </w:pPr>
            <w:r>
              <w:t xml:space="preserve">Examples of Class </w:t>
            </w:r>
            <w:proofErr w:type="spellStart"/>
            <w:r>
              <w:t>I</w:t>
            </w:r>
            <w:r w:rsidR="00A50C12">
              <w:t>Ia</w:t>
            </w:r>
            <w:proofErr w:type="spellEnd"/>
            <w:r>
              <w:t xml:space="preserve"> </w:t>
            </w:r>
            <w:r w:rsidR="00A50C12">
              <w:t xml:space="preserve">patient-matched </w:t>
            </w:r>
            <w:r>
              <w:t>medical devices</w:t>
            </w:r>
          </w:p>
        </w:tc>
      </w:tr>
      <w:tr w:rsidR="00842243" w14:paraId="00A933FD" w14:textId="77777777" w:rsidTr="009C425D">
        <w:tc>
          <w:tcPr>
            <w:cnfStyle w:val="001000000000" w:firstRow="0" w:lastRow="0" w:firstColumn="1" w:lastColumn="0" w:oddVBand="0" w:evenVBand="0" w:oddHBand="0" w:evenHBand="0" w:firstRowFirstColumn="0" w:firstRowLastColumn="0" w:lastRowFirstColumn="0" w:lastRowLastColumn="0"/>
            <w:tcW w:w="4525" w:type="dxa"/>
          </w:tcPr>
          <w:p w14:paraId="35DAB1C3" w14:textId="77777777" w:rsidR="00842243" w:rsidRDefault="00842243" w:rsidP="009C425D">
            <w:r>
              <w:t>Dental technicians</w:t>
            </w:r>
          </w:p>
        </w:tc>
        <w:tc>
          <w:tcPr>
            <w:tcW w:w="4525" w:type="dxa"/>
          </w:tcPr>
          <w:p w14:paraId="7DC48907" w14:textId="77777777" w:rsidR="00DE3429" w:rsidRDefault="00A50C12" w:rsidP="00DE3429">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DE3429">
              <w:t>Crowns</w:t>
            </w:r>
          </w:p>
          <w:p w14:paraId="36A48379" w14:textId="77777777" w:rsidR="00DE3429" w:rsidRDefault="00DE3429" w:rsidP="00DE3429">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V</w:t>
            </w:r>
            <w:r w:rsidR="00A50C12" w:rsidRPr="00DE3429">
              <w:t>eneers</w:t>
            </w:r>
          </w:p>
          <w:p w14:paraId="356AD434" w14:textId="77777777" w:rsidR="00DE3429" w:rsidRDefault="00DE3429" w:rsidP="00DE3429">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B</w:t>
            </w:r>
            <w:r w:rsidR="00A50C12" w:rsidRPr="00DE3429">
              <w:t>ridges</w:t>
            </w:r>
          </w:p>
          <w:p w14:paraId="7F69DA3D" w14:textId="03EA154C" w:rsidR="00DE3429" w:rsidRDefault="00DE3429" w:rsidP="00DE3429">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B</w:t>
            </w:r>
            <w:r w:rsidR="00A727BF">
              <w:t>onded retainers</w:t>
            </w:r>
          </w:p>
          <w:p w14:paraId="21E24621" w14:textId="3012F9D4" w:rsidR="00842243" w:rsidRPr="00DE3429" w:rsidRDefault="00DE3429" w:rsidP="00DE3429">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t>P</w:t>
            </w:r>
            <w:r w:rsidR="00A50C12" w:rsidRPr="00DE3429">
              <w:t>alate expanding dev</w:t>
            </w:r>
            <w:r>
              <w:t>ices</w:t>
            </w:r>
          </w:p>
        </w:tc>
      </w:tr>
      <w:tr w:rsidR="00842243" w14:paraId="26925E32" w14:textId="77777777" w:rsidTr="009C425D">
        <w:tc>
          <w:tcPr>
            <w:cnfStyle w:val="001000000000" w:firstRow="0" w:lastRow="0" w:firstColumn="1" w:lastColumn="0" w:oddVBand="0" w:evenVBand="0" w:oddHBand="0" w:evenHBand="0" w:firstRowFirstColumn="0" w:firstRowLastColumn="0" w:lastRowFirstColumn="0" w:lastRowLastColumn="0"/>
            <w:tcW w:w="4525" w:type="dxa"/>
          </w:tcPr>
          <w:p w14:paraId="1812C87E" w14:textId="77777777" w:rsidR="00842243" w:rsidRDefault="00842243" w:rsidP="009C425D">
            <w:pPr>
              <w:rPr>
                <w:rFonts w:asciiTheme="minorHAnsi" w:hAnsiTheme="minorHAnsi" w:cs="Calibri"/>
                <w:szCs w:val="22"/>
              </w:rPr>
            </w:pPr>
            <w:r>
              <w:rPr>
                <w:rFonts w:asciiTheme="minorHAnsi" w:hAnsiTheme="minorHAnsi" w:cs="Calibri"/>
                <w:szCs w:val="22"/>
              </w:rPr>
              <w:t>Orthotists and prosthetists</w:t>
            </w:r>
          </w:p>
        </w:tc>
        <w:tc>
          <w:tcPr>
            <w:tcW w:w="4525" w:type="dxa"/>
          </w:tcPr>
          <w:p w14:paraId="23A25B39" w14:textId="7C198FC8" w:rsidR="00842243" w:rsidRDefault="00A50C12" w:rsidP="00DE3429">
            <w:pPr>
              <w:cnfStyle w:val="000000000000" w:firstRow="0" w:lastRow="0" w:firstColumn="0" w:lastColumn="0" w:oddVBand="0" w:evenVBand="0" w:oddHBand="0" w:evenHBand="0" w:firstRowFirstColumn="0" w:firstRowLastColumn="0" w:lastRowFirstColumn="0" w:lastRowLastColumn="0"/>
            </w:pPr>
            <w:r>
              <w:t>I</w:t>
            </w:r>
            <w:r w:rsidR="00842243">
              <w:t xml:space="preserve">nvasive </w:t>
            </w:r>
            <w:r w:rsidR="00DE3429">
              <w:t xml:space="preserve">(that penetrate the skin for the purposes of stabilisation) </w:t>
            </w:r>
            <w:r w:rsidR="00842243">
              <w:t>orthoses and prostheses including splints.</w:t>
            </w:r>
          </w:p>
        </w:tc>
      </w:tr>
      <w:tr w:rsidR="00DE3429" w14:paraId="3C6E78F4" w14:textId="77777777" w:rsidTr="009C425D">
        <w:tc>
          <w:tcPr>
            <w:cnfStyle w:val="001000000000" w:firstRow="0" w:lastRow="0" w:firstColumn="1" w:lastColumn="0" w:oddVBand="0" w:evenVBand="0" w:oddHBand="0" w:evenHBand="0" w:firstRowFirstColumn="0" w:firstRowLastColumn="0" w:lastRowFirstColumn="0" w:lastRowLastColumn="0"/>
            <w:tcW w:w="4525" w:type="dxa"/>
          </w:tcPr>
          <w:p w14:paraId="1D86962A" w14:textId="18D0FB2E" w:rsidR="00DE3429" w:rsidRDefault="00DE3429" w:rsidP="009C425D">
            <w:pPr>
              <w:rPr>
                <w:rFonts w:asciiTheme="minorHAnsi" w:hAnsiTheme="minorHAnsi" w:cs="Calibri"/>
                <w:szCs w:val="22"/>
              </w:rPr>
            </w:pPr>
            <w:r>
              <w:rPr>
                <w:rFonts w:asciiTheme="minorHAnsi" w:hAnsiTheme="minorHAnsi" w:cs="Calibri"/>
                <w:szCs w:val="22"/>
              </w:rPr>
              <w:t>All professions and facilities subject to the alternative conformity assessment procedures</w:t>
            </w:r>
          </w:p>
        </w:tc>
        <w:tc>
          <w:tcPr>
            <w:tcW w:w="4525" w:type="dxa"/>
          </w:tcPr>
          <w:p w14:paraId="4F3B9921" w14:textId="4D417522" w:rsidR="00DE3429" w:rsidRDefault="00DE3429" w:rsidP="00D20104">
            <w:pPr>
              <w:cnfStyle w:val="000000000000" w:firstRow="0" w:lastRow="0" w:firstColumn="0" w:lastColumn="0" w:oddVBand="0" w:evenVBand="0" w:oddHBand="0" w:evenHBand="0" w:firstRowFirstColumn="0" w:firstRowLastColumn="0" w:lastRowFirstColumn="0" w:lastRowLastColumn="0"/>
            </w:pPr>
            <w:r>
              <w:t>Anatomical models</w:t>
            </w:r>
            <w:r w:rsidR="00D20104">
              <w:t xml:space="preserve"> (virtual and physical)</w:t>
            </w:r>
          </w:p>
        </w:tc>
      </w:tr>
    </w:tbl>
    <w:p w14:paraId="169770D7" w14:textId="77777777" w:rsidR="00F111FD" w:rsidRDefault="00F111FD" w:rsidP="00F111FD">
      <w:pPr>
        <w:pStyle w:val="ListParagraph"/>
        <w:rPr>
          <w:color w:val="000000"/>
        </w:rP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111FD" w:rsidRPr="009401F6" w14:paraId="681EC478" w14:textId="77777777" w:rsidTr="009C425D">
        <w:tc>
          <w:tcPr>
            <w:tcW w:w="1276" w:type="dxa"/>
            <w:vAlign w:val="center"/>
          </w:tcPr>
          <w:p w14:paraId="4AD09EA7" w14:textId="77777777" w:rsidR="00F111FD" w:rsidRPr="009401F6" w:rsidRDefault="00F111FD" w:rsidP="009C425D">
            <w:pPr>
              <w:spacing w:before="0"/>
              <w:rPr>
                <w:sz w:val="20"/>
              </w:rPr>
            </w:pPr>
            <w:r w:rsidRPr="009401F6">
              <w:rPr>
                <w:noProof/>
                <w:sz w:val="20"/>
                <w:lang w:eastAsia="en-AU"/>
              </w:rPr>
              <w:drawing>
                <wp:inline distT="0" distB="0" distL="0" distR="0" wp14:anchorId="7F64211B" wp14:editId="3F571021">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CEDAB61" w14:textId="26698A8C" w:rsidR="00F111FD" w:rsidRDefault="00F111FD" w:rsidP="00742F63">
            <w:r>
              <w:t>Note</w:t>
            </w:r>
          </w:p>
          <w:p w14:paraId="04D485D4" w14:textId="2511F29F" w:rsidR="00F111FD" w:rsidRPr="009401F6" w:rsidRDefault="00F111FD" w:rsidP="00742F63">
            <w:r>
              <w:t xml:space="preserve">This proposal would not apply to Class IIb </w:t>
            </w:r>
            <w:r w:rsidR="00742F63">
              <w:t xml:space="preserve">or Class III </w:t>
            </w:r>
            <w:r>
              <w:t>patient-matched medical devices.</w:t>
            </w:r>
          </w:p>
        </w:tc>
      </w:tr>
    </w:tbl>
    <w:p w14:paraId="6E1101FF" w14:textId="2505C72E" w:rsidR="00EB764E" w:rsidRPr="003D7768" w:rsidRDefault="00EB764E" w:rsidP="00EB764E">
      <w:pPr>
        <w:pStyle w:val="Heading2"/>
        <w:rPr>
          <w:color w:val="000000"/>
        </w:rPr>
      </w:pPr>
      <w:bookmarkStart w:id="23" w:name="_Toc73443782"/>
      <w:r w:rsidRPr="003D7768">
        <w:rPr>
          <w:color w:val="000000"/>
        </w:rPr>
        <w:t>What we invite you to do</w:t>
      </w:r>
      <w:bookmarkEnd w:id="21"/>
      <w:bookmarkEnd w:id="22"/>
      <w:bookmarkEnd w:id="23"/>
    </w:p>
    <w:p w14:paraId="1D867C2A" w14:textId="1330033B" w:rsidR="00EB764E" w:rsidRDefault="00EB764E" w:rsidP="00EB764E">
      <w:pPr>
        <w:rPr>
          <w:color w:val="000000"/>
        </w:rPr>
      </w:pPr>
      <w:r w:rsidRPr="003D7768">
        <w:rPr>
          <w:color w:val="000000"/>
        </w:rPr>
        <w:t>In your submission, we ask you to consider and respond to the questions below, and to provide comments on the issues outlined in this consultation paper.</w:t>
      </w:r>
    </w:p>
    <w:p w14:paraId="404D5815" w14:textId="735C9386" w:rsidR="003E3D61" w:rsidRDefault="00A40043" w:rsidP="003E3D61">
      <w:pPr>
        <w:pStyle w:val="Heading2"/>
      </w:pPr>
      <w:bookmarkStart w:id="24" w:name="_Toc73443783"/>
      <w:r>
        <w:t>Questions</w:t>
      </w:r>
      <w:bookmarkEnd w:id="24"/>
    </w:p>
    <w:tbl>
      <w:tblPr>
        <w:tblStyle w:val="TableTGAblue"/>
        <w:tblpPr w:leftFromText="180" w:rightFromText="180" w:vertAnchor="text" w:horzAnchor="margin" w:tblpY="1878"/>
        <w:tblW w:w="0" w:type="auto"/>
        <w:tblLook w:val="04A0" w:firstRow="1" w:lastRow="0" w:firstColumn="1" w:lastColumn="0" w:noHBand="0" w:noVBand="1"/>
      </w:tblPr>
      <w:tblGrid>
        <w:gridCol w:w="9050"/>
      </w:tblGrid>
      <w:tr w:rsidR="00B46E39" w14:paraId="6B41DB19" w14:textId="77777777" w:rsidTr="002C3B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shd w:val="clear" w:color="auto" w:fill="D2EDFF" w:themeFill="text1" w:themeFillTint="1A"/>
          </w:tcPr>
          <w:p w14:paraId="7655CD12" w14:textId="77777777" w:rsidR="00B46E39" w:rsidRPr="00742F63" w:rsidRDefault="00B46E39" w:rsidP="002C3BE3">
            <w:pPr>
              <w:pStyle w:val="ListBullet"/>
              <w:numPr>
                <w:ilvl w:val="0"/>
                <w:numId w:val="0"/>
              </w:numPr>
              <w:ind w:left="360" w:hanging="360"/>
              <w:rPr>
                <w:color w:val="000000"/>
                <w:sz w:val="24"/>
              </w:rPr>
            </w:pPr>
            <w:r w:rsidRPr="00742F63">
              <w:rPr>
                <w:color w:val="000000"/>
                <w:sz w:val="24"/>
              </w:rPr>
              <w:t>Exclusions</w:t>
            </w:r>
          </w:p>
          <w:p w14:paraId="54A926F2" w14:textId="77777777" w:rsidR="00B46E39" w:rsidRPr="000C5B07" w:rsidRDefault="00B46E39" w:rsidP="002C3BE3">
            <w:pPr>
              <w:pStyle w:val="ListBullet"/>
              <w:numPr>
                <w:ilvl w:val="0"/>
                <w:numId w:val="13"/>
              </w:numPr>
              <w:rPr>
                <w:color w:val="000000"/>
              </w:rPr>
            </w:pPr>
            <w:r>
              <w:rPr>
                <w:color w:val="auto"/>
              </w:rPr>
              <w:t>Do you agree with the rationale for the proposed exclusion of products?  If not, why not?</w:t>
            </w:r>
          </w:p>
          <w:p w14:paraId="7847F20B" w14:textId="75B1CD97" w:rsidR="00B46E39" w:rsidRPr="00742F63" w:rsidRDefault="00B46E39" w:rsidP="002C3BE3">
            <w:pPr>
              <w:pStyle w:val="ListBullet"/>
              <w:numPr>
                <w:ilvl w:val="0"/>
                <w:numId w:val="13"/>
              </w:numPr>
              <w:rPr>
                <w:color w:val="000000"/>
              </w:rPr>
            </w:pPr>
            <w:r>
              <w:rPr>
                <w:color w:val="auto"/>
              </w:rPr>
              <w:t xml:space="preserve">Are the risks posed by the products adequately managed if they are excluded from regulation by the TGA? </w:t>
            </w:r>
            <w:r w:rsidR="009A4B4F">
              <w:rPr>
                <w:color w:val="auto"/>
              </w:rPr>
              <w:t>Please explain your response, including by providing examples that illustrate and/or support your position.</w:t>
            </w:r>
          </w:p>
          <w:p w14:paraId="7B1D91EB" w14:textId="542CE7B3" w:rsidR="00B46E39" w:rsidRPr="00235055" w:rsidRDefault="00B46E39" w:rsidP="002C3BE3">
            <w:pPr>
              <w:pStyle w:val="ListBullet"/>
              <w:numPr>
                <w:ilvl w:val="0"/>
                <w:numId w:val="13"/>
              </w:numPr>
              <w:rPr>
                <w:color w:val="000000"/>
              </w:rPr>
            </w:pPr>
            <w:r>
              <w:rPr>
                <w:color w:val="auto"/>
              </w:rPr>
              <w:t xml:space="preserve">Are there further products that meet the principles proposed </w:t>
            </w:r>
            <w:r w:rsidR="00D2665E">
              <w:rPr>
                <w:color w:val="auto"/>
              </w:rPr>
              <w:t>for exclusion?</w:t>
            </w:r>
            <w:r>
              <w:rPr>
                <w:color w:val="auto"/>
              </w:rPr>
              <w:t xml:space="preserve"> </w:t>
            </w:r>
            <w:r w:rsidRPr="00235055">
              <w:rPr>
                <w:color w:val="auto"/>
              </w:rPr>
              <w:t xml:space="preserve">What are they and why </w:t>
            </w:r>
            <w:r w:rsidRPr="00235055">
              <w:rPr>
                <w:color w:val="000000"/>
              </w:rPr>
              <w:t xml:space="preserve">should they be </w:t>
            </w:r>
            <w:r>
              <w:rPr>
                <w:color w:val="000000"/>
              </w:rPr>
              <w:t>excluded</w:t>
            </w:r>
            <w:r w:rsidRPr="00235055">
              <w:rPr>
                <w:color w:val="000000"/>
              </w:rPr>
              <w:t>?</w:t>
            </w:r>
          </w:p>
          <w:p w14:paraId="3873E360" w14:textId="77777777" w:rsidR="00B46E39" w:rsidRPr="00235055" w:rsidRDefault="00B46E39" w:rsidP="002C3BE3">
            <w:pPr>
              <w:pStyle w:val="ListBullet"/>
              <w:numPr>
                <w:ilvl w:val="0"/>
                <w:numId w:val="0"/>
              </w:numPr>
              <w:ind w:left="720"/>
              <w:rPr>
                <w:color w:val="000000"/>
              </w:rPr>
            </w:pPr>
            <w:r w:rsidRPr="00235055">
              <w:rPr>
                <w:color w:val="000000"/>
              </w:rPr>
              <w:t>Please provide an explanation for why:</w:t>
            </w:r>
          </w:p>
          <w:p w14:paraId="50E6AF38" w14:textId="77777777" w:rsidR="00B46E39" w:rsidRPr="00235055" w:rsidRDefault="00B46E39" w:rsidP="002C3BE3">
            <w:pPr>
              <w:pStyle w:val="ListBullet"/>
              <w:numPr>
                <w:ilvl w:val="1"/>
                <w:numId w:val="13"/>
              </w:numPr>
              <w:rPr>
                <w:color w:val="000000"/>
              </w:rPr>
            </w:pPr>
            <w:r w:rsidRPr="00235055">
              <w:rPr>
                <w:color w:val="000000"/>
              </w:rPr>
              <w:t>the product represents no, or insignificant levels, of risk; or</w:t>
            </w:r>
          </w:p>
          <w:p w14:paraId="3CDCCCEA" w14:textId="77777777" w:rsidR="00B46E39" w:rsidRPr="00235055" w:rsidRDefault="00B46E39" w:rsidP="002C3BE3">
            <w:pPr>
              <w:pStyle w:val="ListBullet"/>
              <w:numPr>
                <w:ilvl w:val="1"/>
                <w:numId w:val="13"/>
              </w:numPr>
              <w:rPr>
                <w:color w:val="000000"/>
              </w:rPr>
            </w:pPr>
            <w:r w:rsidRPr="00235055">
              <w:rPr>
                <w:color w:val="000000"/>
              </w:rPr>
              <w:t>the product does not meet the definition of a medical device.</w:t>
            </w:r>
          </w:p>
          <w:p w14:paraId="7DADF11D" w14:textId="77777777" w:rsidR="00B46E39" w:rsidRPr="00742F63" w:rsidRDefault="00B46E39" w:rsidP="002C3BE3">
            <w:pPr>
              <w:pStyle w:val="ListBullet"/>
              <w:numPr>
                <w:ilvl w:val="0"/>
                <w:numId w:val="0"/>
              </w:numPr>
              <w:ind w:left="360" w:hanging="360"/>
              <w:rPr>
                <w:color w:val="000000"/>
                <w:sz w:val="24"/>
              </w:rPr>
            </w:pPr>
            <w:r w:rsidRPr="00742F63">
              <w:rPr>
                <w:color w:val="000000"/>
                <w:sz w:val="24"/>
              </w:rPr>
              <w:t>Exemptions</w:t>
            </w:r>
          </w:p>
          <w:p w14:paraId="1507EA03" w14:textId="1E7A90DC" w:rsidR="00B46E39" w:rsidRPr="00742F63" w:rsidRDefault="00B46E39" w:rsidP="002C3BE3">
            <w:pPr>
              <w:pStyle w:val="ListBullet"/>
              <w:numPr>
                <w:ilvl w:val="0"/>
                <w:numId w:val="13"/>
              </w:numPr>
              <w:rPr>
                <w:color w:val="000000"/>
              </w:rPr>
            </w:pPr>
            <w:r>
              <w:rPr>
                <w:color w:val="auto"/>
              </w:rPr>
              <w:t>Do you agree with the rationale for the proposed exemption of Class I non-sterile, non-measuring patient-matched devices</w:t>
            </w:r>
            <w:r w:rsidR="009A4B4F">
              <w:rPr>
                <w:color w:val="auto"/>
              </w:rPr>
              <w:t xml:space="preserve"> when produced under the circumstances listed in this consultation paper</w:t>
            </w:r>
            <w:r>
              <w:rPr>
                <w:color w:val="auto"/>
              </w:rPr>
              <w:t>?  If not, why not?</w:t>
            </w:r>
          </w:p>
          <w:p w14:paraId="6BA92DF5" w14:textId="6B10B81F" w:rsidR="00B46E39" w:rsidRPr="00742F63" w:rsidRDefault="00476176" w:rsidP="002C3BE3">
            <w:pPr>
              <w:pStyle w:val="ListBullet"/>
              <w:numPr>
                <w:ilvl w:val="0"/>
                <w:numId w:val="13"/>
              </w:numPr>
              <w:rPr>
                <w:color w:val="000000"/>
              </w:rPr>
            </w:pPr>
            <w:r>
              <w:rPr>
                <w:color w:val="auto"/>
              </w:rPr>
              <w:t>Can</w:t>
            </w:r>
            <w:r w:rsidR="00B46E39">
              <w:rPr>
                <w:color w:val="auto"/>
              </w:rPr>
              <w:t xml:space="preserve"> the risks posed by the Class I non-sterile, non-measuring </w:t>
            </w:r>
            <w:r w:rsidR="00D2665E">
              <w:rPr>
                <w:color w:val="auto"/>
              </w:rPr>
              <w:t xml:space="preserve">patient-matched </w:t>
            </w:r>
            <w:r w:rsidR="00B46E39">
              <w:rPr>
                <w:color w:val="auto"/>
              </w:rPr>
              <w:t xml:space="preserve">medical devices </w:t>
            </w:r>
            <w:r w:rsidR="009A4B4F">
              <w:rPr>
                <w:color w:val="auto"/>
              </w:rPr>
              <w:t xml:space="preserve">when produced under the circumstances listed in this consultation paper be </w:t>
            </w:r>
            <w:r w:rsidR="00B46E39">
              <w:rPr>
                <w:color w:val="auto"/>
              </w:rPr>
              <w:t xml:space="preserve">adequately managed if they are exempted from inclusion in the ARTG? </w:t>
            </w:r>
            <w:r w:rsidR="009A4B4F">
              <w:rPr>
                <w:color w:val="auto"/>
              </w:rPr>
              <w:t>Please explain your response, including by providing examples that illustrate and/or support your position.</w:t>
            </w:r>
          </w:p>
          <w:p w14:paraId="54550B09" w14:textId="76675EDD" w:rsidR="00B46E39" w:rsidRPr="00235055" w:rsidRDefault="00B46E39" w:rsidP="002C3BE3">
            <w:pPr>
              <w:pStyle w:val="ListBullet"/>
              <w:numPr>
                <w:ilvl w:val="0"/>
                <w:numId w:val="13"/>
              </w:numPr>
              <w:rPr>
                <w:color w:val="000000"/>
              </w:rPr>
            </w:pPr>
            <w:r>
              <w:rPr>
                <w:color w:val="auto"/>
              </w:rPr>
              <w:t>Are there further circumstances where Class I non-sterile, non-measuring patient-matched devices could be exempt?  If so, what measures are in place to manage the risks associated with the devices?</w:t>
            </w:r>
          </w:p>
          <w:p w14:paraId="5D953BFF" w14:textId="77777777" w:rsidR="00B46E39" w:rsidRPr="00235055" w:rsidRDefault="00B46E39" w:rsidP="002C3BE3">
            <w:pPr>
              <w:pStyle w:val="ListBullet"/>
              <w:numPr>
                <w:ilvl w:val="0"/>
                <w:numId w:val="0"/>
              </w:numPr>
              <w:ind w:left="720"/>
              <w:rPr>
                <w:color w:val="000000"/>
              </w:rPr>
            </w:pPr>
            <w:r w:rsidRPr="00235055">
              <w:rPr>
                <w:color w:val="000000"/>
              </w:rPr>
              <w:t>Please provide details:</w:t>
            </w:r>
          </w:p>
          <w:p w14:paraId="412B9CC6" w14:textId="77777777" w:rsidR="00B46E39" w:rsidRDefault="00B46E39" w:rsidP="002C3BE3">
            <w:pPr>
              <w:pStyle w:val="ListBullet"/>
              <w:numPr>
                <w:ilvl w:val="1"/>
                <w:numId w:val="13"/>
              </w:numPr>
              <w:rPr>
                <w:color w:val="000000"/>
              </w:rPr>
            </w:pPr>
            <w:r w:rsidRPr="005202E0">
              <w:rPr>
                <w:color w:val="000000"/>
              </w:rPr>
              <w:t>describe the specific circumstances that are in place (such as qualifications, accreditation, certification, etc) to ensure that the risks associated with the manufacture of the devices have been managed and the Australian regulatory requirements for medical devices have been met</w:t>
            </w:r>
            <w:r>
              <w:rPr>
                <w:color w:val="000000"/>
              </w:rPr>
              <w:t xml:space="preserve"> before they are supplied</w:t>
            </w:r>
            <w:r w:rsidRPr="005202E0">
              <w:rPr>
                <w:color w:val="000000"/>
              </w:rPr>
              <w:t>.</w:t>
            </w:r>
          </w:p>
          <w:p w14:paraId="412A2A6D" w14:textId="28A85109" w:rsidR="00B46E39" w:rsidRDefault="00476176" w:rsidP="002C3BE3">
            <w:pPr>
              <w:pStyle w:val="ListBullet"/>
              <w:numPr>
                <w:ilvl w:val="0"/>
                <w:numId w:val="0"/>
              </w:numPr>
              <w:ind w:left="360" w:hanging="360"/>
              <w:rPr>
                <w:color w:val="000000"/>
                <w:sz w:val="24"/>
              </w:rPr>
            </w:pPr>
            <w:r>
              <w:rPr>
                <w:color w:val="000000"/>
                <w:sz w:val="24"/>
              </w:rPr>
              <w:t>Inclusion in ARTG using a</w:t>
            </w:r>
            <w:r w:rsidR="00B46E39" w:rsidRPr="00742F63">
              <w:rPr>
                <w:color w:val="000000"/>
                <w:sz w:val="24"/>
              </w:rPr>
              <w:t>lternative conformity assessment procedures</w:t>
            </w:r>
          </w:p>
          <w:p w14:paraId="09AA70EA" w14:textId="4F8F4D90" w:rsidR="00B46E39" w:rsidRPr="00742F63" w:rsidRDefault="00B46E39" w:rsidP="002C3BE3">
            <w:pPr>
              <w:pStyle w:val="ListBullet"/>
              <w:numPr>
                <w:ilvl w:val="0"/>
                <w:numId w:val="13"/>
              </w:numPr>
              <w:rPr>
                <w:color w:val="000000"/>
              </w:rPr>
            </w:pPr>
            <w:r>
              <w:rPr>
                <w:color w:val="auto"/>
              </w:rPr>
              <w:t xml:space="preserve">Do you agree with the rationale for the proposed alternative conformity assessment procedures for Class </w:t>
            </w:r>
            <w:proofErr w:type="spellStart"/>
            <w:r>
              <w:rPr>
                <w:color w:val="auto"/>
              </w:rPr>
              <w:t>IIa</w:t>
            </w:r>
            <w:proofErr w:type="spellEnd"/>
            <w:r>
              <w:rPr>
                <w:color w:val="auto"/>
              </w:rPr>
              <w:t xml:space="preserve"> patient-matched devices</w:t>
            </w:r>
            <w:r w:rsidR="009A4B4F">
              <w:rPr>
                <w:color w:val="auto"/>
              </w:rPr>
              <w:t xml:space="preserve"> when produced under the circumstances listed in this consultation paper</w:t>
            </w:r>
            <w:r>
              <w:rPr>
                <w:color w:val="auto"/>
              </w:rPr>
              <w:t>?  If not, why not?</w:t>
            </w:r>
          </w:p>
          <w:p w14:paraId="6ABA8843" w14:textId="7C102488" w:rsidR="00B46E39" w:rsidRPr="00742F63" w:rsidRDefault="00B46E39" w:rsidP="002C3BE3">
            <w:pPr>
              <w:pStyle w:val="ListBullet"/>
              <w:numPr>
                <w:ilvl w:val="0"/>
                <w:numId w:val="13"/>
              </w:numPr>
              <w:rPr>
                <w:color w:val="000000"/>
              </w:rPr>
            </w:pPr>
            <w:r>
              <w:rPr>
                <w:color w:val="auto"/>
              </w:rPr>
              <w:t xml:space="preserve">Do you agree that the risks associated with the proposed Class </w:t>
            </w:r>
            <w:proofErr w:type="spellStart"/>
            <w:r>
              <w:rPr>
                <w:color w:val="auto"/>
              </w:rPr>
              <w:t>IIa</w:t>
            </w:r>
            <w:proofErr w:type="spellEnd"/>
            <w:r>
              <w:rPr>
                <w:color w:val="auto"/>
              </w:rPr>
              <w:t xml:space="preserve"> patient-matched devices</w:t>
            </w:r>
            <w:r w:rsidRPr="00235055">
              <w:rPr>
                <w:color w:val="auto"/>
              </w:rPr>
              <w:t xml:space="preserve"> </w:t>
            </w:r>
            <w:r w:rsidR="009A4B4F">
              <w:rPr>
                <w:color w:val="auto"/>
              </w:rPr>
              <w:t xml:space="preserve">when produced under the circumstances listed in this consultation paper </w:t>
            </w:r>
            <w:r w:rsidR="00476176">
              <w:rPr>
                <w:color w:val="auto"/>
              </w:rPr>
              <w:t>could</w:t>
            </w:r>
            <w:r>
              <w:rPr>
                <w:color w:val="auto"/>
              </w:rPr>
              <w:t xml:space="preserve"> be adequately m</w:t>
            </w:r>
            <w:r w:rsidR="00476176">
              <w:rPr>
                <w:color w:val="auto"/>
              </w:rPr>
              <w:t>anaged</w:t>
            </w:r>
            <w:r>
              <w:rPr>
                <w:color w:val="auto"/>
              </w:rPr>
              <w:t xml:space="preserve"> through the proposed alternative conformity assessment procedure</w:t>
            </w:r>
            <w:r w:rsidR="00476176">
              <w:rPr>
                <w:color w:val="auto"/>
              </w:rPr>
              <w:t>?</w:t>
            </w:r>
            <w:r>
              <w:rPr>
                <w:color w:val="auto"/>
              </w:rPr>
              <w:t xml:space="preserve"> </w:t>
            </w:r>
            <w:r w:rsidR="009A4B4F">
              <w:rPr>
                <w:color w:val="auto"/>
              </w:rPr>
              <w:t xml:space="preserve"> Please explain your response, including by providing examples that illustrate and/or support your position.</w:t>
            </w:r>
          </w:p>
          <w:p w14:paraId="110A6894" w14:textId="5A40F49D" w:rsidR="00B46E39" w:rsidRPr="00235055" w:rsidRDefault="00B46E39" w:rsidP="002C3BE3">
            <w:pPr>
              <w:pStyle w:val="ListBullet"/>
              <w:numPr>
                <w:ilvl w:val="0"/>
                <w:numId w:val="13"/>
              </w:numPr>
              <w:rPr>
                <w:color w:val="000000"/>
              </w:rPr>
            </w:pPr>
            <w:r>
              <w:rPr>
                <w:color w:val="auto"/>
              </w:rPr>
              <w:t xml:space="preserve">Are there further circumstances where </w:t>
            </w:r>
            <w:r w:rsidR="00476176">
              <w:rPr>
                <w:color w:val="auto"/>
              </w:rPr>
              <w:t xml:space="preserve">an alternative conformity assessment procedure for </w:t>
            </w:r>
            <w:r>
              <w:rPr>
                <w:color w:val="auto"/>
              </w:rPr>
              <w:t xml:space="preserve">Class </w:t>
            </w:r>
            <w:proofErr w:type="spellStart"/>
            <w:r>
              <w:rPr>
                <w:color w:val="auto"/>
              </w:rPr>
              <w:t>IIa</w:t>
            </w:r>
            <w:proofErr w:type="spellEnd"/>
            <w:r>
              <w:rPr>
                <w:color w:val="auto"/>
              </w:rPr>
              <w:t xml:space="preserve"> patient-matched devices </w:t>
            </w:r>
            <w:r w:rsidR="00476176">
              <w:rPr>
                <w:color w:val="auto"/>
              </w:rPr>
              <w:t>would be appropriate</w:t>
            </w:r>
            <w:r>
              <w:rPr>
                <w:color w:val="auto"/>
              </w:rPr>
              <w:t>?  If so, what measures are in place to manage the risks associated with the devices?</w:t>
            </w:r>
          </w:p>
          <w:p w14:paraId="575AC15E" w14:textId="77777777" w:rsidR="00B46E39" w:rsidRPr="00235055" w:rsidRDefault="00B46E39" w:rsidP="002C3BE3">
            <w:pPr>
              <w:pStyle w:val="ListBullet"/>
              <w:numPr>
                <w:ilvl w:val="0"/>
                <w:numId w:val="13"/>
              </w:numPr>
              <w:rPr>
                <w:color w:val="000000"/>
              </w:rPr>
            </w:pPr>
            <w:r>
              <w:rPr>
                <w:color w:val="auto"/>
              </w:rPr>
              <w:t xml:space="preserve">Are there any Class </w:t>
            </w:r>
            <w:proofErr w:type="spellStart"/>
            <w:r>
              <w:rPr>
                <w:color w:val="auto"/>
              </w:rPr>
              <w:t>IIa</w:t>
            </w:r>
            <w:proofErr w:type="spellEnd"/>
            <w:r>
              <w:rPr>
                <w:color w:val="auto"/>
              </w:rPr>
              <w:t xml:space="preserve"> patient-matched devices that should not be subject to an alternative conformity assessment procedure? </w:t>
            </w:r>
            <w:r w:rsidRPr="00235055">
              <w:rPr>
                <w:color w:val="auto"/>
              </w:rPr>
              <w:t xml:space="preserve">What are they and why </w:t>
            </w:r>
            <w:r>
              <w:rPr>
                <w:color w:val="000000"/>
              </w:rPr>
              <w:t>not</w:t>
            </w:r>
            <w:r w:rsidRPr="00235055">
              <w:rPr>
                <w:color w:val="000000"/>
              </w:rPr>
              <w:t>?</w:t>
            </w:r>
          </w:p>
          <w:p w14:paraId="4FB9178D" w14:textId="77777777" w:rsidR="00B46E39" w:rsidRPr="00742F63" w:rsidRDefault="00B46E39" w:rsidP="002C3BE3">
            <w:pPr>
              <w:pStyle w:val="ListBullet"/>
              <w:numPr>
                <w:ilvl w:val="0"/>
                <w:numId w:val="0"/>
              </w:numPr>
              <w:ind w:left="360" w:hanging="360"/>
              <w:rPr>
                <w:color w:val="000000"/>
                <w:sz w:val="24"/>
              </w:rPr>
            </w:pPr>
            <w:r>
              <w:rPr>
                <w:color w:val="000000"/>
                <w:sz w:val="24"/>
              </w:rPr>
              <w:t>General question</w:t>
            </w:r>
          </w:p>
          <w:p w14:paraId="0AC9655A" w14:textId="77777777" w:rsidR="00B46E39" w:rsidRPr="00235055" w:rsidRDefault="00B46E39" w:rsidP="002C3BE3">
            <w:pPr>
              <w:pStyle w:val="ListBullet"/>
              <w:numPr>
                <w:ilvl w:val="0"/>
                <w:numId w:val="13"/>
              </w:numPr>
              <w:rPr>
                <w:color w:val="000000"/>
              </w:rPr>
            </w:pPr>
            <w:r w:rsidRPr="00235055">
              <w:rPr>
                <w:color w:val="000000"/>
              </w:rPr>
              <w:t xml:space="preserve">Are there alternative mechanisms for reducing the regulatory burden </w:t>
            </w:r>
            <w:r>
              <w:rPr>
                <w:color w:val="000000"/>
              </w:rPr>
              <w:t xml:space="preserve">for patient-matched medical devices </w:t>
            </w:r>
            <w:r w:rsidRPr="00235055">
              <w:rPr>
                <w:color w:val="000000"/>
              </w:rPr>
              <w:t>without compromising patient health and safety that you would like to propose?</w:t>
            </w:r>
          </w:p>
        </w:tc>
      </w:tr>
    </w:tbl>
    <w:p w14:paraId="0D56762A" w14:textId="77777777" w:rsidR="00EB764E" w:rsidRPr="003D7768" w:rsidRDefault="00EB764E" w:rsidP="00EB764E">
      <w:pPr>
        <w:pStyle w:val="Heading3"/>
      </w:pPr>
      <w:bookmarkStart w:id="25" w:name="_How_to_submit"/>
      <w:bookmarkStart w:id="26" w:name="_Toc532924257"/>
      <w:bookmarkStart w:id="27" w:name="_Toc35874429"/>
      <w:bookmarkStart w:id="28" w:name="_Toc73443784"/>
      <w:bookmarkEnd w:id="25"/>
      <w:r w:rsidRPr="003D7768">
        <w:t>How to submit</w:t>
      </w:r>
      <w:bookmarkEnd w:id="26"/>
      <w:bookmarkEnd w:id="27"/>
      <w:r w:rsidR="00421347">
        <w:t xml:space="preserve"> your response</w:t>
      </w:r>
      <w:bookmarkEnd w:id="28"/>
    </w:p>
    <w:p w14:paraId="26E4F6BC" w14:textId="77777777" w:rsidR="008803D6" w:rsidRPr="00763553" w:rsidRDefault="008803D6" w:rsidP="008803D6">
      <w:pPr>
        <w:rPr>
          <w:rStyle w:val="Hyperlink"/>
        </w:rPr>
      </w:pPr>
      <w:r>
        <w:rPr>
          <w:color w:val="000000"/>
        </w:rPr>
        <w:t xml:space="preserve">Responses are to be provided electronically using the online response form: </w:t>
      </w:r>
      <w:r w:rsidRPr="003364D3">
        <w:rPr>
          <w:color w:val="000000"/>
        </w:rPr>
        <w:t xml:space="preserve">Complete the </w:t>
      </w:r>
      <w:r w:rsidRPr="00EB764E">
        <w:t xml:space="preserve">online consultation </w:t>
      </w:r>
      <w:r>
        <w:t xml:space="preserve">response </w:t>
      </w:r>
      <w:r w:rsidRPr="00EB764E">
        <w:t>form</w:t>
      </w:r>
      <w:r>
        <w:rPr>
          <w:color w:val="000000"/>
        </w:rPr>
        <w:t xml:space="preserve">: </w:t>
      </w:r>
      <w:r>
        <w:br/>
      </w:r>
      <w:hyperlink r:id="rId24" w:history="1">
        <w:r w:rsidRPr="00763553">
          <w:rPr>
            <w:rStyle w:val="Hyperlink"/>
          </w:rPr>
          <w:t>https://consultations.health.gov.au/tga/proposed-refinements-to-the-regulation-of-pmd</w:t>
        </w:r>
      </w:hyperlink>
      <w:r w:rsidRPr="00763553">
        <w:rPr>
          <w:rStyle w:val="Hyperlink"/>
        </w:rPr>
        <w:t xml:space="preserve"> </w:t>
      </w:r>
    </w:p>
    <w:p w14:paraId="48FFE5A6" w14:textId="1268E8EF" w:rsidR="00EB764E" w:rsidRPr="003364D3" w:rsidRDefault="00EB764E" w:rsidP="00EB764E">
      <w:pPr>
        <w:rPr>
          <w:color w:val="000000"/>
        </w:rPr>
      </w:pPr>
    </w:p>
    <w:p w14:paraId="1C19FA95" w14:textId="77777777" w:rsidR="00EB764E" w:rsidRPr="003D7768" w:rsidRDefault="00EB764E" w:rsidP="00EB764E">
      <w:pPr>
        <w:pStyle w:val="Heading3"/>
        <w:rPr>
          <w:color w:val="000000"/>
        </w:rPr>
      </w:pPr>
      <w:bookmarkStart w:id="29" w:name="_Toc532924258"/>
      <w:bookmarkStart w:id="30" w:name="_Toc35874430"/>
      <w:bookmarkStart w:id="31" w:name="_Toc73443785"/>
      <w:r w:rsidRPr="003D7768">
        <w:rPr>
          <w:color w:val="000000"/>
        </w:rPr>
        <w:t>Enquiries</w:t>
      </w:r>
      <w:bookmarkEnd w:id="29"/>
      <w:bookmarkEnd w:id="30"/>
      <w:bookmarkEnd w:id="31"/>
    </w:p>
    <w:p w14:paraId="2BAEE179" w14:textId="77777777" w:rsidR="00EB764E" w:rsidRPr="003D7768" w:rsidRDefault="00EB764E" w:rsidP="00EB764E">
      <w:pPr>
        <w:rPr>
          <w:rStyle w:val="Hyperlink"/>
          <w:color w:val="000000"/>
          <w:u w:val="none"/>
        </w:rPr>
      </w:pPr>
      <w:r w:rsidRPr="003D7768">
        <w:rPr>
          <w:color w:val="000000"/>
        </w:rPr>
        <w:t xml:space="preserve">Please direct any questions or queries relating to the consultation to: </w:t>
      </w:r>
      <w:r>
        <w:rPr>
          <w:color w:val="000000"/>
        </w:rPr>
        <w:t xml:space="preserve"> </w:t>
      </w:r>
      <w:hyperlink r:id="rId25" w:history="1">
        <w:r w:rsidRPr="00896C14">
          <w:rPr>
            <w:rStyle w:val="Hyperlink"/>
          </w:rPr>
          <w:t>personalised</w:t>
        </w:r>
      </w:hyperlink>
      <w:r>
        <w:rPr>
          <w:rStyle w:val="Hyperlink"/>
        </w:rPr>
        <w:t>devices@tga.gov.au.</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EB764E" w:rsidRPr="003D7768" w14:paraId="647F68BA" w14:textId="77777777" w:rsidTr="00A05C36">
        <w:trPr>
          <w:trHeight w:val="1820"/>
        </w:trPr>
        <w:tc>
          <w:tcPr>
            <w:tcW w:w="1276" w:type="dxa"/>
            <w:vAlign w:val="center"/>
          </w:tcPr>
          <w:p w14:paraId="6F0CB366" w14:textId="77777777" w:rsidR="00EB764E" w:rsidRPr="003D7768" w:rsidRDefault="00EB764E" w:rsidP="00A05C36">
            <w:pPr>
              <w:spacing w:before="0"/>
              <w:rPr>
                <w:color w:val="000000"/>
                <w:sz w:val="20"/>
              </w:rPr>
            </w:pPr>
            <w:r w:rsidRPr="003D7768">
              <w:rPr>
                <w:noProof/>
                <w:color w:val="000000"/>
                <w:sz w:val="20"/>
                <w:lang w:eastAsia="en-AU"/>
              </w:rPr>
              <w:drawing>
                <wp:inline distT="0" distB="0" distL="0" distR="0" wp14:anchorId="6CC9EE21" wp14:editId="19C16BDD">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54B4517" w14:textId="77777777" w:rsidR="00EB764E" w:rsidRPr="003D7768" w:rsidRDefault="00EB764E" w:rsidP="00A05C36">
            <w:pPr>
              <w:rPr>
                <w:b/>
                <w:color w:val="000000"/>
              </w:rPr>
            </w:pPr>
            <w:r w:rsidRPr="003D7768">
              <w:rPr>
                <w:b/>
                <w:color w:val="000000"/>
              </w:rPr>
              <w:t>Please note</w:t>
            </w:r>
          </w:p>
          <w:p w14:paraId="43A67911" w14:textId="77777777" w:rsidR="00EB764E" w:rsidRPr="003D7768" w:rsidRDefault="00EB764E" w:rsidP="00A05C36">
            <w:pPr>
              <w:rPr>
                <w:color w:val="000000"/>
              </w:rPr>
            </w:pPr>
            <w:r w:rsidRPr="003D7768">
              <w:rPr>
                <w:color w:val="000000"/>
              </w:rPr>
              <w:t>Before providing feedback, it is important to read the explanatory material that follows.</w:t>
            </w:r>
          </w:p>
        </w:tc>
      </w:tr>
    </w:tbl>
    <w:p w14:paraId="06E18276" w14:textId="77777777" w:rsidR="00EB764E" w:rsidRPr="003D7768" w:rsidRDefault="00EB764E" w:rsidP="00EB764E">
      <w:pPr>
        <w:rPr>
          <w:color w:val="000000"/>
        </w:rPr>
      </w:pPr>
    </w:p>
    <w:p w14:paraId="1456A902" w14:textId="77777777" w:rsidR="00EB764E" w:rsidRPr="003D7768" w:rsidRDefault="00EB764E" w:rsidP="00EB764E">
      <w:pPr>
        <w:pStyle w:val="Heading3"/>
      </w:pPr>
      <w:bookmarkStart w:id="32" w:name="_Toc23365171"/>
      <w:bookmarkStart w:id="33" w:name="_Toc35874431"/>
      <w:bookmarkStart w:id="34" w:name="_Toc73443786"/>
      <w:r w:rsidRPr="003D7768">
        <w:t>Next steps</w:t>
      </w:r>
      <w:bookmarkEnd w:id="32"/>
      <w:bookmarkEnd w:id="33"/>
      <w:bookmarkEnd w:id="34"/>
    </w:p>
    <w:p w14:paraId="5B9E77C8" w14:textId="77777777" w:rsidR="00675335" w:rsidRDefault="00EB764E" w:rsidP="00EB764E">
      <w:pPr>
        <w:rPr>
          <w:color w:val="000000"/>
        </w:rPr>
      </w:pPr>
      <w:r w:rsidRPr="003D7768">
        <w:rPr>
          <w:color w:val="000000"/>
        </w:rPr>
        <w:t>Following closure of this consultation the TGA will review the feedback received on</w:t>
      </w:r>
      <w:r w:rsidR="00675335">
        <w:rPr>
          <w:color w:val="000000"/>
        </w:rPr>
        <w:t>:</w:t>
      </w:r>
    </w:p>
    <w:p w14:paraId="69662D7D" w14:textId="4E9304ED" w:rsidR="00675335" w:rsidRDefault="00EB764E" w:rsidP="00251C3C">
      <w:pPr>
        <w:pStyle w:val="ListParagraph"/>
        <w:numPr>
          <w:ilvl w:val="0"/>
          <w:numId w:val="38"/>
        </w:numPr>
        <w:rPr>
          <w:color w:val="000000"/>
        </w:rPr>
      </w:pPr>
      <w:r w:rsidRPr="00675335">
        <w:rPr>
          <w:color w:val="000000"/>
        </w:rPr>
        <w:t xml:space="preserve">what types of products could potentially be excluded from regulation, </w:t>
      </w:r>
      <w:proofErr w:type="gramStart"/>
      <w:r w:rsidRPr="00675335">
        <w:rPr>
          <w:color w:val="000000"/>
        </w:rPr>
        <w:t>if appropriate</w:t>
      </w:r>
      <w:r w:rsidR="00675335">
        <w:rPr>
          <w:color w:val="000000"/>
        </w:rPr>
        <w:t>;</w:t>
      </w:r>
      <w:proofErr w:type="gramEnd"/>
      <w:r w:rsidR="003214DF">
        <w:rPr>
          <w:color w:val="000000"/>
        </w:rPr>
        <w:t xml:space="preserve"> </w:t>
      </w:r>
    </w:p>
    <w:p w14:paraId="0FEBFB97" w14:textId="4D683D24" w:rsidR="00675335" w:rsidRDefault="00675335" w:rsidP="00251C3C">
      <w:pPr>
        <w:pStyle w:val="ListParagraph"/>
        <w:numPr>
          <w:ilvl w:val="0"/>
          <w:numId w:val="38"/>
        </w:numPr>
        <w:rPr>
          <w:color w:val="000000"/>
        </w:rPr>
      </w:pPr>
      <w:r>
        <w:rPr>
          <w:color w:val="000000"/>
        </w:rPr>
        <w:t xml:space="preserve">what types of </w:t>
      </w:r>
      <w:r w:rsidR="00057A16">
        <w:rPr>
          <w:color w:val="000000"/>
        </w:rPr>
        <w:t xml:space="preserve">patient-matched </w:t>
      </w:r>
      <w:r>
        <w:rPr>
          <w:color w:val="000000"/>
        </w:rPr>
        <w:t>medical devices should be exempt from inclusion in the ARTG, if appropriate</w:t>
      </w:r>
      <w:r w:rsidR="00AB6253">
        <w:rPr>
          <w:color w:val="000000"/>
        </w:rPr>
        <w:t>; and</w:t>
      </w:r>
    </w:p>
    <w:p w14:paraId="32FE6F1D" w14:textId="19D37F9B" w:rsidR="00AB6253" w:rsidRDefault="00AB6253" w:rsidP="00251C3C">
      <w:pPr>
        <w:pStyle w:val="ListParagraph"/>
        <w:numPr>
          <w:ilvl w:val="0"/>
          <w:numId w:val="38"/>
        </w:numPr>
        <w:rPr>
          <w:color w:val="000000"/>
        </w:rPr>
      </w:pPr>
      <w:r>
        <w:rPr>
          <w:color w:val="000000"/>
        </w:rPr>
        <w:t xml:space="preserve">what types of patient-matched medical devices should be </w:t>
      </w:r>
      <w:r w:rsidR="00251C3C">
        <w:rPr>
          <w:color w:val="000000"/>
        </w:rPr>
        <w:t xml:space="preserve">included in the ARTG </w:t>
      </w:r>
      <w:r>
        <w:rPr>
          <w:color w:val="000000"/>
        </w:rPr>
        <w:t xml:space="preserve">subject to an alternative conformity assessment procedure, if </w:t>
      </w:r>
      <w:proofErr w:type="gramStart"/>
      <w:r>
        <w:rPr>
          <w:color w:val="000000"/>
        </w:rPr>
        <w:t>appropriate.</w:t>
      </w:r>
      <w:proofErr w:type="gramEnd"/>
    </w:p>
    <w:p w14:paraId="33AD7DAA" w14:textId="77777777" w:rsidR="004D7CEC" w:rsidRDefault="00EB764E" w:rsidP="00EB764E">
      <w:pPr>
        <w:rPr>
          <w:color w:val="000000"/>
        </w:rPr>
      </w:pPr>
      <w:r>
        <w:rPr>
          <w:color w:val="000000"/>
        </w:rPr>
        <w:t>Consideration also needs to be given to how consumers would view the prospect of using medical device</w:t>
      </w:r>
      <w:r w:rsidR="004D7CEC">
        <w:rPr>
          <w:color w:val="000000"/>
        </w:rPr>
        <w:t>s</w:t>
      </w:r>
      <w:r>
        <w:rPr>
          <w:color w:val="000000"/>
        </w:rPr>
        <w:t xml:space="preserve"> that are </w:t>
      </w:r>
      <w:r w:rsidR="004D7CEC">
        <w:rPr>
          <w:color w:val="000000"/>
        </w:rPr>
        <w:t xml:space="preserve">either </w:t>
      </w:r>
      <w:r>
        <w:rPr>
          <w:color w:val="000000"/>
        </w:rPr>
        <w:t xml:space="preserve">not regulated by the </w:t>
      </w:r>
      <w:proofErr w:type="gramStart"/>
      <w:r>
        <w:rPr>
          <w:color w:val="000000"/>
        </w:rPr>
        <w:t>TGA</w:t>
      </w:r>
      <w:r w:rsidR="004D7CEC">
        <w:rPr>
          <w:color w:val="000000"/>
        </w:rPr>
        <w:t>, or</w:t>
      </w:r>
      <w:proofErr w:type="gramEnd"/>
      <w:r w:rsidR="004D7CEC">
        <w:rPr>
          <w:color w:val="000000"/>
        </w:rPr>
        <w:t xml:space="preserve"> are not regulated at the same standard as devices of an equivalent classification</w:t>
      </w:r>
      <w:r>
        <w:rPr>
          <w:color w:val="000000"/>
        </w:rPr>
        <w:t xml:space="preserve">. </w:t>
      </w:r>
    </w:p>
    <w:p w14:paraId="21BAA705" w14:textId="18848265" w:rsidR="00EB764E" w:rsidRPr="003D7768" w:rsidRDefault="00EB764E" w:rsidP="00EB764E">
      <w:pPr>
        <w:rPr>
          <w:color w:val="000000"/>
        </w:rPr>
      </w:pPr>
      <w:r>
        <w:rPr>
          <w:color w:val="000000"/>
        </w:rPr>
        <w:t xml:space="preserve">Before a Ministerial decision can be made to either exclude or exempt a </w:t>
      </w:r>
      <w:r w:rsidR="004D7CEC">
        <w:rPr>
          <w:color w:val="000000"/>
        </w:rPr>
        <w:t xml:space="preserve">product, or establish an alternative conformity assessment procedure for a particular kind of </w:t>
      </w:r>
      <w:r w:rsidR="00057A16">
        <w:rPr>
          <w:color w:val="000000"/>
        </w:rPr>
        <w:t xml:space="preserve">patient-matched </w:t>
      </w:r>
      <w:r w:rsidR="004D7CEC">
        <w:rPr>
          <w:color w:val="000000"/>
        </w:rPr>
        <w:t>medical device</w:t>
      </w:r>
      <w:r>
        <w:rPr>
          <w:color w:val="000000"/>
        </w:rPr>
        <w:t xml:space="preserve">, </w:t>
      </w:r>
      <w:r w:rsidR="00F31693">
        <w:rPr>
          <w:color w:val="000000"/>
        </w:rPr>
        <w:t xml:space="preserve">there is a </w:t>
      </w:r>
      <w:r>
        <w:rPr>
          <w:color w:val="000000"/>
        </w:rPr>
        <w:t xml:space="preserve">need to consider whether there are any policies, standards, regulatory frameworks or accreditation systems already in place that would negate the need for the TGA to regulate </w:t>
      </w:r>
      <w:r w:rsidR="004D7CEC">
        <w:rPr>
          <w:color w:val="000000"/>
        </w:rPr>
        <w:t>the product or device to the full extent currently required</w:t>
      </w:r>
      <w:r>
        <w:rPr>
          <w:color w:val="000000"/>
        </w:rPr>
        <w:t>.</w:t>
      </w:r>
    </w:p>
    <w:p w14:paraId="529F757E" w14:textId="77777777" w:rsidR="00AA4C54" w:rsidRDefault="00AA4C54" w:rsidP="00CF3409">
      <w:pPr>
        <w:pStyle w:val="Tabledescription"/>
      </w:pPr>
      <w:r>
        <w:br w:type="page"/>
      </w:r>
    </w:p>
    <w:p w14:paraId="4A6B3831" w14:textId="77777777" w:rsidR="00AA4C54" w:rsidRPr="003D7768" w:rsidRDefault="00AA4C54" w:rsidP="00AA4C54">
      <w:pPr>
        <w:pStyle w:val="Heading2"/>
        <w:rPr>
          <w:rStyle w:val="charsectno0"/>
          <w:color w:val="000000"/>
        </w:rPr>
      </w:pPr>
      <w:bookmarkStart w:id="35" w:name="_Toc35874432"/>
      <w:bookmarkStart w:id="36" w:name="_Toc73443787"/>
      <w:bookmarkStart w:id="37" w:name="_Toc66282821"/>
      <w:r w:rsidRPr="003D7768">
        <w:t>Appendix 1</w:t>
      </w:r>
      <w:r>
        <w:t xml:space="preserve"> – </w:t>
      </w:r>
      <w:r>
        <w:rPr>
          <w:rStyle w:val="charsectno0"/>
          <w:color w:val="000000"/>
        </w:rPr>
        <w:t xml:space="preserve">The </w:t>
      </w:r>
      <w:r w:rsidRPr="003D7768">
        <w:rPr>
          <w:rStyle w:val="charsectno0"/>
          <w:color w:val="000000"/>
        </w:rPr>
        <w:t>legal definition of a medical device</w:t>
      </w:r>
      <w:bookmarkEnd w:id="35"/>
      <w:bookmarkEnd w:id="36"/>
    </w:p>
    <w:p w14:paraId="0E578C57" w14:textId="77777777" w:rsidR="00AA4C54" w:rsidRPr="006E6983" w:rsidRDefault="00AA4C54" w:rsidP="00AA4C54">
      <w:pPr>
        <w:pStyle w:val="ActHead5"/>
      </w:pPr>
      <w:r w:rsidRPr="00BC290A">
        <w:rPr>
          <w:rStyle w:val="CharSectno"/>
        </w:rPr>
        <w:t>41</w:t>
      </w:r>
      <w:proofErr w:type="gramStart"/>
      <w:r w:rsidRPr="00BC290A">
        <w:rPr>
          <w:rStyle w:val="CharSectno"/>
        </w:rPr>
        <w:t>BD</w:t>
      </w:r>
      <w:r w:rsidRPr="006E6983">
        <w:t xml:space="preserve">  What</w:t>
      </w:r>
      <w:proofErr w:type="gramEnd"/>
      <w:r w:rsidRPr="006E6983">
        <w:t xml:space="preserve"> is a </w:t>
      </w:r>
      <w:r w:rsidRPr="006E6983">
        <w:rPr>
          <w:i/>
        </w:rPr>
        <w:t>medical device</w:t>
      </w:r>
      <w:bookmarkEnd w:id="37"/>
    </w:p>
    <w:p w14:paraId="4FAFA598" w14:textId="77777777" w:rsidR="00AA4C54" w:rsidRPr="006E6983" w:rsidRDefault="00AA4C54" w:rsidP="00AA4C54">
      <w:pPr>
        <w:pStyle w:val="subsection"/>
      </w:pPr>
      <w:r w:rsidRPr="006E6983">
        <w:tab/>
        <w:t>(1)</w:t>
      </w:r>
      <w:r w:rsidRPr="006E6983">
        <w:tab/>
        <w:t xml:space="preserve">A </w:t>
      </w:r>
      <w:r w:rsidRPr="006E6983">
        <w:rPr>
          <w:b/>
          <w:i/>
        </w:rPr>
        <w:t>medical device</w:t>
      </w:r>
      <w:r w:rsidRPr="006E6983">
        <w:t xml:space="preserve"> is:</w:t>
      </w:r>
    </w:p>
    <w:p w14:paraId="207096B5" w14:textId="77777777" w:rsidR="00AA4C54" w:rsidRPr="006E6983" w:rsidRDefault="00AA4C54" w:rsidP="00AA4C54">
      <w:pPr>
        <w:pStyle w:val="paragraph"/>
      </w:pPr>
      <w:r w:rsidRPr="006E6983">
        <w:tab/>
        <w:t>(a)</w:t>
      </w:r>
      <w:r w:rsidRPr="006E6983">
        <w:tab/>
        <w:t>any instrument, apparatus, appliance, software, implant, reagent, material or other article (whether used alone or in combination, and including the software necessary for its proper application) intended, by the person under whose name it is or is to be supplied, to be used for human beings for the purpose of one or more of the following:</w:t>
      </w:r>
    </w:p>
    <w:p w14:paraId="1A52531B" w14:textId="77777777" w:rsidR="00AA4C54" w:rsidRPr="006E6983" w:rsidRDefault="00AA4C54" w:rsidP="00AA4C54">
      <w:pPr>
        <w:pStyle w:val="paragraphsub"/>
      </w:pPr>
      <w:r w:rsidRPr="006E6983">
        <w:tab/>
        <w:t>(</w:t>
      </w:r>
      <w:proofErr w:type="spellStart"/>
      <w:r w:rsidRPr="006E6983">
        <w:t>i</w:t>
      </w:r>
      <w:proofErr w:type="spellEnd"/>
      <w:r w:rsidRPr="006E6983">
        <w:t>)</w:t>
      </w:r>
      <w:r w:rsidRPr="006E6983">
        <w:tab/>
        <w:t xml:space="preserve">diagnosis, prevention, monitoring, prediction, prognosis, treatment or alleviation of </w:t>
      </w:r>
      <w:proofErr w:type="gramStart"/>
      <w:r w:rsidRPr="006E6983">
        <w:t>disease;</w:t>
      </w:r>
      <w:proofErr w:type="gramEnd"/>
    </w:p>
    <w:p w14:paraId="634AF2DF" w14:textId="77777777" w:rsidR="00AA4C54" w:rsidRPr="006E6983" w:rsidRDefault="00AA4C54" w:rsidP="00AA4C54">
      <w:pPr>
        <w:pStyle w:val="paragraphsub"/>
      </w:pPr>
      <w:r w:rsidRPr="006E6983">
        <w:tab/>
        <w:t>(ii)</w:t>
      </w:r>
      <w:r w:rsidRPr="006E6983">
        <w:tab/>
        <w:t xml:space="preserve">diagnosis, monitoring, treatment, alleviation of or compensation for an injury or </w:t>
      </w:r>
      <w:proofErr w:type="gramStart"/>
      <w:r w:rsidRPr="006E6983">
        <w:t>disability;</w:t>
      </w:r>
      <w:proofErr w:type="gramEnd"/>
    </w:p>
    <w:p w14:paraId="4D543A77" w14:textId="77777777" w:rsidR="00AA4C54" w:rsidRPr="006E6983" w:rsidRDefault="00AA4C54" w:rsidP="00AA4C54">
      <w:pPr>
        <w:pStyle w:val="paragraphsub"/>
      </w:pPr>
      <w:r w:rsidRPr="006E6983">
        <w:tab/>
        <w:t>(iii)</w:t>
      </w:r>
      <w:r w:rsidRPr="006E6983">
        <w:tab/>
        <w:t xml:space="preserve">investigation, replacement or modification of the anatomy or of a physiological or pathological process or </w:t>
      </w:r>
      <w:proofErr w:type="gramStart"/>
      <w:r w:rsidRPr="006E6983">
        <w:t>state;</w:t>
      </w:r>
      <w:proofErr w:type="gramEnd"/>
    </w:p>
    <w:p w14:paraId="3353BED3" w14:textId="77777777" w:rsidR="00AA4C54" w:rsidRPr="006E6983" w:rsidRDefault="00AA4C54" w:rsidP="00AA4C54">
      <w:pPr>
        <w:pStyle w:val="paragraphsub"/>
      </w:pPr>
      <w:r w:rsidRPr="006E6983">
        <w:tab/>
        <w:t>(iv)</w:t>
      </w:r>
      <w:r w:rsidRPr="006E6983">
        <w:tab/>
        <w:t xml:space="preserve">control or support of </w:t>
      </w:r>
      <w:proofErr w:type="gramStart"/>
      <w:r w:rsidRPr="006E6983">
        <w:t>conception;</w:t>
      </w:r>
      <w:proofErr w:type="gramEnd"/>
    </w:p>
    <w:p w14:paraId="2ECC6518" w14:textId="77777777" w:rsidR="00AA4C54" w:rsidRPr="006E6983" w:rsidRDefault="00AA4C54" w:rsidP="00AA4C54">
      <w:pPr>
        <w:pStyle w:val="paragraphsub"/>
      </w:pPr>
      <w:r w:rsidRPr="006E6983">
        <w:tab/>
        <w:t>(v)</w:t>
      </w:r>
      <w:r w:rsidRPr="006E6983">
        <w:tab/>
        <w:t xml:space="preserve">in vitro examination of a specimen derived from the human body for a specific medical </w:t>
      </w:r>
      <w:proofErr w:type="gramStart"/>
      <w:r w:rsidRPr="006E6983">
        <w:t>purpose;</w:t>
      </w:r>
      <w:proofErr w:type="gramEnd"/>
    </w:p>
    <w:p w14:paraId="724F0549" w14:textId="77777777" w:rsidR="00AA4C54" w:rsidRPr="006E6983" w:rsidRDefault="00AA4C54" w:rsidP="00AA4C54">
      <w:pPr>
        <w:pStyle w:val="paragraph"/>
      </w:pPr>
      <w:r w:rsidRPr="006E6983">
        <w:tab/>
      </w:r>
      <w:r w:rsidRPr="006E6983">
        <w:tab/>
        <w:t xml:space="preserve">and that does not achieve its principal intended action in or on the human body by pharmacological, </w:t>
      </w:r>
      <w:proofErr w:type="gramStart"/>
      <w:r w:rsidRPr="006E6983">
        <w:t>immunological</w:t>
      </w:r>
      <w:proofErr w:type="gramEnd"/>
      <w:r w:rsidRPr="006E6983">
        <w:t xml:space="preserve"> or metabolic means, but that may be assisted in its function by such means; or</w:t>
      </w:r>
    </w:p>
    <w:p w14:paraId="5C8AAADE" w14:textId="77777777" w:rsidR="00AA4C54" w:rsidRPr="006E6983" w:rsidRDefault="00AA4C54" w:rsidP="00AA4C54">
      <w:pPr>
        <w:pStyle w:val="paragraph"/>
      </w:pPr>
      <w:r w:rsidRPr="006E6983">
        <w:tab/>
        <w:t>(aa)</w:t>
      </w:r>
      <w:r w:rsidRPr="006E6983">
        <w:tab/>
        <w:t xml:space="preserve">any instrument, apparatus, appliance, software, implant, reagent, </w:t>
      </w:r>
      <w:proofErr w:type="gramStart"/>
      <w:r w:rsidRPr="006E6983">
        <w:t>material</w:t>
      </w:r>
      <w:proofErr w:type="gramEnd"/>
      <w:r w:rsidRPr="006E6983">
        <w:t xml:space="preserve"> or other article specified under subsection (2A); or</w:t>
      </w:r>
    </w:p>
    <w:p w14:paraId="4EC9EF79" w14:textId="77777777" w:rsidR="00AA4C54" w:rsidRPr="006E6983" w:rsidRDefault="00AA4C54" w:rsidP="00AA4C54">
      <w:pPr>
        <w:pStyle w:val="paragraph"/>
      </w:pPr>
      <w:r w:rsidRPr="006E6983">
        <w:tab/>
        <w:t>(ab)</w:t>
      </w:r>
      <w:r w:rsidRPr="006E6983">
        <w:tab/>
        <w:t xml:space="preserve">any instrument, apparatus, appliance, software, implant, reagent, </w:t>
      </w:r>
      <w:proofErr w:type="gramStart"/>
      <w:r w:rsidRPr="006E6983">
        <w:t>material</w:t>
      </w:r>
      <w:proofErr w:type="gramEnd"/>
      <w:r w:rsidRPr="006E6983">
        <w:t xml:space="preserve"> or other article that is included in a class of instruments, apparatus, appliances, software, implants, reagents, materials or other articles specified under subsection (2B); or</w:t>
      </w:r>
    </w:p>
    <w:p w14:paraId="33F4D338" w14:textId="77777777" w:rsidR="00AA4C54" w:rsidRPr="006E6983" w:rsidRDefault="00AA4C54" w:rsidP="00AA4C54">
      <w:pPr>
        <w:pStyle w:val="paragraph"/>
      </w:pPr>
      <w:r w:rsidRPr="006E6983">
        <w:tab/>
        <w:t>(b)</w:t>
      </w:r>
      <w:r w:rsidRPr="006E6983">
        <w:tab/>
        <w:t xml:space="preserve">an accessory to an instrument, apparatus, appliance, software, implant, reagent, </w:t>
      </w:r>
      <w:proofErr w:type="gramStart"/>
      <w:r w:rsidRPr="006E6983">
        <w:t>material</w:t>
      </w:r>
      <w:proofErr w:type="gramEnd"/>
      <w:r w:rsidRPr="006E6983">
        <w:t xml:space="preserve"> or other article covered by paragraph (a), (aa) or (ab); or</w:t>
      </w:r>
    </w:p>
    <w:p w14:paraId="5257D226" w14:textId="77777777" w:rsidR="00AA4C54" w:rsidRPr="006E6983" w:rsidRDefault="00AA4C54" w:rsidP="00AA4C54">
      <w:pPr>
        <w:pStyle w:val="paragraph"/>
      </w:pPr>
      <w:r w:rsidRPr="006E6983">
        <w:tab/>
        <w:t>(c)</w:t>
      </w:r>
      <w:r w:rsidRPr="006E6983">
        <w:tab/>
        <w:t>a system or procedure pack.</w:t>
      </w:r>
    </w:p>
    <w:p w14:paraId="0E25EE99" w14:textId="77777777" w:rsidR="00AA4C54" w:rsidRPr="006E6983" w:rsidRDefault="00AA4C54" w:rsidP="00AA4C54">
      <w:pPr>
        <w:pStyle w:val="notetext"/>
      </w:pPr>
      <w:r w:rsidRPr="006E6983">
        <w:t>Note:</w:t>
      </w:r>
      <w:r w:rsidRPr="006E6983">
        <w:tab/>
        <w:t>Declarations under subsection (3) exclude articles from the scope of this definition. Declarations under section 7 can also have this effect: see subsection 7(4).</w:t>
      </w:r>
    </w:p>
    <w:p w14:paraId="603F218C" w14:textId="77777777" w:rsidR="00AA4C54" w:rsidRPr="006E6983" w:rsidRDefault="00AA4C54" w:rsidP="00AA4C54">
      <w:pPr>
        <w:pStyle w:val="subsection"/>
      </w:pPr>
      <w:r w:rsidRPr="006E6983">
        <w:tab/>
        <w:t>(2)</w:t>
      </w:r>
      <w:r w:rsidRPr="006E6983">
        <w:tab/>
        <w:t xml:space="preserve">For the purposes of paragraph (1)(a), the purpose for which an instrument, apparatus, appliance, software, implant, reagent, material or other article (the </w:t>
      </w:r>
      <w:r w:rsidRPr="006E6983">
        <w:rPr>
          <w:b/>
          <w:i/>
        </w:rPr>
        <w:t>main equipment</w:t>
      </w:r>
      <w:r w:rsidRPr="006E6983">
        <w:t>) is to be used is to be ascertained from the information supplied, by the person under whose name the main equipment is or is to be supplied, on or in any one or more of the following:</w:t>
      </w:r>
    </w:p>
    <w:p w14:paraId="70F6DA03" w14:textId="77777777" w:rsidR="00AA4C54" w:rsidRPr="006E6983" w:rsidRDefault="00AA4C54" w:rsidP="00AA4C54">
      <w:pPr>
        <w:pStyle w:val="paragraph"/>
      </w:pPr>
      <w:r w:rsidRPr="006E6983">
        <w:tab/>
        <w:t>(a)</w:t>
      </w:r>
      <w:r w:rsidRPr="006E6983">
        <w:tab/>
        <w:t xml:space="preserve">the labelling on the main </w:t>
      </w:r>
      <w:proofErr w:type="gramStart"/>
      <w:r w:rsidRPr="006E6983">
        <w:t>equipment;</w:t>
      </w:r>
      <w:proofErr w:type="gramEnd"/>
    </w:p>
    <w:p w14:paraId="4916A358" w14:textId="77777777" w:rsidR="00AA4C54" w:rsidRPr="006E6983" w:rsidRDefault="00AA4C54" w:rsidP="00AA4C54">
      <w:pPr>
        <w:pStyle w:val="paragraph"/>
      </w:pPr>
      <w:r w:rsidRPr="006E6983">
        <w:tab/>
        <w:t>(b)</w:t>
      </w:r>
      <w:r w:rsidRPr="006E6983">
        <w:tab/>
        <w:t xml:space="preserve">the instructions for using the main </w:t>
      </w:r>
      <w:proofErr w:type="gramStart"/>
      <w:r w:rsidRPr="006E6983">
        <w:t>equipment;</w:t>
      </w:r>
      <w:proofErr w:type="gramEnd"/>
    </w:p>
    <w:p w14:paraId="0485435C" w14:textId="77777777" w:rsidR="00AA4C54" w:rsidRPr="006E6983" w:rsidRDefault="00AA4C54" w:rsidP="00AA4C54">
      <w:pPr>
        <w:pStyle w:val="paragraph"/>
      </w:pPr>
      <w:r w:rsidRPr="006E6983">
        <w:tab/>
        <w:t>(c)</w:t>
      </w:r>
      <w:r w:rsidRPr="006E6983">
        <w:tab/>
        <w:t xml:space="preserve">any advertising material relating to the main </w:t>
      </w:r>
      <w:proofErr w:type="gramStart"/>
      <w:r w:rsidRPr="006E6983">
        <w:t>equipment;</w:t>
      </w:r>
      <w:proofErr w:type="gramEnd"/>
    </w:p>
    <w:p w14:paraId="0775D27A" w14:textId="77777777" w:rsidR="00AA4C54" w:rsidRPr="006E6983" w:rsidRDefault="00AA4C54" w:rsidP="00AA4C54">
      <w:pPr>
        <w:pStyle w:val="paragraph"/>
      </w:pPr>
      <w:r w:rsidRPr="006E6983">
        <w:tab/>
        <w:t>(d)</w:t>
      </w:r>
      <w:r w:rsidRPr="006E6983">
        <w:tab/>
        <w:t>technical documentation describing the mechanism of action of the main equipment.</w:t>
      </w:r>
    </w:p>
    <w:p w14:paraId="4E1852AF" w14:textId="77777777" w:rsidR="00AA4C54" w:rsidRPr="006E6983" w:rsidRDefault="00AA4C54" w:rsidP="00AA4C54">
      <w:pPr>
        <w:pStyle w:val="subsection"/>
      </w:pPr>
      <w:r w:rsidRPr="006E6983">
        <w:tab/>
        <w:t>(2A)</w:t>
      </w:r>
      <w:r w:rsidRPr="006E6983">
        <w:tab/>
        <w:t xml:space="preserve">The Secretary may, by notice published in the </w:t>
      </w:r>
      <w:r w:rsidRPr="006E6983">
        <w:rPr>
          <w:i/>
        </w:rPr>
        <w:t xml:space="preserve">Gazette </w:t>
      </w:r>
      <w:r w:rsidRPr="006E6983">
        <w:t>or on the Department’s website, specify a particular instrument, apparatus, appliance, software, implant, reagent, material or other article for the purposes of paragraph (</w:t>
      </w:r>
      <w:proofErr w:type="gramStart"/>
      <w:r w:rsidRPr="006E6983">
        <w:t>1)(</w:t>
      </w:r>
      <w:proofErr w:type="gramEnd"/>
      <w:r w:rsidRPr="006E6983">
        <w:t>aa). The notice is not a legislative instrument.</w:t>
      </w:r>
    </w:p>
    <w:p w14:paraId="1628DE8A" w14:textId="77777777" w:rsidR="00AA4C54" w:rsidRPr="006E6983" w:rsidRDefault="00AA4C54" w:rsidP="00AA4C54">
      <w:pPr>
        <w:pStyle w:val="subsection"/>
      </w:pPr>
      <w:r w:rsidRPr="006E6983">
        <w:tab/>
        <w:t>(2B)</w:t>
      </w:r>
      <w:r w:rsidRPr="006E6983">
        <w:tab/>
        <w:t>The Secretary may, by legislative instrument, specify a particular class of instruments, apparatus, appliances, software, implants, reagents, materials or other articles for the purposes of paragraph (</w:t>
      </w:r>
      <w:proofErr w:type="gramStart"/>
      <w:r w:rsidRPr="006E6983">
        <w:t>1)(</w:t>
      </w:r>
      <w:proofErr w:type="gramEnd"/>
      <w:r w:rsidRPr="006E6983">
        <w:t>ab).</w:t>
      </w:r>
    </w:p>
    <w:p w14:paraId="38EE1B3E" w14:textId="77777777" w:rsidR="00AA4C54" w:rsidRPr="006E6983" w:rsidRDefault="00AA4C54" w:rsidP="00AA4C54">
      <w:pPr>
        <w:pStyle w:val="subsection"/>
      </w:pPr>
      <w:r w:rsidRPr="006E6983">
        <w:tab/>
        <w:t>(3)</w:t>
      </w:r>
      <w:r w:rsidRPr="006E6983">
        <w:tab/>
        <w:t xml:space="preserve">The Secretary may, by order published in the </w:t>
      </w:r>
      <w:r w:rsidRPr="006E6983">
        <w:rPr>
          <w:i/>
        </w:rPr>
        <w:t xml:space="preserve">Gazette </w:t>
      </w:r>
      <w:r w:rsidRPr="006E6983">
        <w:t>or on the Department’s website, declare that a particular instrument, apparatus, appliance, software, implant, reagent, material or other article, or that a particular class of instruments, apparatus, appliances, software, implants, reagents, materials or other articles, are not, for the purposes of this Act, medical devices.</w:t>
      </w:r>
    </w:p>
    <w:p w14:paraId="2197DB76" w14:textId="77777777" w:rsidR="00AA4C54" w:rsidRPr="006E6983" w:rsidRDefault="00AA4C54" w:rsidP="00AA4C54">
      <w:pPr>
        <w:pStyle w:val="notetext"/>
      </w:pPr>
      <w:r w:rsidRPr="006E6983">
        <w:t>Note:</w:t>
      </w:r>
      <w:r w:rsidRPr="006E6983">
        <w:tab/>
        <w:t>A declaration under this section does not stop articles from being therapeutic goods.</w:t>
      </w:r>
    </w:p>
    <w:p w14:paraId="2D056686" w14:textId="6FA61649" w:rsidR="00E23F67" w:rsidRDefault="00AA4C54" w:rsidP="00251C3C">
      <w:pPr>
        <w:pStyle w:val="subsection"/>
        <w:sectPr w:rsidR="00E23F67" w:rsidSect="0074066C">
          <w:headerReference w:type="default" r:id="rId26"/>
          <w:footerReference w:type="default" r:id="rId27"/>
          <w:headerReference w:type="first" r:id="rId28"/>
          <w:type w:val="continuous"/>
          <w:pgSz w:w="11906" w:h="16838" w:code="9"/>
          <w:pgMar w:top="1530" w:right="1418" w:bottom="1361" w:left="1418" w:header="998" w:footer="283" w:gutter="0"/>
          <w:cols w:space="708"/>
          <w:titlePg/>
          <w:docGrid w:linePitch="360"/>
        </w:sectPr>
      </w:pPr>
      <w:r w:rsidRPr="006E6983">
        <w:tab/>
        <w:t>(4)</w:t>
      </w:r>
      <w:r w:rsidRPr="006E6983">
        <w:tab/>
        <w:t xml:space="preserve">A declaration under this section takes effect on the day on which the declaration is published in the </w:t>
      </w:r>
      <w:r w:rsidRPr="006E6983">
        <w:rPr>
          <w:i/>
        </w:rPr>
        <w:t xml:space="preserve">Gazette </w:t>
      </w:r>
      <w:r w:rsidRPr="006E6983">
        <w:t>or on the Department’s website</w:t>
      </w:r>
      <w:r w:rsidRPr="006E6983">
        <w:rPr>
          <w:i/>
        </w:rPr>
        <w:t xml:space="preserve"> </w:t>
      </w:r>
      <w:r w:rsidRPr="006E6983">
        <w:t>or on such later day as is specified in the order.</w:t>
      </w:r>
    </w:p>
    <w:p w14:paraId="09D4B3BD" w14:textId="77777777" w:rsidR="00BA6FF1" w:rsidRPr="009401F6" w:rsidRDefault="00BA6FF1" w:rsidP="00FE1941">
      <w:pPr>
        <w:pStyle w:val="NonTOCheading2"/>
      </w:pPr>
      <w:bookmarkStart w:id="38" w:name="_Appendix_2_–"/>
      <w:bookmarkStart w:id="39" w:name="_Appendix_3_–"/>
      <w:bookmarkEnd w:id="38"/>
      <w:bookmarkEnd w:id="39"/>
      <w:r w:rsidRPr="009401F6">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14:paraId="4683F068" w14:textId="77777777" w:rsidTr="009C5114">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14:paraId="400009EA" w14:textId="77777777" w:rsidR="00BA6FF1" w:rsidRPr="009401F6" w:rsidRDefault="00BA6FF1" w:rsidP="009C5114">
            <w:bookmarkStart w:id="40" w:name="ColumnTitle_4"/>
            <w:r w:rsidRPr="009401F6">
              <w:t>Version</w:t>
            </w:r>
          </w:p>
        </w:tc>
        <w:tc>
          <w:tcPr>
            <w:tcW w:w="3242" w:type="dxa"/>
          </w:tcPr>
          <w:p w14:paraId="5C892EF2" w14:textId="77777777" w:rsidR="00BA6FF1" w:rsidRPr="009401F6" w:rsidRDefault="00BA6FF1" w:rsidP="009C5114">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14:paraId="15DAEB0F" w14:textId="77777777" w:rsidR="00BA6FF1" w:rsidRPr="009401F6" w:rsidRDefault="00BA6FF1" w:rsidP="009C5114">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14:paraId="0A785C92" w14:textId="77777777" w:rsidR="00BA6FF1" w:rsidRPr="009401F6" w:rsidRDefault="00BA6FF1" w:rsidP="009C5114">
            <w:pPr>
              <w:cnfStyle w:val="100000000000" w:firstRow="1" w:lastRow="0" w:firstColumn="0" w:lastColumn="0" w:oddVBand="0" w:evenVBand="0" w:oddHBand="0" w:evenHBand="0" w:firstRowFirstColumn="0" w:firstRowLastColumn="0" w:lastRowFirstColumn="0" w:lastRowLastColumn="0"/>
            </w:pPr>
            <w:r w:rsidRPr="009401F6">
              <w:t>Effective date</w:t>
            </w:r>
          </w:p>
        </w:tc>
      </w:tr>
      <w:bookmarkEnd w:id="40"/>
      <w:tr w:rsidR="00BA6FF1" w:rsidRPr="009401F6" w14:paraId="25C739D4" w14:textId="77777777" w:rsidTr="009C5114">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EAA956E" w14:textId="77777777" w:rsidR="00BA6FF1" w:rsidRPr="009401F6" w:rsidRDefault="00BA6FF1" w:rsidP="009C5114">
            <w:r w:rsidRPr="009401F6">
              <w:t>V1.0</w:t>
            </w:r>
          </w:p>
        </w:tc>
        <w:tc>
          <w:tcPr>
            <w:tcW w:w="3242" w:type="dxa"/>
          </w:tcPr>
          <w:p w14:paraId="01337A07" w14:textId="77777777" w:rsidR="00BA6FF1" w:rsidRPr="009401F6" w:rsidRDefault="00BA6FF1" w:rsidP="009C5114">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14:paraId="2EDD0296" w14:textId="66A730CC" w:rsidR="00BA6FF1" w:rsidRPr="009401F6" w:rsidRDefault="00F12D1B" w:rsidP="009C5114">
            <w:pPr>
              <w:cnfStyle w:val="000000000000" w:firstRow="0" w:lastRow="0" w:firstColumn="0" w:lastColumn="0" w:oddVBand="0" w:evenVBand="0" w:oddHBand="0" w:evenHBand="0" w:firstRowFirstColumn="0" w:firstRowLastColumn="0" w:lastRowFirstColumn="0" w:lastRowLastColumn="0"/>
            </w:pPr>
            <w:r>
              <w:t>Devices Emerging Technology and Diagnostics Section</w:t>
            </w:r>
          </w:p>
        </w:tc>
        <w:tc>
          <w:tcPr>
            <w:tcW w:w="1808" w:type="dxa"/>
          </w:tcPr>
          <w:p w14:paraId="6FB8F621" w14:textId="744152A4" w:rsidR="00BA6FF1" w:rsidRPr="009401F6" w:rsidRDefault="008803D6" w:rsidP="009C5114">
            <w:pPr>
              <w:cnfStyle w:val="000000000000" w:firstRow="0" w:lastRow="0" w:firstColumn="0" w:lastColumn="0" w:oddVBand="0" w:evenVBand="0" w:oddHBand="0" w:evenHBand="0" w:firstRowFirstColumn="0" w:firstRowLastColumn="0" w:lastRowFirstColumn="0" w:lastRowLastColumn="0"/>
            </w:pPr>
            <w:r>
              <w:t xml:space="preserve">June </w:t>
            </w:r>
            <w:r w:rsidR="00F12D1B">
              <w:t>2021</w:t>
            </w:r>
          </w:p>
        </w:tc>
      </w:tr>
    </w:tbl>
    <w:p w14:paraId="67023030" w14:textId="77777777" w:rsidR="00BA6FF1" w:rsidRDefault="00BA6FF1" w:rsidP="00F8404D">
      <w:r>
        <w:br w:type="page"/>
      </w:r>
    </w:p>
    <w:p w14:paraId="59FF87CA" w14:textId="77777777" w:rsidR="003E3D34" w:rsidRPr="009401F6" w:rsidRDefault="003E3D34" w:rsidP="00F8404D">
      <w:pPr>
        <w:sectPr w:rsidR="003E3D34" w:rsidRPr="009401F6" w:rsidSect="00251C3C">
          <w:pgSz w:w="11906" w:h="16838" w:code="9"/>
          <w:pgMar w:top="1530" w:right="1418" w:bottom="1361" w:left="1418" w:header="998" w:footer="283" w:gutter="0"/>
          <w:cols w:space="708"/>
          <w:titlePg/>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14:paraId="6A57D65C" w14:textId="77777777" w:rsidTr="009C5114">
        <w:trPr>
          <w:trHeight w:hRule="exact" w:val="565"/>
          <w:jc w:val="center"/>
        </w:trPr>
        <w:tc>
          <w:tcPr>
            <w:tcW w:w="9145" w:type="dxa"/>
          </w:tcPr>
          <w:p w14:paraId="3B092EDE" w14:textId="77777777" w:rsidR="00F8404D" w:rsidRPr="009401F6" w:rsidRDefault="00F8404D" w:rsidP="009C5114">
            <w:pPr>
              <w:pStyle w:val="TGASignoff"/>
            </w:pPr>
            <w:r w:rsidRPr="009401F6">
              <w:t>Therapeutic Goods Administration</w:t>
            </w:r>
          </w:p>
        </w:tc>
      </w:tr>
      <w:tr w:rsidR="00F8404D" w:rsidRPr="009401F6" w14:paraId="745C1C0C" w14:textId="77777777" w:rsidTr="009C5114">
        <w:trPr>
          <w:trHeight w:val="963"/>
          <w:jc w:val="center"/>
        </w:trPr>
        <w:tc>
          <w:tcPr>
            <w:tcW w:w="9145" w:type="dxa"/>
            <w:tcMar>
              <w:top w:w="28" w:type="dxa"/>
            </w:tcMar>
          </w:tcPr>
          <w:p w14:paraId="46C76DD9" w14:textId="77777777" w:rsidR="00F8404D" w:rsidRPr="009401F6" w:rsidRDefault="00F8404D" w:rsidP="009C5114">
            <w:pPr>
              <w:pStyle w:val="Address"/>
              <w:jc w:val="center"/>
            </w:pPr>
            <w:r w:rsidRPr="009401F6">
              <w:t>PO Box 100 Woden ACT 2606 Australia</w:t>
            </w:r>
          </w:p>
          <w:p w14:paraId="6BCE0348" w14:textId="77777777" w:rsidR="00F8404D" w:rsidRPr="009401F6" w:rsidRDefault="00F8404D" w:rsidP="009C5114">
            <w:pPr>
              <w:pStyle w:val="Address"/>
              <w:jc w:val="center"/>
            </w:pPr>
            <w:r w:rsidRPr="009401F6">
              <w:t xml:space="preserve">Email: </w:t>
            </w:r>
            <w:hyperlink r:id="rId29" w:history="1">
              <w:r w:rsidRPr="009401F6">
                <w:rPr>
                  <w:rStyle w:val="Hyperlink"/>
                </w:rPr>
                <w:t>info@tga.gov.au</w:t>
              </w:r>
            </w:hyperlink>
            <w:r w:rsidRPr="009401F6">
              <w:t xml:space="preserve">  Phone: 1800 020 </w:t>
            </w:r>
            <w:proofErr w:type="gramStart"/>
            <w:r w:rsidRPr="009401F6">
              <w:t>653  Fax</w:t>
            </w:r>
            <w:proofErr w:type="gramEnd"/>
            <w:r w:rsidRPr="009401F6">
              <w:t>: 02 62</w:t>
            </w:r>
            <w:r w:rsidR="003204DD">
              <w:t>0</w:t>
            </w:r>
            <w:r w:rsidRPr="009401F6">
              <w:t xml:space="preserve">3 </w:t>
            </w:r>
            <w:r w:rsidR="003204DD">
              <w:t>1</w:t>
            </w:r>
            <w:r w:rsidRPr="009401F6">
              <w:t>605</w:t>
            </w:r>
          </w:p>
          <w:p w14:paraId="5960DF1C" w14:textId="77777777" w:rsidR="00F8404D" w:rsidRPr="009401F6" w:rsidRDefault="006B3394" w:rsidP="009C5114">
            <w:pPr>
              <w:pStyle w:val="Address"/>
              <w:spacing w:line="260" w:lineRule="atLeast"/>
              <w:jc w:val="center"/>
              <w:rPr>
                <w:rStyle w:val="Hyperlink"/>
                <w:b/>
              </w:rPr>
            </w:pPr>
            <w:hyperlink r:id="rId30" w:history="1">
              <w:r w:rsidR="009401F6" w:rsidRPr="009401F6">
                <w:rPr>
                  <w:rStyle w:val="Hyperlink"/>
                  <w:b/>
                </w:rPr>
                <w:t>https://www.tga.gov.au</w:t>
              </w:r>
            </w:hyperlink>
          </w:p>
        </w:tc>
      </w:tr>
      <w:tr w:rsidR="00F8404D" w:rsidRPr="009401F6" w14:paraId="5F4A8634" w14:textId="77777777" w:rsidTr="009C5114">
        <w:trPr>
          <w:trHeight w:val="251"/>
          <w:jc w:val="center"/>
        </w:trPr>
        <w:tc>
          <w:tcPr>
            <w:tcW w:w="9145" w:type="dxa"/>
            <w:tcMar>
              <w:top w:w="28" w:type="dxa"/>
            </w:tcMar>
          </w:tcPr>
          <w:p w14:paraId="0CACE143" w14:textId="77777777" w:rsidR="00F8404D" w:rsidRPr="009401F6" w:rsidRDefault="00F8404D" w:rsidP="009C5114">
            <w:pPr>
              <w:pStyle w:val="Address"/>
              <w:jc w:val="center"/>
            </w:pPr>
            <w:r w:rsidRPr="009401F6">
              <w:t>Reference/Publication #</w:t>
            </w:r>
          </w:p>
        </w:tc>
      </w:tr>
    </w:tbl>
    <w:p w14:paraId="490B61F1" w14:textId="77777777" w:rsidR="0084580B" w:rsidRPr="009401F6" w:rsidRDefault="0084580B" w:rsidP="00F8404D">
      <w:pPr>
        <w:pStyle w:val="Footer"/>
      </w:pPr>
    </w:p>
    <w:sectPr w:rsidR="0084580B" w:rsidRPr="009401F6" w:rsidSect="00E23F67">
      <w:headerReference w:type="first" r:id="rId31"/>
      <w:footerReference w:type="first" r:id="rId32"/>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0B885" w14:textId="77777777" w:rsidR="00F9348A" w:rsidRDefault="00F9348A" w:rsidP="00C40A36">
      <w:pPr>
        <w:spacing w:after="0"/>
      </w:pPr>
      <w:r>
        <w:separator/>
      </w:r>
    </w:p>
    <w:p w14:paraId="69D37718" w14:textId="77777777" w:rsidR="00F9348A" w:rsidRDefault="00F9348A"/>
  </w:endnote>
  <w:endnote w:type="continuationSeparator" w:id="0">
    <w:p w14:paraId="61582832" w14:textId="77777777" w:rsidR="00F9348A" w:rsidRDefault="00F9348A" w:rsidP="00C40A36">
      <w:pPr>
        <w:spacing w:after="0"/>
      </w:pPr>
      <w:r>
        <w:continuationSeparator/>
      </w:r>
    </w:p>
    <w:p w14:paraId="0E0AED58" w14:textId="77777777" w:rsidR="00F9348A" w:rsidRDefault="00F93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C235D" w14:textId="77777777" w:rsidR="00F9348A" w:rsidRDefault="00F9348A"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9348A" w:rsidRPr="00257138" w14:paraId="0DF1525F" w14:textId="77777777" w:rsidTr="00A3654F">
      <w:trPr>
        <w:trHeight w:val="423"/>
      </w:trPr>
      <w:tc>
        <w:tcPr>
          <w:tcW w:w="4360" w:type="dxa"/>
          <w:tcBorders>
            <w:top w:val="single" w:sz="4" w:space="0" w:color="auto"/>
          </w:tcBorders>
        </w:tcPr>
        <w:p w14:paraId="04656401" w14:textId="77777777" w:rsidR="00F9348A" w:rsidRDefault="00F9348A" w:rsidP="008D4740">
          <w:pPr>
            <w:pStyle w:val="Footer"/>
          </w:pPr>
        </w:p>
        <w:p w14:paraId="40BA3D33" w14:textId="77777777" w:rsidR="00F9348A" w:rsidRPr="00257138" w:rsidRDefault="00F9348A"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43CAA844" w14:textId="77777777" w:rsidR="00F9348A" w:rsidRDefault="00F9348A" w:rsidP="008D4740">
              <w:pPr>
                <w:pStyle w:val="Footer"/>
                <w:jc w:val="right"/>
              </w:pPr>
            </w:p>
            <w:p w14:paraId="50A61145" w14:textId="1F1CCA47" w:rsidR="00F9348A" w:rsidRPr="00257138" w:rsidRDefault="00F9348A"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6B3394">
                <w:fldChar w:fldCharType="begin"/>
              </w:r>
              <w:r w:rsidR="006B3394">
                <w:instrText xml:space="preserve"> NUMPAGES  </w:instrText>
              </w:r>
              <w:r w:rsidR="006B3394">
                <w:fldChar w:fldCharType="separate"/>
              </w:r>
              <w:r w:rsidR="00581EAF">
                <w:rPr>
                  <w:noProof/>
                </w:rPr>
                <w:t>21</w:t>
              </w:r>
              <w:r w:rsidR="006B3394">
                <w:rPr>
                  <w:noProof/>
                </w:rPr>
                <w:fldChar w:fldCharType="end"/>
              </w:r>
            </w:p>
          </w:sdtContent>
        </w:sdt>
      </w:tc>
    </w:tr>
    <w:tr w:rsidR="00F9348A" w:rsidRPr="00257138" w14:paraId="779111FA" w14:textId="77777777" w:rsidTr="00A3654F">
      <w:trPr>
        <w:trHeight w:val="263"/>
      </w:trPr>
      <w:tc>
        <w:tcPr>
          <w:tcW w:w="4360" w:type="dxa"/>
        </w:tcPr>
        <w:p w14:paraId="7DF1B2DE" w14:textId="77777777" w:rsidR="00F9348A" w:rsidRPr="00257138" w:rsidRDefault="00F9348A" w:rsidP="008D4740">
          <w:pPr>
            <w:pStyle w:val="Footer"/>
          </w:pPr>
          <w:r w:rsidRPr="00257138">
            <w:t xml:space="preserve">V1.0 </w:t>
          </w:r>
          <w:r>
            <w:t>Month</w:t>
          </w:r>
          <w:r w:rsidRPr="00257138">
            <w:t xml:space="preserve"> 201</w:t>
          </w:r>
          <w:r>
            <w:t>2</w:t>
          </w:r>
        </w:p>
      </w:tc>
      <w:tc>
        <w:tcPr>
          <w:tcW w:w="4360" w:type="dxa"/>
        </w:tcPr>
        <w:p w14:paraId="3C67DCDE" w14:textId="77777777" w:rsidR="00F9348A" w:rsidRPr="00257138" w:rsidRDefault="00F9348A" w:rsidP="008D4740">
          <w:pPr>
            <w:pStyle w:val="Footer"/>
            <w:jc w:val="right"/>
          </w:pPr>
        </w:p>
      </w:tc>
    </w:tr>
  </w:tbl>
  <w:p w14:paraId="136BA227" w14:textId="77777777" w:rsidR="00F9348A" w:rsidRPr="00826007" w:rsidRDefault="00F9348A"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41921" w14:textId="77777777" w:rsidR="00F9348A" w:rsidRDefault="00F9348A"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593"/>
    </w:tblGrid>
    <w:tr w:rsidR="00F9348A" w:rsidRPr="00257138" w14:paraId="7464FF23" w14:textId="77777777" w:rsidTr="00D433BD">
      <w:trPr>
        <w:trHeight w:val="423"/>
      </w:trPr>
      <w:tc>
        <w:tcPr>
          <w:tcW w:w="7479" w:type="dxa"/>
        </w:tcPr>
        <w:p w14:paraId="3DE7FB2B" w14:textId="2B007488" w:rsidR="00F9348A" w:rsidRPr="00257138" w:rsidRDefault="00F9348A" w:rsidP="00176692">
          <w:pPr>
            <w:pStyle w:val="Footer"/>
            <w:spacing w:before="120" w:after="120"/>
          </w:pPr>
          <w:r>
            <w:t>Consultation: Proposed refinements to the regulation of personalised medical devices</w:t>
          </w:r>
          <w:r>
            <w:br/>
          </w:r>
          <w:r w:rsidRPr="00257138">
            <w:t xml:space="preserve">V1.0 </w:t>
          </w:r>
          <w:r>
            <w:t>June 2021</w:t>
          </w:r>
        </w:p>
      </w:tc>
      <w:tc>
        <w:tcPr>
          <w:tcW w:w="1593" w:type="dxa"/>
        </w:tcPr>
        <w:sdt>
          <w:sdtPr>
            <w:id w:val="3702141"/>
            <w:docPartObj>
              <w:docPartGallery w:val="Page Numbers (Top of Page)"/>
              <w:docPartUnique/>
            </w:docPartObj>
          </w:sdtPr>
          <w:sdtEndPr/>
          <w:sdtContent>
            <w:p w14:paraId="079B85B4" w14:textId="4E7AB2EF" w:rsidR="00F9348A" w:rsidRPr="00257138" w:rsidRDefault="00F9348A" w:rsidP="00EE1482">
              <w:pPr>
                <w:pStyle w:val="Footer"/>
                <w:spacing w:before="120" w:after="120"/>
                <w:jc w:val="right"/>
              </w:pPr>
              <w:r w:rsidRPr="00257138">
                <w:t xml:space="preserve">Page </w:t>
              </w:r>
              <w:r>
                <w:fldChar w:fldCharType="begin"/>
              </w:r>
              <w:r>
                <w:instrText xml:space="preserve"> PAGE </w:instrText>
              </w:r>
              <w:r>
                <w:fldChar w:fldCharType="separate"/>
              </w:r>
              <w:r w:rsidR="00FC4D4B">
                <w:rPr>
                  <w:noProof/>
                </w:rPr>
                <w:t>19</w:t>
              </w:r>
              <w:r>
                <w:rPr>
                  <w:noProof/>
                </w:rPr>
                <w:fldChar w:fldCharType="end"/>
              </w:r>
              <w:r w:rsidRPr="00257138">
                <w:t xml:space="preserve"> of </w:t>
              </w:r>
              <w:r w:rsidR="006B3394">
                <w:fldChar w:fldCharType="begin"/>
              </w:r>
              <w:r w:rsidR="006B3394">
                <w:instrText xml:space="preserve"> NUMPAGES  </w:instrText>
              </w:r>
              <w:r w:rsidR="006B3394">
                <w:fldChar w:fldCharType="separate"/>
              </w:r>
              <w:r w:rsidR="00FC4D4B">
                <w:rPr>
                  <w:noProof/>
                </w:rPr>
                <w:t>21</w:t>
              </w:r>
              <w:r w:rsidR="006B3394">
                <w:rPr>
                  <w:noProof/>
                </w:rPr>
                <w:fldChar w:fldCharType="end"/>
              </w:r>
            </w:p>
          </w:sdtContent>
        </w:sdt>
      </w:tc>
    </w:tr>
  </w:tbl>
  <w:p w14:paraId="619CDD1F" w14:textId="77777777" w:rsidR="00F9348A" w:rsidRPr="00826007" w:rsidRDefault="00F9348A"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FBFC3" w14:textId="77777777" w:rsidR="00F9348A" w:rsidRPr="00F8404D" w:rsidRDefault="00F9348A"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84EF4" w14:textId="77777777" w:rsidR="00F9348A" w:rsidRDefault="00F9348A" w:rsidP="00FE1941">
      <w:pPr>
        <w:spacing w:after="0"/>
      </w:pPr>
      <w:r>
        <w:separator/>
      </w:r>
    </w:p>
  </w:footnote>
  <w:footnote w:type="continuationSeparator" w:id="0">
    <w:p w14:paraId="67EBB5CE" w14:textId="77777777" w:rsidR="00F9348A" w:rsidRDefault="00F9348A" w:rsidP="00C40A36">
      <w:pPr>
        <w:spacing w:after="0"/>
      </w:pPr>
      <w:r>
        <w:continuationSeparator/>
      </w:r>
    </w:p>
    <w:p w14:paraId="58AA927A" w14:textId="77777777" w:rsidR="00F9348A" w:rsidRDefault="00F9348A"/>
  </w:footnote>
  <w:footnote w:id="1">
    <w:p w14:paraId="290C1030" w14:textId="2F0F9E73" w:rsidR="00F9348A" w:rsidRDefault="00F9348A" w:rsidP="00A8068A">
      <w:pPr>
        <w:pStyle w:val="PlainText"/>
      </w:pPr>
      <w:r>
        <w:rPr>
          <w:rStyle w:val="FootnoteReference"/>
        </w:rPr>
        <w:footnoteRef/>
      </w:r>
      <w:r>
        <w:t xml:space="preserve"> </w:t>
      </w:r>
      <w:r w:rsidR="00363C38">
        <w:t>E</w:t>
      </w:r>
      <w:r>
        <w:t xml:space="preserve">xamples </w:t>
      </w:r>
      <w:r w:rsidR="00363C38">
        <w:t>of reports in the literature include</w:t>
      </w:r>
      <w:r>
        <w:t xml:space="preserve"> </w:t>
      </w:r>
      <w:hyperlink r:id="rId1" w:history="1">
        <w:r w:rsidRPr="00541B31">
          <w:rPr>
            <w:rStyle w:val="Hyperlink"/>
          </w:rPr>
          <w:t>http://www.aae.org/specialty/wp-content/uploads/sites/2/2017/06/jada_dangers_of_dental_devices.pdf</w:t>
        </w:r>
      </w:hyperlink>
      <w:r>
        <w:t xml:space="preserve"> and </w:t>
      </w:r>
      <w:hyperlink r:id="rId2" w:history="1">
        <w:r>
          <w:rPr>
            <w:rStyle w:val="Hyperlink"/>
          </w:rPr>
          <w:t>https://www.researchgate.net/publication/341352795_ADVERSE_EVENTS_IN_DENTAL_PRACTICE_AND_HOW_TO_PREVENT_IT</w:t>
        </w:r>
      </w:hyperlink>
    </w:p>
    <w:p w14:paraId="4ED5C40C" w14:textId="77777777" w:rsidR="00F9348A" w:rsidRDefault="00F9348A" w:rsidP="00A8068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CED3D" w14:textId="77777777" w:rsidR="00F9348A" w:rsidRPr="00920FF4" w:rsidRDefault="00F9348A"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02C0F" w14:textId="75585DD6" w:rsidR="00F9348A" w:rsidRPr="00E32326" w:rsidRDefault="006B3394" w:rsidP="00F202AB">
    <w:sdt>
      <w:sdtPr>
        <w:id w:val="-1272325615"/>
        <w:docPartObj>
          <w:docPartGallery w:val="Watermarks"/>
          <w:docPartUnique/>
        </w:docPartObj>
      </w:sdtPr>
      <w:sdtEndPr/>
      <w:sdtContent>
        <w:r>
          <w:rPr>
            <w:noProof/>
            <w:lang w:val="en-US"/>
          </w:rPr>
          <w:pict w14:anchorId="24AD3E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9348A" w:rsidRPr="00F3255D">
      <w:rPr>
        <w:noProof/>
        <w:lang w:eastAsia="en-AU"/>
      </w:rPr>
      <w:drawing>
        <wp:anchor distT="0" distB="0" distL="114300" distR="114300" simplePos="0" relativeHeight="251657728" behindDoc="0" locked="0" layoutInCell="1" allowOverlap="1" wp14:anchorId="47FB914E" wp14:editId="32C9B105">
          <wp:simplePos x="0" y="0"/>
          <wp:positionH relativeFrom="column">
            <wp:posOffset>-195580</wp:posOffset>
          </wp:positionH>
          <wp:positionV relativeFrom="paragraph">
            <wp:posOffset>-62230</wp:posOffset>
          </wp:positionV>
          <wp:extent cx="3524250" cy="1209675"/>
          <wp:effectExtent l="19050" t="0" r="0" b="0"/>
          <wp:wrapTopAndBottom/>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9348A" w:rsidRPr="00FF7B50" w14:paraId="3ED739C7" w14:textId="77777777" w:rsidTr="009C5114">
      <w:trPr>
        <w:trHeight w:hRule="exact" w:val="8845"/>
      </w:trPr>
      <w:tc>
        <w:tcPr>
          <w:tcW w:w="11964" w:type="dxa"/>
        </w:tcPr>
        <w:p w14:paraId="52771E6E" w14:textId="77777777" w:rsidR="00F9348A" w:rsidRPr="00FF7B50" w:rsidRDefault="006B3394" w:rsidP="00AE0320">
          <w:pPr>
            <w:pStyle w:val="Header"/>
            <w:ind w:left="-57"/>
            <w:jc w:val="left"/>
            <w:rPr>
              <w:noProof/>
              <w:lang w:eastAsia="en-AU"/>
            </w:rPr>
          </w:pPr>
          <w:sdt>
            <w:sdtPr>
              <w:rPr>
                <w:noProof/>
                <w:lang w:eastAsia="en-AU"/>
              </w:rPr>
              <w:id w:val="3702145"/>
              <w:showingPlcHdr/>
              <w:picture/>
            </w:sdtPr>
            <w:sdtEndPr/>
            <w:sdtContent>
              <w:r w:rsidR="00F9348A" w:rsidRPr="00FF7B50">
                <w:rPr>
                  <w:noProof/>
                  <w:lang w:eastAsia="en-AU"/>
                </w:rPr>
                <w:drawing>
                  <wp:inline distT="0" distB="0" distL="0" distR="0" wp14:anchorId="065EBBC3" wp14:editId="46C7DB64">
                    <wp:extent cx="7610475" cy="5638800"/>
                    <wp:effectExtent l="19050" t="0" r="9525" b="0"/>
                    <wp:docPr id="2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a:extLst>
                                <a:ext uri="{C183D7F6-B498-43B3-948B-1728B52AA6E4}">
                                  <adec:decorative xmlns:adec="http://schemas.microsoft.com/office/drawing/2017/decorative" val="1"/>
                                </a:ext>
                              </a:extLst>
                            </pic:cNvPr>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61D05CA2" w14:textId="77777777" w:rsidR="00F9348A" w:rsidRPr="00E32326" w:rsidRDefault="00F9348A" w:rsidP="00F202AB">
    <w:r>
      <w:rPr>
        <w:noProof/>
        <w:lang w:eastAsia="en-AU"/>
      </w:rPr>
      <w:drawing>
        <wp:anchor distT="0" distB="0" distL="114300" distR="114300" simplePos="0" relativeHeight="251656704" behindDoc="0" locked="0" layoutInCell="0" allowOverlap="1" wp14:anchorId="29976F68" wp14:editId="7E98CB9A">
          <wp:simplePos x="0" y="0"/>
          <wp:positionH relativeFrom="column">
            <wp:posOffset>-900430</wp:posOffset>
          </wp:positionH>
          <wp:positionV relativeFrom="page">
            <wp:posOffset>4171950</wp:posOffset>
          </wp:positionV>
          <wp:extent cx="7600950" cy="2457450"/>
          <wp:effectExtent l="19050" t="0" r="0" b="0"/>
          <wp:wrapNone/>
          <wp:docPr id="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a:extLst>
                      <a:ext uri="{C183D7F6-B498-43B3-948B-1728B52AA6E4}">
                        <adec:decorative xmlns:adec="http://schemas.microsoft.com/office/drawing/2017/decorative" val="1"/>
                      </a:ext>
                    </a:extLst>
                  </pic:cNvPr>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5CF51" w14:textId="77777777" w:rsidR="00F9348A" w:rsidRPr="00920FF4" w:rsidRDefault="00F9348A"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9D441" w14:textId="77777777" w:rsidR="00F9348A" w:rsidRPr="00920FF4" w:rsidRDefault="00F9348A"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4C525" w14:textId="77777777" w:rsidR="00F9348A" w:rsidRPr="009401F6" w:rsidRDefault="00F9348A" w:rsidP="0047772E"/>
  <w:p w14:paraId="174BCCEC" w14:textId="77777777" w:rsidR="00F9348A" w:rsidRPr="002B0C2E" w:rsidRDefault="00F9348A"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EBB2C45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4653C88"/>
    <w:multiLevelType w:val="hybridMultilevel"/>
    <w:tmpl w:val="CEECAE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4DF2123"/>
    <w:multiLevelType w:val="hybridMultilevel"/>
    <w:tmpl w:val="08D2DD9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850" w:hanging="425"/>
      </w:pPr>
      <w:rPr>
        <w:rFonts w:ascii="Cambria" w:hAnsi="Cambria" w:hint="default"/>
      </w:rPr>
    </w:lvl>
    <w:lvl w:ilvl="1">
      <w:start w:val="1"/>
      <w:numFmt w:val="lowerLetter"/>
      <w:pStyle w:val="Numberbullet2"/>
      <w:lvlText w:val="%2."/>
      <w:lvlJc w:val="left"/>
      <w:pPr>
        <w:ind w:left="1276" w:hanging="426"/>
      </w:pPr>
      <w:rPr>
        <w:rFonts w:hint="default"/>
      </w:rPr>
    </w:lvl>
    <w:lvl w:ilvl="2">
      <w:start w:val="1"/>
      <w:numFmt w:val="lowerRoman"/>
      <w:lvlText w:val="%3."/>
      <w:lvlJc w:val="left"/>
      <w:pPr>
        <w:ind w:left="1701" w:hanging="425"/>
      </w:pPr>
      <w:rPr>
        <w:rFonts w:hint="default"/>
      </w:rPr>
    </w:lvl>
    <w:lvl w:ilvl="3">
      <w:start w:val="1"/>
      <w:numFmt w:val="none"/>
      <w:lvlText w:val=""/>
      <w:lvlJc w:val="left"/>
      <w:pPr>
        <w:ind w:left="1701" w:hanging="425"/>
      </w:pPr>
      <w:rPr>
        <w:rFonts w:hint="default"/>
      </w:rPr>
    </w:lvl>
    <w:lvl w:ilvl="4">
      <w:start w:val="1"/>
      <w:numFmt w:val="none"/>
      <w:lvlText w:val=""/>
      <w:lvlJc w:val="left"/>
      <w:pPr>
        <w:ind w:left="1701" w:hanging="425"/>
      </w:pPr>
      <w:rPr>
        <w:rFonts w:hint="default"/>
      </w:rPr>
    </w:lvl>
    <w:lvl w:ilvl="5">
      <w:start w:val="1"/>
      <w:numFmt w:val="none"/>
      <w:lvlText w:val=""/>
      <w:lvlJc w:val="left"/>
      <w:pPr>
        <w:ind w:left="1701" w:hanging="425"/>
      </w:pPr>
      <w:rPr>
        <w:rFonts w:hint="default"/>
      </w:rPr>
    </w:lvl>
    <w:lvl w:ilvl="6">
      <w:start w:val="1"/>
      <w:numFmt w:val="none"/>
      <w:lvlText w:val="%7"/>
      <w:lvlJc w:val="left"/>
      <w:pPr>
        <w:ind w:left="1701" w:hanging="425"/>
      </w:pPr>
      <w:rPr>
        <w:rFonts w:hint="default"/>
      </w:rPr>
    </w:lvl>
    <w:lvl w:ilvl="7">
      <w:start w:val="1"/>
      <w:numFmt w:val="none"/>
      <w:lvlText w:val=""/>
      <w:lvlJc w:val="left"/>
      <w:pPr>
        <w:ind w:left="1701" w:hanging="425"/>
      </w:pPr>
      <w:rPr>
        <w:rFonts w:hint="default"/>
      </w:rPr>
    </w:lvl>
    <w:lvl w:ilvl="8">
      <w:start w:val="1"/>
      <w:numFmt w:val="none"/>
      <w:lvlText w:val=""/>
      <w:lvlJc w:val="left"/>
      <w:pPr>
        <w:ind w:left="1701" w:hanging="425"/>
      </w:pPr>
      <w:rPr>
        <w:rFonts w:hint="default"/>
      </w:rPr>
    </w:lvl>
  </w:abstractNum>
  <w:abstractNum w:abstractNumId="4" w15:restartNumberingAfterBreak="0">
    <w:nsid w:val="168F13E9"/>
    <w:multiLevelType w:val="multilevel"/>
    <w:tmpl w:val="F7147AF0"/>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7EB541F"/>
    <w:multiLevelType w:val="multilevel"/>
    <w:tmpl w:val="068A2CAE"/>
    <w:lvl w:ilvl="0">
      <w:start w:val="4"/>
      <w:numFmt w:val="bullet"/>
      <w:lvlText w:val="•"/>
      <w:lvlJc w:val="left"/>
      <w:pPr>
        <w:ind w:left="360" w:hanging="360"/>
      </w:pPr>
      <w:rPr>
        <w:rFonts w:ascii="Arial" w:eastAsia="Cambria" w:hAnsi="Aria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DD1165E"/>
    <w:multiLevelType w:val="multilevel"/>
    <w:tmpl w:val="88AA87C6"/>
    <w:lvl w:ilvl="0">
      <w:start w:val="4"/>
      <w:numFmt w:val="bullet"/>
      <w:lvlText w:val="•"/>
      <w:lvlJc w:val="left"/>
      <w:pPr>
        <w:ind w:left="360" w:hanging="360"/>
      </w:pPr>
      <w:rPr>
        <w:rFonts w:ascii="Arial" w:eastAsia="Cambria" w:hAnsi="Aria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EA71C07"/>
    <w:multiLevelType w:val="hybridMultilevel"/>
    <w:tmpl w:val="E91689D8"/>
    <w:lvl w:ilvl="0" w:tplc="9C8E9518">
      <w:start w:val="1"/>
      <w:numFmt w:val="decimal"/>
      <w:lvlText w:val="%1."/>
      <w:lvlJc w:val="left"/>
      <w:pPr>
        <w:ind w:left="720" w:hanging="360"/>
      </w:pPr>
      <w:rPr>
        <w:rFonts w:ascii="Cambria" w:eastAsia="Cambria" w:hAnsi="Cambria" w:cs="Times New Roman"/>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495ED8"/>
    <w:multiLevelType w:val="hybridMultilevel"/>
    <w:tmpl w:val="B8AE9458"/>
    <w:lvl w:ilvl="0" w:tplc="3B209384">
      <w:start w:val="1"/>
      <w:numFmt w:val="bullet"/>
      <w:lvlText w:val=""/>
      <w:lvlJc w:val="left"/>
      <w:pPr>
        <w:ind w:left="720" w:hanging="360"/>
      </w:pPr>
      <w:rPr>
        <w:rFonts w:ascii="Symbol" w:eastAsia="Times New Roman" w:hAnsi="Symbol" w:cs="Times New Roman"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FC0012"/>
    <w:multiLevelType w:val="hybridMultilevel"/>
    <w:tmpl w:val="1B5AA6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E73FCA"/>
    <w:multiLevelType w:val="hybridMultilevel"/>
    <w:tmpl w:val="E91689D8"/>
    <w:lvl w:ilvl="0" w:tplc="9C8E9518">
      <w:start w:val="1"/>
      <w:numFmt w:val="decimal"/>
      <w:lvlText w:val="%1."/>
      <w:lvlJc w:val="left"/>
      <w:pPr>
        <w:ind w:left="720" w:hanging="360"/>
      </w:pPr>
      <w:rPr>
        <w:rFonts w:ascii="Cambria" w:eastAsia="Cambria" w:hAnsi="Cambria" w:cs="Times New Roman"/>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8C3A93"/>
    <w:multiLevelType w:val="hybridMultilevel"/>
    <w:tmpl w:val="1B5AA6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9B42290"/>
    <w:multiLevelType w:val="hybridMultilevel"/>
    <w:tmpl w:val="36EA3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C2E1E"/>
    <w:multiLevelType w:val="multilevel"/>
    <w:tmpl w:val="FFD0730E"/>
    <w:lvl w:ilvl="0">
      <w:start w:val="4"/>
      <w:numFmt w:val="bullet"/>
      <w:lvlText w:val="•"/>
      <w:lvlJc w:val="left"/>
      <w:pPr>
        <w:ind w:left="360" w:hanging="360"/>
      </w:pPr>
      <w:rPr>
        <w:rFonts w:ascii="Arial" w:eastAsia="Cambria" w:hAnsi="Aria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34B66B42"/>
    <w:multiLevelType w:val="hybridMultilevel"/>
    <w:tmpl w:val="353EFEB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3E2A7FD7"/>
    <w:multiLevelType w:val="multilevel"/>
    <w:tmpl w:val="EF6460E6"/>
    <w:lvl w:ilvl="0">
      <w:start w:val="4"/>
      <w:numFmt w:val="bullet"/>
      <w:lvlText w:val="•"/>
      <w:lvlJc w:val="left"/>
      <w:pPr>
        <w:ind w:left="720" w:hanging="360"/>
      </w:pPr>
      <w:rPr>
        <w:rFonts w:ascii="Arial" w:eastAsia="Cambria" w:hAnsi="Aria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7" w15:restartNumberingAfterBreak="0">
    <w:nsid w:val="3FEF64E1"/>
    <w:multiLevelType w:val="hybridMultilevel"/>
    <w:tmpl w:val="1B5AA6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964788"/>
    <w:multiLevelType w:val="hybridMultilevel"/>
    <w:tmpl w:val="A6AEDF56"/>
    <w:lvl w:ilvl="0" w:tplc="589A9146">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1A4D44"/>
    <w:multiLevelType w:val="multilevel"/>
    <w:tmpl w:val="EF6460E6"/>
    <w:lvl w:ilvl="0">
      <w:start w:val="4"/>
      <w:numFmt w:val="bullet"/>
      <w:lvlText w:val="•"/>
      <w:lvlJc w:val="left"/>
      <w:pPr>
        <w:ind w:left="360" w:hanging="360"/>
      </w:pPr>
      <w:rPr>
        <w:rFonts w:ascii="Arial" w:eastAsia="Cambria" w:hAnsi="Aria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60420C96"/>
    <w:multiLevelType w:val="hybridMultilevel"/>
    <w:tmpl w:val="B928DB86"/>
    <w:lvl w:ilvl="0" w:tplc="4468B5AA">
      <w:numFmt w:val="bullet"/>
      <w:lvlText w:val=""/>
      <w:lvlJc w:val="left"/>
      <w:pPr>
        <w:ind w:left="720" w:hanging="360"/>
      </w:pPr>
      <w:rPr>
        <w:rFonts w:ascii="Symbol" w:eastAsia="Cambria"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510317"/>
    <w:multiLevelType w:val="hybridMultilevel"/>
    <w:tmpl w:val="130278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6E7E44"/>
    <w:multiLevelType w:val="hybridMultilevel"/>
    <w:tmpl w:val="9C98195E"/>
    <w:lvl w:ilvl="0" w:tplc="871A86DE">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FBF4A95"/>
    <w:multiLevelType w:val="hybridMultilevel"/>
    <w:tmpl w:val="D8D646A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32F1579"/>
    <w:multiLevelType w:val="multilevel"/>
    <w:tmpl w:val="CCCEACFE"/>
    <w:lvl w:ilvl="0">
      <w:start w:val="4"/>
      <w:numFmt w:val="bullet"/>
      <w:lvlText w:val="•"/>
      <w:lvlJc w:val="left"/>
      <w:pPr>
        <w:ind w:left="360" w:hanging="360"/>
      </w:pPr>
      <w:rPr>
        <w:rFonts w:ascii="Arial" w:eastAsia="Cambria" w:hAnsi="Aria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765B5528"/>
    <w:multiLevelType w:val="hybridMultilevel"/>
    <w:tmpl w:val="0CF2E044"/>
    <w:lvl w:ilvl="0" w:tplc="F6C444C8">
      <w:numFmt w:val="bullet"/>
      <w:lvlText w:val="-"/>
      <w:lvlJc w:val="left"/>
      <w:pPr>
        <w:ind w:left="720" w:hanging="36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7456F6"/>
    <w:multiLevelType w:val="hybridMultilevel"/>
    <w:tmpl w:val="A4AAA8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EB36465"/>
    <w:multiLevelType w:val="hybridMultilevel"/>
    <w:tmpl w:val="421A5A5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F7C1CF5"/>
    <w:multiLevelType w:val="hybridMultilevel"/>
    <w:tmpl w:val="1B5AA6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lvlOverride w:ilvl="0">
      <w:lvl w:ilvl="0">
        <w:start w:val="4"/>
        <w:numFmt w:val="bullet"/>
        <w:pStyle w:val="ListBullet"/>
        <w:lvlText w:val="•"/>
        <w:lvlJc w:val="left"/>
        <w:pPr>
          <w:ind w:left="720" w:hanging="360"/>
        </w:pPr>
        <w:rPr>
          <w:rFonts w:ascii="Arial" w:eastAsia="Cambria" w:hAnsi="Arial" w:hint="default"/>
          <w:sz w:val="24"/>
          <w:szCs w:val="24"/>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2">
    <w:abstractNumId w:val="4"/>
  </w:num>
  <w:num w:numId="3">
    <w:abstractNumId w:val="3"/>
  </w:num>
  <w:num w:numId="4">
    <w:abstractNumId w:val="4"/>
  </w:num>
  <w:num w:numId="5">
    <w:abstractNumId w:val="3"/>
  </w:num>
  <w:num w:numId="6">
    <w:abstractNumId w:val="15"/>
  </w:num>
  <w:num w:numId="7">
    <w:abstractNumId w:val="2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8"/>
  </w:num>
  <w:num w:numId="12">
    <w:abstractNumId w:val="28"/>
  </w:num>
  <w:num w:numId="13">
    <w:abstractNumId w:val="10"/>
  </w:num>
  <w:num w:numId="14">
    <w:abstractNumId w:val="4"/>
  </w:num>
  <w:num w:numId="15">
    <w:abstractNumId w:val="4"/>
  </w:num>
  <w:num w:numId="16">
    <w:abstractNumId w:val="2"/>
  </w:num>
  <w:num w:numId="17">
    <w:abstractNumId w:val="0"/>
  </w:num>
  <w:num w:numId="18">
    <w:abstractNumId w:val="14"/>
  </w:num>
  <w:num w:numId="19">
    <w:abstractNumId w:val="23"/>
  </w:num>
  <w:num w:numId="20">
    <w:abstractNumId w:val="25"/>
  </w:num>
  <w:num w:numId="21">
    <w:abstractNumId w:val="6"/>
  </w:num>
  <w:num w:numId="22">
    <w:abstractNumId w:val="13"/>
  </w:num>
  <w:num w:numId="23">
    <w:abstractNumId w:val="19"/>
  </w:num>
  <w:num w:numId="24">
    <w:abstractNumId w:val="16"/>
  </w:num>
  <w:num w:numId="25">
    <w:abstractNumId w:val="27"/>
  </w:num>
  <w:num w:numId="26">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8"/>
  </w:num>
  <w:num w:numId="29">
    <w:abstractNumId w:val="1"/>
  </w:num>
  <w:num w:numId="30">
    <w:abstractNumId w:val="29"/>
  </w:num>
  <w:num w:numId="31">
    <w:abstractNumId w:val="22"/>
  </w:num>
  <w:num w:numId="32">
    <w:abstractNumId w:val="12"/>
  </w:num>
  <w:num w:numId="33">
    <w:abstractNumId w:val="26"/>
  </w:num>
  <w:num w:numId="34">
    <w:abstractNumId w:val="20"/>
  </w:num>
  <w:num w:numId="35">
    <w:abstractNumId w:val="4"/>
  </w:num>
  <w:num w:numId="36">
    <w:abstractNumId w:val="5"/>
  </w:num>
  <w:num w:numId="37">
    <w:abstractNumId w:val="9"/>
  </w:num>
  <w:num w:numId="38">
    <w:abstractNumId w:val="7"/>
  </w:num>
  <w:num w:numId="39">
    <w:abstractNumId w:val="11"/>
  </w:num>
  <w:num w:numId="4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218"/>
    <w:rsid w:val="00002031"/>
    <w:rsid w:val="00004734"/>
    <w:rsid w:val="00006B22"/>
    <w:rsid w:val="000104BB"/>
    <w:rsid w:val="00010803"/>
    <w:rsid w:val="0001276A"/>
    <w:rsid w:val="00023945"/>
    <w:rsid w:val="000246AE"/>
    <w:rsid w:val="00025C67"/>
    <w:rsid w:val="0003306D"/>
    <w:rsid w:val="00053582"/>
    <w:rsid w:val="00055129"/>
    <w:rsid w:val="000554B4"/>
    <w:rsid w:val="0005559E"/>
    <w:rsid w:val="00057A16"/>
    <w:rsid w:val="00061E51"/>
    <w:rsid w:val="00063028"/>
    <w:rsid w:val="00064BE2"/>
    <w:rsid w:val="00072750"/>
    <w:rsid w:val="00074065"/>
    <w:rsid w:val="00075981"/>
    <w:rsid w:val="00077775"/>
    <w:rsid w:val="00090471"/>
    <w:rsid w:val="0009350D"/>
    <w:rsid w:val="000958DF"/>
    <w:rsid w:val="000964D4"/>
    <w:rsid w:val="000A0965"/>
    <w:rsid w:val="000B0A5D"/>
    <w:rsid w:val="000B3532"/>
    <w:rsid w:val="000B3A75"/>
    <w:rsid w:val="000B7084"/>
    <w:rsid w:val="000C1C08"/>
    <w:rsid w:val="000C5A31"/>
    <w:rsid w:val="000D391B"/>
    <w:rsid w:val="000D3D6D"/>
    <w:rsid w:val="000D4FC7"/>
    <w:rsid w:val="000E0449"/>
    <w:rsid w:val="000E1A71"/>
    <w:rsid w:val="000E2F29"/>
    <w:rsid w:val="000E3156"/>
    <w:rsid w:val="000E56CA"/>
    <w:rsid w:val="000F4869"/>
    <w:rsid w:val="000F5B42"/>
    <w:rsid w:val="000F6E6F"/>
    <w:rsid w:val="001003F2"/>
    <w:rsid w:val="0010601F"/>
    <w:rsid w:val="00107378"/>
    <w:rsid w:val="00110EA5"/>
    <w:rsid w:val="001119DF"/>
    <w:rsid w:val="00115240"/>
    <w:rsid w:val="00125091"/>
    <w:rsid w:val="00125318"/>
    <w:rsid w:val="001305A2"/>
    <w:rsid w:val="00132294"/>
    <w:rsid w:val="0013309D"/>
    <w:rsid w:val="00133238"/>
    <w:rsid w:val="00134D78"/>
    <w:rsid w:val="00140FE3"/>
    <w:rsid w:val="0014197B"/>
    <w:rsid w:val="001447CD"/>
    <w:rsid w:val="001516B1"/>
    <w:rsid w:val="001525B4"/>
    <w:rsid w:val="00156316"/>
    <w:rsid w:val="00160006"/>
    <w:rsid w:val="00161184"/>
    <w:rsid w:val="00165389"/>
    <w:rsid w:val="00170CED"/>
    <w:rsid w:val="001713B2"/>
    <w:rsid w:val="00176692"/>
    <w:rsid w:val="0017693F"/>
    <w:rsid w:val="0018110E"/>
    <w:rsid w:val="00181684"/>
    <w:rsid w:val="001843C6"/>
    <w:rsid w:val="001850E0"/>
    <w:rsid w:val="0018693C"/>
    <w:rsid w:val="0019255A"/>
    <w:rsid w:val="00195DA8"/>
    <w:rsid w:val="001A525F"/>
    <w:rsid w:val="001A69AB"/>
    <w:rsid w:val="001B09F9"/>
    <w:rsid w:val="001B6448"/>
    <w:rsid w:val="001C1D69"/>
    <w:rsid w:val="001C2E5D"/>
    <w:rsid w:val="001C567E"/>
    <w:rsid w:val="001D480A"/>
    <w:rsid w:val="001E07CF"/>
    <w:rsid w:val="001E24DD"/>
    <w:rsid w:val="001E58CE"/>
    <w:rsid w:val="001E59F1"/>
    <w:rsid w:val="001E6A69"/>
    <w:rsid w:val="001F49EB"/>
    <w:rsid w:val="001F6CBA"/>
    <w:rsid w:val="001F78B9"/>
    <w:rsid w:val="00201D4E"/>
    <w:rsid w:val="00204F19"/>
    <w:rsid w:val="00207515"/>
    <w:rsid w:val="00211C7B"/>
    <w:rsid w:val="00220B8A"/>
    <w:rsid w:val="002232C2"/>
    <w:rsid w:val="002257F3"/>
    <w:rsid w:val="002302EC"/>
    <w:rsid w:val="002303B0"/>
    <w:rsid w:val="002314E8"/>
    <w:rsid w:val="00233456"/>
    <w:rsid w:val="0023397F"/>
    <w:rsid w:val="002339A5"/>
    <w:rsid w:val="00235055"/>
    <w:rsid w:val="002360E7"/>
    <w:rsid w:val="00240EA8"/>
    <w:rsid w:val="002452E7"/>
    <w:rsid w:val="00245F98"/>
    <w:rsid w:val="00246194"/>
    <w:rsid w:val="00251C3C"/>
    <w:rsid w:val="002538AE"/>
    <w:rsid w:val="002541E7"/>
    <w:rsid w:val="00257138"/>
    <w:rsid w:val="00257848"/>
    <w:rsid w:val="0027084A"/>
    <w:rsid w:val="00271109"/>
    <w:rsid w:val="00277EF5"/>
    <w:rsid w:val="00286434"/>
    <w:rsid w:val="00286C59"/>
    <w:rsid w:val="00290B07"/>
    <w:rsid w:val="002914BC"/>
    <w:rsid w:val="002942D1"/>
    <w:rsid w:val="002A0556"/>
    <w:rsid w:val="002A1EB6"/>
    <w:rsid w:val="002A7167"/>
    <w:rsid w:val="002B0C2E"/>
    <w:rsid w:val="002B1638"/>
    <w:rsid w:val="002B43A6"/>
    <w:rsid w:val="002B706C"/>
    <w:rsid w:val="002C0F1F"/>
    <w:rsid w:val="002C1D7D"/>
    <w:rsid w:val="002C2511"/>
    <w:rsid w:val="002C3BE3"/>
    <w:rsid w:val="002D1EDF"/>
    <w:rsid w:val="002E4C9A"/>
    <w:rsid w:val="002F11F8"/>
    <w:rsid w:val="002F25C9"/>
    <w:rsid w:val="002F3F56"/>
    <w:rsid w:val="002F44B5"/>
    <w:rsid w:val="002F6EB2"/>
    <w:rsid w:val="00300438"/>
    <w:rsid w:val="00311AC0"/>
    <w:rsid w:val="003204DD"/>
    <w:rsid w:val="003214DF"/>
    <w:rsid w:val="003305A6"/>
    <w:rsid w:val="00331897"/>
    <w:rsid w:val="00331DBB"/>
    <w:rsid w:val="00332680"/>
    <w:rsid w:val="003521E8"/>
    <w:rsid w:val="00363C38"/>
    <w:rsid w:val="00365DDD"/>
    <w:rsid w:val="003664BF"/>
    <w:rsid w:val="003728F3"/>
    <w:rsid w:val="00390900"/>
    <w:rsid w:val="003A13F0"/>
    <w:rsid w:val="003A35BD"/>
    <w:rsid w:val="003B00C5"/>
    <w:rsid w:val="003B0B22"/>
    <w:rsid w:val="003B443E"/>
    <w:rsid w:val="003B7E39"/>
    <w:rsid w:val="003C30DC"/>
    <w:rsid w:val="003C58DC"/>
    <w:rsid w:val="003C7461"/>
    <w:rsid w:val="003D0CD9"/>
    <w:rsid w:val="003D5AC0"/>
    <w:rsid w:val="003E1FEE"/>
    <w:rsid w:val="003E3208"/>
    <w:rsid w:val="003E374E"/>
    <w:rsid w:val="003E3D34"/>
    <w:rsid w:val="003E3D61"/>
    <w:rsid w:val="003E7EAA"/>
    <w:rsid w:val="003F0B04"/>
    <w:rsid w:val="003F155E"/>
    <w:rsid w:val="003F5995"/>
    <w:rsid w:val="003F6F7D"/>
    <w:rsid w:val="0040134E"/>
    <w:rsid w:val="00410839"/>
    <w:rsid w:val="00411E34"/>
    <w:rsid w:val="0041452B"/>
    <w:rsid w:val="0041624C"/>
    <w:rsid w:val="004169A8"/>
    <w:rsid w:val="00420A9C"/>
    <w:rsid w:val="00421347"/>
    <w:rsid w:val="00427E0E"/>
    <w:rsid w:val="004313A3"/>
    <w:rsid w:val="0043718F"/>
    <w:rsid w:val="00440A2D"/>
    <w:rsid w:val="004414E4"/>
    <w:rsid w:val="004479BC"/>
    <w:rsid w:val="004556DF"/>
    <w:rsid w:val="00455A6F"/>
    <w:rsid w:val="004564A7"/>
    <w:rsid w:val="00456C37"/>
    <w:rsid w:val="004617BF"/>
    <w:rsid w:val="004634F1"/>
    <w:rsid w:val="00465E90"/>
    <w:rsid w:val="004742F6"/>
    <w:rsid w:val="00476176"/>
    <w:rsid w:val="0047772E"/>
    <w:rsid w:val="00477BB1"/>
    <w:rsid w:val="004836D8"/>
    <w:rsid w:val="004923FF"/>
    <w:rsid w:val="00494E60"/>
    <w:rsid w:val="00496BAC"/>
    <w:rsid w:val="004A2EB5"/>
    <w:rsid w:val="004B3F3A"/>
    <w:rsid w:val="004B4CB5"/>
    <w:rsid w:val="004B5A6B"/>
    <w:rsid w:val="004B7B76"/>
    <w:rsid w:val="004C0070"/>
    <w:rsid w:val="004C2E29"/>
    <w:rsid w:val="004D3B35"/>
    <w:rsid w:val="004D51A6"/>
    <w:rsid w:val="004D7CEC"/>
    <w:rsid w:val="004E4FB4"/>
    <w:rsid w:val="004F0F38"/>
    <w:rsid w:val="004F1A46"/>
    <w:rsid w:val="004F4D12"/>
    <w:rsid w:val="00501921"/>
    <w:rsid w:val="00511904"/>
    <w:rsid w:val="005202E0"/>
    <w:rsid w:val="00522A0C"/>
    <w:rsid w:val="005234E9"/>
    <w:rsid w:val="005240B8"/>
    <w:rsid w:val="00530354"/>
    <w:rsid w:val="00531B11"/>
    <w:rsid w:val="00533E17"/>
    <w:rsid w:val="005434C6"/>
    <w:rsid w:val="00543B39"/>
    <w:rsid w:val="0054583D"/>
    <w:rsid w:val="005477E7"/>
    <w:rsid w:val="00550096"/>
    <w:rsid w:val="005528C3"/>
    <w:rsid w:val="0055532D"/>
    <w:rsid w:val="00557FF9"/>
    <w:rsid w:val="00576378"/>
    <w:rsid w:val="00577279"/>
    <w:rsid w:val="00577E38"/>
    <w:rsid w:val="00581EAF"/>
    <w:rsid w:val="00585322"/>
    <w:rsid w:val="00590CFF"/>
    <w:rsid w:val="0059218F"/>
    <w:rsid w:val="00592BB4"/>
    <w:rsid w:val="00593AD1"/>
    <w:rsid w:val="00594D03"/>
    <w:rsid w:val="00595F64"/>
    <w:rsid w:val="00597877"/>
    <w:rsid w:val="005A1131"/>
    <w:rsid w:val="005A61CE"/>
    <w:rsid w:val="005B4374"/>
    <w:rsid w:val="005C5570"/>
    <w:rsid w:val="005C79A4"/>
    <w:rsid w:val="005D255E"/>
    <w:rsid w:val="005D4071"/>
    <w:rsid w:val="005D4EA1"/>
    <w:rsid w:val="005D5442"/>
    <w:rsid w:val="005E6592"/>
    <w:rsid w:val="005F2EDD"/>
    <w:rsid w:val="00611B57"/>
    <w:rsid w:val="00617EAC"/>
    <w:rsid w:val="006239CD"/>
    <w:rsid w:val="00623C51"/>
    <w:rsid w:val="00632115"/>
    <w:rsid w:val="00640190"/>
    <w:rsid w:val="006405A9"/>
    <w:rsid w:val="00640FC3"/>
    <w:rsid w:val="00642020"/>
    <w:rsid w:val="00643457"/>
    <w:rsid w:val="00651C87"/>
    <w:rsid w:val="0065337B"/>
    <w:rsid w:val="00653FBF"/>
    <w:rsid w:val="0065419D"/>
    <w:rsid w:val="006604D8"/>
    <w:rsid w:val="00664A5B"/>
    <w:rsid w:val="00665F8C"/>
    <w:rsid w:val="00667942"/>
    <w:rsid w:val="00667B4F"/>
    <w:rsid w:val="00675335"/>
    <w:rsid w:val="00675D0D"/>
    <w:rsid w:val="00680C08"/>
    <w:rsid w:val="0068741A"/>
    <w:rsid w:val="00691723"/>
    <w:rsid w:val="00691B52"/>
    <w:rsid w:val="006930C7"/>
    <w:rsid w:val="006931B1"/>
    <w:rsid w:val="00693CDB"/>
    <w:rsid w:val="00697B3D"/>
    <w:rsid w:val="006A15C0"/>
    <w:rsid w:val="006A4515"/>
    <w:rsid w:val="006B188D"/>
    <w:rsid w:val="006B3394"/>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926"/>
    <w:rsid w:val="00706AFE"/>
    <w:rsid w:val="00725A8B"/>
    <w:rsid w:val="00730718"/>
    <w:rsid w:val="0074066C"/>
    <w:rsid w:val="0074077E"/>
    <w:rsid w:val="00742004"/>
    <w:rsid w:val="0074253D"/>
    <w:rsid w:val="00742F63"/>
    <w:rsid w:val="00744284"/>
    <w:rsid w:val="0074429B"/>
    <w:rsid w:val="00746189"/>
    <w:rsid w:val="007477F8"/>
    <w:rsid w:val="007560F1"/>
    <w:rsid w:val="0075759B"/>
    <w:rsid w:val="007615BC"/>
    <w:rsid w:val="00762F05"/>
    <w:rsid w:val="00763336"/>
    <w:rsid w:val="00764EB9"/>
    <w:rsid w:val="007652FF"/>
    <w:rsid w:val="00766F39"/>
    <w:rsid w:val="00771329"/>
    <w:rsid w:val="0077211E"/>
    <w:rsid w:val="00773EF7"/>
    <w:rsid w:val="00774E1D"/>
    <w:rsid w:val="0077675A"/>
    <w:rsid w:val="00777BA4"/>
    <w:rsid w:val="00780355"/>
    <w:rsid w:val="00785721"/>
    <w:rsid w:val="00790747"/>
    <w:rsid w:val="00793A59"/>
    <w:rsid w:val="007A2162"/>
    <w:rsid w:val="007B137E"/>
    <w:rsid w:val="007B302B"/>
    <w:rsid w:val="007B43ED"/>
    <w:rsid w:val="007B4BF9"/>
    <w:rsid w:val="007C0F3D"/>
    <w:rsid w:val="007C1AF7"/>
    <w:rsid w:val="007C7472"/>
    <w:rsid w:val="007C7A6D"/>
    <w:rsid w:val="007C7B5B"/>
    <w:rsid w:val="007E7BF8"/>
    <w:rsid w:val="007F2FF0"/>
    <w:rsid w:val="00800173"/>
    <w:rsid w:val="00810598"/>
    <w:rsid w:val="00811166"/>
    <w:rsid w:val="00813961"/>
    <w:rsid w:val="00814492"/>
    <w:rsid w:val="00821776"/>
    <w:rsid w:val="00824BD5"/>
    <w:rsid w:val="008253B0"/>
    <w:rsid w:val="00826007"/>
    <w:rsid w:val="008273F0"/>
    <w:rsid w:val="008321F5"/>
    <w:rsid w:val="00832369"/>
    <w:rsid w:val="00834660"/>
    <w:rsid w:val="00834C8E"/>
    <w:rsid w:val="00836BC2"/>
    <w:rsid w:val="0084156C"/>
    <w:rsid w:val="00842243"/>
    <w:rsid w:val="00844809"/>
    <w:rsid w:val="0084580B"/>
    <w:rsid w:val="00845BCA"/>
    <w:rsid w:val="00853C8F"/>
    <w:rsid w:val="0085641B"/>
    <w:rsid w:val="00857136"/>
    <w:rsid w:val="00861FC3"/>
    <w:rsid w:val="00864C57"/>
    <w:rsid w:val="00870B12"/>
    <w:rsid w:val="008752CE"/>
    <w:rsid w:val="008803D6"/>
    <w:rsid w:val="008821AA"/>
    <w:rsid w:val="008855B8"/>
    <w:rsid w:val="008932F3"/>
    <w:rsid w:val="00896018"/>
    <w:rsid w:val="008A005E"/>
    <w:rsid w:val="008A07FF"/>
    <w:rsid w:val="008A2B9D"/>
    <w:rsid w:val="008A5E0B"/>
    <w:rsid w:val="008A5E18"/>
    <w:rsid w:val="008A6D59"/>
    <w:rsid w:val="008B2D31"/>
    <w:rsid w:val="008B4B03"/>
    <w:rsid w:val="008B596F"/>
    <w:rsid w:val="008C159F"/>
    <w:rsid w:val="008C1623"/>
    <w:rsid w:val="008C51A9"/>
    <w:rsid w:val="008C51CB"/>
    <w:rsid w:val="008C56D9"/>
    <w:rsid w:val="008C6CB8"/>
    <w:rsid w:val="008D2B09"/>
    <w:rsid w:val="008D4740"/>
    <w:rsid w:val="008E40E4"/>
    <w:rsid w:val="008E754E"/>
    <w:rsid w:val="008E7B83"/>
    <w:rsid w:val="008F1CCC"/>
    <w:rsid w:val="008F2967"/>
    <w:rsid w:val="008F407A"/>
    <w:rsid w:val="00901A14"/>
    <w:rsid w:val="0090354E"/>
    <w:rsid w:val="00907ACE"/>
    <w:rsid w:val="0091539F"/>
    <w:rsid w:val="00920330"/>
    <w:rsid w:val="00920FF4"/>
    <w:rsid w:val="009219D7"/>
    <w:rsid w:val="00922D53"/>
    <w:rsid w:val="00923B70"/>
    <w:rsid w:val="00925DC5"/>
    <w:rsid w:val="0092600B"/>
    <w:rsid w:val="00930237"/>
    <w:rsid w:val="00934397"/>
    <w:rsid w:val="009401F6"/>
    <w:rsid w:val="00940443"/>
    <w:rsid w:val="00940F44"/>
    <w:rsid w:val="00941988"/>
    <w:rsid w:val="00952562"/>
    <w:rsid w:val="0095453C"/>
    <w:rsid w:val="00963C08"/>
    <w:rsid w:val="009702F0"/>
    <w:rsid w:val="00970EC9"/>
    <w:rsid w:val="00974B82"/>
    <w:rsid w:val="0098021F"/>
    <w:rsid w:val="00997420"/>
    <w:rsid w:val="009A09AA"/>
    <w:rsid w:val="009A1CA7"/>
    <w:rsid w:val="009A31BA"/>
    <w:rsid w:val="009A474D"/>
    <w:rsid w:val="009A4B4F"/>
    <w:rsid w:val="009A4CED"/>
    <w:rsid w:val="009B15F1"/>
    <w:rsid w:val="009B1D12"/>
    <w:rsid w:val="009B416B"/>
    <w:rsid w:val="009C425D"/>
    <w:rsid w:val="009C4BD5"/>
    <w:rsid w:val="009C5114"/>
    <w:rsid w:val="009D2E04"/>
    <w:rsid w:val="009D5581"/>
    <w:rsid w:val="009D7B77"/>
    <w:rsid w:val="009E0BB0"/>
    <w:rsid w:val="009E3FBB"/>
    <w:rsid w:val="009E71F4"/>
    <w:rsid w:val="009E7D31"/>
    <w:rsid w:val="009F018D"/>
    <w:rsid w:val="009F7D61"/>
    <w:rsid w:val="00A052B5"/>
    <w:rsid w:val="00A05C36"/>
    <w:rsid w:val="00A1235B"/>
    <w:rsid w:val="00A14DF7"/>
    <w:rsid w:val="00A2110A"/>
    <w:rsid w:val="00A235EE"/>
    <w:rsid w:val="00A23F3C"/>
    <w:rsid w:val="00A3246D"/>
    <w:rsid w:val="00A3654F"/>
    <w:rsid w:val="00A36FA7"/>
    <w:rsid w:val="00A40043"/>
    <w:rsid w:val="00A475B7"/>
    <w:rsid w:val="00A47AF7"/>
    <w:rsid w:val="00A47C3E"/>
    <w:rsid w:val="00A50226"/>
    <w:rsid w:val="00A50C12"/>
    <w:rsid w:val="00A5375A"/>
    <w:rsid w:val="00A539AC"/>
    <w:rsid w:val="00A56488"/>
    <w:rsid w:val="00A60BAD"/>
    <w:rsid w:val="00A64387"/>
    <w:rsid w:val="00A727BF"/>
    <w:rsid w:val="00A736F3"/>
    <w:rsid w:val="00A73A8D"/>
    <w:rsid w:val="00A77DAB"/>
    <w:rsid w:val="00A8068A"/>
    <w:rsid w:val="00A84503"/>
    <w:rsid w:val="00A85B04"/>
    <w:rsid w:val="00A87334"/>
    <w:rsid w:val="00AA4C54"/>
    <w:rsid w:val="00AB1F38"/>
    <w:rsid w:val="00AB6253"/>
    <w:rsid w:val="00AB6F47"/>
    <w:rsid w:val="00AC1E53"/>
    <w:rsid w:val="00AC2118"/>
    <w:rsid w:val="00AC2B40"/>
    <w:rsid w:val="00AC2BB2"/>
    <w:rsid w:val="00AC2C3C"/>
    <w:rsid w:val="00AC3BD9"/>
    <w:rsid w:val="00AC62E7"/>
    <w:rsid w:val="00AC7EB0"/>
    <w:rsid w:val="00AD2EAF"/>
    <w:rsid w:val="00AE0320"/>
    <w:rsid w:val="00AE65EB"/>
    <w:rsid w:val="00AF177B"/>
    <w:rsid w:val="00AF1D94"/>
    <w:rsid w:val="00AF60C5"/>
    <w:rsid w:val="00AF64CB"/>
    <w:rsid w:val="00B009C6"/>
    <w:rsid w:val="00B01548"/>
    <w:rsid w:val="00B07F0F"/>
    <w:rsid w:val="00B21778"/>
    <w:rsid w:val="00B21D29"/>
    <w:rsid w:val="00B21FC5"/>
    <w:rsid w:val="00B21FEE"/>
    <w:rsid w:val="00B25034"/>
    <w:rsid w:val="00B33863"/>
    <w:rsid w:val="00B37D17"/>
    <w:rsid w:val="00B40C62"/>
    <w:rsid w:val="00B4175E"/>
    <w:rsid w:val="00B46E39"/>
    <w:rsid w:val="00B510E1"/>
    <w:rsid w:val="00B54833"/>
    <w:rsid w:val="00B54C25"/>
    <w:rsid w:val="00B600DA"/>
    <w:rsid w:val="00B60C83"/>
    <w:rsid w:val="00B64F68"/>
    <w:rsid w:val="00B7076D"/>
    <w:rsid w:val="00B76B91"/>
    <w:rsid w:val="00B92855"/>
    <w:rsid w:val="00B92C72"/>
    <w:rsid w:val="00BA0273"/>
    <w:rsid w:val="00BA5B6A"/>
    <w:rsid w:val="00BA6FF1"/>
    <w:rsid w:val="00BB0144"/>
    <w:rsid w:val="00BB0909"/>
    <w:rsid w:val="00BB6529"/>
    <w:rsid w:val="00BC1CAB"/>
    <w:rsid w:val="00BC51A2"/>
    <w:rsid w:val="00BC622A"/>
    <w:rsid w:val="00BD6F8A"/>
    <w:rsid w:val="00BE0A78"/>
    <w:rsid w:val="00BE79F0"/>
    <w:rsid w:val="00BE7EA9"/>
    <w:rsid w:val="00BF046D"/>
    <w:rsid w:val="00BF3987"/>
    <w:rsid w:val="00BF5D04"/>
    <w:rsid w:val="00BF6D93"/>
    <w:rsid w:val="00C05EC4"/>
    <w:rsid w:val="00C13563"/>
    <w:rsid w:val="00C339C6"/>
    <w:rsid w:val="00C34212"/>
    <w:rsid w:val="00C36B76"/>
    <w:rsid w:val="00C404A6"/>
    <w:rsid w:val="00C40A36"/>
    <w:rsid w:val="00C42D17"/>
    <w:rsid w:val="00C44419"/>
    <w:rsid w:val="00C45E7B"/>
    <w:rsid w:val="00C471B1"/>
    <w:rsid w:val="00C50074"/>
    <w:rsid w:val="00C51010"/>
    <w:rsid w:val="00C52BEE"/>
    <w:rsid w:val="00C52C23"/>
    <w:rsid w:val="00C6316B"/>
    <w:rsid w:val="00C634A9"/>
    <w:rsid w:val="00C70B03"/>
    <w:rsid w:val="00C73D6C"/>
    <w:rsid w:val="00C76936"/>
    <w:rsid w:val="00C772FF"/>
    <w:rsid w:val="00C77BC8"/>
    <w:rsid w:val="00C801AF"/>
    <w:rsid w:val="00C80256"/>
    <w:rsid w:val="00C829E8"/>
    <w:rsid w:val="00C9017A"/>
    <w:rsid w:val="00C97726"/>
    <w:rsid w:val="00CA77CC"/>
    <w:rsid w:val="00CB6BC0"/>
    <w:rsid w:val="00CB7FF8"/>
    <w:rsid w:val="00CC1B7C"/>
    <w:rsid w:val="00CC727F"/>
    <w:rsid w:val="00CD2699"/>
    <w:rsid w:val="00CD7871"/>
    <w:rsid w:val="00CE5BB0"/>
    <w:rsid w:val="00CF0A36"/>
    <w:rsid w:val="00CF15C3"/>
    <w:rsid w:val="00CF2B6F"/>
    <w:rsid w:val="00CF3409"/>
    <w:rsid w:val="00D017ED"/>
    <w:rsid w:val="00D153B1"/>
    <w:rsid w:val="00D1722D"/>
    <w:rsid w:val="00D20104"/>
    <w:rsid w:val="00D224FE"/>
    <w:rsid w:val="00D229BA"/>
    <w:rsid w:val="00D25FC2"/>
    <w:rsid w:val="00D2665E"/>
    <w:rsid w:val="00D26B84"/>
    <w:rsid w:val="00D360CE"/>
    <w:rsid w:val="00D433BD"/>
    <w:rsid w:val="00D50B6F"/>
    <w:rsid w:val="00D5616E"/>
    <w:rsid w:val="00D634FE"/>
    <w:rsid w:val="00D6493E"/>
    <w:rsid w:val="00D65FB5"/>
    <w:rsid w:val="00D67F48"/>
    <w:rsid w:val="00D75081"/>
    <w:rsid w:val="00D76930"/>
    <w:rsid w:val="00D85AC0"/>
    <w:rsid w:val="00D93CA8"/>
    <w:rsid w:val="00D96868"/>
    <w:rsid w:val="00D96EDB"/>
    <w:rsid w:val="00DA1124"/>
    <w:rsid w:val="00DA1DEF"/>
    <w:rsid w:val="00DA3043"/>
    <w:rsid w:val="00DA5D5C"/>
    <w:rsid w:val="00DB7960"/>
    <w:rsid w:val="00DD24F8"/>
    <w:rsid w:val="00DD4C9F"/>
    <w:rsid w:val="00DD75A3"/>
    <w:rsid w:val="00DD7A91"/>
    <w:rsid w:val="00DE02AE"/>
    <w:rsid w:val="00DE3429"/>
    <w:rsid w:val="00DE6A0C"/>
    <w:rsid w:val="00DE6C04"/>
    <w:rsid w:val="00DE75AC"/>
    <w:rsid w:val="00DF1D7F"/>
    <w:rsid w:val="00E02FB4"/>
    <w:rsid w:val="00E05005"/>
    <w:rsid w:val="00E06EE5"/>
    <w:rsid w:val="00E1340C"/>
    <w:rsid w:val="00E16218"/>
    <w:rsid w:val="00E20571"/>
    <w:rsid w:val="00E21651"/>
    <w:rsid w:val="00E235F7"/>
    <w:rsid w:val="00E239D4"/>
    <w:rsid w:val="00E23F67"/>
    <w:rsid w:val="00E305D0"/>
    <w:rsid w:val="00E32326"/>
    <w:rsid w:val="00E40B22"/>
    <w:rsid w:val="00E4146A"/>
    <w:rsid w:val="00E4588F"/>
    <w:rsid w:val="00E46147"/>
    <w:rsid w:val="00E46DA3"/>
    <w:rsid w:val="00E51164"/>
    <w:rsid w:val="00E56038"/>
    <w:rsid w:val="00E76CAD"/>
    <w:rsid w:val="00E8120B"/>
    <w:rsid w:val="00E81CCB"/>
    <w:rsid w:val="00E846FD"/>
    <w:rsid w:val="00E9322A"/>
    <w:rsid w:val="00EA16DE"/>
    <w:rsid w:val="00EA406B"/>
    <w:rsid w:val="00EA453A"/>
    <w:rsid w:val="00EB0798"/>
    <w:rsid w:val="00EB182C"/>
    <w:rsid w:val="00EB19F8"/>
    <w:rsid w:val="00EB40AD"/>
    <w:rsid w:val="00EB586E"/>
    <w:rsid w:val="00EB5FC8"/>
    <w:rsid w:val="00EB62B4"/>
    <w:rsid w:val="00EB764E"/>
    <w:rsid w:val="00EC1271"/>
    <w:rsid w:val="00EC4948"/>
    <w:rsid w:val="00ED0474"/>
    <w:rsid w:val="00ED0C8B"/>
    <w:rsid w:val="00ED5A41"/>
    <w:rsid w:val="00EE1482"/>
    <w:rsid w:val="00EE255A"/>
    <w:rsid w:val="00EF08ED"/>
    <w:rsid w:val="00EF0EAB"/>
    <w:rsid w:val="00EF47F3"/>
    <w:rsid w:val="00EF578B"/>
    <w:rsid w:val="00F033EC"/>
    <w:rsid w:val="00F03B6D"/>
    <w:rsid w:val="00F04F68"/>
    <w:rsid w:val="00F0627D"/>
    <w:rsid w:val="00F111FD"/>
    <w:rsid w:val="00F11A17"/>
    <w:rsid w:val="00F11E12"/>
    <w:rsid w:val="00F12670"/>
    <w:rsid w:val="00F12D1B"/>
    <w:rsid w:val="00F14B27"/>
    <w:rsid w:val="00F202AB"/>
    <w:rsid w:val="00F27204"/>
    <w:rsid w:val="00F3148D"/>
    <w:rsid w:val="00F31693"/>
    <w:rsid w:val="00F3255D"/>
    <w:rsid w:val="00F32702"/>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74CEE"/>
    <w:rsid w:val="00F80E40"/>
    <w:rsid w:val="00F8365F"/>
    <w:rsid w:val="00F8404D"/>
    <w:rsid w:val="00F87B87"/>
    <w:rsid w:val="00F9348A"/>
    <w:rsid w:val="00F93949"/>
    <w:rsid w:val="00F9445B"/>
    <w:rsid w:val="00FA3911"/>
    <w:rsid w:val="00FA4D6D"/>
    <w:rsid w:val="00FA5B82"/>
    <w:rsid w:val="00FA639E"/>
    <w:rsid w:val="00FB0DB5"/>
    <w:rsid w:val="00FB59CE"/>
    <w:rsid w:val="00FC03C8"/>
    <w:rsid w:val="00FC25E4"/>
    <w:rsid w:val="00FC260C"/>
    <w:rsid w:val="00FC3FFE"/>
    <w:rsid w:val="00FC4D4B"/>
    <w:rsid w:val="00FC4EF7"/>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76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8932F3"/>
    <w:pPr>
      <w:numPr>
        <w:numId w:val="4"/>
      </w:numPr>
    </w:pPr>
  </w:style>
  <w:style w:type="paragraph" w:styleId="ListBullet2">
    <w:name w:val="List Bullet 2"/>
    <w:basedOn w:val="Normal"/>
    <w:uiPriority w:val="1"/>
    <w:qFormat/>
    <w:rsid w:val="004B5A6B"/>
    <w:pPr>
      <w:numPr>
        <w:ilvl w:val="1"/>
        <w:numId w:val="4"/>
      </w:numPr>
    </w:pPr>
  </w:style>
  <w:style w:type="paragraph" w:styleId="ListBullet3">
    <w:name w:val="List Bullet 3"/>
    <w:basedOn w:val="Normal"/>
    <w:uiPriority w:val="1"/>
    <w:qFormat/>
    <w:rsid w:val="002B706C"/>
    <w:pPr>
      <w:numPr>
        <w:numId w:val="6"/>
      </w:numPr>
      <w:ind w:left="1276" w:hanging="425"/>
    </w:pPr>
  </w:style>
  <w:style w:type="numbering" w:customStyle="1" w:styleId="ListBullets">
    <w:name w:val="ListBullets"/>
    <w:uiPriority w:val="99"/>
    <w:locked/>
    <w:rsid w:val="00F3148D"/>
    <w:pPr>
      <w:numPr>
        <w:numId w:val="2"/>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5"/>
      </w:numPr>
    </w:pPr>
  </w:style>
  <w:style w:type="paragraph" w:customStyle="1" w:styleId="Numberbullet2">
    <w:name w:val="Number bullet 2"/>
    <w:basedOn w:val="ListBullet2"/>
    <w:uiPriority w:val="2"/>
    <w:qFormat/>
    <w:rsid w:val="00EE1482"/>
    <w:pPr>
      <w:numPr>
        <w:numId w:val="5"/>
      </w:numPr>
    </w:pPr>
  </w:style>
  <w:style w:type="paragraph" w:customStyle="1" w:styleId="Numberbullet3">
    <w:name w:val="Number bullet 3"/>
    <w:basedOn w:val="Normal"/>
    <w:uiPriority w:val="2"/>
    <w:qFormat/>
    <w:rsid w:val="004B4CB5"/>
    <w:pPr>
      <w:numPr>
        <w:numId w:val="7"/>
      </w:numPr>
      <w:ind w:left="1361" w:hanging="397"/>
    </w:pPr>
  </w:style>
  <w:style w:type="numbering" w:customStyle="1" w:styleId="NumberBullet">
    <w:name w:val="NumberBullet"/>
    <w:uiPriority w:val="99"/>
    <w:locked/>
    <w:rsid w:val="00F3148D"/>
    <w:pPr>
      <w:numPr>
        <w:numId w:val="3"/>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aliases w:val="List Paragraph1,Recommendation,List Paragraph11,Bullet point,Bullet 1,CV text,Dot pt,F5 List Paragraph,Indicator Text,L,List Paragraph Char Char Char,List Paragraph111,List Paragraph2,MAIN CONTENT,Normal numbered,Numbered Para 1,Body text"/>
    <w:basedOn w:val="Normal"/>
    <w:link w:val="ListParagraphChar"/>
    <w:qFormat/>
    <w:rsid w:val="00C76936"/>
    <w:pPr>
      <w:ind w:left="720"/>
      <w:contextualSpacing/>
    </w:pPr>
  </w:style>
  <w:style w:type="paragraph" w:customStyle="1" w:styleId="ActHead5">
    <w:name w:val="ActHead 5"/>
    <w:aliases w:val="s"/>
    <w:basedOn w:val="Normal"/>
    <w:next w:val="subsection"/>
    <w:link w:val="ActHead5Char"/>
    <w:qFormat/>
    <w:rsid w:val="00AA4C54"/>
    <w:pPr>
      <w:keepNext/>
      <w:keepLines/>
      <w:spacing w:before="280" w:after="0" w:line="240" w:lineRule="auto"/>
      <w:ind w:left="1134" w:hanging="1134"/>
      <w:outlineLvl w:val="4"/>
    </w:pPr>
    <w:rPr>
      <w:rFonts w:ascii="Times New Roman" w:eastAsia="Times New Roman" w:hAnsi="Times New Roman"/>
      <w:b/>
      <w:kern w:val="28"/>
      <w:sz w:val="24"/>
      <w:lang w:eastAsia="en-AU"/>
    </w:rPr>
  </w:style>
  <w:style w:type="character" w:customStyle="1" w:styleId="CharSectno">
    <w:name w:val="CharSectno"/>
    <w:basedOn w:val="DefaultParagraphFont"/>
    <w:qFormat/>
    <w:rsid w:val="00AA4C54"/>
  </w:style>
  <w:style w:type="paragraph" w:customStyle="1" w:styleId="subsection">
    <w:name w:val="subsection"/>
    <w:aliases w:val="ss"/>
    <w:basedOn w:val="Normal"/>
    <w:link w:val="subsectionChar"/>
    <w:rsid w:val="00AA4C54"/>
    <w:pPr>
      <w:tabs>
        <w:tab w:val="right" w:pos="1021"/>
      </w:tabs>
      <w:spacing w:before="180" w:after="0" w:line="240" w:lineRule="auto"/>
      <w:ind w:left="1134" w:hanging="1134"/>
    </w:pPr>
    <w:rPr>
      <w:rFonts w:ascii="Times New Roman" w:eastAsia="Times New Roman" w:hAnsi="Times New Roman"/>
      <w:lang w:eastAsia="en-AU"/>
    </w:rPr>
  </w:style>
  <w:style w:type="paragraph" w:customStyle="1" w:styleId="paragraphsub">
    <w:name w:val="paragraph(sub)"/>
    <w:aliases w:val="aa"/>
    <w:basedOn w:val="Normal"/>
    <w:rsid w:val="00AA4C54"/>
    <w:pPr>
      <w:tabs>
        <w:tab w:val="right" w:pos="1985"/>
      </w:tabs>
      <w:spacing w:before="40" w:after="0" w:line="240" w:lineRule="auto"/>
      <w:ind w:left="2098" w:hanging="2098"/>
    </w:pPr>
    <w:rPr>
      <w:rFonts w:ascii="Times New Roman" w:eastAsia="Times New Roman" w:hAnsi="Times New Roman"/>
      <w:lang w:eastAsia="en-AU"/>
    </w:rPr>
  </w:style>
  <w:style w:type="paragraph" w:customStyle="1" w:styleId="paragraph">
    <w:name w:val="paragraph"/>
    <w:aliases w:val="a"/>
    <w:basedOn w:val="Normal"/>
    <w:link w:val="paragraphChar"/>
    <w:rsid w:val="00AA4C54"/>
    <w:pPr>
      <w:tabs>
        <w:tab w:val="right" w:pos="1531"/>
      </w:tabs>
      <w:spacing w:before="40" w:after="0" w:line="240" w:lineRule="auto"/>
      <w:ind w:left="1644" w:hanging="1644"/>
    </w:pPr>
    <w:rPr>
      <w:rFonts w:ascii="Times New Roman" w:eastAsia="Times New Roman" w:hAnsi="Times New Roman"/>
      <w:lang w:eastAsia="en-AU"/>
    </w:rPr>
  </w:style>
  <w:style w:type="paragraph" w:customStyle="1" w:styleId="notetext">
    <w:name w:val="note(text)"/>
    <w:aliases w:val="n"/>
    <w:basedOn w:val="Normal"/>
    <w:link w:val="notetextChar"/>
    <w:rsid w:val="00AA4C54"/>
    <w:pPr>
      <w:spacing w:before="122" w:after="0" w:line="240" w:lineRule="auto"/>
      <w:ind w:left="1985" w:hanging="851"/>
    </w:pPr>
    <w:rPr>
      <w:rFonts w:ascii="Times New Roman" w:eastAsia="Times New Roman" w:hAnsi="Times New Roman"/>
      <w:sz w:val="18"/>
      <w:lang w:eastAsia="en-AU"/>
    </w:rPr>
  </w:style>
  <w:style w:type="character" w:customStyle="1" w:styleId="subsectionChar">
    <w:name w:val="subsection Char"/>
    <w:aliases w:val="ss Char"/>
    <w:basedOn w:val="DefaultParagraphFont"/>
    <w:link w:val="subsection"/>
    <w:rsid w:val="00AA4C54"/>
    <w:rPr>
      <w:rFonts w:ascii="Times New Roman" w:eastAsia="Times New Roman" w:hAnsi="Times New Roman"/>
      <w:sz w:val="22"/>
    </w:rPr>
  </w:style>
  <w:style w:type="character" w:customStyle="1" w:styleId="paragraphChar">
    <w:name w:val="paragraph Char"/>
    <w:aliases w:val="a Char"/>
    <w:basedOn w:val="DefaultParagraphFont"/>
    <w:link w:val="paragraph"/>
    <w:rsid w:val="00AA4C54"/>
    <w:rPr>
      <w:rFonts w:ascii="Times New Roman" w:eastAsia="Times New Roman" w:hAnsi="Times New Roman"/>
      <w:sz w:val="22"/>
    </w:rPr>
  </w:style>
  <w:style w:type="character" w:customStyle="1" w:styleId="notetextChar">
    <w:name w:val="note(text) Char"/>
    <w:aliases w:val="n Char"/>
    <w:basedOn w:val="DefaultParagraphFont"/>
    <w:link w:val="notetext"/>
    <w:rsid w:val="00AA4C54"/>
    <w:rPr>
      <w:rFonts w:ascii="Times New Roman" w:eastAsia="Times New Roman" w:hAnsi="Times New Roman"/>
      <w:sz w:val="18"/>
    </w:rPr>
  </w:style>
  <w:style w:type="character" w:customStyle="1" w:styleId="ActHead5Char">
    <w:name w:val="ActHead 5 Char"/>
    <w:aliases w:val="s Char"/>
    <w:link w:val="ActHead5"/>
    <w:locked/>
    <w:rsid w:val="00AA4C54"/>
    <w:rPr>
      <w:rFonts w:ascii="Times New Roman" w:eastAsia="Times New Roman" w:hAnsi="Times New Roman"/>
      <w:b/>
      <w:kern w:val="28"/>
      <w:sz w:val="24"/>
    </w:rPr>
  </w:style>
  <w:style w:type="character" w:customStyle="1" w:styleId="charsectno0">
    <w:name w:val="charsectno"/>
    <w:basedOn w:val="DefaultParagraphFont"/>
    <w:rsid w:val="00AA4C54"/>
  </w:style>
  <w:style w:type="character" w:customStyle="1" w:styleId="ListParagraphChar">
    <w:name w:val="List Paragraph Char"/>
    <w:aliases w:val="List Paragraph1 Char,Recommendation Char,List Paragraph11 Char,Bullet point Char,Bullet 1 Char,CV text Char,Dot pt Char,F5 List Paragraph Char,Indicator Text Char,L Char,List Paragraph Char Char Char Char,List Paragraph111 Char"/>
    <w:link w:val="ListParagraph"/>
    <w:qFormat/>
    <w:locked/>
    <w:rsid w:val="00EB764E"/>
    <w:rPr>
      <w:sz w:val="22"/>
      <w:lang w:eastAsia="en-US"/>
    </w:rPr>
  </w:style>
  <w:style w:type="paragraph" w:styleId="PlainText">
    <w:name w:val="Plain Text"/>
    <w:basedOn w:val="Normal"/>
    <w:link w:val="PlainTextChar"/>
    <w:uiPriority w:val="99"/>
    <w:semiHidden/>
    <w:unhideWhenUsed/>
    <w:rsid w:val="00A8068A"/>
    <w:pPr>
      <w:spacing w:before="0"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A8068A"/>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98215">
      <w:bodyDiv w:val="1"/>
      <w:marLeft w:val="0"/>
      <w:marRight w:val="0"/>
      <w:marTop w:val="0"/>
      <w:marBottom w:val="0"/>
      <w:divBdr>
        <w:top w:val="none" w:sz="0" w:space="0" w:color="auto"/>
        <w:left w:val="none" w:sz="0" w:space="0" w:color="auto"/>
        <w:bottom w:val="none" w:sz="0" w:space="0" w:color="auto"/>
        <w:right w:val="none" w:sz="0" w:space="0" w:color="auto"/>
      </w:divBdr>
    </w:div>
    <w:div w:id="335891217">
      <w:bodyDiv w:val="1"/>
      <w:marLeft w:val="0"/>
      <w:marRight w:val="0"/>
      <w:marTop w:val="0"/>
      <w:marBottom w:val="0"/>
      <w:divBdr>
        <w:top w:val="none" w:sz="0" w:space="0" w:color="auto"/>
        <w:left w:val="none" w:sz="0" w:space="0" w:color="auto"/>
        <w:bottom w:val="none" w:sz="0" w:space="0" w:color="auto"/>
        <w:right w:val="none" w:sz="0" w:space="0" w:color="auto"/>
      </w:divBdr>
      <w:divsChild>
        <w:div w:id="1416440073">
          <w:marLeft w:val="446"/>
          <w:marRight w:val="0"/>
          <w:marTop w:val="120"/>
          <w:marBottom w:val="0"/>
          <w:divBdr>
            <w:top w:val="none" w:sz="0" w:space="0" w:color="auto"/>
            <w:left w:val="none" w:sz="0" w:space="0" w:color="auto"/>
            <w:bottom w:val="none" w:sz="0" w:space="0" w:color="auto"/>
            <w:right w:val="none" w:sz="0" w:space="0" w:color="auto"/>
          </w:divBdr>
        </w:div>
        <w:div w:id="2102794993">
          <w:marLeft w:val="446"/>
          <w:marRight w:val="0"/>
          <w:marTop w:val="120"/>
          <w:marBottom w:val="0"/>
          <w:divBdr>
            <w:top w:val="none" w:sz="0" w:space="0" w:color="auto"/>
            <w:left w:val="none" w:sz="0" w:space="0" w:color="auto"/>
            <w:bottom w:val="none" w:sz="0" w:space="0" w:color="auto"/>
            <w:right w:val="none" w:sz="0" w:space="0" w:color="auto"/>
          </w:divBdr>
        </w:div>
        <w:div w:id="702171191">
          <w:marLeft w:val="446"/>
          <w:marRight w:val="0"/>
          <w:marTop w:val="120"/>
          <w:marBottom w:val="0"/>
          <w:divBdr>
            <w:top w:val="none" w:sz="0" w:space="0" w:color="auto"/>
            <w:left w:val="none" w:sz="0" w:space="0" w:color="auto"/>
            <w:bottom w:val="none" w:sz="0" w:space="0" w:color="auto"/>
            <w:right w:val="none" w:sz="0" w:space="0" w:color="auto"/>
          </w:divBdr>
        </w:div>
      </w:divsChild>
    </w:div>
    <w:div w:id="426736474">
      <w:bodyDiv w:val="1"/>
      <w:marLeft w:val="0"/>
      <w:marRight w:val="0"/>
      <w:marTop w:val="0"/>
      <w:marBottom w:val="0"/>
      <w:divBdr>
        <w:top w:val="none" w:sz="0" w:space="0" w:color="auto"/>
        <w:left w:val="none" w:sz="0" w:space="0" w:color="auto"/>
        <w:bottom w:val="none" w:sz="0" w:space="0" w:color="auto"/>
        <w:right w:val="none" w:sz="0" w:space="0" w:color="auto"/>
      </w:divBdr>
    </w:div>
    <w:div w:id="479883821">
      <w:bodyDiv w:val="1"/>
      <w:marLeft w:val="0"/>
      <w:marRight w:val="0"/>
      <w:marTop w:val="0"/>
      <w:marBottom w:val="0"/>
      <w:divBdr>
        <w:top w:val="none" w:sz="0" w:space="0" w:color="auto"/>
        <w:left w:val="none" w:sz="0" w:space="0" w:color="auto"/>
        <w:bottom w:val="none" w:sz="0" w:space="0" w:color="auto"/>
        <w:right w:val="none" w:sz="0" w:space="0" w:color="auto"/>
      </w:divBdr>
    </w:div>
    <w:div w:id="631325045">
      <w:bodyDiv w:val="1"/>
      <w:marLeft w:val="0"/>
      <w:marRight w:val="0"/>
      <w:marTop w:val="0"/>
      <w:marBottom w:val="0"/>
      <w:divBdr>
        <w:top w:val="none" w:sz="0" w:space="0" w:color="auto"/>
        <w:left w:val="none" w:sz="0" w:space="0" w:color="auto"/>
        <w:bottom w:val="none" w:sz="0" w:space="0" w:color="auto"/>
        <w:right w:val="none" w:sz="0" w:space="0" w:color="auto"/>
      </w:divBdr>
    </w:div>
    <w:div w:id="725034706">
      <w:bodyDiv w:val="1"/>
      <w:marLeft w:val="0"/>
      <w:marRight w:val="0"/>
      <w:marTop w:val="0"/>
      <w:marBottom w:val="0"/>
      <w:divBdr>
        <w:top w:val="none" w:sz="0" w:space="0" w:color="auto"/>
        <w:left w:val="none" w:sz="0" w:space="0" w:color="auto"/>
        <w:bottom w:val="none" w:sz="0" w:space="0" w:color="auto"/>
        <w:right w:val="none" w:sz="0" w:space="0" w:color="auto"/>
      </w:divBdr>
    </w:div>
    <w:div w:id="808985208">
      <w:bodyDiv w:val="1"/>
      <w:marLeft w:val="0"/>
      <w:marRight w:val="0"/>
      <w:marTop w:val="0"/>
      <w:marBottom w:val="0"/>
      <w:divBdr>
        <w:top w:val="none" w:sz="0" w:space="0" w:color="auto"/>
        <w:left w:val="none" w:sz="0" w:space="0" w:color="auto"/>
        <w:bottom w:val="none" w:sz="0" w:space="0" w:color="auto"/>
        <w:right w:val="none" w:sz="0" w:space="0" w:color="auto"/>
      </w:divBdr>
    </w:div>
    <w:div w:id="929117638">
      <w:bodyDiv w:val="1"/>
      <w:marLeft w:val="0"/>
      <w:marRight w:val="0"/>
      <w:marTop w:val="0"/>
      <w:marBottom w:val="0"/>
      <w:divBdr>
        <w:top w:val="none" w:sz="0" w:space="0" w:color="auto"/>
        <w:left w:val="none" w:sz="0" w:space="0" w:color="auto"/>
        <w:bottom w:val="none" w:sz="0" w:space="0" w:color="auto"/>
        <w:right w:val="none" w:sz="0" w:space="0" w:color="auto"/>
      </w:divBdr>
    </w:div>
    <w:div w:id="1129394947">
      <w:bodyDiv w:val="1"/>
      <w:marLeft w:val="0"/>
      <w:marRight w:val="0"/>
      <w:marTop w:val="0"/>
      <w:marBottom w:val="0"/>
      <w:divBdr>
        <w:top w:val="none" w:sz="0" w:space="0" w:color="auto"/>
        <w:left w:val="none" w:sz="0" w:space="0" w:color="auto"/>
        <w:bottom w:val="none" w:sz="0" w:space="0" w:color="auto"/>
        <w:right w:val="none" w:sz="0" w:space="0" w:color="auto"/>
      </w:divBdr>
    </w:div>
    <w:div w:id="1343123087">
      <w:bodyDiv w:val="1"/>
      <w:marLeft w:val="0"/>
      <w:marRight w:val="0"/>
      <w:marTop w:val="0"/>
      <w:marBottom w:val="0"/>
      <w:divBdr>
        <w:top w:val="none" w:sz="0" w:space="0" w:color="auto"/>
        <w:left w:val="none" w:sz="0" w:space="0" w:color="auto"/>
        <w:bottom w:val="none" w:sz="0" w:space="0" w:color="auto"/>
        <w:right w:val="none" w:sz="0" w:space="0" w:color="auto"/>
      </w:divBdr>
    </w:div>
    <w:div w:id="1423600676">
      <w:bodyDiv w:val="1"/>
      <w:marLeft w:val="0"/>
      <w:marRight w:val="0"/>
      <w:marTop w:val="0"/>
      <w:marBottom w:val="0"/>
      <w:divBdr>
        <w:top w:val="none" w:sz="0" w:space="0" w:color="auto"/>
        <w:left w:val="none" w:sz="0" w:space="0" w:color="auto"/>
        <w:bottom w:val="none" w:sz="0" w:space="0" w:color="auto"/>
        <w:right w:val="none" w:sz="0" w:space="0" w:color="auto"/>
      </w:divBdr>
    </w:div>
    <w:div w:id="1473675198">
      <w:bodyDiv w:val="1"/>
      <w:marLeft w:val="0"/>
      <w:marRight w:val="0"/>
      <w:marTop w:val="0"/>
      <w:marBottom w:val="0"/>
      <w:divBdr>
        <w:top w:val="none" w:sz="0" w:space="0" w:color="auto"/>
        <w:left w:val="none" w:sz="0" w:space="0" w:color="auto"/>
        <w:bottom w:val="none" w:sz="0" w:space="0" w:color="auto"/>
        <w:right w:val="none" w:sz="0" w:space="0" w:color="auto"/>
      </w:divBdr>
    </w:div>
    <w:div w:id="1490557490">
      <w:bodyDiv w:val="1"/>
      <w:marLeft w:val="0"/>
      <w:marRight w:val="0"/>
      <w:marTop w:val="0"/>
      <w:marBottom w:val="0"/>
      <w:divBdr>
        <w:top w:val="none" w:sz="0" w:space="0" w:color="auto"/>
        <w:left w:val="none" w:sz="0" w:space="0" w:color="auto"/>
        <w:bottom w:val="none" w:sz="0" w:space="0" w:color="auto"/>
        <w:right w:val="none" w:sz="0" w:space="0" w:color="auto"/>
      </w:divBdr>
    </w:div>
    <w:div w:id="1665011739">
      <w:bodyDiv w:val="1"/>
      <w:marLeft w:val="0"/>
      <w:marRight w:val="0"/>
      <w:marTop w:val="0"/>
      <w:marBottom w:val="0"/>
      <w:divBdr>
        <w:top w:val="none" w:sz="0" w:space="0" w:color="auto"/>
        <w:left w:val="none" w:sz="0" w:space="0" w:color="auto"/>
        <w:bottom w:val="none" w:sz="0" w:space="0" w:color="auto"/>
        <w:right w:val="none" w:sz="0" w:space="0" w:color="auto"/>
      </w:divBdr>
    </w:div>
    <w:div w:id="1809325249">
      <w:bodyDiv w:val="1"/>
      <w:marLeft w:val="0"/>
      <w:marRight w:val="0"/>
      <w:marTop w:val="0"/>
      <w:marBottom w:val="0"/>
      <w:divBdr>
        <w:top w:val="none" w:sz="0" w:space="0" w:color="auto"/>
        <w:left w:val="none" w:sz="0" w:space="0" w:color="auto"/>
        <w:bottom w:val="none" w:sz="0" w:space="0" w:color="auto"/>
        <w:right w:val="none" w:sz="0" w:space="0" w:color="auto"/>
      </w:divBdr>
    </w:div>
    <w:div w:id="1973098166">
      <w:bodyDiv w:val="1"/>
      <w:marLeft w:val="0"/>
      <w:marRight w:val="0"/>
      <w:marTop w:val="0"/>
      <w:marBottom w:val="0"/>
      <w:divBdr>
        <w:top w:val="none" w:sz="0" w:space="0" w:color="auto"/>
        <w:left w:val="none" w:sz="0" w:space="0" w:color="auto"/>
        <w:bottom w:val="none" w:sz="0" w:space="0" w:color="auto"/>
        <w:right w:val="none" w:sz="0" w:space="0" w:color="auto"/>
      </w:divBdr>
    </w:div>
    <w:div w:id="2074498539">
      <w:bodyDiv w:val="1"/>
      <w:marLeft w:val="0"/>
      <w:marRight w:val="0"/>
      <w:marTop w:val="0"/>
      <w:marBottom w:val="0"/>
      <w:divBdr>
        <w:top w:val="none" w:sz="0" w:space="0" w:color="auto"/>
        <w:left w:val="none" w:sz="0" w:space="0" w:color="auto"/>
        <w:bottom w:val="none" w:sz="0" w:space="0" w:color="auto"/>
        <w:right w:val="none" w:sz="0" w:space="0" w:color="auto"/>
      </w:divBdr>
    </w:div>
    <w:div w:id="21176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gov.au/Series/F2002B00237" TargetMode="External"/><Relationship Id="rId18" Type="http://schemas.openxmlformats.org/officeDocument/2006/relationships/hyperlink" Target="https://www.tga.gov.au/resource/personalised-medical-devices-including-3d-printed-device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tga.gov.au/publication/uniform-recall-procedure-therapeutic-goods-urpt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legislation.gov.au/Details/F2019L01660/Download" TargetMode="External"/><Relationship Id="rId25" Type="http://schemas.openxmlformats.org/officeDocument/2006/relationships/hyperlink" Target="mailto:personalise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consultation/consultation-proposed-regulatory-scheme-personalised-medical-devices-including-3d-printed-devices" TargetMode="External"/><Relationship Id="rId20" Type="http://schemas.openxmlformats.org/officeDocument/2006/relationships/hyperlink" Target="https://www.tga.gov.au/reporting-adverse-events" TargetMode="External"/><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onsultations.health.gov.au/tga/proposed-refinements-to-the-regulation-of-pmd"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tga.gov.au/consultation/consultation-proposed-regulatory-changes-related-personalised-and-3d-printed-medical-devices" TargetMode="External"/><Relationship Id="rId23" Type="http://schemas.openxmlformats.org/officeDocument/2006/relationships/hyperlink" Target="https://www.tga.gov.au/publication/uniform-recall-procedure-therapeutic-goods-urptg" TargetMode="Externa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tga.gov.au/medical-devices-reforms-personalised-medical-devices"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Series/C2004A03952" TargetMode="External"/><Relationship Id="rId22" Type="http://schemas.openxmlformats.org/officeDocument/2006/relationships/image" Target="media/image4.png"/><Relationship Id="rId27" Type="http://schemas.openxmlformats.org/officeDocument/2006/relationships/footer" Target="footer3.xml"/><Relationship Id="rId30" Type="http://schemas.openxmlformats.org/officeDocument/2006/relationships/hyperlink" Target="https://www.tga.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gate.net/publication/341352795_ADVERSE_EVENTS_IN_DENTAL_PRACTICE_AND_HOW_TO_PREVENT_IT" TargetMode="External"/><Relationship Id="rId1" Type="http://schemas.openxmlformats.org/officeDocument/2006/relationships/hyperlink" Target="http://www.aae.org/specialty/wp-content/uploads/sites/2/2017/06/jada_dangers_of_dental_devic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2F9A4-8D5A-42F0-9E9F-709EE669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6180</Words>
  <Characters>35725</Characters>
  <Application>Microsoft Office Word</Application>
  <DocSecurity>0</DocSecurity>
  <Lines>729</Lines>
  <Paragraphs>419</Paragraphs>
  <ScaleCrop>false</ScaleCrop>
  <Company/>
  <LinksUpToDate>false</LinksUpToDate>
  <CharactersWithSpaces>41486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2021-06-07T11:56:00Z</dcterms:created>
  <dcterms:modified xsi:type="dcterms:W3CDTF">2021-06-07T11:56:00Z</dcterms:modified>
</cp:coreProperties>
</file>