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0C8B" w:rsidRPr="003D7768" w14:paraId="67623023" w14:textId="77777777" w:rsidTr="00ED0C8B">
        <w:tc>
          <w:tcPr>
            <w:tcW w:w="8720" w:type="dxa"/>
          </w:tcPr>
          <w:p w14:paraId="28F202CD" w14:textId="557E5982" w:rsidR="001D480A" w:rsidRPr="003D7768" w:rsidRDefault="005248DA" w:rsidP="00812C5B">
            <w:pPr>
              <w:pStyle w:val="Title"/>
              <w:rPr>
                <w:color w:val="000000"/>
              </w:rPr>
            </w:pPr>
            <w:r w:rsidRPr="003D7768">
              <w:rPr>
                <w:color w:val="000000"/>
              </w:rPr>
              <w:t xml:space="preserve">Consultation: </w:t>
            </w:r>
            <w:r w:rsidR="00942714" w:rsidRPr="003D7768">
              <w:rPr>
                <w:color w:val="000000"/>
              </w:rPr>
              <w:t>Scope of regulated software</w:t>
            </w:r>
            <w:r w:rsidR="00616BC4" w:rsidRPr="003D7768">
              <w:rPr>
                <w:color w:val="000000"/>
              </w:rPr>
              <w:t>-based products</w:t>
            </w:r>
          </w:p>
        </w:tc>
      </w:tr>
      <w:tr w:rsidR="00ED0C8B" w:rsidRPr="003D7768" w14:paraId="1C9E00CD" w14:textId="77777777" w:rsidTr="00ED0C8B">
        <w:tc>
          <w:tcPr>
            <w:tcW w:w="8720" w:type="dxa"/>
          </w:tcPr>
          <w:p w14:paraId="3CDD9B5D" w14:textId="03FF198A" w:rsidR="00ED0C8B" w:rsidRPr="003D7768" w:rsidRDefault="003C1E15" w:rsidP="003C1E15">
            <w:pPr>
              <w:pStyle w:val="Date"/>
              <w:framePr w:hSpace="0" w:wrap="auto" w:vAnchor="margin" w:hAnchor="text" w:yAlign="inline"/>
              <w:rPr>
                <w:color w:val="000000"/>
              </w:rPr>
            </w:pPr>
            <w:r>
              <w:rPr>
                <w:color w:val="000000"/>
              </w:rPr>
              <w:t>March</w:t>
            </w:r>
            <w:r w:rsidR="00942714" w:rsidRPr="003D7768">
              <w:rPr>
                <w:color w:val="000000"/>
              </w:rPr>
              <w:t xml:space="preserve"> 2020</w:t>
            </w:r>
          </w:p>
        </w:tc>
      </w:tr>
    </w:tbl>
    <w:p w14:paraId="74916CEB" w14:textId="77777777" w:rsidR="00BA6FF1" w:rsidRPr="003D7768" w:rsidRDefault="00BA6FF1" w:rsidP="007C7B5B">
      <w:pPr>
        <w:rPr>
          <w:color w:val="000000"/>
          <w:lang w:eastAsia="en-AU"/>
        </w:rPr>
      </w:pPr>
    </w:p>
    <w:p w14:paraId="0A0C7946" w14:textId="77777777" w:rsidR="001D480A" w:rsidRPr="003D7768" w:rsidRDefault="001D480A" w:rsidP="0054583D">
      <w:pPr>
        <w:rPr>
          <w:color w:val="000000"/>
          <w:lang w:eastAsia="en-AU"/>
        </w:rPr>
        <w:sectPr w:rsidR="001D480A" w:rsidRPr="003D7768" w:rsidSect="00F8404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923" w:right="1418" w:bottom="709" w:left="1418" w:header="998" w:footer="0" w:gutter="0"/>
          <w:cols w:space="708"/>
          <w:titlePg/>
          <w:docGrid w:linePitch="360"/>
        </w:sectPr>
      </w:pPr>
    </w:p>
    <w:p w14:paraId="1B951653" w14:textId="77777777" w:rsidR="00BA6FF1" w:rsidRPr="003D7768" w:rsidRDefault="00BA6FF1" w:rsidP="00FE1941">
      <w:pPr>
        <w:pStyle w:val="LegalSubheading"/>
        <w:pageBreakBefore/>
        <w:rPr>
          <w:color w:val="000000"/>
        </w:rPr>
      </w:pPr>
      <w:r w:rsidRPr="003D7768">
        <w:rPr>
          <w:color w:val="000000"/>
        </w:rPr>
        <w:lastRenderedPageBreak/>
        <w:t>Copyright</w:t>
      </w:r>
    </w:p>
    <w:p w14:paraId="418621DA" w14:textId="76A337B7" w:rsidR="00611B57" w:rsidRPr="003D7768" w:rsidRDefault="00A10922" w:rsidP="00FE1941">
      <w:pPr>
        <w:pStyle w:val="LegalCopy"/>
        <w:spacing w:after="0"/>
        <w:rPr>
          <w:color w:val="000000"/>
        </w:rPr>
      </w:pPr>
      <w:r w:rsidRPr="003D7768">
        <w:rPr>
          <w:color w:val="000000"/>
        </w:rPr>
        <w:t>© Commonwealth of Australia 2020</w:t>
      </w:r>
      <w:r w:rsidR="00EA453A" w:rsidRPr="003D7768">
        <w:rPr>
          <w:color w:val="000000"/>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EA453A" w:rsidRPr="003D7768">
        <w:rPr>
          <w:i/>
          <w:color w:val="000000"/>
        </w:rPr>
        <w:t>Copyright Act 1968</w:t>
      </w:r>
      <w:r w:rsidR="00EA453A" w:rsidRPr="003D7768">
        <w:rPr>
          <w:color w:val="000000"/>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w:t>
      </w:r>
      <w:r w:rsidR="00465404" w:rsidRPr="009401F6">
        <w:t>100, Woden ACT 2606 or emailed to &lt;</w:t>
      </w:r>
      <w:hyperlink r:id="rId14" w:history="1">
        <w:r w:rsidR="00465404" w:rsidRPr="009401F6">
          <w:rPr>
            <w:rStyle w:val="Hyperlink"/>
            <w:rFonts w:cs="Arial"/>
          </w:rPr>
          <w:t>tga.copyright@tga.gov.au</w:t>
        </w:r>
      </w:hyperlink>
      <w:r w:rsidR="00465404" w:rsidRPr="009401F6">
        <w:t>&gt;</w:t>
      </w:r>
    </w:p>
    <w:p w14:paraId="51CD8EC5" w14:textId="77777777" w:rsidR="008D2B09" w:rsidRPr="003D7768" w:rsidRDefault="008D2B09" w:rsidP="00611B57">
      <w:pPr>
        <w:pStyle w:val="LegalSubheading"/>
        <w:rPr>
          <w:color w:val="000000"/>
        </w:rPr>
      </w:pPr>
      <w:r w:rsidRPr="003D7768">
        <w:rPr>
          <w:color w:val="000000"/>
        </w:rPr>
        <w:t>Confidentiality</w:t>
      </w:r>
    </w:p>
    <w:p w14:paraId="55EB0EF4" w14:textId="77777777" w:rsidR="00F8365F" w:rsidRPr="003D7768" w:rsidRDefault="008D2B09" w:rsidP="002E68C7">
      <w:pPr>
        <w:pStyle w:val="LegalCopy"/>
        <w:rPr>
          <w:color w:val="000000"/>
          <w:lang w:eastAsia="en-AU"/>
        </w:rPr>
      </w:pPr>
      <w:r w:rsidRPr="003D7768">
        <w:rPr>
          <w:color w:val="000000"/>
          <w:lang w:eastAsia="en-AU"/>
        </w:rPr>
        <w:t>All submissions received will be placed on the TGA’s Internet site, unless marked confidential. Any confidential</w:t>
      </w:r>
      <w:r w:rsidR="00907ACE" w:rsidRPr="003D7768">
        <w:rPr>
          <w:color w:val="000000"/>
          <w:lang w:eastAsia="en-AU"/>
        </w:rPr>
        <w:t xml:space="preserve"> </w:t>
      </w:r>
      <w:r w:rsidRPr="003D7768">
        <w:rPr>
          <w:color w:val="000000"/>
          <w:lang w:eastAsia="en-AU"/>
        </w:rPr>
        <w:t>material contained within your submission should be provided under a separate cover and clearly marked</w:t>
      </w:r>
      <w:r w:rsidR="00907ACE" w:rsidRPr="003D7768">
        <w:rPr>
          <w:color w:val="000000"/>
          <w:lang w:eastAsia="en-AU"/>
        </w:rPr>
        <w:t xml:space="preserve"> </w:t>
      </w:r>
      <w:r w:rsidRPr="003D7768">
        <w:rPr>
          <w:color w:val="000000"/>
          <w:lang w:eastAsia="en-AU"/>
        </w:rPr>
        <w:t>“IN CONFIDENCE”. Reasons for a claim to confidentiality must be included in the space provided on the TGA</w:t>
      </w:r>
      <w:r w:rsidR="00907ACE" w:rsidRPr="003D7768">
        <w:rPr>
          <w:color w:val="000000"/>
          <w:lang w:eastAsia="en-AU"/>
        </w:rPr>
        <w:t xml:space="preserve"> </w:t>
      </w:r>
      <w:r w:rsidRPr="003D7768">
        <w:rPr>
          <w:color w:val="000000"/>
          <w:lang w:eastAsia="en-AU"/>
        </w:rPr>
        <w:t xml:space="preserve">submission </w:t>
      </w:r>
      <w:r w:rsidR="003C7461" w:rsidRPr="003D7768">
        <w:rPr>
          <w:color w:val="000000"/>
          <w:lang w:eastAsia="en-AU"/>
        </w:rPr>
        <w:t>form</w:t>
      </w:r>
      <w:r w:rsidRPr="003D7768">
        <w:rPr>
          <w:color w:val="000000"/>
          <w:lang w:eastAsia="en-AU"/>
        </w:rPr>
        <w:t>.</w:t>
      </w:r>
      <w:r w:rsidR="00611B57" w:rsidRPr="003D7768">
        <w:rPr>
          <w:color w:val="000000"/>
          <w:lang w:eastAsia="en-AU"/>
        </w:rPr>
        <w:t xml:space="preserve"> </w:t>
      </w:r>
      <w:r w:rsidRPr="003D7768">
        <w:rPr>
          <w:color w:val="000000"/>
          <w:lang w:eastAsia="en-AU"/>
        </w:rPr>
        <w:t>For submission made by individuals, all personal details, other than your name, will be removed from your</w:t>
      </w:r>
      <w:r w:rsidR="00611B57" w:rsidRPr="003D7768">
        <w:rPr>
          <w:color w:val="000000"/>
          <w:lang w:eastAsia="en-AU"/>
        </w:rPr>
        <w:t xml:space="preserve"> </w:t>
      </w:r>
      <w:r w:rsidRPr="003D7768">
        <w:rPr>
          <w:color w:val="000000"/>
          <w:lang w:eastAsia="en-AU"/>
        </w:rPr>
        <w:t>submission before it is published on the TGA’s Internet site.</w:t>
      </w:r>
      <w:r w:rsidR="00611B57" w:rsidRPr="003D7768">
        <w:rPr>
          <w:color w:val="000000"/>
          <w:lang w:eastAsia="en-AU"/>
        </w:rPr>
        <w:t xml:space="preserve"> </w:t>
      </w:r>
      <w:r w:rsidRPr="003D7768">
        <w:rPr>
          <w:color w:val="000000"/>
          <w:lang w:eastAsia="en-AU"/>
        </w:rPr>
        <w:t>In addition, a list of parties making submissions will be published. If you do not wish to be identified with your</w:t>
      </w:r>
      <w:r w:rsidR="00611B57" w:rsidRPr="003D7768">
        <w:rPr>
          <w:color w:val="000000"/>
          <w:lang w:eastAsia="en-AU"/>
        </w:rPr>
        <w:t xml:space="preserve"> </w:t>
      </w:r>
      <w:r w:rsidRPr="003D7768">
        <w:rPr>
          <w:color w:val="000000"/>
          <w:lang w:eastAsia="en-AU"/>
        </w:rPr>
        <w:t xml:space="preserve">submission you must specifically request this in the space provided on the submission </w:t>
      </w:r>
      <w:r w:rsidR="003C7461" w:rsidRPr="003D7768">
        <w:rPr>
          <w:color w:val="000000"/>
          <w:lang w:eastAsia="en-AU"/>
        </w:rPr>
        <w:t>form.</w:t>
      </w:r>
      <w:bookmarkStart w:id="0" w:name="_Toc323738670"/>
    </w:p>
    <w:sdt>
      <w:sdtPr>
        <w:rPr>
          <w:rFonts w:ascii="Cambria" w:hAnsi="Cambria"/>
          <w:b w:val="0"/>
          <w:color w:val="000000"/>
          <w:sz w:val="22"/>
        </w:rPr>
        <w:id w:val="3701955"/>
        <w:docPartObj>
          <w:docPartGallery w:val="Table of Contents"/>
          <w:docPartUnique/>
        </w:docPartObj>
      </w:sdtPr>
      <w:sdtEndPr/>
      <w:sdtContent>
        <w:p w14:paraId="35A99C5B" w14:textId="77777777" w:rsidR="00B92C72" w:rsidRPr="003D7768" w:rsidRDefault="00B92C72" w:rsidP="00B92C72">
          <w:pPr>
            <w:pStyle w:val="NonTOCheading2"/>
            <w:rPr>
              <w:color w:val="000000"/>
            </w:rPr>
          </w:pPr>
          <w:r w:rsidRPr="003D7768">
            <w:rPr>
              <w:color w:val="000000"/>
            </w:rPr>
            <w:t>Contents</w:t>
          </w:r>
        </w:p>
        <w:p w14:paraId="7B910FB2" w14:textId="45EC7D29" w:rsidR="004E7CA2" w:rsidRDefault="006C626D">
          <w:pPr>
            <w:pStyle w:val="TOC1"/>
            <w:rPr>
              <w:rFonts w:asciiTheme="minorHAnsi" w:eastAsiaTheme="minorEastAsia" w:hAnsiTheme="minorHAnsi" w:cstheme="minorBidi"/>
              <w:b w:val="0"/>
              <w:noProof/>
              <w:sz w:val="22"/>
              <w:szCs w:val="22"/>
              <w:lang w:eastAsia="en-AU"/>
            </w:rPr>
          </w:pPr>
          <w:r w:rsidRPr="003D7768">
            <w:rPr>
              <w:color w:val="000000"/>
            </w:rPr>
            <w:fldChar w:fldCharType="begin"/>
          </w:r>
          <w:r w:rsidR="00B92C72" w:rsidRPr="003D7768">
            <w:rPr>
              <w:color w:val="000000"/>
            </w:rPr>
            <w:instrText xml:space="preserve"> TOC \h \z \u \t "Heading 2,1,Heading 3,2,Heading 4,3" </w:instrText>
          </w:r>
          <w:r w:rsidRPr="003D7768">
            <w:rPr>
              <w:color w:val="000000"/>
            </w:rPr>
            <w:fldChar w:fldCharType="separate"/>
          </w:r>
          <w:hyperlink w:anchor="_Toc35874411" w:history="1">
            <w:r w:rsidR="004E7CA2" w:rsidRPr="000C73DC">
              <w:rPr>
                <w:rStyle w:val="Hyperlink"/>
                <w:noProof/>
              </w:rPr>
              <w:t>Introduction</w:t>
            </w:r>
            <w:r w:rsidR="004E7CA2">
              <w:rPr>
                <w:noProof/>
                <w:webHidden/>
              </w:rPr>
              <w:tab/>
            </w:r>
            <w:r w:rsidR="004E7CA2">
              <w:rPr>
                <w:noProof/>
                <w:webHidden/>
              </w:rPr>
              <w:fldChar w:fldCharType="begin"/>
            </w:r>
            <w:r w:rsidR="004E7CA2">
              <w:rPr>
                <w:noProof/>
                <w:webHidden/>
              </w:rPr>
              <w:instrText xml:space="preserve"> PAGEREF _Toc35874411 \h </w:instrText>
            </w:r>
            <w:r w:rsidR="004E7CA2">
              <w:rPr>
                <w:noProof/>
                <w:webHidden/>
              </w:rPr>
            </w:r>
            <w:r w:rsidR="004E7CA2">
              <w:rPr>
                <w:noProof/>
                <w:webHidden/>
              </w:rPr>
              <w:fldChar w:fldCharType="separate"/>
            </w:r>
            <w:r w:rsidR="004E7CA2">
              <w:rPr>
                <w:noProof/>
                <w:webHidden/>
              </w:rPr>
              <w:t>4</w:t>
            </w:r>
            <w:r w:rsidR="004E7CA2">
              <w:rPr>
                <w:noProof/>
                <w:webHidden/>
              </w:rPr>
              <w:fldChar w:fldCharType="end"/>
            </w:r>
          </w:hyperlink>
        </w:p>
        <w:p w14:paraId="07140FE9" w14:textId="520A6719" w:rsidR="004E7CA2" w:rsidRDefault="00592EF0">
          <w:pPr>
            <w:pStyle w:val="TOC2"/>
            <w:rPr>
              <w:rFonts w:asciiTheme="minorHAnsi" w:eastAsiaTheme="minorEastAsia" w:hAnsiTheme="minorHAnsi" w:cstheme="minorBidi"/>
              <w:b w:val="0"/>
              <w:noProof/>
              <w:sz w:val="22"/>
              <w:szCs w:val="22"/>
              <w:lang w:eastAsia="en-AU"/>
            </w:rPr>
          </w:pPr>
          <w:hyperlink w:anchor="_Toc35874412" w:history="1">
            <w:r w:rsidR="004E7CA2" w:rsidRPr="000C73DC">
              <w:rPr>
                <w:rStyle w:val="Hyperlink"/>
                <w:noProof/>
              </w:rPr>
              <w:t>Background</w:t>
            </w:r>
            <w:r w:rsidR="004E7CA2">
              <w:rPr>
                <w:noProof/>
                <w:webHidden/>
              </w:rPr>
              <w:tab/>
            </w:r>
            <w:r w:rsidR="004E7CA2">
              <w:rPr>
                <w:noProof/>
                <w:webHidden/>
              </w:rPr>
              <w:fldChar w:fldCharType="begin"/>
            </w:r>
            <w:r w:rsidR="004E7CA2">
              <w:rPr>
                <w:noProof/>
                <w:webHidden/>
              </w:rPr>
              <w:instrText xml:space="preserve"> PAGEREF _Toc35874412 \h </w:instrText>
            </w:r>
            <w:r w:rsidR="004E7CA2">
              <w:rPr>
                <w:noProof/>
                <w:webHidden/>
              </w:rPr>
            </w:r>
            <w:r w:rsidR="004E7CA2">
              <w:rPr>
                <w:noProof/>
                <w:webHidden/>
              </w:rPr>
              <w:fldChar w:fldCharType="separate"/>
            </w:r>
            <w:r w:rsidR="004E7CA2">
              <w:rPr>
                <w:noProof/>
                <w:webHidden/>
              </w:rPr>
              <w:t>4</w:t>
            </w:r>
            <w:r w:rsidR="004E7CA2">
              <w:rPr>
                <w:noProof/>
                <w:webHidden/>
              </w:rPr>
              <w:fldChar w:fldCharType="end"/>
            </w:r>
          </w:hyperlink>
        </w:p>
        <w:p w14:paraId="27B31505" w14:textId="7040570D" w:rsidR="004E7CA2" w:rsidRDefault="00592EF0">
          <w:pPr>
            <w:pStyle w:val="TOC3"/>
            <w:rPr>
              <w:rFonts w:asciiTheme="minorHAnsi" w:eastAsiaTheme="minorEastAsia" w:hAnsiTheme="minorHAnsi" w:cstheme="minorBidi"/>
              <w:b w:val="0"/>
              <w:noProof/>
              <w:szCs w:val="22"/>
              <w:lang w:eastAsia="en-AU"/>
            </w:rPr>
          </w:pPr>
          <w:hyperlink w:anchor="_Toc35874413" w:history="1">
            <w:r w:rsidR="004E7CA2" w:rsidRPr="000C73DC">
              <w:rPr>
                <w:rStyle w:val="Hyperlink"/>
                <w:noProof/>
              </w:rPr>
              <w:t>Consultation on the regulation of software-based medical devices</w:t>
            </w:r>
            <w:r w:rsidR="004E7CA2">
              <w:rPr>
                <w:noProof/>
                <w:webHidden/>
              </w:rPr>
              <w:tab/>
            </w:r>
            <w:r w:rsidR="004E7CA2">
              <w:rPr>
                <w:noProof/>
                <w:webHidden/>
              </w:rPr>
              <w:fldChar w:fldCharType="begin"/>
            </w:r>
            <w:r w:rsidR="004E7CA2">
              <w:rPr>
                <w:noProof/>
                <w:webHidden/>
              </w:rPr>
              <w:instrText xml:space="preserve"> PAGEREF _Toc35874413 \h </w:instrText>
            </w:r>
            <w:r w:rsidR="004E7CA2">
              <w:rPr>
                <w:noProof/>
                <w:webHidden/>
              </w:rPr>
            </w:r>
            <w:r w:rsidR="004E7CA2">
              <w:rPr>
                <w:noProof/>
                <w:webHidden/>
              </w:rPr>
              <w:fldChar w:fldCharType="separate"/>
            </w:r>
            <w:r w:rsidR="004E7CA2">
              <w:rPr>
                <w:noProof/>
                <w:webHidden/>
              </w:rPr>
              <w:t>5</w:t>
            </w:r>
            <w:r w:rsidR="004E7CA2">
              <w:rPr>
                <w:noProof/>
                <w:webHidden/>
              </w:rPr>
              <w:fldChar w:fldCharType="end"/>
            </w:r>
          </w:hyperlink>
        </w:p>
        <w:p w14:paraId="1C3A1D36" w14:textId="44F05967" w:rsidR="004E7CA2" w:rsidRDefault="00592EF0">
          <w:pPr>
            <w:pStyle w:val="TOC3"/>
            <w:rPr>
              <w:rFonts w:asciiTheme="minorHAnsi" w:eastAsiaTheme="minorEastAsia" w:hAnsiTheme="minorHAnsi" w:cstheme="minorBidi"/>
              <w:b w:val="0"/>
              <w:noProof/>
              <w:szCs w:val="22"/>
              <w:lang w:eastAsia="en-AU"/>
            </w:rPr>
          </w:pPr>
          <w:hyperlink w:anchor="_Toc35874414" w:history="1">
            <w:r w:rsidR="004E7CA2" w:rsidRPr="000C73DC">
              <w:rPr>
                <w:rStyle w:val="Hyperlink"/>
                <w:noProof/>
              </w:rPr>
              <w:t>Summary of the new classification rules for software–based medical devices</w:t>
            </w:r>
            <w:r w:rsidR="004E7CA2">
              <w:rPr>
                <w:noProof/>
                <w:webHidden/>
              </w:rPr>
              <w:tab/>
            </w:r>
            <w:r w:rsidR="004E7CA2">
              <w:rPr>
                <w:noProof/>
                <w:webHidden/>
              </w:rPr>
              <w:fldChar w:fldCharType="begin"/>
            </w:r>
            <w:r w:rsidR="004E7CA2">
              <w:rPr>
                <w:noProof/>
                <w:webHidden/>
              </w:rPr>
              <w:instrText xml:space="preserve"> PAGEREF _Toc35874414 \h </w:instrText>
            </w:r>
            <w:r w:rsidR="004E7CA2">
              <w:rPr>
                <w:noProof/>
                <w:webHidden/>
              </w:rPr>
            </w:r>
            <w:r w:rsidR="004E7CA2">
              <w:rPr>
                <w:noProof/>
                <w:webHidden/>
              </w:rPr>
              <w:fldChar w:fldCharType="separate"/>
            </w:r>
            <w:r w:rsidR="004E7CA2">
              <w:rPr>
                <w:noProof/>
                <w:webHidden/>
              </w:rPr>
              <w:t>5</w:t>
            </w:r>
            <w:r w:rsidR="004E7CA2">
              <w:rPr>
                <w:noProof/>
                <w:webHidden/>
              </w:rPr>
              <w:fldChar w:fldCharType="end"/>
            </w:r>
          </w:hyperlink>
        </w:p>
        <w:p w14:paraId="7C7F6386" w14:textId="03CADCE0" w:rsidR="004E7CA2" w:rsidRDefault="00592EF0">
          <w:pPr>
            <w:pStyle w:val="TOC2"/>
            <w:rPr>
              <w:rFonts w:asciiTheme="minorHAnsi" w:eastAsiaTheme="minorEastAsia" w:hAnsiTheme="minorHAnsi" w:cstheme="minorBidi"/>
              <w:b w:val="0"/>
              <w:noProof/>
              <w:sz w:val="22"/>
              <w:szCs w:val="22"/>
              <w:lang w:eastAsia="en-AU"/>
            </w:rPr>
          </w:pPr>
          <w:hyperlink w:anchor="_Toc35874415" w:history="1">
            <w:r w:rsidR="004E7CA2" w:rsidRPr="000C73DC">
              <w:rPr>
                <w:rStyle w:val="Hyperlink"/>
                <w:noProof/>
              </w:rPr>
              <w:t>The problem</w:t>
            </w:r>
            <w:r w:rsidR="004E7CA2">
              <w:rPr>
                <w:noProof/>
                <w:webHidden/>
              </w:rPr>
              <w:tab/>
            </w:r>
            <w:r w:rsidR="004E7CA2">
              <w:rPr>
                <w:noProof/>
                <w:webHidden/>
              </w:rPr>
              <w:fldChar w:fldCharType="begin"/>
            </w:r>
            <w:r w:rsidR="004E7CA2">
              <w:rPr>
                <w:noProof/>
                <w:webHidden/>
              </w:rPr>
              <w:instrText xml:space="preserve"> PAGEREF _Toc35874415 \h </w:instrText>
            </w:r>
            <w:r w:rsidR="004E7CA2">
              <w:rPr>
                <w:noProof/>
                <w:webHidden/>
              </w:rPr>
            </w:r>
            <w:r w:rsidR="004E7CA2">
              <w:rPr>
                <w:noProof/>
                <w:webHidden/>
              </w:rPr>
              <w:fldChar w:fldCharType="separate"/>
            </w:r>
            <w:r w:rsidR="004E7CA2">
              <w:rPr>
                <w:noProof/>
                <w:webHidden/>
              </w:rPr>
              <w:t>7</w:t>
            </w:r>
            <w:r w:rsidR="004E7CA2">
              <w:rPr>
                <w:noProof/>
                <w:webHidden/>
              </w:rPr>
              <w:fldChar w:fldCharType="end"/>
            </w:r>
          </w:hyperlink>
        </w:p>
        <w:p w14:paraId="3E1A13C0" w14:textId="6DECB610" w:rsidR="004E7CA2" w:rsidRDefault="00592EF0">
          <w:pPr>
            <w:pStyle w:val="TOC2"/>
            <w:rPr>
              <w:rFonts w:asciiTheme="minorHAnsi" w:eastAsiaTheme="minorEastAsia" w:hAnsiTheme="minorHAnsi" w:cstheme="minorBidi"/>
              <w:b w:val="0"/>
              <w:noProof/>
              <w:sz w:val="22"/>
              <w:szCs w:val="22"/>
              <w:lang w:eastAsia="en-AU"/>
            </w:rPr>
          </w:pPr>
          <w:hyperlink w:anchor="_Toc35874416" w:history="1">
            <w:r w:rsidR="004E7CA2" w:rsidRPr="000C73DC">
              <w:rPr>
                <w:rStyle w:val="Hyperlink"/>
                <w:noProof/>
              </w:rPr>
              <w:t>This consultation</w:t>
            </w:r>
            <w:r w:rsidR="004E7CA2">
              <w:rPr>
                <w:noProof/>
                <w:webHidden/>
              </w:rPr>
              <w:tab/>
            </w:r>
            <w:r w:rsidR="004E7CA2">
              <w:rPr>
                <w:noProof/>
                <w:webHidden/>
              </w:rPr>
              <w:fldChar w:fldCharType="begin"/>
            </w:r>
            <w:r w:rsidR="004E7CA2">
              <w:rPr>
                <w:noProof/>
                <w:webHidden/>
              </w:rPr>
              <w:instrText xml:space="preserve"> PAGEREF _Toc35874416 \h </w:instrText>
            </w:r>
            <w:r w:rsidR="004E7CA2">
              <w:rPr>
                <w:noProof/>
                <w:webHidden/>
              </w:rPr>
            </w:r>
            <w:r w:rsidR="004E7CA2">
              <w:rPr>
                <w:noProof/>
                <w:webHidden/>
              </w:rPr>
              <w:fldChar w:fldCharType="separate"/>
            </w:r>
            <w:r w:rsidR="004E7CA2">
              <w:rPr>
                <w:noProof/>
                <w:webHidden/>
              </w:rPr>
              <w:t>8</w:t>
            </w:r>
            <w:r w:rsidR="004E7CA2">
              <w:rPr>
                <w:noProof/>
                <w:webHidden/>
              </w:rPr>
              <w:fldChar w:fldCharType="end"/>
            </w:r>
          </w:hyperlink>
        </w:p>
        <w:p w14:paraId="09748133" w14:textId="464615DD" w:rsidR="004E7CA2" w:rsidRDefault="00592EF0">
          <w:pPr>
            <w:pStyle w:val="TOC3"/>
            <w:rPr>
              <w:rFonts w:asciiTheme="minorHAnsi" w:eastAsiaTheme="minorEastAsia" w:hAnsiTheme="minorHAnsi" w:cstheme="minorBidi"/>
              <w:b w:val="0"/>
              <w:noProof/>
              <w:szCs w:val="22"/>
              <w:lang w:eastAsia="en-AU"/>
            </w:rPr>
          </w:pPr>
          <w:hyperlink w:anchor="_Toc35874417" w:history="1">
            <w:r w:rsidR="004E7CA2" w:rsidRPr="000C73DC">
              <w:rPr>
                <w:rStyle w:val="Hyperlink"/>
                <w:noProof/>
              </w:rPr>
              <w:t>Your feedback</w:t>
            </w:r>
            <w:r w:rsidR="004E7CA2">
              <w:rPr>
                <w:noProof/>
                <w:webHidden/>
              </w:rPr>
              <w:tab/>
            </w:r>
            <w:r w:rsidR="004E7CA2">
              <w:rPr>
                <w:noProof/>
                <w:webHidden/>
              </w:rPr>
              <w:fldChar w:fldCharType="begin"/>
            </w:r>
            <w:r w:rsidR="004E7CA2">
              <w:rPr>
                <w:noProof/>
                <w:webHidden/>
              </w:rPr>
              <w:instrText xml:space="preserve"> PAGEREF _Toc35874417 \h </w:instrText>
            </w:r>
            <w:r w:rsidR="004E7CA2">
              <w:rPr>
                <w:noProof/>
                <w:webHidden/>
              </w:rPr>
            </w:r>
            <w:r w:rsidR="004E7CA2">
              <w:rPr>
                <w:noProof/>
                <w:webHidden/>
              </w:rPr>
              <w:fldChar w:fldCharType="separate"/>
            </w:r>
            <w:r w:rsidR="004E7CA2">
              <w:rPr>
                <w:noProof/>
                <w:webHidden/>
              </w:rPr>
              <w:t>8</w:t>
            </w:r>
            <w:r w:rsidR="004E7CA2">
              <w:rPr>
                <w:noProof/>
                <w:webHidden/>
              </w:rPr>
              <w:fldChar w:fldCharType="end"/>
            </w:r>
          </w:hyperlink>
        </w:p>
        <w:p w14:paraId="558D29D6" w14:textId="1FEEDD50" w:rsidR="004E7CA2" w:rsidRDefault="00592EF0">
          <w:pPr>
            <w:pStyle w:val="TOC1"/>
            <w:rPr>
              <w:rFonts w:asciiTheme="minorHAnsi" w:eastAsiaTheme="minorEastAsia" w:hAnsiTheme="minorHAnsi" w:cstheme="minorBidi"/>
              <w:b w:val="0"/>
              <w:noProof/>
              <w:sz w:val="22"/>
              <w:szCs w:val="22"/>
              <w:lang w:eastAsia="en-AU"/>
            </w:rPr>
          </w:pPr>
          <w:hyperlink w:anchor="_Toc35874418" w:history="1">
            <w:r w:rsidR="004E7CA2" w:rsidRPr="000C73DC">
              <w:rPr>
                <w:rStyle w:val="Hyperlink"/>
                <w:noProof/>
              </w:rPr>
              <w:t>Approaches by other regulators to “carve-out”</w:t>
            </w:r>
            <w:r w:rsidR="004E7CA2">
              <w:rPr>
                <w:noProof/>
                <w:webHidden/>
              </w:rPr>
              <w:tab/>
            </w:r>
            <w:r w:rsidR="004E7CA2">
              <w:rPr>
                <w:noProof/>
                <w:webHidden/>
              </w:rPr>
              <w:fldChar w:fldCharType="begin"/>
            </w:r>
            <w:r w:rsidR="004E7CA2">
              <w:rPr>
                <w:noProof/>
                <w:webHidden/>
              </w:rPr>
              <w:instrText xml:space="preserve"> PAGEREF _Toc35874418 \h </w:instrText>
            </w:r>
            <w:r w:rsidR="004E7CA2">
              <w:rPr>
                <w:noProof/>
                <w:webHidden/>
              </w:rPr>
            </w:r>
            <w:r w:rsidR="004E7CA2">
              <w:rPr>
                <w:noProof/>
                <w:webHidden/>
              </w:rPr>
              <w:fldChar w:fldCharType="separate"/>
            </w:r>
            <w:r w:rsidR="004E7CA2">
              <w:rPr>
                <w:noProof/>
                <w:webHidden/>
              </w:rPr>
              <w:t>9</w:t>
            </w:r>
            <w:r w:rsidR="004E7CA2">
              <w:rPr>
                <w:noProof/>
                <w:webHidden/>
              </w:rPr>
              <w:fldChar w:fldCharType="end"/>
            </w:r>
          </w:hyperlink>
        </w:p>
        <w:p w14:paraId="238AEC4F" w14:textId="5B4494E1" w:rsidR="004E7CA2" w:rsidRDefault="00592EF0">
          <w:pPr>
            <w:pStyle w:val="TOC2"/>
            <w:rPr>
              <w:rFonts w:asciiTheme="minorHAnsi" w:eastAsiaTheme="minorEastAsia" w:hAnsiTheme="minorHAnsi" w:cstheme="minorBidi"/>
              <w:b w:val="0"/>
              <w:noProof/>
              <w:sz w:val="22"/>
              <w:szCs w:val="22"/>
              <w:lang w:eastAsia="en-AU"/>
            </w:rPr>
          </w:pPr>
          <w:hyperlink w:anchor="_Toc35874419" w:history="1">
            <w:r w:rsidR="004E7CA2" w:rsidRPr="000C73DC">
              <w:rPr>
                <w:rStyle w:val="Hyperlink"/>
                <w:noProof/>
              </w:rPr>
              <w:t>Carve-out mechanisms</w:t>
            </w:r>
            <w:r w:rsidR="004E7CA2">
              <w:rPr>
                <w:noProof/>
                <w:webHidden/>
              </w:rPr>
              <w:tab/>
            </w:r>
            <w:r w:rsidR="004E7CA2">
              <w:rPr>
                <w:noProof/>
                <w:webHidden/>
              </w:rPr>
              <w:fldChar w:fldCharType="begin"/>
            </w:r>
            <w:r w:rsidR="004E7CA2">
              <w:rPr>
                <w:noProof/>
                <w:webHidden/>
              </w:rPr>
              <w:instrText xml:space="preserve"> PAGEREF _Toc35874419 \h </w:instrText>
            </w:r>
            <w:r w:rsidR="004E7CA2">
              <w:rPr>
                <w:noProof/>
                <w:webHidden/>
              </w:rPr>
            </w:r>
            <w:r w:rsidR="004E7CA2">
              <w:rPr>
                <w:noProof/>
                <w:webHidden/>
              </w:rPr>
              <w:fldChar w:fldCharType="separate"/>
            </w:r>
            <w:r w:rsidR="004E7CA2">
              <w:rPr>
                <w:noProof/>
                <w:webHidden/>
              </w:rPr>
              <w:t>9</w:t>
            </w:r>
            <w:r w:rsidR="004E7CA2">
              <w:rPr>
                <w:noProof/>
                <w:webHidden/>
              </w:rPr>
              <w:fldChar w:fldCharType="end"/>
            </w:r>
          </w:hyperlink>
        </w:p>
        <w:p w14:paraId="239845F4" w14:textId="55E50F5C" w:rsidR="004E7CA2" w:rsidRDefault="00592EF0">
          <w:pPr>
            <w:pStyle w:val="TOC2"/>
            <w:rPr>
              <w:rFonts w:asciiTheme="minorHAnsi" w:eastAsiaTheme="minorEastAsia" w:hAnsiTheme="minorHAnsi" w:cstheme="minorBidi"/>
              <w:b w:val="0"/>
              <w:noProof/>
              <w:sz w:val="22"/>
              <w:szCs w:val="22"/>
              <w:lang w:eastAsia="en-AU"/>
            </w:rPr>
          </w:pPr>
          <w:hyperlink w:anchor="_Toc35874420" w:history="1">
            <w:r w:rsidR="004E7CA2" w:rsidRPr="000C73DC">
              <w:rPr>
                <w:rStyle w:val="Hyperlink"/>
                <w:noProof/>
              </w:rPr>
              <w:t>Proposed carve-out principles</w:t>
            </w:r>
            <w:r w:rsidR="004E7CA2">
              <w:rPr>
                <w:noProof/>
                <w:webHidden/>
              </w:rPr>
              <w:tab/>
            </w:r>
            <w:r w:rsidR="004E7CA2">
              <w:rPr>
                <w:noProof/>
                <w:webHidden/>
              </w:rPr>
              <w:fldChar w:fldCharType="begin"/>
            </w:r>
            <w:r w:rsidR="004E7CA2">
              <w:rPr>
                <w:noProof/>
                <w:webHidden/>
              </w:rPr>
              <w:instrText xml:space="preserve"> PAGEREF _Toc35874420 \h </w:instrText>
            </w:r>
            <w:r w:rsidR="004E7CA2">
              <w:rPr>
                <w:noProof/>
                <w:webHidden/>
              </w:rPr>
            </w:r>
            <w:r w:rsidR="004E7CA2">
              <w:rPr>
                <w:noProof/>
                <w:webHidden/>
              </w:rPr>
              <w:fldChar w:fldCharType="separate"/>
            </w:r>
            <w:r w:rsidR="004E7CA2">
              <w:rPr>
                <w:noProof/>
                <w:webHidden/>
              </w:rPr>
              <w:t>10</w:t>
            </w:r>
            <w:r w:rsidR="004E7CA2">
              <w:rPr>
                <w:noProof/>
                <w:webHidden/>
              </w:rPr>
              <w:fldChar w:fldCharType="end"/>
            </w:r>
          </w:hyperlink>
        </w:p>
        <w:p w14:paraId="23C05E69" w14:textId="0B32239F" w:rsidR="004E7CA2" w:rsidRDefault="00592EF0">
          <w:pPr>
            <w:pStyle w:val="TOC1"/>
            <w:rPr>
              <w:rFonts w:asciiTheme="minorHAnsi" w:eastAsiaTheme="minorEastAsia" w:hAnsiTheme="minorHAnsi" w:cstheme="minorBidi"/>
              <w:b w:val="0"/>
              <w:noProof/>
              <w:sz w:val="22"/>
              <w:szCs w:val="22"/>
              <w:lang w:eastAsia="en-AU"/>
            </w:rPr>
          </w:pPr>
          <w:hyperlink w:anchor="_Toc35874421" w:history="1">
            <w:r w:rsidR="004E7CA2" w:rsidRPr="000C73DC">
              <w:rPr>
                <w:rStyle w:val="Hyperlink"/>
                <w:noProof/>
              </w:rPr>
              <w:t>Clarification of what is and isn’t in scope through interpretation of the regulatory definition of a medical device</w:t>
            </w:r>
            <w:r w:rsidR="004E7CA2">
              <w:rPr>
                <w:noProof/>
                <w:webHidden/>
              </w:rPr>
              <w:tab/>
            </w:r>
            <w:r w:rsidR="004E7CA2">
              <w:rPr>
                <w:noProof/>
                <w:webHidden/>
              </w:rPr>
              <w:fldChar w:fldCharType="begin"/>
            </w:r>
            <w:r w:rsidR="004E7CA2">
              <w:rPr>
                <w:noProof/>
                <w:webHidden/>
              </w:rPr>
              <w:instrText xml:space="preserve"> PAGEREF _Toc35874421 \h </w:instrText>
            </w:r>
            <w:r w:rsidR="004E7CA2">
              <w:rPr>
                <w:noProof/>
                <w:webHidden/>
              </w:rPr>
            </w:r>
            <w:r w:rsidR="004E7CA2">
              <w:rPr>
                <w:noProof/>
                <w:webHidden/>
              </w:rPr>
              <w:fldChar w:fldCharType="separate"/>
            </w:r>
            <w:r w:rsidR="004E7CA2">
              <w:rPr>
                <w:noProof/>
                <w:webHidden/>
              </w:rPr>
              <w:t>10</w:t>
            </w:r>
            <w:r w:rsidR="004E7CA2">
              <w:rPr>
                <w:noProof/>
                <w:webHidden/>
              </w:rPr>
              <w:fldChar w:fldCharType="end"/>
            </w:r>
          </w:hyperlink>
        </w:p>
        <w:p w14:paraId="25F2A189" w14:textId="70F70B35" w:rsidR="004E7CA2" w:rsidRDefault="00592EF0">
          <w:pPr>
            <w:pStyle w:val="TOC2"/>
            <w:rPr>
              <w:rFonts w:asciiTheme="minorHAnsi" w:eastAsiaTheme="minorEastAsia" w:hAnsiTheme="minorHAnsi" w:cstheme="minorBidi"/>
              <w:b w:val="0"/>
              <w:noProof/>
              <w:sz w:val="22"/>
              <w:szCs w:val="22"/>
              <w:lang w:eastAsia="en-AU"/>
            </w:rPr>
          </w:pPr>
          <w:hyperlink w:anchor="_Toc35874422" w:history="1">
            <w:r w:rsidR="004E7CA2" w:rsidRPr="000C73DC">
              <w:rPr>
                <w:rStyle w:val="Hyperlink"/>
                <w:noProof/>
              </w:rPr>
              <w:t>Software that is not a medical device under the current application of the Therapeutic Goods Act</w:t>
            </w:r>
            <w:r w:rsidR="004E7CA2">
              <w:rPr>
                <w:noProof/>
                <w:webHidden/>
              </w:rPr>
              <w:tab/>
            </w:r>
            <w:r w:rsidR="004E7CA2">
              <w:rPr>
                <w:noProof/>
                <w:webHidden/>
              </w:rPr>
              <w:fldChar w:fldCharType="begin"/>
            </w:r>
            <w:r w:rsidR="004E7CA2">
              <w:rPr>
                <w:noProof/>
                <w:webHidden/>
              </w:rPr>
              <w:instrText xml:space="preserve"> PAGEREF _Toc35874422 \h </w:instrText>
            </w:r>
            <w:r w:rsidR="004E7CA2">
              <w:rPr>
                <w:noProof/>
                <w:webHidden/>
              </w:rPr>
            </w:r>
            <w:r w:rsidR="004E7CA2">
              <w:rPr>
                <w:noProof/>
                <w:webHidden/>
              </w:rPr>
              <w:fldChar w:fldCharType="separate"/>
            </w:r>
            <w:r w:rsidR="004E7CA2">
              <w:rPr>
                <w:noProof/>
                <w:webHidden/>
              </w:rPr>
              <w:t>12</w:t>
            </w:r>
            <w:r w:rsidR="004E7CA2">
              <w:rPr>
                <w:noProof/>
                <w:webHidden/>
              </w:rPr>
              <w:fldChar w:fldCharType="end"/>
            </w:r>
          </w:hyperlink>
        </w:p>
        <w:p w14:paraId="682BD1DE" w14:textId="2837E7B0" w:rsidR="004E7CA2" w:rsidRDefault="00592EF0">
          <w:pPr>
            <w:pStyle w:val="TOC1"/>
            <w:rPr>
              <w:rFonts w:asciiTheme="minorHAnsi" w:eastAsiaTheme="minorEastAsia" w:hAnsiTheme="minorHAnsi" w:cstheme="minorBidi"/>
              <w:b w:val="0"/>
              <w:noProof/>
              <w:sz w:val="22"/>
              <w:szCs w:val="22"/>
              <w:lang w:eastAsia="en-AU"/>
            </w:rPr>
          </w:pPr>
          <w:hyperlink w:anchor="_Toc35874423" w:history="1">
            <w:r w:rsidR="004E7CA2" w:rsidRPr="000C73DC">
              <w:rPr>
                <w:rStyle w:val="Hyperlink"/>
                <w:noProof/>
              </w:rPr>
              <w:t>Software that could be potentially excluded or exempted from regulation</w:t>
            </w:r>
            <w:r w:rsidR="004E7CA2">
              <w:rPr>
                <w:noProof/>
                <w:webHidden/>
              </w:rPr>
              <w:tab/>
            </w:r>
            <w:r w:rsidR="004E7CA2">
              <w:rPr>
                <w:noProof/>
                <w:webHidden/>
              </w:rPr>
              <w:fldChar w:fldCharType="begin"/>
            </w:r>
            <w:r w:rsidR="004E7CA2">
              <w:rPr>
                <w:noProof/>
                <w:webHidden/>
              </w:rPr>
              <w:instrText xml:space="preserve"> PAGEREF _Toc35874423 \h </w:instrText>
            </w:r>
            <w:r w:rsidR="004E7CA2">
              <w:rPr>
                <w:noProof/>
                <w:webHidden/>
              </w:rPr>
            </w:r>
            <w:r w:rsidR="004E7CA2">
              <w:rPr>
                <w:noProof/>
                <w:webHidden/>
              </w:rPr>
              <w:fldChar w:fldCharType="separate"/>
            </w:r>
            <w:r w:rsidR="004E7CA2">
              <w:rPr>
                <w:noProof/>
                <w:webHidden/>
              </w:rPr>
              <w:t>14</w:t>
            </w:r>
            <w:r w:rsidR="004E7CA2">
              <w:rPr>
                <w:noProof/>
                <w:webHidden/>
              </w:rPr>
              <w:fldChar w:fldCharType="end"/>
            </w:r>
          </w:hyperlink>
        </w:p>
        <w:p w14:paraId="741F2E54" w14:textId="2F509291" w:rsidR="004E7CA2" w:rsidRDefault="00592EF0">
          <w:pPr>
            <w:pStyle w:val="TOC2"/>
            <w:rPr>
              <w:rFonts w:asciiTheme="minorHAnsi" w:eastAsiaTheme="minorEastAsia" w:hAnsiTheme="minorHAnsi" w:cstheme="minorBidi"/>
              <w:b w:val="0"/>
              <w:noProof/>
              <w:sz w:val="22"/>
              <w:szCs w:val="22"/>
              <w:lang w:eastAsia="en-AU"/>
            </w:rPr>
          </w:pPr>
          <w:hyperlink w:anchor="_Toc35874424" w:history="1">
            <w:r w:rsidR="004E7CA2" w:rsidRPr="000C73DC">
              <w:rPr>
                <w:rStyle w:val="Hyperlink"/>
                <w:noProof/>
              </w:rPr>
              <w:t>Potential software exclusion/exemption, where it may be considered that the software poses no potential for significant harm to a patient</w:t>
            </w:r>
            <w:r w:rsidR="004E7CA2">
              <w:rPr>
                <w:noProof/>
                <w:webHidden/>
              </w:rPr>
              <w:tab/>
            </w:r>
            <w:r w:rsidR="004E7CA2">
              <w:rPr>
                <w:noProof/>
                <w:webHidden/>
              </w:rPr>
              <w:fldChar w:fldCharType="begin"/>
            </w:r>
            <w:r w:rsidR="004E7CA2">
              <w:rPr>
                <w:noProof/>
                <w:webHidden/>
              </w:rPr>
              <w:instrText xml:space="preserve"> PAGEREF _Toc35874424 \h </w:instrText>
            </w:r>
            <w:r w:rsidR="004E7CA2">
              <w:rPr>
                <w:noProof/>
                <w:webHidden/>
              </w:rPr>
            </w:r>
            <w:r w:rsidR="004E7CA2">
              <w:rPr>
                <w:noProof/>
                <w:webHidden/>
              </w:rPr>
              <w:fldChar w:fldCharType="separate"/>
            </w:r>
            <w:r w:rsidR="004E7CA2">
              <w:rPr>
                <w:noProof/>
                <w:webHidden/>
              </w:rPr>
              <w:t>14</w:t>
            </w:r>
            <w:r w:rsidR="004E7CA2">
              <w:rPr>
                <w:noProof/>
                <w:webHidden/>
              </w:rPr>
              <w:fldChar w:fldCharType="end"/>
            </w:r>
          </w:hyperlink>
        </w:p>
        <w:p w14:paraId="6B412FF1" w14:textId="74FAD03A" w:rsidR="004E7CA2" w:rsidRDefault="00592EF0">
          <w:pPr>
            <w:pStyle w:val="TOC3"/>
            <w:rPr>
              <w:rFonts w:asciiTheme="minorHAnsi" w:eastAsiaTheme="minorEastAsia" w:hAnsiTheme="minorHAnsi" w:cstheme="minorBidi"/>
              <w:b w:val="0"/>
              <w:noProof/>
              <w:szCs w:val="22"/>
              <w:lang w:eastAsia="en-AU"/>
            </w:rPr>
          </w:pPr>
          <w:hyperlink w:anchor="_Toc35874425" w:history="1">
            <w:r w:rsidR="004E7CA2" w:rsidRPr="000C73DC">
              <w:rPr>
                <w:rStyle w:val="Hyperlink"/>
                <w:noProof/>
              </w:rPr>
              <w:t>Software used by consumers</w:t>
            </w:r>
            <w:r w:rsidR="004E7CA2">
              <w:rPr>
                <w:noProof/>
                <w:webHidden/>
              </w:rPr>
              <w:tab/>
            </w:r>
            <w:r w:rsidR="004E7CA2">
              <w:rPr>
                <w:noProof/>
                <w:webHidden/>
              </w:rPr>
              <w:fldChar w:fldCharType="begin"/>
            </w:r>
            <w:r w:rsidR="004E7CA2">
              <w:rPr>
                <w:noProof/>
                <w:webHidden/>
              </w:rPr>
              <w:instrText xml:space="preserve"> PAGEREF _Toc35874425 \h </w:instrText>
            </w:r>
            <w:r w:rsidR="004E7CA2">
              <w:rPr>
                <w:noProof/>
                <w:webHidden/>
              </w:rPr>
            </w:r>
            <w:r w:rsidR="004E7CA2">
              <w:rPr>
                <w:noProof/>
                <w:webHidden/>
              </w:rPr>
              <w:fldChar w:fldCharType="separate"/>
            </w:r>
            <w:r w:rsidR="004E7CA2">
              <w:rPr>
                <w:noProof/>
                <w:webHidden/>
              </w:rPr>
              <w:t>14</w:t>
            </w:r>
            <w:r w:rsidR="004E7CA2">
              <w:rPr>
                <w:noProof/>
                <w:webHidden/>
              </w:rPr>
              <w:fldChar w:fldCharType="end"/>
            </w:r>
          </w:hyperlink>
        </w:p>
        <w:p w14:paraId="3ED93241" w14:textId="0E4E969F" w:rsidR="004E7CA2" w:rsidRDefault="00592EF0">
          <w:pPr>
            <w:pStyle w:val="TOC3"/>
            <w:rPr>
              <w:rFonts w:asciiTheme="minorHAnsi" w:eastAsiaTheme="minorEastAsia" w:hAnsiTheme="minorHAnsi" w:cstheme="minorBidi"/>
              <w:b w:val="0"/>
              <w:noProof/>
              <w:szCs w:val="22"/>
              <w:lang w:eastAsia="en-AU"/>
            </w:rPr>
          </w:pPr>
          <w:hyperlink w:anchor="_Toc35874426" w:history="1">
            <w:r w:rsidR="004E7CA2" w:rsidRPr="000C73DC">
              <w:rPr>
                <w:rStyle w:val="Hyperlink"/>
                <w:noProof/>
              </w:rPr>
              <w:t>Software used by health professionals</w:t>
            </w:r>
            <w:r w:rsidR="004E7CA2">
              <w:rPr>
                <w:noProof/>
                <w:webHidden/>
              </w:rPr>
              <w:tab/>
            </w:r>
            <w:r w:rsidR="004E7CA2">
              <w:rPr>
                <w:noProof/>
                <w:webHidden/>
              </w:rPr>
              <w:fldChar w:fldCharType="begin"/>
            </w:r>
            <w:r w:rsidR="004E7CA2">
              <w:rPr>
                <w:noProof/>
                <w:webHidden/>
              </w:rPr>
              <w:instrText xml:space="preserve"> PAGEREF _Toc35874426 \h </w:instrText>
            </w:r>
            <w:r w:rsidR="004E7CA2">
              <w:rPr>
                <w:noProof/>
                <w:webHidden/>
              </w:rPr>
            </w:r>
            <w:r w:rsidR="004E7CA2">
              <w:rPr>
                <w:noProof/>
                <w:webHidden/>
              </w:rPr>
              <w:fldChar w:fldCharType="separate"/>
            </w:r>
            <w:r w:rsidR="004E7CA2">
              <w:rPr>
                <w:noProof/>
                <w:webHidden/>
              </w:rPr>
              <w:t>15</w:t>
            </w:r>
            <w:r w:rsidR="004E7CA2">
              <w:rPr>
                <w:noProof/>
                <w:webHidden/>
              </w:rPr>
              <w:fldChar w:fldCharType="end"/>
            </w:r>
          </w:hyperlink>
        </w:p>
        <w:p w14:paraId="2D69AB46" w14:textId="4DCE75E7" w:rsidR="004E7CA2" w:rsidRDefault="00592EF0">
          <w:pPr>
            <w:pStyle w:val="TOC2"/>
            <w:rPr>
              <w:rFonts w:asciiTheme="minorHAnsi" w:eastAsiaTheme="minorEastAsia" w:hAnsiTheme="minorHAnsi" w:cstheme="minorBidi"/>
              <w:b w:val="0"/>
              <w:noProof/>
              <w:sz w:val="22"/>
              <w:szCs w:val="22"/>
              <w:lang w:eastAsia="en-AU"/>
            </w:rPr>
          </w:pPr>
          <w:hyperlink w:anchor="_Toc35874427" w:history="1">
            <w:r w:rsidR="004E7CA2" w:rsidRPr="000C73DC">
              <w:rPr>
                <w:rStyle w:val="Hyperlink"/>
                <w:noProof/>
              </w:rPr>
              <w:t>Potential software exclusion/exemption, where adequate alternative mechanisms of oversight exist</w:t>
            </w:r>
            <w:r w:rsidR="004E7CA2">
              <w:rPr>
                <w:noProof/>
                <w:webHidden/>
              </w:rPr>
              <w:tab/>
            </w:r>
            <w:r w:rsidR="004E7CA2">
              <w:rPr>
                <w:noProof/>
                <w:webHidden/>
              </w:rPr>
              <w:fldChar w:fldCharType="begin"/>
            </w:r>
            <w:r w:rsidR="004E7CA2">
              <w:rPr>
                <w:noProof/>
                <w:webHidden/>
              </w:rPr>
              <w:instrText xml:space="preserve"> PAGEREF _Toc35874427 \h </w:instrText>
            </w:r>
            <w:r w:rsidR="004E7CA2">
              <w:rPr>
                <w:noProof/>
                <w:webHidden/>
              </w:rPr>
            </w:r>
            <w:r w:rsidR="004E7CA2">
              <w:rPr>
                <w:noProof/>
                <w:webHidden/>
              </w:rPr>
              <w:fldChar w:fldCharType="separate"/>
            </w:r>
            <w:r w:rsidR="004E7CA2">
              <w:rPr>
                <w:noProof/>
                <w:webHidden/>
              </w:rPr>
              <w:t>15</w:t>
            </w:r>
            <w:r w:rsidR="004E7CA2">
              <w:rPr>
                <w:noProof/>
                <w:webHidden/>
              </w:rPr>
              <w:fldChar w:fldCharType="end"/>
            </w:r>
          </w:hyperlink>
        </w:p>
        <w:p w14:paraId="49DC7718" w14:textId="03B23B3D" w:rsidR="004E7CA2" w:rsidRDefault="00592EF0">
          <w:pPr>
            <w:pStyle w:val="TOC1"/>
            <w:rPr>
              <w:rFonts w:asciiTheme="minorHAnsi" w:eastAsiaTheme="minorEastAsia" w:hAnsiTheme="minorHAnsi" w:cstheme="minorBidi"/>
              <w:b w:val="0"/>
              <w:noProof/>
              <w:sz w:val="22"/>
              <w:szCs w:val="22"/>
              <w:lang w:eastAsia="en-AU"/>
            </w:rPr>
          </w:pPr>
          <w:hyperlink w:anchor="_Toc35874428" w:history="1">
            <w:r w:rsidR="004E7CA2" w:rsidRPr="000C73DC">
              <w:rPr>
                <w:rStyle w:val="Hyperlink"/>
                <w:noProof/>
              </w:rPr>
              <w:t>What we invite you to do</w:t>
            </w:r>
            <w:r w:rsidR="004E7CA2">
              <w:rPr>
                <w:noProof/>
                <w:webHidden/>
              </w:rPr>
              <w:tab/>
            </w:r>
            <w:r w:rsidR="004E7CA2">
              <w:rPr>
                <w:noProof/>
                <w:webHidden/>
              </w:rPr>
              <w:fldChar w:fldCharType="begin"/>
            </w:r>
            <w:r w:rsidR="004E7CA2">
              <w:rPr>
                <w:noProof/>
                <w:webHidden/>
              </w:rPr>
              <w:instrText xml:space="preserve"> PAGEREF _Toc35874428 \h </w:instrText>
            </w:r>
            <w:r w:rsidR="004E7CA2">
              <w:rPr>
                <w:noProof/>
                <w:webHidden/>
              </w:rPr>
            </w:r>
            <w:r w:rsidR="004E7CA2">
              <w:rPr>
                <w:noProof/>
                <w:webHidden/>
              </w:rPr>
              <w:fldChar w:fldCharType="separate"/>
            </w:r>
            <w:r w:rsidR="004E7CA2">
              <w:rPr>
                <w:noProof/>
                <w:webHidden/>
              </w:rPr>
              <w:t>16</w:t>
            </w:r>
            <w:r w:rsidR="004E7CA2">
              <w:rPr>
                <w:noProof/>
                <w:webHidden/>
              </w:rPr>
              <w:fldChar w:fldCharType="end"/>
            </w:r>
          </w:hyperlink>
        </w:p>
        <w:p w14:paraId="29D1A551" w14:textId="695C71EF" w:rsidR="004E7CA2" w:rsidRDefault="00592EF0">
          <w:pPr>
            <w:pStyle w:val="TOC2"/>
            <w:rPr>
              <w:rFonts w:asciiTheme="minorHAnsi" w:eastAsiaTheme="minorEastAsia" w:hAnsiTheme="minorHAnsi" w:cstheme="minorBidi"/>
              <w:b w:val="0"/>
              <w:noProof/>
              <w:sz w:val="22"/>
              <w:szCs w:val="22"/>
              <w:lang w:eastAsia="en-AU"/>
            </w:rPr>
          </w:pPr>
          <w:hyperlink w:anchor="_Toc35874429" w:history="1">
            <w:r w:rsidR="004E7CA2" w:rsidRPr="000C73DC">
              <w:rPr>
                <w:rStyle w:val="Hyperlink"/>
                <w:noProof/>
              </w:rPr>
              <w:t>How to submit</w:t>
            </w:r>
            <w:r w:rsidR="004E7CA2">
              <w:rPr>
                <w:noProof/>
                <w:webHidden/>
              </w:rPr>
              <w:tab/>
            </w:r>
            <w:r w:rsidR="004E7CA2">
              <w:rPr>
                <w:noProof/>
                <w:webHidden/>
              </w:rPr>
              <w:fldChar w:fldCharType="begin"/>
            </w:r>
            <w:r w:rsidR="004E7CA2">
              <w:rPr>
                <w:noProof/>
                <w:webHidden/>
              </w:rPr>
              <w:instrText xml:space="preserve"> PAGEREF _Toc35874429 \h </w:instrText>
            </w:r>
            <w:r w:rsidR="004E7CA2">
              <w:rPr>
                <w:noProof/>
                <w:webHidden/>
              </w:rPr>
            </w:r>
            <w:r w:rsidR="004E7CA2">
              <w:rPr>
                <w:noProof/>
                <w:webHidden/>
              </w:rPr>
              <w:fldChar w:fldCharType="separate"/>
            </w:r>
            <w:r w:rsidR="004E7CA2">
              <w:rPr>
                <w:noProof/>
                <w:webHidden/>
              </w:rPr>
              <w:t>16</w:t>
            </w:r>
            <w:r w:rsidR="004E7CA2">
              <w:rPr>
                <w:noProof/>
                <w:webHidden/>
              </w:rPr>
              <w:fldChar w:fldCharType="end"/>
            </w:r>
          </w:hyperlink>
        </w:p>
        <w:p w14:paraId="6ABFE6D8" w14:textId="0067DC1B" w:rsidR="004E7CA2" w:rsidRDefault="00592EF0">
          <w:pPr>
            <w:pStyle w:val="TOC2"/>
            <w:rPr>
              <w:rFonts w:asciiTheme="minorHAnsi" w:eastAsiaTheme="minorEastAsia" w:hAnsiTheme="minorHAnsi" w:cstheme="minorBidi"/>
              <w:b w:val="0"/>
              <w:noProof/>
              <w:sz w:val="22"/>
              <w:szCs w:val="22"/>
              <w:lang w:eastAsia="en-AU"/>
            </w:rPr>
          </w:pPr>
          <w:hyperlink w:anchor="_Toc35874430" w:history="1">
            <w:r w:rsidR="004E7CA2" w:rsidRPr="000C73DC">
              <w:rPr>
                <w:rStyle w:val="Hyperlink"/>
                <w:noProof/>
              </w:rPr>
              <w:t>Enquiries</w:t>
            </w:r>
            <w:r w:rsidR="004E7CA2">
              <w:rPr>
                <w:noProof/>
                <w:webHidden/>
              </w:rPr>
              <w:tab/>
            </w:r>
            <w:r w:rsidR="004E7CA2">
              <w:rPr>
                <w:noProof/>
                <w:webHidden/>
              </w:rPr>
              <w:fldChar w:fldCharType="begin"/>
            </w:r>
            <w:r w:rsidR="004E7CA2">
              <w:rPr>
                <w:noProof/>
                <w:webHidden/>
              </w:rPr>
              <w:instrText xml:space="preserve"> PAGEREF _Toc35874430 \h </w:instrText>
            </w:r>
            <w:r w:rsidR="004E7CA2">
              <w:rPr>
                <w:noProof/>
                <w:webHidden/>
              </w:rPr>
            </w:r>
            <w:r w:rsidR="004E7CA2">
              <w:rPr>
                <w:noProof/>
                <w:webHidden/>
              </w:rPr>
              <w:fldChar w:fldCharType="separate"/>
            </w:r>
            <w:r w:rsidR="004E7CA2">
              <w:rPr>
                <w:noProof/>
                <w:webHidden/>
              </w:rPr>
              <w:t>16</w:t>
            </w:r>
            <w:r w:rsidR="004E7CA2">
              <w:rPr>
                <w:noProof/>
                <w:webHidden/>
              </w:rPr>
              <w:fldChar w:fldCharType="end"/>
            </w:r>
          </w:hyperlink>
        </w:p>
        <w:p w14:paraId="5F07E52D" w14:textId="00B22F61" w:rsidR="004E7CA2" w:rsidRDefault="00592EF0">
          <w:pPr>
            <w:pStyle w:val="TOC2"/>
            <w:rPr>
              <w:rFonts w:asciiTheme="minorHAnsi" w:eastAsiaTheme="minorEastAsia" w:hAnsiTheme="minorHAnsi" w:cstheme="minorBidi"/>
              <w:b w:val="0"/>
              <w:noProof/>
              <w:sz w:val="22"/>
              <w:szCs w:val="22"/>
              <w:lang w:eastAsia="en-AU"/>
            </w:rPr>
          </w:pPr>
          <w:hyperlink w:anchor="_Toc35874431" w:history="1">
            <w:r w:rsidR="004E7CA2" w:rsidRPr="000C73DC">
              <w:rPr>
                <w:rStyle w:val="Hyperlink"/>
                <w:noProof/>
              </w:rPr>
              <w:t>Next steps</w:t>
            </w:r>
            <w:r w:rsidR="004E7CA2">
              <w:rPr>
                <w:noProof/>
                <w:webHidden/>
              </w:rPr>
              <w:tab/>
            </w:r>
            <w:r w:rsidR="004E7CA2">
              <w:rPr>
                <w:noProof/>
                <w:webHidden/>
              </w:rPr>
              <w:fldChar w:fldCharType="begin"/>
            </w:r>
            <w:r w:rsidR="004E7CA2">
              <w:rPr>
                <w:noProof/>
                <w:webHidden/>
              </w:rPr>
              <w:instrText xml:space="preserve"> PAGEREF _Toc35874431 \h </w:instrText>
            </w:r>
            <w:r w:rsidR="004E7CA2">
              <w:rPr>
                <w:noProof/>
                <w:webHidden/>
              </w:rPr>
            </w:r>
            <w:r w:rsidR="004E7CA2">
              <w:rPr>
                <w:noProof/>
                <w:webHidden/>
              </w:rPr>
              <w:fldChar w:fldCharType="separate"/>
            </w:r>
            <w:r w:rsidR="004E7CA2">
              <w:rPr>
                <w:noProof/>
                <w:webHidden/>
              </w:rPr>
              <w:t>17</w:t>
            </w:r>
            <w:r w:rsidR="004E7CA2">
              <w:rPr>
                <w:noProof/>
                <w:webHidden/>
              </w:rPr>
              <w:fldChar w:fldCharType="end"/>
            </w:r>
          </w:hyperlink>
        </w:p>
        <w:p w14:paraId="4CEFE117" w14:textId="191ACB42" w:rsidR="004E7CA2" w:rsidRDefault="00592EF0">
          <w:pPr>
            <w:pStyle w:val="TOC2"/>
            <w:rPr>
              <w:rFonts w:asciiTheme="minorHAnsi" w:eastAsiaTheme="minorEastAsia" w:hAnsiTheme="minorHAnsi" w:cstheme="minorBidi"/>
              <w:b w:val="0"/>
              <w:noProof/>
              <w:sz w:val="22"/>
              <w:szCs w:val="22"/>
              <w:lang w:eastAsia="en-AU"/>
            </w:rPr>
          </w:pPr>
          <w:hyperlink w:anchor="_Toc35874432" w:history="1">
            <w:r w:rsidR="004E7CA2" w:rsidRPr="000C73DC">
              <w:rPr>
                <w:rStyle w:val="Hyperlink"/>
                <w:noProof/>
              </w:rPr>
              <w:t>Appendix 1 - The legal definition of a medical device</w:t>
            </w:r>
            <w:r w:rsidR="004E7CA2">
              <w:rPr>
                <w:noProof/>
                <w:webHidden/>
              </w:rPr>
              <w:tab/>
            </w:r>
            <w:r w:rsidR="004E7CA2">
              <w:rPr>
                <w:noProof/>
                <w:webHidden/>
              </w:rPr>
              <w:fldChar w:fldCharType="begin"/>
            </w:r>
            <w:r w:rsidR="004E7CA2">
              <w:rPr>
                <w:noProof/>
                <w:webHidden/>
              </w:rPr>
              <w:instrText xml:space="preserve"> PAGEREF _Toc35874432 \h </w:instrText>
            </w:r>
            <w:r w:rsidR="004E7CA2">
              <w:rPr>
                <w:noProof/>
                <w:webHidden/>
              </w:rPr>
            </w:r>
            <w:r w:rsidR="004E7CA2">
              <w:rPr>
                <w:noProof/>
                <w:webHidden/>
              </w:rPr>
              <w:fldChar w:fldCharType="separate"/>
            </w:r>
            <w:r w:rsidR="004E7CA2">
              <w:rPr>
                <w:noProof/>
                <w:webHidden/>
              </w:rPr>
              <w:t>18</w:t>
            </w:r>
            <w:r w:rsidR="004E7CA2">
              <w:rPr>
                <w:noProof/>
                <w:webHidden/>
              </w:rPr>
              <w:fldChar w:fldCharType="end"/>
            </w:r>
          </w:hyperlink>
        </w:p>
        <w:p w14:paraId="299AFEDB" w14:textId="15C1AFCF" w:rsidR="004E7CA2" w:rsidRDefault="00592EF0">
          <w:pPr>
            <w:pStyle w:val="TOC2"/>
            <w:rPr>
              <w:rFonts w:asciiTheme="minorHAnsi" w:eastAsiaTheme="minorEastAsia" w:hAnsiTheme="minorHAnsi" w:cstheme="minorBidi"/>
              <w:b w:val="0"/>
              <w:noProof/>
              <w:sz w:val="22"/>
              <w:szCs w:val="22"/>
              <w:lang w:eastAsia="en-AU"/>
            </w:rPr>
          </w:pPr>
          <w:hyperlink w:anchor="_Toc35874433" w:history="1">
            <w:r w:rsidR="004E7CA2" w:rsidRPr="000C73DC">
              <w:rPr>
                <w:rStyle w:val="Hyperlink"/>
                <w:noProof/>
              </w:rPr>
              <w:t>Appendix 2 - New classification rules</w:t>
            </w:r>
            <w:r w:rsidR="004E7CA2">
              <w:rPr>
                <w:noProof/>
                <w:webHidden/>
              </w:rPr>
              <w:tab/>
            </w:r>
            <w:r w:rsidR="004E7CA2">
              <w:rPr>
                <w:noProof/>
                <w:webHidden/>
              </w:rPr>
              <w:fldChar w:fldCharType="begin"/>
            </w:r>
            <w:r w:rsidR="004E7CA2">
              <w:rPr>
                <w:noProof/>
                <w:webHidden/>
              </w:rPr>
              <w:instrText xml:space="preserve"> PAGEREF _Toc35874433 \h </w:instrText>
            </w:r>
            <w:r w:rsidR="004E7CA2">
              <w:rPr>
                <w:noProof/>
                <w:webHidden/>
              </w:rPr>
            </w:r>
            <w:r w:rsidR="004E7CA2">
              <w:rPr>
                <w:noProof/>
                <w:webHidden/>
              </w:rPr>
              <w:fldChar w:fldCharType="separate"/>
            </w:r>
            <w:r w:rsidR="004E7CA2">
              <w:rPr>
                <w:noProof/>
                <w:webHidden/>
              </w:rPr>
              <w:t>20</w:t>
            </w:r>
            <w:r w:rsidR="004E7CA2">
              <w:rPr>
                <w:noProof/>
                <w:webHidden/>
              </w:rPr>
              <w:fldChar w:fldCharType="end"/>
            </w:r>
          </w:hyperlink>
        </w:p>
        <w:p w14:paraId="3A2FE6AF" w14:textId="5D6AA6F4" w:rsidR="004E7CA2" w:rsidRDefault="00592EF0">
          <w:pPr>
            <w:pStyle w:val="TOC2"/>
            <w:rPr>
              <w:rFonts w:asciiTheme="minorHAnsi" w:eastAsiaTheme="minorEastAsia" w:hAnsiTheme="minorHAnsi" w:cstheme="minorBidi"/>
              <w:b w:val="0"/>
              <w:noProof/>
              <w:sz w:val="22"/>
              <w:szCs w:val="22"/>
              <w:lang w:eastAsia="en-AU"/>
            </w:rPr>
          </w:pPr>
          <w:hyperlink w:anchor="_Toc35874434" w:history="1">
            <w:r w:rsidR="004E7CA2" w:rsidRPr="000C73DC">
              <w:rPr>
                <w:rStyle w:val="Hyperlink"/>
                <w:noProof/>
              </w:rPr>
              <w:t>Reference information</w:t>
            </w:r>
            <w:r w:rsidR="004E7CA2">
              <w:rPr>
                <w:noProof/>
                <w:webHidden/>
              </w:rPr>
              <w:tab/>
            </w:r>
            <w:r w:rsidR="004E7CA2">
              <w:rPr>
                <w:noProof/>
                <w:webHidden/>
              </w:rPr>
              <w:fldChar w:fldCharType="begin"/>
            </w:r>
            <w:r w:rsidR="004E7CA2">
              <w:rPr>
                <w:noProof/>
                <w:webHidden/>
              </w:rPr>
              <w:instrText xml:space="preserve"> PAGEREF _Toc35874434 \h </w:instrText>
            </w:r>
            <w:r w:rsidR="004E7CA2">
              <w:rPr>
                <w:noProof/>
                <w:webHidden/>
              </w:rPr>
            </w:r>
            <w:r w:rsidR="004E7CA2">
              <w:rPr>
                <w:noProof/>
                <w:webHidden/>
              </w:rPr>
              <w:fldChar w:fldCharType="separate"/>
            </w:r>
            <w:r w:rsidR="004E7CA2">
              <w:rPr>
                <w:noProof/>
                <w:webHidden/>
              </w:rPr>
              <w:t>23</w:t>
            </w:r>
            <w:r w:rsidR="004E7CA2">
              <w:rPr>
                <w:noProof/>
                <w:webHidden/>
              </w:rPr>
              <w:fldChar w:fldCharType="end"/>
            </w:r>
          </w:hyperlink>
        </w:p>
        <w:p w14:paraId="5AB19A38" w14:textId="5428CF0D" w:rsidR="004E7CA2" w:rsidRDefault="00592EF0">
          <w:pPr>
            <w:pStyle w:val="TOC3"/>
            <w:rPr>
              <w:rFonts w:asciiTheme="minorHAnsi" w:eastAsiaTheme="minorEastAsia" w:hAnsiTheme="minorHAnsi" w:cstheme="minorBidi"/>
              <w:b w:val="0"/>
              <w:noProof/>
              <w:szCs w:val="22"/>
              <w:lang w:eastAsia="en-AU"/>
            </w:rPr>
          </w:pPr>
          <w:hyperlink w:anchor="_Toc35874435" w:history="1">
            <w:r w:rsidR="004E7CA2" w:rsidRPr="000C73DC">
              <w:rPr>
                <w:rStyle w:val="Hyperlink"/>
                <w:noProof/>
              </w:rPr>
              <w:t>Europe</w:t>
            </w:r>
            <w:r w:rsidR="004E7CA2">
              <w:rPr>
                <w:noProof/>
                <w:webHidden/>
              </w:rPr>
              <w:tab/>
            </w:r>
            <w:r w:rsidR="004E7CA2">
              <w:rPr>
                <w:noProof/>
                <w:webHidden/>
              </w:rPr>
              <w:fldChar w:fldCharType="begin"/>
            </w:r>
            <w:r w:rsidR="004E7CA2">
              <w:rPr>
                <w:noProof/>
                <w:webHidden/>
              </w:rPr>
              <w:instrText xml:space="preserve"> PAGEREF _Toc35874435 \h </w:instrText>
            </w:r>
            <w:r w:rsidR="004E7CA2">
              <w:rPr>
                <w:noProof/>
                <w:webHidden/>
              </w:rPr>
            </w:r>
            <w:r w:rsidR="004E7CA2">
              <w:rPr>
                <w:noProof/>
                <w:webHidden/>
              </w:rPr>
              <w:fldChar w:fldCharType="separate"/>
            </w:r>
            <w:r w:rsidR="004E7CA2">
              <w:rPr>
                <w:noProof/>
                <w:webHidden/>
              </w:rPr>
              <w:t>23</w:t>
            </w:r>
            <w:r w:rsidR="004E7CA2">
              <w:rPr>
                <w:noProof/>
                <w:webHidden/>
              </w:rPr>
              <w:fldChar w:fldCharType="end"/>
            </w:r>
          </w:hyperlink>
        </w:p>
        <w:p w14:paraId="6A763D98" w14:textId="6AAC3446" w:rsidR="004E7CA2" w:rsidRDefault="00592EF0">
          <w:pPr>
            <w:pStyle w:val="TOC3"/>
            <w:rPr>
              <w:rFonts w:asciiTheme="minorHAnsi" w:eastAsiaTheme="minorEastAsia" w:hAnsiTheme="minorHAnsi" w:cstheme="minorBidi"/>
              <w:b w:val="0"/>
              <w:noProof/>
              <w:szCs w:val="22"/>
              <w:lang w:eastAsia="en-AU"/>
            </w:rPr>
          </w:pPr>
          <w:hyperlink w:anchor="_Toc35874436" w:history="1">
            <w:r w:rsidR="004E7CA2" w:rsidRPr="000C73DC">
              <w:rPr>
                <w:rStyle w:val="Hyperlink"/>
                <w:noProof/>
              </w:rPr>
              <w:t>USFDA</w:t>
            </w:r>
            <w:r w:rsidR="004E7CA2">
              <w:rPr>
                <w:noProof/>
                <w:webHidden/>
              </w:rPr>
              <w:tab/>
            </w:r>
            <w:r w:rsidR="004E7CA2">
              <w:rPr>
                <w:noProof/>
                <w:webHidden/>
              </w:rPr>
              <w:fldChar w:fldCharType="begin"/>
            </w:r>
            <w:r w:rsidR="004E7CA2">
              <w:rPr>
                <w:noProof/>
                <w:webHidden/>
              </w:rPr>
              <w:instrText xml:space="preserve"> PAGEREF _Toc35874436 \h </w:instrText>
            </w:r>
            <w:r w:rsidR="004E7CA2">
              <w:rPr>
                <w:noProof/>
                <w:webHidden/>
              </w:rPr>
            </w:r>
            <w:r w:rsidR="004E7CA2">
              <w:rPr>
                <w:noProof/>
                <w:webHidden/>
              </w:rPr>
              <w:fldChar w:fldCharType="separate"/>
            </w:r>
            <w:r w:rsidR="004E7CA2">
              <w:rPr>
                <w:noProof/>
                <w:webHidden/>
              </w:rPr>
              <w:t>23</w:t>
            </w:r>
            <w:r w:rsidR="004E7CA2">
              <w:rPr>
                <w:noProof/>
                <w:webHidden/>
              </w:rPr>
              <w:fldChar w:fldCharType="end"/>
            </w:r>
          </w:hyperlink>
        </w:p>
        <w:p w14:paraId="5525D599" w14:textId="6C37359B" w:rsidR="004E7CA2" w:rsidRDefault="00592EF0">
          <w:pPr>
            <w:pStyle w:val="TOC3"/>
            <w:rPr>
              <w:rFonts w:asciiTheme="minorHAnsi" w:eastAsiaTheme="minorEastAsia" w:hAnsiTheme="minorHAnsi" w:cstheme="minorBidi"/>
              <w:b w:val="0"/>
              <w:noProof/>
              <w:szCs w:val="22"/>
              <w:lang w:eastAsia="en-AU"/>
            </w:rPr>
          </w:pPr>
          <w:hyperlink w:anchor="_Toc35874437" w:history="1">
            <w:r w:rsidR="004E7CA2" w:rsidRPr="000C73DC">
              <w:rPr>
                <w:rStyle w:val="Hyperlink"/>
                <w:noProof/>
              </w:rPr>
              <w:t>Canada</w:t>
            </w:r>
            <w:r w:rsidR="004E7CA2">
              <w:rPr>
                <w:noProof/>
                <w:webHidden/>
              </w:rPr>
              <w:tab/>
            </w:r>
            <w:r w:rsidR="004E7CA2">
              <w:rPr>
                <w:noProof/>
                <w:webHidden/>
              </w:rPr>
              <w:fldChar w:fldCharType="begin"/>
            </w:r>
            <w:r w:rsidR="004E7CA2">
              <w:rPr>
                <w:noProof/>
                <w:webHidden/>
              </w:rPr>
              <w:instrText xml:space="preserve"> PAGEREF _Toc35874437 \h </w:instrText>
            </w:r>
            <w:r w:rsidR="004E7CA2">
              <w:rPr>
                <w:noProof/>
                <w:webHidden/>
              </w:rPr>
            </w:r>
            <w:r w:rsidR="004E7CA2">
              <w:rPr>
                <w:noProof/>
                <w:webHidden/>
              </w:rPr>
              <w:fldChar w:fldCharType="separate"/>
            </w:r>
            <w:r w:rsidR="004E7CA2">
              <w:rPr>
                <w:noProof/>
                <w:webHidden/>
              </w:rPr>
              <w:t>23</w:t>
            </w:r>
            <w:r w:rsidR="004E7CA2">
              <w:rPr>
                <w:noProof/>
                <w:webHidden/>
              </w:rPr>
              <w:fldChar w:fldCharType="end"/>
            </w:r>
          </w:hyperlink>
        </w:p>
        <w:p w14:paraId="27801F35" w14:textId="48FF6E3B" w:rsidR="004E7CA2" w:rsidRDefault="00592EF0">
          <w:pPr>
            <w:pStyle w:val="TOC3"/>
            <w:rPr>
              <w:rFonts w:asciiTheme="minorHAnsi" w:eastAsiaTheme="minorEastAsia" w:hAnsiTheme="minorHAnsi" w:cstheme="minorBidi"/>
              <w:b w:val="0"/>
              <w:noProof/>
              <w:szCs w:val="22"/>
              <w:lang w:eastAsia="en-AU"/>
            </w:rPr>
          </w:pPr>
          <w:hyperlink w:anchor="_Toc35874438" w:history="1">
            <w:r w:rsidR="004E7CA2" w:rsidRPr="000C73DC">
              <w:rPr>
                <w:rStyle w:val="Hyperlink"/>
                <w:noProof/>
              </w:rPr>
              <w:t>IMDRF</w:t>
            </w:r>
            <w:r w:rsidR="004E7CA2">
              <w:rPr>
                <w:noProof/>
                <w:webHidden/>
              </w:rPr>
              <w:tab/>
            </w:r>
            <w:r w:rsidR="004E7CA2">
              <w:rPr>
                <w:noProof/>
                <w:webHidden/>
              </w:rPr>
              <w:fldChar w:fldCharType="begin"/>
            </w:r>
            <w:r w:rsidR="004E7CA2">
              <w:rPr>
                <w:noProof/>
                <w:webHidden/>
              </w:rPr>
              <w:instrText xml:space="preserve"> PAGEREF _Toc35874438 \h </w:instrText>
            </w:r>
            <w:r w:rsidR="004E7CA2">
              <w:rPr>
                <w:noProof/>
                <w:webHidden/>
              </w:rPr>
            </w:r>
            <w:r w:rsidR="004E7CA2">
              <w:rPr>
                <w:noProof/>
                <w:webHidden/>
              </w:rPr>
              <w:fldChar w:fldCharType="separate"/>
            </w:r>
            <w:r w:rsidR="004E7CA2">
              <w:rPr>
                <w:noProof/>
                <w:webHidden/>
              </w:rPr>
              <w:t>24</w:t>
            </w:r>
            <w:r w:rsidR="004E7CA2">
              <w:rPr>
                <w:noProof/>
                <w:webHidden/>
              </w:rPr>
              <w:fldChar w:fldCharType="end"/>
            </w:r>
          </w:hyperlink>
        </w:p>
        <w:p w14:paraId="387BAE95" w14:textId="62589676" w:rsidR="00B92C72" w:rsidRPr="003D7768" w:rsidRDefault="006C626D" w:rsidP="0023397F">
          <w:pPr>
            <w:rPr>
              <w:color w:val="000000"/>
            </w:rPr>
          </w:pPr>
          <w:r w:rsidRPr="003D7768">
            <w:rPr>
              <w:color w:val="000000"/>
            </w:rPr>
            <w:fldChar w:fldCharType="end"/>
          </w:r>
        </w:p>
      </w:sdtContent>
    </w:sdt>
    <w:p w14:paraId="6129D39C" w14:textId="5E65C4E6" w:rsidR="007C44E4" w:rsidRDefault="007C44E4">
      <w:pPr>
        <w:spacing w:before="0" w:after="0" w:line="240" w:lineRule="auto"/>
        <w:rPr>
          <w:color w:val="000000"/>
        </w:rPr>
      </w:pPr>
      <w:bookmarkStart w:id="1" w:name="_Toc356305156"/>
      <w:r>
        <w:rPr>
          <w:color w:val="000000"/>
        </w:rPr>
        <w:br w:type="page"/>
      </w:r>
    </w:p>
    <w:p w14:paraId="7BE54A0A" w14:textId="4420687A" w:rsidR="005248DA" w:rsidRPr="003D7768" w:rsidRDefault="005248DA" w:rsidP="003870D3">
      <w:pPr>
        <w:pStyle w:val="Heading2"/>
      </w:pPr>
      <w:bookmarkStart w:id="2" w:name="_Toc35874411"/>
      <w:r w:rsidRPr="003D7768">
        <w:lastRenderedPageBreak/>
        <w:t>Introduction</w:t>
      </w:r>
      <w:bookmarkEnd w:id="2"/>
    </w:p>
    <w:p w14:paraId="26565F84" w14:textId="57387A9E" w:rsidR="005248DA" w:rsidRPr="003D7768" w:rsidRDefault="005248DA" w:rsidP="0058387B">
      <w:pPr>
        <w:rPr>
          <w:color w:val="000000"/>
        </w:rPr>
      </w:pPr>
      <w:r w:rsidRPr="003D7768">
        <w:rPr>
          <w:color w:val="000000"/>
        </w:rPr>
        <w:t xml:space="preserve">The Australian Government is undertaking a significant program of reform to the regulation of therapeutic goods in Australia. As part of the Australian Government Department of Health, </w:t>
      </w:r>
      <w:r w:rsidR="003D7768">
        <w:rPr>
          <w:color w:val="000000"/>
        </w:rPr>
        <w:t xml:space="preserve">the </w:t>
      </w:r>
      <w:r w:rsidR="003D7768" w:rsidRPr="003D7768">
        <w:rPr>
          <w:color w:val="000000"/>
        </w:rPr>
        <w:t xml:space="preserve">Therapeutic Goods Administration </w:t>
      </w:r>
      <w:r w:rsidR="003D7768">
        <w:rPr>
          <w:color w:val="000000"/>
        </w:rPr>
        <w:t>(</w:t>
      </w:r>
      <w:r w:rsidRPr="003D7768">
        <w:rPr>
          <w:color w:val="000000"/>
        </w:rPr>
        <w:t>TGA</w:t>
      </w:r>
      <w:r w:rsidR="003D7768">
        <w:rPr>
          <w:color w:val="000000"/>
        </w:rPr>
        <w:t>)</w:t>
      </w:r>
      <w:r w:rsidRPr="003D7768">
        <w:rPr>
          <w:color w:val="000000"/>
        </w:rPr>
        <w:t xml:space="preserve"> regulates therapeutic goods, and is responsible for implementing the Government's reforms. The </w:t>
      </w:r>
      <w:r w:rsidR="00FC04F8">
        <w:rPr>
          <w:color w:val="000000"/>
        </w:rPr>
        <w:t xml:space="preserve">TGA </w:t>
      </w:r>
      <w:r w:rsidRPr="003D7768">
        <w:rPr>
          <w:color w:val="000000"/>
        </w:rPr>
        <w:t>has issued this consultation paper as part of the Government's reform program.</w:t>
      </w:r>
    </w:p>
    <w:p w14:paraId="5A9B046C" w14:textId="0D16F930" w:rsidR="005248DA" w:rsidRPr="003D7768" w:rsidRDefault="005248DA" w:rsidP="003870D3">
      <w:pPr>
        <w:pStyle w:val="Heading3"/>
      </w:pPr>
      <w:bookmarkStart w:id="3" w:name="_Toc35874412"/>
      <w:r w:rsidRPr="003D7768">
        <w:t>Background</w:t>
      </w:r>
      <w:bookmarkEnd w:id="3"/>
    </w:p>
    <w:p w14:paraId="0805894A" w14:textId="44E39C1F" w:rsidR="003529C9" w:rsidRPr="003D7768" w:rsidRDefault="003529C9" w:rsidP="003529C9">
      <w:pPr>
        <w:rPr>
          <w:color w:val="000000"/>
        </w:rPr>
      </w:pPr>
      <w:r w:rsidRPr="003D7768">
        <w:rPr>
          <w:color w:val="000000"/>
        </w:rPr>
        <w:t xml:space="preserve">The definition of medical device in the </w:t>
      </w:r>
      <w:hyperlink r:id="rId15" w:history="1">
        <w:r w:rsidRPr="00EE7E11">
          <w:rPr>
            <w:rStyle w:val="Hyperlink"/>
            <w:i/>
          </w:rPr>
          <w:t>Therapeutic Goods Act 1989</w:t>
        </w:r>
        <w:r w:rsidR="00BD4A26" w:rsidRPr="00EE7E11">
          <w:rPr>
            <w:rStyle w:val="Hyperlink"/>
          </w:rPr>
          <w:t xml:space="preserve"> (the Act)</w:t>
        </w:r>
        <w:r w:rsidRPr="00EE7E11">
          <w:rPr>
            <w:rStyle w:val="Hyperlink"/>
          </w:rPr>
          <w:t xml:space="preserve"> </w:t>
        </w:r>
      </w:hyperlink>
      <w:r w:rsidRPr="003D7768">
        <w:rPr>
          <w:color w:val="000000"/>
        </w:rPr>
        <w:t>(</w:t>
      </w:r>
      <w:hyperlink w:anchor="_Appendix_1_-" w:history="1">
        <w:r w:rsidRPr="003870D3">
          <w:rPr>
            <w:rStyle w:val="Hyperlink"/>
          </w:rPr>
          <w:t>Appendix 1</w:t>
        </w:r>
      </w:hyperlink>
      <w:r w:rsidRPr="003D7768">
        <w:rPr>
          <w:color w:val="000000"/>
        </w:rPr>
        <w:t>) states that a medical device is any instrument, apparatus, appliance, material or other article intended to be used for:</w:t>
      </w:r>
    </w:p>
    <w:p w14:paraId="57709E7E" w14:textId="77777777" w:rsidR="003529C9" w:rsidRPr="003D7768" w:rsidRDefault="003529C9" w:rsidP="00465404">
      <w:pPr>
        <w:pStyle w:val="ListBullet"/>
      </w:pPr>
      <w:r w:rsidRPr="003D7768">
        <w:t>diagnosis, prevention, monitoring, treatment, alleviation of a disease, injury or disability;</w:t>
      </w:r>
    </w:p>
    <w:p w14:paraId="167D33F9" w14:textId="77777777" w:rsidR="003529C9" w:rsidRPr="003D7768" w:rsidRDefault="003529C9" w:rsidP="00465404">
      <w:pPr>
        <w:pStyle w:val="ListBullet"/>
      </w:pPr>
      <w:r w:rsidRPr="003D7768">
        <w:t xml:space="preserve">compensation for an injury or disability; </w:t>
      </w:r>
    </w:p>
    <w:p w14:paraId="5C3F9605" w14:textId="77777777" w:rsidR="003529C9" w:rsidRPr="003D7768" w:rsidRDefault="003529C9" w:rsidP="00465404">
      <w:pPr>
        <w:pStyle w:val="ListBullet"/>
      </w:pPr>
      <w:r w:rsidRPr="003D7768">
        <w:t>investigation of the anatomy or of a physiologic process; or</w:t>
      </w:r>
    </w:p>
    <w:p w14:paraId="0E6B315C" w14:textId="300D15BF" w:rsidR="003529C9" w:rsidRPr="0038532E" w:rsidRDefault="003529C9" w:rsidP="00465404">
      <w:pPr>
        <w:pStyle w:val="ListBullet"/>
      </w:pPr>
      <w:r w:rsidRPr="003D7768">
        <w:t>control of conception</w:t>
      </w:r>
      <w:r w:rsidRPr="0038532E">
        <w:t>.</w:t>
      </w:r>
    </w:p>
    <w:p w14:paraId="16233B27" w14:textId="207CDD81" w:rsidR="007D1BD0" w:rsidRPr="003D7768" w:rsidRDefault="007D1BD0" w:rsidP="007D1BD0">
      <w:pPr>
        <w:rPr>
          <w:color w:val="000000"/>
          <w:highlight w:val="yellow"/>
        </w:rPr>
      </w:pPr>
      <w:r w:rsidRPr="003D7768">
        <w:rPr>
          <w:color w:val="000000"/>
        </w:rPr>
        <w:t xml:space="preserve">The manufacturer assigns the </w:t>
      </w:r>
      <w:r w:rsidRPr="003D7768">
        <w:rPr>
          <w:b/>
          <w:color w:val="000000"/>
        </w:rPr>
        <w:t>intended purpose</w:t>
      </w:r>
      <w:r w:rsidRPr="003D7768">
        <w:rPr>
          <w:color w:val="000000"/>
        </w:rPr>
        <w:t xml:space="preserve"> of the </w:t>
      </w:r>
      <w:r w:rsidR="006D01A0">
        <w:rPr>
          <w:color w:val="000000"/>
        </w:rPr>
        <w:t>medical device</w:t>
      </w:r>
      <w:r w:rsidR="00BB25D5">
        <w:rPr>
          <w:color w:val="000000"/>
        </w:rPr>
        <w:t xml:space="preserve">. </w:t>
      </w:r>
      <w:r w:rsidRPr="003D7768">
        <w:rPr>
          <w:color w:val="000000"/>
        </w:rPr>
        <w:t xml:space="preserve">The intended purpose is reflected in the labelling, instructions for use or any advertising material (including website advertising) provided with or for the </w:t>
      </w:r>
      <w:r w:rsidR="006D01A0">
        <w:rPr>
          <w:color w:val="000000"/>
        </w:rPr>
        <w:t>device</w:t>
      </w:r>
      <w:r w:rsidR="00BB25D5">
        <w:rPr>
          <w:color w:val="000000"/>
        </w:rPr>
        <w:t xml:space="preserve">. </w:t>
      </w:r>
      <w:r w:rsidRPr="003D7768">
        <w:rPr>
          <w:color w:val="000000"/>
        </w:rPr>
        <w:t xml:space="preserve">For regulatory purposes, the intended purpose will determine the </w:t>
      </w:r>
      <w:r w:rsidRPr="003D7768">
        <w:rPr>
          <w:b/>
          <w:color w:val="000000"/>
        </w:rPr>
        <w:t>classification of the device</w:t>
      </w:r>
      <w:r w:rsidRPr="003D7768">
        <w:rPr>
          <w:color w:val="000000"/>
        </w:rPr>
        <w:t xml:space="preserve"> and </w:t>
      </w:r>
      <w:r w:rsidR="0038532E">
        <w:rPr>
          <w:color w:val="000000"/>
        </w:rPr>
        <w:t xml:space="preserve">minimum </w:t>
      </w:r>
      <w:r w:rsidRPr="003D7768">
        <w:rPr>
          <w:b/>
          <w:color w:val="000000"/>
        </w:rPr>
        <w:t>conformity assessment</w:t>
      </w:r>
      <w:r w:rsidRPr="003D7768">
        <w:rPr>
          <w:color w:val="000000"/>
        </w:rPr>
        <w:t xml:space="preserve"> procedures that </w:t>
      </w:r>
      <w:r w:rsidR="00940976">
        <w:rPr>
          <w:color w:val="000000"/>
        </w:rPr>
        <w:t xml:space="preserve">the manufacturer </w:t>
      </w:r>
      <w:r w:rsidRPr="003D7768">
        <w:rPr>
          <w:color w:val="000000"/>
        </w:rPr>
        <w:t>must compl</w:t>
      </w:r>
      <w:r w:rsidR="00940976">
        <w:rPr>
          <w:color w:val="000000"/>
        </w:rPr>
        <w:t xml:space="preserve">y with </w:t>
      </w:r>
      <w:r w:rsidRPr="003D7768">
        <w:rPr>
          <w:color w:val="000000"/>
        </w:rPr>
        <w:t>for inclusion in the Australian Register of Therapeutic Goods (ARTG).</w:t>
      </w:r>
    </w:p>
    <w:p w14:paraId="3F77FF89" w14:textId="451B6467" w:rsidR="00940976" w:rsidRPr="001074C2" w:rsidRDefault="0033051E" w:rsidP="0033051E">
      <w:r>
        <w:t>Conformity assessment procedures are requirements placed on the manufacturer</w:t>
      </w:r>
      <w:r w:rsidR="009D7331">
        <w:t xml:space="preserve"> of a medical device</w:t>
      </w:r>
      <w:r w:rsidR="00BB25D5">
        <w:t xml:space="preserve">. </w:t>
      </w:r>
      <w:r>
        <w:t>They include controls around manufacture (design and construction) of medical devices, keeping and maintaining records, and managing compla</w:t>
      </w:r>
      <w:r w:rsidR="00E26BFC">
        <w:t>ints and recalls</w:t>
      </w:r>
      <w:r w:rsidR="00BB25D5">
        <w:t xml:space="preserve">. </w:t>
      </w:r>
      <w:r w:rsidR="00E26BFC">
        <w:t>The minimum conformity assessment procedures</w:t>
      </w:r>
      <w:r>
        <w:t xml:space="preserve"> that apply are determined by the </w:t>
      </w:r>
      <w:r w:rsidR="00940976">
        <w:t>classification of the device</w:t>
      </w:r>
      <w:r w:rsidR="00BB25D5">
        <w:t xml:space="preserve">. </w:t>
      </w:r>
      <w:r>
        <w:t xml:space="preserve">The </w:t>
      </w:r>
      <w:r w:rsidR="00E26BFC">
        <w:t>procedures</w:t>
      </w:r>
      <w:r>
        <w:t xml:space="preserve"> </w:t>
      </w:r>
      <w:r w:rsidRPr="001074C2">
        <w:t xml:space="preserve">are followed by the manufacturer in order to demonstrate conformity with safety and performance principles </w:t>
      </w:r>
      <w:r w:rsidR="00F42B2C" w:rsidRPr="001074C2">
        <w:t>(the essential principles of safety and p</w:t>
      </w:r>
      <w:r w:rsidRPr="001074C2">
        <w:t>erformance)</w:t>
      </w:r>
      <w:r w:rsidR="00BB25D5" w:rsidRPr="001074C2">
        <w:t xml:space="preserve">. </w:t>
      </w:r>
      <w:r w:rsidR="00F42B2C" w:rsidRPr="001074C2">
        <w:t xml:space="preserve">This principles-based approach provides flexibility for manufacturers of medical devices </w:t>
      </w:r>
      <w:r w:rsidR="00940976" w:rsidRPr="001074C2">
        <w:t xml:space="preserve">for how to demonstrate compliance </w:t>
      </w:r>
      <w:r w:rsidR="00F42B2C" w:rsidRPr="001074C2">
        <w:t>and supports different technologies and technological advances over time.</w:t>
      </w:r>
    </w:p>
    <w:p w14:paraId="5E1E1333" w14:textId="22E71932" w:rsidR="00B20229" w:rsidRPr="001074C2" w:rsidRDefault="00B20229" w:rsidP="0033051E">
      <w:r w:rsidRPr="001074C2">
        <w:rPr>
          <w:rFonts w:eastAsia="Times New Roman"/>
          <w:color w:val="000000"/>
        </w:rPr>
        <w:t>The degree of oversight by regulatory authorities varies according to the classification of the device and the manufacturer’s intended purpose for the device</w:t>
      </w:r>
      <w:r w:rsidR="00BB25D5" w:rsidRPr="001074C2">
        <w:rPr>
          <w:rFonts w:eastAsia="Times New Roman"/>
          <w:color w:val="000000"/>
        </w:rPr>
        <w:t xml:space="preserve">. </w:t>
      </w:r>
      <w:r w:rsidR="00F00926" w:rsidRPr="001074C2">
        <w:rPr>
          <w:rFonts w:eastAsia="Times New Roman"/>
          <w:color w:val="000000"/>
        </w:rPr>
        <w:t xml:space="preserve">There is a four-tier classification system for medical devices: Class I (lowest classification), Class IIa, Class IIb and Class III (highest classification). </w:t>
      </w:r>
      <w:r w:rsidRPr="001074C2">
        <w:rPr>
          <w:rFonts w:eastAsia="Times New Roman"/>
          <w:color w:val="000000"/>
        </w:rPr>
        <w:t xml:space="preserve">The higher the classification of the device the higher the level of regulatory scrutiny. </w:t>
      </w:r>
      <w:r w:rsidRPr="001074C2">
        <w:t>Manufacturers of all medical devices</w:t>
      </w:r>
      <w:r w:rsidR="00A9565E" w:rsidRPr="001074C2">
        <w:t>, including software-based medical devices,</w:t>
      </w:r>
      <w:r w:rsidRPr="001074C2">
        <w:t xml:space="preserve"> supplied in Australia must:</w:t>
      </w:r>
    </w:p>
    <w:p w14:paraId="6C752954" w14:textId="5DC71EAC" w:rsidR="00B20229" w:rsidRPr="001074C2" w:rsidRDefault="00B20229" w:rsidP="00465404">
      <w:pPr>
        <w:pStyle w:val="ListBullet"/>
      </w:pPr>
      <w:r w:rsidRPr="001074C2">
        <w:t>meet the minimum conformity assessment certification requirements appropriate to the level of classification of devices being manufactured; and</w:t>
      </w:r>
    </w:p>
    <w:p w14:paraId="71CAC0FB" w14:textId="24CA6F0F" w:rsidR="00B20229" w:rsidRPr="001074C2" w:rsidRDefault="00B20229" w:rsidP="00465404">
      <w:pPr>
        <w:pStyle w:val="ListBullet"/>
      </w:pPr>
      <w:r w:rsidRPr="001074C2">
        <w:t>have evidence that demonstrates compliance of their medical devices with the relevant essential principles.</w:t>
      </w:r>
    </w:p>
    <w:p w14:paraId="3B764433" w14:textId="29D234E6" w:rsidR="003F3881" w:rsidRPr="003F3881" w:rsidRDefault="004C1F19" w:rsidP="003F3881">
      <w:pPr>
        <w:rPr>
          <w:color w:val="000000"/>
        </w:rPr>
      </w:pPr>
      <w:r w:rsidRPr="001074C2">
        <w:rPr>
          <w:color w:val="000000"/>
        </w:rPr>
        <w:t xml:space="preserve">The majority of Class I medical devices are self-certified and applications for inclusion in the ARTG are processed automatically with no assessment undertaken by the TGA. </w:t>
      </w:r>
      <w:r w:rsidR="00DB7E6F" w:rsidRPr="001074C2">
        <w:rPr>
          <w:color w:val="000000"/>
        </w:rPr>
        <w:t>M</w:t>
      </w:r>
      <w:r w:rsidRPr="001074C2">
        <w:rPr>
          <w:color w:val="000000"/>
        </w:rPr>
        <w:t xml:space="preserve">anufacturers </w:t>
      </w:r>
      <w:r w:rsidR="00DB7E6F" w:rsidRPr="001074C2">
        <w:rPr>
          <w:color w:val="000000"/>
        </w:rPr>
        <w:t xml:space="preserve">of Class IIa, Class IIb or Class III medical devices </w:t>
      </w:r>
      <w:r w:rsidR="003F3881" w:rsidRPr="001074C2">
        <w:rPr>
          <w:color w:val="000000"/>
        </w:rPr>
        <w:t xml:space="preserve">must obtain </w:t>
      </w:r>
      <w:r w:rsidR="00866315" w:rsidRPr="001074C2">
        <w:rPr>
          <w:color w:val="000000"/>
        </w:rPr>
        <w:t xml:space="preserve">conformity assessment </w:t>
      </w:r>
      <w:r w:rsidR="003F3881" w:rsidRPr="001074C2">
        <w:rPr>
          <w:color w:val="000000"/>
        </w:rPr>
        <w:t>certification from an independent body (e.g, from a European notified body) or from the TGA</w:t>
      </w:r>
      <w:r w:rsidR="00F00926" w:rsidRPr="001074C2">
        <w:rPr>
          <w:color w:val="000000"/>
        </w:rPr>
        <w:t xml:space="preserve"> prior to an </w:t>
      </w:r>
      <w:r w:rsidR="00F00926" w:rsidRPr="001074C2">
        <w:rPr>
          <w:color w:val="000000"/>
        </w:rPr>
        <w:lastRenderedPageBreak/>
        <w:t>application being made for inclusion in the ARTG</w:t>
      </w:r>
      <w:r w:rsidR="003F3881" w:rsidRPr="001074C2">
        <w:rPr>
          <w:color w:val="000000"/>
        </w:rPr>
        <w:t xml:space="preserve">. </w:t>
      </w:r>
      <w:r w:rsidR="00866315" w:rsidRPr="001074C2">
        <w:rPr>
          <w:color w:val="000000"/>
        </w:rPr>
        <w:t xml:space="preserve">Manufacturers of </w:t>
      </w:r>
      <w:r w:rsidR="003F3881" w:rsidRPr="001074C2">
        <w:rPr>
          <w:color w:val="000000"/>
        </w:rPr>
        <w:t>Class III</w:t>
      </w:r>
      <w:r w:rsidR="00866315" w:rsidRPr="001074C2">
        <w:rPr>
          <w:color w:val="000000"/>
        </w:rPr>
        <w:t xml:space="preserve"> medical devices</w:t>
      </w:r>
      <w:r w:rsidR="003F3881" w:rsidRPr="001074C2">
        <w:rPr>
          <w:color w:val="000000"/>
        </w:rPr>
        <w:t xml:space="preserve"> are also required to have the design of their devices </w:t>
      </w:r>
      <w:r w:rsidR="00DB7E6F" w:rsidRPr="001074C2">
        <w:rPr>
          <w:color w:val="000000"/>
        </w:rPr>
        <w:t>examined</w:t>
      </w:r>
      <w:r w:rsidR="00F00926" w:rsidRPr="001074C2">
        <w:rPr>
          <w:color w:val="000000"/>
        </w:rPr>
        <w:t xml:space="preserve"> by the conformity assessment body</w:t>
      </w:r>
      <w:r w:rsidR="003F3881" w:rsidRPr="001074C2">
        <w:rPr>
          <w:color w:val="000000"/>
        </w:rPr>
        <w:t>.</w:t>
      </w:r>
    </w:p>
    <w:p w14:paraId="5B3C7A6A" w14:textId="772A8BCE" w:rsidR="007D1BD0" w:rsidRPr="003D7768" w:rsidRDefault="007D1BD0" w:rsidP="007D1BD0">
      <w:pPr>
        <w:rPr>
          <w:color w:val="000000"/>
        </w:rPr>
      </w:pPr>
      <w:r w:rsidRPr="0010507C">
        <w:rPr>
          <w:color w:val="000000"/>
        </w:rPr>
        <w:t>The form in which the software is supplied does not determine whether or not it is regulated</w:t>
      </w:r>
      <w:r w:rsidR="005E34CE" w:rsidRPr="0010507C">
        <w:rPr>
          <w:color w:val="000000"/>
        </w:rPr>
        <w:t xml:space="preserve"> by the TGA as a medical device</w:t>
      </w:r>
      <w:r w:rsidR="00BB25D5">
        <w:rPr>
          <w:color w:val="000000"/>
        </w:rPr>
        <w:t xml:space="preserve">. </w:t>
      </w:r>
      <w:r w:rsidRPr="003D7768">
        <w:rPr>
          <w:color w:val="000000"/>
        </w:rPr>
        <w:t>For example, software can be a medical device in the form of:</w:t>
      </w:r>
    </w:p>
    <w:p w14:paraId="3A31189D" w14:textId="77777777" w:rsidR="007D1BD0" w:rsidRPr="003D7768" w:rsidRDefault="007D1BD0" w:rsidP="00465404">
      <w:pPr>
        <w:pStyle w:val="ListBullet"/>
      </w:pPr>
      <w:r w:rsidRPr="003D7768">
        <w:t>a mobile app for a smart phone or tablet;</w:t>
      </w:r>
    </w:p>
    <w:p w14:paraId="088A0C4A" w14:textId="77777777" w:rsidR="007D1BD0" w:rsidRPr="003D7768" w:rsidRDefault="007D1BD0" w:rsidP="00465404">
      <w:pPr>
        <w:pStyle w:val="ListBullet"/>
      </w:pPr>
      <w:r w:rsidRPr="003D7768">
        <w:t xml:space="preserve">a program for a computer that is supplied on a device like a USB stick; </w:t>
      </w:r>
    </w:p>
    <w:p w14:paraId="330630C6" w14:textId="77777777" w:rsidR="007D1BD0" w:rsidRPr="003D7768" w:rsidRDefault="007D1BD0" w:rsidP="00465404">
      <w:pPr>
        <w:pStyle w:val="ListBullet"/>
      </w:pPr>
      <w:r w:rsidRPr="003D7768">
        <w:t>software installed and supplied on a computing platform (like a generic smartphone branded by the software manufacturer); or</w:t>
      </w:r>
    </w:p>
    <w:p w14:paraId="0F89F71F" w14:textId="0B2AAC8D" w:rsidR="007D1BD0" w:rsidRPr="003D7768" w:rsidRDefault="007D1BD0" w:rsidP="00465404">
      <w:pPr>
        <w:pStyle w:val="ListBullet"/>
      </w:pPr>
      <w:r w:rsidRPr="003D7768">
        <w:t>a program that is accessed or used through a website</w:t>
      </w:r>
      <w:r w:rsidR="00BB25D5">
        <w:t xml:space="preserve">. </w:t>
      </w:r>
    </w:p>
    <w:p w14:paraId="2C458109" w14:textId="66EEE1C2" w:rsidR="00812D86" w:rsidRPr="003D7768" w:rsidRDefault="003529C9" w:rsidP="00812D86">
      <w:pPr>
        <w:rPr>
          <w:color w:val="000000"/>
        </w:rPr>
      </w:pPr>
      <w:r w:rsidRPr="003D7768">
        <w:rPr>
          <w:color w:val="000000"/>
        </w:rPr>
        <w:t>Thus</w:t>
      </w:r>
      <w:r w:rsidR="005A17E7" w:rsidRPr="003D7768">
        <w:rPr>
          <w:color w:val="000000"/>
        </w:rPr>
        <w:t>,</w:t>
      </w:r>
      <w:r w:rsidRPr="003D7768">
        <w:rPr>
          <w:color w:val="000000"/>
        </w:rPr>
        <w:t xml:space="preserve"> if a software</w:t>
      </w:r>
      <w:r w:rsidR="00E86ACB" w:rsidRPr="003D7768">
        <w:rPr>
          <w:color w:val="000000"/>
        </w:rPr>
        <w:t>-based</w:t>
      </w:r>
      <w:r w:rsidRPr="003D7768">
        <w:rPr>
          <w:color w:val="000000"/>
        </w:rPr>
        <w:t xml:space="preserve"> product fits th</w:t>
      </w:r>
      <w:r w:rsidR="00E83135" w:rsidRPr="003D7768">
        <w:rPr>
          <w:color w:val="000000"/>
        </w:rPr>
        <w:t>is</w:t>
      </w:r>
      <w:r w:rsidRPr="003D7768">
        <w:rPr>
          <w:color w:val="000000"/>
        </w:rPr>
        <w:t xml:space="preserve"> definition then </w:t>
      </w:r>
      <w:r w:rsidR="00E06B47" w:rsidRPr="003D7768">
        <w:rPr>
          <w:color w:val="000000"/>
        </w:rPr>
        <w:t xml:space="preserve">the medical device </w:t>
      </w:r>
      <w:r w:rsidR="003B0B30" w:rsidRPr="003D7768">
        <w:rPr>
          <w:color w:val="000000"/>
        </w:rPr>
        <w:t xml:space="preserve">is </w:t>
      </w:r>
      <w:r w:rsidR="005E34CE" w:rsidRPr="003D7768">
        <w:rPr>
          <w:color w:val="000000"/>
        </w:rPr>
        <w:t xml:space="preserve">potentially </w:t>
      </w:r>
      <w:r w:rsidR="003B0B30" w:rsidRPr="003D7768">
        <w:rPr>
          <w:color w:val="000000"/>
        </w:rPr>
        <w:t xml:space="preserve">captured under the </w:t>
      </w:r>
      <w:r w:rsidR="00E06B47" w:rsidRPr="003D7768">
        <w:rPr>
          <w:color w:val="000000"/>
        </w:rPr>
        <w:t>regulatory framework</w:t>
      </w:r>
      <w:r w:rsidR="00BB25D5">
        <w:rPr>
          <w:color w:val="000000"/>
        </w:rPr>
        <w:t xml:space="preserve">. </w:t>
      </w:r>
      <w:r w:rsidR="00812D86" w:rsidRPr="003D7768">
        <w:rPr>
          <w:color w:val="000000"/>
        </w:rPr>
        <w:t>Many types of software meet this definition</w:t>
      </w:r>
      <w:r w:rsidR="00FD14E3" w:rsidRPr="003D7768">
        <w:rPr>
          <w:color w:val="000000"/>
        </w:rPr>
        <w:t xml:space="preserve">; </w:t>
      </w:r>
      <w:r w:rsidR="00E06B47" w:rsidRPr="003D7768">
        <w:rPr>
          <w:color w:val="000000"/>
        </w:rPr>
        <w:t>s</w:t>
      </w:r>
      <w:r w:rsidR="00812D86" w:rsidRPr="003D7768">
        <w:rPr>
          <w:color w:val="000000"/>
        </w:rPr>
        <w:t>ome examples include:</w:t>
      </w:r>
    </w:p>
    <w:p w14:paraId="5C86B4BF" w14:textId="77777777" w:rsidR="00812D86" w:rsidRPr="003D7768" w:rsidRDefault="00812D86" w:rsidP="00465404">
      <w:pPr>
        <w:pStyle w:val="ListBullet"/>
      </w:pPr>
      <w:r w:rsidRPr="003D7768">
        <w:t>smart phone apps that calculate insulin doses based on a patient's blood glucose levels</w:t>
      </w:r>
    </w:p>
    <w:p w14:paraId="36D0F9A0" w14:textId="77777777" w:rsidR="00812D86" w:rsidRPr="003D7768" w:rsidRDefault="00812D86" w:rsidP="00465404">
      <w:pPr>
        <w:pStyle w:val="ListBullet"/>
      </w:pPr>
      <w:r w:rsidRPr="003D7768">
        <w:t>X-ray image-processing software</w:t>
      </w:r>
    </w:p>
    <w:p w14:paraId="456A787D" w14:textId="36B092F5" w:rsidR="006A659B" w:rsidRPr="003D7768" w:rsidRDefault="00812D86" w:rsidP="00465404">
      <w:pPr>
        <w:pStyle w:val="ListBullet"/>
      </w:pPr>
      <w:r w:rsidRPr="003D7768">
        <w:t>software that uses information abou</w:t>
      </w:r>
      <w:r w:rsidR="006F340B" w:rsidRPr="003D7768">
        <w:t xml:space="preserve">t a patient to make a diagnosis or </w:t>
      </w:r>
      <w:r w:rsidR="006A659B" w:rsidRPr="003D7768">
        <w:t xml:space="preserve">to screen for a disease, </w:t>
      </w:r>
    </w:p>
    <w:p w14:paraId="209D1D37" w14:textId="69C4ADF0" w:rsidR="006A659B" w:rsidRPr="003D7768" w:rsidRDefault="006F340B" w:rsidP="00465404">
      <w:pPr>
        <w:pStyle w:val="ListBullet"/>
      </w:pPr>
      <w:r w:rsidRPr="003D7768">
        <w:t xml:space="preserve">a software app that </w:t>
      </w:r>
      <w:r w:rsidR="006A659B" w:rsidRPr="003D7768">
        <w:t>s</w:t>
      </w:r>
      <w:r w:rsidRPr="003D7768">
        <w:t>pecifies</w:t>
      </w:r>
      <w:r w:rsidR="006A659B" w:rsidRPr="003D7768">
        <w:t xml:space="preserve"> or recommen</w:t>
      </w:r>
      <w:r w:rsidRPr="003D7768">
        <w:t>ds</w:t>
      </w:r>
      <w:r w:rsidR="006A659B" w:rsidRPr="003D7768">
        <w:t xml:space="preserve"> a treatment or therapy, </w:t>
      </w:r>
    </w:p>
    <w:p w14:paraId="7A3A9564" w14:textId="4A0267EB" w:rsidR="008610B9" w:rsidRPr="008610B9" w:rsidRDefault="005E48D6" w:rsidP="003870D3">
      <w:pPr>
        <w:pStyle w:val="Heading4"/>
      </w:pPr>
      <w:bookmarkStart w:id="4" w:name="_Toc35874413"/>
      <w:r>
        <w:t>C</w:t>
      </w:r>
      <w:r w:rsidR="008610B9" w:rsidRPr="008610B9">
        <w:t xml:space="preserve">onsultation on </w:t>
      </w:r>
      <w:r w:rsidR="0010507C">
        <w:t>the regulation of s</w:t>
      </w:r>
      <w:r w:rsidR="008610B9" w:rsidRPr="008610B9">
        <w:t>oftware</w:t>
      </w:r>
      <w:r w:rsidR="0010507C">
        <w:t>-based medical devices</w:t>
      </w:r>
      <w:bookmarkEnd w:id="4"/>
    </w:p>
    <w:p w14:paraId="67110847" w14:textId="0548A015" w:rsidR="003529C9" w:rsidRPr="003D7768" w:rsidRDefault="00942714" w:rsidP="003529C9">
      <w:pPr>
        <w:rPr>
          <w:color w:val="000000"/>
        </w:rPr>
      </w:pPr>
      <w:r w:rsidRPr="003D7768">
        <w:rPr>
          <w:color w:val="000000"/>
        </w:rPr>
        <w:t xml:space="preserve">In early </w:t>
      </w:r>
      <w:r w:rsidR="00683FA2" w:rsidRPr="003D7768">
        <w:rPr>
          <w:color w:val="000000"/>
        </w:rPr>
        <w:t>2019,</w:t>
      </w:r>
      <w:r w:rsidRPr="003D7768">
        <w:rPr>
          <w:color w:val="000000"/>
        </w:rPr>
        <w:t xml:space="preserve"> the TGA conducted a public consultation on the </w:t>
      </w:r>
      <w:hyperlink r:id="rId16" w:history="1">
        <w:r w:rsidR="00465404" w:rsidRPr="00465404">
          <w:rPr>
            <w:rStyle w:val="Hyperlink"/>
            <w:i/>
          </w:rPr>
          <w:t>Regulation of software, including Software as a Medical Device (SaMD)</w:t>
        </w:r>
      </w:hyperlink>
      <w:r w:rsidR="00BB25D5">
        <w:rPr>
          <w:color w:val="000000"/>
        </w:rPr>
        <w:t xml:space="preserve">. </w:t>
      </w:r>
      <w:r w:rsidRPr="003D7768">
        <w:rPr>
          <w:color w:val="000000"/>
        </w:rPr>
        <w:t>Proposals for change included</w:t>
      </w:r>
      <w:r w:rsidR="003529C9" w:rsidRPr="003D7768">
        <w:rPr>
          <w:color w:val="000000"/>
        </w:rPr>
        <w:t>:</w:t>
      </w:r>
    </w:p>
    <w:p w14:paraId="1377676F" w14:textId="21584620" w:rsidR="003529C9" w:rsidRPr="003D7768" w:rsidRDefault="003529C9" w:rsidP="00465404">
      <w:pPr>
        <w:pStyle w:val="ListBullet"/>
      </w:pPr>
      <w:r w:rsidRPr="003D7768">
        <w:t>n</w:t>
      </w:r>
      <w:r w:rsidR="00942714" w:rsidRPr="003D7768">
        <w:t>ew classification rules for me</w:t>
      </w:r>
      <w:r w:rsidR="00E86ACB" w:rsidRPr="003D7768">
        <w:t xml:space="preserve">dical device software-based </w:t>
      </w:r>
      <w:r w:rsidR="00942714" w:rsidRPr="003D7768">
        <w:t xml:space="preserve">products (not including </w:t>
      </w:r>
      <w:r w:rsidR="00942714" w:rsidRPr="003D7768">
        <w:rPr>
          <w:i/>
        </w:rPr>
        <w:t>in vitro diagnostic</w:t>
      </w:r>
      <w:r w:rsidR="00BD4A26" w:rsidRPr="003D7768">
        <w:t xml:space="preserve"> </w:t>
      </w:r>
      <w:r w:rsidRPr="003D7768">
        <w:t>medical device software);</w:t>
      </w:r>
      <w:r w:rsidR="00A27C44" w:rsidRPr="003D7768">
        <w:t xml:space="preserve"> and</w:t>
      </w:r>
    </w:p>
    <w:p w14:paraId="66C7C66B" w14:textId="19AD88CC" w:rsidR="003529C9" w:rsidRPr="003D7768" w:rsidRDefault="0002733F" w:rsidP="00465404">
      <w:pPr>
        <w:pStyle w:val="ListBullet"/>
      </w:pPr>
      <w:r w:rsidRPr="003D7768">
        <w:t>changes to</w:t>
      </w:r>
      <w:r w:rsidR="00942714" w:rsidRPr="003D7768">
        <w:t xml:space="preserve"> the essential principles for safety and performance of </w:t>
      </w:r>
      <w:r w:rsidR="00BD4A26" w:rsidRPr="003D7768">
        <w:t xml:space="preserve">software-based </w:t>
      </w:r>
      <w:r w:rsidR="00942714" w:rsidRPr="003D7768">
        <w:t>medical devices to improve the clar</w:t>
      </w:r>
      <w:r w:rsidR="003529C9" w:rsidRPr="003D7768">
        <w:t>ity o</w:t>
      </w:r>
      <w:r w:rsidR="00A27C44" w:rsidRPr="003D7768">
        <w:t>f requirements</w:t>
      </w:r>
      <w:r w:rsidR="00363E2A" w:rsidRPr="003D7768">
        <w:t>.</w:t>
      </w:r>
    </w:p>
    <w:p w14:paraId="302C4C96" w14:textId="57B1F316" w:rsidR="00D95C4D" w:rsidRDefault="00DE4844" w:rsidP="00D651F7">
      <w:pPr>
        <w:rPr>
          <w:color w:val="000000"/>
        </w:rPr>
      </w:pPr>
      <w:r w:rsidRPr="003D7768">
        <w:rPr>
          <w:color w:val="000000"/>
        </w:rPr>
        <w:t xml:space="preserve">Regulatory </w:t>
      </w:r>
      <w:hyperlink r:id="rId17" w:history="1">
        <w:r w:rsidRPr="00465404">
          <w:rPr>
            <w:rStyle w:val="Hyperlink"/>
          </w:rPr>
          <w:t>changes</w:t>
        </w:r>
      </w:hyperlink>
      <w:r w:rsidRPr="003D7768">
        <w:rPr>
          <w:color w:val="000000"/>
        </w:rPr>
        <w:t xml:space="preserve"> based on </w:t>
      </w:r>
      <w:r w:rsidR="005E34CE" w:rsidRPr="003D7768">
        <w:rPr>
          <w:color w:val="000000"/>
        </w:rPr>
        <w:t>government decision</w:t>
      </w:r>
      <w:r w:rsidR="00A65580" w:rsidRPr="003D7768">
        <w:rPr>
          <w:color w:val="000000"/>
        </w:rPr>
        <w:t>s</w:t>
      </w:r>
      <w:r w:rsidR="005E34CE" w:rsidRPr="003D7768">
        <w:rPr>
          <w:color w:val="000000"/>
        </w:rPr>
        <w:t xml:space="preserve"> following </w:t>
      </w:r>
      <w:r w:rsidRPr="003D7768">
        <w:rPr>
          <w:color w:val="000000"/>
        </w:rPr>
        <w:t>this consultation were made on 12 December 2019</w:t>
      </w:r>
      <w:r w:rsidR="00363E2A" w:rsidRPr="003D7768">
        <w:rPr>
          <w:color w:val="000000"/>
        </w:rPr>
        <w:t xml:space="preserve"> </w:t>
      </w:r>
      <w:r w:rsidR="00E76F6A" w:rsidRPr="003D7768">
        <w:rPr>
          <w:color w:val="000000"/>
        </w:rPr>
        <w:t xml:space="preserve">to incorporate the </w:t>
      </w:r>
      <w:r w:rsidR="00824D7E" w:rsidRPr="003D7768">
        <w:rPr>
          <w:color w:val="000000"/>
        </w:rPr>
        <w:t xml:space="preserve">changes </w:t>
      </w:r>
      <w:r w:rsidR="00363E2A" w:rsidRPr="003D7768">
        <w:rPr>
          <w:color w:val="000000"/>
        </w:rPr>
        <w:t>mentioned above</w:t>
      </w:r>
      <w:r w:rsidR="00BB25D5">
        <w:rPr>
          <w:color w:val="000000"/>
        </w:rPr>
        <w:t xml:space="preserve">. </w:t>
      </w:r>
      <w:r w:rsidR="00E76F6A" w:rsidRPr="003D7768">
        <w:rPr>
          <w:color w:val="000000"/>
        </w:rPr>
        <w:t>T</w:t>
      </w:r>
      <w:r w:rsidR="00E86ACB" w:rsidRPr="003D7768">
        <w:rPr>
          <w:color w:val="000000"/>
        </w:rPr>
        <w:t xml:space="preserve">he majority </w:t>
      </w:r>
      <w:r w:rsidR="00BD4A26" w:rsidRPr="003D7768">
        <w:rPr>
          <w:color w:val="000000"/>
        </w:rPr>
        <w:t xml:space="preserve">of </w:t>
      </w:r>
      <w:r w:rsidR="00E76F6A" w:rsidRPr="003D7768">
        <w:rPr>
          <w:color w:val="000000"/>
        </w:rPr>
        <w:t xml:space="preserve">the new requirements </w:t>
      </w:r>
      <w:r w:rsidR="00466B64" w:rsidRPr="003D7768">
        <w:rPr>
          <w:color w:val="000000"/>
        </w:rPr>
        <w:t xml:space="preserve">will </w:t>
      </w:r>
      <w:r w:rsidR="00E86ACB" w:rsidRPr="003D7768">
        <w:rPr>
          <w:color w:val="000000"/>
        </w:rPr>
        <w:t>be</w:t>
      </w:r>
      <w:r w:rsidR="00466B64" w:rsidRPr="003D7768">
        <w:rPr>
          <w:color w:val="000000"/>
        </w:rPr>
        <w:t xml:space="preserve"> </w:t>
      </w:r>
      <w:r w:rsidR="00E86ACB" w:rsidRPr="003D7768">
        <w:rPr>
          <w:color w:val="000000"/>
        </w:rPr>
        <w:t>effective from 25 August 2020</w:t>
      </w:r>
      <w:r w:rsidR="00E76F6A" w:rsidRPr="003D7768">
        <w:rPr>
          <w:color w:val="000000"/>
        </w:rPr>
        <w:t xml:space="preserve"> but </w:t>
      </w:r>
      <w:r w:rsidR="00824D7E" w:rsidRPr="003D7768">
        <w:rPr>
          <w:color w:val="000000"/>
        </w:rPr>
        <w:t xml:space="preserve">will </w:t>
      </w:r>
      <w:r w:rsidR="00E76F6A" w:rsidRPr="003D7768">
        <w:rPr>
          <w:color w:val="000000"/>
        </w:rPr>
        <w:t>include a four-year transition period for eligible manufacturers and sponsors</w:t>
      </w:r>
      <w:r w:rsidR="0010507C">
        <w:rPr>
          <w:color w:val="000000"/>
        </w:rPr>
        <w:t xml:space="preserve"> </w:t>
      </w:r>
      <w:r w:rsidR="0010507C" w:rsidRPr="008610B9">
        <w:t>(until 1 November 2024)</w:t>
      </w:r>
      <w:r w:rsidR="00BB25D5">
        <w:rPr>
          <w:color w:val="000000"/>
        </w:rPr>
        <w:t xml:space="preserve">. </w:t>
      </w:r>
      <w:r w:rsidRPr="003D7768">
        <w:rPr>
          <w:color w:val="000000"/>
        </w:rPr>
        <w:t xml:space="preserve">A summary of the changes can be found on the TGA website </w:t>
      </w:r>
      <w:hyperlink r:id="rId18" w:history="1">
        <w:r w:rsidRPr="003D7768">
          <w:rPr>
            <w:rStyle w:val="Hyperlink"/>
            <w:color w:val="000000"/>
          </w:rPr>
          <w:t>here</w:t>
        </w:r>
      </w:hyperlink>
      <w:r w:rsidR="00D95C4D" w:rsidRPr="003D7768">
        <w:rPr>
          <w:color w:val="000000"/>
        </w:rPr>
        <w:t>.</w:t>
      </w:r>
      <w:r w:rsidR="0010507C">
        <w:rPr>
          <w:color w:val="000000"/>
        </w:rPr>
        <w:t xml:space="preserve"> F</w:t>
      </w:r>
      <w:r w:rsidR="0010507C" w:rsidRPr="008610B9">
        <w:t>urther detailed guidance is to follow and to some extent will be informed by this consultation process</w:t>
      </w:r>
      <w:r w:rsidR="0010507C">
        <w:t>.</w:t>
      </w:r>
    </w:p>
    <w:p w14:paraId="14B164FC" w14:textId="5DFF9086" w:rsidR="008610B9" w:rsidRPr="008610B9" w:rsidRDefault="008610B9" w:rsidP="00560343">
      <w:pPr>
        <w:pStyle w:val="Heading4"/>
      </w:pPr>
      <w:bookmarkStart w:id="5" w:name="_Toc35874414"/>
      <w:r>
        <w:t>Summary of the new c</w:t>
      </w:r>
      <w:r w:rsidRPr="008610B9">
        <w:t xml:space="preserve">lassification </w:t>
      </w:r>
      <w:r>
        <w:t xml:space="preserve">rules for </w:t>
      </w:r>
      <w:r w:rsidRPr="008610B9">
        <w:t>software–based medical devices</w:t>
      </w:r>
      <w:bookmarkEnd w:id="5"/>
    </w:p>
    <w:p w14:paraId="747BE3E6" w14:textId="1FB69DA4" w:rsidR="008610B9" w:rsidRPr="008610B9" w:rsidRDefault="008610B9" w:rsidP="008610B9">
      <w:pPr>
        <w:rPr>
          <w:color w:val="000000"/>
        </w:rPr>
      </w:pPr>
      <w:r w:rsidRPr="008610B9">
        <w:rPr>
          <w:color w:val="000000"/>
        </w:rPr>
        <w:t>The classification rules for software-based medical devices w</w:t>
      </w:r>
      <w:r>
        <w:rPr>
          <w:color w:val="000000"/>
        </w:rPr>
        <w:t xml:space="preserve">ill result in </w:t>
      </w:r>
      <w:r w:rsidRPr="008610B9">
        <w:rPr>
          <w:color w:val="000000"/>
        </w:rPr>
        <w:t>higher risk products being reclassified at a higher level. This is to ensure such products are subject to appropriate scrutiny and manufacturing standards</w:t>
      </w:r>
      <w:r w:rsidR="00BB25D5">
        <w:rPr>
          <w:color w:val="000000"/>
        </w:rPr>
        <w:t xml:space="preserve">. </w:t>
      </w:r>
      <w:r w:rsidRPr="008610B9">
        <w:rPr>
          <w:color w:val="000000"/>
        </w:rPr>
        <w:t>The classification rules for software-based medical devices now consider the harm that could be caused by the provision of incorrect information in carrying out the medical device functions of the software, and determines the level of regulatory oversight it will undergo.</w:t>
      </w:r>
    </w:p>
    <w:p w14:paraId="4FE2D76B" w14:textId="77777777" w:rsidR="008610B9" w:rsidRPr="008610B9" w:rsidRDefault="008610B9" w:rsidP="008610B9">
      <w:pPr>
        <w:rPr>
          <w:color w:val="000000"/>
        </w:rPr>
      </w:pPr>
      <w:r w:rsidRPr="008610B9">
        <w:rPr>
          <w:color w:val="000000"/>
        </w:rPr>
        <w:t>The new rules cover software-based medical devices intended for:</w:t>
      </w:r>
    </w:p>
    <w:p w14:paraId="76110EF5" w14:textId="77777777" w:rsidR="008610B9" w:rsidRDefault="008610B9" w:rsidP="00465404">
      <w:pPr>
        <w:pStyle w:val="ListBullet"/>
      </w:pPr>
      <w:r w:rsidRPr="008610B9">
        <w:t>Diagnosing and screening for a disease or condition</w:t>
      </w:r>
    </w:p>
    <w:p w14:paraId="783A439A" w14:textId="77777777" w:rsidR="008610B9" w:rsidRDefault="008610B9" w:rsidP="00465404">
      <w:pPr>
        <w:pStyle w:val="ListBullet"/>
      </w:pPr>
      <w:r w:rsidRPr="008610B9">
        <w:t>Monitoring the state or progression of a disease, condition, etc.</w:t>
      </w:r>
    </w:p>
    <w:p w14:paraId="0FEB4985" w14:textId="77777777" w:rsidR="008610B9" w:rsidRDefault="008610B9" w:rsidP="00465404">
      <w:pPr>
        <w:pStyle w:val="ListBullet"/>
      </w:pPr>
      <w:r w:rsidRPr="008610B9">
        <w:lastRenderedPageBreak/>
        <w:t>Specifying or recommending a treatment</w:t>
      </w:r>
    </w:p>
    <w:p w14:paraId="40D961BD" w14:textId="7EC95408" w:rsidR="008610B9" w:rsidRDefault="008610B9" w:rsidP="00465404">
      <w:pPr>
        <w:pStyle w:val="ListBullet"/>
      </w:pPr>
      <w:r w:rsidRPr="008610B9">
        <w:t>Providing therapy (via provision of information)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8610B9" w:rsidRPr="008610B9" w14:paraId="197C773C" w14:textId="77777777" w:rsidTr="008610B9">
        <w:tc>
          <w:tcPr>
            <w:tcW w:w="1276" w:type="dxa"/>
            <w:vAlign w:val="center"/>
          </w:tcPr>
          <w:p w14:paraId="0A3317DB" w14:textId="77777777" w:rsidR="008610B9" w:rsidRPr="008610B9" w:rsidRDefault="008610B9" w:rsidP="008610B9">
            <w:pPr>
              <w:spacing w:before="0"/>
              <w:rPr>
                <w:color w:val="000000"/>
                <w:sz w:val="20"/>
              </w:rPr>
            </w:pPr>
            <w:r w:rsidRPr="008610B9">
              <w:rPr>
                <w:noProof/>
                <w:color w:val="000000"/>
                <w:sz w:val="20"/>
                <w:lang w:eastAsia="en-AU"/>
              </w:rPr>
              <w:drawing>
                <wp:inline distT="0" distB="0" distL="0" distR="0" wp14:anchorId="6205BB60" wp14:editId="10F24DCF">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526D4DE" w14:textId="77777777" w:rsidR="008610B9" w:rsidRPr="008610B9" w:rsidRDefault="008610B9" w:rsidP="008610B9">
            <w:pPr>
              <w:rPr>
                <w:b/>
                <w:color w:val="000000"/>
                <w:sz w:val="24"/>
              </w:rPr>
            </w:pPr>
            <w:r w:rsidRPr="008610B9">
              <w:rPr>
                <w:b/>
                <w:color w:val="000000"/>
                <w:sz w:val="24"/>
              </w:rPr>
              <w:t>Please note</w:t>
            </w:r>
          </w:p>
          <w:p w14:paraId="1DC13E37" w14:textId="77777777" w:rsidR="008610B9" w:rsidRPr="008610B9" w:rsidRDefault="008610B9" w:rsidP="008610B9">
            <w:pPr>
              <w:rPr>
                <w:color w:val="000000"/>
                <w:sz w:val="24"/>
              </w:rPr>
            </w:pPr>
            <w:r w:rsidRPr="008610B9">
              <w:rPr>
                <w:color w:val="000000"/>
                <w:sz w:val="24"/>
              </w:rPr>
              <w:t xml:space="preserve">The new classification rules </w:t>
            </w:r>
            <w:r w:rsidRPr="008610B9">
              <w:rPr>
                <w:i/>
                <w:color w:val="000000"/>
                <w:sz w:val="24"/>
              </w:rPr>
              <w:t>do not apply</w:t>
            </w:r>
            <w:r w:rsidRPr="008610B9">
              <w:rPr>
                <w:color w:val="000000"/>
                <w:sz w:val="24"/>
              </w:rPr>
              <w:t xml:space="preserve"> to IVD medical devices.</w:t>
            </w:r>
          </w:p>
        </w:tc>
      </w:tr>
    </w:tbl>
    <w:p w14:paraId="5B377B10" w14:textId="735B1931" w:rsidR="008610B9" w:rsidRPr="008610B9" w:rsidRDefault="008610B9" w:rsidP="008610B9">
      <w:pPr>
        <w:rPr>
          <w:color w:val="000000"/>
        </w:rPr>
      </w:pPr>
      <w:r w:rsidRPr="008610B9">
        <w:rPr>
          <w:color w:val="000000"/>
        </w:rPr>
        <w:t>The former regulatory framework considered harm that can directly be caused by a physical interaction with a medical device; however, it did not adequately address the risk of patient harm where information is the source of harm</w:t>
      </w:r>
      <w:r w:rsidR="00BB25D5">
        <w:rPr>
          <w:color w:val="000000"/>
        </w:rPr>
        <w:t xml:space="preserve">. </w:t>
      </w:r>
      <w:r w:rsidRPr="008610B9">
        <w:rPr>
          <w:color w:val="000000"/>
        </w:rPr>
        <w:t>Software that processes data to provide information to be used in treating a person, for example, a diagnosis of a disease, or the specification of a therapy to be delivered, can cause harm whe</w:t>
      </w:r>
      <w:r w:rsidR="00465404">
        <w:rPr>
          <w:color w:val="000000"/>
        </w:rPr>
        <w:t>n the information is incorrect.</w:t>
      </w:r>
    </w:p>
    <w:p w14:paraId="7A790846" w14:textId="7A61996E" w:rsidR="008610B9" w:rsidRPr="008610B9" w:rsidRDefault="008610B9" w:rsidP="008610B9">
      <w:pPr>
        <w:rPr>
          <w:color w:val="000000"/>
        </w:rPr>
      </w:pPr>
      <w:r w:rsidRPr="008610B9">
        <w:rPr>
          <w:color w:val="000000"/>
        </w:rPr>
        <w:t>The International Medical Device Regulators Forum (IMDRF) has developed guidance for the regulation of software to address such concerns and the EU has recently moved to reform its regulation of software-based medical devices in harmony with the IMDRF guidance. The EU introduced rules for software classification in its Medical Device Regulation 2017/745 which comes in to force in May 2020.</w:t>
      </w:r>
    </w:p>
    <w:p w14:paraId="24948236" w14:textId="572714DF" w:rsidR="008610B9" w:rsidRPr="008610B9" w:rsidRDefault="008610B9" w:rsidP="008610B9">
      <w:pPr>
        <w:rPr>
          <w:color w:val="000000"/>
        </w:rPr>
      </w:pPr>
      <w:r w:rsidRPr="008610B9">
        <w:rPr>
          <w:color w:val="000000"/>
        </w:rPr>
        <w:t xml:space="preserve">The Australian classification rules for software-based medical devices are broadly aligned with the EU classification described </w:t>
      </w:r>
      <w:r w:rsidR="00854EF5">
        <w:rPr>
          <w:color w:val="000000"/>
        </w:rPr>
        <w:t>h</w:t>
      </w:r>
      <w:r w:rsidRPr="008610B9">
        <w:rPr>
          <w:color w:val="000000"/>
        </w:rPr>
        <w:t>owever, based on consultation feedback, the Australian rules also take into consideration whether the software is intended to provide information to a relevant healthcare provider</w:t>
      </w:r>
      <w:r w:rsidR="00BB25D5">
        <w:rPr>
          <w:color w:val="000000"/>
        </w:rPr>
        <w:t xml:space="preserve">. </w:t>
      </w:r>
      <w:r w:rsidRPr="008610B9">
        <w:rPr>
          <w:color w:val="000000"/>
        </w:rPr>
        <w:t>In accordance with the IMDRF principles, the rules recognise this as a lower risk scenario and the classifications are correspondingly lower than those in the EU</w:t>
      </w:r>
      <w:r w:rsidR="00BB25D5">
        <w:rPr>
          <w:color w:val="000000"/>
        </w:rPr>
        <w:t xml:space="preserve">. </w:t>
      </w:r>
      <w:r w:rsidRPr="008610B9">
        <w:rPr>
          <w:color w:val="000000"/>
        </w:rPr>
        <w:t>This means that EU certification will still be able to support an application for market authorisation in Australia because a higher certification level is acceptable for a product with a lower risk classification.</w:t>
      </w:r>
    </w:p>
    <w:p w14:paraId="748772AE" w14:textId="0C6850E1" w:rsidR="00022AB6" w:rsidRDefault="00022AB6" w:rsidP="00D651F7">
      <w:pPr>
        <w:rPr>
          <w:color w:val="000000"/>
        </w:rPr>
      </w:pPr>
      <w:r>
        <w:rPr>
          <w:color w:val="000000"/>
        </w:rPr>
        <w:t>There are some additional differences compared to the EU classification rules</w:t>
      </w:r>
      <w:r w:rsidR="00BB25D5">
        <w:rPr>
          <w:color w:val="000000"/>
        </w:rPr>
        <w:t xml:space="preserve">. </w:t>
      </w:r>
      <w:r w:rsidRPr="008610B9">
        <w:rPr>
          <w:color w:val="000000"/>
        </w:rPr>
        <w:t xml:space="preserve">The EU rules are silent on </w:t>
      </w:r>
      <w:r>
        <w:rPr>
          <w:color w:val="000000"/>
        </w:rPr>
        <w:t xml:space="preserve">public health risk and </w:t>
      </w:r>
      <w:r w:rsidRPr="008610B9">
        <w:rPr>
          <w:color w:val="000000"/>
        </w:rPr>
        <w:t>devices that provide therapy through the provision of information so these default to Class I in the EU</w:t>
      </w:r>
      <w:r w:rsidR="00BB25D5">
        <w:rPr>
          <w:color w:val="000000"/>
        </w:rPr>
        <w:t xml:space="preserve">. </w:t>
      </w:r>
      <w:r w:rsidRPr="008610B9">
        <w:rPr>
          <w:color w:val="000000"/>
        </w:rPr>
        <w:t>Depending on the intended purpose of the software, these devices may be Class I or higher in Australia</w:t>
      </w:r>
      <w:r w:rsidR="00BB25D5">
        <w:rPr>
          <w:color w:val="000000"/>
        </w:rPr>
        <w:t xml:space="preserve">. </w:t>
      </w:r>
      <w:r w:rsidR="005B2CC3" w:rsidRPr="008610B9">
        <w:rPr>
          <w:color w:val="000000"/>
        </w:rPr>
        <w:t xml:space="preserve">The Australian classification rules are summarised </w:t>
      </w:r>
      <w:r w:rsidR="005B2CC3">
        <w:rPr>
          <w:color w:val="000000"/>
        </w:rPr>
        <w:t xml:space="preserve">in </w:t>
      </w:r>
      <w:r w:rsidR="008720AB">
        <w:rPr>
          <w:color w:val="000000"/>
        </w:rPr>
        <w:t>Table 1</w:t>
      </w:r>
      <w:r w:rsidR="005B2CC3">
        <w:rPr>
          <w:color w:val="000000"/>
        </w:rPr>
        <w:t xml:space="preserve"> with further detail provided in </w:t>
      </w:r>
      <w:hyperlink w:anchor="_Appendix_2_-" w:history="1">
        <w:r w:rsidR="005B2CC3" w:rsidRPr="003870D3">
          <w:rPr>
            <w:rStyle w:val="Hyperlink"/>
          </w:rPr>
          <w:t>Appendix 2</w:t>
        </w:r>
      </w:hyperlink>
      <w:r w:rsidR="005B2CC3">
        <w:rPr>
          <w:color w:val="000000"/>
        </w:rPr>
        <w:t>.</w:t>
      </w:r>
    </w:p>
    <w:p w14:paraId="36E18CE7" w14:textId="2A9496FA" w:rsidR="008F283C" w:rsidRDefault="009F7879" w:rsidP="00D651F7">
      <w:pPr>
        <w:rPr>
          <w:color w:val="000000"/>
        </w:rPr>
      </w:pPr>
      <w:r w:rsidRPr="008610B9">
        <w:rPr>
          <w:color w:val="000000"/>
        </w:rPr>
        <w:t>As part of the personalised medical device reforms, change were also made to an existing classification rule to cover medical devices intended for creating virtual anatomical models</w:t>
      </w:r>
      <w:r>
        <w:rPr>
          <w:color w:val="000000"/>
        </w:rPr>
        <w:t xml:space="preserve"> (see </w:t>
      </w:r>
      <w:hyperlink w:anchor="_Appendix_2_-" w:history="1">
        <w:r w:rsidRPr="003870D3">
          <w:rPr>
            <w:rStyle w:val="Hyperlink"/>
          </w:rPr>
          <w:t>Appendix 2</w:t>
        </w:r>
      </w:hyperlink>
      <w:r>
        <w:rPr>
          <w:color w:val="000000"/>
        </w:rPr>
        <w:t>)</w:t>
      </w:r>
      <w:r w:rsidR="00BB25D5">
        <w:rPr>
          <w:color w:val="000000"/>
        </w:rPr>
        <w:t xml:space="preserve">. </w:t>
      </w:r>
      <w:r w:rsidRPr="008610B9">
        <w:rPr>
          <w:color w:val="000000"/>
        </w:rPr>
        <w:t>This is also not currently addressed in the EU medical device classification rules and so these devices would default to Class I in the EU but may be a higher classification in Australia.</w:t>
      </w:r>
      <w:r w:rsidR="008F283C">
        <w:rPr>
          <w:color w:val="000000"/>
        </w:rPr>
        <w:t xml:space="preserve"> </w:t>
      </w:r>
    </w:p>
    <w:p w14:paraId="15FDF13B" w14:textId="77777777" w:rsidR="008F283C" w:rsidRDefault="008F283C">
      <w:pPr>
        <w:spacing w:before="0" w:after="0" w:line="240" w:lineRule="auto"/>
        <w:rPr>
          <w:color w:val="000000"/>
        </w:rPr>
      </w:pPr>
      <w:r>
        <w:rPr>
          <w:color w:val="000000"/>
        </w:rPr>
        <w:br w:type="page"/>
      </w:r>
    </w:p>
    <w:p w14:paraId="5CE029DA" w14:textId="05E7503D" w:rsidR="009F6024" w:rsidRPr="009F7879" w:rsidRDefault="008720AB" w:rsidP="00D651F7">
      <w:pPr>
        <w:rPr>
          <w:b/>
          <w:color w:val="000000"/>
        </w:rPr>
      </w:pPr>
      <w:r w:rsidRPr="009F7879">
        <w:rPr>
          <w:b/>
          <w:color w:val="000000"/>
        </w:rPr>
        <w:lastRenderedPageBreak/>
        <w:t>Table 1: Summary of classification rules for software-based medical devices</w:t>
      </w:r>
    </w:p>
    <w:tbl>
      <w:tblPr>
        <w:tblStyle w:val="TableTGAblue"/>
        <w:tblW w:w="9072" w:type="dxa"/>
        <w:tblLayout w:type="fixed"/>
        <w:tblLook w:val="04A0" w:firstRow="1" w:lastRow="0" w:firstColumn="1" w:lastColumn="0" w:noHBand="0" w:noVBand="1"/>
      </w:tblPr>
      <w:tblGrid>
        <w:gridCol w:w="567"/>
        <w:gridCol w:w="2694"/>
        <w:gridCol w:w="2976"/>
        <w:gridCol w:w="2835"/>
      </w:tblGrid>
      <w:tr w:rsidR="00C905CE" w:rsidRPr="00022AB6" w14:paraId="2DD1F250" w14:textId="77777777" w:rsidTr="003F7305">
        <w:trPr>
          <w:cnfStyle w:val="100000000000" w:firstRow="1" w:lastRow="0" w:firstColumn="0" w:lastColumn="0" w:oddVBand="0" w:evenVBand="0" w:oddHBand="0" w:evenHBand="0" w:firstRowFirstColumn="0" w:firstRowLastColumn="0" w:lastRowFirstColumn="0" w:lastRowLastColumn="0"/>
          <w:cantSplit w:val="0"/>
          <w:trHeight w:val="557"/>
          <w:tblHeader/>
        </w:trPr>
        <w:tc>
          <w:tcPr>
            <w:cnfStyle w:val="001000000000" w:firstRow="0" w:lastRow="0" w:firstColumn="1" w:lastColumn="0" w:oddVBand="0" w:evenVBand="0" w:oddHBand="0" w:evenHBand="0" w:firstRowFirstColumn="0" w:firstRowLastColumn="0" w:lastRowFirstColumn="0" w:lastRowLastColumn="0"/>
            <w:tcW w:w="3261" w:type="dxa"/>
            <w:gridSpan w:val="2"/>
            <w:vMerge w:val="restart"/>
          </w:tcPr>
          <w:p w14:paraId="5B8AFC32" w14:textId="77777777" w:rsidR="00C905CE" w:rsidRPr="00022AB6" w:rsidRDefault="00C905CE" w:rsidP="00781FC8">
            <w:pPr>
              <w:rPr>
                <w:sz w:val="21"/>
                <w:lang w:eastAsia="en-AU"/>
              </w:rPr>
            </w:pPr>
          </w:p>
        </w:tc>
        <w:tc>
          <w:tcPr>
            <w:tcW w:w="5811" w:type="dxa"/>
            <w:gridSpan w:val="2"/>
          </w:tcPr>
          <w:p w14:paraId="32B03AF1" w14:textId="1C1B9365" w:rsidR="00C905CE" w:rsidRPr="00022AB6" w:rsidRDefault="00C905CE" w:rsidP="003F730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lang w:eastAsia="en-AU"/>
              </w:rPr>
            </w:pPr>
            <w:r w:rsidRPr="00022AB6">
              <w:rPr>
                <w:b w:val="0"/>
                <w:sz w:val="20"/>
                <w:szCs w:val="20"/>
                <w:lang w:eastAsia="en-AU"/>
              </w:rPr>
              <w:t xml:space="preserve">Diagnosing/screening and/or specifying </w:t>
            </w:r>
            <w:r>
              <w:rPr>
                <w:b w:val="0"/>
                <w:sz w:val="20"/>
                <w:szCs w:val="20"/>
                <w:lang w:eastAsia="en-AU"/>
              </w:rPr>
              <w:t xml:space="preserve">or recommending </w:t>
            </w:r>
            <w:r w:rsidRPr="00022AB6">
              <w:rPr>
                <w:b w:val="0"/>
                <w:sz w:val="20"/>
                <w:szCs w:val="20"/>
                <w:lang w:eastAsia="en-AU"/>
              </w:rPr>
              <w:t>treatment/intervention</w:t>
            </w:r>
            <w:r w:rsidR="003F7305">
              <w:rPr>
                <w:b w:val="0"/>
                <w:sz w:val="20"/>
                <w:szCs w:val="20"/>
                <w:lang w:eastAsia="en-AU"/>
              </w:rPr>
              <w:t xml:space="preserve"> </w:t>
            </w:r>
            <w:r w:rsidRPr="00022AB6">
              <w:rPr>
                <w:b w:val="0"/>
                <w:sz w:val="20"/>
                <w:szCs w:val="20"/>
                <w:lang w:eastAsia="en-AU"/>
              </w:rPr>
              <w:t>for a disease or condition</w:t>
            </w:r>
          </w:p>
        </w:tc>
      </w:tr>
      <w:tr w:rsidR="00C905CE" w:rsidRPr="00022AB6" w14:paraId="4F9217B0" w14:textId="77777777" w:rsidTr="003F7305">
        <w:trPr>
          <w:cnfStyle w:val="100000000000" w:firstRow="1" w:lastRow="0" w:firstColumn="0" w:lastColumn="0" w:oddVBand="0" w:evenVBand="0" w:oddHBand="0" w:evenHBand="0" w:firstRowFirstColumn="0" w:firstRowLastColumn="0" w:lastRowFirstColumn="0" w:lastRowLastColumn="0"/>
          <w:cantSplit w:val="0"/>
          <w:trHeight w:val="250"/>
          <w:tblHeader/>
        </w:trPr>
        <w:tc>
          <w:tcPr>
            <w:cnfStyle w:val="001000000000" w:firstRow="0" w:lastRow="0" w:firstColumn="1" w:lastColumn="0" w:oddVBand="0" w:evenVBand="0" w:oddHBand="0" w:evenHBand="0" w:firstRowFirstColumn="0" w:firstRowLastColumn="0" w:lastRowFirstColumn="0" w:lastRowLastColumn="0"/>
            <w:tcW w:w="3261" w:type="dxa"/>
            <w:gridSpan w:val="2"/>
            <w:vMerge/>
          </w:tcPr>
          <w:p w14:paraId="6A49BAD4" w14:textId="77777777" w:rsidR="00C905CE" w:rsidRPr="00022AB6" w:rsidRDefault="00C905CE" w:rsidP="00781FC8">
            <w:pPr>
              <w:rPr>
                <w:b w:val="0"/>
                <w:sz w:val="21"/>
                <w:lang w:eastAsia="en-AU"/>
              </w:rPr>
            </w:pPr>
          </w:p>
        </w:tc>
        <w:tc>
          <w:tcPr>
            <w:tcW w:w="2976" w:type="dxa"/>
          </w:tcPr>
          <w:p w14:paraId="29915A11" w14:textId="77777777" w:rsidR="00C905CE" w:rsidRPr="00022AB6" w:rsidRDefault="00C905CE" w:rsidP="00781FC8">
            <w:pPr>
              <w:jc w:val="center"/>
              <w:cnfStyle w:val="100000000000" w:firstRow="1" w:lastRow="0" w:firstColumn="0" w:lastColumn="0" w:oddVBand="0" w:evenVBand="0" w:oddHBand="0" w:evenHBand="0" w:firstRowFirstColumn="0" w:firstRowLastColumn="0" w:lastRowFirstColumn="0" w:lastRowLastColumn="0"/>
              <w:rPr>
                <w:b w:val="0"/>
                <w:sz w:val="20"/>
                <w:szCs w:val="20"/>
                <w:lang w:eastAsia="en-AU"/>
              </w:rPr>
            </w:pPr>
            <w:r w:rsidRPr="00022AB6">
              <w:rPr>
                <w:b w:val="0"/>
                <w:sz w:val="20"/>
                <w:szCs w:val="20"/>
                <w:lang w:eastAsia="en-AU"/>
              </w:rPr>
              <w:t>Provides information to an individual</w:t>
            </w:r>
          </w:p>
        </w:tc>
        <w:tc>
          <w:tcPr>
            <w:tcW w:w="2835" w:type="dxa"/>
          </w:tcPr>
          <w:p w14:paraId="48390C1A" w14:textId="77777777" w:rsidR="00C905CE" w:rsidRPr="00022AB6" w:rsidRDefault="00C905CE" w:rsidP="00781FC8">
            <w:pPr>
              <w:jc w:val="center"/>
              <w:cnfStyle w:val="100000000000" w:firstRow="1" w:lastRow="0" w:firstColumn="0" w:lastColumn="0" w:oddVBand="0" w:evenVBand="0" w:oddHBand="0" w:evenHBand="0" w:firstRowFirstColumn="0" w:firstRowLastColumn="0" w:lastRowFirstColumn="0" w:lastRowLastColumn="0"/>
              <w:rPr>
                <w:b w:val="0"/>
                <w:sz w:val="20"/>
                <w:szCs w:val="20"/>
                <w:lang w:eastAsia="en-AU"/>
              </w:rPr>
            </w:pPr>
            <w:r w:rsidRPr="00022AB6">
              <w:rPr>
                <w:b w:val="0"/>
                <w:sz w:val="20"/>
                <w:szCs w:val="20"/>
                <w:lang w:eastAsia="en-AU"/>
              </w:rPr>
              <w:t xml:space="preserve">Provides information to a health professional </w:t>
            </w:r>
          </w:p>
        </w:tc>
      </w:tr>
      <w:tr w:rsidR="00C905CE" w:rsidRPr="00022AB6" w14:paraId="551A4814" w14:textId="77777777" w:rsidTr="003F7305">
        <w:trPr>
          <w:trHeight w:val="958"/>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EAE6F0" w:themeFill="accent6" w:themeFillTint="33"/>
            <w:textDirection w:val="btLr"/>
          </w:tcPr>
          <w:p w14:paraId="32A39766" w14:textId="5C320A4A" w:rsidR="00C905CE" w:rsidRPr="00022AB6" w:rsidRDefault="00C905CE" w:rsidP="00781FC8">
            <w:pPr>
              <w:ind w:left="113" w:right="113"/>
              <w:jc w:val="center"/>
              <w:rPr>
                <w:b/>
                <w:sz w:val="20"/>
                <w:szCs w:val="20"/>
                <w:lang w:eastAsia="en-AU"/>
              </w:rPr>
            </w:pPr>
            <w:r w:rsidRPr="00022AB6">
              <w:rPr>
                <w:b/>
                <w:sz w:val="20"/>
                <w:szCs w:val="20"/>
                <w:lang w:eastAsia="en-AU"/>
              </w:rPr>
              <w:t>Risk to individual or public health</w:t>
            </w:r>
          </w:p>
        </w:tc>
        <w:tc>
          <w:tcPr>
            <w:tcW w:w="2694" w:type="dxa"/>
          </w:tcPr>
          <w:p w14:paraId="48F40370"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Death/severe deterioration/high public health risk</w:t>
            </w:r>
          </w:p>
        </w:tc>
        <w:tc>
          <w:tcPr>
            <w:tcW w:w="2976" w:type="dxa"/>
          </w:tcPr>
          <w:p w14:paraId="5434C24B"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III</w:t>
            </w:r>
          </w:p>
        </w:tc>
        <w:tc>
          <w:tcPr>
            <w:tcW w:w="2835" w:type="dxa"/>
          </w:tcPr>
          <w:p w14:paraId="070E9296"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IIb</w:t>
            </w:r>
          </w:p>
        </w:tc>
      </w:tr>
      <w:tr w:rsidR="00C905CE" w:rsidRPr="00022AB6" w14:paraId="382E167C" w14:textId="77777777" w:rsidTr="003F7305">
        <w:trPr>
          <w:trHeight w:val="989"/>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6C4BFAF5" w14:textId="77777777" w:rsidR="00C905CE" w:rsidRPr="00022AB6" w:rsidRDefault="00C905CE" w:rsidP="00781FC8">
            <w:pPr>
              <w:rPr>
                <w:sz w:val="21"/>
                <w:lang w:eastAsia="en-AU"/>
              </w:rPr>
            </w:pPr>
          </w:p>
        </w:tc>
        <w:tc>
          <w:tcPr>
            <w:tcW w:w="2694" w:type="dxa"/>
          </w:tcPr>
          <w:p w14:paraId="39E78516" w14:textId="50F3BB9A"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Serious disease or condition</w:t>
            </w:r>
            <w:r w:rsidR="00781FC8">
              <w:rPr>
                <w:b/>
                <w:sz w:val="20"/>
                <w:szCs w:val="20"/>
                <w:lang w:eastAsia="en-AU"/>
              </w:rPr>
              <w:t>/otherwise</w:t>
            </w:r>
            <w:r w:rsidRPr="00022AB6">
              <w:rPr>
                <w:b/>
                <w:sz w:val="20"/>
                <w:szCs w:val="20"/>
                <w:lang w:eastAsia="en-AU"/>
              </w:rPr>
              <w:t xml:space="preserve"> harmful/moderate public health risk</w:t>
            </w:r>
          </w:p>
        </w:tc>
        <w:tc>
          <w:tcPr>
            <w:tcW w:w="2976" w:type="dxa"/>
          </w:tcPr>
          <w:p w14:paraId="01E96F0B"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IIb</w:t>
            </w:r>
          </w:p>
        </w:tc>
        <w:tc>
          <w:tcPr>
            <w:tcW w:w="2835" w:type="dxa"/>
          </w:tcPr>
          <w:p w14:paraId="7355A87F"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IIa</w:t>
            </w:r>
          </w:p>
        </w:tc>
      </w:tr>
      <w:tr w:rsidR="00C905CE" w:rsidRPr="00022AB6" w14:paraId="09C6AE29" w14:textId="77777777" w:rsidTr="003F7305">
        <w:trPr>
          <w:trHeight w:val="143"/>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5B2177AD" w14:textId="77777777" w:rsidR="00C905CE" w:rsidRPr="00022AB6" w:rsidRDefault="00C905CE" w:rsidP="00781FC8">
            <w:pPr>
              <w:rPr>
                <w:sz w:val="21"/>
                <w:lang w:eastAsia="en-AU"/>
              </w:rPr>
            </w:pPr>
          </w:p>
        </w:tc>
        <w:tc>
          <w:tcPr>
            <w:tcW w:w="2694" w:type="dxa"/>
          </w:tcPr>
          <w:p w14:paraId="2DF8FF84"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lang w:eastAsia="en-AU"/>
              </w:rPr>
            </w:pPr>
            <w:r>
              <w:rPr>
                <w:b/>
                <w:sz w:val="20"/>
                <w:lang w:eastAsia="en-AU"/>
              </w:rPr>
              <w:t>Any other case</w:t>
            </w:r>
          </w:p>
        </w:tc>
        <w:tc>
          <w:tcPr>
            <w:tcW w:w="2976" w:type="dxa"/>
          </w:tcPr>
          <w:p w14:paraId="446F325C"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IIa</w:t>
            </w:r>
          </w:p>
        </w:tc>
        <w:tc>
          <w:tcPr>
            <w:tcW w:w="2835" w:type="dxa"/>
          </w:tcPr>
          <w:p w14:paraId="78EBD13B"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I</w:t>
            </w:r>
          </w:p>
        </w:tc>
      </w:tr>
      <w:tr w:rsidR="00C905CE" w:rsidRPr="00022AB6" w14:paraId="01685A5B" w14:textId="77777777" w:rsidTr="003F7305">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261419C3" w14:textId="77777777" w:rsidR="00C905CE" w:rsidRPr="00022AB6" w:rsidRDefault="00C905CE" w:rsidP="00781FC8">
            <w:pPr>
              <w:rPr>
                <w:b/>
                <w:sz w:val="21"/>
                <w:lang w:eastAsia="en-AU"/>
              </w:rPr>
            </w:pPr>
          </w:p>
        </w:tc>
        <w:tc>
          <w:tcPr>
            <w:tcW w:w="2694" w:type="dxa"/>
            <w:shd w:val="clear" w:color="auto" w:fill="EAE6F0" w:themeFill="accent6" w:themeFillTint="33"/>
          </w:tcPr>
          <w:p w14:paraId="6C2D1086"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p>
        </w:tc>
        <w:tc>
          <w:tcPr>
            <w:tcW w:w="5811" w:type="dxa"/>
            <w:gridSpan w:val="2"/>
            <w:shd w:val="clear" w:color="auto" w:fill="EAE6F0" w:themeFill="accent6" w:themeFillTint="33"/>
          </w:tcPr>
          <w:p w14:paraId="17DFD7D9"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Monitoring the state/progression of a disease or condition</w:t>
            </w:r>
          </w:p>
        </w:tc>
      </w:tr>
      <w:tr w:rsidR="00C905CE" w:rsidRPr="00022AB6" w14:paraId="2A2D6C08" w14:textId="77777777" w:rsidTr="003F7305">
        <w:trPr>
          <w:trHeight w:val="818"/>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1B5F0338" w14:textId="77777777" w:rsidR="00C905CE" w:rsidRPr="00022AB6" w:rsidRDefault="00C905CE" w:rsidP="00781FC8">
            <w:pPr>
              <w:rPr>
                <w:sz w:val="21"/>
                <w:lang w:eastAsia="en-AU"/>
              </w:rPr>
            </w:pPr>
          </w:p>
        </w:tc>
        <w:tc>
          <w:tcPr>
            <w:tcW w:w="2694" w:type="dxa"/>
          </w:tcPr>
          <w:p w14:paraId="270B2AA0" w14:textId="000D8902"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Immediate danger to a person/high public health risk</w:t>
            </w:r>
          </w:p>
        </w:tc>
        <w:tc>
          <w:tcPr>
            <w:tcW w:w="5811" w:type="dxa"/>
            <w:gridSpan w:val="2"/>
          </w:tcPr>
          <w:p w14:paraId="726F12B4"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IIb</w:t>
            </w:r>
          </w:p>
        </w:tc>
      </w:tr>
      <w:tr w:rsidR="00C905CE" w:rsidRPr="00022AB6" w14:paraId="7EC8C88B" w14:textId="77777777" w:rsidTr="003F7305">
        <w:trPr>
          <w:trHeight w:val="90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2B9628AD" w14:textId="77777777" w:rsidR="00C905CE" w:rsidRPr="00022AB6" w:rsidRDefault="00C905CE" w:rsidP="00781FC8">
            <w:pPr>
              <w:rPr>
                <w:sz w:val="21"/>
                <w:lang w:eastAsia="en-AU"/>
              </w:rPr>
            </w:pPr>
          </w:p>
        </w:tc>
        <w:tc>
          <w:tcPr>
            <w:tcW w:w="2694" w:type="dxa"/>
          </w:tcPr>
          <w:p w14:paraId="3AA35069"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Other danger to a person</w:t>
            </w:r>
            <w:r>
              <w:rPr>
                <w:b/>
                <w:sz w:val="20"/>
                <w:szCs w:val="20"/>
                <w:lang w:eastAsia="en-AU"/>
              </w:rPr>
              <w:t xml:space="preserve"> or another</w:t>
            </w:r>
            <w:r w:rsidRPr="00022AB6">
              <w:rPr>
                <w:b/>
                <w:sz w:val="20"/>
                <w:szCs w:val="20"/>
                <w:lang w:eastAsia="en-AU"/>
              </w:rPr>
              <w:t>/moderate public health risk</w:t>
            </w:r>
          </w:p>
        </w:tc>
        <w:tc>
          <w:tcPr>
            <w:tcW w:w="5811" w:type="dxa"/>
            <w:gridSpan w:val="2"/>
          </w:tcPr>
          <w:p w14:paraId="2650A4A3"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IIa</w:t>
            </w:r>
          </w:p>
        </w:tc>
      </w:tr>
      <w:tr w:rsidR="00C905CE" w:rsidRPr="00022AB6" w14:paraId="344B44D3" w14:textId="77777777" w:rsidTr="003F7305">
        <w:trPr>
          <w:trHeight w:val="263"/>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77C279B3" w14:textId="77777777" w:rsidR="00C905CE" w:rsidRPr="00022AB6" w:rsidRDefault="00C905CE" w:rsidP="00781FC8">
            <w:pPr>
              <w:rPr>
                <w:sz w:val="21"/>
                <w:lang w:eastAsia="en-AU"/>
              </w:rPr>
            </w:pPr>
          </w:p>
        </w:tc>
        <w:tc>
          <w:tcPr>
            <w:tcW w:w="2694" w:type="dxa"/>
          </w:tcPr>
          <w:p w14:paraId="7AC3B5F2"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lang w:eastAsia="en-AU"/>
              </w:rPr>
            </w:pPr>
            <w:r>
              <w:rPr>
                <w:b/>
                <w:sz w:val="20"/>
                <w:lang w:eastAsia="en-AU"/>
              </w:rPr>
              <w:t>Any other case</w:t>
            </w:r>
          </w:p>
        </w:tc>
        <w:tc>
          <w:tcPr>
            <w:tcW w:w="5811" w:type="dxa"/>
            <w:gridSpan w:val="2"/>
          </w:tcPr>
          <w:p w14:paraId="4127F0BC"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I</w:t>
            </w:r>
          </w:p>
        </w:tc>
      </w:tr>
      <w:tr w:rsidR="00C905CE" w:rsidRPr="00022AB6" w14:paraId="45887A98" w14:textId="77777777" w:rsidTr="003F7305">
        <w:trPr>
          <w:trHeight w:val="808"/>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469C150A" w14:textId="77777777" w:rsidR="00C905CE" w:rsidRPr="00022AB6" w:rsidRDefault="00C905CE" w:rsidP="00781FC8">
            <w:pPr>
              <w:rPr>
                <w:b/>
                <w:sz w:val="21"/>
                <w:lang w:eastAsia="en-AU"/>
              </w:rPr>
            </w:pPr>
          </w:p>
        </w:tc>
        <w:tc>
          <w:tcPr>
            <w:tcW w:w="2694" w:type="dxa"/>
            <w:shd w:val="clear" w:color="auto" w:fill="EAE6F0" w:themeFill="accent6" w:themeFillTint="33"/>
          </w:tcPr>
          <w:p w14:paraId="6CDFF7EC"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p>
        </w:tc>
        <w:tc>
          <w:tcPr>
            <w:tcW w:w="5811" w:type="dxa"/>
            <w:gridSpan w:val="2"/>
            <w:shd w:val="clear" w:color="auto" w:fill="EAE6F0" w:themeFill="accent6" w:themeFillTint="33"/>
          </w:tcPr>
          <w:p w14:paraId="67370A06"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For providing therapy through provision of information</w:t>
            </w:r>
          </w:p>
        </w:tc>
      </w:tr>
      <w:tr w:rsidR="00C905CE" w:rsidRPr="00022AB6" w14:paraId="7D5048CF" w14:textId="77777777" w:rsidTr="003F7305">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1FD40112" w14:textId="77777777" w:rsidR="00C905CE" w:rsidRPr="00022AB6" w:rsidRDefault="00C905CE" w:rsidP="00781FC8">
            <w:pPr>
              <w:rPr>
                <w:sz w:val="21"/>
                <w:lang w:eastAsia="en-AU"/>
              </w:rPr>
            </w:pPr>
          </w:p>
        </w:tc>
        <w:tc>
          <w:tcPr>
            <w:tcW w:w="2694" w:type="dxa"/>
          </w:tcPr>
          <w:p w14:paraId="2339DFF0"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May result in death/ severe deterioration</w:t>
            </w:r>
          </w:p>
        </w:tc>
        <w:tc>
          <w:tcPr>
            <w:tcW w:w="5811" w:type="dxa"/>
            <w:gridSpan w:val="2"/>
          </w:tcPr>
          <w:p w14:paraId="7E50D034"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III</w:t>
            </w:r>
          </w:p>
        </w:tc>
      </w:tr>
      <w:tr w:rsidR="00C905CE" w:rsidRPr="00022AB6" w14:paraId="12DAC95A" w14:textId="77777777" w:rsidTr="003F7305">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0C061906" w14:textId="77777777" w:rsidR="00C905CE" w:rsidRPr="00022AB6" w:rsidRDefault="00C905CE" w:rsidP="00781FC8">
            <w:pPr>
              <w:rPr>
                <w:sz w:val="21"/>
                <w:lang w:eastAsia="en-AU"/>
              </w:rPr>
            </w:pPr>
          </w:p>
        </w:tc>
        <w:tc>
          <w:tcPr>
            <w:tcW w:w="2694" w:type="dxa"/>
          </w:tcPr>
          <w:p w14:paraId="60FABD57"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May cause serious harm</w:t>
            </w:r>
          </w:p>
        </w:tc>
        <w:tc>
          <w:tcPr>
            <w:tcW w:w="5811" w:type="dxa"/>
            <w:gridSpan w:val="2"/>
          </w:tcPr>
          <w:p w14:paraId="0E3E9B5C"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IIb</w:t>
            </w:r>
          </w:p>
        </w:tc>
      </w:tr>
      <w:tr w:rsidR="00C905CE" w:rsidRPr="00022AB6" w14:paraId="2B6494CC" w14:textId="77777777" w:rsidTr="003F7305">
        <w:trPr>
          <w:trHeight w:val="544"/>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6E6B4C9F" w14:textId="77777777" w:rsidR="00C905CE" w:rsidRPr="00022AB6" w:rsidRDefault="00C905CE" w:rsidP="00781FC8">
            <w:pPr>
              <w:rPr>
                <w:sz w:val="21"/>
                <w:lang w:eastAsia="en-AU"/>
              </w:rPr>
            </w:pPr>
          </w:p>
        </w:tc>
        <w:tc>
          <w:tcPr>
            <w:tcW w:w="2694" w:type="dxa"/>
          </w:tcPr>
          <w:p w14:paraId="2567622E"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szCs w:val="20"/>
                <w:lang w:eastAsia="en-AU"/>
              </w:rPr>
            </w:pPr>
            <w:r w:rsidRPr="00022AB6">
              <w:rPr>
                <w:b/>
                <w:sz w:val="20"/>
                <w:szCs w:val="20"/>
                <w:lang w:eastAsia="en-AU"/>
              </w:rPr>
              <w:t>May cause harm</w:t>
            </w:r>
          </w:p>
        </w:tc>
        <w:tc>
          <w:tcPr>
            <w:tcW w:w="5811" w:type="dxa"/>
            <w:gridSpan w:val="2"/>
          </w:tcPr>
          <w:p w14:paraId="0A2E4047"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szCs w:val="20"/>
                <w:lang w:eastAsia="en-AU"/>
              </w:rPr>
            </w:pPr>
            <w:r w:rsidRPr="00022AB6">
              <w:rPr>
                <w:sz w:val="20"/>
                <w:szCs w:val="20"/>
                <w:lang w:eastAsia="en-AU"/>
              </w:rPr>
              <w:t>IIa</w:t>
            </w:r>
          </w:p>
        </w:tc>
      </w:tr>
      <w:tr w:rsidR="00C905CE" w:rsidRPr="00022AB6" w14:paraId="2EB4CDDB" w14:textId="77777777" w:rsidTr="003F7305">
        <w:trPr>
          <w:trHeight w:val="239"/>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EAE6F0" w:themeFill="accent6" w:themeFillTint="33"/>
          </w:tcPr>
          <w:p w14:paraId="4CAD2801" w14:textId="77777777" w:rsidR="00C905CE" w:rsidRPr="00022AB6" w:rsidRDefault="00C905CE" w:rsidP="00781FC8">
            <w:pPr>
              <w:rPr>
                <w:sz w:val="21"/>
                <w:lang w:eastAsia="en-AU"/>
              </w:rPr>
            </w:pPr>
          </w:p>
        </w:tc>
        <w:tc>
          <w:tcPr>
            <w:tcW w:w="2694" w:type="dxa"/>
          </w:tcPr>
          <w:p w14:paraId="29E49CA9" w14:textId="77777777" w:rsidR="00C905CE" w:rsidRPr="00022AB6" w:rsidRDefault="00C905CE" w:rsidP="00781FC8">
            <w:pPr>
              <w:cnfStyle w:val="000000000000" w:firstRow="0" w:lastRow="0" w:firstColumn="0" w:lastColumn="0" w:oddVBand="0" w:evenVBand="0" w:oddHBand="0" w:evenHBand="0" w:firstRowFirstColumn="0" w:firstRowLastColumn="0" w:lastRowFirstColumn="0" w:lastRowLastColumn="0"/>
              <w:rPr>
                <w:b/>
                <w:sz w:val="20"/>
                <w:lang w:eastAsia="en-AU"/>
              </w:rPr>
            </w:pPr>
            <w:r>
              <w:rPr>
                <w:b/>
                <w:sz w:val="20"/>
                <w:lang w:eastAsia="en-AU"/>
              </w:rPr>
              <w:t>Any other case</w:t>
            </w:r>
          </w:p>
        </w:tc>
        <w:tc>
          <w:tcPr>
            <w:tcW w:w="5811" w:type="dxa"/>
            <w:gridSpan w:val="2"/>
          </w:tcPr>
          <w:p w14:paraId="425AC142" w14:textId="77777777" w:rsidR="00C905CE" w:rsidRPr="00022AB6" w:rsidRDefault="00C905CE" w:rsidP="00781FC8">
            <w:pPr>
              <w:jc w:val="center"/>
              <w:cnfStyle w:val="000000000000" w:firstRow="0" w:lastRow="0" w:firstColumn="0" w:lastColumn="0" w:oddVBand="0" w:evenVBand="0" w:oddHBand="0" w:evenHBand="0" w:firstRowFirstColumn="0" w:firstRowLastColumn="0" w:lastRowFirstColumn="0" w:lastRowLastColumn="0"/>
              <w:rPr>
                <w:sz w:val="20"/>
                <w:lang w:eastAsia="en-AU"/>
              </w:rPr>
            </w:pPr>
            <w:r>
              <w:rPr>
                <w:sz w:val="20"/>
                <w:lang w:eastAsia="en-AU"/>
              </w:rPr>
              <w:t>I</w:t>
            </w:r>
          </w:p>
        </w:tc>
      </w:tr>
    </w:tbl>
    <w:p w14:paraId="0711982B" w14:textId="2852A5FD" w:rsidR="00A24B1C" w:rsidRPr="003D7768" w:rsidRDefault="00A24B1C" w:rsidP="009E1E20">
      <w:pPr>
        <w:pStyle w:val="Heading3"/>
      </w:pPr>
      <w:bookmarkStart w:id="6" w:name="_Toc35874415"/>
      <w:r w:rsidRPr="003D7768">
        <w:t>The problem</w:t>
      </w:r>
      <w:bookmarkEnd w:id="6"/>
    </w:p>
    <w:p w14:paraId="749078F1" w14:textId="14BC73DD" w:rsidR="00A24B1C" w:rsidRPr="003D7768" w:rsidRDefault="00A24B1C" w:rsidP="00A24B1C">
      <w:pPr>
        <w:rPr>
          <w:color w:val="000000"/>
        </w:rPr>
      </w:pPr>
      <w:r w:rsidRPr="003D7768">
        <w:rPr>
          <w:color w:val="000000"/>
        </w:rPr>
        <w:t>Advances in computing technology in the last two decades have resulted in lowered costs and increased access to powerful computing platforms with more software applications being developed for use in the health field</w:t>
      </w:r>
      <w:r w:rsidR="00BB25D5">
        <w:rPr>
          <w:color w:val="000000"/>
        </w:rPr>
        <w:t xml:space="preserve">. </w:t>
      </w:r>
      <w:r w:rsidRPr="003D7768">
        <w:rPr>
          <w:color w:val="000000"/>
        </w:rPr>
        <w:t xml:space="preserve">This has given rise to the so-called ‘digital health environment’ which is rapidly evolving and includes many new medical device software products, and many </w:t>
      </w:r>
      <w:r w:rsidR="007D1BD0" w:rsidRPr="003D7768">
        <w:rPr>
          <w:color w:val="000000"/>
        </w:rPr>
        <w:t xml:space="preserve">health-based </w:t>
      </w:r>
      <w:r w:rsidRPr="003D7768">
        <w:rPr>
          <w:color w:val="000000"/>
        </w:rPr>
        <w:t>products which are crossing and/or blending traditional boundaries of therapeutic product definitions.</w:t>
      </w:r>
    </w:p>
    <w:p w14:paraId="657C9E39" w14:textId="4B8A3C42" w:rsidR="00A24B1C" w:rsidRDefault="007D1BD0" w:rsidP="00A24B1C">
      <w:pPr>
        <w:rPr>
          <w:color w:val="000000"/>
        </w:rPr>
      </w:pPr>
      <w:r w:rsidRPr="003D7768">
        <w:rPr>
          <w:color w:val="000000"/>
        </w:rPr>
        <w:lastRenderedPageBreak/>
        <w:t>As a consequence, t</w:t>
      </w:r>
      <w:r w:rsidR="00A24B1C" w:rsidRPr="003D7768">
        <w:rPr>
          <w:color w:val="000000"/>
        </w:rPr>
        <w:t>he boundary for regulated software products is becoming more difficult to identify, a situation that has caused therapeutic goods regulators around the world to consider or to implement changes to their frameworks to address uncertainty</w:t>
      </w:r>
      <w:r w:rsidR="003F7305">
        <w:rPr>
          <w:color w:val="000000"/>
        </w:rPr>
        <w:t>.</w:t>
      </w:r>
    </w:p>
    <w:p w14:paraId="4B2765C7" w14:textId="16A660D0" w:rsidR="008610B9" w:rsidRDefault="008610B9" w:rsidP="008610B9">
      <w:pPr>
        <w:rPr>
          <w:color w:val="000000"/>
        </w:rPr>
      </w:pPr>
      <w:r>
        <w:rPr>
          <w:color w:val="000000"/>
        </w:rPr>
        <w:t>In addition, f</w:t>
      </w:r>
      <w:r w:rsidRPr="003D7768">
        <w:rPr>
          <w:color w:val="000000"/>
        </w:rPr>
        <w:t xml:space="preserve">eedback from consultation </w:t>
      </w:r>
      <w:r>
        <w:rPr>
          <w:color w:val="000000"/>
        </w:rPr>
        <w:t xml:space="preserve">on the regulation of software </w:t>
      </w:r>
      <w:r w:rsidRPr="003D7768">
        <w:rPr>
          <w:color w:val="000000"/>
        </w:rPr>
        <w:t>indicated that there was confusion over what was considered a medical device, and that it was important to clarify this in consultation with stakeholders prior to the commencement of the regulatory changes</w:t>
      </w:r>
      <w:r w:rsidR="003F7305">
        <w:rPr>
          <w:color w:val="000000"/>
        </w:rPr>
        <w:t>.</w:t>
      </w:r>
    </w:p>
    <w:p w14:paraId="25E9EA75" w14:textId="2FB82C9B" w:rsidR="005248DA" w:rsidRPr="003D7768" w:rsidRDefault="005248DA" w:rsidP="009E1E20">
      <w:pPr>
        <w:pStyle w:val="Heading3"/>
      </w:pPr>
      <w:bookmarkStart w:id="7" w:name="_Toc35874416"/>
      <w:r w:rsidRPr="003D7768">
        <w:t>This consultation</w:t>
      </w:r>
      <w:bookmarkEnd w:id="7"/>
    </w:p>
    <w:p w14:paraId="19D45031" w14:textId="66DD1C9B" w:rsidR="00AC57A7" w:rsidRPr="003D7768" w:rsidRDefault="00AC57A7" w:rsidP="00AC57A7">
      <w:pPr>
        <w:rPr>
          <w:color w:val="000000"/>
        </w:rPr>
      </w:pPr>
      <w:r w:rsidRPr="003D7768">
        <w:rPr>
          <w:color w:val="000000"/>
        </w:rPr>
        <w:t>The Government has asked us to consider measures that would clarify the boundary for software</w:t>
      </w:r>
      <w:r w:rsidR="00E86ACB" w:rsidRPr="003D7768">
        <w:rPr>
          <w:color w:val="000000"/>
        </w:rPr>
        <w:t>-based</w:t>
      </w:r>
      <w:r w:rsidRPr="003D7768">
        <w:rPr>
          <w:color w:val="000000"/>
        </w:rPr>
        <w:t xml:space="preserve"> products that are </w:t>
      </w:r>
      <w:r w:rsidR="00E86ACB" w:rsidRPr="003D7768">
        <w:rPr>
          <w:color w:val="000000"/>
        </w:rPr>
        <w:t>captured under</w:t>
      </w:r>
      <w:r w:rsidRPr="003D7768">
        <w:rPr>
          <w:color w:val="000000"/>
        </w:rPr>
        <w:t xml:space="preserve"> the regulatory framework for medical devices in Australia</w:t>
      </w:r>
      <w:r w:rsidR="006A659B" w:rsidRPr="003D7768">
        <w:rPr>
          <w:color w:val="000000"/>
        </w:rPr>
        <w:t>, and to ensure that sponsors and manufacturers of software-based products are not subject to unnecessary regulatory oversight</w:t>
      </w:r>
      <w:r w:rsidR="00592EF0">
        <w:rPr>
          <w:color w:val="000000"/>
        </w:rPr>
        <w:t>.</w:t>
      </w:r>
    </w:p>
    <w:p w14:paraId="1C669D67" w14:textId="16745D1B" w:rsidR="00CE5DBC" w:rsidRPr="003D7768" w:rsidRDefault="006A659B" w:rsidP="00AC57A7">
      <w:pPr>
        <w:rPr>
          <w:color w:val="000000"/>
        </w:rPr>
      </w:pPr>
      <w:r w:rsidRPr="003D7768">
        <w:rPr>
          <w:color w:val="000000"/>
        </w:rPr>
        <w:t xml:space="preserve">In considering </w:t>
      </w:r>
      <w:r w:rsidR="0010507C">
        <w:rPr>
          <w:color w:val="000000"/>
        </w:rPr>
        <w:t>what could potentially be carved out from regulation</w:t>
      </w:r>
      <w:r w:rsidRPr="003D7768">
        <w:rPr>
          <w:color w:val="000000"/>
        </w:rPr>
        <w:t xml:space="preserve"> we propos</w:t>
      </w:r>
      <w:r w:rsidR="00F7063E" w:rsidRPr="003D7768">
        <w:rPr>
          <w:color w:val="000000"/>
        </w:rPr>
        <w:t>e</w:t>
      </w:r>
      <w:r w:rsidRPr="003D7768">
        <w:rPr>
          <w:color w:val="000000"/>
        </w:rPr>
        <w:t xml:space="preserve"> the following principles:</w:t>
      </w:r>
    </w:p>
    <w:p w14:paraId="7F2D321A" w14:textId="4BE52798" w:rsidR="00CE5DBC" w:rsidRPr="003D7768" w:rsidRDefault="00CE5DBC" w:rsidP="00F441CA">
      <w:pPr>
        <w:pStyle w:val="ListBullet"/>
      </w:pPr>
      <w:r w:rsidRPr="003D7768">
        <w:t>Align internationally where appropriate.</w:t>
      </w:r>
    </w:p>
    <w:p w14:paraId="2BDBF445" w14:textId="55F9CD1B" w:rsidR="00CE5DBC" w:rsidRPr="003D7768" w:rsidRDefault="006A659B" w:rsidP="00F441CA">
      <w:pPr>
        <w:pStyle w:val="ListBullet"/>
      </w:pPr>
      <w:r w:rsidRPr="003D7768">
        <w:t>Work to r</w:t>
      </w:r>
      <w:r w:rsidR="00CE5DBC" w:rsidRPr="003D7768">
        <w:t xml:space="preserve">educe </w:t>
      </w:r>
      <w:r w:rsidRPr="003D7768">
        <w:t xml:space="preserve">or remove unnecessary </w:t>
      </w:r>
      <w:r w:rsidR="00CE5DBC" w:rsidRPr="003D7768">
        <w:t>regulatory burden:</w:t>
      </w:r>
    </w:p>
    <w:p w14:paraId="37AB3FC6" w14:textId="366FA02A" w:rsidR="00CE5DBC" w:rsidRPr="003D7768" w:rsidRDefault="006A659B" w:rsidP="007C44E4">
      <w:pPr>
        <w:pStyle w:val="ListBullet2"/>
      </w:pPr>
      <w:r w:rsidRPr="003D7768">
        <w:t>by not regulating</w:t>
      </w:r>
      <w:r w:rsidR="00CE5DBC" w:rsidRPr="003D7768">
        <w:t xml:space="preserve"> </w:t>
      </w:r>
      <w:r w:rsidR="00F7063E" w:rsidRPr="003D7768">
        <w:t xml:space="preserve">products </w:t>
      </w:r>
      <w:r w:rsidR="00CE5DBC" w:rsidRPr="003D7768">
        <w:t xml:space="preserve">where </w:t>
      </w:r>
      <w:r w:rsidR="00F7063E" w:rsidRPr="003D7768">
        <w:t xml:space="preserve">there is no a risk to safety </w:t>
      </w:r>
      <w:r w:rsidR="00CE5DBC" w:rsidRPr="003D7768">
        <w:t>(</w:t>
      </w:r>
      <w:r w:rsidRPr="003D7768">
        <w:t xml:space="preserve">a </w:t>
      </w:r>
      <w:r w:rsidR="00CE5DBC" w:rsidRPr="003D7768">
        <w:t>no-harm principle)</w:t>
      </w:r>
    </w:p>
    <w:p w14:paraId="499E3530" w14:textId="3A453770" w:rsidR="00CE5DBC" w:rsidRPr="003D7768" w:rsidRDefault="006A659B" w:rsidP="00F441CA">
      <w:pPr>
        <w:pStyle w:val="ListBullet2"/>
      </w:pPr>
      <w:r w:rsidRPr="003D7768">
        <w:t>by not regulating</w:t>
      </w:r>
      <w:r w:rsidR="00CE5DBC" w:rsidRPr="003D7768">
        <w:t xml:space="preserve"> twice</w:t>
      </w:r>
      <w:r w:rsidRPr="003D7768">
        <w:t xml:space="preserve"> (that is, where suitable frameworks </w:t>
      </w:r>
      <w:r w:rsidR="00F7063E" w:rsidRPr="003D7768">
        <w:t xml:space="preserve">for product or system oversight </w:t>
      </w:r>
      <w:r w:rsidRPr="003D7768">
        <w:t>are already in place)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777BD" w:rsidRPr="003D7768" w14:paraId="6CC7E566" w14:textId="77777777" w:rsidTr="00266A8C">
        <w:tc>
          <w:tcPr>
            <w:tcW w:w="1276" w:type="dxa"/>
            <w:vAlign w:val="center"/>
          </w:tcPr>
          <w:p w14:paraId="346580F1" w14:textId="77777777" w:rsidR="00E777BD" w:rsidRPr="003D7768" w:rsidRDefault="00E777BD" w:rsidP="00266A8C">
            <w:pPr>
              <w:spacing w:before="0"/>
              <w:rPr>
                <w:color w:val="000000"/>
                <w:sz w:val="20"/>
              </w:rPr>
            </w:pPr>
            <w:r w:rsidRPr="003D7768">
              <w:rPr>
                <w:noProof/>
                <w:color w:val="000000"/>
                <w:sz w:val="20"/>
                <w:lang w:eastAsia="en-AU"/>
              </w:rPr>
              <w:drawing>
                <wp:inline distT="0" distB="0" distL="0" distR="0" wp14:anchorId="4BB8686C" wp14:editId="7C8AE680">
                  <wp:extent cx="487681" cy="487681"/>
                  <wp:effectExtent l="19050" t="0" r="7619" b="0"/>
                  <wp:docPr id="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5106E79" w14:textId="77777777" w:rsidR="00E777BD" w:rsidRPr="003D7768" w:rsidRDefault="00E777BD" w:rsidP="00266A8C">
            <w:pPr>
              <w:rPr>
                <w:b/>
                <w:color w:val="000000"/>
                <w:sz w:val="24"/>
              </w:rPr>
            </w:pPr>
            <w:r w:rsidRPr="003D7768">
              <w:rPr>
                <w:b/>
                <w:color w:val="000000"/>
                <w:sz w:val="24"/>
              </w:rPr>
              <w:t>Please note</w:t>
            </w:r>
          </w:p>
          <w:p w14:paraId="526AF864" w14:textId="263067C4" w:rsidR="00854EF5" w:rsidRPr="003D7768" w:rsidRDefault="004029CD" w:rsidP="004029CD">
            <w:pPr>
              <w:rPr>
                <w:color w:val="000000"/>
              </w:rPr>
            </w:pPr>
            <w:r>
              <w:rPr>
                <w:color w:val="000000"/>
                <w:sz w:val="24"/>
              </w:rPr>
              <w:t>IVD medical device related software products (such as laboratory information management systems etc</w:t>
            </w:r>
            <w:r w:rsidR="002B319E">
              <w:rPr>
                <w:color w:val="000000"/>
                <w:sz w:val="24"/>
              </w:rPr>
              <w:t>.</w:t>
            </w:r>
            <w:r>
              <w:rPr>
                <w:color w:val="000000"/>
                <w:sz w:val="24"/>
              </w:rPr>
              <w:t>) will also be considered in this consultation</w:t>
            </w:r>
            <w:r w:rsidR="00854EF5">
              <w:rPr>
                <w:color w:val="000000"/>
                <w:sz w:val="24"/>
              </w:rPr>
              <w:t xml:space="preserve">. </w:t>
            </w:r>
          </w:p>
        </w:tc>
      </w:tr>
    </w:tbl>
    <w:p w14:paraId="31F3987F" w14:textId="07BE4203" w:rsidR="00135CD2" w:rsidRPr="003D7768" w:rsidRDefault="00135CD2" w:rsidP="00560343">
      <w:pPr>
        <w:pStyle w:val="Heading4"/>
      </w:pPr>
      <w:bookmarkStart w:id="8" w:name="_Toc35874417"/>
      <w:r w:rsidRPr="003D7768">
        <w:t>Your feedback</w:t>
      </w:r>
      <w:bookmarkEnd w:id="8"/>
    </w:p>
    <w:p w14:paraId="692E158E" w14:textId="77777777" w:rsidR="00135CD2" w:rsidRPr="003D7768" w:rsidRDefault="00135CD2" w:rsidP="00135CD2">
      <w:pPr>
        <w:rPr>
          <w:color w:val="000000"/>
        </w:rPr>
      </w:pPr>
      <w:r w:rsidRPr="003D7768">
        <w:rPr>
          <w:color w:val="000000"/>
        </w:rPr>
        <w:t>Are you a patient, manufacturer, sponsor, healthcare provider, industry representative body, consumer advocacy group, scientist, researcher, or other interested party?</w:t>
      </w:r>
    </w:p>
    <w:p w14:paraId="27FDC520" w14:textId="35084C49" w:rsidR="00135CD2" w:rsidRPr="003D7768" w:rsidRDefault="00135CD2" w:rsidP="003B3C3F">
      <w:pPr>
        <w:rPr>
          <w:color w:val="000000"/>
        </w:rPr>
      </w:pPr>
      <w:r w:rsidRPr="003D7768">
        <w:rPr>
          <w:color w:val="000000"/>
        </w:rPr>
        <w:t xml:space="preserve">We seek your views on </w:t>
      </w:r>
      <w:r w:rsidR="00230FD0">
        <w:rPr>
          <w:color w:val="000000"/>
        </w:rPr>
        <w:t>a proposal to carve-</w:t>
      </w:r>
      <w:r w:rsidR="006A659B" w:rsidRPr="003D7768">
        <w:rPr>
          <w:color w:val="000000"/>
        </w:rPr>
        <w:t xml:space="preserve">out certain </w:t>
      </w:r>
      <w:r w:rsidRPr="003D7768">
        <w:rPr>
          <w:color w:val="000000"/>
        </w:rPr>
        <w:t>software-based products from regulation by the TGA</w:t>
      </w:r>
      <w:r w:rsidR="00BB25D5">
        <w:rPr>
          <w:color w:val="000000"/>
        </w:rPr>
        <w:t xml:space="preserve">. </w:t>
      </w:r>
      <w:r w:rsidR="003B3C3F" w:rsidRPr="003D7768">
        <w:rPr>
          <w:color w:val="000000"/>
        </w:rPr>
        <w:t>Please refer to the section below</w:t>
      </w:r>
      <w:r w:rsidR="003B3C3F" w:rsidRPr="003D7768">
        <w:rPr>
          <w:i/>
          <w:color w:val="000000"/>
        </w:rPr>
        <w:t xml:space="preserve">: </w:t>
      </w:r>
      <w:hyperlink w:anchor="_What_we_invite" w:history="1">
        <w:r w:rsidR="00967EF4" w:rsidRPr="008F283C">
          <w:rPr>
            <w:rStyle w:val="Hyperlink"/>
            <w:i/>
          </w:rPr>
          <w:t>What we invite you to do</w:t>
        </w:r>
      </w:hyperlink>
    </w:p>
    <w:p w14:paraId="5C47C672" w14:textId="77777777" w:rsidR="00135CD2" w:rsidRPr="003D7768" w:rsidRDefault="00135CD2" w:rsidP="00135CD2">
      <w:pPr>
        <w:rPr>
          <w:color w:val="000000"/>
        </w:rPr>
        <w:sectPr w:rsidR="00135CD2" w:rsidRPr="003D7768" w:rsidSect="0074066C">
          <w:headerReference w:type="default" r:id="rId20"/>
          <w:footerReference w:type="default" r:id="rId21"/>
          <w:headerReference w:type="first" r:id="rId22"/>
          <w:type w:val="continuous"/>
          <w:pgSz w:w="11906" w:h="16838" w:code="9"/>
          <w:pgMar w:top="1530" w:right="1418" w:bottom="1361" w:left="1418" w:header="998" w:footer="283" w:gutter="0"/>
          <w:cols w:space="708"/>
          <w:titlePg/>
          <w:docGrid w:linePitch="360"/>
        </w:sectPr>
      </w:pPr>
    </w:p>
    <w:p w14:paraId="78DA10AC" w14:textId="3626923E" w:rsidR="001B204A" w:rsidRPr="005E48D6" w:rsidRDefault="00551142" w:rsidP="00560343">
      <w:pPr>
        <w:pStyle w:val="Heading2"/>
      </w:pPr>
      <w:bookmarkStart w:id="9" w:name="_Toc35874418"/>
      <w:r w:rsidRPr="005E48D6">
        <w:lastRenderedPageBreak/>
        <w:t>Approache</w:t>
      </w:r>
      <w:r w:rsidR="0010507C" w:rsidRPr="005E48D6">
        <w:t xml:space="preserve">s by other regulators to </w:t>
      </w:r>
      <w:r w:rsidR="003F7305">
        <w:t>“</w:t>
      </w:r>
      <w:r w:rsidR="0010507C" w:rsidRPr="005E48D6">
        <w:t>carve-</w:t>
      </w:r>
      <w:r w:rsidRPr="005E48D6">
        <w:t>out”</w:t>
      </w:r>
      <w:bookmarkEnd w:id="9"/>
    </w:p>
    <w:p w14:paraId="2EA55929" w14:textId="14568EBF" w:rsidR="006D4B58" w:rsidRPr="003D7768" w:rsidRDefault="00F7063E" w:rsidP="006D4B58">
      <w:pPr>
        <w:rPr>
          <w:color w:val="000000"/>
        </w:rPr>
      </w:pPr>
      <w:r w:rsidRPr="003D7768">
        <w:rPr>
          <w:noProof/>
          <w:color w:val="000000"/>
          <w:lang w:eastAsia="en-AU"/>
        </w:rPr>
        <w:t>W</w:t>
      </w:r>
      <w:r w:rsidR="006D4B58" w:rsidRPr="003D7768">
        <w:rPr>
          <w:noProof/>
          <w:color w:val="000000"/>
          <w:lang w:eastAsia="en-AU"/>
        </w:rPr>
        <w:t xml:space="preserve">e have </w:t>
      </w:r>
      <w:r w:rsidR="00A24B1C" w:rsidRPr="003D7768">
        <w:rPr>
          <w:color w:val="000000"/>
        </w:rPr>
        <w:t xml:space="preserve">analysed </w:t>
      </w:r>
      <w:r w:rsidR="006D4B58" w:rsidRPr="003D7768">
        <w:rPr>
          <w:color w:val="000000"/>
        </w:rPr>
        <w:t xml:space="preserve">the approaches taken by </w:t>
      </w:r>
      <w:r w:rsidR="00A24B1C" w:rsidRPr="003D7768">
        <w:rPr>
          <w:color w:val="000000"/>
        </w:rPr>
        <w:t xml:space="preserve">comparable overseas regulators in order to identify possible </w:t>
      </w:r>
      <w:r w:rsidR="006A2C89">
        <w:rPr>
          <w:color w:val="000000"/>
        </w:rPr>
        <w:t>approaches</w:t>
      </w:r>
      <w:r w:rsidR="005E48D6">
        <w:rPr>
          <w:color w:val="000000"/>
        </w:rPr>
        <w:t xml:space="preserve"> to carving </w:t>
      </w:r>
      <w:r w:rsidR="00BC3513">
        <w:rPr>
          <w:color w:val="000000"/>
        </w:rPr>
        <w:t>out certain software from regula</w:t>
      </w:r>
      <w:r w:rsidR="005E48D6">
        <w:rPr>
          <w:color w:val="000000"/>
        </w:rPr>
        <w:t>tion</w:t>
      </w:r>
      <w:r w:rsidRPr="003D7768">
        <w:rPr>
          <w:color w:val="000000"/>
        </w:rPr>
        <w:t>, including:</w:t>
      </w:r>
    </w:p>
    <w:p w14:paraId="5574A190" w14:textId="51F6007F" w:rsidR="006D4B58" w:rsidRPr="00F33D14" w:rsidRDefault="00A24B1C" w:rsidP="00CF2004">
      <w:pPr>
        <w:pStyle w:val="ListBullet"/>
        <w:rPr>
          <w:color w:val="000000"/>
        </w:rPr>
      </w:pPr>
      <w:r w:rsidRPr="00F33D14">
        <w:rPr>
          <w:color w:val="000000"/>
        </w:rPr>
        <w:t>Australia (AU)</w:t>
      </w:r>
      <w:r w:rsidR="00F33D14" w:rsidRPr="00F33D14">
        <w:rPr>
          <w:color w:val="000000"/>
        </w:rPr>
        <w:t xml:space="preserve">, </w:t>
      </w:r>
      <w:r w:rsidR="006A659B" w:rsidRPr="00F33D14">
        <w:rPr>
          <w:color w:val="000000"/>
        </w:rPr>
        <w:t>Canada (CA)</w:t>
      </w:r>
      <w:r w:rsidR="00F33D14" w:rsidRPr="00F33D14">
        <w:rPr>
          <w:color w:val="000000"/>
        </w:rPr>
        <w:t xml:space="preserve">, </w:t>
      </w:r>
      <w:r w:rsidR="006D4B58" w:rsidRPr="00F33D14">
        <w:rPr>
          <w:color w:val="000000"/>
        </w:rPr>
        <w:t>European Union (EU)</w:t>
      </w:r>
      <w:r w:rsidR="00F33D14" w:rsidRPr="00F33D14">
        <w:rPr>
          <w:color w:val="000000"/>
        </w:rPr>
        <w:t xml:space="preserve">, </w:t>
      </w:r>
      <w:r w:rsidR="006A659B" w:rsidRPr="00F33D14">
        <w:rPr>
          <w:color w:val="000000"/>
        </w:rPr>
        <w:t>GHTF/IMDRF (GI)</w:t>
      </w:r>
      <w:r w:rsidR="00F33D14" w:rsidRPr="00F33D14">
        <w:rPr>
          <w:color w:val="000000"/>
        </w:rPr>
        <w:t xml:space="preserve">, </w:t>
      </w:r>
      <w:r w:rsidR="006D4B58" w:rsidRPr="00F33D14">
        <w:rPr>
          <w:color w:val="000000"/>
        </w:rPr>
        <w:t>Japan (JP)</w:t>
      </w:r>
      <w:r w:rsidR="00F33D14" w:rsidRPr="00F33D14">
        <w:rPr>
          <w:color w:val="000000"/>
        </w:rPr>
        <w:t xml:space="preserve">, </w:t>
      </w:r>
      <w:r w:rsidR="006D4B58" w:rsidRPr="00F33D14">
        <w:rPr>
          <w:color w:val="000000"/>
        </w:rPr>
        <w:t>Singapore (SP)</w:t>
      </w:r>
      <w:r w:rsidR="00F33D14" w:rsidRPr="00F33D14">
        <w:rPr>
          <w:color w:val="000000"/>
        </w:rPr>
        <w:t xml:space="preserve"> and </w:t>
      </w:r>
      <w:r w:rsidR="00F33D14">
        <w:rPr>
          <w:color w:val="000000"/>
        </w:rPr>
        <w:t>t</w:t>
      </w:r>
      <w:r w:rsidR="006D4B58" w:rsidRPr="00F33D14">
        <w:rPr>
          <w:color w:val="000000"/>
        </w:rPr>
        <w:t>he United States</w:t>
      </w:r>
      <w:r w:rsidRPr="00F33D14">
        <w:rPr>
          <w:color w:val="000000"/>
        </w:rPr>
        <w:t xml:space="preserve"> </w:t>
      </w:r>
      <w:r w:rsidR="006D4B58" w:rsidRPr="00F33D14">
        <w:rPr>
          <w:color w:val="000000"/>
        </w:rPr>
        <w:t>(US)</w:t>
      </w:r>
    </w:p>
    <w:p w14:paraId="7B082490" w14:textId="63DE4785" w:rsidR="00D046DA" w:rsidRPr="003D7768" w:rsidRDefault="00D046DA" w:rsidP="00D046DA">
      <w:pPr>
        <w:rPr>
          <w:color w:val="000000"/>
        </w:rPr>
      </w:pPr>
      <w:r>
        <w:rPr>
          <w:color w:val="000000"/>
        </w:rPr>
        <w:t>There is</w:t>
      </w:r>
      <w:r w:rsidRPr="003D7768">
        <w:rPr>
          <w:color w:val="000000"/>
        </w:rPr>
        <w:t xml:space="preserve"> considerable alignment across the various frameworks in terms of scope and interpretation of what is, and what is not, considered to be a medical device</w:t>
      </w:r>
      <w:r w:rsidR="00BB25D5">
        <w:rPr>
          <w:color w:val="000000"/>
        </w:rPr>
        <w:t xml:space="preserve">. </w:t>
      </w:r>
    </w:p>
    <w:p w14:paraId="0ACDA65E" w14:textId="3B7B4CD2" w:rsidR="002F724C" w:rsidRDefault="00265933" w:rsidP="002F724C">
      <w:pPr>
        <w:rPr>
          <w:color w:val="000000"/>
        </w:rPr>
      </w:pPr>
      <w:r>
        <w:rPr>
          <w:color w:val="000000"/>
        </w:rPr>
        <w:t>In most cases, the m</w:t>
      </w:r>
      <w:r w:rsidR="004D60BD">
        <w:rPr>
          <w:color w:val="000000"/>
        </w:rPr>
        <w:t xml:space="preserve">ost common </w:t>
      </w:r>
      <w:r w:rsidR="004D60BD" w:rsidRPr="003D7768">
        <w:rPr>
          <w:color w:val="000000"/>
        </w:rPr>
        <w:t xml:space="preserve">approach undertaken by international regulatory jurisdictions to clarify what </w:t>
      </w:r>
      <w:r w:rsidR="00563E11">
        <w:rPr>
          <w:color w:val="000000"/>
        </w:rPr>
        <w:t>their respective frameworks should capture</w:t>
      </w:r>
      <w:r>
        <w:rPr>
          <w:color w:val="000000"/>
        </w:rPr>
        <w:t xml:space="preserve"> has been the publication of guidance material</w:t>
      </w:r>
      <w:r w:rsidR="00BB25D5">
        <w:rPr>
          <w:color w:val="000000"/>
        </w:rPr>
        <w:t xml:space="preserve">. </w:t>
      </w:r>
      <w:r w:rsidR="002F724C" w:rsidRPr="00D046DA">
        <w:rPr>
          <w:color w:val="000000"/>
        </w:rPr>
        <w:t xml:space="preserve">Health Canada has published a </w:t>
      </w:r>
      <w:hyperlink r:id="rId23" w:anchor="a2.1" w:history="1">
        <w:r w:rsidR="002F724C" w:rsidRPr="003F7305">
          <w:rPr>
            <w:rStyle w:val="Hyperlink"/>
          </w:rPr>
          <w:t>guidance document</w:t>
        </w:r>
      </w:hyperlink>
      <w:r w:rsidR="00EC21F2" w:rsidRPr="003F7305">
        <w:rPr>
          <w:rStyle w:val="Hyperlink"/>
          <w:color w:val="000000"/>
          <w:u w:val="none"/>
        </w:rPr>
        <w:t xml:space="preserve"> </w:t>
      </w:r>
      <w:r w:rsidR="002F724C" w:rsidRPr="00D046DA">
        <w:rPr>
          <w:color w:val="000000"/>
        </w:rPr>
        <w:t>on software-based medical devices, including what is considered in and what is considered out of scope of the Canadian regulatory framework</w:t>
      </w:r>
      <w:r w:rsidR="00BB25D5">
        <w:rPr>
          <w:color w:val="000000"/>
        </w:rPr>
        <w:t xml:space="preserve">. </w:t>
      </w:r>
      <w:r w:rsidR="002F724C">
        <w:rPr>
          <w:color w:val="000000"/>
        </w:rPr>
        <w:t xml:space="preserve">The EU has also release </w:t>
      </w:r>
      <w:hyperlink r:id="rId24" w:history="1">
        <w:r w:rsidR="002F724C" w:rsidRPr="003F7305">
          <w:rPr>
            <w:rStyle w:val="Hyperlink"/>
          </w:rPr>
          <w:t>guidance material</w:t>
        </w:r>
      </w:hyperlink>
      <w:r w:rsidR="002F724C" w:rsidRPr="00EC21F2">
        <w:t xml:space="preserve"> on </w:t>
      </w:r>
      <w:r w:rsidR="002F724C">
        <w:rPr>
          <w:color w:val="000000"/>
        </w:rPr>
        <w:t>the regulation of software.</w:t>
      </w:r>
    </w:p>
    <w:p w14:paraId="52728888" w14:textId="3FBBCA3A" w:rsidR="001B204A" w:rsidRPr="00D046DA" w:rsidRDefault="001B204A" w:rsidP="00D046DA">
      <w:pPr>
        <w:adjustRightInd w:val="0"/>
        <w:snapToGrid w:val="0"/>
        <w:spacing w:before="180"/>
        <w:rPr>
          <w:color w:val="000000"/>
        </w:rPr>
      </w:pPr>
      <w:r w:rsidRPr="00D046DA">
        <w:rPr>
          <w:color w:val="000000"/>
        </w:rPr>
        <w:t xml:space="preserve">Some regulators have identified some software that, while meeting the </w:t>
      </w:r>
      <w:r w:rsidR="00BF7703" w:rsidRPr="00D046DA">
        <w:rPr>
          <w:color w:val="000000"/>
        </w:rPr>
        <w:t>definition of medical device</w:t>
      </w:r>
      <w:r w:rsidRPr="00D046DA">
        <w:rPr>
          <w:color w:val="000000"/>
        </w:rPr>
        <w:t>, are considered to be posing no potential for significant harm to a patient</w:t>
      </w:r>
      <w:r w:rsidR="00BF7703" w:rsidRPr="00D046DA">
        <w:rPr>
          <w:color w:val="000000"/>
        </w:rPr>
        <w:t>, user, or other</w:t>
      </w:r>
      <w:r w:rsidR="005712AE" w:rsidRPr="00D046DA">
        <w:rPr>
          <w:color w:val="000000"/>
        </w:rPr>
        <w:t>s</w:t>
      </w:r>
      <w:r w:rsidR="00BB25D5">
        <w:rPr>
          <w:color w:val="000000"/>
        </w:rPr>
        <w:t xml:space="preserve">. </w:t>
      </w:r>
      <w:r w:rsidRPr="00D046DA">
        <w:rPr>
          <w:color w:val="000000"/>
        </w:rPr>
        <w:t>This might include</w:t>
      </w:r>
      <w:r w:rsidR="00CE5DBC" w:rsidRPr="00D046DA">
        <w:rPr>
          <w:color w:val="000000"/>
        </w:rPr>
        <w:t>, for instance,</w:t>
      </w:r>
      <w:r w:rsidRPr="00D046DA">
        <w:rPr>
          <w:color w:val="000000"/>
        </w:rPr>
        <w:t xml:space="preserve"> </w:t>
      </w:r>
      <w:r w:rsidR="00CE5DBC" w:rsidRPr="00D046DA">
        <w:rPr>
          <w:color w:val="000000"/>
        </w:rPr>
        <w:t xml:space="preserve">certain types of </w:t>
      </w:r>
      <w:r w:rsidRPr="00D046DA">
        <w:rPr>
          <w:color w:val="000000"/>
        </w:rPr>
        <w:t xml:space="preserve">software used by consumers to manage </w:t>
      </w:r>
      <w:r w:rsidR="00D61555">
        <w:rPr>
          <w:color w:val="000000"/>
        </w:rPr>
        <w:t>selected</w:t>
      </w:r>
      <w:r w:rsidR="00D046DA">
        <w:rPr>
          <w:color w:val="000000"/>
        </w:rPr>
        <w:t xml:space="preserve"> </w:t>
      </w:r>
      <w:r w:rsidRPr="00D046DA">
        <w:rPr>
          <w:color w:val="000000"/>
        </w:rPr>
        <w:t>ongoing conditions or chronic diseases</w:t>
      </w:r>
      <w:r w:rsidR="00CE5DBC" w:rsidRPr="00D046DA">
        <w:rPr>
          <w:color w:val="000000"/>
        </w:rPr>
        <w:t>, such as</w:t>
      </w:r>
      <w:r w:rsidRPr="00D046DA">
        <w:rPr>
          <w:color w:val="000000"/>
        </w:rPr>
        <w:t>:</w:t>
      </w:r>
    </w:p>
    <w:p w14:paraId="286A6C1C" w14:textId="128E0952" w:rsidR="001B204A" w:rsidRPr="003D7768" w:rsidRDefault="00BF7703" w:rsidP="003F7305">
      <w:pPr>
        <w:pStyle w:val="ListBullet"/>
      </w:pPr>
      <w:r w:rsidRPr="002F724C">
        <w:t>s</w:t>
      </w:r>
      <w:r w:rsidR="001B204A" w:rsidRPr="002F724C">
        <w:t>oftware intended to help patients manage stress for mental health by providing daily motivational tips to promote a positive mental outlook, directing mindfulness activities</w:t>
      </w:r>
      <w:r w:rsidR="002F724C" w:rsidRPr="002F724C">
        <w:t>.</w:t>
      </w:r>
    </w:p>
    <w:p w14:paraId="024A81B1" w14:textId="53B1C6A8" w:rsidR="003A40BB" w:rsidRPr="003D7768" w:rsidRDefault="005712AE" w:rsidP="00F20CFE">
      <w:pPr>
        <w:rPr>
          <w:color w:val="000000"/>
        </w:rPr>
      </w:pPr>
      <w:r w:rsidRPr="00D046DA">
        <w:rPr>
          <w:color w:val="000000"/>
        </w:rPr>
        <w:t>S</w:t>
      </w:r>
      <w:r w:rsidR="00CE5DBC" w:rsidRPr="00D046DA">
        <w:rPr>
          <w:color w:val="000000"/>
        </w:rPr>
        <w:t>ome software-based products may be subject to other systems of regulatory or pseudo-regulatory oversight</w:t>
      </w:r>
      <w:r w:rsidR="00BB25D5">
        <w:rPr>
          <w:color w:val="000000"/>
        </w:rPr>
        <w:t xml:space="preserve">. </w:t>
      </w:r>
      <w:r w:rsidR="00EB13CF" w:rsidRPr="003D7768">
        <w:rPr>
          <w:color w:val="000000"/>
        </w:rPr>
        <w:t>Thus</w:t>
      </w:r>
      <w:r w:rsidR="00CE5DBC" w:rsidRPr="003D7768">
        <w:rPr>
          <w:color w:val="000000"/>
        </w:rPr>
        <w:t>, there may be other adequate controls in place</w:t>
      </w:r>
      <w:r w:rsidR="00EB13CF" w:rsidRPr="003D7768">
        <w:rPr>
          <w:color w:val="000000"/>
        </w:rPr>
        <w:t xml:space="preserve"> that might mean that </w:t>
      </w:r>
      <w:r w:rsidR="00CE5DBC" w:rsidRPr="003D7768">
        <w:rPr>
          <w:color w:val="000000"/>
        </w:rPr>
        <w:t xml:space="preserve">TGA regulation of certain types of software-based products </w:t>
      </w:r>
      <w:r w:rsidR="00EB13CF" w:rsidRPr="003D7768">
        <w:rPr>
          <w:color w:val="000000"/>
        </w:rPr>
        <w:t xml:space="preserve">is deemed </w:t>
      </w:r>
      <w:r w:rsidR="00CE5DBC" w:rsidRPr="003D7768">
        <w:rPr>
          <w:color w:val="000000"/>
        </w:rPr>
        <w:t xml:space="preserve">unnecessary even </w:t>
      </w:r>
      <w:r w:rsidR="00EB13CF" w:rsidRPr="003D7768">
        <w:rPr>
          <w:color w:val="000000"/>
        </w:rPr>
        <w:t xml:space="preserve">where </w:t>
      </w:r>
      <w:r w:rsidR="00CE5DBC" w:rsidRPr="003D7768">
        <w:rPr>
          <w:color w:val="000000"/>
        </w:rPr>
        <w:t>they meet the definition of a medical device in the Act</w:t>
      </w:r>
      <w:r w:rsidR="00BB25D5">
        <w:rPr>
          <w:color w:val="000000"/>
        </w:rPr>
        <w:t xml:space="preserve">. </w:t>
      </w:r>
      <w:r w:rsidR="00F20CFE" w:rsidRPr="003D7768">
        <w:rPr>
          <w:color w:val="000000"/>
        </w:rPr>
        <w:t>In the case of the US, the US</w:t>
      </w:r>
      <w:r w:rsidR="006A659B" w:rsidRPr="003D7768">
        <w:rPr>
          <w:color w:val="000000"/>
        </w:rPr>
        <w:t xml:space="preserve"> Food and Drug Administration (US </w:t>
      </w:r>
      <w:r w:rsidR="00F20CFE" w:rsidRPr="003D7768">
        <w:rPr>
          <w:color w:val="000000"/>
        </w:rPr>
        <w:t>FDA</w:t>
      </w:r>
      <w:r w:rsidR="006A659B" w:rsidRPr="003D7768">
        <w:rPr>
          <w:color w:val="000000"/>
        </w:rPr>
        <w:t>)</w:t>
      </w:r>
      <w:r w:rsidR="00F20CFE" w:rsidRPr="003D7768">
        <w:rPr>
          <w:color w:val="000000"/>
        </w:rPr>
        <w:t xml:space="preserve"> exercises enforcement discretion powers such that some types of software, even when medical devices under law, are not made subject to regulatory enforcement by the regulator</w:t>
      </w:r>
      <w:r w:rsidR="003F7305">
        <w:rPr>
          <w:color w:val="000000"/>
        </w:rPr>
        <w:t>.</w:t>
      </w:r>
    </w:p>
    <w:p w14:paraId="36F761C7" w14:textId="75C2813B" w:rsidR="00264565" w:rsidRPr="003D7768" w:rsidRDefault="00264565" w:rsidP="003870D3">
      <w:pPr>
        <w:pStyle w:val="Heading3"/>
      </w:pPr>
      <w:bookmarkStart w:id="10" w:name="_Toc35874419"/>
      <w:r w:rsidRPr="003D7768">
        <w:t>Carve-out mechanisms</w:t>
      </w:r>
      <w:bookmarkEnd w:id="10"/>
    </w:p>
    <w:p w14:paraId="700935A6" w14:textId="291FCB30" w:rsidR="00264565" w:rsidRPr="003D7768" w:rsidRDefault="00D96FDD" w:rsidP="00264565">
      <w:pPr>
        <w:rPr>
          <w:color w:val="000000"/>
        </w:rPr>
      </w:pPr>
      <w:r w:rsidRPr="003D7768">
        <w:rPr>
          <w:color w:val="000000"/>
        </w:rPr>
        <w:t>Under the Act, t</w:t>
      </w:r>
      <w:r w:rsidR="00264565" w:rsidRPr="003D7768">
        <w:rPr>
          <w:color w:val="000000"/>
        </w:rPr>
        <w:t xml:space="preserve">here are two means for legally carving out certain software-based products </w:t>
      </w:r>
      <w:r w:rsidR="005712AE" w:rsidRPr="003D7768">
        <w:rPr>
          <w:color w:val="000000"/>
        </w:rPr>
        <w:t xml:space="preserve">either </w:t>
      </w:r>
      <w:r w:rsidRPr="003D7768">
        <w:rPr>
          <w:color w:val="000000"/>
        </w:rPr>
        <w:t>from the scope or from selected requirements</w:t>
      </w:r>
      <w:r w:rsidR="005712AE" w:rsidRPr="003D7768">
        <w:rPr>
          <w:color w:val="000000"/>
        </w:rPr>
        <w:t>-</w:t>
      </w:r>
      <w:r w:rsidRPr="003D7768">
        <w:rPr>
          <w:color w:val="000000"/>
        </w:rPr>
        <w:t xml:space="preserve"> </w:t>
      </w:r>
      <w:r w:rsidR="00264565" w:rsidRPr="003D7768">
        <w:rPr>
          <w:i/>
          <w:color w:val="000000"/>
        </w:rPr>
        <w:t>exclusion</w:t>
      </w:r>
      <w:r w:rsidRPr="003D7768">
        <w:rPr>
          <w:i/>
          <w:color w:val="000000"/>
        </w:rPr>
        <w:t>s</w:t>
      </w:r>
      <w:r w:rsidR="00264565" w:rsidRPr="003D7768">
        <w:rPr>
          <w:color w:val="000000"/>
        </w:rPr>
        <w:t xml:space="preserve"> and </w:t>
      </w:r>
      <w:r w:rsidR="00264565" w:rsidRPr="003D7768">
        <w:rPr>
          <w:i/>
          <w:color w:val="000000"/>
        </w:rPr>
        <w:t>exemption</w:t>
      </w:r>
      <w:r w:rsidRPr="003D7768">
        <w:rPr>
          <w:i/>
          <w:color w:val="000000"/>
        </w:rPr>
        <w:t>s</w:t>
      </w:r>
      <w:r w:rsidR="003F7305">
        <w:rPr>
          <w:color w:val="000000"/>
        </w:rPr>
        <w:t>.</w:t>
      </w:r>
    </w:p>
    <w:p w14:paraId="65532BD6" w14:textId="15B559E8" w:rsidR="00264565" w:rsidRPr="003D7768" w:rsidRDefault="00264565" w:rsidP="00264565">
      <w:pPr>
        <w:rPr>
          <w:color w:val="000000"/>
        </w:rPr>
      </w:pPr>
      <w:r w:rsidRPr="003D7768">
        <w:rPr>
          <w:color w:val="000000"/>
        </w:rPr>
        <w:t xml:space="preserve">An </w:t>
      </w:r>
      <w:r w:rsidRPr="003D7768">
        <w:rPr>
          <w:b/>
          <w:color w:val="000000"/>
        </w:rPr>
        <w:t>exclusion</w:t>
      </w:r>
      <w:r w:rsidRPr="003D7768">
        <w:rPr>
          <w:color w:val="000000"/>
        </w:rPr>
        <w:t xml:space="preserve"> means that the specified products </w:t>
      </w:r>
      <w:r w:rsidR="00D96FDD" w:rsidRPr="003D7768">
        <w:rPr>
          <w:color w:val="000000"/>
        </w:rPr>
        <w:t>are</w:t>
      </w:r>
      <w:r w:rsidRPr="003D7768">
        <w:rPr>
          <w:color w:val="000000"/>
        </w:rPr>
        <w:t xml:space="preserve"> </w:t>
      </w:r>
      <w:r w:rsidRPr="003D7768">
        <w:rPr>
          <w:b/>
          <w:color w:val="000000"/>
        </w:rPr>
        <w:t>not subject to regulation by the TGA</w:t>
      </w:r>
      <w:r w:rsidR="00BB25D5">
        <w:rPr>
          <w:b/>
          <w:color w:val="000000"/>
        </w:rPr>
        <w:t xml:space="preserve">. </w:t>
      </w:r>
      <w:r w:rsidRPr="003D7768">
        <w:rPr>
          <w:color w:val="000000"/>
        </w:rPr>
        <w:t xml:space="preserve">Specified products may be excluded </w:t>
      </w:r>
      <w:r w:rsidR="00F7199F" w:rsidRPr="003D7768">
        <w:rPr>
          <w:color w:val="000000"/>
        </w:rPr>
        <w:t>for all applications</w:t>
      </w:r>
      <w:r w:rsidRPr="003D7768">
        <w:rPr>
          <w:color w:val="000000"/>
        </w:rPr>
        <w:t xml:space="preserve"> or, alternatively, only when used, advertised, or supplied in a specified m</w:t>
      </w:r>
      <w:r w:rsidR="003F7305">
        <w:rPr>
          <w:color w:val="000000"/>
        </w:rPr>
        <w:t>anner for a particular purpose.</w:t>
      </w:r>
    </w:p>
    <w:p w14:paraId="42C5A196" w14:textId="552ACA3D" w:rsidR="00264565" w:rsidRPr="003D7768" w:rsidRDefault="00264565" w:rsidP="00264565">
      <w:pPr>
        <w:rPr>
          <w:color w:val="000000"/>
        </w:rPr>
      </w:pPr>
      <w:r w:rsidRPr="003D7768">
        <w:rPr>
          <w:color w:val="000000"/>
        </w:rPr>
        <w:t xml:space="preserve">Excluded products </w:t>
      </w:r>
      <w:r w:rsidR="00F7199F" w:rsidRPr="003D7768">
        <w:rPr>
          <w:color w:val="000000"/>
        </w:rPr>
        <w:t>would be</w:t>
      </w:r>
      <w:r w:rsidRPr="003D7768">
        <w:rPr>
          <w:color w:val="000000"/>
        </w:rPr>
        <w:t>:</w:t>
      </w:r>
    </w:p>
    <w:p w14:paraId="32D4C019" w14:textId="32820CD4" w:rsidR="00264565" w:rsidRPr="003D7768" w:rsidRDefault="00264565" w:rsidP="003F7305">
      <w:pPr>
        <w:pStyle w:val="ListBullet"/>
      </w:pPr>
      <w:r w:rsidRPr="003D7768">
        <w:t>not able to be included in the ARTG;</w:t>
      </w:r>
    </w:p>
    <w:p w14:paraId="26DA594C" w14:textId="77777777" w:rsidR="00264565" w:rsidRPr="003D7768" w:rsidRDefault="00264565" w:rsidP="003F7305">
      <w:pPr>
        <w:pStyle w:val="ListBullet"/>
      </w:pPr>
      <w:r w:rsidRPr="003D7768">
        <w:t>not required to be assessed in any way by the TGA before they are made available in Australia; and</w:t>
      </w:r>
    </w:p>
    <w:p w14:paraId="21A086C3" w14:textId="5121FCC2" w:rsidR="00264565" w:rsidRPr="003D7768" w:rsidRDefault="00264565" w:rsidP="003F7305">
      <w:pPr>
        <w:pStyle w:val="ListBullet"/>
      </w:pPr>
      <w:r w:rsidRPr="003D7768">
        <w:t>not monitored for ongoing safety by the TGA</w:t>
      </w:r>
      <w:r w:rsidR="003F7305">
        <w:t xml:space="preserve"> after they are made available.</w:t>
      </w:r>
    </w:p>
    <w:p w14:paraId="265EABA0" w14:textId="160C35D1" w:rsidR="00264565" w:rsidRPr="003D7768" w:rsidRDefault="00264565" w:rsidP="00264565">
      <w:pPr>
        <w:rPr>
          <w:color w:val="000000"/>
        </w:rPr>
      </w:pPr>
      <w:r w:rsidRPr="003D7768">
        <w:rPr>
          <w:color w:val="000000"/>
        </w:rPr>
        <w:t xml:space="preserve">Suppliers of excluded products </w:t>
      </w:r>
      <w:r w:rsidR="00F7199F" w:rsidRPr="003D7768">
        <w:rPr>
          <w:color w:val="000000"/>
        </w:rPr>
        <w:t>would</w:t>
      </w:r>
      <w:r w:rsidRPr="003D7768">
        <w:rPr>
          <w:color w:val="000000"/>
        </w:rPr>
        <w:t xml:space="preserve"> also not </w:t>
      </w:r>
      <w:r w:rsidR="00563E11">
        <w:rPr>
          <w:color w:val="000000"/>
        </w:rPr>
        <w:t xml:space="preserve">be </w:t>
      </w:r>
      <w:r w:rsidRPr="003D7768">
        <w:rPr>
          <w:color w:val="000000"/>
        </w:rPr>
        <w:t xml:space="preserve">required to report </w:t>
      </w:r>
      <w:hyperlink r:id="rId25" w:history="1">
        <w:r w:rsidRPr="003F7305">
          <w:rPr>
            <w:rStyle w:val="Hyperlink"/>
          </w:rPr>
          <w:t>adverse events</w:t>
        </w:r>
      </w:hyperlink>
      <w:r w:rsidRPr="003D7768">
        <w:rPr>
          <w:color w:val="000000"/>
        </w:rPr>
        <w:t xml:space="preserve"> associated with their product and the TGA </w:t>
      </w:r>
      <w:r w:rsidR="00F7199F" w:rsidRPr="003D7768">
        <w:rPr>
          <w:color w:val="000000"/>
        </w:rPr>
        <w:t>would be</w:t>
      </w:r>
      <w:r w:rsidRPr="003D7768">
        <w:rPr>
          <w:color w:val="000000"/>
        </w:rPr>
        <w:t xml:space="preserve"> unable to take </w:t>
      </w:r>
      <w:hyperlink r:id="rId26" w:history="1">
        <w:r w:rsidRPr="003F7305">
          <w:rPr>
            <w:rStyle w:val="Hyperlink"/>
          </w:rPr>
          <w:t>regulatory action</w:t>
        </w:r>
      </w:hyperlink>
      <w:r w:rsidRPr="003D7768">
        <w:rPr>
          <w:color w:val="000000"/>
        </w:rPr>
        <w:t xml:space="preserve"> such as a recall or issuing a hazard alert if there is a problem with the product</w:t>
      </w:r>
      <w:r w:rsidR="00BB25D5">
        <w:rPr>
          <w:color w:val="000000"/>
        </w:rPr>
        <w:t xml:space="preserve">. </w:t>
      </w:r>
      <w:r w:rsidRPr="003D7768">
        <w:rPr>
          <w:color w:val="000000"/>
        </w:rPr>
        <w:t xml:space="preserve">Advertising of excluded goods is </w:t>
      </w:r>
      <w:r w:rsidR="00F7199F" w:rsidRPr="003D7768">
        <w:rPr>
          <w:color w:val="000000"/>
        </w:rPr>
        <w:lastRenderedPageBreak/>
        <w:t xml:space="preserve">also </w:t>
      </w:r>
      <w:r w:rsidRPr="003D7768">
        <w:rPr>
          <w:color w:val="000000"/>
        </w:rPr>
        <w:t>not subject to the Therapeutic Goods Advertising Code</w:t>
      </w:r>
      <w:r w:rsidR="00BB25D5">
        <w:rPr>
          <w:color w:val="000000"/>
        </w:rPr>
        <w:t xml:space="preserve">. </w:t>
      </w:r>
      <w:r w:rsidRPr="003D7768">
        <w:rPr>
          <w:color w:val="000000"/>
        </w:rPr>
        <w:t>However, the products are still subject to relevant consumer laws.</w:t>
      </w:r>
    </w:p>
    <w:p w14:paraId="18EAE93A" w14:textId="5D178E1F" w:rsidR="00264565" w:rsidRPr="003D7768" w:rsidRDefault="00264565" w:rsidP="00264565">
      <w:pPr>
        <w:rPr>
          <w:color w:val="000000"/>
        </w:rPr>
      </w:pPr>
      <w:r w:rsidRPr="003D7768">
        <w:rPr>
          <w:color w:val="000000"/>
        </w:rPr>
        <w:t xml:space="preserve">Before making a determination to exclude goods from the regulatory scheme, the Minister </w:t>
      </w:r>
      <w:r w:rsidR="00F7199F" w:rsidRPr="003D7768">
        <w:rPr>
          <w:color w:val="000000"/>
        </w:rPr>
        <w:t>(</w:t>
      </w:r>
      <w:r w:rsidRPr="003D7768">
        <w:rPr>
          <w:color w:val="000000"/>
        </w:rPr>
        <w:t>or his delegate</w:t>
      </w:r>
      <w:r w:rsidR="00F7199F" w:rsidRPr="003D7768">
        <w:rPr>
          <w:color w:val="000000"/>
        </w:rPr>
        <w:t>)</w:t>
      </w:r>
      <w:r w:rsidRPr="003D7768">
        <w:rPr>
          <w:color w:val="000000"/>
        </w:rPr>
        <w:t xml:space="preserve"> must have regard to:</w:t>
      </w:r>
    </w:p>
    <w:p w14:paraId="07021038" w14:textId="77777777" w:rsidR="00264565" w:rsidRPr="003D7768" w:rsidRDefault="00264565" w:rsidP="00F441CA">
      <w:pPr>
        <w:pStyle w:val="ListBullet"/>
      </w:pPr>
      <w:r w:rsidRPr="003D7768">
        <w:t xml:space="preserve">whether it is likely that the specified product, if not regulated under the Act, might harm the health of members of the public; </w:t>
      </w:r>
    </w:p>
    <w:p w14:paraId="7534E605" w14:textId="77777777" w:rsidR="00264565" w:rsidRPr="003D7768" w:rsidRDefault="00264565" w:rsidP="00F441CA">
      <w:pPr>
        <w:pStyle w:val="ListBullet"/>
      </w:pPr>
      <w:r w:rsidRPr="003D7768">
        <w:t>whether it is appropriate in all the circumstances to apply the national system of controls relating to the quality, safety, efficacy and performance of therapeutic goods established by TGA legislation to regulate the specified product; and</w:t>
      </w:r>
    </w:p>
    <w:p w14:paraId="09693812" w14:textId="77777777" w:rsidR="00264565" w:rsidRPr="003D7768" w:rsidRDefault="00264565" w:rsidP="00F441CA">
      <w:pPr>
        <w:pStyle w:val="ListBullet"/>
      </w:pPr>
      <w:r w:rsidRPr="003D7768">
        <w:t>whether the kinds of risks from the specified product to which members of the public might be exposed could be more appropriately dealt with under another regulatory scheme.</w:t>
      </w:r>
    </w:p>
    <w:p w14:paraId="59532512" w14:textId="06F82E03" w:rsidR="00264565" w:rsidRPr="003D7768" w:rsidRDefault="00264565" w:rsidP="00264565">
      <w:pPr>
        <w:rPr>
          <w:color w:val="000000"/>
        </w:rPr>
      </w:pPr>
      <w:r w:rsidRPr="003D7768">
        <w:rPr>
          <w:b/>
          <w:color w:val="000000"/>
        </w:rPr>
        <w:t>Exempted products</w:t>
      </w:r>
      <w:r w:rsidRPr="003D7768">
        <w:rPr>
          <w:color w:val="000000"/>
        </w:rPr>
        <w:t xml:space="preserve"> do not have to be included in the A</w:t>
      </w:r>
      <w:r w:rsidR="00A474FF" w:rsidRPr="003D7768">
        <w:rPr>
          <w:color w:val="000000"/>
        </w:rPr>
        <w:t xml:space="preserve">ustralian </w:t>
      </w:r>
      <w:r w:rsidRPr="003D7768">
        <w:rPr>
          <w:color w:val="000000"/>
        </w:rPr>
        <w:t>R</w:t>
      </w:r>
      <w:r w:rsidR="00A474FF" w:rsidRPr="003D7768">
        <w:rPr>
          <w:color w:val="000000"/>
        </w:rPr>
        <w:t xml:space="preserve">egister of </w:t>
      </w:r>
      <w:r w:rsidRPr="003D7768">
        <w:rPr>
          <w:color w:val="000000"/>
        </w:rPr>
        <w:t>T</w:t>
      </w:r>
      <w:r w:rsidR="00A474FF" w:rsidRPr="003D7768">
        <w:rPr>
          <w:color w:val="000000"/>
        </w:rPr>
        <w:t xml:space="preserve">herapeutic </w:t>
      </w:r>
      <w:r w:rsidRPr="003D7768">
        <w:rPr>
          <w:color w:val="000000"/>
        </w:rPr>
        <w:t>G</w:t>
      </w:r>
      <w:r w:rsidR="00A474FF" w:rsidRPr="003D7768">
        <w:rPr>
          <w:color w:val="000000"/>
        </w:rPr>
        <w:t>oods (and thus an application relating to the product does not have to be submitted to TGA for review) but they are still subject to some aspects of regulatory oversight by TGA</w:t>
      </w:r>
      <w:r w:rsidR="00BB25D5">
        <w:rPr>
          <w:color w:val="000000"/>
        </w:rPr>
        <w:t xml:space="preserve">. </w:t>
      </w:r>
      <w:r w:rsidRPr="003D7768">
        <w:rPr>
          <w:color w:val="000000"/>
        </w:rPr>
        <w:t xml:space="preserve">An exemption </w:t>
      </w:r>
      <w:r w:rsidR="00A474FF" w:rsidRPr="003D7768">
        <w:rPr>
          <w:color w:val="000000"/>
        </w:rPr>
        <w:t xml:space="preserve">can either be made for a product without conditions or else </w:t>
      </w:r>
      <w:r w:rsidRPr="003D7768">
        <w:rPr>
          <w:color w:val="000000"/>
        </w:rPr>
        <w:t>may be made subject to conditions that can be prescribed in the Regulations (e.g., exemption for a specified product when supplied to a certain type of facility or for a specified purpose)</w:t>
      </w:r>
      <w:r w:rsidR="00BB25D5">
        <w:rPr>
          <w:color w:val="000000"/>
        </w:rPr>
        <w:t xml:space="preserve">. </w:t>
      </w:r>
    </w:p>
    <w:p w14:paraId="6DFC296A" w14:textId="14F9C464" w:rsidR="00264565" w:rsidRPr="003D7768" w:rsidRDefault="005B0966" w:rsidP="00264565">
      <w:pPr>
        <w:rPr>
          <w:color w:val="000000"/>
        </w:rPr>
      </w:pPr>
      <w:r w:rsidRPr="003D7768">
        <w:rPr>
          <w:color w:val="000000"/>
        </w:rPr>
        <w:t>Sponsors of exempted devices still need to ensure that the products meet the relevant essential principles for safety and performance and must report all adverse events to the TGA</w:t>
      </w:r>
      <w:r w:rsidR="00BB25D5">
        <w:rPr>
          <w:color w:val="000000"/>
        </w:rPr>
        <w:t xml:space="preserve">. </w:t>
      </w:r>
      <w:r w:rsidRPr="00381058">
        <w:rPr>
          <w:color w:val="000000"/>
        </w:rPr>
        <w:t xml:space="preserve">The TGA is </w:t>
      </w:r>
      <w:r>
        <w:rPr>
          <w:color w:val="000000"/>
        </w:rPr>
        <w:t xml:space="preserve">also </w:t>
      </w:r>
      <w:r w:rsidRPr="00381058">
        <w:rPr>
          <w:color w:val="000000"/>
        </w:rPr>
        <w:t xml:space="preserve">still able to </w:t>
      </w:r>
      <w:r>
        <w:rPr>
          <w:color w:val="000000"/>
        </w:rPr>
        <w:t xml:space="preserve">take regulatory action if </w:t>
      </w:r>
      <w:r w:rsidRPr="00381058">
        <w:rPr>
          <w:color w:val="000000"/>
        </w:rPr>
        <w:t>the device is being advertised in contravention of the advertising requirements under TGA legislation</w:t>
      </w:r>
      <w:r>
        <w:rPr>
          <w:color w:val="000000"/>
        </w:rPr>
        <w:t>.</w:t>
      </w:r>
      <w:r w:rsidR="00A474FF" w:rsidRPr="003D7768">
        <w:rPr>
          <w:color w:val="000000"/>
        </w:rPr>
        <w:t xml:space="preserve"> </w:t>
      </w:r>
    </w:p>
    <w:p w14:paraId="2B10BF4F" w14:textId="028F31B8" w:rsidR="004F788B" w:rsidRDefault="0010507C" w:rsidP="00560343">
      <w:pPr>
        <w:pStyle w:val="Heading3"/>
      </w:pPr>
      <w:bookmarkStart w:id="11" w:name="_Toc35874420"/>
      <w:r>
        <w:t>Proposed carve-out</w:t>
      </w:r>
      <w:r w:rsidR="00734831" w:rsidRPr="003D7768">
        <w:t xml:space="preserve"> principles</w:t>
      </w:r>
      <w:bookmarkEnd w:id="11"/>
    </w:p>
    <w:p w14:paraId="16485FF3" w14:textId="4347457B" w:rsidR="00430A38" w:rsidRPr="00655620" w:rsidRDefault="00430A38" w:rsidP="00430A38">
      <w:pPr>
        <w:rPr>
          <w:color w:val="000000"/>
        </w:rPr>
      </w:pPr>
      <w:r w:rsidRPr="003D7768">
        <w:rPr>
          <w:color w:val="000000"/>
        </w:rPr>
        <w:t xml:space="preserve">The clarification of what is in and what is out of scope of the medical devices regulatory framework can be achieved via </w:t>
      </w:r>
      <w:r w:rsidR="00655620">
        <w:rPr>
          <w:color w:val="000000"/>
        </w:rPr>
        <w:t>an</w:t>
      </w:r>
      <w:r w:rsidRPr="003D7768">
        <w:rPr>
          <w:color w:val="000000"/>
        </w:rPr>
        <w:t xml:space="preserve"> </w:t>
      </w:r>
      <w:r w:rsidRPr="00655620">
        <w:rPr>
          <w:color w:val="000000"/>
        </w:rPr>
        <w:t>exclusion and/or exemption</w:t>
      </w:r>
      <w:r w:rsidR="00655620" w:rsidRPr="00655620">
        <w:rPr>
          <w:color w:val="000000"/>
        </w:rPr>
        <w:t xml:space="preserve"> (or a combination or both)</w:t>
      </w:r>
      <w:r w:rsidRPr="00655620">
        <w:rPr>
          <w:color w:val="000000"/>
        </w:rPr>
        <w:t>.</w:t>
      </w:r>
    </w:p>
    <w:p w14:paraId="433546D8" w14:textId="58149A68" w:rsidR="00430A38" w:rsidRDefault="00430A38" w:rsidP="00655620">
      <w:pPr>
        <w:pStyle w:val="Address"/>
      </w:pPr>
      <w:r>
        <w:t>Consideration will be given as to whether an exclusion or exemption would be appropriate for the carve</w:t>
      </w:r>
      <w:r w:rsidR="0010507C">
        <w:t>-</w:t>
      </w:r>
      <w:r>
        <w:t>out of certain software-based products in circumstances where:</w:t>
      </w:r>
    </w:p>
    <w:p w14:paraId="3EAF8B76" w14:textId="0D24C5BA" w:rsidR="00430A38" w:rsidRDefault="00430A38" w:rsidP="003D6CCB">
      <w:pPr>
        <w:pStyle w:val="ListBullet"/>
      </w:pPr>
      <w:r>
        <w:t>it can be demonstrated that there are alre</w:t>
      </w:r>
      <w:r w:rsidR="0010507C">
        <w:t>ady adequate (or similar) alter</w:t>
      </w:r>
      <w:r>
        <w:t>native mechanisms</w:t>
      </w:r>
      <w:r w:rsidR="0010507C">
        <w:t xml:space="preserve"> in place for </w:t>
      </w:r>
      <w:r>
        <w:t>oversight for software-based products;</w:t>
      </w:r>
    </w:p>
    <w:p w14:paraId="2FCE0F84" w14:textId="0FA26F6E" w:rsidR="00430A38" w:rsidRDefault="00430A38" w:rsidP="003D6CCB">
      <w:pPr>
        <w:pStyle w:val="ListBullet"/>
      </w:pPr>
      <w:r>
        <w:t>any risks associated with their use and performance (e.g</w:t>
      </w:r>
      <w:r w:rsidR="00EC21F2">
        <w:t>.</w:t>
      </w:r>
      <w:r>
        <w:t>, risk of misdiagnosis or inappropriate treatment) can be appropriately mitigated</w:t>
      </w:r>
    </w:p>
    <w:p w14:paraId="3D937E68" w14:textId="4131A086" w:rsidR="00430A38" w:rsidRDefault="00BC3513" w:rsidP="00655620">
      <w:pPr>
        <w:pStyle w:val="ListBullet"/>
        <w:numPr>
          <w:ilvl w:val="0"/>
          <w:numId w:val="0"/>
        </w:numPr>
      </w:pPr>
      <w:r>
        <w:t>A</w:t>
      </w:r>
      <w:r w:rsidR="00430A38">
        <w:t xml:space="preserve"> carve-out would not be required for software-based products that do not meet the definition of a medical device</w:t>
      </w:r>
      <w:r>
        <w:t xml:space="preserve"> and can</w:t>
      </w:r>
      <w:r w:rsidR="008F283C">
        <w:t xml:space="preserve"> be addressed through guidance.</w:t>
      </w:r>
    </w:p>
    <w:p w14:paraId="6560A49B" w14:textId="2A9C9092" w:rsidR="002D0B3B" w:rsidRPr="008F283C" w:rsidRDefault="00264565" w:rsidP="003D6CCB">
      <w:pPr>
        <w:pStyle w:val="Heading2"/>
      </w:pPr>
      <w:bookmarkStart w:id="12" w:name="_Toc35874421"/>
      <w:r w:rsidRPr="008F283C">
        <w:t xml:space="preserve">Clarification of what is </w:t>
      </w:r>
      <w:r w:rsidR="005D3723" w:rsidRPr="008F283C">
        <w:t xml:space="preserve">and isn’t </w:t>
      </w:r>
      <w:r w:rsidRPr="008F283C">
        <w:t>in scope</w:t>
      </w:r>
      <w:r w:rsidR="00734831" w:rsidRPr="008F283C">
        <w:t xml:space="preserve"> through interpretation of the regulatory definition</w:t>
      </w:r>
      <w:r w:rsidR="005D3723" w:rsidRPr="008F283C">
        <w:t xml:space="preserve"> of a medical device</w:t>
      </w:r>
      <w:bookmarkEnd w:id="12"/>
    </w:p>
    <w:p w14:paraId="39FD7298" w14:textId="43E4B2E2" w:rsidR="005D3723" w:rsidRDefault="005D3723" w:rsidP="006A659B">
      <w:pPr>
        <w:rPr>
          <w:color w:val="000000"/>
        </w:rPr>
      </w:pPr>
      <w:r>
        <w:rPr>
          <w:color w:val="000000"/>
        </w:rPr>
        <w:t>To assist in understanding what software-based products could potentially be considered for carve-out from the regulations, it is important to first clarify what types of software products would be considered a medical device and what would not be.</w:t>
      </w:r>
    </w:p>
    <w:p w14:paraId="3D083EF1" w14:textId="2DCE4C75" w:rsidR="00D14936" w:rsidRDefault="00D14936" w:rsidP="006A659B">
      <w:pPr>
        <w:rPr>
          <w:color w:val="000000"/>
        </w:rPr>
      </w:pPr>
      <w:r>
        <w:rPr>
          <w:color w:val="000000"/>
        </w:rPr>
        <w:lastRenderedPageBreak/>
        <w:t xml:space="preserve">Software products are a medical device when they are intended to perform a medical device function (see legislative definition at </w:t>
      </w:r>
      <w:hyperlink w:anchor="_Appendix_1_-" w:history="1">
        <w:r w:rsidRPr="003870D3">
          <w:rPr>
            <w:rStyle w:val="Hyperlink"/>
          </w:rPr>
          <w:t>Appendix 1</w:t>
        </w:r>
      </w:hyperlink>
      <w:r w:rsidRPr="003D6CCB">
        <w:t>)</w:t>
      </w:r>
      <w:r>
        <w:rPr>
          <w:color w:val="000000"/>
        </w:rPr>
        <w:t>. These functions include:</w:t>
      </w:r>
    </w:p>
    <w:p w14:paraId="35A408C5" w14:textId="01163ED7" w:rsidR="00D14936" w:rsidRDefault="00D14936" w:rsidP="003D6CCB">
      <w:pPr>
        <w:pStyle w:val="ListBullet"/>
      </w:pPr>
      <w:r>
        <w:t>providing a diagnosis;</w:t>
      </w:r>
    </w:p>
    <w:p w14:paraId="19C0957D" w14:textId="34DBFBA0" w:rsidR="00D14936" w:rsidRDefault="00D14936" w:rsidP="003D6CCB">
      <w:pPr>
        <w:pStyle w:val="ListBullet"/>
      </w:pPr>
      <w:r>
        <w:t xml:space="preserve">analysing patient data </w:t>
      </w:r>
      <w:r w:rsidRPr="00D14936">
        <w:t>to screen for a disease;</w:t>
      </w:r>
    </w:p>
    <w:p w14:paraId="7650F254" w14:textId="2AAD175B" w:rsidR="00D14936" w:rsidRDefault="00D14936" w:rsidP="003D6CCB">
      <w:pPr>
        <w:pStyle w:val="ListBullet"/>
      </w:pPr>
      <w:r>
        <w:t>specifying a treatment;</w:t>
      </w:r>
    </w:p>
    <w:p w14:paraId="4D65C46A" w14:textId="57CB129C" w:rsidR="00D14936" w:rsidRDefault="00D14936" w:rsidP="003D6CCB">
      <w:pPr>
        <w:pStyle w:val="ListBullet"/>
      </w:pPr>
      <w:r>
        <w:t>providing information</w:t>
      </w:r>
      <w:r w:rsidR="005D3723">
        <w:t xml:space="preserve"> for monitoring a disease or pa</w:t>
      </w:r>
      <w:r>
        <w:t>t</w:t>
      </w:r>
      <w:r w:rsidR="005D3723">
        <w:t>i</w:t>
      </w:r>
      <w:r>
        <w:t>ent parameters;</w:t>
      </w:r>
    </w:p>
    <w:p w14:paraId="1DA09683" w14:textId="45F7E123" w:rsidR="00D14936" w:rsidRDefault="00D14936" w:rsidP="003D6CCB">
      <w:pPr>
        <w:pStyle w:val="ListBullet"/>
      </w:pPr>
      <w:r>
        <w:t>controlling a hardware medical device; or</w:t>
      </w:r>
    </w:p>
    <w:p w14:paraId="5184DB2C" w14:textId="1BEDA619" w:rsidR="00D14936" w:rsidRPr="00D14936" w:rsidRDefault="00D14936" w:rsidP="003D6CCB">
      <w:pPr>
        <w:pStyle w:val="ListBullet"/>
      </w:pPr>
      <w:r>
        <w:t>providing therapy.</w:t>
      </w:r>
    </w:p>
    <w:p w14:paraId="3438326E" w14:textId="7AFBD1CB" w:rsidR="00E75411" w:rsidRDefault="00E75411" w:rsidP="0084063D">
      <w:pPr>
        <w:rPr>
          <w:color w:val="000000"/>
        </w:rPr>
      </w:pPr>
      <w:r>
        <w:rPr>
          <w:color w:val="000000"/>
        </w:rPr>
        <w:t>Software for the following intended purposes is considered to be a medical device as per the definition:</w:t>
      </w:r>
    </w:p>
    <w:p w14:paraId="258699EE" w14:textId="23A50E30" w:rsidR="00E75411" w:rsidRDefault="00E75411" w:rsidP="00E75411">
      <w:pPr>
        <w:pStyle w:val="ListBullet"/>
      </w:pPr>
      <w:r w:rsidRPr="00463D79">
        <w:rPr>
          <w:b/>
        </w:rPr>
        <w:t>Diagnosis of an individual’s disease or condition</w:t>
      </w:r>
      <w:r w:rsidR="00BB25D5">
        <w:t xml:space="preserve">. </w:t>
      </w:r>
      <w:r>
        <w:t>Examples include</w:t>
      </w:r>
      <w:r w:rsidR="008F283C">
        <w:t>;</w:t>
      </w:r>
      <w:r>
        <w:t xml:space="preserve"> s</w:t>
      </w:r>
      <w:r w:rsidRPr="003D7768">
        <w:t xml:space="preserve">oftware intended to provide screening of skin cancer by checking skin for signs of cancer with instant </w:t>
      </w:r>
      <w:r>
        <w:t>results on your phone;</w:t>
      </w:r>
      <w:r w:rsidR="008F283C" w:rsidRPr="008F283C">
        <w:t xml:space="preserve"> </w:t>
      </w:r>
      <w:r>
        <w:t>and s</w:t>
      </w:r>
      <w:r w:rsidRPr="003D7768">
        <w:t>oftware intended to provide information (analysis of a coronary angiogram) for the purpose of the relevant health professional making a diagnosis of arterial stenosis</w:t>
      </w:r>
      <w:r>
        <w:t>.</w:t>
      </w:r>
    </w:p>
    <w:p w14:paraId="52801672" w14:textId="448595B6" w:rsidR="00E75411" w:rsidRPr="00E75411" w:rsidRDefault="00E75411" w:rsidP="00E75411">
      <w:pPr>
        <w:pStyle w:val="ListBullet"/>
      </w:pPr>
      <w:r w:rsidRPr="00463D79">
        <w:rPr>
          <w:b/>
          <w:color w:val="000000"/>
        </w:rPr>
        <w:t>Monitors an individual’s disease or condition</w:t>
      </w:r>
      <w:r w:rsidR="00BB25D5">
        <w:rPr>
          <w:color w:val="000000"/>
        </w:rPr>
        <w:t xml:space="preserve">. </w:t>
      </w:r>
      <w:r>
        <w:rPr>
          <w:color w:val="000000"/>
        </w:rPr>
        <w:t>Examples include</w:t>
      </w:r>
      <w:r w:rsidR="008F283C">
        <w:rPr>
          <w:color w:val="000000"/>
        </w:rPr>
        <w:t>;</w:t>
      </w:r>
      <w:r>
        <w:rPr>
          <w:color w:val="000000"/>
        </w:rPr>
        <w:t xml:space="preserve"> s</w:t>
      </w:r>
      <w:r w:rsidRPr="003D7768">
        <w:rPr>
          <w:color w:val="000000"/>
        </w:rPr>
        <w:t>oftware intended to analyse physiological signals to monitor a disease or condition, for example, an app that processes data from a mobile ECG device to detect heart arrhythmias of a person</w:t>
      </w:r>
      <w:r>
        <w:rPr>
          <w:color w:val="000000"/>
        </w:rPr>
        <w:t>; and s</w:t>
      </w:r>
      <w:r w:rsidRPr="003D7768">
        <w:rPr>
          <w:color w:val="000000"/>
        </w:rPr>
        <w:t>oftware intended to monitor the state of eyesight deterioration, of a person, over time.</w:t>
      </w:r>
    </w:p>
    <w:p w14:paraId="09ADDB9C" w14:textId="13B58D26" w:rsidR="007A3AC9" w:rsidRPr="007A3AC9" w:rsidRDefault="00E75411" w:rsidP="008610B9">
      <w:pPr>
        <w:pStyle w:val="ListBullet"/>
      </w:pPr>
      <w:r w:rsidRPr="007A3AC9">
        <w:rPr>
          <w:b/>
          <w:color w:val="000000"/>
        </w:rPr>
        <w:t>Provides therapy to an individual</w:t>
      </w:r>
      <w:r w:rsidR="00BB25D5">
        <w:rPr>
          <w:color w:val="000000"/>
        </w:rPr>
        <w:t xml:space="preserve">. </w:t>
      </w:r>
      <w:r w:rsidR="008F283C">
        <w:rPr>
          <w:color w:val="000000"/>
        </w:rPr>
        <w:t>An e</w:t>
      </w:r>
      <w:r w:rsidRPr="007A3AC9">
        <w:rPr>
          <w:color w:val="000000"/>
        </w:rPr>
        <w:t>xample includes</w:t>
      </w:r>
      <w:r w:rsidR="008F283C">
        <w:rPr>
          <w:color w:val="000000"/>
        </w:rPr>
        <w:t>;</w:t>
      </w:r>
      <w:r w:rsidRPr="007A3AC9">
        <w:rPr>
          <w:color w:val="000000"/>
        </w:rPr>
        <w:t xml:space="preserve"> software intended to use a patient’s image sets to provide an individual treatment plan for r</w:t>
      </w:r>
      <w:r w:rsidR="007A3AC9">
        <w:rPr>
          <w:color w:val="000000"/>
        </w:rPr>
        <w:t>adiation therapy of lung cancer</w:t>
      </w:r>
      <w:r w:rsidR="007A3AC9" w:rsidRPr="007A3AC9">
        <w:t>.</w:t>
      </w:r>
    </w:p>
    <w:p w14:paraId="57E885F4" w14:textId="09B2EB1A" w:rsidR="00E75411" w:rsidRPr="00A1130A" w:rsidRDefault="00E75411" w:rsidP="00E75411">
      <w:pPr>
        <w:pStyle w:val="ListBullet"/>
      </w:pPr>
      <w:r w:rsidRPr="00463D79">
        <w:rPr>
          <w:b/>
          <w:color w:val="000000"/>
        </w:rPr>
        <w:t>Controls other medical devices</w:t>
      </w:r>
      <w:r w:rsidR="00BB25D5">
        <w:rPr>
          <w:color w:val="000000"/>
        </w:rPr>
        <w:t xml:space="preserve">. </w:t>
      </w:r>
      <w:r>
        <w:rPr>
          <w:color w:val="000000"/>
        </w:rPr>
        <w:t>Examples include</w:t>
      </w:r>
      <w:r w:rsidR="008F283C">
        <w:rPr>
          <w:color w:val="000000"/>
        </w:rPr>
        <w:t>;</w:t>
      </w:r>
      <w:r>
        <w:rPr>
          <w:color w:val="000000"/>
        </w:rPr>
        <w:t xml:space="preserve"> a s</w:t>
      </w:r>
      <w:r w:rsidRPr="003D7768">
        <w:rPr>
          <w:color w:val="000000"/>
        </w:rPr>
        <w:t xml:space="preserve">martphone app intended to control or adjust a hardware medical device, such as an implanted spinal stimulator, through Bluetooth or </w:t>
      </w:r>
      <w:r w:rsidR="00BC3513" w:rsidRPr="003D7768">
        <w:rPr>
          <w:color w:val="000000"/>
        </w:rPr>
        <w:t>Wi-Fi</w:t>
      </w:r>
      <w:r w:rsidRPr="003D7768">
        <w:rPr>
          <w:color w:val="000000"/>
        </w:rPr>
        <w:t xml:space="preserve"> features</w:t>
      </w:r>
      <w:r>
        <w:rPr>
          <w:color w:val="000000"/>
        </w:rPr>
        <w:t>; a s</w:t>
      </w:r>
      <w:r w:rsidRPr="003D7768">
        <w:rPr>
          <w:color w:val="000000"/>
        </w:rPr>
        <w:t>martphone app intended to calculate insulin dose volume of an infusion pump based on a patient's blood glucose levels</w:t>
      </w:r>
      <w:r>
        <w:rPr>
          <w:color w:val="000000"/>
        </w:rPr>
        <w:t>; and</w:t>
      </w:r>
      <w:r w:rsidR="008F283C">
        <w:rPr>
          <w:color w:val="000000"/>
        </w:rPr>
        <w:t>,</w:t>
      </w:r>
      <w:r>
        <w:rPr>
          <w:color w:val="000000"/>
        </w:rPr>
        <w:t xml:space="preserve"> s</w:t>
      </w:r>
      <w:r w:rsidRPr="003D7768">
        <w:rPr>
          <w:color w:val="000000"/>
        </w:rPr>
        <w:t>oftware intended to analyse a person’s cardiac arrhythmias and automatically or semi-automatically treat the patient by administering a controlled electric shock (defibrillation) to the person in order to re-establish a normal cardiac rhythm.</w:t>
      </w:r>
    </w:p>
    <w:p w14:paraId="5FCD1065" w14:textId="0A163823" w:rsidR="00A1130A" w:rsidRPr="00A1130A" w:rsidRDefault="00A1130A" w:rsidP="00E75411">
      <w:pPr>
        <w:pStyle w:val="ListBullet"/>
      </w:pPr>
      <w:r w:rsidRPr="003D5D68">
        <w:rPr>
          <w:b/>
          <w:color w:val="000000"/>
        </w:rPr>
        <w:t>Is an accessory to a medical device</w:t>
      </w:r>
      <w:r w:rsidR="00BB25D5">
        <w:rPr>
          <w:color w:val="000000"/>
        </w:rPr>
        <w:t xml:space="preserve">. </w:t>
      </w:r>
      <w:r w:rsidR="008F283C">
        <w:rPr>
          <w:color w:val="000000"/>
        </w:rPr>
        <w:t xml:space="preserve">An </w:t>
      </w:r>
      <w:r w:rsidR="00BB25D5">
        <w:rPr>
          <w:color w:val="000000"/>
        </w:rPr>
        <w:t>e</w:t>
      </w:r>
      <w:r>
        <w:rPr>
          <w:color w:val="000000"/>
        </w:rPr>
        <w:t>xample includes</w:t>
      </w:r>
      <w:r w:rsidR="008F283C">
        <w:rPr>
          <w:color w:val="000000"/>
        </w:rPr>
        <w:t>;</w:t>
      </w:r>
      <w:r>
        <w:rPr>
          <w:color w:val="000000"/>
        </w:rPr>
        <w:t xml:space="preserve"> a s</w:t>
      </w:r>
      <w:r w:rsidRPr="003D7768">
        <w:rPr>
          <w:color w:val="000000"/>
        </w:rPr>
        <w:t>martphone app intended to be an accessory to a glucose meter that reads blood test strips and plugs into a smartphone to display and store the results.</w:t>
      </w:r>
    </w:p>
    <w:p w14:paraId="3BD89AC2" w14:textId="19D52B67" w:rsidR="00E03C4B" w:rsidRPr="00E03C4B" w:rsidRDefault="00A1130A" w:rsidP="00E75411">
      <w:pPr>
        <w:pStyle w:val="ListBullet"/>
      </w:pPr>
      <w:r w:rsidRPr="003D5D68">
        <w:rPr>
          <w:b/>
          <w:color w:val="000000"/>
        </w:rPr>
        <w:t>Recommend or specify a treatment or intervention specific to an individual</w:t>
      </w:r>
      <w:r w:rsidR="00BB25D5">
        <w:rPr>
          <w:color w:val="000000"/>
        </w:rPr>
        <w:t xml:space="preserve">. </w:t>
      </w:r>
      <w:r w:rsidR="008F283C">
        <w:rPr>
          <w:color w:val="000000"/>
        </w:rPr>
        <w:t>An e</w:t>
      </w:r>
      <w:r>
        <w:rPr>
          <w:color w:val="000000"/>
        </w:rPr>
        <w:t>xample include</w:t>
      </w:r>
      <w:r w:rsidR="00EC21F2">
        <w:rPr>
          <w:color w:val="000000"/>
        </w:rPr>
        <w:t>s</w:t>
      </w:r>
      <w:r w:rsidR="008F283C">
        <w:rPr>
          <w:color w:val="000000"/>
        </w:rPr>
        <w:t>;</w:t>
      </w:r>
      <w:r>
        <w:rPr>
          <w:color w:val="000000"/>
        </w:rPr>
        <w:t xml:space="preserve"> s</w:t>
      </w:r>
      <w:r w:rsidRPr="003D7768">
        <w:rPr>
          <w:color w:val="000000"/>
        </w:rPr>
        <w:t>oftware intended to specify or recommend to an eye surgeon whether or not to undertake a particular form of laser eye surgery.</w:t>
      </w:r>
    </w:p>
    <w:p w14:paraId="5883513D" w14:textId="06676F9C" w:rsidR="00A1130A" w:rsidRPr="0047204B" w:rsidRDefault="0047204B" w:rsidP="00E75411">
      <w:pPr>
        <w:pStyle w:val="ListBullet"/>
      </w:pPr>
      <w:r w:rsidRPr="007C6E6F">
        <w:rPr>
          <w:b/>
          <w:color w:val="000000"/>
        </w:rPr>
        <w:t>Software used to generate virtual anatomical or physiological models</w:t>
      </w:r>
      <w:r w:rsidR="00BB25D5">
        <w:rPr>
          <w:color w:val="000000"/>
        </w:rPr>
        <w:t xml:space="preserve">. </w:t>
      </w:r>
      <w:r w:rsidR="008F283C">
        <w:rPr>
          <w:color w:val="000000"/>
        </w:rPr>
        <w:t>An e</w:t>
      </w:r>
      <w:r w:rsidR="00EC21F2">
        <w:rPr>
          <w:color w:val="000000"/>
        </w:rPr>
        <w:t>xample includes</w:t>
      </w:r>
      <w:r w:rsidR="008F283C">
        <w:rPr>
          <w:color w:val="000000"/>
        </w:rPr>
        <w:t>;</w:t>
      </w:r>
      <w:r w:rsidR="00EC21F2">
        <w:rPr>
          <w:color w:val="000000"/>
        </w:rPr>
        <w:t xml:space="preserve"> s</w:t>
      </w:r>
      <w:r w:rsidRPr="003D7768">
        <w:rPr>
          <w:color w:val="000000"/>
        </w:rPr>
        <w:t>oftware intended to generate a patient’s anatomical model by processing images</w:t>
      </w:r>
      <w:r>
        <w:rPr>
          <w:color w:val="000000"/>
        </w:rPr>
        <w:t xml:space="preserve"> provided by a CT or MRI scan.</w:t>
      </w:r>
    </w:p>
    <w:p w14:paraId="30D088AE" w14:textId="289E5AFC" w:rsidR="00E03C4B" w:rsidRDefault="00E03C4B" w:rsidP="00F441CA">
      <w:pPr>
        <w:pStyle w:val="Heading3"/>
      </w:pPr>
      <w:bookmarkStart w:id="13" w:name="_Toc35874422"/>
      <w:r>
        <w:lastRenderedPageBreak/>
        <w:t xml:space="preserve">Software that is </w:t>
      </w:r>
      <w:r w:rsidR="003870D3">
        <w:t>n</w:t>
      </w:r>
      <w:r>
        <w:t>ot a medical device under the current application of the Therapeutic Goods Act</w:t>
      </w:r>
      <w:bookmarkEnd w:id="13"/>
    </w:p>
    <w:p w14:paraId="29809EF2" w14:textId="6C619DD3" w:rsidR="006D1180" w:rsidRDefault="007A3AC9" w:rsidP="008F283C">
      <w:r>
        <w:t xml:space="preserve">Software products that are not intended to have a therapeutic purpose fall </w:t>
      </w:r>
      <w:r w:rsidRPr="007A3AC9">
        <w:rPr>
          <w:i/>
        </w:rPr>
        <w:t>outside</w:t>
      </w:r>
      <w:r w:rsidRPr="007A3AC9">
        <w:t xml:space="preserve"> the scope of </w:t>
      </w:r>
      <w:r>
        <w:t xml:space="preserve">the definition of </w:t>
      </w:r>
      <w:r w:rsidRPr="007A3AC9">
        <w:t>a medical device</w:t>
      </w:r>
      <w:r w:rsidR="00BB25D5">
        <w:t xml:space="preserve">. </w:t>
      </w:r>
      <w:r w:rsidR="006D1180">
        <w:t>Software would not be considered a medical device if, for example, it is intended solely for:</w:t>
      </w:r>
    </w:p>
    <w:p w14:paraId="40E58CD6" w14:textId="7FFCE202" w:rsidR="006D1180" w:rsidRDefault="006D1180" w:rsidP="008F283C">
      <w:pPr>
        <w:pStyle w:val="ListBullet"/>
        <w:spacing w:line="240" w:lineRule="auto"/>
      </w:pPr>
      <w:r>
        <w:t>Educational or general information purposes</w:t>
      </w:r>
    </w:p>
    <w:p w14:paraId="23775BD7" w14:textId="69DFE47D" w:rsidR="006D1180" w:rsidRDefault="006D1180" w:rsidP="008F283C">
      <w:pPr>
        <w:pStyle w:val="ListBullet"/>
        <w:spacing w:line="240" w:lineRule="auto"/>
      </w:pPr>
      <w:r>
        <w:t>Displaying of recording information</w:t>
      </w:r>
    </w:p>
    <w:p w14:paraId="4D4D7922" w14:textId="40C3B8F4" w:rsidR="006D1180" w:rsidRDefault="006D1180" w:rsidP="008F283C">
      <w:pPr>
        <w:pStyle w:val="ListBullet"/>
        <w:spacing w:line="240" w:lineRule="auto"/>
      </w:pPr>
      <w:r>
        <w:t>Managing data</w:t>
      </w:r>
    </w:p>
    <w:p w14:paraId="2F9B35BE" w14:textId="2A5F2E13" w:rsidR="006D1180" w:rsidRDefault="006D1180" w:rsidP="008F283C">
      <w:pPr>
        <w:pStyle w:val="ListBullet"/>
        <w:spacing w:line="240" w:lineRule="auto"/>
      </w:pPr>
      <w:r>
        <w:t>Enabling communication</w:t>
      </w:r>
    </w:p>
    <w:p w14:paraId="15DF78C9" w14:textId="0F70731C" w:rsidR="006D1180" w:rsidRPr="006D1180" w:rsidRDefault="006D1180" w:rsidP="008F283C">
      <w:pPr>
        <w:pStyle w:val="ListBullet"/>
        <w:spacing w:line="240" w:lineRule="auto"/>
      </w:pPr>
      <w:r w:rsidRPr="006D1180">
        <w:t>Encouraging a health lifestyle</w:t>
      </w:r>
    </w:p>
    <w:p w14:paraId="76A1C38E" w14:textId="3381CE98" w:rsidR="00663249" w:rsidRPr="00E03C4B" w:rsidRDefault="00663249" w:rsidP="008F283C">
      <w:r w:rsidRPr="00E03C4B">
        <w:t>Software</w:t>
      </w:r>
      <w:r w:rsidR="00D01954">
        <w:t xml:space="preserve"> products</w:t>
      </w:r>
      <w:r w:rsidRPr="00E03C4B">
        <w:t xml:space="preserve"> for the following intended purposes </w:t>
      </w:r>
      <w:r w:rsidR="00D01954">
        <w:t>are</w:t>
      </w:r>
      <w:r w:rsidRPr="00E03C4B">
        <w:t xml:space="preserve"> not considered to be a medical device because these functions do not fit the definition of a medical device:</w:t>
      </w:r>
    </w:p>
    <w:p w14:paraId="3E6F2679" w14:textId="029CD651" w:rsidR="00D01954" w:rsidRDefault="00424436" w:rsidP="003D6CCB">
      <w:pPr>
        <w:pStyle w:val="ListBullet"/>
      </w:pPr>
      <w:r>
        <w:rPr>
          <w:b/>
        </w:rPr>
        <w:t>A</w:t>
      </w:r>
      <w:r w:rsidR="00D01954" w:rsidRPr="00E03C4B">
        <w:rPr>
          <w:b/>
        </w:rPr>
        <w:t>dministrative support of a health care facility</w:t>
      </w:r>
      <w:r w:rsidR="00D01954" w:rsidRPr="00E03C4B">
        <w:t>, including the processing and maintenance of financial records, claims or billing information, appointment schedules, business analytics, information about patient populations, admissions, practice and inventory management, analysis of historical claims data to predict future utili</w:t>
      </w:r>
      <w:r w:rsidR="00EC21F2">
        <w:t>s</w:t>
      </w:r>
      <w:r w:rsidR="00D01954" w:rsidRPr="00E03C4B">
        <w:t>ation or cost-effectiveness, determination of health benefit eligibility, population health management, and laboratory workflow</w:t>
      </w:r>
      <w:r w:rsidR="00EC21F2">
        <w:t>.</w:t>
      </w:r>
    </w:p>
    <w:p w14:paraId="1AAC4DF2" w14:textId="0CE81EF6" w:rsidR="00663249" w:rsidRPr="00424436" w:rsidRDefault="00AE6526" w:rsidP="003D6CCB">
      <w:pPr>
        <w:pStyle w:val="ListBullet"/>
      </w:pPr>
      <w:r>
        <w:rPr>
          <w:b/>
        </w:rPr>
        <w:t>M</w:t>
      </w:r>
      <w:r w:rsidR="00663249" w:rsidRPr="003D7768">
        <w:rPr>
          <w:b/>
        </w:rPr>
        <w:t>anagement of prescription information</w:t>
      </w:r>
      <w:r w:rsidR="00663249" w:rsidRPr="003D7768">
        <w:t>, including real time prescription monitoring or el</w:t>
      </w:r>
      <w:r w:rsidR="00424436">
        <w:t>ectronic prescription exchanges</w:t>
      </w:r>
      <w:r w:rsidR="00BB25D5">
        <w:t xml:space="preserve">. </w:t>
      </w:r>
      <w:r w:rsidR="00424436" w:rsidRPr="00424436">
        <w:t>Example</w:t>
      </w:r>
      <w:r w:rsidR="00EC21F2">
        <w:t>s</w:t>
      </w:r>
      <w:r w:rsidR="00424436" w:rsidRPr="00424436">
        <w:t xml:space="preserve"> include software that is intended to provide electronic medication chart, electronic prescribing and support healthcare professionals to order, check and record administration of medicines; and software that is intended to provide secure and safe transmission of prescription information between doctors and pharmacists.</w:t>
      </w:r>
    </w:p>
    <w:p w14:paraId="2F5B604E" w14:textId="5BEE71BD" w:rsidR="00AE6526" w:rsidRDefault="00AE6526" w:rsidP="003D6CCB">
      <w:pPr>
        <w:pStyle w:val="ListBullet"/>
      </w:pPr>
      <w:r w:rsidRPr="00E52355">
        <w:rPr>
          <w:b/>
        </w:rPr>
        <w:t>Medication/adherence (treatment regimens)</w:t>
      </w:r>
      <w:r w:rsidR="00470AE0">
        <w:t xml:space="preserve"> - </w:t>
      </w:r>
      <w:r>
        <w:t>Examples include</w:t>
      </w:r>
      <w:r w:rsidR="008F283C">
        <w:t>;</w:t>
      </w:r>
      <w:r>
        <w:t xml:space="preserve"> s</w:t>
      </w:r>
      <w:r w:rsidRPr="003D7768">
        <w:t>oftware intended to provide inform</w:t>
      </w:r>
      <w:r>
        <w:t>ation on drug–drug interactions; and s</w:t>
      </w:r>
      <w:r w:rsidRPr="003D7768">
        <w:t>oftware intended to help patients improve medication adherence.</w:t>
      </w:r>
    </w:p>
    <w:p w14:paraId="0BAF252C" w14:textId="0751C102" w:rsidR="007A3AC9" w:rsidRDefault="00AE6526" w:rsidP="003D6CCB">
      <w:pPr>
        <w:pStyle w:val="ListBullet"/>
      </w:pPr>
      <w:r w:rsidRPr="003D7768">
        <w:t xml:space="preserve">to </w:t>
      </w:r>
      <w:r w:rsidRPr="003D7768">
        <w:rPr>
          <w:b/>
        </w:rPr>
        <w:t>serve as electronic patient records</w:t>
      </w:r>
      <w:r w:rsidR="007A3AC9">
        <w:t>, including patient pr</w:t>
      </w:r>
      <w:r w:rsidR="003953C4">
        <w:t>ovided information to the extent</w:t>
      </w:r>
      <w:r w:rsidR="007A3AC9">
        <w:t xml:space="preserve"> that such r</w:t>
      </w:r>
      <w:r w:rsidR="003953C4">
        <w:t xml:space="preserve">ecords are intended to transfer, </w:t>
      </w:r>
      <w:r w:rsidR="007A3AC9">
        <w:t>store, convert formats, or display the equivalent of a paper medical chart so long as:</w:t>
      </w:r>
    </w:p>
    <w:p w14:paraId="5AE56AC5" w14:textId="5D7DF17B" w:rsidR="00AE6526" w:rsidRDefault="007A3AC9" w:rsidP="003D6CCB">
      <w:pPr>
        <w:pStyle w:val="ListBullet2"/>
      </w:pPr>
      <w:r>
        <w:t>such function is not intended to interpret or analyse individual patient records, including medical image data, for the purpose of  diagnosis, prevention, treatment etc</w:t>
      </w:r>
      <w:r w:rsidR="00EC21F2">
        <w:t>.</w:t>
      </w:r>
      <w:r>
        <w:t xml:space="preserve"> of a specific disease or condition. </w:t>
      </w:r>
    </w:p>
    <w:p w14:paraId="647ABD3F" w14:textId="5FBEF893" w:rsidR="00CB5B31" w:rsidRDefault="00CB5B31" w:rsidP="003D6CCB">
      <w:pPr>
        <w:pStyle w:val="ListBullet"/>
      </w:pPr>
      <w:r w:rsidRPr="00E52355">
        <w:rPr>
          <w:b/>
        </w:rPr>
        <w:t>Electronic patient record keeping</w:t>
      </w:r>
      <w:r w:rsidR="00D01954">
        <w:rPr>
          <w:b/>
        </w:rPr>
        <w:t xml:space="preserve"> </w:t>
      </w:r>
      <w:r w:rsidR="00D01954" w:rsidRPr="00D01954">
        <w:t>– examples include so</w:t>
      </w:r>
      <w:r w:rsidRPr="00D01954">
        <w:t>ftware</w:t>
      </w:r>
      <w:r w:rsidRPr="003D7768">
        <w:t xml:space="preserve"> that that helps individuals interact with these records, or enables individuals to organise their health information (this includes manual patient recording of blood glucose, asthma attacks, blood pressure, etc.). </w:t>
      </w:r>
    </w:p>
    <w:p w14:paraId="69D095D8" w14:textId="223E6165" w:rsidR="00E03C4B" w:rsidRPr="00CB5B31" w:rsidRDefault="00AE6526" w:rsidP="003D6CCB">
      <w:pPr>
        <w:pStyle w:val="ListBullet"/>
        <w:rPr>
          <w:color w:val="000000"/>
        </w:rPr>
      </w:pPr>
      <w:r w:rsidRPr="00E03C4B">
        <w:rPr>
          <w:b/>
        </w:rPr>
        <w:t>Clinical workflow and support</w:t>
      </w:r>
      <w:r w:rsidR="005D3723">
        <w:t xml:space="preserve"> - </w:t>
      </w:r>
      <w:r>
        <w:t>software to support health professional</w:t>
      </w:r>
      <w:r w:rsidR="00BB25D5">
        <w:t xml:space="preserve">. </w:t>
      </w:r>
      <w:r>
        <w:t>Examples include s</w:t>
      </w:r>
      <w:r w:rsidRPr="003D7768">
        <w:t>oftware that is intended solely to</w:t>
      </w:r>
      <w:r w:rsidR="00E03C4B">
        <w:t xml:space="preserve"> </w:t>
      </w:r>
      <w:r w:rsidRPr="003D7768">
        <w:t>display or print medical information about a patient or other medical information (such as peer-reviewed clinical studies an</w:t>
      </w:r>
      <w:r>
        <w:t>d</w:t>
      </w:r>
      <w:r w:rsidR="00E03C4B">
        <w:t xml:space="preserve"> clinical-practice guidelines).</w:t>
      </w:r>
    </w:p>
    <w:p w14:paraId="2E2F0E45" w14:textId="1D1D7AE7" w:rsidR="00CB5B31" w:rsidRDefault="00CB5B31" w:rsidP="003D6CCB">
      <w:pPr>
        <w:pStyle w:val="ListBullet"/>
        <w:rPr>
          <w:color w:val="000000"/>
        </w:rPr>
      </w:pPr>
      <w:r w:rsidRPr="00E52355">
        <w:rPr>
          <w:b/>
          <w:color w:val="000000"/>
        </w:rPr>
        <w:t>Used for education, training, or guidance</w:t>
      </w:r>
      <w:r w:rsidR="009B6E03">
        <w:rPr>
          <w:color w:val="000000"/>
        </w:rPr>
        <w:t xml:space="preserve"> - </w:t>
      </w:r>
      <w:r>
        <w:rPr>
          <w:color w:val="000000"/>
        </w:rPr>
        <w:t>Examples include</w:t>
      </w:r>
      <w:r w:rsidR="008F283C">
        <w:rPr>
          <w:color w:val="000000"/>
        </w:rPr>
        <w:t>;</w:t>
      </w:r>
      <w:r>
        <w:rPr>
          <w:color w:val="000000"/>
        </w:rPr>
        <w:t xml:space="preserve"> o</w:t>
      </w:r>
      <w:r w:rsidRPr="003D7768">
        <w:rPr>
          <w:color w:val="000000"/>
        </w:rPr>
        <w:t xml:space="preserve">nline textbooks, </w:t>
      </w:r>
      <w:r>
        <w:rPr>
          <w:color w:val="000000"/>
        </w:rPr>
        <w:t xml:space="preserve">clinical </w:t>
      </w:r>
      <w:r w:rsidRPr="003D7768">
        <w:rPr>
          <w:color w:val="000000"/>
        </w:rPr>
        <w:t xml:space="preserve">guidance materials (including decision trees) for health professionals, software intended to </w:t>
      </w:r>
      <w:r w:rsidRPr="003D7768">
        <w:rPr>
          <w:color w:val="000000"/>
        </w:rPr>
        <w:lastRenderedPageBreak/>
        <w:t>help patients to self-manage diseases/ conditions through the provision of educational information.</w:t>
      </w:r>
    </w:p>
    <w:p w14:paraId="4F79719B" w14:textId="12689919" w:rsidR="00CB5B31" w:rsidRPr="003D7768" w:rsidRDefault="00CB5B31" w:rsidP="003D6CCB">
      <w:pPr>
        <w:pStyle w:val="ListBullet"/>
        <w:rPr>
          <w:color w:val="000000"/>
        </w:rPr>
      </w:pPr>
      <w:r w:rsidRPr="003D7768">
        <w:rPr>
          <w:color w:val="000000"/>
        </w:rPr>
        <w:t xml:space="preserve">for </w:t>
      </w:r>
      <w:r w:rsidRPr="003D7768">
        <w:rPr>
          <w:b/>
          <w:color w:val="000000"/>
        </w:rPr>
        <w:t>transferring, storing, converting formats, or displaying clinical laboratory test or other device data and results</w:t>
      </w:r>
      <w:r w:rsidR="008F283C">
        <w:rPr>
          <w:color w:val="000000"/>
        </w:rPr>
        <w:t>. F</w:t>
      </w:r>
      <w:r w:rsidRPr="003D7768">
        <w:rPr>
          <w:color w:val="000000"/>
        </w:rPr>
        <w:t>indings by a health care professional with respect to such data and results, general information about such findings, and general background information about such laboratory test or other device, unless such function is intended to interpret or analyse clinical laboratory test or other device data, results, and findings. This includes secure messaging software</w:t>
      </w:r>
      <w:r>
        <w:rPr>
          <w:color w:val="000000"/>
        </w:rPr>
        <w:t>.</w:t>
      </w:r>
    </w:p>
    <w:p w14:paraId="762FB8DA" w14:textId="541D3EC1" w:rsidR="00CB5B31" w:rsidRPr="00424436" w:rsidRDefault="00CB5B31" w:rsidP="003D6CCB">
      <w:pPr>
        <w:pStyle w:val="ListBullet"/>
      </w:pPr>
      <w:r w:rsidRPr="00E52355">
        <w:rPr>
          <w:b/>
        </w:rPr>
        <w:t>Processing tools</w:t>
      </w:r>
      <w:r w:rsidRPr="003D7768">
        <w:t xml:space="preserve"> (transferring, storing, converting formats, archiving, encrypting data)</w:t>
      </w:r>
      <w:r w:rsidR="009B6E03">
        <w:t xml:space="preserve"> </w:t>
      </w:r>
      <w:r w:rsidR="00C24859">
        <w:t>–</w:t>
      </w:r>
      <w:r w:rsidR="009B6E03">
        <w:t xml:space="preserve"> </w:t>
      </w:r>
      <w:r w:rsidRPr="00424436">
        <w:t>Data platform that is intended to provide secure information storage and exchange data between applications.</w:t>
      </w:r>
    </w:p>
    <w:p w14:paraId="1FD369D9" w14:textId="28D5A69E" w:rsidR="00CB5B31" w:rsidRPr="00424436" w:rsidRDefault="00CB5B31" w:rsidP="003D6CCB">
      <w:pPr>
        <w:pStyle w:val="ListBullet"/>
      </w:pPr>
      <w:r w:rsidRPr="00F83C7A">
        <w:rPr>
          <w:b/>
        </w:rPr>
        <w:t>Communication tools</w:t>
      </w:r>
      <w:r w:rsidRPr="003D7768">
        <w:t xml:space="preserve"> (e.g., between healthcare professionals, patients, pathology labs)</w:t>
      </w:r>
      <w:r w:rsidR="00BB25D5">
        <w:t xml:space="preserve">. </w:t>
      </w:r>
      <w:r>
        <w:t>Examples include</w:t>
      </w:r>
      <w:r w:rsidR="008F283C">
        <w:t>;</w:t>
      </w:r>
      <w:r>
        <w:t xml:space="preserve"> t</w:t>
      </w:r>
      <w:r w:rsidRPr="003D7768">
        <w:t>elemedicine, video-conferencing software</w:t>
      </w:r>
      <w:r>
        <w:t xml:space="preserve">; and an </w:t>
      </w:r>
      <w:r w:rsidRPr="00424436">
        <w:t>online health platform that is intended to help patients to find healthcare providers, book appointments and obtain online consultations via tele-conferencing.</w:t>
      </w:r>
    </w:p>
    <w:p w14:paraId="09BA027A" w14:textId="776248A2" w:rsidR="00CB5B31" w:rsidRPr="00424436" w:rsidRDefault="00CB5B31" w:rsidP="003D6CCB">
      <w:pPr>
        <w:pStyle w:val="ListBullet"/>
      </w:pPr>
      <w:r w:rsidRPr="00F83C7A">
        <w:rPr>
          <w:b/>
        </w:rPr>
        <w:t>Health information management/database systems</w:t>
      </w:r>
      <w:r w:rsidR="009B6E03">
        <w:rPr>
          <w:b/>
        </w:rPr>
        <w:t xml:space="preserve"> </w:t>
      </w:r>
      <w:r w:rsidR="00C24859">
        <w:rPr>
          <w:b/>
        </w:rPr>
        <w:t>–</w:t>
      </w:r>
      <w:r w:rsidR="009B6E03">
        <w:rPr>
          <w:b/>
        </w:rPr>
        <w:t xml:space="preserve"> </w:t>
      </w:r>
      <w:r>
        <w:t>Examples include</w:t>
      </w:r>
      <w:r w:rsidR="008F283C">
        <w:t>;</w:t>
      </w:r>
      <w:r>
        <w:t xml:space="preserve"> a</w:t>
      </w:r>
      <w:r w:rsidRPr="003D7768">
        <w:t xml:space="preserve"> database (including search and query functions) intended to be used for storing health-related information and records</w:t>
      </w:r>
      <w:r>
        <w:t>; a</w:t>
      </w:r>
      <w:r w:rsidRPr="003D7768">
        <w:t>n application that provides library functions such as the retrieval of records by matching record metadata</w:t>
      </w:r>
      <w:r>
        <w:t xml:space="preserve"> against record search criteria; and </w:t>
      </w:r>
      <w:r w:rsidRPr="00424436">
        <w:t>software that is intended to electronically receive, collect, store, transform and distribute data within or between healthcare facilities to support the administrative and clinical activities</w:t>
      </w:r>
      <w:r w:rsidR="00BB25D5">
        <w:t xml:space="preserve">. </w:t>
      </w:r>
      <w:r w:rsidRPr="00424436">
        <w:t>Software intended to be used in hospitals to aggregate information from different systems</w:t>
      </w:r>
      <w:r w:rsidR="009B6E03">
        <w:t>.</w:t>
      </w:r>
    </w:p>
    <w:p w14:paraId="17C564DC" w14:textId="4A7522EA" w:rsidR="00424436" w:rsidRDefault="00663249" w:rsidP="003D6CCB">
      <w:pPr>
        <w:pStyle w:val="ListBullet"/>
        <w:rPr>
          <w:color w:val="000000"/>
        </w:rPr>
      </w:pPr>
      <w:r w:rsidRPr="00424436">
        <w:rPr>
          <w:color w:val="000000"/>
        </w:rPr>
        <w:t xml:space="preserve">for </w:t>
      </w:r>
      <w:r w:rsidRPr="00424436">
        <w:rPr>
          <w:b/>
          <w:color w:val="000000"/>
        </w:rPr>
        <w:t>maintaining or encouraging a healthy lifestyle</w:t>
      </w:r>
      <w:r w:rsidRPr="00424436">
        <w:rPr>
          <w:color w:val="000000"/>
        </w:rPr>
        <w:t xml:space="preserve"> </w:t>
      </w:r>
      <w:r w:rsidR="00C24859">
        <w:rPr>
          <w:color w:val="000000"/>
        </w:rPr>
        <w:t>–</w:t>
      </w:r>
      <w:r w:rsidR="00424436" w:rsidRPr="00424436">
        <w:rPr>
          <w:color w:val="000000"/>
        </w:rPr>
        <w:t xml:space="preserve"> Health and lifestyle apps including software intended to record fitness, wellness or to encourage a healthy diet or lifestyle without claiming to treat, prevent, manage, or predict susceptibility or risk of contracting a disease, condition, etc.; or to provide rehabilitation for a disease, condition etc.</w:t>
      </w:r>
    </w:p>
    <w:p w14:paraId="1B5CB03C" w14:textId="794E3505" w:rsidR="00EB4CCE" w:rsidRPr="00424436" w:rsidRDefault="00C27B49" w:rsidP="003D6CCB">
      <w:pPr>
        <w:pStyle w:val="ListBullet"/>
        <w:rPr>
          <w:color w:val="000000"/>
        </w:rPr>
      </w:pPr>
      <w:r>
        <w:rPr>
          <w:color w:val="000000"/>
        </w:rPr>
        <w:t>S</w:t>
      </w:r>
      <w:r w:rsidR="00EB4CCE" w:rsidRPr="00424436">
        <w:rPr>
          <w:color w:val="000000"/>
        </w:rPr>
        <w:t xml:space="preserve">oftware intended to extract </w:t>
      </w:r>
      <w:r w:rsidR="00EB4CCE" w:rsidRPr="00C27B49">
        <w:rPr>
          <w:b/>
          <w:color w:val="000000"/>
        </w:rPr>
        <w:t>data from clinical trial or patient records</w:t>
      </w:r>
      <w:r w:rsidR="00EB4CCE" w:rsidRPr="00424436">
        <w:rPr>
          <w:color w:val="000000"/>
        </w:rPr>
        <w:t xml:space="preserve"> for population-based analyses</w:t>
      </w:r>
      <w:r w:rsidR="0052742F">
        <w:rPr>
          <w:color w:val="000000"/>
        </w:rPr>
        <w:t>.</w:t>
      </w:r>
    </w:p>
    <w:p w14:paraId="462BBFA4" w14:textId="050621F9" w:rsidR="00EB4CCE" w:rsidRDefault="00EB4CCE" w:rsidP="003D6CCB">
      <w:pPr>
        <w:pStyle w:val="ListBullet"/>
        <w:rPr>
          <w:color w:val="000000"/>
        </w:rPr>
      </w:pPr>
      <w:r w:rsidRPr="00E52355">
        <w:rPr>
          <w:b/>
          <w:color w:val="000000"/>
        </w:rPr>
        <w:t>Monitoring or management of Health IT systems</w:t>
      </w:r>
      <w:r w:rsidR="00E42A6D">
        <w:rPr>
          <w:b/>
          <w:color w:val="000000"/>
        </w:rPr>
        <w:t xml:space="preserve"> </w:t>
      </w:r>
      <w:r w:rsidR="00C24859">
        <w:rPr>
          <w:b/>
          <w:color w:val="000000"/>
        </w:rPr>
        <w:t>–</w:t>
      </w:r>
      <w:r w:rsidR="00E42A6D">
        <w:rPr>
          <w:b/>
          <w:color w:val="000000"/>
        </w:rPr>
        <w:t xml:space="preserve"> </w:t>
      </w:r>
      <w:r w:rsidRPr="003D7768">
        <w:rPr>
          <w:color w:val="000000"/>
        </w:rPr>
        <w:t>Monitoring uptime, cyber threats, performance, load on networks, servers, etc. in health environments (unless as an accessory to a medical device).</w:t>
      </w:r>
    </w:p>
    <w:p w14:paraId="0527288C" w14:textId="6D651F30" w:rsidR="00E75411" w:rsidRDefault="00E75411" w:rsidP="00E75411">
      <w:pPr>
        <w:pStyle w:val="ListBullet"/>
      </w:pPr>
      <w:r w:rsidRPr="00F83C7A">
        <w:rPr>
          <w:b/>
        </w:rPr>
        <w:t>Medi-alerts</w:t>
      </w:r>
      <w:r w:rsidR="00C24859">
        <w:t xml:space="preserve"> </w:t>
      </w:r>
      <w:r w:rsidR="008F283C">
        <w:t>an e</w:t>
      </w:r>
      <w:r>
        <w:t>xample might be f</w:t>
      </w:r>
      <w:r w:rsidRPr="003D7768">
        <w:t>all detectors not intended for the purpose of monitoring a disease or condition (such as Multiple Sclerosis)</w:t>
      </w:r>
      <w:r>
        <w:t>.</w:t>
      </w:r>
    </w:p>
    <w:p w14:paraId="60B936F2" w14:textId="347E1FDC" w:rsidR="00E75411" w:rsidRDefault="00E75411" w:rsidP="00E75411">
      <w:pPr>
        <w:pStyle w:val="ListBullet"/>
      </w:pPr>
      <w:r w:rsidRPr="00F83C7A">
        <w:rPr>
          <w:b/>
        </w:rPr>
        <w:t>Standard IT equipment where the manufacturer is not making any therapeutic claims</w:t>
      </w:r>
      <w:r w:rsidR="00E42A6D">
        <w:rPr>
          <w:b/>
        </w:rPr>
        <w:t xml:space="preserve"> </w:t>
      </w:r>
      <w:r w:rsidR="00C24859">
        <w:rPr>
          <w:b/>
        </w:rPr>
        <w:t>–</w:t>
      </w:r>
      <w:r w:rsidR="00E42A6D">
        <w:rPr>
          <w:b/>
        </w:rPr>
        <w:t xml:space="preserve"> </w:t>
      </w:r>
      <w:r w:rsidRPr="003D7768">
        <w:t>De</w:t>
      </w:r>
      <w:r w:rsidRPr="00463D79">
        <w:t>sktops, monitors, accessories; tablets, mobile phones, smart watches</w:t>
      </w:r>
      <w:r w:rsidR="00BB25D5">
        <w:rPr>
          <w:rStyle w:val="FootnoteReference"/>
        </w:rPr>
        <w:t xml:space="preserve">. </w:t>
      </w:r>
      <w:r w:rsidRPr="00463D79">
        <w:t>(Note that if a manufacturer takes commodity hardware and packages it with claims about having a therapeutic purpose then it becomes a medical device in most jurisdictions</w:t>
      </w:r>
      <w:r w:rsidR="00BB25D5">
        <w:t xml:space="preserve">. </w:t>
      </w:r>
      <w:r w:rsidRPr="00463D79">
        <w:t>It is the intended purpose/use—not the form—in which something is presented that is the determiner of whether something becomes a medical device or not.)</w:t>
      </w:r>
    </w:p>
    <w:p w14:paraId="274AA621" w14:textId="19B94BBD" w:rsidR="0089388F" w:rsidRPr="00424436" w:rsidRDefault="0089388F" w:rsidP="00E75411">
      <w:pPr>
        <w:pStyle w:val="ListBullet"/>
      </w:pPr>
      <w:r w:rsidRPr="00424436">
        <w:rPr>
          <w:b/>
        </w:rPr>
        <w:t>Travel medicine tools</w:t>
      </w:r>
      <w:r w:rsidR="00E42A6D">
        <w:rPr>
          <w:b/>
        </w:rPr>
        <w:t xml:space="preserve"> - </w:t>
      </w:r>
      <w:r w:rsidRPr="00424436">
        <w:t>Software intended to provide up to date travel vaccination advice and individualised vaccination scheduling.</w:t>
      </w:r>
    </w:p>
    <w:p w14:paraId="6D175B19" w14:textId="576AC8E5" w:rsidR="0089388F" w:rsidRPr="00424436" w:rsidRDefault="0089388F" w:rsidP="00E75411">
      <w:pPr>
        <w:pStyle w:val="ListBullet"/>
      </w:pPr>
      <w:r w:rsidRPr="00424436">
        <w:rPr>
          <w:b/>
        </w:rPr>
        <w:t>Predictive analysis</w:t>
      </w:r>
      <w:r w:rsidR="00E42A6D">
        <w:rPr>
          <w:b/>
        </w:rPr>
        <w:t xml:space="preserve"> </w:t>
      </w:r>
      <w:r w:rsidR="00C24859">
        <w:rPr>
          <w:b/>
        </w:rPr>
        <w:t>–</w:t>
      </w:r>
      <w:r w:rsidR="00E42A6D">
        <w:rPr>
          <w:b/>
        </w:rPr>
        <w:t xml:space="preserve"> </w:t>
      </w:r>
      <w:r w:rsidRPr="00424436">
        <w:t>Software intended to predict whether a person ends up in an emergency department in the next 30 days by extracting information from the patient’s health records</w:t>
      </w:r>
      <w:r w:rsidR="00E42A6D">
        <w:t>.</w:t>
      </w:r>
    </w:p>
    <w:p w14:paraId="3998FC59" w14:textId="63CF0D52" w:rsidR="0017350B" w:rsidRDefault="0017350B" w:rsidP="00E75411">
      <w:pPr>
        <w:pStyle w:val="ListBullet"/>
      </w:pPr>
      <w:r w:rsidRPr="00424436">
        <w:rPr>
          <w:b/>
        </w:rPr>
        <w:lastRenderedPageBreak/>
        <w:t>Archetype editor</w:t>
      </w:r>
      <w:r w:rsidR="00E42A6D">
        <w:rPr>
          <w:b/>
        </w:rPr>
        <w:t xml:space="preserve"> </w:t>
      </w:r>
      <w:r w:rsidR="00C24859">
        <w:rPr>
          <w:b/>
        </w:rPr>
        <w:t>–</w:t>
      </w:r>
      <w:r w:rsidR="00E42A6D">
        <w:rPr>
          <w:b/>
        </w:rPr>
        <w:t xml:space="preserve"> </w:t>
      </w:r>
      <w:r w:rsidR="008F283C">
        <w:t>S</w:t>
      </w:r>
      <w:r w:rsidRPr="00424436">
        <w:t>oftware intended to be used by clinicians to develop and edit archetypes for use in both point-of-care and research settings</w:t>
      </w:r>
      <w:r w:rsidR="00E42A6D">
        <w:t>.</w:t>
      </w:r>
    </w:p>
    <w:p w14:paraId="3F22BDEF" w14:textId="57A88AD1" w:rsidR="00264565" w:rsidRPr="003D7768" w:rsidRDefault="00072946" w:rsidP="00F441CA">
      <w:pPr>
        <w:pStyle w:val="Heading2"/>
      </w:pPr>
      <w:bookmarkStart w:id="14" w:name="_Toc35874423"/>
      <w:r w:rsidRPr="006B3B90">
        <w:t>Software</w:t>
      </w:r>
      <w:r>
        <w:t xml:space="preserve"> that could be </w:t>
      </w:r>
      <w:r w:rsidR="00313484">
        <w:t>potentially e</w:t>
      </w:r>
      <w:r>
        <w:t xml:space="preserve">xcluded or </w:t>
      </w:r>
      <w:r w:rsidR="00313484">
        <w:t>e</w:t>
      </w:r>
      <w:r>
        <w:t xml:space="preserve">xempted from </w:t>
      </w:r>
      <w:r w:rsidR="00313484">
        <w:t>r</w:t>
      </w:r>
      <w:r>
        <w:t>egulation</w:t>
      </w:r>
      <w:bookmarkEnd w:id="14"/>
    </w:p>
    <w:p w14:paraId="5739BFF8" w14:textId="105E0520" w:rsidR="005D3723" w:rsidRDefault="005D3723" w:rsidP="001A79F5">
      <w:pPr>
        <w:rPr>
          <w:color w:val="000000"/>
        </w:rPr>
      </w:pPr>
      <w:r>
        <w:rPr>
          <w:color w:val="000000"/>
        </w:rPr>
        <w:t>T</w:t>
      </w:r>
      <w:r w:rsidR="00072946">
        <w:rPr>
          <w:color w:val="000000"/>
        </w:rPr>
        <w:t>here may be some other types of software that while being medical devices in law could be excluded</w:t>
      </w:r>
      <w:r w:rsidR="00362BA0">
        <w:rPr>
          <w:color w:val="000000"/>
        </w:rPr>
        <w:t>,</w:t>
      </w:r>
      <w:r w:rsidR="00072946">
        <w:rPr>
          <w:color w:val="000000"/>
        </w:rPr>
        <w:t xml:space="preserve"> or exempted</w:t>
      </w:r>
      <w:r w:rsidR="00362BA0">
        <w:rPr>
          <w:color w:val="000000"/>
        </w:rPr>
        <w:t>,</w:t>
      </w:r>
      <w:r w:rsidR="00072946">
        <w:rPr>
          <w:color w:val="000000"/>
        </w:rPr>
        <w:t xml:space="preserve"> from the regulatory framework</w:t>
      </w:r>
      <w:r>
        <w:rPr>
          <w:color w:val="000000"/>
        </w:rPr>
        <w:t xml:space="preserve"> based on whether:</w:t>
      </w:r>
    </w:p>
    <w:p w14:paraId="7B4B8AF1" w14:textId="1DF01416" w:rsidR="00072946" w:rsidRDefault="005D3723" w:rsidP="00F441CA">
      <w:pPr>
        <w:pStyle w:val="ListParagraph"/>
        <w:numPr>
          <w:ilvl w:val="0"/>
          <w:numId w:val="27"/>
        </w:numPr>
        <w:rPr>
          <w:color w:val="000000"/>
        </w:rPr>
      </w:pPr>
      <w:r>
        <w:rPr>
          <w:color w:val="000000"/>
        </w:rPr>
        <w:t>It is considered that the software product does not pose significant harm to the individual (e.g</w:t>
      </w:r>
      <w:r w:rsidR="00DE6E37">
        <w:rPr>
          <w:color w:val="000000"/>
        </w:rPr>
        <w:t>.</w:t>
      </w:r>
      <w:r>
        <w:rPr>
          <w:color w:val="000000"/>
        </w:rPr>
        <w:t xml:space="preserve">, </w:t>
      </w:r>
      <w:r w:rsidR="00313484">
        <w:rPr>
          <w:color w:val="000000"/>
        </w:rPr>
        <w:t xml:space="preserve">due to </w:t>
      </w:r>
      <w:r>
        <w:rPr>
          <w:color w:val="000000"/>
        </w:rPr>
        <w:t xml:space="preserve">inappropriate use </w:t>
      </w:r>
      <w:r w:rsidR="00313484">
        <w:rPr>
          <w:color w:val="000000"/>
        </w:rPr>
        <w:t>of the product); and/or</w:t>
      </w:r>
    </w:p>
    <w:p w14:paraId="61D52FA5" w14:textId="4208B88C" w:rsidR="00313484" w:rsidRDefault="00313484" w:rsidP="00F441CA">
      <w:pPr>
        <w:pStyle w:val="ListParagraph"/>
        <w:numPr>
          <w:ilvl w:val="0"/>
          <w:numId w:val="27"/>
        </w:numPr>
        <w:rPr>
          <w:color w:val="000000"/>
        </w:rPr>
      </w:pPr>
      <w:r>
        <w:rPr>
          <w:color w:val="000000"/>
        </w:rPr>
        <w:t>There is an alternative mechanism of oversight in place.</w:t>
      </w:r>
    </w:p>
    <w:p w14:paraId="46A99BC9" w14:textId="18DF8795" w:rsidR="0052742F" w:rsidRDefault="00A8127F" w:rsidP="00A8127F">
      <w:pPr>
        <w:pStyle w:val="ListBullet"/>
        <w:numPr>
          <w:ilvl w:val="0"/>
          <w:numId w:val="0"/>
        </w:numPr>
      </w:pPr>
      <w:r>
        <w:t>There may also be some software products where there is ambiguity as to whether it would be a medical device or not</w:t>
      </w:r>
      <w:r w:rsidR="00BB25D5">
        <w:t xml:space="preserve">. </w:t>
      </w:r>
      <w:r>
        <w:t>In these circumstances an exclusion may be considered to provide clarity in relation to what would not be</w:t>
      </w:r>
      <w:r w:rsidR="00796252">
        <w:t xml:space="preserve"> regulated as a medical device.</w:t>
      </w:r>
    </w:p>
    <w:p w14:paraId="2E3DD50B" w14:textId="3BF1C82E" w:rsidR="00B5340F" w:rsidRPr="00313484" w:rsidRDefault="00B5340F" w:rsidP="00F441CA">
      <w:pPr>
        <w:pStyle w:val="Heading3"/>
      </w:pPr>
      <w:bookmarkStart w:id="15" w:name="_Toc35874424"/>
      <w:r w:rsidRPr="00313484">
        <w:t>P</w:t>
      </w:r>
      <w:r w:rsidR="00313484">
        <w:t>otential software e</w:t>
      </w:r>
      <w:r w:rsidRPr="00313484">
        <w:t>xclusion</w:t>
      </w:r>
      <w:r w:rsidR="00313484">
        <w:t>/exemption</w:t>
      </w:r>
      <w:r w:rsidRPr="00313484">
        <w:t xml:space="preserve">, where </w:t>
      </w:r>
      <w:r w:rsidR="00261B0D" w:rsidRPr="00313484">
        <w:t xml:space="preserve">it may be considered that the </w:t>
      </w:r>
      <w:r w:rsidR="00313484">
        <w:t>s</w:t>
      </w:r>
      <w:r w:rsidR="00261B0D" w:rsidRPr="00313484">
        <w:t xml:space="preserve">oftware </w:t>
      </w:r>
      <w:r w:rsidRPr="00313484">
        <w:t>poses no potential for significant harm to a patient</w:t>
      </w:r>
      <w:bookmarkEnd w:id="15"/>
    </w:p>
    <w:p w14:paraId="5AF7E9BC" w14:textId="697E1468" w:rsidR="00313484" w:rsidRPr="003D7768" w:rsidRDefault="00313484" w:rsidP="00313484">
      <w:pPr>
        <w:rPr>
          <w:color w:val="000000"/>
        </w:rPr>
      </w:pPr>
      <w:r w:rsidRPr="003D7768">
        <w:rPr>
          <w:color w:val="000000"/>
        </w:rPr>
        <w:t xml:space="preserve">This principle involves identifying products that—while being medical devices in law—are </w:t>
      </w:r>
      <w:r>
        <w:rPr>
          <w:color w:val="000000"/>
        </w:rPr>
        <w:t>c</w:t>
      </w:r>
      <w:r w:rsidRPr="003D7768">
        <w:rPr>
          <w:color w:val="000000"/>
        </w:rPr>
        <w:t>onsidered to pose no significant threat of harm to a patient through their intended performance or failure to perform</w:t>
      </w:r>
      <w:r w:rsidR="00BB25D5">
        <w:rPr>
          <w:color w:val="000000"/>
        </w:rPr>
        <w:t xml:space="preserve">. </w:t>
      </w:r>
      <w:r w:rsidRPr="003D7768">
        <w:rPr>
          <w:color w:val="000000"/>
        </w:rPr>
        <w:t xml:space="preserve">This requires careful consideration of </w:t>
      </w:r>
      <w:r w:rsidRPr="00313484">
        <w:rPr>
          <w:color w:val="000000"/>
        </w:rPr>
        <w:t>the basis for</w:t>
      </w:r>
      <w:r w:rsidRPr="003D7768">
        <w:rPr>
          <w:color w:val="000000"/>
        </w:rPr>
        <w:t xml:space="preserve"> deeming that a product poses no potential for significant harm to a person.</w:t>
      </w:r>
    </w:p>
    <w:p w14:paraId="1522D500" w14:textId="3286F75C" w:rsidR="00B5340F" w:rsidRPr="0052742F" w:rsidRDefault="00B5340F" w:rsidP="003D14A6">
      <w:pPr>
        <w:pStyle w:val="Heading4"/>
      </w:pPr>
      <w:bookmarkStart w:id="16" w:name="_Toc35874425"/>
      <w:r w:rsidRPr="0052742F">
        <w:t xml:space="preserve">Software </w:t>
      </w:r>
      <w:r w:rsidR="003D14A6">
        <w:t>u</w:t>
      </w:r>
      <w:r w:rsidRPr="0052742F">
        <w:t xml:space="preserve">sed by </w:t>
      </w:r>
      <w:r w:rsidR="003D14A6">
        <w:t>c</w:t>
      </w:r>
      <w:r w:rsidRPr="0052742F">
        <w:t>onsumers</w:t>
      </w:r>
      <w:bookmarkEnd w:id="16"/>
    </w:p>
    <w:p w14:paraId="745217D8" w14:textId="0CFD0734" w:rsidR="00B5340F" w:rsidRPr="003D7768" w:rsidRDefault="00B5340F" w:rsidP="00B220FA">
      <w:pPr>
        <w:rPr>
          <w:color w:val="000000"/>
        </w:rPr>
      </w:pPr>
      <w:r w:rsidRPr="003D7768">
        <w:rPr>
          <w:color w:val="000000"/>
        </w:rPr>
        <w:t>Some software is used by consumers to manage ongoing conditions or chronic diseases</w:t>
      </w:r>
      <w:r w:rsidR="00BB25D5">
        <w:rPr>
          <w:color w:val="000000"/>
        </w:rPr>
        <w:t xml:space="preserve">. </w:t>
      </w:r>
      <w:r w:rsidRPr="003D7768">
        <w:rPr>
          <w:color w:val="000000"/>
        </w:rPr>
        <w:t xml:space="preserve">While some of these may currently be considered medical devices, if their inappropriate use would not result in </w:t>
      </w:r>
      <w:r w:rsidR="00691FA1">
        <w:rPr>
          <w:color w:val="000000"/>
        </w:rPr>
        <w:t xml:space="preserve">significant </w:t>
      </w:r>
      <w:r w:rsidRPr="003D7768">
        <w:rPr>
          <w:color w:val="000000"/>
        </w:rPr>
        <w:t>harm to the patient they may potentially be excluded</w:t>
      </w:r>
      <w:r w:rsidR="00A83924">
        <w:rPr>
          <w:color w:val="000000"/>
        </w:rPr>
        <w:t xml:space="preserve"> or exempted</w:t>
      </w:r>
      <w:r w:rsidRPr="003D7768">
        <w:rPr>
          <w:color w:val="000000"/>
        </w:rPr>
        <w:t xml:space="preserve"> from regulation as a medical device. </w:t>
      </w:r>
    </w:p>
    <w:p w14:paraId="0C69B82D" w14:textId="41841881" w:rsidR="00B5340F" w:rsidRPr="00C27B49" w:rsidRDefault="00B5340F" w:rsidP="00B220FA">
      <w:pPr>
        <w:rPr>
          <w:color w:val="000000"/>
        </w:rPr>
      </w:pPr>
      <w:r w:rsidRPr="00C27B49">
        <w:rPr>
          <w:color w:val="000000"/>
        </w:rPr>
        <w:t>Patient information and health management</w:t>
      </w:r>
      <w:r w:rsidR="00C27B49">
        <w:rPr>
          <w:color w:val="000000"/>
        </w:rPr>
        <w:t>:</w:t>
      </w:r>
    </w:p>
    <w:p w14:paraId="3A598C2A" w14:textId="0F0D1082" w:rsidR="000866BC" w:rsidRPr="000866BC" w:rsidRDefault="00B5340F" w:rsidP="00796252">
      <w:pPr>
        <w:pStyle w:val="ListBullet"/>
      </w:pPr>
      <w:r w:rsidRPr="0052742F">
        <w:rPr>
          <w:b/>
        </w:rPr>
        <w:t xml:space="preserve">helps patients self-manage </w:t>
      </w:r>
      <w:r w:rsidR="00313484" w:rsidRPr="0052742F">
        <w:rPr>
          <w:b/>
        </w:rPr>
        <w:t xml:space="preserve">a specific </w:t>
      </w:r>
      <w:r w:rsidRPr="0052742F">
        <w:rPr>
          <w:b/>
        </w:rPr>
        <w:t>disease/ condition</w:t>
      </w:r>
      <w:r w:rsidR="000866BC">
        <w:rPr>
          <w:b/>
        </w:rPr>
        <w:t xml:space="preserve">; </w:t>
      </w:r>
      <w:r w:rsidR="000866BC" w:rsidRPr="000866BC">
        <w:t>assists in managing own health as well as providing education information.</w:t>
      </w:r>
    </w:p>
    <w:p w14:paraId="24B712D8" w14:textId="653DCBBD" w:rsidR="0052742F" w:rsidRDefault="00B5340F" w:rsidP="00796252">
      <w:pPr>
        <w:pStyle w:val="ListBullet"/>
      </w:pPr>
      <w:r w:rsidRPr="0052742F">
        <w:rPr>
          <w:b/>
        </w:rPr>
        <w:t>helps patients manage stress for mental health;</w:t>
      </w:r>
      <w:r w:rsidRPr="0052742F">
        <w:t xml:space="preserve"> for example, providing daily motivational tips to promote a positive mental outlook, directing mindfulness activities</w:t>
      </w:r>
    </w:p>
    <w:p w14:paraId="25FD4148" w14:textId="36AB0367" w:rsidR="0052742F" w:rsidRDefault="0052742F" w:rsidP="00796252">
      <w:pPr>
        <w:pStyle w:val="ListBullet"/>
      </w:pPr>
      <w:r w:rsidRPr="0052742F">
        <w:rPr>
          <w:b/>
        </w:rPr>
        <w:t>monitors a condition</w:t>
      </w:r>
      <w:r w:rsidRPr="0052742F">
        <w:t>, providing the condition is mild or self-limiting</w:t>
      </w:r>
      <w:r w:rsidR="00BB25D5">
        <w:t xml:space="preserve">. </w:t>
      </w:r>
      <w:r w:rsidRPr="0052742F">
        <w:t>Note that monitoring is separate to diagnosis, and is specifically included legislated definition of a medical device (section 41BD, Therapeutic Goods Act 1989)</w:t>
      </w:r>
      <w:r w:rsidR="00BB25D5">
        <w:t xml:space="preserve">. </w:t>
      </w:r>
      <w:r w:rsidRPr="0052742F">
        <w:t xml:space="preserve">There would need to be further analysis of which conditions </w:t>
      </w:r>
      <w:r w:rsidR="00A83924">
        <w:t xml:space="preserve">could be </w:t>
      </w:r>
      <w:r w:rsidRPr="0052742F">
        <w:t>excluded</w:t>
      </w:r>
      <w:r w:rsidR="00A83924">
        <w:t xml:space="preserve"> or exempted</w:t>
      </w:r>
      <w:r w:rsidRPr="0052742F">
        <w:t xml:space="preserve"> from the software re</w:t>
      </w:r>
      <w:r w:rsidR="00A83924">
        <w:t>gulatory regime and which ones c</w:t>
      </w:r>
      <w:r w:rsidRPr="0052742F">
        <w:t>ould not be – similar to the development of restricted representations that do not allow the advertising of products for serious conditions to the general public.</w:t>
      </w:r>
    </w:p>
    <w:p w14:paraId="2411CC9B" w14:textId="29F103FB" w:rsidR="00B5340F" w:rsidRPr="0052742F" w:rsidRDefault="0052742F" w:rsidP="003D14A6">
      <w:r w:rsidRPr="003D14A6">
        <w:rPr>
          <w:b/>
        </w:rPr>
        <w:t>N</w:t>
      </w:r>
      <w:r w:rsidR="00B5340F" w:rsidRPr="003D14A6">
        <w:rPr>
          <w:b/>
        </w:rPr>
        <w:t>ote</w:t>
      </w:r>
      <w:r w:rsidR="00B5340F" w:rsidRPr="003D7768">
        <w:t xml:space="preserve">: There is risk associated with </w:t>
      </w:r>
      <w:r w:rsidR="00A83924">
        <w:t>e</w:t>
      </w:r>
      <w:r w:rsidR="00B5340F" w:rsidRPr="003D7768">
        <w:t xml:space="preserve">xcluding </w:t>
      </w:r>
      <w:r w:rsidR="00A83924">
        <w:t xml:space="preserve">or exempting </w:t>
      </w:r>
      <w:r w:rsidR="00B5340F" w:rsidRPr="003D7768">
        <w:t>particular forms of product, rather than particular intended purposes</w:t>
      </w:r>
      <w:r w:rsidR="00BB25D5">
        <w:t xml:space="preserve">. </w:t>
      </w:r>
      <w:r w:rsidR="00B5340F" w:rsidRPr="003D7768">
        <w:t>For example, if software that monitors a particular condition is</w:t>
      </w:r>
      <w:r w:rsidR="00A83924">
        <w:t xml:space="preserve"> </w:t>
      </w:r>
      <w:r w:rsidR="00B5340F" w:rsidRPr="003D7768">
        <w:t>excluded</w:t>
      </w:r>
      <w:r w:rsidR="00A83924">
        <w:t xml:space="preserve"> or exempted,</w:t>
      </w:r>
      <w:r w:rsidR="00B5340F" w:rsidRPr="003D7768">
        <w:t xml:space="preserve"> that would create inconsistent regulation because other types of products that monitor similar conditions would still be regulated.</w:t>
      </w:r>
    </w:p>
    <w:p w14:paraId="4CB0F913" w14:textId="32FB4188" w:rsidR="00B5340F" w:rsidRPr="0052742F" w:rsidRDefault="00B5340F" w:rsidP="003D14A6">
      <w:pPr>
        <w:pStyle w:val="Heading4"/>
      </w:pPr>
      <w:bookmarkStart w:id="17" w:name="_Toc35874426"/>
      <w:r w:rsidRPr="0052742F">
        <w:lastRenderedPageBreak/>
        <w:t xml:space="preserve">Software </w:t>
      </w:r>
      <w:r w:rsidR="003D14A6" w:rsidRPr="0052742F">
        <w:t>used by health professionals</w:t>
      </w:r>
      <w:bookmarkEnd w:id="17"/>
    </w:p>
    <w:p w14:paraId="3C502066" w14:textId="4F0DCB29" w:rsidR="00B5340F" w:rsidRPr="0052742F" w:rsidRDefault="00B5340F" w:rsidP="003D14A6">
      <w:pPr>
        <w:pStyle w:val="ListBullet"/>
      </w:pPr>
      <w:r w:rsidRPr="0052742F">
        <w:t xml:space="preserve">Software that provides “class-based analyses” rather than patient-specific diagnosis or management  </w:t>
      </w:r>
    </w:p>
    <w:p w14:paraId="68F7C25E" w14:textId="53432D84" w:rsidR="00B5340F" w:rsidRPr="0052742F" w:rsidRDefault="00B5340F" w:rsidP="003D14A6">
      <w:r w:rsidRPr="0052742F">
        <w:t>Software that analyses a group of patients for common trends or diagnostic indicators e.g. breast density</w:t>
      </w:r>
      <w:r w:rsidR="00A83924">
        <w:t xml:space="preserve"> and cancer propensity could be </w:t>
      </w:r>
      <w:r w:rsidRPr="0052742F">
        <w:t>excluded</w:t>
      </w:r>
      <w:r w:rsidR="00A83924">
        <w:t xml:space="preserve"> or exempted</w:t>
      </w:r>
      <w:r w:rsidRPr="0052742F">
        <w:t>, while software that performs patient-specific analyses/ diagnoses/ treatment recommendations – e.g. radiotherapy dosage plan, would be regulated as a medical device</w:t>
      </w:r>
    </w:p>
    <w:p w14:paraId="0B3FFBC9" w14:textId="2EA28629" w:rsidR="00264565" w:rsidRPr="00F441CA" w:rsidRDefault="00313484" w:rsidP="00F441CA">
      <w:pPr>
        <w:pStyle w:val="Heading3"/>
        <w:rPr>
          <w:rStyle w:val="Heading4Char"/>
          <w:b/>
          <w:bCs/>
          <w:sz w:val="32"/>
          <w:szCs w:val="32"/>
        </w:rPr>
      </w:pPr>
      <w:bookmarkStart w:id="18" w:name="_Toc35874427"/>
      <w:r w:rsidRPr="00F441CA">
        <w:rPr>
          <w:rStyle w:val="Heading4Char"/>
          <w:b/>
          <w:bCs/>
          <w:sz w:val="32"/>
          <w:szCs w:val="32"/>
        </w:rPr>
        <w:t>Potential software exclusion/exemption, where a</w:t>
      </w:r>
      <w:r w:rsidR="00264565" w:rsidRPr="00F441CA">
        <w:rPr>
          <w:rStyle w:val="Heading4Char"/>
          <w:b/>
          <w:bCs/>
          <w:sz w:val="32"/>
          <w:szCs w:val="32"/>
        </w:rPr>
        <w:t>dequate alternative mechanisms of oversight</w:t>
      </w:r>
      <w:r w:rsidR="00F33D14" w:rsidRPr="00F441CA">
        <w:rPr>
          <w:rStyle w:val="Heading4Char"/>
          <w:b/>
          <w:bCs/>
          <w:sz w:val="32"/>
          <w:szCs w:val="32"/>
        </w:rPr>
        <w:t xml:space="preserve"> exist</w:t>
      </w:r>
      <w:bookmarkEnd w:id="18"/>
    </w:p>
    <w:p w14:paraId="3EC07A24" w14:textId="359BB2CE" w:rsidR="008F50B9" w:rsidRPr="003D7768" w:rsidRDefault="008F50B9" w:rsidP="00264565">
      <w:pPr>
        <w:rPr>
          <w:color w:val="000000"/>
        </w:rPr>
      </w:pPr>
      <w:r w:rsidRPr="003D7768">
        <w:rPr>
          <w:color w:val="000000"/>
        </w:rPr>
        <w:t>This principle would apply i</w:t>
      </w:r>
      <w:r w:rsidR="00264565" w:rsidRPr="003D7768">
        <w:rPr>
          <w:color w:val="000000"/>
        </w:rPr>
        <w:t xml:space="preserve">f it can be demonstrated that there are already adequate alternative mechanisms of oversight for software-based </w:t>
      </w:r>
      <w:r w:rsidR="00145656" w:rsidRPr="003D7768">
        <w:rPr>
          <w:color w:val="000000"/>
        </w:rPr>
        <w:t xml:space="preserve">medical devices </w:t>
      </w:r>
      <w:r w:rsidR="00264565" w:rsidRPr="003D7768">
        <w:rPr>
          <w:color w:val="000000"/>
        </w:rPr>
        <w:t>and risks associated with their use and performance (e.g., risk of misdiagnosis or inappropriate treatment) can be appropriately mitigated</w:t>
      </w:r>
      <w:r w:rsidR="003D14A6">
        <w:rPr>
          <w:color w:val="000000"/>
        </w:rPr>
        <w:t>.</w:t>
      </w:r>
    </w:p>
    <w:p w14:paraId="3AA44A32" w14:textId="0CABC418" w:rsidR="00B220FA" w:rsidRDefault="005B0966" w:rsidP="00B220FA">
      <w:pPr>
        <w:rPr>
          <w:color w:val="000000"/>
        </w:rPr>
      </w:pPr>
      <w:r w:rsidRPr="00B00F03">
        <w:rPr>
          <w:color w:val="000000"/>
        </w:rPr>
        <w:t>It is recognised that some software-based products may be embedded in the delivery of a health service and therefore be subject to other systems of regulatory or pseudo-regulatory oversight</w:t>
      </w:r>
      <w:r w:rsidR="00BB25D5">
        <w:rPr>
          <w:color w:val="000000"/>
        </w:rPr>
        <w:t xml:space="preserve">. </w:t>
      </w:r>
      <w:r w:rsidRPr="00B00F03">
        <w:rPr>
          <w:color w:val="000000"/>
        </w:rPr>
        <w:t>Thus, there may be other, adequate controls already in place rendering TGA regulation unnecessary in certain circumstances.</w:t>
      </w:r>
    </w:p>
    <w:p w14:paraId="444FAE77" w14:textId="29375D99" w:rsidR="00B220FA" w:rsidRDefault="00B220FA" w:rsidP="003D7768">
      <w:pPr>
        <w:rPr>
          <w:color w:val="000000"/>
        </w:rPr>
      </w:pPr>
      <w:r>
        <w:rPr>
          <w:color w:val="000000"/>
        </w:rPr>
        <w:t>Examples</w:t>
      </w:r>
      <w:r w:rsidR="00B5340F" w:rsidRPr="003D7768">
        <w:rPr>
          <w:color w:val="000000"/>
        </w:rPr>
        <w:t xml:space="preserve"> of </w:t>
      </w:r>
      <w:r>
        <w:rPr>
          <w:color w:val="000000"/>
        </w:rPr>
        <w:t>software that could potentially b</w:t>
      </w:r>
      <w:r w:rsidR="00A83924">
        <w:rPr>
          <w:color w:val="000000"/>
        </w:rPr>
        <w:t xml:space="preserve">e excluded or </w:t>
      </w:r>
      <w:r w:rsidR="00E70EF2">
        <w:rPr>
          <w:color w:val="000000"/>
        </w:rPr>
        <w:t>exempted</w:t>
      </w:r>
      <w:r w:rsidR="00B5340F" w:rsidRPr="003D7768">
        <w:rPr>
          <w:color w:val="000000"/>
        </w:rPr>
        <w:t xml:space="preserve"> might include:</w:t>
      </w:r>
    </w:p>
    <w:p w14:paraId="700D3964" w14:textId="36756EE2" w:rsidR="00B5340F" w:rsidRPr="00B220FA" w:rsidRDefault="00B5340F" w:rsidP="003D14A6">
      <w:pPr>
        <w:pStyle w:val="ListBullet"/>
      </w:pPr>
      <w:r w:rsidRPr="00B220FA">
        <w:t>Lab Support Software that is intended to be used in an accredited pathology laboratory</w:t>
      </w:r>
    </w:p>
    <w:p w14:paraId="465F9D13" w14:textId="6669A362" w:rsidR="00B5340F" w:rsidRPr="003D7768" w:rsidRDefault="00B5340F" w:rsidP="003D14A6">
      <w:r w:rsidRPr="003D7768">
        <w:t>Laboratory information management software (LIMS) that is intended for the input, storage and retrieval of clinical information or data; and reporting of clinical information does not usually meet the definition of a medical device</w:t>
      </w:r>
      <w:r w:rsidR="00BB25D5">
        <w:t xml:space="preserve">. </w:t>
      </w:r>
      <w:r w:rsidRPr="003D7768">
        <w:t>Some modules of LIMS, including some algorithms developed within the laboratory, may perform some functions that do meet the definition of a medical device</w:t>
      </w:r>
      <w:r w:rsidR="00BB25D5">
        <w:t xml:space="preserve">. </w:t>
      </w:r>
      <w:r w:rsidRPr="003D7768">
        <w:t>It may be possible to exclude these cases when they are supplied to/ used in a NA</w:t>
      </w:r>
      <w:r w:rsidR="00BB25D5">
        <w:t>TA/RCPS accredited laboratory.</w:t>
      </w:r>
    </w:p>
    <w:p w14:paraId="3EDEB63C" w14:textId="25E0DA34" w:rsidR="009410B5" w:rsidRPr="00B220FA" w:rsidRDefault="009410B5" w:rsidP="003D14A6">
      <w:pPr>
        <w:pStyle w:val="ListBullet"/>
      </w:pPr>
      <w:r w:rsidRPr="00B220FA">
        <w:t>Clinical Decision Support Software</w:t>
      </w:r>
    </w:p>
    <w:p w14:paraId="0B2CD95E" w14:textId="4C83680A" w:rsidR="00B220FA" w:rsidRDefault="009410B5" w:rsidP="003D14A6">
      <w:r w:rsidRPr="003D7768">
        <w:t>It is proposed that Clinical Decision Support software may be excluded</w:t>
      </w:r>
      <w:r w:rsidR="00A83924">
        <w:t xml:space="preserve"> or </w:t>
      </w:r>
      <w:r w:rsidR="00E70EF2">
        <w:t>exempted</w:t>
      </w:r>
      <w:r w:rsidRPr="003D7768">
        <w:t xml:space="preserve"> from regulation when:</w:t>
      </w:r>
    </w:p>
    <w:p w14:paraId="1ADF77F8" w14:textId="6887FDFF" w:rsidR="00B220FA" w:rsidRPr="003D14A6" w:rsidRDefault="009410B5" w:rsidP="003D14A6">
      <w:pPr>
        <w:pStyle w:val="ListBullet2"/>
      </w:pPr>
      <w:r w:rsidRPr="003D14A6">
        <w:t>it is not intended to acquire, process, or analyse a medical image or a signal from a hardware medical device or an in vitro diagnostic device, and</w:t>
      </w:r>
    </w:p>
    <w:p w14:paraId="2703A606" w14:textId="5E851CA0" w:rsidR="00E8619F" w:rsidRPr="003D14A6" w:rsidRDefault="009410B5" w:rsidP="003D14A6">
      <w:pPr>
        <w:pStyle w:val="ListBullet2"/>
      </w:pPr>
      <w:r w:rsidRPr="003D14A6">
        <w:t>it is intended for the purpose of displaying, analysing, or printing medical information about a patient or other medical information (such as peer-reviewed clinical studies and clin</w:t>
      </w:r>
      <w:r w:rsidR="00E8619F" w:rsidRPr="003D14A6">
        <w:t xml:space="preserve">ical practice guidelines), and </w:t>
      </w:r>
    </w:p>
    <w:p w14:paraId="49481E23" w14:textId="3F13C13E" w:rsidR="00E8619F" w:rsidRPr="003D14A6" w:rsidRDefault="009410B5" w:rsidP="003D14A6">
      <w:pPr>
        <w:pStyle w:val="ListBullet2"/>
      </w:pPr>
      <w:r w:rsidRPr="003D14A6">
        <w:t>it is intended for the purpose of supporting or providing recommendations to a health care professional about prevention, diagnosis, or treatment</w:t>
      </w:r>
      <w:r w:rsidR="00E8619F" w:rsidRPr="003D14A6">
        <w:t xml:space="preserve"> of a disease or condition, and</w:t>
      </w:r>
    </w:p>
    <w:p w14:paraId="7247A7E8" w14:textId="446C8097" w:rsidR="009410B5" w:rsidRPr="003D7768" w:rsidRDefault="009410B5" w:rsidP="003D14A6">
      <w:pPr>
        <w:pStyle w:val="ListBullet2"/>
      </w:pPr>
      <w:r w:rsidRPr="003D14A6">
        <w:t>it is intended for the purpose of enabling such health care professional to independently review the basis for such recommendations that such software presents so that it is not the intent that such health care professional rely primarily on any such recommendations to make a clinical diagnosis or treatment decision r</w:t>
      </w:r>
      <w:r w:rsidR="00C24859" w:rsidRPr="003D14A6">
        <w:t>egarding an individual patient.</w:t>
      </w:r>
    </w:p>
    <w:p w14:paraId="0D1D86D9" w14:textId="7ADB8D63" w:rsidR="0062441A" w:rsidRPr="003D7768" w:rsidRDefault="0062441A" w:rsidP="0062441A">
      <w:pPr>
        <w:pStyle w:val="Heading2"/>
        <w:rPr>
          <w:color w:val="000000"/>
        </w:rPr>
      </w:pPr>
      <w:bookmarkStart w:id="19" w:name="_What_we_invite"/>
      <w:bookmarkStart w:id="20" w:name="_Toc532924256"/>
      <w:bookmarkStart w:id="21" w:name="_Toc35874428"/>
      <w:bookmarkEnd w:id="19"/>
      <w:r w:rsidRPr="003D7768">
        <w:rPr>
          <w:color w:val="000000"/>
        </w:rPr>
        <w:lastRenderedPageBreak/>
        <w:t>What we invite you to do</w:t>
      </w:r>
      <w:bookmarkEnd w:id="20"/>
      <w:bookmarkEnd w:id="21"/>
    </w:p>
    <w:p w14:paraId="40CAED34" w14:textId="2687B961" w:rsidR="0062441A" w:rsidRPr="003D7768" w:rsidRDefault="0062441A" w:rsidP="0062441A">
      <w:pPr>
        <w:rPr>
          <w:color w:val="000000"/>
        </w:rPr>
      </w:pPr>
      <w:r w:rsidRPr="003D7768">
        <w:rPr>
          <w:color w:val="000000"/>
        </w:rPr>
        <w:t xml:space="preserve">In your submission, we ask you to consider </w:t>
      </w:r>
      <w:r w:rsidR="00071FCE" w:rsidRPr="003D7768">
        <w:rPr>
          <w:color w:val="000000"/>
        </w:rPr>
        <w:t xml:space="preserve">and respond to </w:t>
      </w:r>
      <w:r w:rsidRPr="003D7768">
        <w:rPr>
          <w:color w:val="000000"/>
        </w:rPr>
        <w:t>the questions below</w:t>
      </w:r>
      <w:r w:rsidR="00071FCE" w:rsidRPr="003D7768">
        <w:rPr>
          <w:color w:val="000000"/>
        </w:rPr>
        <w:t xml:space="preserve">, </w:t>
      </w:r>
      <w:r w:rsidRPr="003D7768">
        <w:rPr>
          <w:color w:val="000000"/>
        </w:rPr>
        <w:t xml:space="preserve">and to provide comments </w:t>
      </w:r>
      <w:r w:rsidR="005215AB" w:rsidRPr="003D7768">
        <w:rPr>
          <w:color w:val="000000"/>
        </w:rPr>
        <w:t>on the</w:t>
      </w:r>
      <w:r w:rsidR="00071FCE" w:rsidRPr="003D7768">
        <w:rPr>
          <w:color w:val="000000"/>
        </w:rPr>
        <w:t xml:space="preserve"> issues </w:t>
      </w:r>
      <w:r w:rsidRPr="003D7768">
        <w:rPr>
          <w:color w:val="000000"/>
        </w:rPr>
        <w:t>outlined in this consultation paper.</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2441A" w:rsidRPr="003D7768" w14:paraId="4E3A943F" w14:textId="77777777" w:rsidTr="00750D60">
        <w:trPr>
          <w:trHeight w:val="817"/>
        </w:trPr>
        <w:tc>
          <w:tcPr>
            <w:tcW w:w="1276" w:type="dxa"/>
            <w:vAlign w:val="center"/>
          </w:tcPr>
          <w:p w14:paraId="43FAAA79" w14:textId="77777777" w:rsidR="0062441A" w:rsidRPr="003D7768" w:rsidRDefault="0062441A" w:rsidP="00750D60">
            <w:pPr>
              <w:rPr>
                <w:color w:val="000000"/>
              </w:rPr>
            </w:pPr>
            <w:r w:rsidRPr="003D7768">
              <w:rPr>
                <w:noProof/>
                <w:color w:val="000000"/>
                <w:lang w:eastAsia="en-AU"/>
              </w:rPr>
              <w:drawing>
                <wp:inline distT="0" distB="0" distL="0" distR="0" wp14:anchorId="3288CE09" wp14:editId="4554F57A">
                  <wp:extent cx="810260" cy="81026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 787454  question-white-on-black-160x16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026AC1D9" w14:textId="269500D4" w:rsidR="0062441A" w:rsidRPr="003D7768" w:rsidRDefault="000E1B5B" w:rsidP="00750D60">
            <w:pPr>
              <w:rPr>
                <w:b/>
                <w:color w:val="000000"/>
              </w:rPr>
            </w:pPr>
            <w:bookmarkStart w:id="22" w:name="_Toc488857260"/>
            <w:bookmarkStart w:id="23" w:name="_Ref532476925"/>
            <w:bookmarkStart w:id="24" w:name="_Toc532477898"/>
            <w:r w:rsidRPr="003D7768">
              <w:rPr>
                <w:b/>
                <w:color w:val="000000"/>
              </w:rPr>
              <w:t>Questions</w:t>
            </w:r>
            <w:bookmarkEnd w:id="22"/>
            <w:bookmarkEnd w:id="23"/>
            <w:bookmarkEnd w:id="24"/>
          </w:p>
          <w:p w14:paraId="111FAADD" w14:textId="78F2686D" w:rsidR="00E70EF2" w:rsidRDefault="00135CD2" w:rsidP="00F441CA">
            <w:pPr>
              <w:pStyle w:val="ListBullet"/>
              <w:numPr>
                <w:ilvl w:val="0"/>
                <w:numId w:val="17"/>
              </w:numPr>
              <w:rPr>
                <w:b/>
                <w:color w:val="000000"/>
              </w:rPr>
            </w:pPr>
            <w:r w:rsidRPr="003D7768">
              <w:rPr>
                <w:b/>
                <w:color w:val="000000"/>
              </w:rPr>
              <w:t>What kinds of software-based products should be exempted from inclusion in the ARTG</w:t>
            </w:r>
            <w:r w:rsidR="00EB20E3">
              <w:rPr>
                <w:b/>
                <w:color w:val="000000"/>
              </w:rPr>
              <w:t>?</w:t>
            </w:r>
            <w:r w:rsidR="00BB25D5">
              <w:rPr>
                <w:b/>
                <w:color w:val="000000"/>
              </w:rPr>
              <w:t xml:space="preserve"> </w:t>
            </w:r>
            <w:r w:rsidR="003364D3">
              <w:rPr>
                <w:b/>
                <w:color w:val="000000"/>
              </w:rPr>
              <w:t>What are they and why should they be exempted</w:t>
            </w:r>
            <w:r w:rsidR="00E70EF2">
              <w:rPr>
                <w:b/>
                <w:color w:val="000000"/>
              </w:rPr>
              <w:t>?</w:t>
            </w:r>
          </w:p>
          <w:p w14:paraId="7599A7E0" w14:textId="1DF83E7C" w:rsidR="003364D3" w:rsidRPr="003364D3" w:rsidRDefault="00E70EF2" w:rsidP="00F441CA">
            <w:pPr>
              <w:pStyle w:val="ListBullet"/>
              <w:numPr>
                <w:ilvl w:val="0"/>
                <w:numId w:val="17"/>
              </w:numPr>
              <w:rPr>
                <w:color w:val="000000"/>
              </w:rPr>
            </w:pPr>
            <w:r w:rsidRPr="003364D3">
              <w:rPr>
                <w:b/>
                <w:color w:val="000000"/>
              </w:rPr>
              <w:t xml:space="preserve">What kinds of software-based products should be </w:t>
            </w:r>
            <w:r w:rsidR="00135CD2" w:rsidRPr="003364D3">
              <w:rPr>
                <w:b/>
                <w:color w:val="000000"/>
              </w:rPr>
              <w:t>excluded from regulation by the TGA</w:t>
            </w:r>
            <w:r w:rsidR="00EB20E3">
              <w:rPr>
                <w:b/>
                <w:color w:val="000000"/>
              </w:rPr>
              <w:t>?</w:t>
            </w:r>
            <w:r w:rsidR="00BB25D5">
              <w:rPr>
                <w:b/>
                <w:color w:val="000000"/>
              </w:rPr>
              <w:t xml:space="preserve"> </w:t>
            </w:r>
            <w:r w:rsidR="003364D3" w:rsidRPr="003364D3">
              <w:rPr>
                <w:b/>
                <w:color w:val="000000"/>
              </w:rPr>
              <w:t>What are they and why should they be excluded</w:t>
            </w:r>
            <w:r w:rsidR="00135CD2" w:rsidRPr="003364D3">
              <w:rPr>
                <w:b/>
                <w:color w:val="000000"/>
              </w:rPr>
              <w:t xml:space="preserve">? </w:t>
            </w:r>
          </w:p>
          <w:p w14:paraId="02AB078B" w14:textId="7E18778E" w:rsidR="00DA170E" w:rsidRDefault="00DA170E" w:rsidP="003364D3">
            <w:pPr>
              <w:pStyle w:val="ListBullet"/>
              <w:numPr>
                <w:ilvl w:val="0"/>
                <w:numId w:val="0"/>
              </w:numPr>
              <w:ind w:left="720"/>
              <w:rPr>
                <w:b/>
                <w:color w:val="000000"/>
              </w:rPr>
            </w:pPr>
            <w:r>
              <w:rPr>
                <w:b/>
                <w:color w:val="000000"/>
              </w:rPr>
              <w:t>Please provide</w:t>
            </w:r>
            <w:r w:rsidR="000C50B8">
              <w:rPr>
                <w:b/>
                <w:color w:val="000000"/>
              </w:rPr>
              <w:t xml:space="preserve"> details:</w:t>
            </w:r>
          </w:p>
          <w:p w14:paraId="7D657360" w14:textId="13204D0A" w:rsidR="00135CD2" w:rsidRDefault="00DA170E" w:rsidP="003364D3">
            <w:pPr>
              <w:pStyle w:val="ListBullet"/>
              <w:numPr>
                <w:ilvl w:val="0"/>
                <w:numId w:val="0"/>
              </w:numPr>
              <w:ind w:left="720"/>
              <w:rPr>
                <w:b/>
                <w:color w:val="000000"/>
              </w:rPr>
            </w:pPr>
            <w:r>
              <w:rPr>
                <w:b/>
                <w:color w:val="000000"/>
              </w:rPr>
              <w:t xml:space="preserve">of </w:t>
            </w:r>
            <w:r w:rsidR="00135CD2" w:rsidRPr="003364D3">
              <w:rPr>
                <w:b/>
                <w:color w:val="000000"/>
              </w:rPr>
              <w:t xml:space="preserve">any existing regulatory oversight that you consider would negate the need for the TGA to regulate </w:t>
            </w:r>
            <w:r w:rsidR="003E3881" w:rsidRPr="003364D3">
              <w:rPr>
                <w:b/>
                <w:color w:val="000000"/>
              </w:rPr>
              <w:t xml:space="preserve">particular </w:t>
            </w:r>
            <w:r>
              <w:rPr>
                <w:b/>
                <w:color w:val="000000"/>
              </w:rPr>
              <w:t>software-based products; or</w:t>
            </w:r>
          </w:p>
          <w:p w14:paraId="54089B92" w14:textId="57202D44" w:rsidR="00DA170E" w:rsidRPr="003364D3" w:rsidRDefault="00E869B3" w:rsidP="003364D3">
            <w:pPr>
              <w:pStyle w:val="ListBullet"/>
              <w:numPr>
                <w:ilvl w:val="0"/>
                <w:numId w:val="0"/>
              </w:numPr>
              <w:ind w:left="720"/>
              <w:rPr>
                <w:color w:val="000000"/>
              </w:rPr>
            </w:pPr>
            <w:r w:rsidRPr="001074C2">
              <w:rPr>
                <w:b/>
                <w:color w:val="000000"/>
              </w:rPr>
              <w:t xml:space="preserve">describe </w:t>
            </w:r>
            <w:r w:rsidR="00DA170E" w:rsidRPr="001074C2">
              <w:rPr>
                <w:b/>
                <w:color w:val="000000"/>
              </w:rPr>
              <w:t>what evidence</w:t>
            </w:r>
            <w:r w:rsidR="000C50B8" w:rsidRPr="001074C2">
              <w:rPr>
                <w:b/>
                <w:color w:val="000000"/>
              </w:rPr>
              <w:t xml:space="preserve"> or product characteristics </w:t>
            </w:r>
            <w:r w:rsidR="00DA170E" w:rsidRPr="001074C2">
              <w:rPr>
                <w:b/>
                <w:color w:val="000000"/>
              </w:rPr>
              <w:t xml:space="preserve">could be used to determine </w:t>
            </w:r>
            <w:r w:rsidR="000C50B8" w:rsidRPr="001074C2">
              <w:rPr>
                <w:b/>
                <w:color w:val="000000"/>
              </w:rPr>
              <w:t xml:space="preserve">that </w:t>
            </w:r>
            <w:r w:rsidR="00F00926" w:rsidRPr="001074C2">
              <w:rPr>
                <w:b/>
                <w:color w:val="000000"/>
              </w:rPr>
              <w:t>particular</w:t>
            </w:r>
            <w:r w:rsidRPr="001074C2">
              <w:rPr>
                <w:b/>
                <w:color w:val="000000"/>
              </w:rPr>
              <w:t xml:space="preserve"> types of software</w:t>
            </w:r>
            <w:r w:rsidR="00DA170E" w:rsidRPr="001074C2">
              <w:rPr>
                <w:b/>
                <w:color w:val="000000"/>
              </w:rPr>
              <w:t xml:space="preserve"> pose </w:t>
            </w:r>
            <w:r w:rsidR="000C50B8" w:rsidRPr="001074C2">
              <w:rPr>
                <w:b/>
                <w:color w:val="000000"/>
              </w:rPr>
              <w:t xml:space="preserve">no potential for </w:t>
            </w:r>
            <w:r w:rsidR="00DA170E" w:rsidRPr="001074C2">
              <w:rPr>
                <w:b/>
                <w:color w:val="000000"/>
              </w:rPr>
              <w:t>significant harm to an individual</w:t>
            </w:r>
            <w:r w:rsidR="000C50B8" w:rsidRPr="001074C2">
              <w:rPr>
                <w:b/>
                <w:color w:val="000000"/>
              </w:rPr>
              <w:t>.</w:t>
            </w:r>
            <w:r w:rsidR="000C50B8">
              <w:t xml:space="preserve"> </w:t>
            </w:r>
          </w:p>
          <w:p w14:paraId="4B4BA5EF" w14:textId="48D3B8CD" w:rsidR="000E1B5B" w:rsidRPr="003364D3" w:rsidRDefault="000E1B5B" w:rsidP="00F441CA">
            <w:pPr>
              <w:pStyle w:val="ListParagraph"/>
              <w:numPr>
                <w:ilvl w:val="0"/>
                <w:numId w:val="17"/>
              </w:numPr>
              <w:rPr>
                <w:b/>
                <w:color w:val="000000"/>
              </w:rPr>
            </w:pPr>
            <w:r w:rsidRPr="003364D3">
              <w:rPr>
                <w:b/>
                <w:color w:val="000000"/>
              </w:rPr>
              <w:t>Which approaches from international jurisdictions, if any, should be used to inform the Australian approach to this issue?</w:t>
            </w:r>
          </w:p>
          <w:p w14:paraId="34B63C78" w14:textId="17838226" w:rsidR="009C6B35" w:rsidRPr="003D7768" w:rsidRDefault="000E1B5B" w:rsidP="00A83924">
            <w:pPr>
              <w:pStyle w:val="ListBullet"/>
              <w:numPr>
                <w:ilvl w:val="0"/>
                <w:numId w:val="0"/>
              </w:numPr>
              <w:ind w:left="425" w:hanging="425"/>
              <w:rPr>
                <w:color w:val="000000"/>
              </w:rPr>
            </w:pPr>
            <w:r w:rsidRPr="003D7768">
              <w:rPr>
                <w:color w:val="000000"/>
              </w:rPr>
              <w:t xml:space="preserve">Please refer to </w:t>
            </w:r>
            <w:hyperlink w:anchor="_How_to_submit" w:history="1">
              <w:r w:rsidRPr="003D7768">
                <w:rPr>
                  <w:color w:val="000000"/>
                  <w:u w:val="single"/>
                </w:rPr>
                <w:t>How to submit</w:t>
              </w:r>
            </w:hyperlink>
            <w:r w:rsidRPr="003D7768">
              <w:rPr>
                <w:color w:val="000000"/>
              </w:rPr>
              <w:t xml:space="preserve"> your feedback to the TGA.</w:t>
            </w:r>
          </w:p>
        </w:tc>
      </w:tr>
    </w:tbl>
    <w:p w14:paraId="385607C2" w14:textId="5B835C0D" w:rsidR="0062441A" w:rsidRPr="003D7768" w:rsidRDefault="0062441A" w:rsidP="00711F07">
      <w:pPr>
        <w:pStyle w:val="Heading3"/>
      </w:pPr>
      <w:bookmarkStart w:id="25" w:name="_How_to_submit"/>
      <w:bookmarkStart w:id="26" w:name="_Toc532924257"/>
      <w:bookmarkStart w:id="27" w:name="_Toc35874429"/>
      <w:bookmarkEnd w:id="25"/>
      <w:r w:rsidRPr="003D7768">
        <w:t>How to submit</w:t>
      </w:r>
      <w:bookmarkEnd w:id="26"/>
      <w:bookmarkEnd w:id="27"/>
    </w:p>
    <w:p w14:paraId="57747345" w14:textId="25B3FEB4" w:rsidR="0062441A" w:rsidRPr="003364D3" w:rsidRDefault="0062441A" w:rsidP="0062441A">
      <w:pPr>
        <w:rPr>
          <w:color w:val="000000"/>
        </w:rPr>
      </w:pPr>
      <w:r w:rsidRPr="003364D3">
        <w:rPr>
          <w:color w:val="000000"/>
        </w:rPr>
        <w:t xml:space="preserve">Complete the </w:t>
      </w:r>
      <w:hyperlink r:id="rId28" w:history="1">
        <w:r w:rsidR="00655814" w:rsidRPr="00592EF0">
          <w:rPr>
            <w:rStyle w:val="Hyperlink"/>
          </w:rPr>
          <w:t>online consultatio</w:t>
        </w:r>
        <w:r w:rsidR="00655814" w:rsidRPr="00592EF0">
          <w:rPr>
            <w:rStyle w:val="Hyperlink"/>
          </w:rPr>
          <w:t>n submiss</w:t>
        </w:r>
        <w:bookmarkStart w:id="28" w:name="_GoBack"/>
        <w:bookmarkEnd w:id="28"/>
        <w:r w:rsidR="00655814" w:rsidRPr="00592EF0">
          <w:rPr>
            <w:rStyle w:val="Hyperlink"/>
          </w:rPr>
          <w:t>ion form</w:t>
        </w:r>
      </w:hyperlink>
      <w:r w:rsidRPr="003364D3">
        <w:rPr>
          <w:color w:val="000000"/>
        </w:rPr>
        <w:t xml:space="preserve"> to upload your submission in either pdf or word format.</w:t>
      </w:r>
    </w:p>
    <w:p w14:paraId="2976F715" w14:textId="2B7E4485" w:rsidR="0062441A" w:rsidRPr="003D7768" w:rsidRDefault="0062441A" w:rsidP="0062441A">
      <w:pPr>
        <w:rPr>
          <w:color w:val="000000"/>
        </w:rPr>
      </w:pPr>
      <w:r w:rsidRPr="003364D3">
        <w:rPr>
          <w:color w:val="000000"/>
        </w:rPr>
        <w:t>Please submit your feedback</w:t>
      </w:r>
      <w:r w:rsidR="00734A30">
        <w:rPr>
          <w:color w:val="000000"/>
        </w:rPr>
        <w:t xml:space="preserve"> directly to the TGA by email: </w:t>
      </w:r>
      <w:hyperlink r:id="rId29" w:history="1">
        <w:r w:rsidR="00E8619F" w:rsidRPr="003364D3">
          <w:rPr>
            <w:rStyle w:val="Hyperlink"/>
          </w:rPr>
          <w:t>devicereforms@health.gov.au</w:t>
        </w:r>
      </w:hyperlink>
      <w:r w:rsidRPr="003364D3">
        <w:rPr>
          <w:rStyle w:val="Hyperlink"/>
          <w:color w:val="000000"/>
          <w:u w:val="none"/>
        </w:rPr>
        <w:t>.</w:t>
      </w:r>
    </w:p>
    <w:p w14:paraId="7A54ED3B" w14:textId="75FDFE5C" w:rsidR="0062441A" w:rsidRPr="003D7768" w:rsidRDefault="0062441A" w:rsidP="0062441A">
      <w:pPr>
        <w:pStyle w:val="Heading3"/>
        <w:rPr>
          <w:color w:val="000000"/>
        </w:rPr>
      </w:pPr>
      <w:bookmarkStart w:id="29" w:name="_Toc532924258"/>
      <w:bookmarkStart w:id="30" w:name="_Toc35874430"/>
      <w:r w:rsidRPr="003D7768">
        <w:rPr>
          <w:color w:val="000000"/>
        </w:rPr>
        <w:t>Enquiries</w:t>
      </w:r>
      <w:bookmarkEnd w:id="29"/>
      <w:bookmarkEnd w:id="30"/>
    </w:p>
    <w:p w14:paraId="4049CA1F" w14:textId="7F8162F8" w:rsidR="0062441A" w:rsidRPr="003D7768" w:rsidRDefault="007116A3" w:rsidP="0062441A">
      <w:pPr>
        <w:rPr>
          <w:rStyle w:val="Hyperlink"/>
          <w:color w:val="000000"/>
          <w:u w:val="none"/>
        </w:rPr>
      </w:pPr>
      <w:r w:rsidRPr="003D7768">
        <w:rPr>
          <w:color w:val="000000"/>
        </w:rPr>
        <w:t xml:space="preserve">Please direct </w:t>
      </w:r>
      <w:r w:rsidR="0062441A" w:rsidRPr="003D7768">
        <w:rPr>
          <w:color w:val="000000"/>
        </w:rPr>
        <w:t xml:space="preserve">any questions </w:t>
      </w:r>
      <w:r w:rsidRPr="003D7768">
        <w:rPr>
          <w:color w:val="000000"/>
        </w:rPr>
        <w:t xml:space="preserve">or queries </w:t>
      </w:r>
      <w:r w:rsidR="0062441A" w:rsidRPr="003D7768">
        <w:rPr>
          <w:color w:val="000000"/>
        </w:rPr>
        <w:t xml:space="preserve">relating to </w:t>
      </w:r>
      <w:r w:rsidRPr="003D7768">
        <w:rPr>
          <w:color w:val="000000"/>
        </w:rPr>
        <w:t xml:space="preserve">the consultation </w:t>
      </w:r>
      <w:r w:rsidR="0062441A" w:rsidRPr="003D7768">
        <w:rPr>
          <w:color w:val="000000"/>
        </w:rPr>
        <w:t xml:space="preserve">to: </w:t>
      </w:r>
      <w:r w:rsidR="003D14A6">
        <w:rPr>
          <w:color w:val="000000"/>
        </w:rPr>
        <w:t xml:space="preserve"> </w:t>
      </w:r>
      <w:hyperlink r:id="rId30" w:history="1">
        <w:r w:rsidR="003D14A6" w:rsidRPr="003364D3">
          <w:rPr>
            <w:rStyle w:val="Hyperlink"/>
          </w:rPr>
          <w:t>devicereforms@health.gov.au</w:t>
        </w:r>
      </w:hyperlink>
    </w:p>
    <w:tbl>
      <w:tblPr>
        <w:tblW w:w="9038" w:type="dxa"/>
        <w:tblLayout w:type="fixed"/>
        <w:tblCellMar>
          <w:left w:w="0" w:type="dxa"/>
          <w:right w:w="0" w:type="dxa"/>
        </w:tblCellMar>
        <w:tblLook w:val="04A0" w:firstRow="1" w:lastRow="0" w:firstColumn="1" w:lastColumn="0" w:noHBand="0" w:noVBand="1"/>
      </w:tblPr>
      <w:tblGrid>
        <w:gridCol w:w="1276"/>
        <w:gridCol w:w="7762"/>
      </w:tblGrid>
      <w:tr w:rsidR="00135CD2" w:rsidRPr="003D7768" w14:paraId="78DF19A3" w14:textId="77777777" w:rsidTr="00057158">
        <w:trPr>
          <w:trHeight w:val="1820"/>
        </w:trPr>
        <w:tc>
          <w:tcPr>
            <w:tcW w:w="1276" w:type="dxa"/>
            <w:vAlign w:val="center"/>
          </w:tcPr>
          <w:p w14:paraId="7072E24E" w14:textId="77777777" w:rsidR="00135CD2" w:rsidRPr="003D7768" w:rsidRDefault="00135CD2" w:rsidP="00057158">
            <w:pPr>
              <w:spacing w:before="0"/>
              <w:rPr>
                <w:color w:val="000000"/>
                <w:sz w:val="20"/>
              </w:rPr>
            </w:pPr>
            <w:r w:rsidRPr="003D7768">
              <w:rPr>
                <w:noProof/>
                <w:color w:val="000000"/>
                <w:sz w:val="20"/>
                <w:lang w:eastAsia="en-AU"/>
              </w:rPr>
              <w:drawing>
                <wp:inline distT="0" distB="0" distL="0" distR="0" wp14:anchorId="0E0482B0" wp14:editId="5E165B59">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260ADD8" w14:textId="77777777" w:rsidR="00135CD2" w:rsidRPr="003D7768" w:rsidRDefault="00135CD2" w:rsidP="00057158">
            <w:pPr>
              <w:rPr>
                <w:b/>
                <w:color w:val="000000"/>
              </w:rPr>
            </w:pPr>
            <w:r w:rsidRPr="003D7768">
              <w:rPr>
                <w:b/>
                <w:color w:val="000000"/>
              </w:rPr>
              <w:t>Please note</w:t>
            </w:r>
          </w:p>
          <w:p w14:paraId="7CF9091A" w14:textId="77777777" w:rsidR="00135CD2" w:rsidRPr="003D7768" w:rsidRDefault="00135CD2" w:rsidP="00057158">
            <w:pPr>
              <w:rPr>
                <w:color w:val="000000"/>
              </w:rPr>
            </w:pPr>
            <w:r w:rsidRPr="003D7768">
              <w:rPr>
                <w:color w:val="000000"/>
              </w:rPr>
              <w:t>Before providing feedback, it is important to read the explanatory material that follows.</w:t>
            </w:r>
          </w:p>
        </w:tc>
      </w:tr>
    </w:tbl>
    <w:p w14:paraId="1CD8EFA8" w14:textId="77777777" w:rsidR="00135CD2" w:rsidRPr="003D7768" w:rsidRDefault="00135CD2" w:rsidP="0062441A">
      <w:pPr>
        <w:rPr>
          <w:color w:val="000000"/>
        </w:rPr>
      </w:pPr>
    </w:p>
    <w:p w14:paraId="69DBD6AF" w14:textId="0EFBCC26" w:rsidR="00C3145A" w:rsidRPr="003D7768" w:rsidRDefault="00C3145A" w:rsidP="00C26351">
      <w:pPr>
        <w:pStyle w:val="Heading3"/>
      </w:pPr>
      <w:bookmarkStart w:id="31" w:name="_Toc23365171"/>
      <w:bookmarkStart w:id="32" w:name="_Toc35874431"/>
      <w:r w:rsidRPr="003D7768">
        <w:lastRenderedPageBreak/>
        <w:t>Next steps</w:t>
      </w:r>
      <w:bookmarkEnd w:id="31"/>
      <w:bookmarkEnd w:id="32"/>
    </w:p>
    <w:p w14:paraId="3AADBB82" w14:textId="2B09C854" w:rsidR="005215AB" w:rsidRDefault="00B00BF0" w:rsidP="00C3145A">
      <w:pPr>
        <w:rPr>
          <w:color w:val="000000"/>
        </w:rPr>
      </w:pPr>
      <w:r w:rsidRPr="003D7768">
        <w:rPr>
          <w:color w:val="000000"/>
        </w:rPr>
        <w:t xml:space="preserve">Following closure of this consultation the TGA will review the feedback received </w:t>
      </w:r>
      <w:r w:rsidR="005215AB" w:rsidRPr="003D7768">
        <w:rPr>
          <w:color w:val="000000"/>
        </w:rPr>
        <w:t>on</w:t>
      </w:r>
      <w:r w:rsidRPr="003D7768">
        <w:rPr>
          <w:color w:val="000000"/>
        </w:rPr>
        <w:t xml:space="preserve"> what types of software-based products could potentially be </w:t>
      </w:r>
      <w:r w:rsidR="00E8619F">
        <w:rPr>
          <w:color w:val="000000"/>
        </w:rPr>
        <w:t>carved out from regulation</w:t>
      </w:r>
      <w:r w:rsidR="005215AB" w:rsidRPr="003D7768">
        <w:rPr>
          <w:color w:val="000000"/>
        </w:rPr>
        <w:t>, if appropriate,</w:t>
      </w:r>
      <w:r w:rsidRPr="003D7768">
        <w:rPr>
          <w:color w:val="000000"/>
        </w:rPr>
        <w:t xml:space="preserve"> for what purposes</w:t>
      </w:r>
      <w:r w:rsidR="00BB25D5">
        <w:rPr>
          <w:color w:val="000000"/>
        </w:rPr>
        <w:t xml:space="preserve">. </w:t>
      </w:r>
      <w:r w:rsidR="005215AB" w:rsidRPr="003D7768">
        <w:rPr>
          <w:color w:val="000000"/>
        </w:rPr>
        <w:t>We will discuss areas of concern or requests for further clarificat</w:t>
      </w:r>
      <w:r w:rsidR="003D14A6">
        <w:rPr>
          <w:color w:val="000000"/>
        </w:rPr>
        <w:t>ion with relevant stakeholders.</w:t>
      </w:r>
    </w:p>
    <w:p w14:paraId="14089E3D" w14:textId="53901391" w:rsidR="00B01879" w:rsidRDefault="00B01879" w:rsidP="00C3145A">
      <w:pPr>
        <w:rPr>
          <w:color w:val="000000"/>
        </w:rPr>
      </w:pPr>
      <w:r>
        <w:rPr>
          <w:color w:val="000000"/>
        </w:rPr>
        <w:t>Consideration also needs to be given to how consumers would view the prospect of using medical device apps that are not regulated by the TGA</w:t>
      </w:r>
      <w:r w:rsidR="00BB25D5">
        <w:rPr>
          <w:color w:val="000000"/>
        </w:rPr>
        <w:t xml:space="preserve">. </w:t>
      </w:r>
      <w:r>
        <w:rPr>
          <w:color w:val="000000"/>
        </w:rPr>
        <w:t>Many clinicians and healthcare systems also rely on inclusion in the ARTG as an indication of safety quality</w:t>
      </w:r>
      <w:r w:rsidR="003D14A6">
        <w:rPr>
          <w:color w:val="000000"/>
        </w:rPr>
        <w:t xml:space="preserve"> and performance of the device.</w:t>
      </w:r>
    </w:p>
    <w:p w14:paraId="5B6D0A0A" w14:textId="709B61EC" w:rsidR="00E8619F" w:rsidRPr="003D7768" w:rsidRDefault="00B01879" w:rsidP="00C3145A">
      <w:pPr>
        <w:rPr>
          <w:color w:val="000000"/>
        </w:rPr>
      </w:pPr>
      <w:r>
        <w:rPr>
          <w:color w:val="000000"/>
        </w:rPr>
        <w:t>Before a Ministerial decision can be made to either exclude or exempt a software-based products, the TGA will need to consider whether there are any policies, standards, regulatory frameworks or accreditation systems already in place that would negate the need for the TGA to regulate certain products.</w:t>
      </w:r>
    </w:p>
    <w:p w14:paraId="2AE78ECB" w14:textId="68E9909B" w:rsidR="005215AB" w:rsidRPr="003D7768" w:rsidRDefault="00B01879" w:rsidP="00C3145A">
      <w:pPr>
        <w:rPr>
          <w:color w:val="000000"/>
        </w:rPr>
      </w:pPr>
      <w:r>
        <w:rPr>
          <w:color w:val="000000"/>
        </w:rPr>
        <w:t xml:space="preserve">A summary of the submissions and carve-out </w:t>
      </w:r>
      <w:r w:rsidR="005215AB" w:rsidRPr="003D7768">
        <w:rPr>
          <w:color w:val="000000"/>
        </w:rPr>
        <w:t xml:space="preserve">options for </w:t>
      </w:r>
      <w:r>
        <w:rPr>
          <w:color w:val="000000"/>
        </w:rPr>
        <w:t xml:space="preserve">certain software-based products will be provided to </w:t>
      </w:r>
      <w:r w:rsidR="005215AB" w:rsidRPr="003D7768">
        <w:rPr>
          <w:color w:val="000000"/>
        </w:rPr>
        <w:t>t</w:t>
      </w:r>
      <w:r w:rsidR="003D14A6">
        <w:rPr>
          <w:color w:val="000000"/>
        </w:rPr>
        <w:t>he Minister for consideration.</w:t>
      </w:r>
    </w:p>
    <w:p w14:paraId="4DF7E312" w14:textId="77777777" w:rsidR="00F33D14" w:rsidRDefault="00F33D14">
      <w:pPr>
        <w:spacing w:before="0" w:after="0" w:line="240" w:lineRule="auto"/>
        <w:rPr>
          <w:rFonts w:ascii="Arial" w:eastAsia="Times New Roman" w:hAnsi="Arial"/>
          <w:b/>
          <w:bCs/>
          <w:color w:val="000000"/>
          <w:sz w:val="38"/>
          <w:szCs w:val="38"/>
        </w:rPr>
      </w:pPr>
      <w:bookmarkStart w:id="33" w:name="_Appendix_1_–"/>
      <w:bookmarkStart w:id="34" w:name="_Toc23365172"/>
      <w:bookmarkEnd w:id="33"/>
      <w:r>
        <w:rPr>
          <w:color w:val="000000"/>
        </w:rPr>
        <w:br w:type="page"/>
      </w:r>
    </w:p>
    <w:p w14:paraId="7F6ECE50" w14:textId="03ECD4B5" w:rsidR="00C3145A" w:rsidRPr="003D7768" w:rsidRDefault="00C3145A" w:rsidP="00381D1A">
      <w:pPr>
        <w:pStyle w:val="Heading3"/>
        <w:rPr>
          <w:rStyle w:val="charsectno0"/>
          <w:color w:val="000000"/>
        </w:rPr>
      </w:pPr>
      <w:bookmarkStart w:id="35" w:name="_Appendix_1_-"/>
      <w:bookmarkStart w:id="36" w:name="_Toc35874432"/>
      <w:bookmarkEnd w:id="35"/>
      <w:r w:rsidRPr="003D7768">
        <w:lastRenderedPageBreak/>
        <w:t>Appendix 1</w:t>
      </w:r>
      <w:bookmarkStart w:id="37" w:name="_Toc535855198"/>
      <w:r w:rsidR="00113BA8">
        <w:t xml:space="preserve"> - </w:t>
      </w:r>
      <w:r w:rsidRPr="003D7768">
        <w:rPr>
          <w:rStyle w:val="charsectno0"/>
          <w:color w:val="000000"/>
        </w:rPr>
        <w:t>The leg</w:t>
      </w:r>
      <w:r w:rsidR="00F7063E" w:rsidRPr="003D7768">
        <w:rPr>
          <w:rStyle w:val="charsectno0"/>
          <w:color w:val="000000"/>
        </w:rPr>
        <w:t>al</w:t>
      </w:r>
      <w:r w:rsidRPr="003D7768">
        <w:rPr>
          <w:rStyle w:val="charsectno0"/>
          <w:color w:val="000000"/>
        </w:rPr>
        <w:t xml:space="preserve"> definition of a medical device</w:t>
      </w:r>
      <w:bookmarkEnd w:id="34"/>
      <w:bookmarkEnd w:id="36"/>
    </w:p>
    <w:p w14:paraId="58EDC63A" w14:textId="4AEB227E" w:rsidR="00C3145A" w:rsidRPr="003D7768" w:rsidRDefault="00536696" w:rsidP="00C3145A">
      <w:pPr>
        <w:pStyle w:val="acthead50"/>
        <w:shd w:val="clear" w:color="auto" w:fill="FFFFFF"/>
        <w:spacing w:before="280" w:beforeAutospacing="0" w:after="0" w:afterAutospacing="0"/>
        <w:ind w:left="1134" w:hanging="1134"/>
        <w:rPr>
          <w:rFonts w:asciiTheme="minorHAnsi" w:hAnsiTheme="minorHAnsi"/>
          <w:b/>
          <w:bCs/>
          <w:color w:val="000000"/>
          <w:sz w:val="22"/>
          <w:szCs w:val="22"/>
        </w:rPr>
      </w:pPr>
      <w:r w:rsidRPr="003D7768">
        <w:rPr>
          <w:rStyle w:val="charsectno0"/>
          <w:rFonts w:asciiTheme="minorHAnsi" w:hAnsiTheme="minorHAnsi"/>
          <w:b/>
          <w:bCs/>
          <w:i/>
          <w:color w:val="000000"/>
          <w:sz w:val="22"/>
          <w:szCs w:val="22"/>
        </w:rPr>
        <w:t xml:space="preserve">Therapeutic Goods Act (1989) </w:t>
      </w:r>
      <w:r w:rsidRPr="003D7768">
        <w:rPr>
          <w:rStyle w:val="charsectno0"/>
          <w:rFonts w:asciiTheme="minorHAnsi" w:hAnsiTheme="minorHAnsi"/>
          <w:b/>
          <w:bCs/>
          <w:color w:val="000000"/>
          <w:sz w:val="22"/>
          <w:szCs w:val="22"/>
        </w:rPr>
        <w:t xml:space="preserve">section </w:t>
      </w:r>
      <w:r w:rsidR="00C3145A" w:rsidRPr="003D7768">
        <w:rPr>
          <w:rStyle w:val="charsectno0"/>
          <w:rFonts w:asciiTheme="minorHAnsi" w:hAnsiTheme="minorHAnsi"/>
          <w:b/>
          <w:bCs/>
          <w:color w:val="000000"/>
          <w:sz w:val="22"/>
          <w:szCs w:val="22"/>
        </w:rPr>
        <w:t>41BD</w:t>
      </w:r>
      <w:bookmarkEnd w:id="37"/>
      <w:r w:rsidRPr="003D7768">
        <w:rPr>
          <w:rFonts w:asciiTheme="minorHAnsi" w:hAnsiTheme="minorHAnsi"/>
          <w:b/>
          <w:bCs/>
          <w:color w:val="000000"/>
          <w:sz w:val="22"/>
          <w:szCs w:val="22"/>
        </w:rPr>
        <w:t>:</w:t>
      </w:r>
    </w:p>
    <w:p w14:paraId="34DA7FF4" w14:textId="77777777" w:rsidR="00C3145A" w:rsidRPr="003D7768" w:rsidRDefault="00C3145A" w:rsidP="00C3145A">
      <w:pPr>
        <w:pStyle w:val="subsection"/>
        <w:shd w:val="clear" w:color="auto" w:fill="FFFFFF"/>
        <w:spacing w:before="180" w:beforeAutospacing="0" w:after="0" w:afterAutospacing="0"/>
        <w:ind w:left="1134" w:hanging="1134"/>
        <w:rPr>
          <w:rFonts w:asciiTheme="minorHAnsi" w:hAnsiTheme="minorHAnsi"/>
          <w:color w:val="000000"/>
          <w:sz w:val="22"/>
          <w:szCs w:val="22"/>
        </w:rPr>
      </w:pPr>
      <w:r w:rsidRPr="003D7768">
        <w:rPr>
          <w:rFonts w:asciiTheme="minorHAnsi" w:hAnsiTheme="minorHAnsi"/>
          <w:color w:val="000000"/>
          <w:sz w:val="22"/>
          <w:szCs w:val="22"/>
        </w:rPr>
        <w:t>             (1)  A </w:t>
      </w:r>
      <w:r w:rsidRPr="003D7768">
        <w:rPr>
          <w:rFonts w:asciiTheme="minorHAnsi" w:hAnsiTheme="minorHAnsi"/>
          <w:b/>
          <w:bCs/>
          <w:i/>
          <w:iCs/>
          <w:color w:val="000000"/>
          <w:sz w:val="22"/>
          <w:szCs w:val="22"/>
        </w:rPr>
        <w:t>medical device</w:t>
      </w:r>
      <w:r w:rsidRPr="003D7768">
        <w:rPr>
          <w:rFonts w:asciiTheme="minorHAnsi" w:hAnsiTheme="minorHAnsi"/>
          <w:color w:val="000000"/>
          <w:sz w:val="22"/>
          <w:szCs w:val="22"/>
        </w:rPr>
        <w:t> is:</w:t>
      </w:r>
    </w:p>
    <w:p w14:paraId="3D6B8829"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(a)  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14:paraId="61536289" w14:textId="77777777" w:rsidR="00C3145A" w:rsidRPr="003D7768" w:rsidRDefault="00C3145A" w:rsidP="00C3145A">
      <w:pPr>
        <w:pStyle w:val="paragraphsub"/>
        <w:shd w:val="clear" w:color="auto" w:fill="FFFFFF"/>
        <w:spacing w:before="40" w:beforeAutospacing="0" w:after="0" w:afterAutospacing="0"/>
        <w:ind w:left="2098" w:hanging="2098"/>
        <w:rPr>
          <w:rFonts w:asciiTheme="minorHAnsi" w:hAnsiTheme="minorHAnsi"/>
          <w:color w:val="000000"/>
          <w:sz w:val="22"/>
          <w:szCs w:val="22"/>
        </w:rPr>
      </w:pPr>
      <w:r w:rsidRPr="003D7768">
        <w:rPr>
          <w:rFonts w:asciiTheme="minorHAnsi" w:hAnsiTheme="minorHAnsi"/>
          <w:color w:val="000000"/>
          <w:sz w:val="22"/>
          <w:szCs w:val="22"/>
        </w:rPr>
        <w:t>                              (i)  diagnosis, prevention, monitoring, treatment or alleviation of disease;</w:t>
      </w:r>
    </w:p>
    <w:p w14:paraId="56F81336" w14:textId="77777777" w:rsidR="00C3145A" w:rsidRPr="003D7768" w:rsidRDefault="00C3145A" w:rsidP="00C3145A">
      <w:pPr>
        <w:pStyle w:val="paragraphsub"/>
        <w:shd w:val="clear" w:color="auto" w:fill="FFFFFF"/>
        <w:spacing w:before="40" w:beforeAutospacing="0" w:after="0" w:afterAutospacing="0"/>
        <w:ind w:left="2098" w:hanging="2098"/>
        <w:rPr>
          <w:rFonts w:asciiTheme="minorHAnsi" w:hAnsiTheme="minorHAnsi"/>
          <w:color w:val="000000"/>
          <w:sz w:val="22"/>
          <w:szCs w:val="22"/>
        </w:rPr>
      </w:pPr>
      <w:r w:rsidRPr="003D7768">
        <w:rPr>
          <w:rFonts w:asciiTheme="minorHAnsi" w:hAnsiTheme="minorHAnsi"/>
          <w:color w:val="000000"/>
          <w:sz w:val="22"/>
          <w:szCs w:val="22"/>
        </w:rPr>
        <w:t>                             (ii)  diagnosis, monitoring, treatment, alleviation of or compensation for an injury or disability;</w:t>
      </w:r>
    </w:p>
    <w:p w14:paraId="0605D89C" w14:textId="77777777" w:rsidR="00C3145A" w:rsidRPr="003D7768" w:rsidRDefault="00C3145A" w:rsidP="00C3145A">
      <w:pPr>
        <w:pStyle w:val="paragraphsub"/>
        <w:shd w:val="clear" w:color="auto" w:fill="FFFFFF"/>
        <w:spacing w:before="40" w:beforeAutospacing="0" w:after="0" w:afterAutospacing="0"/>
        <w:ind w:left="2098" w:hanging="2098"/>
        <w:rPr>
          <w:rFonts w:asciiTheme="minorHAnsi" w:hAnsiTheme="minorHAnsi"/>
          <w:color w:val="000000"/>
          <w:sz w:val="22"/>
          <w:szCs w:val="22"/>
        </w:rPr>
      </w:pPr>
      <w:r w:rsidRPr="003D7768">
        <w:rPr>
          <w:rFonts w:asciiTheme="minorHAnsi" w:hAnsiTheme="minorHAnsi"/>
          <w:color w:val="000000"/>
          <w:sz w:val="22"/>
          <w:szCs w:val="22"/>
        </w:rPr>
        <w:t>                            (iii)  investigation, replacement or modification of the anatomy or of a physiological process;</w:t>
      </w:r>
    </w:p>
    <w:p w14:paraId="295391EB" w14:textId="77777777" w:rsidR="00C3145A" w:rsidRPr="003D7768" w:rsidRDefault="00C3145A" w:rsidP="00C3145A">
      <w:pPr>
        <w:pStyle w:val="paragraphsub"/>
        <w:shd w:val="clear" w:color="auto" w:fill="FFFFFF"/>
        <w:spacing w:before="40" w:beforeAutospacing="0" w:after="0" w:afterAutospacing="0"/>
        <w:ind w:left="2098" w:hanging="2098"/>
        <w:rPr>
          <w:rFonts w:asciiTheme="minorHAnsi" w:hAnsiTheme="minorHAnsi"/>
          <w:color w:val="000000"/>
          <w:sz w:val="22"/>
          <w:szCs w:val="22"/>
        </w:rPr>
      </w:pPr>
      <w:r w:rsidRPr="003D7768">
        <w:rPr>
          <w:rFonts w:asciiTheme="minorHAnsi" w:hAnsiTheme="minorHAnsi"/>
          <w:color w:val="000000"/>
          <w:sz w:val="22"/>
          <w:szCs w:val="22"/>
        </w:rPr>
        <w:t>                            (iv)  control of conception;</w:t>
      </w:r>
    </w:p>
    <w:p w14:paraId="0611B586"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and that does not achieve its principal intended action in or on the human body by pharmacological, immunological or metabolic means, but that may be assisted in its function by such means; or</w:t>
      </w:r>
    </w:p>
    <w:p w14:paraId="706D7E4A"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(aa)  any instrument, apparatus, appliance, material or other article specified under subsection (2A); or</w:t>
      </w:r>
    </w:p>
    <w:p w14:paraId="3392C7F5"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(ab)  any instrument, apparatus, appliance, material or other article that is included in a class of instruments, apparatus, appliances, materials or other articles specified under subsection (2B); or</w:t>
      </w:r>
    </w:p>
    <w:p w14:paraId="210DCB36"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(b)  an accessory to an instrument, apparatus, appliance, material or other article covered by paragraph (a), (aa) or (ab).</w:t>
      </w:r>
    </w:p>
    <w:p w14:paraId="29399BDA" w14:textId="77777777" w:rsidR="00C3145A" w:rsidRPr="003D7768" w:rsidRDefault="00C3145A" w:rsidP="00C3145A">
      <w:pPr>
        <w:pStyle w:val="notetext0"/>
        <w:shd w:val="clear" w:color="auto" w:fill="FFFFFF"/>
        <w:spacing w:before="122" w:beforeAutospacing="0" w:after="0" w:afterAutospacing="0"/>
        <w:ind w:left="1985" w:hanging="851"/>
        <w:rPr>
          <w:rFonts w:asciiTheme="minorHAnsi" w:hAnsiTheme="minorHAnsi"/>
          <w:color w:val="000000"/>
          <w:sz w:val="22"/>
          <w:szCs w:val="22"/>
        </w:rPr>
      </w:pPr>
      <w:r w:rsidRPr="003D7768">
        <w:rPr>
          <w:rFonts w:asciiTheme="minorHAnsi" w:hAnsiTheme="minorHAnsi"/>
          <w:color w:val="000000"/>
          <w:sz w:val="22"/>
          <w:szCs w:val="22"/>
        </w:rPr>
        <w:t>Note:          Declarations under subsection (3) exclude articles from the scope of this definition. Declarations under section 7 can also have this effect: see subsection 7(4).</w:t>
      </w:r>
    </w:p>
    <w:p w14:paraId="221CCDBE" w14:textId="77777777" w:rsidR="00C3145A" w:rsidRPr="003D7768" w:rsidRDefault="00C3145A" w:rsidP="00C3145A">
      <w:pPr>
        <w:pStyle w:val="subsection"/>
        <w:shd w:val="clear" w:color="auto" w:fill="FFFFFF"/>
        <w:spacing w:before="180" w:beforeAutospacing="0" w:after="0" w:afterAutospacing="0"/>
        <w:ind w:left="1134" w:hanging="1134"/>
        <w:rPr>
          <w:rFonts w:asciiTheme="minorHAnsi" w:hAnsiTheme="minorHAnsi"/>
          <w:color w:val="000000"/>
          <w:sz w:val="22"/>
          <w:szCs w:val="22"/>
        </w:rPr>
      </w:pPr>
      <w:r w:rsidRPr="003D7768">
        <w:rPr>
          <w:rFonts w:asciiTheme="minorHAnsi" w:hAnsiTheme="minorHAnsi"/>
          <w:color w:val="000000"/>
          <w:sz w:val="22"/>
          <w:szCs w:val="22"/>
        </w:rPr>
        <w:t>             (2)  For the purposes of paragraph (1)(a), the purpose for which an instrument, apparatus, appliance, material or other article (the </w:t>
      </w:r>
      <w:r w:rsidRPr="003D7768">
        <w:rPr>
          <w:rFonts w:asciiTheme="minorHAnsi" w:hAnsiTheme="minorHAnsi"/>
          <w:b/>
          <w:bCs/>
          <w:i/>
          <w:iCs/>
          <w:color w:val="000000"/>
          <w:sz w:val="22"/>
          <w:szCs w:val="22"/>
        </w:rPr>
        <w:t>main equipment</w:t>
      </w:r>
      <w:r w:rsidRPr="003D7768">
        <w:rPr>
          <w:rFonts w:asciiTheme="minorHAnsi" w:hAnsiTheme="minorHAnsi"/>
          <w:color w:val="000000"/>
          <w:sz w:val="22"/>
          <w:szCs w:val="22"/>
        </w:rPr>
        <w:t>) is to be used is to be ascertained from the information supplied, by the person under whose name the main equipment is or is to be supplied, on or in any one or more of the following:</w:t>
      </w:r>
    </w:p>
    <w:p w14:paraId="460DB9CE"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(a)  the labelling on the main equipment;</w:t>
      </w:r>
    </w:p>
    <w:p w14:paraId="179DEE21"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(b)  the instructions for using the main equipment;</w:t>
      </w:r>
    </w:p>
    <w:p w14:paraId="20C516BF"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(c)  any advertising material relating to the main equipment;</w:t>
      </w:r>
    </w:p>
    <w:p w14:paraId="44065E0D" w14:textId="77777777" w:rsidR="00C3145A" w:rsidRPr="003D7768" w:rsidRDefault="00C3145A" w:rsidP="00C3145A">
      <w:pPr>
        <w:pStyle w:val="paragraph"/>
        <w:shd w:val="clear" w:color="auto" w:fill="FFFFFF"/>
        <w:spacing w:before="40" w:beforeAutospacing="0" w:after="0" w:afterAutospacing="0"/>
        <w:ind w:left="1644" w:hanging="1644"/>
        <w:rPr>
          <w:rFonts w:asciiTheme="minorHAnsi" w:hAnsiTheme="minorHAnsi"/>
          <w:color w:val="000000"/>
          <w:sz w:val="22"/>
          <w:szCs w:val="22"/>
        </w:rPr>
      </w:pPr>
      <w:r w:rsidRPr="003D7768">
        <w:rPr>
          <w:rFonts w:asciiTheme="minorHAnsi" w:hAnsiTheme="minorHAnsi"/>
          <w:color w:val="000000"/>
          <w:sz w:val="22"/>
          <w:szCs w:val="22"/>
        </w:rPr>
        <w:t>                     (d)  technical documentation describing the mechanism of action of the main equipment.</w:t>
      </w:r>
    </w:p>
    <w:p w14:paraId="4352E932" w14:textId="77777777" w:rsidR="00C3145A" w:rsidRPr="003D7768" w:rsidRDefault="00C3145A" w:rsidP="00C3145A">
      <w:pPr>
        <w:pStyle w:val="subsection"/>
        <w:shd w:val="clear" w:color="auto" w:fill="FFFFFF"/>
        <w:spacing w:before="180" w:beforeAutospacing="0" w:after="0" w:afterAutospacing="0"/>
        <w:ind w:left="1134" w:hanging="1134"/>
        <w:rPr>
          <w:rFonts w:asciiTheme="minorHAnsi" w:hAnsiTheme="minorHAnsi"/>
          <w:color w:val="000000"/>
          <w:sz w:val="22"/>
          <w:szCs w:val="22"/>
        </w:rPr>
      </w:pPr>
      <w:r w:rsidRPr="003D7768">
        <w:rPr>
          <w:rFonts w:asciiTheme="minorHAnsi" w:hAnsiTheme="minorHAnsi"/>
          <w:color w:val="000000"/>
          <w:sz w:val="22"/>
          <w:szCs w:val="22"/>
        </w:rPr>
        <w:t>          (2A)  The Secretary may, by notice published in the </w:t>
      </w:r>
      <w:r w:rsidRPr="003D7768">
        <w:rPr>
          <w:rFonts w:asciiTheme="minorHAnsi" w:hAnsiTheme="minorHAnsi"/>
          <w:i/>
          <w:iCs/>
          <w:color w:val="000000"/>
          <w:sz w:val="22"/>
          <w:szCs w:val="22"/>
        </w:rPr>
        <w:t>Gazette </w:t>
      </w:r>
      <w:r w:rsidRPr="003D7768">
        <w:rPr>
          <w:rFonts w:asciiTheme="minorHAnsi" w:hAnsiTheme="minorHAnsi"/>
          <w:color w:val="000000"/>
          <w:sz w:val="22"/>
          <w:szCs w:val="22"/>
        </w:rPr>
        <w:t>or on the Department’s website, specify a particular instrument, apparatus, appliance, material or other article for the purposes of paragraph (1)(aa). The notice is not a legislative instrument.</w:t>
      </w:r>
    </w:p>
    <w:p w14:paraId="5EC90026" w14:textId="77777777" w:rsidR="00C3145A" w:rsidRPr="003D7768" w:rsidRDefault="00C3145A" w:rsidP="00C3145A">
      <w:pPr>
        <w:pStyle w:val="subsection"/>
        <w:shd w:val="clear" w:color="auto" w:fill="FFFFFF"/>
        <w:spacing w:before="180" w:beforeAutospacing="0" w:after="0" w:afterAutospacing="0"/>
        <w:ind w:left="1134" w:hanging="1134"/>
        <w:rPr>
          <w:rFonts w:asciiTheme="minorHAnsi" w:hAnsiTheme="minorHAnsi"/>
          <w:color w:val="000000"/>
          <w:sz w:val="22"/>
          <w:szCs w:val="22"/>
        </w:rPr>
      </w:pPr>
      <w:r w:rsidRPr="003D7768">
        <w:rPr>
          <w:rFonts w:asciiTheme="minorHAnsi" w:hAnsiTheme="minorHAnsi"/>
          <w:color w:val="000000"/>
          <w:sz w:val="22"/>
          <w:szCs w:val="22"/>
        </w:rPr>
        <w:t>          (2B)  The Secretary may, by legislative instrument, specify a particular class of instruments, apparatus, appliances, materials or other articles for the purposes of paragraph (1)(ab).</w:t>
      </w:r>
    </w:p>
    <w:p w14:paraId="60179B9A" w14:textId="77777777" w:rsidR="00C3145A" w:rsidRPr="003D7768" w:rsidRDefault="00C3145A" w:rsidP="00C3145A">
      <w:pPr>
        <w:pStyle w:val="subsection"/>
        <w:shd w:val="clear" w:color="auto" w:fill="FFFFFF"/>
        <w:spacing w:before="180" w:beforeAutospacing="0" w:after="0" w:afterAutospacing="0"/>
        <w:ind w:left="1134" w:hanging="1134"/>
        <w:rPr>
          <w:rFonts w:asciiTheme="minorHAnsi" w:hAnsiTheme="minorHAnsi"/>
          <w:color w:val="000000"/>
          <w:sz w:val="22"/>
          <w:szCs w:val="22"/>
        </w:rPr>
      </w:pPr>
      <w:r w:rsidRPr="003D7768">
        <w:rPr>
          <w:rFonts w:asciiTheme="minorHAnsi" w:hAnsiTheme="minorHAnsi"/>
          <w:color w:val="000000"/>
          <w:sz w:val="22"/>
          <w:szCs w:val="22"/>
        </w:rPr>
        <w:t>             (3)  The Secretary may, by order published in the </w:t>
      </w:r>
      <w:r w:rsidRPr="003D7768">
        <w:rPr>
          <w:rFonts w:asciiTheme="minorHAnsi" w:hAnsiTheme="minorHAnsi"/>
          <w:i/>
          <w:iCs/>
          <w:color w:val="000000"/>
          <w:sz w:val="22"/>
          <w:szCs w:val="22"/>
        </w:rPr>
        <w:t>Gazette </w:t>
      </w:r>
      <w:r w:rsidRPr="003D7768">
        <w:rPr>
          <w:rFonts w:asciiTheme="minorHAnsi" w:hAnsiTheme="minorHAnsi"/>
          <w:color w:val="000000"/>
          <w:sz w:val="22"/>
          <w:szCs w:val="22"/>
        </w:rPr>
        <w:t xml:space="preserve">or on the Department’s website, declare that a particular instrument, apparatus, appliance, material or other article, </w:t>
      </w:r>
      <w:r w:rsidRPr="003D7768">
        <w:rPr>
          <w:rFonts w:asciiTheme="minorHAnsi" w:hAnsiTheme="minorHAnsi"/>
          <w:color w:val="000000"/>
          <w:sz w:val="22"/>
          <w:szCs w:val="22"/>
        </w:rPr>
        <w:lastRenderedPageBreak/>
        <w:t>or that a particular class of instruments, apparatus, appliances, materials or other articles, are not, for the purposes of this Act, medical devices.</w:t>
      </w:r>
    </w:p>
    <w:p w14:paraId="04B94F12" w14:textId="2D6D20BF" w:rsidR="00C3145A" w:rsidRPr="003D7768" w:rsidRDefault="00B662D6" w:rsidP="00C3145A">
      <w:pPr>
        <w:pStyle w:val="notetext0"/>
        <w:shd w:val="clear" w:color="auto" w:fill="FFFFFF"/>
        <w:spacing w:before="122" w:beforeAutospacing="0" w:after="0" w:afterAutospacing="0"/>
        <w:ind w:left="1985" w:hanging="851"/>
        <w:rPr>
          <w:rFonts w:asciiTheme="minorHAnsi" w:hAnsiTheme="minorHAnsi"/>
          <w:color w:val="000000"/>
          <w:sz w:val="22"/>
          <w:szCs w:val="22"/>
        </w:rPr>
      </w:pPr>
      <w:r w:rsidRPr="003D7768">
        <w:rPr>
          <w:rFonts w:asciiTheme="minorHAnsi" w:hAnsiTheme="minorHAnsi"/>
          <w:color w:val="000000"/>
          <w:sz w:val="22"/>
          <w:szCs w:val="22"/>
        </w:rPr>
        <w:t xml:space="preserve">Note:  </w:t>
      </w:r>
      <w:r w:rsidR="00C3145A" w:rsidRPr="003D7768">
        <w:rPr>
          <w:rFonts w:asciiTheme="minorHAnsi" w:hAnsiTheme="minorHAnsi"/>
          <w:color w:val="000000"/>
          <w:sz w:val="22"/>
          <w:szCs w:val="22"/>
        </w:rPr>
        <w:t xml:space="preserve">A declaration under this section does not stop </w:t>
      </w:r>
      <w:r w:rsidRPr="003D7768">
        <w:rPr>
          <w:rFonts w:asciiTheme="minorHAnsi" w:hAnsiTheme="minorHAnsi"/>
          <w:color w:val="000000"/>
          <w:sz w:val="22"/>
          <w:szCs w:val="22"/>
        </w:rPr>
        <w:t xml:space="preserve">articles from being therapeutic </w:t>
      </w:r>
      <w:r w:rsidR="00C3145A" w:rsidRPr="003D7768">
        <w:rPr>
          <w:rFonts w:asciiTheme="minorHAnsi" w:hAnsiTheme="minorHAnsi"/>
          <w:color w:val="000000"/>
          <w:sz w:val="22"/>
          <w:szCs w:val="22"/>
        </w:rPr>
        <w:t>goods.</w:t>
      </w:r>
    </w:p>
    <w:p w14:paraId="541B1D23" w14:textId="77777777" w:rsidR="00C3145A" w:rsidRPr="003D7768" w:rsidRDefault="00C3145A" w:rsidP="00C3145A">
      <w:pPr>
        <w:pStyle w:val="subsection"/>
        <w:shd w:val="clear" w:color="auto" w:fill="FFFFFF"/>
        <w:spacing w:before="180" w:beforeAutospacing="0" w:after="0" w:afterAutospacing="0"/>
        <w:ind w:left="1134" w:hanging="1134"/>
        <w:rPr>
          <w:rFonts w:asciiTheme="minorHAnsi" w:hAnsiTheme="minorHAnsi"/>
          <w:color w:val="000000"/>
          <w:sz w:val="22"/>
          <w:szCs w:val="22"/>
        </w:rPr>
      </w:pPr>
      <w:r w:rsidRPr="003D7768">
        <w:rPr>
          <w:rFonts w:asciiTheme="minorHAnsi" w:hAnsiTheme="minorHAnsi"/>
          <w:color w:val="000000"/>
          <w:sz w:val="22"/>
          <w:szCs w:val="22"/>
        </w:rPr>
        <w:t>             (4)  A declaration under this section takes effect on the day on which the declaration is published in the </w:t>
      </w:r>
      <w:r w:rsidRPr="003D7768">
        <w:rPr>
          <w:rFonts w:asciiTheme="minorHAnsi" w:hAnsiTheme="minorHAnsi"/>
          <w:i/>
          <w:iCs/>
          <w:color w:val="000000"/>
          <w:sz w:val="22"/>
          <w:szCs w:val="22"/>
        </w:rPr>
        <w:t>Gazette </w:t>
      </w:r>
      <w:r w:rsidRPr="003D7768">
        <w:rPr>
          <w:rFonts w:asciiTheme="minorHAnsi" w:hAnsiTheme="minorHAnsi"/>
          <w:color w:val="000000"/>
          <w:sz w:val="22"/>
          <w:szCs w:val="22"/>
        </w:rPr>
        <w:t>or on the Department’s website</w:t>
      </w:r>
      <w:r w:rsidRPr="003D7768">
        <w:rPr>
          <w:rFonts w:asciiTheme="minorHAnsi" w:hAnsiTheme="minorHAnsi"/>
          <w:i/>
          <w:iCs/>
          <w:color w:val="000000"/>
          <w:sz w:val="22"/>
          <w:szCs w:val="22"/>
        </w:rPr>
        <w:t> </w:t>
      </w:r>
      <w:r w:rsidRPr="003D7768">
        <w:rPr>
          <w:rFonts w:asciiTheme="minorHAnsi" w:hAnsiTheme="minorHAnsi"/>
          <w:color w:val="000000"/>
          <w:sz w:val="22"/>
          <w:szCs w:val="22"/>
        </w:rPr>
        <w:t>or on such later day as is specified in the order.</w:t>
      </w:r>
    </w:p>
    <w:p w14:paraId="389775A0" w14:textId="77777777" w:rsidR="0005704A" w:rsidRPr="003D7768" w:rsidRDefault="0005704A" w:rsidP="00C3145A">
      <w:pPr>
        <w:spacing w:before="0" w:after="0" w:line="240" w:lineRule="auto"/>
        <w:rPr>
          <w:rFonts w:asciiTheme="minorHAnsi" w:hAnsiTheme="minorHAnsi"/>
          <w:color w:val="000000"/>
          <w:szCs w:val="22"/>
        </w:rPr>
      </w:pPr>
    </w:p>
    <w:p w14:paraId="20255EF0" w14:textId="4D2072EA" w:rsidR="0005704A" w:rsidRPr="003D7768" w:rsidRDefault="0005704A" w:rsidP="0005704A">
      <w:pPr>
        <w:spacing w:before="0" w:after="0" w:line="240" w:lineRule="auto"/>
        <w:rPr>
          <w:rFonts w:asciiTheme="minorHAnsi" w:hAnsiTheme="minorHAnsi"/>
          <w:color w:val="000000"/>
          <w:szCs w:val="22"/>
        </w:rPr>
      </w:pPr>
      <w:r w:rsidRPr="003D7768">
        <w:rPr>
          <w:rFonts w:asciiTheme="minorHAnsi" w:hAnsiTheme="minorHAnsi"/>
          <w:color w:val="000000"/>
          <w:szCs w:val="22"/>
        </w:rPr>
        <w:t xml:space="preserve">The </w:t>
      </w:r>
      <w:hyperlink r:id="rId31" w:history="1">
        <w:r w:rsidRPr="003D14A6">
          <w:rPr>
            <w:rStyle w:val="Hyperlink"/>
            <w:rFonts w:asciiTheme="minorHAnsi" w:hAnsiTheme="minorHAnsi"/>
            <w:i/>
            <w:szCs w:val="22"/>
          </w:rPr>
          <w:t>Therapeutic Goods (Articles that are Medical Devices) Specification 2014</w:t>
        </w:r>
      </w:hyperlink>
      <w:r w:rsidRPr="003D7768">
        <w:rPr>
          <w:rFonts w:asciiTheme="minorHAnsi" w:hAnsiTheme="minorHAnsi"/>
          <w:color w:val="000000"/>
          <w:szCs w:val="22"/>
        </w:rPr>
        <w:t xml:space="preserve"> also </w:t>
      </w:r>
      <w:r w:rsidR="00FD14E3" w:rsidRPr="003D7768">
        <w:rPr>
          <w:rFonts w:asciiTheme="minorHAnsi" w:hAnsiTheme="minorHAnsi"/>
          <w:color w:val="000000"/>
          <w:szCs w:val="22"/>
        </w:rPr>
        <w:t xml:space="preserve">specifies </w:t>
      </w:r>
      <w:r w:rsidRPr="003D7768">
        <w:rPr>
          <w:rFonts w:asciiTheme="minorHAnsi" w:hAnsiTheme="minorHAnsi"/>
          <w:color w:val="000000"/>
          <w:szCs w:val="22"/>
        </w:rPr>
        <w:t xml:space="preserve">that </w:t>
      </w:r>
      <w:r w:rsidR="00FD14E3" w:rsidRPr="003D7768">
        <w:rPr>
          <w:rFonts w:asciiTheme="minorHAnsi" w:hAnsiTheme="minorHAnsi"/>
          <w:color w:val="000000"/>
          <w:szCs w:val="22"/>
        </w:rPr>
        <w:t>i</w:t>
      </w:r>
      <w:r w:rsidRPr="003D7768">
        <w:rPr>
          <w:rFonts w:asciiTheme="minorHAnsi" w:hAnsiTheme="minorHAnsi"/>
          <w:color w:val="000000"/>
          <w:szCs w:val="22"/>
        </w:rPr>
        <w:t>nstruments, apparatus, appliances, materials or other articles (whether used alone or in combination, and including the software necessary for their proper application) that:</w:t>
      </w:r>
    </w:p>
    <w:p w14:paraId="54B7DE26" w14:textId="77777777" w:rsidR="0005704A" w:rsidRPr="003D7768" w:rsidRDefault="0005704A" w:rsidP="0005704A">
      <w:pPr>
        <w:spacing w:before="0" w:after="0" w:line="240" w:lineRule="auto"/>
        <w:rPr>
          <w:rFonts w:asciiTheme="minorHAnsi" w:hAnsiTheme="minorHAnsi"/>
          <w:color w:val="000000"/>
          <w:szCs w:val="22"/>
        </w:rPr>
      </w:pPr>
    </w:p>
    <w:p w14:paraId="2CD24427" w14:textId="35CFF423" w:rsidR="0005704A" w:rsidRPr="003D7768" w:rsidRDefault="0005704A" w:rsidP="00F441CA">
      <w:pPr>
        <w:pStyle w:val="ListParagraph"/>
        <w:numPr>
          <w:ilvl w:val="0"/>
          <w:numId w:val="15"/>
        </w:numPr>
        <w:spacing w:before="0" w:after="0" w:line="240" w:lineRule="auto"/>
        <w:rPr>
          <w:rFonts w:asciiTheme="minorHAnsi" w:hAnsiTheme="minorHAnsi"/>
          <w:color w:val="000000"/>
          <w:szCs w:val="22"/>
        </w:rPr>
      </w:pPr>
      <w:r w:rsidRPr="003D7768">
        <w:rPr>
          <w:rFonts w:asciiTheme="minorHAnsi" w:hAnsiTheme="minorHAnsi"/>
          <w:color w:val="000000"/>
          <w:szCs w:val="22"/>
        </w:rPr>
        <w:t xml:space="preserve">are intended by the person under whose name they are or are to be supplied to be used for the examination of a specimen derived from a human  body for the purpose of: </w:t>
      </w:r>
    </w:p>
    <w:p w14:paraId="05F34E28" w14:textId="77777777" w:rsidR="0005704A" w:rsidRPr="003D7768" w:rsidRDefault="0005704A" w:rsidP="0005704A">
      <w:pPr>
        <w:pStyle w:val="ListParagraph"/>
        <w:spacing w:before="0" w:after="0" w:line="240" w:lineRule="auto"/>
        <w:ind w:left="1440"/>
        <w:rPr>
          <w:rFonts w:asciiTheme="minorHAnsi" w:hAnsiTheme="minorHAnsi"/>
          <w:color w:val="000000"/>
          <w:szCs w:val="22"/>
        </w:rPr>
      </w:pPr>
    </w:p>
    <w:p w14:paraId="5E8F836B" w14:textId="49776F3D" w:rsidR="0005704A" w:rsidRPr="003D7768" w:rsidRDefault="0005704A" w:rsidP="00F441CA">
      <w:pPr>
        <w:pStyle w:val="ListParagraph"/>
        <w:numPr>
          <w:ilvl w:val="0"/>
          <w:numId w:val="16"/>
        </w:numPr>
        <w:spacing w:before="0" w:after="0" w:line="240" w:lineRule="auto"/>
        <w:rPr>
          <w:rFonts w:asciiTheme="minorHAnsi" w:hAnsiTheme="minorHAnsi"/>
          <w:color w:val="000000"/>
          <w:szCs w:val="22"/>
        </w:rPr>
      </w:pPr>
      <w:r w:rsidRPr="003D7768">
        <w:rPr>
          <w:rFonts w:asciiTheme="minorHAnsi" w:hAnsiTheme="minorHAnsi"/>
          <w:color w:val="000000"/>
          <w:szCs w:val="22"/>
        </w:rPr>
        <w:t>predicting the susceptibility or predisposition of persons to a disease or ailment; or</w:t>
      </w:r>
    </w:p>
    <w:p w14:paraId="10E1A42C" w14:textId="3E312FC6" w:rsidR="0005704A" w:rsidRPr="003D7768" w:rsidRDefault="0005704A" w:rsidP="00F441CA">
      <w:pPr>
        <w:pStyle w:val="ListParagraph"/>
        <w:numPr>
          <w:ilvl w:val="0"/>
          <w:numId w:val="16"/>
        </w:numPr>
        <w:spacing w:before="0" w:after="0" w:line="240" w:lineRule="auto"/>
        <w:rPr>
          <w:rFonts w:asciiTheme="minorHAnsi" w:hAnsiTheme="minorHAnsi"/>
          <w:color w:val="000000"/>
          <w:szCs w:val="22"/>
        </w:rPr>
      </w:pPr>
      <w:r w:rsidRPr="003D7768">
        <w:rPr>
          <w:rFonts w:asciiTheme="minorHAnsi" w:hAnsiTheme="minorHAnsi"/>
          <w:color w:val="000000"/>
          <w:szCs w:val="22"/>
        </w:rPr>
        <w:t>testing for pregnancy in persons;</w:t>
      </w:r>
    </w:p>
    <w:p w14:paraId="00028810" w14:textId="77777777" w:rsidR="0005704A" w:rsidRPr="003D7768" w:rsidRDefault="0005704A" w:rsidP="0005704A">
      <w:pPr>
        <w:pStyle w:val="ListParagraph"/>
        <w:spacing w:before="0" w:after="0" w:line="240" w:lineRule="auto"/>
        <w:ind w:left="1440"/>
        <w:rPr>
          <w:rFonts w:asciiTheme="minorHAnsi" w:hAnsiTheme="minorHAnsi"/>
          <w:color w:val="000000"/>
          <w:szCs w:val="22"/>
        </w:rPr>
      </w:pPr>
    </w:p>
    <w:p w14:paraId="152004EA" w14:textId="0A16567D" w:rsidR="00BE545B" w:rsidRDefault="0005704A" w:rsidP="0005704A">
      <w:pPr>
        <w:spacing w:before="0" w:after="0" w:line="240" w:lineRule="auto"/>
        <w:rPr>
          <w:color w:val="000000"/>
        </w:rPr>
      </w:pPr>
      <w:r w:rsidRPr="003D7768">
        <w:rPr>
          <w:rFonts w:asciiTheme="minorHAnsi" w:hAnsiTheme="minorHAnsi"/>
          <w:color w:val="000000"/>
          <w:szCs w:val="22"/>
        </w:rPr>
        <w:t>are also captured as medical devices.</w:t>
      </w:r>
      <w:r w:rsidRPr="003D7768">
        <w:rPr>
          <w:color w:val="000000"/>
        </w:rPr>
        <w:t xml:space="preserve"> </w:t>
      </w:r>
    </w:p>
    <w:p w14:paraId="1600A266" w14:textId="77777777" w:rsidR="00BE545B" w:rsidRDefault="00BE545B">
      <w:pPr>
        <w:spacing w:before="0" w:after="0" w:line="240" w:lineRule="auto"/>
        <w:rPr>
          <w:color w:val="000000"/>
        </w:rPr>
      </w:pPr>
      <w:r>
        <w:rPr>
          <w:color w:val="000000"/>
        </w:rPr>
        <w:br w:type="page"/>
      </w:r>
    </w:p>
    <w:p w14:paraId="25F729D6" w14:textId="5843FAAB" w:rsidR="00BE545B" w:rsidRDefault="00224CCC" w:rsidP="00381D1A">
      <w:pPr>
        <w:pStyle w:val="Heading3"/>
      </w:pPr>
      <w:bookmarkStart w:id="38" w:name="_Appendix_2_-"/>
      <w:bookmarkStart w:id="39" w:name="_Toc35874433"/>
      <w:bookmarkEnd w:id="38"/>
      <w:r>
        <w:lastRenderedPageBreak/>
        <w:t xml:space="preserve">Appendix 2 - </w:t>
      </w:r>
      <w:r w:rsidR="00BE545B" w:rsidRPr="00FA5F52">
        <w:t>New</w:t>
      </w:r>
      <w:r w:rsidR="00BE545B">
        <w:t xml:space="preserve"> classification rules</w:t>
      </w:r>
      <w:bookmarkEnd w:id="39"/>
    </w:p>
    <w:p w14:paraId="73FBCD9E" w14:textId="4D485585" w:rsidR="005979CB" w:rsidRDefault="005979CB" w:rsidP="005979CB">
      <w:pPr>
        <w:rPr>
          <w:color w:val="000000"/>
        </w:rPr>
      </w:pPr>
      <w:r w:rsidRPr="003D7768">
        <w:rPr>
          <w:color w:val="000000"/>
        </w:rPr>
        <w:t xml:space="preserve">Schedule 2 to the </w:t>
      </w:r>
      <w:r w:rsidRPr="003D7768">
        <w:rPr>
          <w:b/>
          <w:i/>
          <w:color w:val="000000"/>
        </w:rPr>
        <w:t>Therapeutic Goods (Medical Devices) Regulations 2002</w:t>
      </w:r>
      <w:r w:rsidRPr="003D7768">
        <w:rPr>
          <w:color w:val="000000"/>
        </w:rPr>
        <w:t xml:space="preserve"> sets out the classification rules for medical devices other than IVD medical devices</w:t>
      </w:r>
      <w:r w:rsidR="00BB25D5">
        <w:rPr>
          <w:color w:val="000000"/>
        </w:rPr>
        <w:t xml:space="preserve">. </w:t>
      </w:r>
      <w:r w:rsidRPr="00C15B63">
        <w:t>New rules have been introduced for the classification of programmed and programmable medical devices, and software that is a medical device (PPSMD)</w:t>
      </w:r>
      <w:r w:rsidR="00BB25D5">
        <w:t xml:space="preserve">. </w:t>
      </w:r>
      <w:r>
        <w:rPr>
          <w:color w:val="000000"/>
        </w:rPr>
        <w:t>The new rules cover software-PPSMD used for:</w:t>
      </w:r>
    </w:p>
    <w:p w14:paraId="1E0C2435" w14:textId="77777777" w:rsidR="005979CB" w:rsidRPr="003D14A6" w:rsidRDefault="005979CB" w:rsidP="003D14A6">
      <w:pPr>
        <w:pStyle w:val="ListBullet"/>
      </w:pPr>
      <w:r w:rsidRPr="003D14A6">
        <w:t>Diagnosing and screening for a disease or condition</w:t>
      </w:r>
    </w:p>
    <w:p w14:paraId="52D5B7D4" w14:textId="77777777" w:rsidR="005979CB" w:rsidRPr="003D14A6" w:rsidRDefault="005979CB" w:rsidP="003D14A6">
      <w:pPr>
        <w:pStyle w:val="ListBullet"/>
      </w:pPr>
      <w:r w:rsidRPr="003D14A6">
        <w:t>Monitoring the state or progression of a disease, condition, etc.</w:t>
      </w:r>
    </w:p>
    <w:p w14:paraId="6BFA3128" w14:textId="77777777" w:rsidR="005979CB" w:rsidRPr="003D14A6" w:rsidRDefault="005979CB" w:rsidP="003D14A6">
      <w:pPr>
        <w:pStyle w:val="ListBullet"/>
      </w:pPr>
      <w:r w:rsidRPr="003D14A6">
        <w:t>Specifying or recommending a treatment</w:t>
      </w:r>
    </w:p>
    <w:p w14:paraId="783CB002" w14:textId="77777777" w:rsidR="005979CB" w:rsidRPr="003D14A6" w:rsidRDefault="005979CB" w:rsidP="003D14A6">
      <w:pPr>
        <w:pStyle w:val="ListBullet"/>
      </w:pPr>
      <w:r w:rsidRPr="003D14A6">
        <w:t>Providing therapy (via provision of information)</w:t>
      </w:r>
    </w:p>
    <w:p w14:paraId="4B392CE5" w14:textId="77777777" w:rsidR="005979CB" w:rsidRDefault="005979CB" w:rsidP="005979CB">
      <w:pPr>
        <w:pStyle w:val="ListBullet"/>
      </w:pPr>
      <w:r>
        <w:t xml:space="preserve">Patient images and anatomical models (introduced as part of the </w:t>
      </w:r>
      <w:hyperlink r:id="rId32" w:anchor="pmd" w:history="1">
        <w:r w:rsidRPr="002872E3">
          <w:rPr>
            <w:rStyle w:val="Hyperlink"/>
          </w:rPr>
          <w:t>personalised medical device</w:t>
        </w:r>
      </w:hyperlink>
      <w:r>
        <w:t xml:space="preserve"> reforms)</w:t>
      </w:r>
    </w:p>
    <w:p w14:paraId="6B7C23E2" w14:textId="5CECE6CC" w:rsidR="005979CB" w:rsidRDefault="005979CB" w:rsidP="005979CB">
      <w:pPr>
        <w:rPr>
          <w:color w:val="000000"/>
        </w:rPr>
      </w:pPr>
      <w:r w:rsidRPr="003731AB">
        <w:rPr>
          <w:color w:val="000000"/>
        </w:rPr>
        <w:t xml:space="preserve">The new rules are summarised </w:t>
      </w:r>
      <w:r w:rsidR="00836970">
        <w:rPr>
          <w:color w:val="000000"/>
        </w:rPr>
        <w:t xml:space="preserve">below. </w:t>
      </w:r>
    </w:p>
    <w:p w14:paraId="093C6F86" w14:textId="685EC9C1" w:rsidR="003731AB" w:rsidRPr="003D14A6" w:rsidRDefault="003731AB" w:rsidP="003D14A6">
      <w:pPr>
        <w:pStyle w:val="ListNumber"/>
        <w:rPr>
          <w:b/>
        </w:rPr>
      </w:pPr>
      <w:r w:rsidRPr="003D14A6">
        <w:rPr>
          <w:b/>
        </w:rPr>
        <w:t>Products intended to provide a diagnosis of, or to screen for diseases or conditions:</w:t>
      </w:r>
    </w:p>
    <w:p w14:paraId="47FC6150" w14:textId="3FB30523" w:rsidR="00CE7BEE" w:rsidRDefault="00CE7BEE" w:rsidP="003D14A6">
      <w:pPr>
        <w:pStyle w:val="ListBullet"/>
      </w:pPr>
      <w:r w:rsidRPr="00CE7BEE">
        <w:t>Class III</w:t>
      </w:r>
      <w:r>
        <w:t xml:space="preserve"> </w:t>
      </w:r>
      <w:r w:rsidR="00C24859">
        <w:t>–</w:t>
      </w:r>
      <w:r>
        <w:t xml:space="preserve"> t</w:t>
      </w:r>
      <w:r w:rsidR="003731AB" w:rsidRPr="00CE7BEE">
        <w:t xml:space="preserve">hat may lead to the death of a person or to a severe deterioration of a person’s health without urgent treatment, or that may pose a high risk to public health </w:t>
      </w:r>
    </w:p>
    <w:p w14:paraId="68E35E1E" w14:textId="678D2D32" w:rsidR="00CE7BEE" w:rsidRDefault="003731AB" w:rsidP="003D14A6">
      <w:pPr>
        <w:pStyle w:val="ListBullet"/>
      </w:pPr>
      <w:r w:rsidRPr="00CE7BEE">
        <w:t xml:space="preserve">Class IIb </w:t>
      </w:r>
      <w:r w:rsidR="00C24859">
        <w:t>–</w:t>
      </w:r>
      <w:r w:rsidRPr="00CE7BEE">
        <w:t xml:space="preserve"> a serious disease or serious condition or a disease or condition which may pose a moderate risk to public health  </w:t>
      </w:r>
    </w:p>
    <w:p w14:paraId="3179BB78" w14:textId="1151213E" w:rsidR="00985A0C" w:rsidRDefault="003731AB" w:rsidP="003D14A6">
      <w:pPr>
        <w:pStyle w:val="ListBullet"/>
      </w:pPr>
      <w:r w:rsidRPr="00CE7BEE">
        <w:t xml:space="preserve">Class IIa </w:t>
      </w:r>
      <w:r w:rsidR="00C24859">
        <w:t>–</w:t>
      </w:r>
      <w:r w:rsidRPr="00CE7BEE">
        <w:t xml:space="preserve"> other cases </w:t>
      </w:r>
    </w:p>
    <w:p w14:paraId="0121FB3D" w14:textId="6792A80E" w:rsidR="003731AB" w:rsidRPr="003D14A6" w:rsidRDefault="003731AB" w:rsidP="003D14A6">
      <w:pPr>
        <w:pStyle w:val="ListNumber"/>
        <w:rPr>
          <w:b/>
        </w:rPr>
      </w:pPr>
      <w:r w:rsidRPr="003D14A6">
        <w:rPr>
          <w:b/>
        </w:rPr>
        <w:t>Products intended to provide information to a relevant healthcare professional in relation to a disease or condition:</w:t>
      </w:r>
    </w:p>
    <w:p w14:paraId="6CD04305" w14:textId="56AB9485" w:rsidR="00CE7BEE" w:rsidRDefault="003731AB" w:rsidP="003D14A6">
      <w:pPr>
        <w:pStyle w:val="ListBullet"/>
      </w:pPr>
      <w:r w:rsidRPr="00CE7BEE">
        <w:t>Class II</w:t>
      </w:r>
      <w:r w:rsidR="00FA5F52" w:rsidRPr="00CE7BEE">
        <w:t>b</w:t>
      </w:r>
      <w:r w:rsidRPr="00CE7BEE">
        <w:t xml:space="preserve"> </w:t>
      </w:r>
      <w:r w:rsidR="00C24859">
        <w:t>–</w:t>
      </w:r>
      <w:r w:rsidR="00CE7BEE" w:rsidRPr="00CE7BEE">
        <w:t xml:space="preserve"> </w:t>
      </w:r>
      <w:r w:rsidRPr="00CE7BEE">
        <w:t xml:space="preserve">if it may lead to the death of a person or to a severe deterioration of a person’s health without urgent treatment, </w:t>
      </w:r>
      <w:r w:rsidR="00E5322A">
        <w:t>or that may pose a high risk to public health</w:t>
      </w:r>
    </w:p>
    <w:p w14:paraId="2E8A0AEF" w14:textId="2344CA90" w:rsidR="00CE7BEE" w:rsidRDefault="003731AB" w:rsidP="003D14A6">
      <w:pPr>
        <w:pStyle w:val="ListBullet"/>
      </w:pPr>
      <w:r w:rsidRPr="00CE7BEE">
        <w:t xml:space="preserve">Class IIa </w:t>
      </w:r>
      <w:r w:rsidR="00C24859">
        <w:t>–</w:t>
      </w:r>
      <w:r w:rsidR="00CE7BEE" w:rsidRPr="00CE7BEE">
        <w:t xml:space="preserve"> </w:t>
      </w:r>
      <w:r w:rsidR="00E5322A" w:rsidRPr="00CE7BEE">
        <w:t xml:space="preserve">a serious disease or serious condition or a disease or condition which may </w:t>
      </w:r>
      <w:r w:rsidRPr="00CE7BEE">
        <w:t xml:space="preserve">pose a moderate risk to public health </w:t>
      </w:r>
    </w:p>
    <w:p w14:paraId="3EEA5456" w14:textId="2A86A2E3" w:rsidR="003731AB" w:rsidRDefault="003731AB" w:rsidP="003D14A6">
      <w:pPr>
        <w:pStyle w:val="ListBullet"/>
      </w:pPr>
      <w:r w:rsidRPr="00CE7BEE">
        <w:t xml:space="preserve">Class </w:t>
      </w:r>
      <w:r w:rsidR="00E5322A">
        <w:t xml:space="preserve">I </w:t>
      </w:r>
      <w:r w:rsidR="00985A0C">
        <w:t>– other products</w:t>
      </w:r>
    </w:p>
    <w:p w14:paraId="3EB23DB6" w14:textId="2B1DD5FF" w:rsidR="003731AB" w:rsidRPr="0078156E" w:rsidRDefault="003731AB" w:rsidP="0078156E">
      <w:pPr>
        <w:pStyle w:val="ListNumber"/>
        <w:rPr>
          <w:b/>
        </w:rPr>
      </w:pPr>
      <w:r w:rsidRPr="0078156E">
        <w:rPr>
          <w:b/>
        </w:rPr>
        <w:t>Products for use for monitoring the state or progression of a disease or condition by processing data in order to provide an output in the form of information about the state of a disease or conditio</w:t>
      </w:r>
      <w:r w:rsidR="0078156E">
        <w:rPr>
          <w:b/>
        </w:rPr>
        <w:t>n, or about patient parameters.</w:t>
      </w:r>
    </w:p>
    <w:p w14:paraId="75B580DD" w14:textId="0A85EE39" w:rsidR="00CE7BEE" w:rsidRDefault="003731AB" w:rsidP="0078156E">
      <w:pPr>
        <w:pStyle w:val="ListBullet"/>
      </w:pPr>
      <w:r w:rsidRPr="00CE7BEE">
        <w:t xml:space="preserve">Class IIb </w:t>
      </w:r>
      <w:r w:rsidR="00C24859">
        <w:t>–</w:t>
      </w:r>
      <w:r w:rsidRPr="00CE7BEE">
        <w:t xml:space="preserve"> If such products are intended to provide information</w:t>
      </w:r>
      <w:r w:rsidR="00CC5448">
        <w:t xml:space="preserve"> that</w:t>
      </w:r>
      <w:r w:rsidRPr="00CE7BEE">
        <w:t xml:space="preserve"> could indicate that the person, or another person, may be in immediate danger or that there may be a high risk to public health</w:t>
      </w:r>
    </w:p>
    <w:p w14:paraId="0629A889" w14:textId="5EE76066" w:rsidR="00CE7BEE" w:rsidRDefault="003731AB" w:rsidP="0078156E">
      <w:pPr>
        <w:pStyle w:val="ListBullet"/>
      </w:pPr>
      <w:r w:rsidRPr="00CE7BEE">
        <w:t xml:space="preserve">Class IIa </w:t>
      </w:r>
      <w:r w:rsidR="00C24859">
        <w:t>–</w:t>
      </w:r>
      <w:r w:rsidRPr="00CE7BEE">
        <w:t xml:space="preserve"> If such products are intended to provide information </w:t>
      </w:r>
      <w:r w:rsidR="00CC5448">
        <w:t xml:space="preserve">that </w:t>
      </w:r>
      <w:r w:rsidRPr="00CE7BEE">
        <w:t>could indicate that the person, or another person, may be in another form of danger (i.e. in danger but not immediate danger) or that there may be a</w:t>
      </w:r>
      <w:r w:rsidR="00CE7BEE">
        <w:t xml:space="preserve"> moderate risk to public health</w:t>
      </w:r>
    </w:p>
    <w:p w14:paraId="5E65CFE2" w14:textId="19F00301" w:rsidR="003731AB" w:rsidRDefault="0078156E" w:rsidP="0078156E">
      <w:pPr>
        <w:pStyle w:val="ListBullet"/>
      </w:pPr>
      <w:r>
        <w:t>Class I – other products</w:t>
      </w:r>
    </w:p>
    <w:p w14:paraId="02E5083E" w14:textId="483D3C1E" w:rsidR="003731AB" w:rsidRPr="0078156E" w:rsidRDefault="003731AB" w:rsidP="0078156E">
      <w:pPr>
        <w:pStyle w:val="ListNumber"/>
        <w:pageBreakBefore/>
        <w:rPr>
          <w:b/>
        </w:rPr>
      </w:pPr>
      <w:r w:rsidRPr="0078156E">
        <w:rPr>
          <w:b/>
        </w:rPr>
        <w:lastRenderedPageBreak/>
        <w:t>Products intended to specify or recomm</w:t>
      </w:r>
      <w:r w:rsidR="0078156E">
        <w:rPr>
          <w:b/>
        </w:rPr>
        <w:t>end a treatment or intervention</w:t>
      </w:r>
    </w:p>
    <w:p w14:paraId="27DDE0ED" w14:textId="1710CB1B" w:rsidR="00CE7BEE" w:rsidRDefault="003731AB" w:rsidP="0078156E">
      <w:pPr>
        <w:pStyle w:val="ListBullet"/>
      </w:pPr>
      <w:r w:rsidRPr="00CE7BEE">
        <w:t xml:space="preserve">Class III </w:t>
      </w:r>
      <w:r w:rsidR="00C24859">
        <w:t>–</w:t>
      </w:r>
      <w:r w:rsidRPr="00CE7BEE">
        <w:t xml:space="preserve"> in circumstances where the absence of the treatment or intervention (e.g. a failure to apply it), or where the treatment or intervention itself, may lead to the death of a person or to a severe deterioration of a person’s health or may pose a high risk to public health</w:t>
      </w:r>
    </w:p>
    <w:p w14:paraId="00FB80E7" w14:textId="2A3C5B78" w:rsidR="00CE7BEE" w:rsidRDefault="003731AB" w:rsidP="0078156E">
      <w:pPr>
        <w:pStyle w:val="ListBullet"/>
      </w:pPr>
      <w:r w:rsidRPr="00CE7BEE">
        <w:t xml:space="preserve">Class IIb </w:t>
      </w:r>
      <w:r w:rsidR="00C24859">
        <w:t>–</w:t>
      </w:r>
      <w:r w:rsidRPr="00CE7BEE">
        <w:t xml:space="preserve"> in circumstances where the absence of the treatment or intervention (e.g. a failure to apply it), or where the treatment or intervention itself, may otherwise be harmful to a person or may pose a moderate risk to public health </w:t>
      </w:r>
    </w:p>
    <w:p w14:paraId="3663B098" w14:textId="4DD79787" w:rsidR="003731AB" w:rsidRDefault="003731AB" w:rsidP="0078156E">
      <w:pPr>
        <w:pStyle w:val="ListBullet"/>
      </w:pPr>
      <w:r w:rsidRPr="00CE7BEE">
        <w:t xml:space="preserve">Class IIa </w:t>
      </w:r>
      <w:r w:rsidR="00C24859">
        <w:t>–</w:t>
      </w:r>
      <w:r w:rsidRPr="00CE7BEE">
        <w:t xml:space="preserve"> other products</w:t>
      </w:r>
    </w:p>
    <w:p w14:paraId="297A7E07" w14:textId="2CB70581" w:rsidR="003731AB" w:rsidRPr="00985A0C" w:rsidRDefault="003731AB" w:rsidP="0078156E">
      <w:pPr>
        <w:pStyle w:val="ListNumber"/>
        <w:numPr>
          <w:ilvl w:val="0"/>
          <w:numId w:val="39"/>
        </w:numPr>
      </w:pPr>
      <w:r w:rsidRPr="00985A0C">
        <w:t xml:space="preserve">Products intended to be used to </w:t>
      </w:r>
      <w:r w:rsidRPr="0078156E">
        <w:rPr>
          <w:b/>
        </w:rPr>
        <w:t>recommend a treatment or intervention to a relevant health professional</w:t>
      </w:r>
      <w:r w:rsidRPr="00985A0C">
        <w:t xml:space="preserve"> for the purposes of assisting or enabling the health professional to make a decision about the treatment or intervention.</w:t>
      </w:r>
    </w:p>
    <w:p w14:paraId="70626742" w14:textId="57A8ACE3" w:rsidR="00CE7BEE" w:rsidRDefault="003731AB" w:rsidP="0078156E">
      <w:pPr>
        <w:pStyle w:val="ListBullet"/>
      </w:pPr>
      <w:r w:rsidRPr="00CE7BEE">
        <w:t xml:space="preserve">Class IIb </w:t>
      </w:r>
      <w:r w:rsidR="00C24859">
        <w:t>–</w:t>
      </w:r>
      <w:r w:rsidRPr="00CE7BEE">
        <w:t xml:space="preserve"> if such products are intended to recommend a treatment or intervention to a relevant health professional in circumstances where the absence of the treatment or intervention (e.g. a failure to apply it), or where the treatment or intervention itself, may lead to the death of a person or to a severe deterioration of a person’s health or may pose a high risk to public health</w:t>
      </w:r>
    </w:p>
    <w:p w14:paraId="3B2D79EE" w14:textId="672E4C41" w:rsidR="00CE7BEE" w:rsidRDefault="003731AB" w:rsidP="0078156E">
      <w:pPr>
        <w:pStyle w:val="ListBullet"/>
      </w:pPr>
      <w:r w:rsidRPr="00CE7BEE">
        <w:t xml:space="preserve">Class IIa </w:t>
      </w:r>
      <w:r w:rsidR="00C24859">
        <w:t>–</w:t>
      </w:r>
      <w:r w:rsidRPr="00CE7BEE">
        <w:t xml:space="preserve"> if such products are intended to recommend a treatment or intervention in circumstances where the absence of the treatment or intervention (e.g. a failure to apply it), or where the treatment or intervention itself, may otherwise be harmful to a person or may pose a moderate risk to public health</w:t>
      </w:r>
    </w:p>
    <w:p w14:paraId="648B3563" w14:textId="5BB48DAC" w:rsidR="003731AB" w:rsidRDefault="003731AB" w:rsidP="0078156E">
      <w:pPr>
        <w:pStyle w:val="ListBullet"/>
      </w:pPr>
      <w:r w:rsidRPr="00CE7BEE">
        <w:t>Class I – other products.</w:t>
      </w:r>
    </w:p>
    <w:p w14:paraId="4B8C155E" w14:textId="02E25986" w:rsidR="003731AB" w:rsidRPr="00985A0C" w:rsidRDefault="003731AB" w:rsidP="0078156E">
      <w:pPr>
        <w:pStyle w:val="ListNumber"/>
      </w:pPr>
      <w:r w:rsidRPr="00985A0C">
        <w:t>Products to provide therapy to a person through the provision of information – if in relation to therapy</w:t>
      </w:r>
    </w:p>
    <w:p w14:paraId="4720958B" w14:textId="45D8A877" w:rsidR="00CE7BEE" w:rsidRDefault="003731AB" w:rsidP="0078156E">
      <w:pPr>
        <w:pStyle w:val="ListBullet"/>
      </w:pPr>
      <w:r w:rsidRPr="00CE7BEE">
        <w:t xml:space="preserve">Class III </w:t>
      </w:r>
      <w:r w:rsidR="00C24859">
        <w:t>–</w:t>
      </w:r>
      <w:r w:rsidRPr="00CE7BEE">
        <w:t xml:space="preserve"> that may result in the death or a severe deterioration of a person’s health, </w:t>
      </w:r>
    </w:p>
    <w:p w14:paraId="3DA1D6F1" w14:textId="399EAB7D" w:rsidR="00CE7BEE" w:rsidRPr="00CE7BEE" w:rsidRDefault="003731AB" w:rsidP="0078156E">
      <w:pPr>
        <w:pStyle w:val="ListBullet"/>
      </w:pPr>
      <w:r w:rsidRPr="00CE7BEE">
        <w:t xml:space="preserve">Class </w:t>
      </w:r>
      <w:r w:rsidRPr="00CE7BEE">
        <w:rPr>
          <w:szCs w:val="22"/>
        </w:rPr>
        <w:t xml:space="preserve">IIb </w:t>
      </w:r>
      <w:r w:rsidR="00C24859">
        <w:rPr>
          <w:szCs w:val="22"/>
        </w:rPr>
        <w:t>–</w:t>
      </w:r>
      <w:r w:rsidRPr="00CE7BEE">
        <w:rPr>
          <w:szCs w:val="22"/>
        </w:rPr>
        <w:t xml:space="preserve"> may cause serious harm to the person </w:t>
      </w:r>
    </w:p>
    <w:p w14:paraId="6C3E5D78" w14:textId="3E65ED6D" w:rsidR="00CE7BEE" w:rsidRPr="00CE7BEE" w:rsidRDefault="003731AB" w:rsidP="0078156E">
      <w:pPr>
        <w:pStyle w:val="ListBullet"/>
      </w:pPr>
      <w:r w:rsidRPr="00CE7BEE">
        <w:rPr>
          <w:szCs w:val="22"/>
        </w:rPr>
        <w:t xml:space="preserve">Class IIa </w:t>
      </w:r>
      <w:r w:rsidR="00C24859">
        <w:rPr>
          <w:szCs w:val="22"/>
        </w:rPr>
        <w:t>–</w:t>
      </w:r>
      <w:r w:rsidRPr="00CE7BEE">
        <w:rPr>
          <w:szCs w:val="22"/>
        </w:rPr>
        <w:t xml:space="preserve"> may still cause harm to the person </w:t>
      </w:r>
    </w:p>
    <w:p w14:paraId="0FB4B610" w14:textId="5A1798D8" w:rsidR="003731AB" w:rsidRPr="008720AB" w:rsidRDefault="003731AB" w:rsidP="0078156E">
      <w:pPr>
        <w:pStyle w:val="ListBullet"/>
      </w:pPr>
      <w:r w:rsidRPr="00CE7BEE">
        <w:rPr>
          <w:szCs w:val="22"/>
        </w:rPr>
        <w:t>Class I</w:t>
      </w:r>
      <w:r w:rsidR="00C24859">
        <w:rPr>
          <w:szCs w:val="22"/>
        </w:rPr>
        <w:t>–</w:t>
      </w:r>
      <w:r w:rsidRPr="00CE7BEE">
        <w:rPr>
          <w:szCs w:val="22"/>
        </w:rPr>
        <w:t xml:space="preserve"> other products.</w:t>
      </w:r>
    </w:p>
    <w:p w14:paraId="781E0A0C" w14:textId="14DA7EBE" w:rsidR="008720AB" w:rsidRDefault="006827F9" w:rsidP="0078156E">
      <w:pPr>
        <w:pStyle w:val="ListNumber"/>
        <w:rPr>
          <w:b/>
        </w:rPr>
      </w:pPr>
      <w:r>
        <w:rPr>
          <w:b/>
        </w:rPr>
        <w:t>Medical devices</w:t>
      </w:r>
      <w:r w:rsidR="001D66AD" w:rsidRPr="001D66AD">
        <w:rPr>
          <w:b/>
        </w:rPr>
        <w:t xml:space="preserve"> that record patient images or that are anatomical models etc.</w:t>
      </w:r>
      <w:r w:rsidR="008A5C03">
        <w:rPr>
          <w:b/>
        </w:rPr>
        <w:t xml:space="preserve"> </w:t>
      </w:r>
      <w:r w:rsidR="008A5C03">
        <w:t>that are used in the diagnosis or monitoring of a disease or condition, injury or disability or used in the investigation of the anatomy or of a physiological process.</w:t>
      </w:r>
    </w:p>
    <w:p w14:paraId="10DA00CE" w14:textId="248D647C" w:rsidR="001D66AD" w:rsidRDefault="001D66AD" w:rsidP="0078156E">
      <w:pPr>
        <w:pStyle w:val="ListBullet"/>
      </w:pPr>
      <w:r>
        <w:t xml:space="preserve">Class IIa </w:t>
      </w:r>
      <w:r w:rsidR="008A5C03">
        <w:t>–</w:t>
      </w:r>
      <w:r>
        <w:t xml:space="preserve"> </w:t>
      </w:r>
      <w:r w:rsidR="008A5C03">
        <w:t>that are used to record patient images (acquired through a method that relies on non-visible energy, e.g., X-rays)</w:t>
      </w:r>
    </w:p>
    <w:p w14:paraId="143D32A4" w14:textId="4949830D" w:rsidR="008A5C03" w:rsidRDefault="008A5C03" w:rsidP="0078156E">
      <w:pPr>
        <w:pStyle w:val="ListBullet"/>
      </w:pPr>
      <w:r>
        <w:t xml:space="preserve">Class IIa – </w:t>
      </w:r>
      <w:r w:rsidR="002A0C5E">
        <w:t xml:space="preserve">a </w:t>
      </w:r>
      <w:r>
        <w:t>virtual (or physical) anatomical model</w:t>
      </w:r>
    </w:p>
    <w:p w14:paraId="3166A592" w14:textId="1F27E18B" w:rsidR="008A5C03" w:rsidRPr="008720AB" w:rsidRDefault="008A5C03" w:rsidP="0078156E">
      <w:pPr>
        <w:pStyle w:val="ListBullet"/>
      </w:pPr>
      <w:r>
        <w:t>Class IIa – a programmed or programmable medical device, or software that is a medical device used to cr</w:t>
      </w:r>
      <w:r w:rsidR="0078156E">
        <w:t>eate a virtual anatomical model</w:t>
      </w:r>
    </w:p>
    <w:p w14:paraId="1E3E7536" w14:textId="635E5BA8" w:rsidR="001D66AD" w:rsidRPr="003B076B" w:rsidRDefault="00224CCC" w:rsidP="0078156E">
      <w:pPr>
        <w:rPr>
          <w:b/>
        </w:rPr>
      </w:pPr>
      <w:r w:rsidRPr="00AF6BE1">
        <w:t xml:space="preserve">Note, this was a </w:t>
      </w:r>
      <w:r w:rsidR="003B076B" w:rsidRPr="00AF6BE1">
        <w:t xml:space="preserve">pre-existing </w:t>
      </w:r>
      <w:r w:rsidR="006D3243" w:rsidRPr="00AF6BE1">
        <w:t xml:space="preserve">classification rule </w:t>
      </w:r>
      <w:r w:rsidRPr="00AF6BE1">
        <w:t xml:space="preserve">which </w:t>
      </w:r>
      <w:r w:rsidR="003B076B" w:rsidRPr="00AF6BE1">
        <w:t xml:space="preserve">was amended </w:t>
      </w:r>
      <w:r w:rsidR="009F7879" w:rsidRPr="00AF6BE1">
        <w:t>to include medical devices intended for creating virtual anatomical models</w:t>
      </w:r>
      <w:r w:rsidRPr="00AF6BE1">
        <w:t>. This change was made</w:t>
      </w:r>
      <w:r w:rsidR="006D3243" w:rsidRPr="00AF6BE1">
        <w:t xml:space="preserve"> in relation to </w:t>
      </w:r>
      <w:r w:rsidR="009F7879" w:rsidRPr="00AF6BE1">
        <w:t>the</w:t>
      </w:r>
      <w:r w:rsidRPr="00AF6BE1">
        <w:t xml:space="preserve"> reforms</w:t>
      </w:r>
      <w:r w:rsidR="009F7879" w:rsidRPr="00AF6BE1">
        <w:t xml:space="preserve"> </w:t>
      </w:r>
      <w:r w:rsidR="006D3243" w:rsidRPr="00AF6BE1">
        <w:t>for</w:t>
      </w:r>
      <w:r w:rsidR="009F7879" w:rsidRPr="00AF6BE1">
        <w:t xml:space="preserve"> the regulation of personalised medical devices</w:t>
      </w:r>
      <w:r w:rsidR="006D3243" w:rsidRPr="00AF6BE1">
        <w:t>.</w:t>
      </w:r>
    </w:p>
    <w:p w14:paraId="369C22C8" w14:textId="20B4DC2B" w:rsidR="003731AB" w:rsidRPr="00F33D14" w:rsidRDefault="003731AB" w:rsidP="003731AB">
      <w:pPr>
        <w:spacing w:after="0"/>
        <w:rPr>
          <w:bCs/>
          <w:color w:val="000000"/>
          <w:szCs w:val="22"/>
        </w:rPr>
      </w:pPr>
      <w:r w:rsidRPr="00F33D14">
        <w:rPr>
          <w:bCs/>
          <w:color w:val="000000"/>
          <w:szCs w:val="22"/>
        </w:rPr>
        <w:t xml:space="preserve">Examples of software that is currently regulated as a medical device, but </w:t>
      </w:r>
      <w:r w:rsidR="000C7DB4">
        <w:rPr>
          <w:bCs/>
          <w:color w:val="000000"/>
          <w:szCs w:val="22"/>
        </w:rPr>
        <w:t>will</w:t>
      </w:r>
      <w:r w:rsidRPr="00F33D14">
        <w:rPr>
          <w:bCs/>
          <w:color w:val="000000"/>
          <w:szCs w:val="22"/>
        </w:rPr>
        <w:t xml:space="preserve"> be reclassified under the reforms include:</w:t>
      </w:r>
    </w:p>
    <w:p w14:paraId="6EA990AF" w14:textId="77777777" w:rsidR="000C7DB4" w:rsidRDefault="003731AB" w:rsidP="0078156E">
      <w:pPr>
        <w:pStyle w:val="ListBullet"/>
      </w:pPr>
      <w:r w:rsidRPr="000C7DB4">
        <w:lastRenderedPageBreak/>
        <w:t>Software for patient image processing for the purpose of screening for a disease or making a diagnosis</w:t>
      </w:r>
    </w:p>
    <w:p w14:paraId="4DC28AE7" w14:textId="77777777" w:rsidR="000C7DB4" w:rsidRDefault="003731AB" w:rsidP="0078156E">
      <w:pPr>
        <w:pStyle w:val="ListBullet"/>
      </w:pPr>
      <w:r w:rsidRPr="000C7DB4">
        <w:t>Apps that can control or adjust a hardware medical device, such as an implanted spinal stimulator, through Bluetooth or WiFi features</w:t>
      </w:r>
    </w:p>
    <w:p w14:paraId="22910124" w14:textId="77777777" w:rsidR="000C7DB4" w:rsidRDefault="003731AB" w:rsidP="0078156E">
      <w:pPr>
        <w:pStyle w:val="ListBullet"/>
      </w:pPr>
      <w:r w:rsidRPr="000C7DB4">
        <w:t>Software that specifies a therapy such as radiation therapy for treating cancer</w:t>
      </w:r>
    </w:p>
    <w:p w14:paraId="4B5CEAE6" w14:textId="1BFF62A1" w:rsidR="003731AB" w:rsidRPr="00CE7BEE" w:rsidRDefault="003731AB" w:rsidP="0078156E">
      <w:pPr>
        <w:pStyle w:val="ListBullet"/>
      </w:pPr>
      <w:r w:rsidRPr="000C7DB4">
        <w:t>Software that analyses physiological signals to monitor a disease or condition, for example an app that processes data from a mobile ECG device to detect heart arrhythmias</w:t>
      </w:r>
    </w:p>
    <w:p w14:paraId="05661E5C" w14:textId="497DD1F2" w:rsidR="00CE7BEE" w:rsidRDefault="00CE7BEE" w:rsidP="00CE7BEE">
      <w:pPr>
        <w:spacing w:before="0" w:after="0" w:line="240" w:lineRule="auto"/>
        <w:ind w:left="360"/>
        <w:rPr>
          <w:color w:val="000000"/>
        </w:rPr>
      </w:pPr>
    </w:p>
    <w:p w14:paraId="524B7D68" w14:textId="1EEF3353" w:rsidR="00985A0C" w:rsidRDefault="00985A0C" w:rsidP="00985A0C"/>
    <w:p w14:paraId="0B42B539" w14:textId="77777777" w:rsidR="00985A0C" w:rsidRPr="00985A0C" w:rsidRDefault="00985A0C" w:rsidP="00985A0C">
      <w:pPr>
        <w:sectPr w:rsidR="00985A0C" w:rsidRPr="00985A0C" w:rsidSect="00337615">
          <w:pgSz w:w="11906" w:h="16838" w:code="9"/>
          <w:pgMar w:top="1530" w:right="1418" w:bottom="1361" w:left="1418" w:header="998" w:footer="283" w:gutter="0"/>
          <w:cols w:space="708"/>
          <w:titlePg/>
          <w:docGrid w:linePitch="360"/>
        </w:sectPr>
      </w:pPr>
    </w:p>
    <w:p w14:paraId="77E722F4" w14:textId="1337692A" w:rsidR="00E578A7" w:rsidRPr="003D7768" w:rsidRDefault="00E578A7" w:rsidP="000C5E91">
      <w:pPr>
        <w:pStyle w:val="Heading3"/>
      </w:pPr>
      <w:bookmarkStart w:id="40" w:name="_Toc35874434"/>
      <w:bookmarkEnd w:id="0"/>
      <w:bookmarkEnd w:id="1"/>
      <w:r w:rsidRPr="003D7768">
        <w:lastRenderedPageBreak/>
        <w:t>Reference</w:t>
      </w:r>
      <w:r w:rsidR="00224CCC">
        <w:t xml:space="preserve"> information</w:t>
      </w:r>
      <w:bookmarkEnd w:id="40"/>
    </w:p>
    <w:p w14:paraId="7114B848" w14:textId="2EF31191" w:rsidR="00985A0C" w:rsidRPr="00985A0C" w:rsidRDefault="00985A0C" w:rsidP="00C060FE">
      <w:pPr>
        <w:pStyle w:val="Heading4"/>
      </w:pPr>
      <w:bookmarkStart w:id="41" w:name="_Toc35874435"/>
      <w:r w:rsidRPr="00985A0C">
        <w:t>Europe</w:t>
      </w:r>
      <w:bookmarkEnd w:id="41"/>
    </w:p>
    <w:p w14:paraId="5DB0BEAE" w14:textId="53C7FA65" w:rsidR="008720AB" w:rsidRDefault="008720AB" w:rsidP="008720AB">
      <w:pPr>
        <w:rPr>
          <w:color w:val="000000"/>
        </w:rPr>
      </w:pPr>
      <w:r w:rsidRPr="00783893">
        <w:rPr>
          <w:color w:val="000000"/>
        </w:rPr>
        <w:t>The EU MDR 2017/745 introduced</w:t>
      </w:r>
      <w:r>
        <w:rPr>
          <w:color w:val="000000"/>
        </w:rPr>
        <w:t xml:space="preserve"> new classification rules that align with the IMDRF principles and are summarised in the table below (for further detail refer to</w:t>
      </w:r>
      <w:r w:rsidR="00CC446D">
        <w:rPr>
          <w:color w:val="000000"/>
        </w:rPr>
        <w:t xml:space="preserve"> </w:t>
      </w:r>
      <w:hyperlink r:id="rId33" w:history="1">
        <w:r w:rsidR="00CC446D">
          <w:rPr>
            <w:rStyle w:val="Hyperlink"/>
          </w:rPr>
          <w:t>EU MDR 2017/745</w:t>
        </w:r>
      </w:hyperlink>
      <w:r>
        <w:rPr>
          <w:color w:val="000000"/>
        </w:rPr>
        <w:t>, Annex VIII 6.3, Rule 11).</w:t>
      </w:r>
    </w:p>
    <w:tbl>
      <w:tblPr>
        <w:tblStyle w:val="TableGrid"/>
        <w:tblW w:w="0" w:type="auto"/>
        <w:tblLook w:val="04A0" w:firstRow="1" w:lastRow="0" w:firstColumn="1" w:lastColumn="0" w:noHBand="0" w:noVBand="1"/>
      </w:tblPr>
      <w:tblGrid>
        <w:gridCol w:w="2265"/>
        <w:gridCol w:w="2265"/>
        <w:gridCol w:w="2265"/>
        <w:gridCol w:w="2265"/>
      </w:tblGrid>
      <w:tr w:rsidR="008720AB" w14:paraId="51A071F2" w14:textId="77777777" w:rsidTr="00225A26">
        <w:tc>
          <w:tcPr>
            <w:tcW w:w="2265" w:type="dxa"/>
          </w:tcPr>
          <w:p w14:paraId="609000FC" w14:textId="77777777" w:rsidR="008720AB" w:rsidRPr="00224CCC" w:rsidRDefault="008720AB" w:rsidP="00225A26">
            <w:pPr>
              <w:rPr>
                <w:b/>
              </w:rPr>
            </w:pPr>
            <w:r w:rsidRPr="00224CCC">
              <w:rPr>
                <w:b/>
              </w:rPr>
              <w:t>State of healthcare situation or condition</w:t>
            </w:r>
          </w:p>
        </w:tc>
        <w:tc>
          <w:tcPr>
            <w:tcW w:w="2265" w:type="dxa"/>
          </w:tcPr>
          <w:p w14:paraId="0F82B358" w14:textId="77777777" w:rsidR="008720AB" w:rsidRPr="00224CCC" w:rsidRDefault="008720AB" w:rsidP="00225A26">
            <w:pPr>
              <w:rPr>
                <w:b/>
              </w:rPr>
            </w:pPr>
            <w:r w:rsidRPr="00224CCC">
              <w:rPr>
                <w:b/>
              </w:rPr>
              <w:t>Provides information used to take decisions for diagnosis</w:t>
            </w:r>
          </w:p>
        </w:tc>
        <w:tc>
          <w:tcPr>
            <w:tcW w:w="2265" w:type="dxa"/>
          </w:tcPr>
          <w:p w14:paraId="2426EABF" w14:textId="77777777" w:rsidR="008720AB" w:rsidRPr="00224CCC" w:rsidRDefault="008720AB" w:rsidP="00225A26">
            <w:pPr>
              <w:rPr>
                <w:b/>
              </w:rPr>
            </w:pPr>
            <w:r w:rsidRPr="00224CCC">
              <w:rPr>
                <w:b/>
              </w:rPr>
              <w:t>Provides information used to take decisions for treatment</w:t>
            </w:r>
          </w:p>
        </w:tc>
        <w:tc>
          <w:tcPr>
            <w:tcW w:w="2265" w:type="dxa"/>
          </w:tcPr>
          <w:p w14:paraId="04086893" w14:textId="77777777" w:rsidR="008720AB" w:rsidRPr="00224CCC" w:rsidRDefault="008720AB" w:rsidP="00225A26">
            <w:pPr>
              <w:rPr>
                <w:b/>
              </w:rPr>
            </w:pPr>
            <w:r w:rsidRPr="00224CCC">
              <w:rPr>
                <w:b/>
              </w:rPr>
              <w:t>Monitors physiological processes (vital/non-vital)</w:t>
            </w:r>
          </w:p>
        </w:tc>
      </w:tr>
      <w:tr w:rsidR="008720AB" w14:paraId="7AB94A72" w14:textId="77777777" w:rsidTr="00225A26">
        <w:tc>
          <w:tcPr>
            <w:tcW w:w="2265" w:type="dxa"/>
          </w:tcPr>
          <w:p w14:paraId="134020A4" w14:textId="77777777" w:rsidR="008720AB" w:rsidRPr="00224CCC" w:rsidRDefault="008720AB" w:rsidP="00225A26">
            <w:pPr>
              <w:rPr>
                <w:b/>
              </w:rPr>
            </w:pPr>
            <w:r w:rsidRPr="00224CCC">
              <w:rPr>
                <w:b/>
              </w:rPr>
              <w:t>Critical (Vital)</w:t>
            </w:r>
          </w:p>
        </w:tc>
        <w:tc>
          <w:tcPr>
            <w:tcW w:w="2265" w:type="dxa"/>
          </w:tcPr>
          <w:p w14:paraId="1E30F13F" w14:textId="77777777" w:rsidR="008720AB" w:rsidRDefault="008720AB" w:rsidP="00225A26">
            <w:pPr>
              <w:rPr>
                <w:color w:val="000000"/>
              </w:rPr>
            </w:pPr>
            <w:r>
              <w:rPr>
                <w:color w:val="000000"/>
              </w:rPr>
              <w:t>Class III</w:t>
            </w:r>
          </w:p>
        </w:tc>
        <w:tc>
          <w:tcPr>
            <w:tcW w:w="2265" w:type="dxa"/>
          </w:tcPr>
          <w:p w14:paraId="56A3C42B" w14:textId="77777777" w:rsidR="008720AB" w:rsidRDefault="008720AB" w:rsidP="00225A26">
            <w:pPr>
              <w:rPr>
                <w:color w:val="000000"/>
              </w:rPr>
            </w:pPr>
            <w:r>
              <w:rPr>
                <w:color w:val="000000"/>
              </w:rPr>
              <w:t>Class III</w:t>
            </w:r>
          </w:p>
        </w:tc>
        <w:tc>
          <w:tcPr>
            <w:tcW w:w="2265" w:type="dxa"/>
          </w:tcPr>
          <w:p w14:paraId="63A98DFF" w14:textId="77777777" w:rsidR="008720AB" w:rsidRDefault="008720AB" w:rsidP="00225A26">
            <w:pPr>
              <w:rPr>
                <w:color w:val="000000"/>
              </w:rPr>
            </w:pPr>
            <w:r>
              <w:rPr>
                <w:color w:val="000000"/>
              </w:rPr>
              <w:t>Class IIb</w:t>
            </w:r>
          </w:p>
        </w:tc>
      </w:tr>
      <w:tr w:rsidR="008720AB" w14:paraId="28444903" w14:textId="77777777" w:rsidTr="00225A26">
        <w:tc>
          <w:tcPr>
            <w:tcW w:w="2265" w:type="dxa"/>
          </w:tcPr>
          <w:p w14:paraId="3169FD50" w14:textId="77777777" w:rsidR="008720AB" w:rsidRPr="00224CCC" w:rsidRDefault="008720AB" w:rsidP="00225A26">
            <w:pPr>
              <w:rPr>
                <w:b/>
              </w:rPr>
            </w:pPr>
            <w:r w:rsidRPr="00224CCC">
              <w:rPr>
                <w:b/>
              </w:rPr>
              <w:t>Serious (Vital)</w:t>
            </w:r>
          </w:p>
        </w:tc>
        <w:tc>
          <w:tcPr>
            <w:tcW w:w="2265" w:type="dxa"/>
          </w:tcPr>
          <w:p w14:paraId="4A27B051" w14:textId="77777777" w:rsidR="008720AB" w:rsidRDefault="008720AB" w:rsidP="00225A26">
            <w:pPr>
              <w:rPr>
                <w:color w:val="000000"/>
              </w:rPr>
            </w:pPr>
            <w:r>
              <w:rPr>
                <w:color w:val="000000"/>
              </w:rPr>
              <w:t>Class IIb</w:t>
            </w:r>
          </w:p>
        </w:tc>
        <w:tc>
          <w:tcPr>
            <w:tcW w:w="2265" w:type="dxa"/>
          </w:tcPr>
          <w:p w14:paraId="6FA3ED7D" w14:textId="77777777" w:rsidR="008720AB" w:rsidRDefault="008720AB" w:rsidP="00225A26">
            <w:pPr>
              <w:rPr>
                <w:color w:val="000000"/>
              </w:rPr>
            </w:pPr>
            <w:r>
              <w:rPr>
                <w:color w:val="000000"/>
              </w:rPr>
              <w:t>Class IIb</w:t>
            </w:r>
          </w:p>
        </w:tc>
        <w:tc>
          <w:tcPr>
            <w:tcW w:w="2265" w:type="dxa"/>
          </w:tcPr>
          <w:p w14:paraId="7EDABAFC" w14:textId="77777777" w:rsidR="008720AB" w:rsidRDefault="008720AB" w:rsidP="00225A26">
            <w:pPr>
              <w:rPr>
                <w:color w:val="000000"/>
              </w:rPr>
            </w:pPr>
            <w:r>
              <w:rPr>
                <w:color w:val="000000"/>
              </w:rPr>
              <w:t>Class IIb</w:t>
            </w:r>
          </w:p>
        </w:tc>
      </w:tr>
      <w:tr w:rsidR="008720AB" w14:paraId="4ED0C12E" w14:textId="77777777" w:rsidTr="00225A26">
        <w:tc>
          <w:tcPr>
            <w:tcW w:w="2265" w:type="dxa"/>
          </w:tcPr>
          <w:p w14:paraId="5EB1CE7B" w14:textId="77777777" w:rsidR="008720AB" w:rsidRPr="00224CCC" w:rsidRDefault="008720AB" w:rsidP="00225A26">
            <w:pPr>
              <w:rPr>
                <w:b/>
              </w:rPr>
            </w:pPr>
            <w:r w:rsidRPr="00224CCC">
              <w:rPr>
                <w:b/>
              </w:rPr>
              <w:t>Non-serious (non-vital)</w:t>
            </w:r>
          </w:p>
        </w:tc>
        <w:tc>
          <w:tcPr>
            <w:tcW w:w="2265" w:type="dxa"/>
          </w:tcPr>
          <w:p w14:paraId="664B2F14" w14:textId="77777777" w:rsidR="008720AB" w:rsidRDefault="008720AB" w:rsidP="00225A26">
            <w:pPr>
              <w:rPr>
                <w:color w:val="000000"/>
              </w:rPr>
            </w:pPr>
            <w:r>
              <w:rPr>
                <w:color w:val="000000"/>
              </w:rPr>
              <w:t>Class IIa</w:t>
            </w:r>
          </w:p>
        </w:tc>
        <w:tc>
          <w:tcPr>
            <w:tcW w:w="2265" w:type="dxa"/>
          </w:tcPr>
          <w:p w14:paraId="6D5A0FC5" w14:textId="77777777" w:rsidR="008720AB" w:rsidRDefault="008720AB" w:rsidP="00225A26">
            <w:pPr>
              <w:rPr>
                <w:color w:val="000000"/>
              </w:rPr>
            </w:pPr>
            <w:r>
              <w:rPr>
                <w:color w:val="000000"/>
              </w:rPr>
              <w:t>Class IIa</w:t>
            </w:r>
          </w:p>
        </w:tc>
        <w:tc>
          <w:tcPr>
            <w:tcW w:w="2265" w:type="dxa"/>
          </w:tcPr>
          <w:p w14:paraId="331BDBEC" w14:textId="77777777" w:rsidR="008720AB" w:rsidRDefault="008720AB" w:rsidP="00225A26">
            <w:pPr>
              <w:rPr>
                <w:color w:val="000000"/>
              </w:rPr>
            </w:pPr>
            <w:r>
              <w:rPr>
                <w:color w:val="000000"/>
              </w:rPr>
              <w:t>Class IIa</w:t>
            </w:r>
          </w:p>
        </w:tc>
      </w:tr>
    </w:tbl>
    <w:p w14:paraId="398FD063" w14:textId="77777777" w:rsidR="008720AB" w:rsidRPr="00C060FE" w:rsidRDefault="008720AB" w:rsidP="00C060FE">
      <w:pPr>
        <w:pStyle w:val="Tabledescription"/>
        <w:rPr>
          <w:sz w:val="20"/>
        </w:rPr>
      </w:pPr>
      <w:r w:rsidRPr="00C060FE">
        <w:rPr>
          <w:sz w:val="20"/>
        </w:rPr>
        <w:t>* The EU 2017 MDR is silent on:</w:t>
      </w:r>
    </w:p>
    <w:p w14:paraId="5D3A352A" w14:textId="35F5013D" w:rsidR="008720AB" w:rsidRDefault="008720AB" w:rsidP="00C060FE">
      <w:pPr>
        <w:pStyle w:val="ListBullet"/>
        <w:rPr>
          <w:sz w:val="20"/>
        </w:rPr>
      </w:pPr>
      <w:r w:rsidRPr="00C060FE">
        <w:rPr>
          <w:sz w:val="20"/>
        </w:rPr>
        <w:t>devices that provide therapy through the provision of information so these default to Class I.</w:t>
      </w:r>
    </w:p>
    <w:p w14:paraId="11B24135" w14:textId="3ACFB607" w:rsidR="00C060FE" w:rsidRPr="00C060FE" w:rsidRDefault="00C060FE" w:rsidP="00C060FE">
      <w:pPr>
        <w:pStyle w:val="ListBullet"/>
        <w:rPr>
          <w:color w:val="000000"/>
          <w:sz w:val="20"/>
        </w:rPr>
      </w:pPr>
      <w:r w:rsidRPr="00C060FE">
        <w:rPr>
          <w:sz w:val="20"/>
        </w:rPr>
        <w:t>public health risks related to diagnosis or monitoring so these devices are likely to be Class I or IIa unless there is an associated individual risk.</w:t>
      </w:r>
    </w:p>
    <w:p w14:paraId="1606AB09" w14:textId="2E75B192" w:rsidR="008720AB" w:rsidRDefault="008720AB" w:rsidP="008720AB">
      <w:pPr>
        <w:pStyle w:val="ListBullet"/>
        <w:numPr>
          <w:ilvl w:val="0"/>
          <w:numId w:val="0"/>
        </w:numPr>
        <w:rPr>
          <w:color w:val="000000"/>
        </w:rPr>
      </w:pPr>
      <w:r>
        <w:rPr>
          <w:color w:val="000000"/>
        </w:rPr>
        <w:t xml:space="preserve">The </w:t>
      </w:r>
      <w:r w:rsidRPr="003D7768">
        <w:rPr>
          <w:color w:val="000000"/>
        </w:rPr>
        <w:t xml:space="preserve">European Commission </w:t>
      </w:r>
      <w:hyperlink r:id="rId34" w:history="1">
        <w:r w:rsidRPr="00985A0C">
          <w:rPr>
            <w:rStyle w:val="Hyperlink"/>
          </w:rPr>
          <w:t>Guidance for Software Regulation</w:t>
        </w:r>
      </w:hyperlink>
      <w:hyperlink r:id="rId35" w:history="1"/>
      <w:r w:rsidRPr="003D7768">
        <w:rPr>
          <w:color w:val="000000"/>
        </w:rPr>
        <w:t xml:space="preserve"> </w:t>
      </w:r>
      <w:r>
        <w:rPr>
          <w:color w:val="000000"/>
        </w:rPr>
        <w:t>. In this document</w:t>
      </w:r>
      <w:r w:rsidRPr="008610B9">
        <w:rPr>
          <w:color w:val="000000"/>
        </w:rPr>
        <w:t>, the EU has mapped its classifications against the IMDRF principles in the following table</w:t>
      </w:r>
      <w:r>
        <w:rPr>
          <w:color w:val="000000"/>
        </w:rPr>
        <w:t>.</w:t>
      </w:r>
    </w:p>
    <w:p w14:paraId="40B2CBAB" w14:textId="2CA375A2" w:rsidR="00E578A7" w:rsidRDefault="00985A0C" w:rsidP="00C060FE">
      <w:pPr>
        <w:pStyle w:val="Heading4"/>
      </w:pPr>
      <w:bookmarkStart w:id="42" w:name="_Toc35874436"/>
      <w:r w:rsidRPr="00985A0C">
        <w:t>USFDA</w:t>
      </w:r>
      <w:bookmarkEnd w:id="42"/>
    </w:p>
    <w:p w14:paraId="12BEDC32" w14:textId="19D79AD0" w:rsidR="00E46041" w:rsidRPr="00845A8D" w:rsidRDefault="00592EF0" w:rsidP="00E46041">
      <w:pPr>
        <w:spacing w:before="0" w:after="300" w:line="240" w:lineRule="auto"/>
        <w:rPr>
          <w:rStyle w:val="Hyperlink"/>
          <w:rFonts w:asciiTheme="minorHAnsi" w:eastAsia="Times New Roman" w:hAnsiTheme="minorHAnsi"/>
          <w:color w:val="000000"/>
          <w:szCs w:val="22"/>
          <w:u w:val="none"/>
          <w:lang w:eastAsia="en-AU"/>
        </w:rPr>
      </w:pPr>
      <w:hyperlink r:id="rId36" w:tooltip="Clinical Decision Support Software" w:history="1">
        <w:r w:rsidR="00E46041" w:rsidRPr="00E46041">
          <w:rPr>
            <w:rFonts w:asciiTheme="minorHAnsi" w:eastAsia="Times New Roman" w:hAnsiTheme="minorHAnsi"/>
            <w:color w:val="000000"/>
            <w:szCs w:val="22"/>
            <w:lang w:eastAsia="en-AU"/>
          </w:rPr>
          <w:t>Clinical Decision Support Software</w:t>
        </w:r>
      </w:hyperlink>
      <w:r w:rsidR="00E46041" w:rsidRPr="009F7879">
        <w:rPr>
          <w:rFonts w:asciiTheme="minorHAnsi" w:eastAsia="Times New Roman" w:hAnsiTheme="minorHAnsi"/>
          <w:color w:val="000000"/>
          <w:szCs w:val="22"/>
          <w:lang w:eastAsia="en-AU"/>
        </w:rPr>
        <w:t xml:space="preserve"> </w:t>
      </w:r>
      <w:r w:rsidR="00845A8D">
        <w:rPr>
          <w:rFonts w:asciiTheme="minorHAnsi" w:eastAsia="Times New Roman" w:hAnsiTheme="minorHAnsi"/>
          <w:color w:val="000000"/>
          <w:szCs w:val="22"/>
          <w:lang w:eastAsia="en-AU"/>
        </w:rPr>
        <w:t>–</w:t>
      </w:r>
      <w:r w:rsidR="00E46041" w:rsidRPr="009F7879">
        <w:rPr>
          <w:rFonts w:asciiTheme="minorHAnsi" w:eastAsia="Times New Roman" w:hAnsiTheme="minorHAnsi"/>
          <w:color w:val="000000"/>
          <w:szCs w:val="22"/>
          <w:lang w:eastAsia="en-AU"/>
        </w:rPr>
        <w:t xml:space="preserve"> </w:t>
      </w:r>
      <w:hyperlink r:id="rId37" w:history="1">
        <w:r w:rsidR="00E46041" w:rsidRPr="00C060FE">
          <w:rPr>
            <w:rStyle w:val="Hyperlink"/>
            <w:rFonts w:asciiTheme="minorHAnsi" w:eastAsia="Times New Roman" w:hAnsiTheme="minorHAnsi"/>
            <w:szCs w:val="22"/>
            <w:lang w:eastAsia="en-AU"/>
          </w:rPr>
          <w:t>https://www.fda.gov/regulatory-information/search-fda-guidance-documents/clinical-decision-support-software</w:t>
        </w:r>
      </w:hyperlink>
    </w:p>
    <w:p w14:paraId="3DF25B5E" w14:textId="493F0D82" w:rsidR="00E46041" w:rsidRPr="00E46041" w:rsidRDefault="00592EF0" w:rsidP="00E46041">
      <w:pPr>
        <w:spacing w:before="0" w:after="300" w:line="240" w:lineRule="auto"/>
        <w:rPr>
          <w:rStyle w:val="Hyperlink"/>
          <w:rFonts w:asciiTheme="minorHAnsi" w:eastAsia="Times New Roman" w:hAnsiTheme="minorHAnsi"/>
          <w:color w:val="000000"/>
          <w:szCs w:val="22"/>
          <w:lang w:eastAsia="en-AU"/>
        </w:rPr>
      </w:pPr>
      <w:hyperlink r:id="rId38" w:tooltip="Changes to Existing Medical Software Policies Resulting from Section 3060 of the 21st Century Cures Act" w:history="1">
        <w:r w:rsidR="00E46041" w:rsidRPr="00E46041">
          <w:rPr>
            <w:rFonts w:asciiTheme="minorHAnsi" w:eastAsia="Times New Roman" w:hAnsiTheme="minorHAnsi"/>
            <w:color w:val="000000"/>
            <w:szCs w:val="22"/>
            <w:lang w:eastAsia="en-AU"/>
          </w:rPr>
          <w:t xml:space="preserve">Changes to Existing Medical Software Policies Resulting from Section 3060 of the </w:t>
        </w:r>
        <w:r w:rsidR="00E46041" w:rsidRPr="00C060FE">
          <w:rPr>
            <w:rFonts w:asciiTheme="minorHAnsi" w:eastAsia="Times New Roman" w:hAnsiTheme="minorHAnsi"/>
            <w:i/>
            <w:color w:val="000000"/>
            <w:szCs w:val="22"/>
            <w:lang w:eastAsia="en-AU"/>
          </w:rPr>
          <w:t>21st Century Cures Act</w:t>
        </w:r>
      </w:hyperlink>
      <w:r w:rsidR="00E46041" w:rsidRPr="00E46041">
        <w:rPr>
          <w:rFonts w:asciiTheme="minorHAnsi" w:eastAsia="Times New Roman" w:hAnsiTheme="minorHAnsi"/>
          <w:color w:val="000000"/>
          <w:szCs w:val="22"/>
          <w:lang w:eastAsia="en-AU"/>
        </w:rPr>
        <w:t xml:space="preserve"> - </w:t>
      </w:r>
      <w:hyperlink r:id="rId39" w:history="1">
        <w:r w:rsidR="00E46041" w:rsidRPr="00C060FE">
          <w:rPr>
            <w:rStyle w:val="Hyperlink"/>
            <w:rFonts w:asciiTheme="minorHAnsi" w:eastAsia="Times New Roman" w:hAnsiTheme="minorHAnsi"/>
            <w:szCs w:val="22"/>
            <w:lang w:eastAsia="en-AU"/>
          </w:rPr>
          <w:t>https://www.fda.gov/regulatory-information/search-fda-guidance-documents/changes-existing-medical-software-policies-resulting-section-3060-21st-century-cures-act</w:t>
        </w:r>
      </w:hyperlink>
    </w:p>
    <w:p w14:paraId="0F5BA93C" w14:textId="0F31A282" w:rsidR="00E46041" w:rsidRPr="00224CCC" w:rsidRDefault="00592EF0" w:rsidP="00E46041">
      <w:pPr>
        <w:spacing w:before="0" w:after="300" w:line="240" w:lineRule="auto"/>
        <w:rPr>
          <w:rFonts w:asciiTheme="minorHAnsi" w:eastAsia="Times New Roman" w:hAnsiTheme="minorHAnsi"/>
          <w:szCs w:val="22"/>
          <w:lang w:eastAsia="en-AU"/>
        </w:rPr>
      </w:pPr>
      <w:hyperlink r:id="rId40" w:tooltip="Policy for Device Software Functions and Mobile Medical Applications" w:history="1">
        <w:r w:rsidR="00E46041" w:rsidRPr="00E46041">
          <w:rPr>
            <w:rFonts w:asciiTheme="minorHAnsi" w:eastAsia="Times New Roman" w:hAnsiTheme="minorHAnsi"/>
            <w:color w:val="000000"/>
            <w:szCs w:val="22"/>
            <w:lang w:eastAsia="en-AU"/>
          </w:rPr>
          <w:t>Policy for Device Software Functions and Mobile Medical Applications</w:t>
        </w:r>
      </w:hyperlink>
      <w:r w:rsidR="00E46041" w:rsidRPr="00E46041">
        <w:rPr>
          <w:rFonts w:asciiTheme="minorHAnsi" w:eastAsia="Times New Roman" w:hAnsiTheme="minorHAnsi"/>
          <w:color w:val="000000"/>
          <w:szCs w:val="22"/>
          <w:lang w:eastAsia="en-AU"/>
        </w:rPr>
        <w:t xml:space="preserve"> - </w:t>
      </w:r>
      <w:hyperlink r:id="rId41" w:history="1">
        <w:r w:rsidR="00224CCC" w:rsidRPr="00C060FE">
          <w:rPr>
            <w:rStyle w:val="Hyperlink"/>
            <w:rFonts w:asciiTheme="minorHAnsi" w:eastAsia="Times New Roman" w:hAnsiTheme="minorHAnsi"/>
            <w:szCs w:val="22"/>
            <w:lang w:eastAsia="en-AU"/>
          </w:rPr>
          <w:t>https://www.fda.gov/regulatory-information/search-fda-guidance-documents/policy-device-software-functions-and-mobile-medical-applications</w:t>
        </w:r>
      </w:hyperlink>
    </w:p>
    <w:p w14:paraId="2FAA0E16" w14:textId="48A9FBB2" w:rsidR="008720AB" w:rsidRPr="00985A0C" w:rsidRDefault="008720AB" w:rsidP="00C060FE">
      <w:pPr>
        <w:pStyle w:val="Heading4"/>
      </w:pPr>
      <w:bookmarkStart w:id="43" w:name="_Toc35874437"/>
      <w:r w:rsidRPr="00985A0C">
        <w:t>Canada</w:t>
      </w:r>
      <w:bookmarkEnd w:id="43"/>
    </w:p>
    <w:p w14:paraId="29EB20DC" w14:textId="542CD9DC" w:rsidR="008720AB" w:rsidRPr="00224CCC" w:rsidRDefault="008720AB" w:rsidP="008720AB">
      <w:pPr>
        <w:rPr>
          <w:rStyle w:val="Hyperlink"/>
          <w:color w:val="auto"/>
        </w:rPr>
      </w:pPr>
      <w:r>
        <w:rPr>
          <w:color w:val="000000"/>
        </w:rPr>
        <w:t xml:space="preserve">Health </w:t>
      </w:r>
      <w:r w:rsidRPr="003D7768">
        <w:rPr>
          <w:color w:val="000000"/>
        </w:rPr>
        <w:t>Canada</w:t>
      </w:r>
      <w:r>
        <w:rPr>
          <w:color w:val="000000"/>
        </w:rPr>
        <w:t>,</w:t>
      </w:r>
      <w:r w:rsidR="00B60BDB">
        <w:rPr>
          <w:color w:val="000000"/>
        </w:rPr>
        <w:t xml:space="preserve"> </w:t>
      </w:r>
      <w:r w:rsidR="00B60BDB" w:rsidRPr="00B60BDB">
        <w:rPr>
          <w:color w:val="000000"/>
        </w:rPr>
        <w:t>Guidance Document: Software as a Medical Device (SaMD): Definition and Classification</w:t>
      </w:r>
      <w:r w:rsidR="00B60BDB">
        <w:rPr>
          <w:color w:val="000000"/>
        </w:rPr>
        <w:t xml:space="preserve"> </w:t>
      </w:r>
      <w:hyperlink r:id="rId42" w:anchor="a2.1" w:history="1">
        <w:r w:rsidRPr="00C060FE">
          <w:rPr>
            <w:rStyle w:val="Hyperlink"/>
          </w:rPr>
          <w:t>Guidance Document: Software as a Medical Device (SaMD): Definition and Classification</w:t>
        </w:r>
      </w:hyperlink>
      <w:r w:rsidR="00E46041" w:rsidRPr="00C060FE">
        <w:rPr>
          <w:rStyle w:val="Hyperlink"/>
        </w:rPr>
        <w:t xml:space="preserve"> -</w:t>
      </w:r>
      <w:r w:rsidR="00B60BDB" w:rsidRPr="00C060FE">
        <w:rPr>
          <w:rStyle w:val="Hyperlink"/>
        </w:rPr>
        <w:t xml:space="preserve"> https://www.canada.ca/en/health-canada/services/drugs-health-products/medical-devices/application-information/guidance-documents/software-medical-device-guidance-document.html#a2.1</w:t>
      </w:r>
    </w:p>
    <w:p w14:paraId="3C585A9C" w14:textId="0B528FF0" w:rsidR="008720AB" w:rsidRPr="00985A0C" w:rsidRDefault="008720AB" w:rsidP="00C060FE">
      <w:pPr>
        <w:pStyle w:val="Heading4"/>
      </w:pPr>
      <w:bookmarkStart w:id="44" w:name="_Toc35874438"/>
      <w:r w:rsidRPr="00985A0C">
        <w:lastRenderedPageBreak/>
        <w:t>IMDRF</w:t>
      </w:r>
      <w:bookmarkEnd w:id="44"/>
    </w:p>
    <w:p w14:paraId="44EB5198" w14:textId="67CE9325" w:rsidR="00E578A7" w:rsidRDefault="00BB6330" w:rsidP="00E578A7">
      <w:r w:rsidRPr="003D7768">
        <w:rPr>
          <w:color w:val="000000"/>
        </w:rPr>
        <w:t xml:space="preserve">International Medical Device Regulators Forum </w:t>
      </w:r>
      <w:r>
        <w:rPr>
          <w:color w:val="000000"/>
        </w:rPr>
        <w:t xml:space="preserve">- “Software as a Medical Device”: Possible Framework for Risk Categorization and Corresponding Considerations - </w:t>
      </w:r>
      <w:hyperlink r:id="rId43" w:history="1">
        <w:r w:rsidRPr="00C060FE">
          <w:rPr>
            <w:rStyle w:val="Hyperlink"/>
          </w:rPr>
          <w:t>http://www.imdrf.org/docs/imdrf/final/technical/imdrf-tech-140918-samd-framework-risk-categorization-141013.pdf</w:t>
        </w:r>
      </w:hyperlink>
    </w:p>
    <w:p w14:paraId="4149CC6C" w14:textId="77777777" w:rsidR="00224CCC" w:rsidRPr="003D7768" w:rsidRDefault="00224CCC" w:rsidP="00224CCC">
      <w:pPr>
        <w:rPr>
          <w:color w:val="000000"/>
        </w:rPr>
      </w:pPr>
      <w:r w:rsidRPr="003D7768">
        <w:rPr>
          <w:color w:val="000000"/>
        </w:rPr>
        <w:t xml:space="preserve">International Medical Device Regulators Forum – Clinical Evidence for Software - </w:t>
      </w:r>
      <w:hyperlink r:id="rId44" w:history="1">
        <w:r w:rsidRPr="00C060FE">
          <w:rPr>
            <w:rStyle w:val="Hyperlink"/>
            <w:color w:val="auto"/>
          </w:rPr>
          <w:t>http://imdrf.org/docs/imdrf/final/technical/imdrf-tech-170921-samd-n41-clinical-evaluation_1.pdf</w:t>
        </w:r>
      </w:hyperlink>
      <w:r w:rsidRPr="003D7768">
        <w:rPr>
          <w:color w:val="000000"/>
        </w:rPr>
        <w:t xml:space="preserve"> </w:t>
      </w:r>
    </w:p>
    <w:p w14:paraId="473427C5" w14:textId="77777777" w:rsidR="00224CCC" w:rsidRPr="003D7768" w:rsidRDefault="00224CCC" w:rsidP="00224CCC">
      <w:pPr>
        <w:rPr>
          <w:color w:val="000000"/>
        </w:rPr>
      </w:pPr>
      <w:r w:rsidRPr="003D7768">
        <w:rPr>
          <w:color w:val="000000"/>
        </w:rPr>
        <w:t xml:space="preserve">International Medical Device Regulators Forum - Quality Management Systems for Software - </w:t>
      </w:r>
      <w:hyperlink r:id="rId45" w:history="1">
        <w:r w:rsidRPr="00C060FE">
          <w:rPr>
            <w:rStyle w:val="Hyperlink"/>
          </w:rPr>
          <w:t>http://imdrf.org/docs/imdrf/final/technical/imdrf-tech-151002-samd-qms.pdf</w:t>
        </w:r>
      </w:hyperlink>
      <w:r w:rsidRPr="003D7768">
        <w:rPr>
          <w:color w:val="000000"/>
        </w:rPr>
        <w:t xml:space="preserve"> </w:t>
      </w:r>
    </w:p>
    <w:p w14:paraId="741A6584" w14:textId="77777777" w:rsidR="00224CCC" w:rsidRPr="00224CCC" w:rsidRDefault="00224CCC" w:rsidP="00E578A7"/>
    <w:p w14:paraId="640198F1" w14:textId="77777777" w:rsidR="00BA6FF1" w:rsidRPr="003D7768" w:rsidRDefault="00BA6FF1" w:rsidP="00FE1941">
      <w:pPr>
        <w:pStyle w:val="NonTOCheading2"/>
        <w:rPr>
          <w:color w:val="000000"/>
        </w:rPr>
      </w:pPr>
      <w:r w:rsidRPr="003D7768">
        <w:rPr>
          <w:color w:val="000000"/>
        </w:rPr>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BA6FF1" w:rsidRPr="003D7768" w14:paraId="695DB9F5" w14:textId="77777777" w:rsidTr="003162B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276" w:type="dxa"/>
          </w:tcPr>
          <w:p w14:paraId="2C553BE8" w14:textId="77777777" w:rsidR="00BA6FF1" w:rsidRPr="003D7768" w:rsidRDefault="00BA6FF1" w:rsidP="003162B7">
            <w:pPr>
              <w:rPr>
                <w:color w:val="000000"/>
              </w:rPr>
            </w:pPr>
            <w:r w:rsidRPr="003D7768">
              <w:rPr>
                <w:color w:val="000000"/>
              </w:rPr>
              <w:t>Version</w:t>
            </w:r>
          </w:p>
        </w:tc>
        <w:tc>
          <w:tcPr>
            <w:tcW w:w="3242" w:type="dxa"/>
          </w:tcPr>
          <w:p w14:paraId="5CE7EB67" w14:textId="77777777" w:rsidR="00BA6FF1" w:rsidRPr="003D7768" w:rsidRDefault="00BA6FF1" w:rsidP="003162B7">
            <w:pPr>
              <w:cnfStyle w:val="100000000000" w:firstRow="1" w:lastRow="0" w:firstColumn="0" w:lastColumn="0" w:oddVBand="0" w:evenVBand="0" w:oddHBand="0" w:evenHBand="0" w:firstRowFirstColumn="0" w:firstRowLastColumn="0" w:lastRowFirstColumn="0" w:lastRowLastColumn="0"/>
              <w:rPr>
                <w:color w:val="000000"/>
              </w:rPr>
            </w:pPr>
            <w:r w:rsidRPr="003D7768">
              <w:rPr>
                <w:color w:val="000000"/>
              </w:rPr>
              <w:t>Description of change</w:t>
            </w:r>
          </w:p>
        </w:tc>
        <w:tc>
          <w:tcPr>
            <w:tcW w:w="2712" w:type="dxa"/>
          </w:tcPr>
          <w:p w14:paraId="483EAA21" w14:textId="77777777" w:rsidR="00BA6FF1" w:rsidRPr="003D7768" w:rsidRDefault="00BA6FF1" w:rsidP="003162B7">
            <w:pPr>
              <w:cnfStyle w:val="100000000000" w:firstRow="1" w:lastRow="0" w:firstColumn="0" w:lastColumn="0" w:oddVBand="0" w:evenVBand="0" w:oddHBand="0" w:evenHBand="0" w:firstRowFirstColumn="0" w:firstRowLastColumn="0" w:lastRowFirstColumn="0" w:lastRowLastColumn="0"/>
              <w:rPr>
                <w:color w:val="000000"/>
              </w:rPr>
            </w:pPr>
            <w:r w:rsidRPr="003D7768">
              <w:rPr>
                <w:color w:val="000000"/>
              </w:rPr>
              <w:t>Author</w:t>
            </w:r>
          </w:p>
        </w:tc>
        <w:tc>
          <w:tcPr>
            <w:tcW w:w="1808" w:type="dxa"/>
          </w:tcPr>
          <w:p w14:paraId="27119A6B" w14:textId="77777777" w:rsidR="00BA6FF1" w:rsidRPr="003D7768" w:rsidRDefault="00BA6FF1" w:rsidP="003162B7">
            <w:pPr>
              <w:cnfStyle w:val="100000000000" w:firstRow="1" w:lastRow="0" w:firstColumn="0" w:lastColumn="0" w:oddVBand="0" w:evenVBand="0" w:oddHBand="0" w:evenHBand="0" w:firstRowFirstColumn="0" w:firstRowLastColumn="0" w:lastRowFirstColumn="0" w:lastRowLastColumn="0"/>
              <w:rPr>
                <w:color w:val="000000"/>
              </w:rPr>
            </w:pPr>
            <w:r w:rsidRPr="003D7768">
              <w:rPr>
                <w:color w:val="000000"/>
              </w:rPr>
              <w:t>Effective date</w:t>
            </w:r>
          </w:p>
        </w:tc>
      </w:tr>
      <w:tr w:rsidR="00BA6FF1" w:rsidRPr="003D7768" w14:paraId="24883C0D" w14:textId="77777777" w:rsidTr="003162B7">
        <w:trPr>
          <w:cantSplit w:val="0"/>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BB3E9F5" w14:textId="77777777" w:rsidR="00BA6FF1" w:rsidRPr="003D7768" w:rsidRDefault="00BA6FF1" w:rsidP="003162B7">
            <w:r w:rsidRPr="003D7768">
              <w:t>V1.0</w:t>
            </w:r>
          </w:p>
        </w:tc>
        <w:tc>
          <w:tcPr>
            <w:tcW w:w="3242" w:type="dxa"/>
          </w:tcPr>
          <w:p w14:paraId="502342CE" w14:textId="77777777" w:rsidR="00BA6FF1" w:rsidRPr="003D7768" w:rsidRDefault="00BA6FF1" w:rsidP="003162B7">
            <w:pPr>
              <w:cnfStyle w:val="000000000000" w:firstRow="0" w:lastRow="0" w:firstColumn="0" w:lastColumn="0" w:oddVBand="0" w:evenVBand="0" w:oddHBand="0" w:evenHBand="0" w:firstRowFirstColumn="0" w:firstRowLastColumn="0" w:lastRowFirstColumn="0" w:lastRowLastColumn="0"/>
            </w:pPr>
            <w:r w:rsidRPr="003D7768">
              <w:t>Original publication</w:t>
            </w:r>
          </w:p>
        </w:tc>
        <w:tc>
          <w:tcPr>
            <w:tcW w:w="2712" w:type="dxa"/>
          </w:tcPr>
          <w:p w14:paraId="73C6BAC4" w14:textId="617B0939" w:rsidR="00BA6FF1" w:rsidRPr="003D7768" w:rsidRDefault="000E179C" w:rsidP="003162B7">
            <w:pPr>
              <w:cnfStyle w:val="000000000000" w:firstRow="0" w:lastRow="0" w:firstColumn="0" w:lastColumn="0" w:oddVBand="0" w:evenVBand="0" w:oddHBand="0" w:evenHBand="0" w:firstRowFirstColumn="0" w:firstRowLastColumn="0" w:lastRowFirstColumn="0" w:lastRowLastColumn="0"/>
            </w:pPr>
            <w:r w:rsidRPr="003D7768">
              <w:t xml:space="preserve">Therapeutic Goods Administration, Medical Devices </w:t>
            </w:r>
            <w:r w:rsidR="00A10922" w:rsidRPr="003D7768">
              <w:t xml:space="preserve">Surveillance </w:t>
            </w:r>
            <w:r w:rsidRPr="003D7768">
              <w:t>Branch</w:t>
            </w:r>
          </w:p>
        </w:tc>
        <w:tc>
          <w:tcPr>
            <w:tcW w:w="1808" w:type="dxa"/>
          </w:tcPr>
          <w:p w14:paraId="29F7DA8E" w14:textId="0B623F4E" w:rsidR="00BA6FF1" w:rsidRPr="003D7768" w:rsidRDefault="007C44E4" w:rsidP="00A10922">
            <w:pPr>
              <w:cnfStyle w:val="000000000000" w:firstRow="0" w:lastRow="0" w:firstColumn="0" w:lastColumn="0" w:oddVBand="0" w:evenVBand="0" w:oddHBand="0" w:evenHBand="0" w:firstRowFirstColumn="0" w:firstRowLastColumn="0" w:lastRowFirstColumn="0" w:lastRowLastColumn="0"/>
            </w:pPr>
            <w:r>
              <w:t xml:space="preserve">March </w:t>
            </w:r>
            <w:r w:rsidR="000E179C" w:rsidRPr="003D7768">
              <w:t>20</w:t>
            </w:r>
            <w:r w:rsidR="00A10922" w:rsidRPr="003D7768">
              <w:t>20</w:t>
            </w:r>
          </w:p>
        </w:tc>
      </w:tr>
    </w:tbl>
    <w:p w14:paraId="1974769F" w14:textId="77777777" w:rsidR="00BA6FF1" w:rsidRPr="003D7768" w:rsidRDefault="00BA6FF1" w:rsidP="00F8404D">
      <w:pPr>
        <w:rPr>
          <w:color w:val="000000"/>
        </w:rPr>
      </w:pPr>
      <w:r w:rsidRPr="003D7768">
        <w:rPr>
          <w:color w:val="000000"/>
        </w:rPr>
        <w:br w:type="page"/>
      </w:r>
    </w:p>
    <w:p w14:paraId="23F77892" w14:textId="77777777" w:rsidR="003E3D34" w:rsidRPr="003D7768" w:rsidRDefault="003E3D34" w:rsidP="00F8404D">
      <w:pPr>
        <w:rPr>
          <w:color w:val="000000"/>
        </w:rPr>
        <w:sectPr w:rsidR="003E3D34" w:rsidRPr="003D7768" w:rsidSect="00301927">
          <w:pgSz w:w="11906" w:h="16838" w:code="9"/>
          <w:pgMar w:top="1530" w:right="1418" w:bottom="1361" w:left="1418" w:header="998" w:footer="283" w:gutter="0"/>
          <w:cols w:space="708"/>
          <w:titlePg/>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8404D" w:rsidRPr="003D7768" w14:paraId="154ACA90" w14:textId="77777777" w:rsidTr="003162B7">
        <w:trPr>
          <w:trHeight w:hRule="exact" w:val="565"/>
          <w:jc w:val="center"/>
        </w:trPr>
        <w:tc>
          <w:tcPr>
            <w:tcW w:w="9145" w:type="dxa"/>
          </w:tcPr>
          <w:p w14:paraId="67D94577" w14:textId="77777777" w:rsidR="00F8404D" w:rsidRPr="003D7768" w:rsidRDefault="00F8404D" w:rsidP="003162B7">
            <w:pPr>
              <w:pStyle w:val="TGASignoff"/>
              <w:rPr>
                <w:color w:val="000000"/>
              </w:rPr>
            </w:pPr>
            <w:r w:rsidRPr="003D7768">
              <w:rPr>
                <w:color w:val="000000"/>
              </w:rPr>
              <w:lastRenderedPageBreak/>
              <w:t>Therapeutic Goods Administration</w:t>
            </w:r>
          </w:p>
        </w:tc>
      </w:tr>
      <w:tr w:rsidR="00F8404D" w:rsidRPr="003D7768" w14:paraId="70DB02EC" w14:textId="77777777" w:rsidTr="003162B7">
        <w:trPr>
          <w:trHeight w:val="963"/>
          <w:jc w:val="center"/>
        </w:trPr>
        <w:tc>
          <w:tcPr>
            <w:tcW w:w="9145" w:type="dxa"/>
            <w:tcMar>
              <w:top w:w="28" w:type="dxa"/>
            </w:tcMar>
          </w:tcPr>
          <w:p w14:paraId="7149B21A" w14:textId="77777777" w:rsidR="00F8404D" w:rsidRPr="003D7768" w:rsidRDefault="00F8404D" w:rsidP="003162B7">
            <w:pPr>
              <w:pStyle w:val="Address"/>
              <w:jc w:val="center"/>
              <w:rPr>
                <w:color w:val="000000"/>
              </w:rPr>
            </w:pPr>
            <w:r w:rsidRPr="003D7768">
              <w:rPr>
                <w:color w:val="000000"/>
              </w:rPr>
              <w:t>PO Box 100 Woden ACT 2606 Australia</w:t>
            </w:r>
          </w:p>
          <w:p w14:paraId="33428DB3" w14:textId="5636719B" w:rsidR="00F8404D" w:rsidRPr="003D7768" w:rsidRDefault="00F8404D" w:rsidP="003162B7">
            <w:pPr>
              <w:pStyle w:val="Address"/>
              <w:jc w:val="center"/>
              <w:rPr>
                <w:color w:val="000000"/>
              </w:rPr>
            </w:pPr>
            <w:r w:rsidRPr="003D7768">
              <w:rPr>
                <w:color w:val="000000"/>
              </w:rPr>
              <w:t xml:space="preserve">Email: </w:t>
            </w:r>
            <w:hyperlink r:id="rId46" w:history="1">
              <w:r w:rsidRPr="007C44E4">
                <w:rPr>
                  <w:rStyle w:val="Hyperlink"/>
                </w:rPr>
                <w:t>info@tga.gov.au</w:t>
              </w:r>
            </w:hyperlink>
            <w:r w:rsidRPr="003D7768">
              <w:rPr>
                <w:color w:val="000000"/>
              </w:rPr>
              <w:t xml:space="preserve"> Phone: 1800 020 653  Fax: 02 62</w:t>
            </w:r>
            <w:r w:rsidR="003204DD" w:rsidRPr="003D7768">
              <w:rPr>
                <w:color w:val="000000"/>
              </w:rPr>
              <w:t>0</w:t>
            </w:r>
            <w:r w:rsidRPr="003D7768">
              <w:rPr>
                <w:color w:val="000000"/>
              </w:rPr>
              <w:t xml:space="preserve">3 </w:t>
            </w:r>
            <w:r w:rsidR="003204DD" w:rsidRPr="003D7768">
              <w:rPr>
                <w:color w:val="000000"/>
              </w:rPr>
              <w:t>1</w:t>
            </w:r>
            <w:r w:rsidRPr="003D7768">
              <w:rPr>
                <w:color w:val="000000"/>
              </w:rPr>
              <w:t>605</w:t>
            </w:r>
          </w:p>
          <w:p w14:paraId="1B42E86B" w14:textId="77777777" w:rsidR="00F8404D" w:rsidRPr="003D7768" w:rsidRDefault="00592EF0" w:rsidP="003162B7">
            <w:pPr>
              <w:pStyle w:val="Address"/>
              <w:spacing w:line="260" w:lineRule="atLeast"/>
              <w:jc w:val="center"/>
              <w:rPr>
                <w:rStyle w:val="Hyperlink"/>
                <w:b/>
                <w:color w:val="000000"/>
              </w:rPr>
            </w:pPr>
            <w:hyperlink r:id="rId47" w:history="1">
              <w:r w:rsidR="009401F6" w:rsidRPr="007C44E4">
                <w:rPr>
                  <w:rStyle w:val="Hyperlink"/>
                  <w:b/>
                </w:rPr>
                <w:t>https://www.tga.gov.au</w:t>
              </w:r>
            </w:hyperlink>
          </w:p>
        </w:tc>
      </w:tr>
      <w:tr w:rsidR="00F8404D" w:rsidRPr="003D7768" w14:paraId="702DCFE7" w14:textId="77777777" w:rsidTr="003162B7">
        <w:trPr>
          <w:trHeight w:val="251"/>
          <w:jc w:val="center"/>
        </w:trPr>
        <w:tc>
          <w:tcPr>
            <w:tcW w:w="9145" w:type="dxa"/>
            <w:tcMar>
              <w:top w:w="28" w:type="dxa"/>
            </w:tcMar>
          </w:tcPr>
          <w:p w14:paraId="1D0BFE77" w14:textId="552EC75D" w:rsidR="00F8404D" w:rsidRPr="003D7768" w:rsidRDefault="00F8404D" w:rsidP="00A461D3">
            <w:pPr>
              <w:pStyle w:val="Address"/>
              <w:jc w:val="center"/>
              <w:rPr>
                <w:color w:val="000000"/>
              </w:rPr>
            </w:pPr>
            <w:r w:rsidRPr="003D7768">
              <w:rPr>
                <w:color w:val="000000"/>
              </w:rPr>
              <w:t>Reference/Publication #</w:t>
            </w:r>
            <w:r w:rsidR="004162FE" w:rsidRPr="003D7768">
              <w:rPr>
                <w:color w:val="000000"/>
              </w:rPr>
              <w:t xml:space="preserve"> </w:t>
            </w:r>
            <w:hyperlink r:id="rId48" w:history="1"/>
          </w:p>
        </w:tc>
      </w:tr>
    </w:tbl>
    <w:p w14:paraId="288DC55C" w14:textId="77777777" w:rsidR="0084580B" w:rsidRPr="003D7768" w:rsidRDefault="0084580B" w:rsidP="00F8404D">
      <w:pPr>
        <w:pStyle w:val="Footer"/>
        <w:rPr>
          <w:color w:val="000000"/>
        </w:rPr>
      </w:pPr>
    </w:p>
    <w:sectPr w:rsidR="0084580B" w:rsidRPr="003D7768" w:rsidSect="00F8404D">
      <w:headerReference w:type="first" r:id="rId49"/>
      <w:footerReference w:type="first" r:id="rId50"/>
      <w:type w:val="continuous"/>
      <w:pgSz w:w="11906" w:h="16838" w:code="9"/>
      <w:pgMar w:top="13718" w:right="1701" w:bottom="709" w:left="1701" w:header="1134" w:footer="6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373F8" w14:textId="77777777" w:rsidR="00465404" w:rsidRDefault="00465404" w:rsidP="00C40A36">
      <w:pPr>
        <w:spacing w:after="0"/>
      </w:pPr>
      <w:r>
        <w:separator/>
      </w:r>
    </w:p>
    <w:p w14:paraId="14A4B6A1" w14:textId="77777777" w:rsidR="00465404" w:rsidRDefault="00465404"/>
  </w:endnote>
  <w:endnote w:type="continuationSeparator" w:id="0">
    <w:p w14:paraId="0BD13D29" w14:textId="77777777" w:rsidR="00465404" w:rsidRDefault="00465404" w:rsidP="00C40A36">
      <w:pPr>
        <w:spacing w:after="0"/>
      </w:pPr>
      <w:r>
        <w:continuationSeparator/>
      </w:r>
    </w:p>
    <w:p w14:paraId="75240351" w14:textId="77777777" w:rsidR="00465404" w:rsidRDefault="00465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20500000000000000"/>
    <w:charset w:val="88"/>
    <w:family w:val="roman"/>
    <w:pitch w:val="variable"/>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09467" w14:textId="77777777" w:rsidR="007C44E4" w:rsidRDefault="007C4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55B40" w14:textId="77777777" w:rsidR="00465404" w:rsidRDefault="00465404"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465404" w:rsidRPr="00257138" w14:paraId="4B9101D2" w14:textId="77777777" w:rsidTr="00A3654F">
      <w:trPr>
        <w:trHeight w:val="423"/>
      </w:trPr>
      <w:tc>
        <w:tcPr>
          <w:tcW w:w="4360" w:type="dxa"/>
          <w:tcBorders>
            <w:top w:val="single" w:sz="4" w:space="0" w:color="auto"/>
          </w:tcBorders>
        </w:tcPr>
        <w:p w14:paraId="280A7D52" w14:textId="77777777" w:rsidR="00465404" w:rsidRDefault="00465404" w:rsidP="008D4740">
          <w:pPr>
            <w:pStyle w:val="Footer"/>
          </w:pPr>
        </w:p>
        <w:p w14:paraId="357668D0" w14:textId="77777777" w:rsidR="00465404" w:rsidRPr="00257138" w:rsidRDefault="00465404" w:rsidP="009B15F1">
          <w:pPr>
            <w:pStyle w:val="Footer"/>
          </w:pPr>
          <w:r>
            <w:t>Document title</w:t>
          </w:r>
        </w:p>
      </w:tc>
      <w:tc>
        <w:tcPr>
          <w:tcW w:w="4360" w:type="dxa"/>
          <w:tcBorders>
            <w:top w:val="single" w:sz="4" w:space="0" w:color="auto"/>
          </w:tcBorders>
        </w:tcPr>
        <w:sdt>
          <w:sdtPr>
            <w:id w:val="3702144"/>
            <w:docPartObj>
              <w:docPartGallery w:val="Page Numbers (Top of Page)"/>
              <w:docPartUnique/>
            </w:docPartObj>
          </w:sdtPr>
          <w:sdtEndPr/>
          <w:sdtContent>
            <w:p w14:paraId="1A9FCBFB" w14:textId="77777777" w:rsidR="00465404" w:rsidRDefault="00465404" w:rsidP="008D4740">
              <w:pPr>
                <w:pStyle w:val="Footer"/>
                <w:jc w:val="right"/>
              </w:pPr>
            </w:p>
            <w:p w14:paraId="7F611C8B" w14:textId="295B451C" w:rsidR="00465404" w:rsidRPr="00257138" w:rsidRDefault="00465404" w:rsidP="008D4740">
              <w:pPr>
                <w:pStyle w:val="Footer"/>
                <w:jc w:val="right"/>
              </w:pPr>
              <w:r w:rsidRPr="00257138">
                <w:t xml:space="preserve">Page </w:t>
              </w:r>
              <w:r>
                <w:fldChar w:fldCharType="begin"/>
              </w:r>
              <w:r>
                <w:instrText xml:space="preserve"> PAGE </w:instrText>
              </w:r>
              <w:r>
                <w:fldChar w:fldCharType="separate"/>
              </w:r>
              <w:r>
                <w:rPr>
                  <w:noProof/>
                </w:rPr>
                <w:t>3</w:t>
              </w:r>
              <w:r>
                <w:rPr>
                  <w:noProof/>
                </w:rPr>
                <w:fldChar w:fldCharType="end"/>
              </w:r>
              <w:r w:rsidRPr="00257138">
                <w:t xml:space="preserve"> of </w:t>
              </w:r>
              <w:r w:rsidR="00592EF0">
                <w:fldChar w:fldCharType="begin"/>
              </w:r>
              <w:r w:rsidR="00592EF0">
                <w:instrText xml:space="preserve"> NUMPAGES  </w:instrText>
              </w:r>
              <w:r w:rsidR="00592EF0">
                <w:fldChar w:fldCharType="separate"/>
              </w:r>
              <w:r>
                <w:rPr>
                  <w:noProof/>
                </w:rPr>
                <w:t>2</w:t>
              </w:r>
              <w:r w:rsidR="00592EF0">
                <w:rPr>
                  <w:noProof/>
                </w:rPr>
                <w:fldChar w:fldCharType="end"/>
              </w:r>
            </w:p>
          </w:sdtContent>
        </w:sdt>
      </w:tc>
    </w:tr>
    <w:tr w:rsidR="00465404" w:rsidRPr="00257138" w14:paraId="1E1C9DEC" w14:textId="77777777" w:rsidTr="00A3654F">
      <w:trPr>
        <w:trHeight w:val="263"/>
      </w:trPr>
      <w:tc>
        <w:tcPr>
          <w:tcW w:w="4360" w:type="dxa"/>
        </w:tcPr>
        <w:p w14:paraId="14FFC2E9" w14:textId="77777777" w:rsidR="00465404" w:rsidRPr="00257138" w:rsidRDefault="00465404" w:rsidP="008D4740">
          <w:pPr>
            <w:pStyle w:val="Footer"/>
          </w:pPr>
          <w:r w:rsidRPr="00257138">
            <w:t xml:space="preserve">V1.0 </w:t>
          </w:r>
          <w:r>
            <w:t>Month</w:t>
          </w:r>
          <w:r w:rsidRPr="00257138">
            <w:t xml:space="preserve"> 201</w:t>
          </w:r>
          <w:r>
            <w:t>2</w:t>
          </w:r>
        </w:p>
      </w:tc>
      <w:tc>
        <w:tcPr>
          <w:tcW w:w="4360" w:type="dxa"/>
        </w:tcPr>
        <w:p w14:paraId="32E53485" w14:textId="77777777" w:rsidR="00465404" w:rsidRPr="00257138" w:rsidRDefault="00465404" w:rsidP="008D4740">
          <w:pPr>
            <w:pStyle w:val="Footer"/>
            <w:jc w:val="right"/>
          </w:pPr>
        </w:p>
      </w:tc>
    </w:tr>
  </w:tbl>
  <w:p w14:paraId="4AE324C6" w14:textId="77777777" w:rsidR="00465404" w:rsidRPr="00826007" w:rsidRDefault="00465404" w:rsidP="00A3654F">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A3BFF" w14:textId="77777777" w:rsidR="00465404" w:rsidRDefault="00465404" w:rsidP="00FF7B50">
    <w:pPr>
      <w:pStyle w:val="Footer"/>
      <w:ind w:left="-1757" w:right="-22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gridCol w:w="1684"/>
    </w:tblGrid>
    <w:tr w:rsidR="00465404" w:rsidRPr="00257138" w14:paraId="3B1764F5" w14:textId="77777777" w:rsidTr="00AF5CED">
      <w:trPr>
        <w:trHeight w:val="423"/>
      </w:trPr>
      <w:tc>
        <w:tcPr>
          <w:tcW w:w="7479" w:type="dxa"/>
        </w:tcPr>
        <w:p w14:paraId="40ED7DED" w14:textId="3E496782" w:rsidR="00465404" w:rsidRPr="00257138" w:rsidRDefault="00465404" w:rsidP="007C44E4">
          <w:pPr>
            <w:pStyle w:val="Footer"/>
            <w:spacing w:before="120" w:after="120"/>
          </w:pPr>
          <w:r w:rsidRPr="00A10922">
            <w:t>Consultation: Scope of regulated software-based products</w:t>
          </w:r>
          <w:r>
            <w:br/>
          </w:r>
          <w:r w:rsidR="007C44E4">
            <w:t xml:space="preserve">V1.0 </w:t>
          </w:r>
          <w:r>
            <w:t>March 2020</w:t>
          </w:r>
        </w:p>
      </w:tc>
      <w:tc>
        <w:tcPr>
          <w:tcW w:w="1701" w:type="dxa"/>
        </w:tcPr>
        <w:sdt>
          <w:sdtPr>
            <w:id w:val="3702141"/>
            <w:docPartObj>
              <w:docPartGallery w:val="Page Numbers (Top of Page)"/>
              <w:docPartUnique/>
            </w:docPartObj>
          </w:sdtPr>
          <w:sdtEndPr/>
          <w:sdtContent>
            <w:p w14:paraId="7204BEC4" w14:textId="1111B940" w:rsidR="00465404" w:rsidRPr="00257138" w:rsidRDefault="00465404" w:rsidP="00EE1482">
              <w:pPr>
                <w:pStyle w:val="Footer"/>
                <w:spacing w:before="120" w:after="120"/>
                <w:jc w:val="right"/>
              </w:pPr>
              <w:r w:rsidRPr="00257138">
                <w:t xml:space="preserve">Page </w:t>
              </w:r>
              <w:r>
                <w:fldChar w:fldCharType="begin"/>
              </w:r>
              <w:r>
                <w:instrText xml:space="preserve"> PAGE </w:instrText>
              </w:r>
              <w:r>
                <w:fldChar w:fldCharType="separate"/>
              </w:r>
              <w:r w:rsidR="00592EF0">
                <w:rPr>
                  <w:noProof/>
                </w:rPr>
                <w:t>26</w:t>
              </w:r>
              <w:r>
                <w:rPr>
                  <w:noProof/>
                </w:rPr>
                <w:fldChar w:fldCharType="end"/>
              </w:r>
              <w:r w:rsidRPr="00257138">
                <w:t xml:space="preserve"> of </w:t>
              </w:r>
              <w:r w:rsidR="00592EF0">
                <w:fldChar w:fldCharType="begin"/>
              </w:r>
              <w:r w:rsidR="00592EF0">
                <w:instrText xml:space="preserve"> NUMPAGES  </w:instrText>
              </w:r>
              <w:r w:rsidR="00592EF0">
                <w:fldChar w:fldCharType="separate"/>
              </w:r>
              <w:r w:rsidR="00592EF0">
                <w:rPr>
                  <w:noProof/>
                </w:rPr>
                <w:t>27</w:t>
              </w:r>
              <w:r w:rsidR="00592EF0">
                <w:rPr>
                  <w:noProof/>
                </w:rPr>
                <w:fldChar w:fldCharType="end"/>
              </w:r>
            </w:p>
          </w:sdtContent>
        </w:sdt>
      </w:tc>
    </w:tr>
  </w:tbl>
  <w:p w14:paraId="0B88D94F" w14:textId="77777777" w:rsidR="00465404" w:rsidRPr="00826007" w:rsidRDefault="00465404" w:rsidP="00F4663D">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B94F7" w14:textId="77777777" w:rsidR="00465404" w:rsidRPr="00F8404D" w:rsidRDefault="00465404" w:rsidP="00F84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8F9D0" w14:textId="77777777" w:rsidR="00465404" w:rsidRDefault="00465404" w:rsidP="00FE1941">
      <w:pPr>
        <w:spacing w:after="0"/>
      </w:pPr>
      <w:r>
        <w:separator/>
      </w:r>
    </w:p>
  </w:footnote>
  <w:footnote w:type="continuationSeparator" w:id="0">
    <w:p w14:paraId="527C71DE" w14:textId="77777777" w:rsidR="00465404" w:rsidRDefault="00465404" w:rsidP="00C40A36">
      <w:pPr>
        <w:spacing w:after="0"/>
      </w:pPr>
      <w:r>
        <w:continuationSeparator/>
      </w:r>
    </w:p>
    <w:p w14:paraId="0B2940C5" w14:textId="77777777" w:rsidR="00465404" w:rsidRDefault="004654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DFB2" w14:textId="77777777" w:rsidR="007C44E4" w:rsidRDefault="007C4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53FE0" w14:textId="77777777" w:rsidR="00465404" w:rsidRPr="00920FF4" w:rsidRDefault="00465404" w:rsidP="00920FF4">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51DC" w14:textId="3B11289C" w:rsidR="00465404" w:rsidRPr="00E32326" w:rsidRDefault="00465404" w:rsidP="00F202AB">
    <w:r w:rsidRPr="00F3255D">
      <w:rPr>
        <w:noProof/>
        <w:lang w:eastAsia="en-AU"/>
      </w:rPr>
      <w:drawing>
        <wp:anchor distT="0" distB="0" distL="114300" distR="114300" simplePos="0" relativeHeight="251657728" behindDoc="0" locked="0" layoutInCell="1" allowOverlap="1" wp14:anchorId="18EB7845" wp14:editId="1C71A41E">
          <wp:simplePos x="0" y="0"/>
          <wp:positionH relativeFrom="column">
            <wp:posOffset>-195580</wp:posOffset>
          </wp:positionH>
          <wp:positionV relativeFrom="paragraph">
            <wp:posOffset>-62230</wp:posOffset>
          </wp:positionV>
          <wp:extent cx="3524250" cy="1209675"/>
          <wp:effectExtent l="19050" t="0" r="0" b="0"/>
          <wp:wrapTopAndBottom/>
          <wp:docPr id="7"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1"/>
                  <a:srcRect/>
                  <a:stretch>
                    <a:fillRect/>
                  </a:stretch>
                </pic:blipFill>
                <pic:spPr bwMode="auto">
                  <a:xfrm>
                    <a:off x="0" y="0"/>
                    <a:ext cx="3524250" cy="1209675"/>
                  </a:xfrm>
                  <a:prstGeom prst="rect">
                    <a:avLst/>
                  </a:prstGeom>
                  <a:noFill/>
                  <a:ln w="9525">
                    <a:noFill/>
                    <a:miter lim="800000"/>
                    <a:headEnd/>
                    <a:tailEnd/>
                  </a:ln>
                </pic:spPr>
              </pic:pic>
            </a:graphicData>
          </a:graphic>
        </wp:anchor>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465404" w:rsidRPr="00FF7B50" w14:paraId="3B9F0DD0" w14:textId="77777777" w:rsidTr="003162B7">
      <w:trPr>
        <w:trHeight w:hRule="exact" w:val="8845"/>
      </w:trPr>
      <w:tc>
        <w:tcPr>
          <w:tcW w:w="11964" w:type="dxa"/>
        </w:tcPr>
        <w:p w14:paraId="2CA11B3F" w14:textId="3449415A" w:rsidR="00465404" w:rsidRPr="00FF7B50" w:rsidRDefault="00592EF0" w:rsidP="00AE0320">
          <w:pPr>
            <w:pStyle w:val="Header"/>
            <w:ind w:left="-57"/>
            <w:jc w:val="left"/>
            <w:rPr>
              <w:noProof/>
              <w:lang w:eastAsia="en-AU"/>
            </w:rPr>
          </w:pPr>
          <w:sdt>
            <w:sdtPr>
              <w:rPr>
                <w:noProof/>
                <w:lang w:eastAsia="en-AU"/>
              </w:rPr>
              <w:id w:val="3702145"/>
              <w:picture/>
            </w:sdtPr>
            <w:sdtEndPr/>
            <w:sdtContent>
              <w:r w:rsidR="00465404">
                <w:rPr>
                  <w:noProof/>
                  <w:lang w:eastAsia="en-AU"/>
                </w:rPr>
                <w:drawing>
                  <wp:inline distT="0" distB="0" distL="0" distR="0" wp14:anchorId="4EB1DD74" wp14:editId="49CBCCFA">
                    <wp:extent cx="8492599" cy="5656729"/>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09655" cy="5668089"/>
                            </a:xfrm>
                            <a:prstGeom prst="rect">
                              <a:avLst/>
                            </a:prstGeom>
                            <a:noFill/>
                            <a:ln>
                              <a:noFill/>
                            </a:ln>
                          </pic:spPr>
                        </pic:pic>
                      </a:graphicData>
                    </a:graphic>
                  </wp:inline>
                </w:drawing>
              </w:r>
            </w:sdtContent>
          </w:sdt>
        </w:p>
      </w:tc>
    </w:tr>
  </w:tbl>
  <w:p w14:paraId="5FE1BACE" w14:textId="77777777" w:rsidR="00465404" w:rsidRPr="00E32326" w:rsidRDefault="00465404" w:rsidP="00F202AB">
    <w:r>
      <w:rPr>
        <w:noProof/>
        <w:lang w:eastAsia="en-AU"/>
      </w:rPr>
      <w:drawing>
        <wp:anchor distT="0" distB="0" distL="114300" distR="114300" simplePos="0" relativeHeight="251656704" behindDoc="0" locked="0" layoutInCell="0" allowOverlap="1" wp14:anchorId="6D359492" wp14:editId="3B9199EE">
          <wp:simplePos x="0" y="0"/>
          <wp:positionH relativeFrom="column">
            <wp:posOffset>-900430</wp:posOffset>
          </wp:positionH>
          <wp:positionV relativeFrom="page">
            <wp:posOffset>4171950</wp:posOffset>
          </wp:positionV>
          <wp:extent cx="7600950" cy="2457450"/>
          <wp:effectExtent l="19050" t="0" r="0" b="0"/>
          <wp:wrapNone/>
          <wp:docPr id="10"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D6574" w14:textId="386D439B" w:rsidR="00465404" w:rsidRPr="00920FF4" w:rsidRDefault="00465404" w:rsidP="00920FF4">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FF4F" w14:textId="77777777" w:rsidR="00465404" w:rsidRPr="00920FF4" w:rsidRDefault="00465404" w:rsidP="001D480A">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7C37" w14:textId="77777777" w:rsidR="00465404" w:rsidRPr="009401F6" w:rsidRDefault="00465404" w:rsidP="0047772E"/>
  <w:p w14:paraId="68723161" w14:textId="77777777" w:rsidR="00465404" w:rsidRPr="002B0C2E" w:rsidRDefault="00465404" w:rsidP="002B0C2E">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8CE1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A85D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D41280"/>
    <w:lvl w:ilvl="0">
      <w:start w:val="1"/>
      <w:numFmt w:val="lowerRoman"/>
      <w:pStyle w:val="ListNumber3"/>
      <w:lvlText w:val="%1."/>
      <w:lvlJc w:val="right"/>
      <w:pPr>
        <w:ind w:left="1097" w:hanging="360"/>
      </w:pPr>
    </w:lvl>
  </w:abstractNum>
  <w:abstractNum w:abstractNumId="3" w15:restartNumberingAfterBreak="0">
    <w:nsid w:val="FFFFFF7F"/>
    <w:multiLevelType w:val="singleLevel"/>
    <w:tmpl w:val="04C2E980"/>
    <w:lvl w:ilvl="0">
      <w:start w:val="1"/>
      <w:numFmt w:val="lowerLetter"/>
      <w:pStyle w:val="ListNumber2"/>
      <w:lvlText w:val="%1."/>
      <w:lvlJc w:val="left"/>
      <w:pPr>
        <w:ind w:left="644" w:hanging="360"/>
      </w:pPr>
    </w:lvl>
  </w:abstractNum>
  <w:abstractNum w:abstractNumId="4" w15:restartNumberingAfterBreak="0">
    <w:nsid w:val="FFFFFF88"/>
    <w:multiLevelType w:val="multilevel"/>
    <w:tmpl w:val="BB4ABAE6"/>
    <w:lvl w:ilvl="0">
      <w:start w:val="1"/>
      <w:numFmt w:val="decimal"/>
      <w:pStyle w:val="ListNumber"/>
      <w:lvlText w:val="%1."/>
      <w:lvlJc w:val="left"/>
      <w:pPr>
        <w:tabs>
          <w:tab w:val="num" w:pos="360"/>
        </w:tabs>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5D57113"/>
    <w:multiLevelType w:val="hybridMultilevel"/>
    <w:tmpl w:val="FA52A50C"/>
    <w:lvl w:ilvl="0" w:tplc="135E85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D13647"/>
    <w:multiLevelType w:val="hybridMultilevel"/>
    <w:tmpl w:val="18DA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1E3DFC"/>
    <w:multiLevelType w:val="multilevel"/>
    <w:tmpl w:val="351491BA"/>
    <w:styleLink w:val="List33"/>
    <w:lvl w:ilvl="0">
      <w:start w:val="14"/>
      <w:numFmt w:val="bullet"/>
      <w:lvlText w:val="•"/>
      <w:lvlJc w:val="left"/>
      <w:pPr>
        <w:tabs>
          <w:tab w:val="num" w:pos="705"/>
        </w:tabs>
        <w:ind w:left="705" w:hanging="345"/>
      </w:pPr>
      <w:rPr>
        <w:color w:val="000000"/>
        <w:position w:val="0"/>
        <w:sz w:val="22"/>
        <w:szCs w:val="22"/>
        <w:u w:color="000000"/>
      </w:rPr>
    </w:lvl>
    <w:lvl w:ilvl="1">
      <w:start w:val="1"/>
      <w:numFmt w:val="bullet"/>
      <w:lvlText w:val="o"/>
      <w:lvlJc w:val="left"/>
      <w:pPr>
        <w:tabs>
          <w:tab w:val="num" w:pos="1425"/>
        </w:tabs>
        <w:ind w:left="1425" w:hanging="345"/>
      </w:pPr>
      <w:rPr>
        <w:color w:val="000000"/>
        <w:position w:val="0"/>
        <w:sz w:val="23"/>
        <w:szCs w:val="23"/>
        <w:u w:color="000000"/>
      </w:rPr>
    </w:lvl>
    <w:lvl w:ilvl="2">
      <w:start w:val="1"/>
      <w:numFmt w:val="bullet"/>
      <w:lvlText w:val="▪"/>
      <w:lvlJc w:val="left"/>
      <w:pPr>
        <w:tabs>
          <w:tab w:val="num" w:pos="2145"/>
        </w:tabs>
        <w:ind w:left="2145" w:hanging="345"/>
      </w:pPr>
      <w:rPr>
        <w:color w:val="000000"/>
        <w:position w:val="0"/>
        <w:sz w:val="23"/>
        <w:szCs w:val="23"/>
        <w:u w:color="000000"/>
      </w:rPr>
    </w:lvl>
    <w:lvl w:ilvl="3">
      <w:start w:val="1"/>
      <w:numFmt w:val="bullet"/>
      <w:lvlText w:val="•"/>
      <w:lvlJc w:val="left"/>
      <w:pPr>
        <w:tabs>
          <w:tab w:val="num" w:pos="2865"/>
        </w:tabs>
        <w:ind w:left="2865" w:hanging="345"/>
      </w:pPr>
      <w:rPr>
        <w:color w:val="000000"/>
        <w:position w:val="0"/>
        <w:sz w:val="23"/>
        <w:szCs w:val="23"/>
        <w:u w:color="000000"/>
      </w:rPr>
    </w:lvl>
    <w:lvl w:ilvl="4">
      <w:start w:val="1"/>
      <w:numFmt w:val="bullet"/>
      <w:lvlText w:val="o"/>
      <w:lvlJc w:val="left"/>
      <w:pPr>
        <w:tabs>
          <w:tab w:val="num" w:pos="3585"/>
        </w:tabs>
        <w:ind w:left="3585" w:hanging="345"/>
      </w:pPr>
      <w:rPr>
        <w:color w:val="000000"/>
        <w:position w:val="0"/>
        <w:sz w:val="23"/>
        <w:szCs w:val="23"/>
        <w:u w:color="000000"/>
      </w:rPr>
    </w:lvl>
    <w:lvl w:ilvl="5">
      <w:start w:val="1"/>
      <w:numFmt w:val="bullet"/>
      <w:lvlText w:val="▪"/>
      <w:lvlJc w:val="left"/>
      <w:pPr>
        <w:tabs>
          <w:tab w:val="num" w:pos="4305"/>
        </w:tabs>
        <w:ind w:left="4305" w:hanging="345"/>
      </w:pPr>
      <w:rPr>
        <w:color w:val="000000"/>
        <w:position w:val="0"/>
        <w:sz w:val="23"/>
        <w:szCs w:val="23"/>
        <w:u w:color="000000"/>
      </w:rPr>
    </w:lvl>
    <w:lvl w:ilvl="6">
      <w:start w:val="1"/>
      <w:numFmt w:val="bullet"/>
      <w:lvlText w:val="•"/>
      <w:lvlJc w:val="left"/>
      <w:pPr>
        <w:tabs>
          <w:tab w:val="num" w:pos="5025"/>
        </w:tabs>
        <w:ind w:left="5025" w:hanging="345"/>
      </w:pPr>
      <w:rPr>
        <w:color w:val="000000"/>
        <w:position w:val="0"/>
        <w:sz w:val="23"/>
        <w:szCs w:val="23"/>
        <w:u w:color="000000"/>
      </w:rPr>
    </w:lvl>
    <w:lvl w:ilvl="7">
      <w:start w:val="1"/>
      <w:numFmt w:val="bullet"/>
      <w:lvlText w:val="o"/>
      <w:lvlJc w:val="left"/>
      <w:pPr>
        <w:tabs>
          <w:tab w:val="num" w:pos="5745"/>
        </w:tabs>
        <w:ind w:left="5745" w:hanging="345"/>
      </w:pPr>
      <w:rPr>
        <w:color w:val="000000"/>
        <w:position w:val="0"/>
        <w:sz w:val="23"/>
        <w:szCs w:val="23"/>
        <w:u w:color="000000"/>
      </w:rPr>
    </w:lvl>
    <w:lvl w:ilvl="8">
      <w:start w:val="1"/>
      <w:numFmt w:val="bullet"/>
      <w:lvlText w:val="▪"/>
      <w:lvlJc w:val="left"/>
      <w:pPr>
        <w:tabs>
          <w:tab w:val="num" w:pos="6465"/>
        </w:tabs>
        <w:ind w:left="6465" w:hanging="345"/>
      </w:pPr>
      <w:rPr>
        <w:color w:val="000000"/>
        <w:position w:val="0"/>
        <w:sz w:val="23"/>
        <w:szCs w:val="23"/>
        <w:u w:color="000000"/>
      </w:rPr>
    </w:lvl>
  </w:abstractNum>
  <w:abstractNum w:abstractNumId="8" w15:restartNumberingAfterBreak="0">
    <w:nsid w:val="0B810FF6"/>
    <w:multiLevelType w:val="hybridMultilevel"/>
    <w:tmpl w:val="D17C15BE"/>
    <w:lvl w:ilvl="0" w:tplc="23C0F348">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3A10C1"/>
    <w:multiLevelType w:val="hybridMultilevel"/>
    <w:tmpl w:val="D8665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15:restartNumberingAfterBreak="0">
    <w:nsid w:val="104422CB"/>
    <w:multiLevelType w:val="hybridMultilevel"/>
    <w:tmpl w:val="E9982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8F13E9"/>
    <w:multiLevelType w:val="multilevel"/>
    <w:tmpl w:val="16AC1010"/>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1080" w:hanging="360"/>
      </w:pPr>
      <w:rPr>
        <w:rFonts w:ascii="Arial" w:hAnsi="Arial" w:hint="default"/>
      </w:rPr>
    </w:lvl>
    <w:lvl w:ilvl="2">
      <w:start w:val="1"/>
      <w:numFmt w:val="bullet"/>
      <w:pStyle w:val="ListBullet3"/>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3" w15:restartNumberingAfterBreak="0">
    <w:nsid w:val="176E123B"/>
    <w:multiLevelType w:val="hybridMultilevel"/>
    <w:tmpl w:val="16CE59F0"/>
    <w:lvl w:ilvl="0" w:tplc="DF9ACA52">
      <w:start w:val="1"/>
      <w:numFmt w:val="decimal"/>
      <w:lvlText w:val="%1."/>
      <w:lvlJc w:val="left"/>
      <w:pPr>
        <w:ind w:left="360" w:hanging="360"/>
      </w:pPr>
      <w:rPr>
        <w:rFonts w:hint="default"/>
        <w:b/>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8363FC"/>
    <w:multiLevelType w:val="hybridMultilevel"/>
    <w:tmpl w:val="EC3A297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0" w:hanging="360"/>
      </w:pPr>
      <w:rPr>
        <w:rFonts w:ascii="Symbol" w:hAnsi="Symbol" w:hint="default"/>
      </w:rPr>
    </w:lvl>
    <w:lvl w:ilvl="4" w:tplc="0C090003" w:tentative="1">
      <w:start w:val="1"/>
      <w:numFmt w:val="bullet"/>
      <w:lvlText w:val="o"/>
      <w:lvlJc w:val="left"/>
      <w:pPr>
        <w:ind w:left="720" w:hanging="360"/>
      </w:pPr>
      <w:rPr>
        <w:rFonts w:ascii="Courier New" w:hAnsi="Courier New" w:cs="Courier New" w:hint="default"/>
      </w:rPr>
    </w:lvl>
    <w:lvl w:ilvl="5" w:tplc="0C090005" w:tentative="1">
      <w:start w:val="1"/>
      <w:numFmt w:val="bullet"/>
      <w:lvlText w:val=""/>
      <w:lvlJc w:val="left"/>
      <w:pPr>
        <w:ind w:left="1440" w:hanging="360"/>
      </w:pPr>
      <w:rPr>
        <w:rFonts w:ascii="Wingdings" w:hAnsi="Wingdings" w:hint="default"/>
      </w:rPr>
    </w:lvl>
    <w:lvl w:ilvl="6" w:tplc="0C090001" w:tentative="1">
      <w:start w:val="1"/>
      <w:numFmt w:val="bullet"/>
      <w:lvlText w:val=""/>
      <w:lvlJc w:val="left"/>
      <w:pPr>
        <w:ind w:left="2160" w:hanging="360"/>
      </w:pPr>
      <w:rPr>
        <w:rFonts w:ascii="Symbol" w:hAnsi="Symbol" w:hint="default"/>
      </w:rPr>
    </w:lvl>
    <w:lvl w:ilvl="7" w:tplc="0C090003" w:tentative="1">
      <w:start w:val="1"/>
      <w:numFmt w:val="bullet"/>
      <w:lvlText w:val="o"/>
      <w:lvlJc w:val="left"/>
      <w:pPr>
        <w:ind w:left="2880" w:hanging="360"/>
      </w:pPr>
      <w:rPr>
        <w:rFonts w:ascii="Courier New" w:hAnsi="Courier New" w:cs="Courier New" w:hint="default"/>
      </w:rPr>
    </w:lvl>
    <w:lvl w:ilvl="8" w:tplc="0C090005" w:tentative="1">
      <w:start w:val="1"/>
      <w:numFmt w:val="bullet"/>
      <w:lvlText w:val=""/>
      <w:lvlJc w:val="left"/>
      <w:pPr>
        <w:ind w:left="3600" w:hanging="360"/>
      </w:pPr>
      <w:rPr>
        <w:rFonts w:ascii="Wingdings" w:hAnsi="Wingdings" w:hint="default"/>
      </w:rPr>
    </w:lvl>
  </w:abstractNum>
  <w:abstractNum w:abstractNumId="15" w15:restartNumberingAfterBreak="0">
    <w:nsid w:val="19F871B7"/>
    <w:multiLevelType w:val="hybridMultilevel"/>
    <w:tmpl w:val="1288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737170"/>
    <w:multiLevelType w:val="multilevel"/>
    <w:tmpl w:val="B3B495F4"/>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20DD6A45"/>
    <w:multiLevelType w:val="hybridMultilevel"/>
    <w:tmpl w:val="541E5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A2697B"/>
    <w:multiLevelType w:val="hybridMultilevel"/>
    <w:tmpl w:val="E1E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B15530"/>
    <w:multiLevelType w:val="hybridMultilevel"/>
    <w:tmpl w:val="9DC64136"/>
    <w:styleLink w:val="ListBullets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5E73FCA"/>
    <w:multiLevelType w:val="hybridMultilevel"/>
    <w:tmpl w:val="225A5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C3009F"/>
    <w:multiLevelType w:val="hybridMultilevel"/>
    <w:tmpl w:val="F6D6323A"/>
    <w:lvl w:ilvl="0" w:tplc="0DB0974E">
      <w:numFmt w:val="bullet"/>
      <w:lvlText w:val=""/>
      <w:lvlJc w:val="left"/>
      <w:pPr>
        <w:ind w:left="720" w:hanging="360"/>
      </w:pPr>
      <w:rPr>
        <w:rFonts w:ascii="Symbol" w:eastAsia="Cambria"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E958E1"/>
    <w:multiLevelType w:val="hybridMultilevel"/>
    <w:tmpl w:val="0F0695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5038DF"/>
    <w:multiLevelType w:val="hybridMultilevel"/>
    <w:tmpl w:val="F27C4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C86E5C"/>
    <w:multiLevelType w:val="hybridMultilevel"/>
    <w:tmpl w:val="1422D4D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52315806"/>
    <w:multiLevelType w:val="hybridMultilevel"/>
    <w:tmpl w:val="3940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72495"/>
    <w:multiLevelType w:val="hybridMultilevel"/>
    <w:tmpl w:val="118EEA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7" w15:restartNumberingAfterBreak="0">
    <w:nsid w:val="5D886C54"/>
    <w:multiLevelType w:val="hybridMultilevel"/>
    <w:tmpl w:val="E7903642"/>
    <w:lvl w:ilvl="0" w:tplc="1018AD6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FC301DC"/>
    <w:multiLevelType w:val="hybridMultilevel"/>
    <w:tmpl w:val="05B66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73579D"/>
    <w:multiLevelType w:val="hybridMultilevel"/>
    <w:tmpl w:val="6C72A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DC4689"/>
    <w:multiLevelType w:val="hybridMultilevel"/>
    <w:tmpl w:val="56E034F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1" w15:restartNumberingAfterBreak="0">
    <w:nsid w:val="671D1351"/>
    <w:multiLevelType w:val="multilevel"/>
    <w:tmpl w:val="79DEE0A4"/>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2" w15:restartNumberingAfterBreak="0">
    <w:nsid w:val="707504A8"/>
    <w:multiLevelType w:val="hybridMultilevel"/>
    <w:tmpl w:val="9578A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65121C"/>
    <w:multiLevelType w:val="hybridMultilevel"/>
    <w:tmpl w:val="D9DED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E87604"/>
    <w:multiLevelType w:val="hybridMultilevel"/>
    <w:tmpl w:val="72B27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2"/>
  </w:num>
  <w:num w:numId="4">
    <w:abstractNumId w:val="10"/>
  </w:num>
  <w:num w:numId="5">
    <w:abstractNumId w:val="21"/>
  </w:num>
  <w:num w:numId="6">
    <w:abstractNumId w:val="8"/>
  </w:num>
  <w:num w:numId="7">
    <w:abstractNumId w:val="4"/>
  </w:num>
  <w:num w:numId="8">
    <w:abstractNumId w:val="3"/>
  </w:num>
  <w:num w:numId="9">
    <w:abstractNumId w:val="2"/>
  </w:num>
  <w:num w:numId="10">
    <w:abstractNumId w:val="1"/>
  </w:num>
  <w:num w:numId="11">
    <w:abstractNumId w:val="0"/>
  </w:num>
  <w:num w:numId="12">
    <w:abstractNumId w:val="9"/>
  </w:num>
  <w:num w:numId="13">
    <w:abstractNumId w:val="24"/>
  </w:num>
  <w:num w:numId="14">
    <w:abstractNumId w:val="14"/>
  </w:num>
  <w:num w:numId="15">
    <w:abstractNumId w:val="5"/>
  </w:num>
  <w:num w:numId="16">
    <w:abstractNumId w:val="27"/>
  </w:num>
  <w:num w:numId="17">
    <w:abstractNumId w:val="20"/>
  </w:num>
  <w:num w:numId="18">
    <w:abstractNumId w:val="16"/>
    <w:lvlOverride w:ilvl="2">
      <w:lvl w:ilvl="2">
        <w:start w:val="1"/>
        <w:numFmt w:val="decimal"/>
        <w:pStyle w:val="NbrHeading3"/>
        <w:lvlText w:val="%1.%2.%3"/>
        <w:lvlJc w:val="left"/>
        <w:pPr>
          <w:tabs>
            <w:tab w:val="num" w:pos="1417"/>
          </w:tabs>
          <w:ind w:left="1417"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16"/>
  </w:num>
  <w:num w:numId="20">
    <w:abstractNumId w:val="19"/>
  </w:num>
  <w:num w:numId="21">
    <w:abstractNumId w:val="22"/>
  </w:num>
  <w:num w:numId="22">
    <w:abstractNumId w:val="7"/>
  </w:num>
  <w:num w:numId="23">
    <w:abstractNumId w:val="30"/>
  </w:num>
  <w:num w:numId="24">
    <w:abstractNumId w:val="6"/>
  </w:num>
  <w:num w:numId="25">
    <w:abstractNumId w:val="28"/>
  </w:num>
  <w:num w:numId="26">
    <w:abstractNumId w:val="11"/>
  </w:num>
  <w:num w:numId="27">
    <w:abstractNumId w:val="23"/>
  </w:num>
  <w:num w:numId="28">
    <w:abstractNumId w:val="26"/>
  </w:num>
  <w:num w:numId="29">
    <w:abstractNumId w:val="15"/>
  </w:num>
  <w:num w:numId="30">
    <w:abstractNumId w:val="25"/>
  </w:num>
  <w:num w:numId="31">
    <w:abstractNumId w:val="29"/>
  </w:num>
  <w:num w:numId="32">
    <w:abstractNumId w:val="34"/>
  </w:num>
  <w:num w:numId="33">
    <w:abstractNumId w:val="18"/>
  </w:num>
  <w:num w:numId="34">
    <w:abstractNumId w:val="17"/>
  </w:num>
  <w:num w:numId="35">
    <w:abstractNumId w:val="32"/>
  </w:num>
  <w:num w:numId="36">
    <w:abstractNumId w:val="33"/>
  </w:num>
  <w:num w:numId="37">
    <w:abstractNumId w:val="13"/>
  </w:num>
  <w:num w:numId="38">
    <w:abstractNumId w:val="31"/>
  </w:num>
  <w:num w:numId="39">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2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0A0E11B-172D-4FA8-8E8D-F885A2629774}"/>
    <w:docVar w:name="dgnword-eventsink" w:val="207088928"/>
  </w:docVars>
  <w:rsids>
    <w:rsidRoot w:val="002234B7"/>
    <w:rsid w:val="00001E9C"/>
    <w:rsid w:val="00002031"/>
    <w:rsid w:val="000029C6"/>
    <w:rsid w:val="0000371A"/>
    <w:rsid w:val="0000435D"/>
    <w:rsid w:val="00004734"/>
    <w:rsid w:val="00006A55"/>
    <w:rsid w:val="00006B22"/>
    <w:rsid w:val="00006D28"/>
    <w:rsid w:val="0001006A"/>
    <w:rsid w:val="00011912"/>
    <w:rsid w:val="0001276A"/>
    <w:rsid w:val="00015499"/>
    <w:rsid w:val="00017DF7"/>
    <w:rsid w:val="00022AB6"/>
    <w:rsid w:val="000240D5"/>
    <w:rsid w:val="000246AE"/>
    <w:rsid w:val="00025C67"/>
    <w:rsid w:val="0002733F"/>
    <w:rsid w:val="0003306D"/>
    <w:rsid w:val="0003451D"/>
    <w:rsid w:val="000345FD"/>
    <w:rsid w:val="00046253"/>
    <w:rsid w:val="00046A63"/>
    <w:rsid w:val="000477AE"/>
    <w:rsid w:val="00052A42"/>
    <w:rsid w:val="000544D3"/>
    <w:rsid w:val="00055129"/>
    <w:rsid w:val="000554B4"/>
    <w:rsid w:val="0005559E"/>
    <w:rsid w:val="0005704A"/>
    <w:rsid w:val="00057158"/>
    <w:rsid w:val="000606F9"/>
    <w:rsid w:val="00061E51"/>
    <w:rsid w:val="00063028"/>
    <w:rsid w:val="000635A8"/>
    <w:rsid w:val="00064DC2"/>
    <w:rsid w:val="00070E52"/>
    <w:rsid w:val="00071FCE"/>
    <w:rsid w:val="00072219"/>
    <w:rsid w:val="00072946"/>
    <w:rsid w:val="00077775"/>
    <w:rsid w:val="000866BC"/>
    <w:rsid w:val="00086779"/>
    <w:rsid w:val="00090471"/>
    <w:rsid w:val="000958DF"/>
    <w:rsid w:val="00095EE9"/>
    <w:rsid w:val="000A0965"/>
    <w:rsid w:val="000B0A5D"/>
    <w:rsid w:val="000B3532"/>
    <w:rsid w:val="000B3A75"/>
    <w:rsid w:val="000B6688"/>
    <w:rsid w:val="000B7084"/>
    <w:rsid w:val="000C50B8"/>
    <w:rsid w:val="000C51E8"/>
    <w:rsid w:val="000C5A31"/>
    <w:rsid w:val="000C5E91"/>
    <w:rsid w:val="000C6EB6"/>
    <w:rsid w:val="000C7DB4"/>
    <w:rsid w:val="000D27EC"/>
    <w:rsid w:val="000D391B"/>
    <w:rsid w:val="000D3D6D"/>
    <w:rsid w:val="000D4FC7"/>
    <w:rsid w:val="000E0B48"/>
    <w:rsid w:val="000E179C"/>
    <w:rsid w:val="000E1B5B"/>
    <w:rsid w:val="000F2C16"/>
    <w:rsid w:val="000F4869"/>
    <w:rsid w:val="000F5B42"/>
    <w:rsid w:val="000F60DD"/>
    <w:rsid w:val="000F6E6F"/>
    <w:rsid w:val="001003F2"/>
    <w:rsid w:val="0010507C"/>
    <w:rsid w:val="0010601F"/>
    <w:rsid w:val="00107378"/>
    <w:rsid w:val="001074C2"/>
    <w:rsid w:val="00110EA5"/>
    <w:rsid w:val="001119DF"/>
    <w:rsid w:val="00113BA8"/>
    <w:rsid w:val="00115240"/>
    <w:rsid w:val="00116792"/>
    <w:rsid w:val="00117616"/>
    <w:rsid w:val="001202DC"/>
    <w:rsid w:val="00124A2C"/>
    <w:rsid w:val="00125091"/>
    <w:rsid w:val="00125318"/>
    <w:rsid w:val="001305A2"/>
    <w:rsid w:val="00132294"/>
    <w:rsid w:val="00133238"/>
    <w:rsid w:val="00135C27"/>
    <w:rsid w:val="00135CD2"/>
    <w:rsid w:val="00140FE3"/>
    <w:rsid w:val="0014197B"/>
    <w:rsid w:val="001445DE"/>
    <w:rsid w:val="001447CD"/>
    <w:rsid w:val="00145656"/>
    <w:rsid w:val="00147930"/>
    <w:rsid w:val="001516B1"/>
    <w:rsid w:val="001525B4"/>
    <w:rsid w:val="00156316"/>
    <w:rsid w:val="00160006"/>
    <w:rsid w:val="00164DD5"/>
    <w:rsid w:val="00165389"/>
    <w:rsid w:val="001666C3"/>
    <w:rsid w:val="00170CED"/>
    <w:rsid w:val="0017350B"/>
    <w:rsid w:val="00174B02"/>
    <w:rsid w:val="0017693F"/>
    <w:rsid w:val="0018110E"/>
    <w:rsid w:val="00181684"/>
    <w:rsid w:val="00182472"/>
    <w:rsid w:val="001843C6"/>
    <w:rsid w:val="00184547"/>
    <w:rsid w:val="001850E0"/>
    <w:rsid w:val="0018693C"/>
    <w:rsid w:val="00190FB3"/>
    <w:rsid w:val="00191D2D"/>
    <w:rsid w:val="0019255A"/>
    <w:rsid w:val="0019257E"/>
    <w:rsid w:val="001A525F"/>
    <w:rsid w:val="001A69AB"/>
    <w:rsid w:val="001A79F5"/>
    <w:rsid w:val="001B09F9"/>
    <w:rsid w:val="001B204A"/>
    <w:rsid w:val="001B6448"/>
    <w:rsid w:val="001B6DB2"/>
    <w:rsid w:val="001C0746"/>
    <w:rsid w:val="001C22F7"/>
    <w:rsid w:val="001D1256"/>
    <w:rsid w:val="001D22C9"/>
    <w:rsid w:val="001D3254"/>
    <w:rsid w:val="001D480A"/>
    <w:rsid w:val="001D66AD"/>
    <w:rsid w:val="001E07CF"/>
    <w:rsid w:val="001E3F63"/>
    <w:rsid w:val="001E59F1"/>
    <w:rsid w:val="001F49EB"/>
    <w:rsid w:val="001F6CBA"/>
    <w:rsid w:val="001F78B9"/>
    <w:rsid w:val="00201D4E"/>
    <w:rsid w:val="00206F69"/>
    <w:rsid w:val="00207515"/>
    <w:rsid w:val="00211C7B"/>
    <w:rsid w:val="002131D3"/>
    <w:rsid w:val="00216370"/>
    <w:rsid w:val="00216751"/>
    <w:rsid w:val="0022021B"/>
    <w:rsid w:val="00220B8A"/>
    <w:rsid w:val="002232C2"/>
    <w:rsid w:val="002234B7"/>
    <w:rsid w:val="00224CCC"/>
    <w:rsid w:val="002257F3"/>
    <w:rsid w:val="00225A26"/>
    <w:rsid w:val="002302EC"/>
    <w:rsid w:val="002303B0"/>
    <w:rsid w:val="00230FD0"/>
    <w:rsid w:val="002314E8"/>
    <w:rsid w:val="00232089"/>
    <w:rsid w:val="00233456"/>
    <w:rsid w:val="0023397F"/>
    <w:rsid w:val="002339A5"/>
    <w:rsid w:val="00237DD2"/>
    <w:rsid w:val="0024263B"/>
    <w:rsid w:val="00244177"/>
    <w:rsid w:val="002452E7"/>
    <w:rsid w:val="00245F98"/>
    <w:rsid w:val="00246194"/>
    <w:rsid w:val="002517E8"/>
    <w:rsid w:val="002524B6"/>
    <w:rsid w:val="00252CCF"/>
    <w:rsid w:val="002538AE"/>
    <w:rsid w:val="002541E7"/>
    <w:rsid w:val="0025475C"/>
    <w:rsid w:val="00257138"/>
    <w:rsid w:val="00257848"/>
    <w:rsid w:val="00261B0D"/>
    <w:rsid w:val="00263C94"/>
    <w:rsid w:val="00264565"/>
    <w:rsid w:val="00265933"/>
    <w:rsid w:val="00266A8C"/>
    <w:rsid w:val="0027084A"/>
    <w:rsid w:val="00270F15"/>
    <w:rsid w:val="00271109"/>
    <w:rsid w:val="002722A4"/>
    <w:rsid w:val="00272B4E"/>
    <w:rsid w:val="00277EF5"/>
    <w:rsid w:val="00285B88"/>
    <w:rsid w:val="00286434"/>
    <w:rsid w:val="00286C59"/>
    <w:rsid w:val="002872E3"/>
    <w:rsid w:val="00293753"/>
    <w:rsid w:val="002942D1"/>
    <w:rsid w:val="0029470B"/>
    <w:rsid w:val="002A0556"/>
    <w:rsid w:val="002A0C5E"/>
    <w:rsid w:val="002A3A1F"/>
    <w:rsid w:val="002B0353"/>
    <w:rsid w:val="002B0C2E"/>
    <w:rsid w:val="002B1638"/>
    <w:rsid w:val="002B1E95"/>
    <w:rsid w:val="002B319E"/>
    <w:rsid w:val="002C1D7D"/>
    <w:rsid w:val="002C2511"/>
    <w:rsid w:val="002D0B3B"/>
    <w:rsid w:val="002D1EDF"/>
    <w:rsid w:val="002E0B0A"/>
    <w:rsid w:val="002E4C9A"/>
    <w:rsid w:val="002E5942"/>
    <w:rsid w:val="002E68C7"/>
    <w:rsid w:val="002E7365"/>
    <w:rsid w:val="002F11F8"/>
    <w:rsid w:val="002F3F56"/>
    <w:rsid w:val="002F44B5"/>
    <w:rsid w:val="002F724C"/>
    <w:rsid w:val="002F7420"/>
    <w:rsid w:val="00301927"/>
    <w:rsid w:val="00311AC0"/>
    <w:rsid w:val="003133F7"/>
    <w:rsid w:val="00313484"/>
    <w:rsid w:val="00313853"/>
    <w:rsid w:val="003147D4"/>
    <w:rsid w:val="003162B7"/>
    <w:rsid w:val="003204DD"/>
    <w:rsid w:val="00321FB9"/>
    <w:rsid w:val="00323E8C"/>
    <w:rsid w:val="003250FC"/>
    <w:rsid w:val="00326306"/>
    <w:rsid w:val="0033051E"/>
    <w:rsid w:val="003317E6"/>
    <w:rsid w:val="00331DBB"/>
    <w:rsid w:val="00332680"/>
    <w:rsid w:val="00332A9D"/>
    <w:rsid w:val="003364D3"/>
    <w:rsid w:val="00337615"/>
    <w:rsid w:val="00340BDB"/>
    <w:rsid w:val="003521E8"/>
    <w:rsid w:val="003529C9"/>
    <w:rsid w:val="00362BA0"/>
    <w:rsid w:val="00363E2A"/>
    <w:rsid w:val="00364C66"/>
    <w:rsid w:val="00365DDD"/>
    <w:rsid w:val="003664BF"/>
    <w:rsid w:val="00372383"/>
    <w:rsid w:val="003728F3"/>
    <w:rsid w:val="00372B03"/>
    <w:rsid w:val="003731AB"/>
    <w:rsid w:val="003745BC"/>
    <w:rsid w:val="00381D1A"/>
    <w:rsid w:val="00383352"/>
    <w:rsid w:val="0038410E"/>
    <w:rsid w:val="0038532E"/>
    <w:rsid w:val="003870D3"/>
    <w:rsid w:val="0038739A"/>
    <w:rsid w:val="00390900"/>
    <w:rsid w:val="003953C4"/>
    <w:rsid w:val="00395A58"/>
    <w:rsid w:val="003A35BD"/>
    <w:rsid w:val="003A40BB"/>
    <w:rsid w:val="003A5F5E"/>
    <w:rsid w:val="003B00C5"/>
    <w:rsid w:val="003B076B"/>
    <w:rsid w:val="003B0B30"/>
    <w:rsid w:val="003B1CBD"/>
    <w:rsid w:val="003B3C3F"/>
    <w:rsid w:val="003B443E"/>
    <w:rsid w:val="003B6C5D"/>
    <w:rsid w:val="003B7E39"/>
    <w:rsid w:val="003C1E15"/>
    <w:rsid w:val="003C2518"/>
    <w:rsid w:val="003C30DC"/>
    <w:rsid w:val="003C4FC3"/>
    <w:rsid w:val="003C58DC"/>
    <w:rsid w:val="003C7461"/>
    <w:rsid w:val="003D0CD9"/>
    <w:rsid w:val="003D14A6"/>
    <w:rsid w:val="003D446D"/>
    <w:rsid w:val="003D5441"/>
    <w:rsid w:val="003D6CCB"/>
    <w:rsid w:val="003D7768"/>
    <w:rsid w:val="003E1FA2"/>
    <w:rsid w:val="003E3208"/>
    <w:rsid w:val="003E3881"/>
    <w:rsid w:val="003E3D34"/>
    <w:rsid w:val="003E7012"/>
    <w:rsid w:val="003E7EAA"/>
    <w:rsid w:val="003F0B04"/>
    <w:rsid w:val="003F23DC"/>
    <w:rsid w:val="003F2558"/>
    <w:rsid w:val="003F3881"/>
    <w:rsid w:val="003F61B6"/>
    <w:rsid w:val="003F6F7D"/>
    <w:rsid w:val="003F7305"/>
    <w:rsid w:val="0040001E"/>
    <w:rsid w:val="0040134E"/>
    <w:rsid w:val="004029CD"/>
    <w:rsid w:val="004042B5"/>
    <w:rsid w:val="00404FF5"/>
    <w:rsid w:val="00405F3C"/>
    <w:rsid w:val="00405FB6"/>
    <w:rsid w:val="00407F62"/>
    <w:rsid w:val="00410839"/>
    <w:rsid w:val="004111C5"/>
    <w:rsid w:val="00413BAC"/>
    <w:rsid w:val="0041452B"/>
    <w:rsid w:val="004162FE"/>
    <w:rsid w:val="004169A8"/>
    <w:rsid w:val="00424436"/>
    <w:rsid w:val="00427153"/>
    <w:rsid w:val="00427A5E"/>
    <w:rsid w:val="00430A38"/>
    <w:rsid w:val="00430A63"/>
    <w:rsid w:val="00430F8A"/>
    <w:rsid w:val="00440A2D"/>
    <w:rsid w:val="00441230"/>
    <w:rsid w:val="004414E4"/>
    <w:rsid w:val="0044558D"/>
    <w:rsid w:val="004541F7"/>
    <w:rsid w:val="0045504F"/>
    <w:rsid w:val="00455A6F"/>
    <w:rsid w:val="004564A7"/>
    <w:rsid w:val="0045762D"/>
    <w:rsid w:val="004617BF"/>
    <w:rsid w:val="004634F1"/>
    <w:rsid w:val="00465404"/>
    <w:rsid w:val="00465E90"/>
    <w:rsid w:val="00466B64"/>
    <w:rsid w:val="00466E64"/>
    <w:rsid w:val="00470AC0"/>
    <w:rsid w:val="00470AE0"/>
    <w:rsid w:val="0047204B"/>
    <w:rsid w:val="0047772E"/>
    <w:rsid w:val="00477BB1"/>
    <w:rsid w:val="004853AE"/>
    <w:rsid w:val="004923FF"/>
    <w:rsid w:val="0049279F"/>
    <w:rsid w:val="00494E60"/>
    <w:rsid w:val="00496BAC"/>
    <w:rsid w:val="00496ECD"/>
    <w:rsid w:val="004B5A6B"/>
    <w:rsid w:val="004B7B76"/>
    <w:rsid w:val="004C0070"/>
    <w:rsid w:val="004C0194"/>
    <w:rsid w:val="004C1F19"/>
    <w:rsid w:val="004D1ABE"/>
    <w:rsid w:val="004D51A6"/>
    <w:rsid w:val="004D60BD"/>
    <w:rsid w:val="004D7DFB"/>
    <w:rsid w:val="004E3373"/>
    <w:rsid w:val="004E38BE"/>
    <w:rsid w:val="004E72D6"/>
    <w:rsid w:val="004E7CA2"/>
    <w:rsid w:val="004F0F38"/>
    <w:rsid w:val="004F1111"/>
    <w:rsid w:val="004F1A46"/>
    <w:rsid w:val="004F4D12"/>
    <w:rsid w:val="004F6EB7"/>
    <w:rsid w:val="004F788B"/>
    <w:rsid w:val="00501921"/>
    <w:rsid w:val="00501D8C"/>
    <w:rsid w:val="00507302"/>
    <w:rsid w:val="00511904"/>
    <w:rsid w:val="005151F1"/>
    <w:rsid w:val="00516789"/>
    <w:rsid w:val="005215AB"/>
    <w:rsid w:val="00521B31"/>
    <w:rsid w:val="00522A0C"/>
    <w:rsid w:val="005233E5"/>
    <w:rsid w:val="005248DA"/>
    <w:rsid w:val="0052742F"/>
    <w:rsid w:val="00530354"/>
    <w:rsid w:val="00531B11"/>
    <w:rsid w:val="005343E6"/>
    <w:rsid w:val="00534C7A"/>
    <w:rsid w:val="00536696"/>
    <w:rsid w:val="005434C6"/>
    <w:rsid w:val="00543B39"/>
    <w:rsid w:val="0054583D"/>
    <w:rsid w:val="00547188"/>
    <w:rsid w:val="005477E7"/>
    <w:rsid w:val="00550096"/>
    <w:rsid w:val="00551142"/>
    <w:rsid w:val="0055532D"/>
    <w:rsid w:val="00557FF9"/>
    <w:rsid w:val="00560343"/>
    <w:rsid w:val="0056115C"/>
    <w:rsid w:val="00563E11"/>
    <w:rsid w:val="005712AE"/>
    <w:rsid w:val="00572396"/>
    <w:rsid w:val="00576378"/>
    <w:rsid w:val="00577279"/>
    <w:rsid w:val="00577E38"/>
    <w:rsid w:val="00580E5A"/>
    <w:rsid w:val="0058387B"/>
    <w:rsid w:val="005851F1"/>
    <w:rsid w:val="00585322"/>
    <w:rsid w:val="00592EF0"/>
    <w:rsid w:val="00593AD1"/>
    <w:rsid w:val="00594D03"/>
    <w:rsid w:val="00596253"/>
    <w:rsid w:val="00597877"/>
    <w:rsid w:val="005979CB"/>
    <w:rsid w:val="005A1131"/>
    <w:rsid w:val="005A17E7"/>
    <w:rsid w:val="005A3BDC"/>
    <w:rsid w:val="005A4F78"/>
    <w:rsid w:val="005A61CE"/>
    <w:rsid w:val="005B0966"/>
    <w:rsid w:val="005B1925"/>
    <w:rsid w:val="005B2CC3"/>
    <w:rsid w:val="005B443B"/>
    <w:rsid w:val="005C5570"/>
    <w:rsid w:val="005C79A4"/>
    <w:rsid w:val="005C7D1E"/>
    <w:rsid w:val="005D3723"/>
    <w:rsid w:val="005D4EA1"/>
    <w:rsid w:val="005D5442"/>
    <w:rsid w:val="005E17A3"/>
    <w:rsid w:val="005E34CE"/>
    <w:rsid w:val="005E3EAB"/>
    <w:rsid w:val="005E48D6"/>
    <w:rsid w:val="005E4E42"/>
    <w:rsid w:val="005E56AD"/>
    <w:rsid w:val="005E6592"/>
    <w:rsid w:val="005F2A74"/>
    <w:rsid w:val="006057D9"/>
    <w:rsid w:val="00611B57"/>
    <w:rsid w:val="00616BC4"/>
    <w:rsid w:val="00617EAC"/>
    <w:rsid w:val="006203C6"/>
    <w:rsid w:val="006239CD"/>
    <w:rsid w:val="0062441A"/>
    <w:rsid w:val="00626976"/>
    <w:rsid w:val="00632650"/>
    <w:rsid w:val="00634854"/>
    <w:rsid w:val="00636CED"/>
    <w:rsid w:val="00636E8E"/>
    <w:rsid w:val="00640190"/>
    <w:rsid w:val="00640328"/>
    <w:rsid w:val="006405A9"/>
    <w:rsid w:val="00640FC3"/>
    <w:rsid w:val="00642020"/>
    <w:rsid w:val="0065120A"/>
    <w:rsid w:val="00651C87"/>
    <w:rsid w:val="00652A71"/>
    <w:rsid w:val="0065337B"/>
    <w:rsid w:val="00653FBF"/>
    <w:rsid w:val="0065419D"/>
    <w:rsid w:val="00655620"/>
    <w:rsid w:val="00655814"/>
    <w:rsid w:val="006604D8"/>
    <w:rsid w:val="0066091E"/>
    <w:rsid w:val="00663249"/>
    <w:rsid w:val="00664A5B"/>
    <w:rsid w:val="00665F8C"/>
    <w:rsid w:val="00667942"/>
    <w:rsid w:val="00667B4F"/>
    <w:rsid w:val="00680C08"/>
    <w:rsid w:val="00681F7B"/>
    <w:rsid w:val="006827F9"/>
    <w:rsid w:val="00683FA2"/>
    <w:rsid w:val="0068741A"/>
    <w:rsid w:val="006878A4"/>
    <w:rsid w:val="00691723"/>
    <w:rsid w:val="00691FA1"/>
    <w:rsid w:val="006931B1"/>
    <w:rsid w:val="00693CDB"/>
    <w:rsid w:val="00696845"/>
    <w:rsid w:val="006A15C0"/>
    <w:rsid w:val="006A2C89"/>
    <w:rsid w:val="006A55E0"/>
    <w:rsid w:val="006A659B"/>
    <w:rsid w:val="006B09CA"/>
    <w:rsid w:val="006B188D"/>
    <w:rsid w:val="006B3B90"/>
    <w:rsid w:val="006C1F3B"/>
    <w:rsid w:val="006C3E2A"/>
    <w:rsid w:val="006C626D"/>
    <w:rsid w:val="006C642F"/>
    <w:rsid w:val="006C6EDB"/>
    <w:rsid w:val="006D01A0"/>
    <w:rsid w:val="006D039E"/>
    <w:rsid w:val="006D03E5"/>
    <w:rsid w:val="006D0C3B"/>
    <w:rsid w:val="006D1180"/>
    <w:rsid w:val="006D1403"/>
    <w:rsid w:val="006D3243"/>
    <w:rsid w:val="006D4B58"/>
    <w:rsid w:val="006D5D3E"/>
    <w:rsid w:val="006E08B3"/>
    <w:rsid w:val="006E3286"/>
    <w:rsid w:val="006E5AB4"/>
    <w:rsid w:val="006F32EE"/>
    <w:rsid w:val="006F340B"/>
    <w:rsid w:val="006F572E"/>
    <w:rsid w:val="007046D6"/>
    <w:rsid w:val="00705DB0"/>
    <w:rsid w:val="00706AFE"/>
    <w:rsid w:val="00707646"/>
    <w:rsid w:val="007116A3"/>
    <w:rsid w:val="00711F07"/>
    <w:rsid w:val="007169AE"/>
    <w:rsid w:val="00725A8B"/>
    <w:rsid w:val="00733E73"/>
    <w:rsid w:val="00734831"/>
    <w:rsid w:val="00734A30"/>
    <w:rsid w:val="007365E2"/>
    <w:rsid w:val="0074066C"/>
    <w:rsid w:val="00741E4A"/>
    <w:rsid w:val="00742004"/>
    <w:rsid w:val="0074253D"/>
    <w:rsid w:val="0074429B"/>
    <w:rsid w:val="00745783"/>
    <w:rsid w:val="00745B48"/>
    <w:rsid w:val="007477F8"/>
    <w:rsid w:val="00750D60"/>
    <w:rsid w:val="0075211D"/>
    <w:rsid w:val="007615BC"/>
    <w:rsid w:val="00762F05"/>
    <w:rsid w:val="00763336"/>
    <w:rsid w:val="00764EB9"/>
    <w:rsid w:val="007652FF"/>
    <w:rsid w:val="00766F39"/>
    <w:rsid w:val="00767CC3"/>
    <w:rsid w:val="00771329"/>
    <w:rsid w:val="00773EF7"/>
    <w:rsid w:val="00774E1D"/>
    <w:rsid w:val="0077675A"/>
    <w:rsid w:val="00780355"/>
    <w:rsid w:val="0078156E"/>
    <w:rsid w:val="00781FC8"/>
    <w:rsid w:val="00783893"/>
    <w:rsid w:val="00785721"/>
    <w:rsid w:val="007921CA"/>
    <w:rsid w:val="00792E32"/>
    <w:rsid w:val="007937EA"/>
    <w:rsid w:val="0079387C"/>
    <w:rsid w:val="00793A59"/>
    <w:rsid w:val="007947F0"/>
    <w:rsid w:val="00796197"/>
    <w:rsid w:val="00796252"/>
    <w:rsid w:val="00797651"/>
    <w:rsid w:val="007A2162"/>
    <w:rsid w:val="007A3AC9"/>
    <w:rsid w:val="007A4BFE"/>
    <w:rsid w:val="007A665D"/>
    <w:rsid w:val="007A7355"/>
    <w:rsid w:val="007B302B"/>
    <w:rsid w:val="007B43ED"/>
    <w:rsid w:val="007B4BF9"/>
    <w:rsid w:val="007B5B6D"/>
    <w:rsid w:val="007B75D0"/>
    <w:rsid w:val="007C0F3D"/>
    <w:rsid w:val="007C1AF7"/>
    <w:rsid w:val="007C4345"/>
    <w:rsid w:val="007C44E4"/>
    <w:rsid w:val="007C57D6"/>
    <w:rsid w:val="007C7A6D"/>
    <w:rsid w:val="007C7B5B"/>
    <w:rsid w:val="007D1BD0"/>
    <w:rsid w:val="007D2D3C"/>
    <w:rsid w:val="007E16F7"/>
    <w:rsid w:val="007E7BF8"/>
    <w:rsid w:val="007F2062"/>
    <w:rsid w:val="007F2FF0"/>
    <w:rsid w:val="007F746B"/>
    <w:rsid w:val="00800ABB"/>
    <w:rsid w:val="008023C2"/>
    <w:rsid w:val="00802AD8"/>
    <w:rsid w:val="00802D9A"/>
    <w:rsid w:val="0080390B"/>
    <w:rsid w:val="008052B9"/>
    <w:rsid w:val="00810598"/>
    <w:rsid w:val="00811166"/>
    <w:rsid w:val="0081262A"/>
    <w:rsid w:val="00812C5B"/>
    <w:rsid w:val="00812D86"/>
    <w:rsid w:val="00814492"/>
    <w:rsid w:val="00815396"/>
    <w:rsid w:val="008216F1"/>
    <w:rsid w:val="00821776"/>
    <w:rsid w:val="00824D7E"/>
    <w:rsid w:val="00826007"/>
    <w:rsid w:val="00827505"/>
    <w:rsid w:val="008321F5"/>
    <w:rsid w:val="00832369"/>
    <w:rsid w:val="00834105"/>
    <w:rsid w:val="00834660"/>
    <w:rsid w:val="00834C8E"/>
    <w:rsid w:val="00836970"/>
    <w:rsid w:val="00836BC2"/>
    <w:rsid w:val="00836E53"/>
    <w:rsid w:val="0084063D"/>
    <w:rsid w:val="008433F0"/>
    <w:rsid w:val="0084580B"/>
    <w:rsid w:val="00845A8D"/>
    <w:rsid w:val="00845BCA"/>
    <w:rsid w:val="00850512"/>
    <w:rsid w:val="00850DBD"/>
    <w:rsid w:val="00852D58"/>
    <w:rsid w:val="00853C8F"/>
    <w:rsid w:val="00854EF5"/>
    <w:rsid w:val="00855052"/>
    <w:rsid w:val="0085641B"/>
    <w:rsid w:val="00856D03"/>
    <w:rsid w:val="00857136"/>
    <w:rsid w:val="008610B9"/>
    <w:rsid w:val="00866315"/>
    <w:rsid w:val="0087050B"/>
    <w:rsid w:val="00870B12"/>
    <w:rsid w:val="008720AB"/>
    <w:rsid w:val="008752CE"/>
    <w:rsid w:val="008774DF"/>
    <w:rsid w:val="008779A2"/>
    <w:rsid w:val="008821AA"/>
    <w:rsid w:val="00883239"/>
    <w:rsid w:val="0088426E"/>
    <w:rsid w:val="008855B8"/>
    <w:rsid w:val="00892BBD"/>
    <w:rsid w:val="0089388F"/>
    <w:rsid w:val="00896018"/>
    <w:rsid w:val="008A07FF"/>
    <w:rsid w:val="008A2B9D"/>
    <w:rsid w:val="008A5C03"/>
    <w:rsid w:val="008A5E0B"/>
    <w:rsid w:val="008A5E18"/>
    <w:rsid w:val="008A65D6"/>
    <w:rsid w:val="008A6D59"/>
    <w:rsid w:val="008B2036"/>
    <w:rsid w:val="008B2D31"/>
    <w:rsid w:val="008B4B03"/>
    <w:rsid w:val="008B596F"/>
    <w:rsid w:val="008C1433"/>
    <w:rsid w:val="008C159F"/>
    <w:rsid w:val="008C1623"/>
    <w:rsid w:val="008C3888"/>
    <w:rsid w:val="008C51A9"/>
    <w:rsid w:val="008C56D9"/>
    <w:rsid w:val="008C64F5"/>
    <w:rsid w:val="008C7265"/>
    <w:rsid w:val="008D1178"/>
    <w:rsid w:val="008D2B09"/>
    <w:rsid w:val="008D4740"/>
    <w:rsid w:val="008E1F46"/>
    <w:rsid w:val="008E56CD"/>
    <w:rsid w:val="008E58E3"/>
    <w:rsid w:val="008E7B83"/>
    <w:rsid w:val="008F14C2"/>
    <w:rsid w:val="008F1C35"/>
    <w:rsid w:val="008F1CCC"/>
    <w:rsid w:val="008F283C"/>
    <w:rsid w:val="008F2967"/>
    <w:rsid w:val="008F407A"/>
    <w:rsid w:val="008F50B9"/>
    <w:rsid w:val="00900829"/>
    <w:rsid w:val="0090354E"/>
    <w:rsid w:val="009037F2"/>
    <w:rsid w:val="00907268"/>
    <w:rsid w:val="00907400"/>
    <w:rsid w:val="00907ACE"/>
    <w:rsid w:val="009100DF"/>
    <w:rsid w:val="009102C5"/>
    <w:rsid w:val="009108E2"/>
    <w:rsid w:val="0091564A"/>
    <w:rsid w:val="00920330"/>
    <w:rsid w:val="00920FF4"/>
    <w:rsid w:val="009219D7"/>
    <w:rsid w:val="00922D53"/>
    <w:rsid w:val="0092391F"/>
    <w:rsid w:val="00923B70"/>
    <w:rsid w:val="00925DC5"/>
    <w:rsid w:val="0092600B"/>
    <w:rsid w:val="00930237"/>
    <w:rsid w:val="00934397"/>
    <w:rsid w:val="009401F6"/>
    <w:rsid w:val="00940976"/>
    <w:rsid w:val="00940F44"/>
    <w:rsid w:val="009410B5"/>
    <w:rsid w:val="00941988"/>
    <w:rsid w:val="00942714"/>
    <w:rsid w:val="009458FF"/>
    <w:rsid w:val="009503FB"/>
    <w:rsid w:val="00952562"/>
    <w:rsid w:val="00955140"/>
    <w:rsid w:val="00961D44"/>
    <w:rsid w:val="00962E20"/>
    <w:rsid w:val="00963C08"/>
    <w:rsid w:val="0096649E"/>
    <w:rsid w:val="00967EF4"/>
    <w:rsid w:val="00971973"/>
    <w:rsid w:val="00975AA6"/>
    <w:rsid w:val="00981E79"/>
    <w:rsid w:val="00982FF3"/>
    <w:rsid w:val="00985A0C"/>
    <w:rsid w:val="009874BA"/>
    <w:rsid w:val="00991CB2"/>
    <w:rsid w:val="009921A8"/>
    <w:rsid w:val="00997420"/>
    <w:rsid w:val="009A09AA"/>
    <w:rsid w:val="009A1DC7"/>
    <w:rsid w:val="009A1EB7"/>
    <w:rsid w:val="009A474D"/>
    <w:rsid w:val="009A4CED"/>
    <w:rsid w:val="009B15F1"/>
    <w:rsid w:val="009B1D12"/>
    <w:rsid w:val="009B416B"/>
    <w:rsid w:val="009B4D95"/>
    <w:rsid w:val="009B6E03"/>
    <w:rsid w:val="009B6F99"/>
    <w:rsid w:val="009B7590"/>
    <w:rsid w:val="009C2E76"/>
    <w:rsid w:val="009C3AAB"/>
    <w:rsid w:val="009C4BD5"/>
    <w:rsid w:val="009C623E"/>
    <w:rsid w:val="009C6B35"/>
    <w:rsid w:val="009D1FCC"/>
    <w:rsid w:val="009D2E04"/>
    <w:rsid w:val="009D63A2"/>
    <w:rsid w:val="009D7331"/>
    <w:rsid w:val="009D7B77"/>
    <w:rsid w:val="009E0BB0"/>
    <w:rsid w:val="009E1E20"/>
    <w:rsid w:val="009E3747"/>
    <w:rsid w:val="009E3FBB"/>
    <w:rsid w:val="009E71F4"/>
    <w:rsid w:val="009F018D"/>
    <w:rsid w:val="009F6024"/>
    <w:rsid w:val="009F7879"/>
    <w:rsid w:val="009F7D61"/>
    <w:rsid w:val="00A01C82"/>
    <w:rsid w:val="00A052B5"/>
    <w:rsid w:val="00A06E03"/>
    <w:rsid w:val="00A10922"/>
    <w:rsid w:val="00A1130A"/>
    <w:rsid w:val="00A1235B"/>
    <w:rsid w:val="00A13163"/>
    <w:rsid w:val="00A13D80"/>
    <w:rsid w:val="00A14DF7"/>
    <w:rsid w:val="00A16CD2"/>
    <w:rsid w:val="00A17644"/>
    <w:rsid w:val="00A2170D"/>
    <w:rsid w:val="00A23F3C"/>
    <w:rsid w:val="00A24B1C"/>
    <w:rsid w:val="00A27C44"/>
    <w:rsid w:val="00A32067"/>
    <w:rsid w:val="00A3246D"/>
    <w:rsid w:val="00A32A30"/>
    <w:rsid w:val="00A3654F"/>
    <w:rsid w:val="00A36FA7"/>
    <w:rsid w:val="00A43EC1"/>
    <w:rsid w:val="00A461D3"/>
    <w:rsid w:val="00A474FF"/>
    <w:rsid w:val="00A475B7"/>
    <w:rsid w:val="00A47AF7"/>
    <w:rsid w:val="00A47C3E"/>
    <w:rsid w:val="00A50226"/>
    <w:rsid w:val="00A539AC"/>
    <w:rsid w:val="00A55FAC"/>
    <w:rsid w:val="00A56488"/>
    <w:rsid w:val="00A571C6"/>
    <w:rsid w:val="00A60BAD"/>
    <w:rsid w:val="00A6197B"/>
    <w:rsid w:val="00A629EF"/>
    <w:rsid w:val="00A6410F"/>
    <w:rsid w:val="00A64387"/>
    <w:rsid w:val="00A65580"/>
    <w:rsid w:val="00A736F3"/>
    <w:rsid w:val="00A73A8D"/>
    <w:rsid w:val="00A76A17"/>
    <w:rsid w:val="00A8127F"/>
    <w:rsid w:val="00A83924"/>
    <w:rsid w:val="00A84503"/>
    <w:rsid w:val="00A85B04"/>
    <w:rsid w:val="00A87334"/>
    <w:rsid w:val="00A9565E"/>
    <w:rsid w:val="00AB07BF"/>
    <w:rsid w:val="00AB6F47"/>
    <w:rsid w:val="00AC2B40"/>
    <w:rsid w:val="00AC2BB2"/>
    <w:rsid w:val="00AC2C3C"/>
    <w:rsid w:val="00AC3BD9"/>
    <w:rsid w:val="00AC57A7"/>
    <w:rsid w:val="00AC62E7"/>
    <w:rsid w:val="00AC7EB0"/>
    <w:rsid w:val="00AD23F2"/>
    <w:rsid w:val="00AE0320"/>
    <w:rsid w:val="00AE2CBF"/>
    <w:rsid w:val="00AE5E1C"/>
    <w:rsid w:val="00AE6526"/>
    <w:rsid w:val="00AE65EB"/>
    <w:rsid w:val="00AF1D94"/>
    <w:rsid w:val="00AF5701"/>
    <w:rsid w:val="00AF5C91"/>
    <w:rsid w:val="00AF5CED"/>
    <w:rsid w:val="00AF60C5"/>
    <w:rsid w:val="00AF6BE1"/>
    <w:rsid w:val="00B009C6"/>
    <w:rsid w:val="00B00BF0"/>
    <w:rsid w:val="00B011E8"/>
    <w:rsid w:val="00B01548"/>
    <w:rsid w:val="00B01879"/>
    <w:rsid w:val="00B03474"/>
    <w:rsid w:val="00B068E2"/>
    <w:rsid w:val="00B20229"/>
    <w:rsid w:val="00B21D29"/>
    <w:rsid w:val="00B21FC5"/>
    <w:rsid w:val="00B21FEE"/>
    <w:rsid w:val="00B220FA"/>
    <w:rsid w:val="00B24400"/>
    <w:rsid w:val="00B25034"/>
    <w:rsid w:val="00B31089"/>
    <w:rsid w:val="00B32AAD"/>
    <w:rsid w:val="00B33863"/>
    <w:rsid w:val="00B37D17"/>
    <w:rsid w:val="00B37D24"/>
    <w:rsid w:val="00B37FEE"/>
    <w:rsid w:val="00B4175E"/>
    <w:rsid w:val="00B510E1"/>
    <w:rsid w:val="00B5312C"/>
    <w:rsid w:val="00B5340F"/>
    <w:rsid w:val="00B54C25"/>
    <w:rsid w:val="00B56CB1"/>
    <w:rsid w:val="00B56FD9"/>
    <w:rsid w:val="00B600DA"/>
    <w:rsid w:val="00B60BDB"/>
    <w:rsid w:val="00B64F68"/>
    <w:rsid w:val="00B662D6"/>
    <w:rsid w:val="00B70213"/>
    <w:rsid w:val="00B76616"/>
    <w:rsid w:val="00B76B91"/>
    <w:rsid w:val="00B86852"/>
    <w:rsid w:val="00B87EC7"/>
    <w:rsid w:val="00B905C3"/>
    <w:rsid w:val="00B92C72"/>
    <w:rsid w:val="00B93387"/>
    <w:rsid w:val="00B953DC"/>
    <w:rsid w:val="00BA1792"/>
    <w:rsid w:val="00BA6FF1"/>
    <w:rsid w:val="00BB0909"/>
    <w:rsid w:val="00BB25D5"/>
    <w:rsid w:val="00BB6330"/>
    <w:rsid w:val="00BB6529"/>
    <w:rsid w:val="00BC1CAB"/>
    <w:rsid w:val="00BC3513"/>
    <w:rsid w:val="00BC4579"/>
    <w:rsid w:val="00BC4674"/>
    <w:rsid w:val="00BC622A"/>
    <w:rsid w:val="00BD3151"/>
    <w:rsid w:val="00BD4A26"/>
    <w:rsid w:val="00BD51CA"/>
    <w:rsid w:val="00BD6F8A"/>
    <w:rsid w:val="00BE0A78"/>
    <w:rsid w:val="00BE1233"/>
    <w:rsid w:val="00BE4E67"/>
    <w:rsid w:val="00BE545B"/>
    <w:rsid w:val="00BE79F0"/>
    <w:rsid w:val="00BF046D"/>
    <w:rsid w:val="00BF119D"/>
    <w:rsid w:val="00BF130E"/>
    <w:rsid w:val="00BF5D04"/>
    <w:rsid w:val="00BF5DEF"/>
    <w:rsid w:val="00BF6245"/>
    <w:rsid w:val="00BF7703"/>
    <w:rsid w:val="00BF79EC"/>
    <w:rsid w:val="00C060FE"/>
    <w:rsid w:val="00C13563"/>
    <w:rsid w:val="00C15B63"/>
    <w:rsid w:val="00C24859"/>
    <w:rsid w:val="00C26351"/>
    <w:rsid w:val="00C27407"/>
    <w:rsid w:val="00C27B49"/>
    <w:rsid w:val="00C3145A"/>
    <w:rsid w:val="00C339C6"/>
    <w:rsid w:val="00C36D19"/>
    <w:rsid w:val="00C37BD9"/>
    <w:rsid w:val="00C404A6"/>
    <w:rsid w:val="00C40A36"/>
    <w:rsid w:val="00C44419"/>
    <w:rsid w:val="00C45E7B"/>
    <w:rsid w:val="00C46E6F"/>
    <w:rsid w:val="00C471B1"/>
    <w:rsid w:val="00C52BEE"/>
    <w:rsid w:val="00C52C5C"/>
    <w:rsid w:val="00C60381"/>
    <w:rsid w:val="00C6316B"/>
    <w:rsid w:val="00C634A9"/>
    <w:rsid w:val="00C6499F"/>
    <w:rsid w:val="00C73CCB"/>
    <w:rsid w:val="00C73D6C"/>
    <w:rsid w:val="00C73EB5"/>
    <w:rsid w:val="00C772FF"/>
    <w:rsid w:val="00C77BC8"/>
    <w:rsid w:val="00C801AF"/>
    <w:rsid w:val="00C80256"/>
    <w:rsid w:val="00C802BA"/>
    <w:rsid w:val="00C8117E"/>
    <w:rsid w:val="00C9013D"/>
    <w:rsid w:val="00C905CE"/>
    <w:rsid w:val="00C96412"/>
    <w:rsid w:val="00C97C7E"/>
    <w:rsid w:val="00CA0161"/>
    <w:rsid w:val="00CA3B3C"/>
    <w:rsid w:val="00CA55FD"/>
    <w:rsid w:val="00CA77CC"/>
    <w:rsid w:val="00CB5B31"/>
    <w:rsid w:val="00CB6BC0"/>
    <w:rsid w:val="00CC1B7C"/>
    <w:rsid w:val="00CC446D"/>
    <w:rsid w:val="00CC5136"/>
    <w:rsid w:val="00CC5448"/>
    <w:rsid w:val="00CC727F"/>
    <w:rsid w:val="00CD2699"/>
    <w:rsid w:val="00CD3C33"/>
    <w:rsid w:val="00CD7871"/>
    <w:rsid w:val="00CD7A03"/>
    <w:rsid w:val="00CE484F"/>
    <w:rsid w:val="00CE5BB0"/>
    <w:rsid w:val="00CE5DBC"/>
    <w:rsid w:val="00CE5EFF"/>
    <w:rsid w:val="00CE7BEE"/>
    <w:rsid w:val="00CF15C3"/>
    <w:rsid w:val="00CF2004"/>
    <w:rsid w:val="00CF2B6F"/>
    <w:rsid w:val="00CF3409"/>
    <w:rsid w:val="00D017ED"/>
    <w:rsid w:val="00D01954"/>
    <w:rsid w:val="00D01B5D"/>
    <w:rsid w:val="00D02F80"/>
    <w:rsid w:val="00D046DA"/>
    <w:rsid w:val="00D14936"/>
    <w:rsid w:val="00D153B1"/>
    <w:rsid w:val="00D171B4"/>
    <w:rsid w:val="00D224FE"/>
    <w:rsid w:val="00D229BA"/>
    <w:rsid w:val="00D261B1"/>
    <w:rsid w:val="00D26B84"/>
    <w:rsid w:val="00D273FF"/>
    <w:rsid w:val="00D31230"/>
    <w:rsid w:val="00D31A09"/>
    <w:rsid w:val="00D322A7"/>
    <w:rsid w:val="00D35A55"/>
    <w:rsid w:val="00D4088D"/>
    <w:rsid w:val="00D44E5C"/>
    <w:rsid w:val="00D52F1C"/>
    <w:rsid w:val="00D5616E"/>
    <w:rsid w:val="00D578CE"/>
    <w:rsid w:val="00D61342"/>
    <w:rsid w:val="00D61555"/>
    <w:rsid w:val="00D634FE"/>
    <w:rsid w:val="00D6493E"/>
    <w:rsid w:val="00D651F7"/>
    <w:rsid w:val="00D719AC"/>
    <w:rsid w:val="00D743D4"/>
    <w:rsid w:val="00D75FD0"/>
    <w:rsid w:val="00D814A6"/>
    <w:rsid w:val="00D83DC0"/>
    <w:rsid w:val="00D867AD"/>
    <w:rsid w:val="00D86EFF"/>
    <w:rsid w:val="00D87DB8"/>
    <w:rsid w:val="00D92C6A"/>
    <w:rsid w:val="00D95C4D"/>
    <w:rsid w:val="00D96FDD"/>
    <w:rsid w:val="00DA1124"/>
    <w:rsid w:val="00DA170E"/>
    <w:rsid w:val="00DA1DEF"/>
    <w:rsid w:val="00DA3043"/>
    <w:rsid w:val="00DA3737"/>
    <w:rsid w:val="00DA41C0"/>
    <w:rsid w:val="00DA717B"/>
    <w:rsid w:val="00DB2164"/>
    <w:rsid w:val="00DB7E6F"/>
    <w:rsid w:val="00DC4668"/>
    <w:rsid w:val="00DC5299"/>
    <w:rsid w:val="00DD269F"/>
    <w:rsid w:val="00DD4C9F"/>
    <w:rsid w:val="00DD75A3"/>
    <w:rsid w:val="00DD7A91"/>
    <w:rsid w:val="00DE02AE"/>
    <w:rsid w:val="00DE450B"/>
    <w:rsid w:val="00DE4844"/>
    <w:rsid w:val="00DE53A6"/>
    <w:rsid w:val="00DE56AD"/>
    <w:rsid w:val="00DE6A0C"/>
    <w:rsid w:val="00DE6C04"/>
    <w:rsid w:val="00DE6E37"/>
    <w:rsid w:val="00DE75AC"/>
    <w:rsid w:val="00DF00FF"/>
    <w:rsid w:val="00DF1D7F"/>
    <w:rsid w:val="00DF4D71"/>
    <w:rsid w:val="00DF6133"/>
    <w:rsid w:val="00E0206A"/>
    <w:rsid w:val="00E02FB4"/>
    <w:rsid w:val="00E03C4B"/>
    <w:rsid w:val="00E0405A"/>
    <w:rsid w:val="00E05486"/>
    <w:rsid w:val="00E058D6"/>
    <w:rsid w:val="00E0687A"/>
    <w:rsid w:val="00E06B47"/>
    <w:rsid w:val="00E12829"/>
    <w:rsid w:val="00E1340C"/>
    <w:rsid w:val="00E16BCA"/>
    <w:rsid w:val="00E20571"/>
    <w:rsid w:val="00E21651"/>
    <w:rsid w:val="00E235F7"/>
    <w:rsid w:val="00E239D4"/>
    <w:rsid w:val="00E2659D"/>
    <w:rsid w:val="00E26BFC"/>
    <w:rsid w:val="00E2720A"/>
    <w:rsid w:val="00E2728A"/>
    <w:rsid w:val="00E32326"/>
    <w:rsid w:val="00E34D22"/>
    <w:rsid w:val="00E40B22"/>
    <w:rsid w:val="00E4248C"/>
    <w:rsid w:val="00E42A6D"/>
    <w:rsid w:val="00E438A4"/>
    <w:rsid w:val="00E454A9"/>
    <w:rsid w:val="00E4588F"/>
    <w:rsid w:val="00E46041"/>
    <w:rsid w:val="00E46C84"/>
    <w:rsid w:val="00E46DA3"/>
    <w:rsid w:val="00E50B01"/>
    <w:rsid w:val="00E51164"/>
    <w:rsid w:val="00E5322A"/>
    <w:rsid w:val="00E578A7"/>
    <w:rsid w:val="00E63139"/>
    <w:rsid w:val="00E66901"/>
    <w:rsid w:val="00E70EF2"/>
    <w:rsid w:val="00E75411"/>
    <w:rsid w:val="00E76F6A"/>
    <w:rsid w:val="00E777BD"/>
    <w:rsid w:val="00E8120B"/>
    <w:rsid w:val="00E83135"/>
    <w:rsid w:val="00E8619F"/>
    <w:rsid w:val="00E869B3"/>
    <w:rsid w:val="00E86ACB"/>
    <w:rsid w:val="00E95401"/>
    <w:rsid w:val="00EA16DE"/>
    <w:rsid w:val="00EA406B"/>
    <w:rsid w:val="00EA453A"/>
    <w:rsid w:val="00EA47DF"/>
    <w:rsid w:val="00EB0798"/>
    <w:rsid w:val="00EB121E"/>
    <w:rsid w:val="00EB13CF"/>
    <w:rsid w:val="00EB182C"/>
    <w:rsid w:val="00EB19F8"/>
    <w:rsid w:val="00EB20DE"/>
    <w:rsid w:val="00EB20E3"/>
    <w:rsid w:val="00EB2DC9"/>
    <w:rsid w:val="00EB3F6E"/>
    <w:rsid w:val="00EB40AD"/>
    <w:rsid w:val="00EB4CCE"/>
    <w:rsid w:val="00EB586E"/>
    <w:rsid w:val="00EB5FC8"/>
    <w:rsid w:val="00EC1271"/>
    <w:rsid w:val="00EC21F2"/>
    <w:rsid w:val="00EC3230"/>
    <w:rsid w:val="00ED0C8B"/>
    <w:rsid w:val="00ED5764"/>
    <w:rsid w:val="00ED5A41"/>
    <w:rsid w:val="00EE1482"/>
    <w:rsid w:val="00EE23C6"/>
    <w:rsid w:val="00EE255A"/>
    <w:rsid w:val="00EE6C81"/>
    <w:rsid w:val="00EE7E11"/>
    <w:rsid w:val="00EF0EAB"/>
    <w:rsid w:val="00EF218F"/>
    <w:rsid w:val="00EF47F3"/>
    <w:rsid w:val="00EF481D"/>
    <w:rsid w:val="00EF578B"/>
    <w:rsid w:val="00F00926"/>
    <w:rsid w:val="00F033EC"/>
    <w:rsid w:val="00F04F68"/>
    <w:rsid w:val="00F0627D"/>
    <w:rsid w:val="00F0754E"/>
    <w:rsid w:val="00F1120A"/>
    <w:rsid w:val="00F11A17"/>
    <w:rsid w:val="00F12670"/>
    <w:rsid w:val="00F14B27"/>
    <w:rsid w:val="00F202AB"/>
    <w:rsid w:val="00F20CFE"/>
    <w:rsid w:val="00F26F9C"/>
    <w:rsid w:val="00F274B0"/>
    <w:rsid w:val="00F3148D"/>
    <w:rsid w:val="00F3255D"/>
    <w:rsid w:val="00F32F0E"/>
    <w:rsid w:val="00F33D14"/>
    <w:rsid w:val="00F35298"/>
    <w:rsid w:val="00F3529E"/>
    <w:rsid w:val="00F36C32"/>
    <w:rsid w:val="00F40F73"/>
    <w:rsid w:val="00F42B2C"/>
    <w:rsid w:val="00F4305F"/>
    <w:rsid w:val="00F441CA"/>
    <w:rsid w:val="00F44B0D"/>
    <w:rsid w:val="00F4663D"/>
    <w:rsid w:val="00F467A6"/>
    <w:rsid w:val="00F47E37"/>
    <w:rsid w:val="00F512A2"/>
    <w:rsid w:val="00F54D30"/>
    <w:rsid w:val="00F56933"/>
    <w:rsid w:val="00F579B0"/>
    <w:rsid w:val="00F623FD"/>
    <w:rsid w:val="00F63C0D"/>
    <w:rsid w:val="00F640B6"/>
    <w:rsid w:val="00F67B16"/>
    <w:rsid w:val="00F7063E"/>
    <w:rsid w:val="00F7199F"/>
    <w:rsid w:val="00F726D2"/>
    <w:rsid w:val="00F7354A"/>
    <w:rsid w:val="00F739D1"/>
    <w:rsid w:val="00F80E40"/>
    <w:rsid w:val="00F82F61"/>
    <w:rsid w:val="00F8365F"/>
    <w:rsid w:val="00F8404D"/>
    <w:rsid w:val="00F87442"/>
    <w:rsid w:val="00F87B87"/>
    <w:rsid w:val="00F90B72"/>
    <w:rsid w:val="00FA4D6D"/>
    <w:rsid w:val="00FA5B82"/>
    <w:rsid w:val="00FA5F52"/>
    <w:rsid w:val="00FA639E"/>
    <w:rsid w:val="00FA789E"/>
    <w:rsid w:val="00FB00C4"/>
    <w:rsid w:val="00FB4952"/>
    <w:rsid w:val="00FB59CE"/>
    <w:rsid w:val="00FC0187"/>
    <w:rsid w:val="00FC03C8"/>
    <w:rsid w:val="00FC04F8"/>
    <w:rsid w:val="00FC0844"/>
    <w:rsid w:val="00FC25E4"/>
    <w:rsid w:val="00FC260C"/>
    <w:rsid w:val="00FC4B8B"/>
    <w:rsid w:val="00FC4EF7"/>
    <w:rsid w:val="00FD0546"/>
    <w:rsid w:val="00FD14E3"/>
    <w:rsid w:val="00FD2206"/>
    <w:rsid w:val="00FD5197"/>
    <w:rsid w:val="00FE1941"/>
    <w:rsid w:val="00FE1DEE"/>
    <w:rsid w:val="00FF2126"/>
    <w:rsid w:val="00FF318E"/>
    <w:rsid w:val="00FF393E"/>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21"/>
    <o:shapelayout v:ext="edit">
      <o:idmap v:ext="edit" data="1"/>
    </o:shapelayout>
  </w:shapeDefaults>
  <w:decimalSymbol w:val="."/>
  <w:listSeparator w:val=","/>
  <w14:docId w14:val="1D5EBDE4"/>
  <w15:docId w15:val="{2A1D5FA0-BAE9-4B16-9BA4-2F003745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footer"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76B"/>
    <w:pPr>
      <w:spacing w:before="120" w:after="180" w:line="240" w:lineRule="atLeast"/>
    </w:pPr>
    <w:rPr>
      <w:sz w:val="22"/>
      <w:lang w:eastAsia="en-US"/>
    </w:rPr>
  </w:style>
  <w:style w:type="paragraph" w:styleId="Heading1">
    <w:name w:val="heading 1"/>
    <w:basedOn w:val="Normal"/>
    <w:next w:val="Normal"/>
    <w:link w:val="Heading1Char"/>
    <w:qFormat/>
    <w:rsid w:val="00EE1482"/>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EE1482"/>
    <w:pPr>
      <w:keepNext/>
      <w:keepLines/>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EE1482"/>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03451D"/>
    <w:pPr>
      <w:keepNext/>
      <w:keepLines/>
      <w:spacing w:before="360" w:after="120"/>
      <w:outlineLvl w:val="3"/>
    </w:pPr>
    <w:rPr>
      <w:rFonts w:ascii="Arial" w:hAnsi="Arial"/>
      <w:b/>
      <w:bCs/>
      <w:sz w:val="24"/>
      <w:szCs w:val="26"/>
    </w:rPr>
  </w:style>
  <w:style w:type="paragraph" w:styleId="Heading5">
    <w:name w:val="heading 5"/>
    <w:basedOn w:val="Normal"/>
    <w:next w:val="Normal"/>
    <w:link w:val="Heading5Char"/>
    <w:uiPriority w:val="9"/>
    <w:qFormat/>
    <w:rsid w:val="00F54D30"/>
    <w:pPr>
      <w:keepNext/>
      <w:keepLines/>
      <w:spacing w:before="240" w:after="120"/>
      <w:outlineLvl w:val="4"/>
    </w:pPr>
    <w:rPr>
      <w:rFonts w:eastAsia="Times New Roman"/>
      <w:b/>
      <w:bCs/>
      <w:color w:val="001523"/>
      <w:szCs w:val="26"/>
    </w:rPr>
  </w:style>
  <w:style w:type="paragraph" w:styleId="Heading6">
    <w:name w:val="heading 6"/>
    <w:basedOn w:val="Normal"/>
    <w:next w:val="Normal"/>
    <w:link w:val="Heading6Char"/>
    <w:uiPriority w:val="9"/>
    <w:qFormat/>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qFormat/>
    <w:rsid w:val="00EE1482"/>
    <w:pPr>
      <w:keepNext/>
      <w:keepLines/>
      <w:spacing w:before="240" w:after="60" w:line="180" w:lineRule="atLeast"/>
      <w:outlineLvl w:val="6"/>
    </w:pPr>
    <w:rPr>
      <w:rFonts w:eastAsia="Times New Roman"/>
      <w:bCs/>
      <w:i/>
      <w:szCs w:val="22"/>
    </w:rPr>
  </w:style>
  <w:style w:type="paragraph" w:styleId="Heading8">
    <w:name w:val="heading 8"/>
    <w:basedOn w:val="Normal"/>
    <w:next w:val="Normal"/>
    <w:link w:val="Heading8Char"/>
    <w:unhideWhenUsed/>
    <w:qFormat/>
    <w:rsid w:val="00C3145A"/>
    <w:pPr>
      <w:keepNext/>
      <w:keepLines/>
      <w:adjustRightInd w:val="0"/>
      <w:snapToGrid w:val="0"/>
      <w:spacing w:before="200" w:after="0"/>
      <w:outlineLvl w:val="7"/>
    </w:pPr>
    <w:rPr>
      <w:rFonts w:asciiTheme="majorHAnsi" w:eastAsiaTheme="majorEastAsia" w:hAnsiTheme="majorHAnsi" w:cstheme="majorHAnsi"/>
      <w:color w:val="0070B5" w:themeColor="text1" w:themeTint="BF"/>
      <w:sz w:val="20"/>
    </w:rPr>
  </w:style>
  <w:style w:type="paragraph" w:styleId="Heading9">
    <w:name w:val="heading 9"/>
    <w:basedOn w:val="Normal"/>
    <w:next w:val="Normal"/>
    <w:link w:val="Heading9Char"/>
    <w:unhideWhenUsed/>
    <w:qFormat/>
    <w:rsid w:val="00C3145A"/>
    <w:pPr>
      <w:keepNext/>
      <w:keepLines/>
      <w:adjustRightInd w:val="0"/>
      <w:snapToGrid w:val="0"/>
      <w:spacing w:before="200" w:after="0"/>
      <w:outlineLvl w:val="8"/>
    </w:pPr>
    <w:rPr>
      <w:rFonts w:asciiTheme="majorHAnsi" w:eastAsiaTheme="majorEastAsia" w:hAnsiTheme="majorHAnsi" w:cstheme="majorBidi"/>
      <w:i/>
      <w:iCs/>
      <w:color w:val="0070B5"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b/>
      <w:bCs/>
      <w:sz w:val="48"/>
      <w:szCs w:val="48"/>
      <w:lang w:eastAsia="en-US"/>
    </w:rPr>
  </w:style>
  <w:style w:type="character" w:customStyle="1" w:styleId="Heading2Char">
    <w:name w:val="Heading 2 Char"/>
    <w:basedOn w:val="DefaultParagraphFont"/>
    <w:link w:val="Heading2"/>
    <w:rsid w:val="000C5A31"/>
    <w:rPr>
      <w:rFonts w:ascii="Arial" w:eastAsia="Times New Roman" w:hAnsi="Arial"/>
      <w:b/>
      <w:bCs/>
      <w:sz w:val="38"/>
      <w:szCs w:val="38"/>
      <w:lang w:eastAsia="en-US"/>
    </w:rPr>
  </w:style>
  <w:style w:type="character" w:customStyle="1" w:styleId="Heading3Char">
    <w:name w:val="Heading 3 Char"/>
    <w:basedOn w:val="DefaultParagraphFont"/>
    <w:link w:val="Heading3"/>
    <w:rsid w:val="002B0C2E"/>
    <w:rPr>
      <w:rFonts w:ascii="Arial" w:eastAsia="Times New Roman" w:hAnsi="Arial"/>
      <w:b/>
      <w:bCs/>
      <w:sz w:val="32"/>
      <w:szCs w:val="32"/>
      <w:lang w:eastAsia="en-US"/>
    </w:rPr>
  </w:style>
  <w:style w:type="paragraph" w:customStyle="1" w:styleId="Address">
    <w:name w:val="Address"/>
    <w:basedOn w:val="Normal"/>
    <w:qFormat/>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TOC4">
    <w:name w:val="toc 4"/>
    <w:basedOn w:val="Normal"/>
    <w:next w:val="Normal"/>
    <w:autoRedefine/>
    <w:uiPriority w:val="39"/>
    <w:semiHidden/>
    <w:unhideWhenUsed/>
    <w:rsid w:val="008A07FF"/>
    <w:pPr>
      <w:tabs>
        <w:tab w:val="right" w:leader="hyphen" w:pos="8505"/>
      </w:tabs>
      <w:spacing w:after="100"/>
      <w:ind w:left="1276"/>
    </w:pPr>
  </w:style>
  <w:style w:type="paragraph" w:styleId="TOC5">
    <w:name w:val="toc 5"/>
    <w:basedOn w:val="Normal"/>
    <w:next w:val="Normal"/>
    <w:autoRedefine/>
    <w:uiPriority w:val="39"/>
    <w:semiHidden/>
    <w:unhideWhenUsed/>
    <w:rsid w:val="008A07FF"/>
    <w:pPr>
      <w:tabs>
        <w:tab w:val="right" w:leader="dot" w:pos="8505"/>
      </w:tabs>
      <w:spacing w:after="100"/>
      <w:ind w:left="1701"/>
    </w:pPr>
    <w:rPr>
      <w:noProof/>
    </w:rPr>
  </w:style>
  <w:style w:type="paragraph" w:styleId="Date">
    <w:name w:val="Date"/>
    <w:basedOn w:val="Normal"/>
    <w:link w:val="DateChar"/>
    <w:uiPriority w:val="99"/>
    <w:rsid w:val="002E68C7"/>
    <w:pPr>
      <w:framePr w:hSpace="180" w:wrap="around" w:vAnchor="page" w:hAnchor="margin" w:y="3166"/>
      <w:spacing w:before="360" w:after="0"/>
    </w:pPr>
    <w:rPr>
      <w:rFonts w:ascii="Arial" w:hAnsi="Arial"/>
      <w:sz w:val="28"/>
      <w:szCs w:val="21"/>
      <w:lang w:eastAsia="en-AU"/>
    </w:rPr>
  </w:style>
  <w:style w:type="character" w:customStyle="1" w:styleId="DateChar">
    <w:name w:val="Date Char"/>
    <w:basedOn w:val="DefaultParagraphFont"/>
    <w:link w:val="Date"/>
    <w:uiPriority w:val="99"/>
    <w:rsid w:val="002E68C7"/>
    <w:rPr>
      <w:rFonts w:ascii="Arial" w:hAnsi="Arial"/>
      <w:sz w:val="28"/>
      <w:szCs w:val="21"/>
    </w:rPr>
  </w:style>
  <w:style w:type="paragraph" w:styleId="TOC6">
    <w:name w:val="toc 6"/>
    <w:basedOn w:val="Normal"/>
    <w:next w:val="Normal"/>
    <w:autoRedefine/>
    <w:uiPriority w:val="39"/>
    <w:semiHidden/>
    <w:unhideWhenUsed/>
    <w:rsid w:val="008A07FF"/>
    <w:pPr>
      <w:tabs>
        <w:tab w:val="right" w:pos="8505"/>
      </w:tabs>
      <w:spacing w:after="100"/>
      <w:ind w:left="2126"/>
    </w:pPr>
  </w:style>
  <w:style w:type="paragraph" w:styleId="TOC7">
    <w:name w:val="toc 7"/>
    <w:basedOn w:val="Normal"/>
    <w:next w:val="Normal"/>
    <w:autoRedefine/>
    <w:uiPriority w:val="39"/>
    <w:semiHidden/>
    <w:unhideWhenUsed/>
    <w:rsid w:val="008A07FF"/>
    <w:pPr>
      <w:spacing w:after="100"/>
      <w:ind w:left="2211"/>
    </w:pPr>
  </w:style>
  <w:style w:type="character" w:customStyle="1" w:styleId="Heading4Char">
    <w:name w:val="Heading 4 Char"/>
    <w:basedOn w:val="DefaultParagraphFont"/>
    <w:link w:val="Heading4"/>
    <w:rsid w:val="0003451D"/>
    <w:rPr>
      <w:rFonts w:ascii="Arial" w:hAnsi="Arial"/>
      <w:b/>
      <w:bCs/>
      <w:sz w:val="24"/>
      <w:szCs w:val="26"/>
      <w:lang w:eastAsia="en-US"/>
    </w:rPr>
  </w:style>
  <w:style w:type="character" w:styleId="FollowedHyperlink">
    <w:name w:val="FollowedHyperlink"/>
    <w:basedOn w:val="DefaultParagraphFont"/>
    <w:unhideWhenUsed/>
    <w:rsid w:val="00EE1482"/>
    <w:rPr>
      <w:color w:val="800080"/>
      <w:u w:val="single"/>
    </w:rPr>
  </w:style>
  <w:style w:type="paragraph" w:styleId="Footer">
    <w:name w:val="footer"/>
    <w:basedOn w:val="Normal"/>
    <w:link w:val="FooterChar"/>
    <w:qFormat/>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257138"/>
    <w:rPr>
      <w:sz w:val="17"/>
      <w:lang w:eastAsia="en-US"/>
    </w:rPr>
  </w:style>
  <w:style w:type="paragraph" w:styleId="Header">
    <w:name w:val="header"/>
    <w:basedOn w:val="Normal"/>
    <w:link w:val="HeaderChar"/>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F54D30"/>
    <w:rPr>
      <w:rFonts w:eastAsia="Times New Roman"/>
      <w:b/>
      <w:bCs/>
      <w:color w:val="001523"/>
      <w:sz w:val="22"/>
      <w:szCs w:val="26"/>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EE1482"/>
    <w:rPr>
      <w:color w:val="0000FF"/>
      <w:u w:val="single"/>
    </w:rPr>
  </w:style>
  <w:style w:type="paragraph" w:customStyle="1" w:styleId="LegalCopy">
    <w:name w:val="Legal Copy"/>
    <w:basedOn w:val="Footer"/>
    <w:qFormat/>
    <w:rsid w:val="008855B8"/>
    <w:pPr>
      <w:spacing w:after="180"/>
    </w:pPr>
  </w:style>
  <w:style w:type="paragraph" w:customStyle="1" w:styleId="LegalSubheading">
    <w:name w:val="Legal Subheading"/>
    <w:basedOn w:val="Footer"/>
    <w:qFormat/>
    <w:rsid w:val="00132294"/>
    <w:pPr>
      <w:spacing w:before="120"/>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1"/>
    <w:qFormat/>
    <w:rsid w:val="00C060FE"/>
    <w:pPr>
      <w:numPr>
        <w:numId w:val="3"/>
      </w:numPr>
    </w:pPr>
  </w:style>
  <w:style w:type="paragraph" w:styleId="ListBullet2">
    <w:name w:val="List Bullet 2"/>
    <w:basedOn w:val="Normal"/>
    <w:uiPriority w:val="1"/>
    <w:qFormat/>
    <w:rsid w:val="003F7305"/>
    <w:pPr>
      <w:numPr>
        <w:ilvl w:val="1"/>
        <w:numId w:val="3"/>
      </w:numPr>
      <w:ind w:left="782" w:hanging="357"/>
    </w:pPr>
  </w:style>
  <w:style w:type="paragraph" w:styleId="ListBullet3">
    <w:name w:val="List Bullet 3"/>
    <w:basedOn w:val="Normal"/>
    <w:uiPriority w:val="1"/>
    <w:qFormat/>
    <w:rsid w:val="004B5A6B"/>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EE1482"/>
    <w:pPr>
      <w:numPr>
        <w:numId w:val="4"/>
      </w:numPr>
    </w:pPr>
  </w:style>
  <w:style w:type="paragraph" w:customStyle="1" w:styleId="Numberbullet2">
    <w:name w:val="Number bullet 2"/>
    <w:basedOn w:val="ListBullet2"/>
    <w:qFormat/>
    <w:rsid w:val="00EE1482"/>
    <w:pPr>
      <w:numPr>
        <w:numId w:val="4"/>
      </w:numPr>
    </w:pPr>
  </w:style>
  <w:style w:type="paragraph" w:customStyle="1" w:styleId="Numberbullet3">
    <w:name w:val="Number bullet 3"/>
    <w:basedOn w:val="ListBullet3"/>
    <w:qFormat/>
    <w:rsid w:val="00EE1482"/>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qFormat/>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aliases w:val="Table (Alt. row colours)"/>
    <w:basedOn w:val="TableNormal"/>
    <w:uiPriority w:val="3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qFormat/>
    <w:rsid w:val="00F3148D"/>
    <w:pPr>
      <w:jc w:val="center"/>
    </w:pPr>
    <w:rPr>
      <w:rFonts w:ascii="Arial" w:hAnsi="Arial"/>
      <w:b/>
      <w:sz w:val="28"/>
    </w:rPr>
  </w:style>
  <w:style w:type="paragraph" w:styleId="Title">
    <w:name w:val="Title"/>
    <w:link w:val="TitleChar"/>
    <w:uiPriority w:val="10"/>
    <w:qFormat/>
    <w:rsid w:val="00132294"/>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132294"/>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unhideWhenUsed/>
    <w:qFormat/>
    <w:rsid w:val="00F3148D"/>
    <w:pPr>
      <w:spacing w:before="480" w:after="0" w:line="276" w:lineRule="auto"/>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EE1482"/>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132294"/>
    <w:pPr>
      <w:keepNext/>
      <w:keepLines/>
      <w:pageBreakBefore/>
      <w:spacing w:before="0"/>
      <w:outlineLvl w:val="1"/>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FE1941"/>
    <w:pPr>
      <w:keepNext/>
      <w:keepLines/>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unhideWhenUsed/>
    <w:rsid w:val="000B0A5D"/>
    <w:rPr>
      <w:sz w:val="16"/>
      <w:szCs w:val="16"/>
    </w:rPr>
  </w:style>
  <w:style w:type="paragraph" w:styleId="CommentText">
    <w:name w:val="annotation text"/>
    <w:basedOn w:val="Normal"/>
    <w:link w:val="CommentTextChar"/>
    <w:uiPriority w:val="99"/>
    <w:unhideWhenUsed/>
    <w:rsid w:val="000B0A5D"/>
    <w:pPr>
      <w:spacing w:line="240" w:lineRule="auto"/>
    </w:pPr>
    <w:rPr>
      <w:sz w:val="20"/>
    </w:rPr>
  </w:style>
  <w:style w:type="character" w:customStyle="1" w:styleId="CommentTextChar">
    <w:name w:val="Comment Text Char"/>
    <w:basedOn w:val="DefaultParagraphFont"/>
    <w:link w:val="CommentText"/>
    <w:uiPriority w:val="99"/>
    <w:rsid w:val="000B0A5D"/>
    <w:rPr>
      <w:lang w:eastAsia="en-US"/>
    </w:rPr>
  </w:style>
  <w:style w:type="paragraph" w:styleId="CommentSubject">
    <w:name w:val="annotation subject"/>
    <w:basedOn w:val="CommentText"/>
    <w:next w:val="CommentText"/>
    <w:link w:val="CommentSubjectChar"/>
    <w:unhideWhenUsed/>
    <w:rsid w:val="000B0A5D"/>
    <w:rPr>
      <w:b/>
      <w:bCs/>
    </w:rPr>
  </w:style>
  <w:style w:type="character" w:customStyle="1" w:styleId="CommentSubjectChar">
    <w:name w:val="Comment Subject Char"/>
    <w:basedOn w:val="CommentTextChar"/>
    <w:link w:val="CommentSubject"/>
    <w:rsid w:val="000B0A5D"/>
    <w:rPr>
      <w:b/>
      <w:bCs/>
      <w:lang w:eastAsia="en-US"/>
    </w:rPr>
  </w:style>
  <w:style w:type="table" w:customStyle="1" w:styleId="TableTGAblue1">
    <w:name w:val="Table TGA blue1"/>
    <w:basedOn w:val="TableNormal"/>
    <w:uiPriority w:val="99"/>
    <w:qFormat/>
    <w:rsid w:val="00E12829"/>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Revision">
    <w:name w:val="Revision"/>
    <w:hidden/>
    <w:uiPriority w:val="99"/>
    <w:semiHidden/>
    <w:rsid w:val="00CC5136"/>
    <w:rPr>
      <w:sz w:val="22"/>
      <w:lang w:eastAsia="en-US"/>
    </w:rPr>
  </w:style>
  <w:style w:type="paragraph" w:styleId="ListParagraph">
    <w:name w:val="List Paragraph"/>
    <w:aliases w:val="List Paragraph1,Recommendation,List Paragraph11,Bullet point,Bullet 1,CV text,Dot pt,F5 List Paragraph,Indicator Text,L,List Paragraph Char Char Char,List Paragraph111,List Paragraph2,MAIN CONTENT,Normal numbered,Numbered Para 1,Body text"/>
    <w:basedOn w:val="Normal"/>
    <w:link w:val="ListParagraphChar"/>
    <w:qFormat/>
    <w:rsid w:val="003529C9"/>
    <w:pPr>
      <w:ind w:left="720"/>
      <w:contextualSpacing/>
    </w:pPr>
  </w:style>
  <w:style w:type="paragraph" w:customStyle="1" w:styleId="subsection">
    <w:name w:val="subsection"/>
    <w:aliases w:val="ss,Subsection"/>
    <w:basedOn w:val="Normal"/>
    <w:link w:val="subsectionChar"/>
    <w:rsid w:val="00AC57A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aliases w:val="a"/>
    <w:basedOn w:val="Normal"/>
    <w:link w:val="paragraphChar"/>
    <w:rsid w:val="00AC57A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ActHead5">
    <w:name w:val="ActHead 5"/>
    <w:aliases w:val="s"/>
    <w:basedOn w:val="Normal"/>
    <w:next w:val="subsection"/>
    <w:link w:val="ActHead5Char"/>
    <w:qFormat/>
    <w:rsid w:val="00AC57A7"/>
    <w:pPr>
      <w:keepNext/>
      <w:keepLines/>
      <w:spacing w:before="280" w:after="0" w:line="240" w:lineRule="auto"/>
      <w:ind w:left="1134" w:hanging="1134"/>
      <w:outlineLvl w:val="4"/>
    </w:pPr>
    <w:rPr>
      <w:rFonts w:ascii="Times New Roman" w:eastAsia="Times New Roman" w:hAnsi="Times New Roman"/>
      <w:b/>
      <w:kern w:val="28"/>
      <w:sz w:val="24"/>
      <w:lang w:eastAsia="en-AU"/>
    </w:rPr>
  </w:style>
  <w:style w:type="character" w:customStyle="1" w:styleId="subsectionChar">
    <w:name w:val="subsection Char"/>
    <w:aliases w:val="ss Char"/>
    <w:basedOn w:val="DefaultParagraphFont"/>
    <w:link w:val="subsection"/>
    <w:rsid w:val="00AC57A7"/>
    <w:rPr>
      <w:rFonts w:ascii="Times New Roman" w:eastAsia="Times New Roman" w:hAnsi="Times New Roman"/>
      <w:sz w:val="24"/>
      <w:szCs w:val="24"/>
    </w:rPr>
  </w:style>
  <w:style w:type="character" w:customStyle="1" w:styleId="CharSectno">
    <w:name w:val="CharSectno"/>
    <w:basedOn w:val="DefaultParagraphFont"/>
    <w:qFormat/>
    <w:rsid w:val="00AC57A7"/>
  </w:style>
  <w:style w:type="paragraph" w:customStyle="1" w:styleId="notetext">
    <w:name w:val="note(text)"/>
    <w:aliases w:val="n"/>
    <w:basedOn w:val="Normal"/>
    <w:link w:val="notetextChar"/>
    <w:rsid w:val="00AC57A7"/>
    <w:pPr>
      <w:spacing w:before="122" w:after="0" w:line="240" w:lineRule="auto"/>
      <w:ind w:left="1985" w:hanging="851"/>
    </w:pPr>
    <w:rPr>
      <w:rFonts w:ascii="Times New Roman" w:eastAsia="Times New Roman" w:hAnsi="Times New Roman"/>
      <w:sz w:val="18"/>
      <w:lang w:eastAsia="en-AU"/>
    </w:rPr>
  </w:style>
  <w:style w:type="character" w:customStyle="1" w:styleId="paragraphChar">
    <w:name w:val="paragraph Char"/>
    <w:aliases w:val="a Char"/>
    <w:basedOn w:val="DefaultParagraphFont"/>
    <w:link w:val="paragraph"/>
    <w:rsid w:val="00AC57A7"/>
    <w:rPr>
      <w:rFonts w:ascii="Times New Roman" w:eastAsia="Times New Roman" w:hAnsi="Times New Roman"/>
      <w:sz w:val="24"/>
      <w:szCs w:val="24"/>
    </w:rPr>
  </w:style>
  <w:style w:type="character" w:customStyle="1" w:styleId="notetextChar">
    <w:name w:val="note(text) Char"/>
    <w:aliases w:val="n Char"/>
    <w:basedOn w:val="DefaultParagraphFont"/>
    <w:link w:val="notetext"/>
    <w:rsid w:val="00AC57A7"/>
    <w:rPr>
      <w:rFonts w:ascii="Times New Roman" w:eastAsia="Times New Roman" w:hAnsi="Times New Roman"/>
      <w:sz w:val="18"/>
    </w:rPr>
  </w:style>
  <w:style w:type="character" w:customStyle="1" w:styleId="ActHead5Char">
    <w:name w:val="ActHead 5 Char"/>
    <w:aliases w:val="s Char"/>
    <w:link w:val="ActHead5"/>
    <w:locked/>
    <w:rsid w:val="00AC57A7"/>
    <w:rPr>
      <w:rFonts w:ascii="Times New Roman" w:eastAsia="Times New Roman" w:hAnsi="Times New Roman"/>
      <w:b/>
      <w:kern w:val="28"/>
      <w:sz w:val="24"/>
    </w:rPr>
  </w:style>
  <w:style w:type="character" w:customStyle="1" w:styleId="Heading8Char">
    <w:name w:val="Heading 8 Char"/>
    <w:basedOn w:val="DefaultParagraphFont"/>
    <w:link w:val="Heading8"/>
    <w:rsid w:val="00C3145A"/>
    <w:rPr>
      <w:rFonts w:asciiTheme="majorHAnsi" w:eastAsiaTheme="majorEastAsia" w:hAnsiTheme="majorHAnsi" w:cstheme="majorHAnsi"/>
      <w:color w:val="0070B5" w:themeColor="text1" w:themeTint="BF"/>
      <w:lang w:eastAsia="en-US"/>
    </w:rPr>
  </w:style>
  <w:style w:type="character" w:customStyle="1" w:styleId="Heading9Char">
    <w:name w:val="Heading 9 Char"/>
    <w:basedOn w:val="DefaultParagraphFont"/>
    <w:link w:val="Heading9"/>
    <w:rsid w:val="00C3145A"/>
    <w:rPr>
      <w:rFonts w:asciiTheme="majorHAnsi" w:eastAsiaTheme="majorEastAsia" w:hAnsiTheme="majorHAnsi" w:cstheme="majorBidi"/>
      <w:i/>
      <w:iCs/>
      <w:color w:val="0070B5" w:themeColor="text1" w:themeTint="BF"/>
      <w:lang w:eastAsia="en-US"/>
    </w:rPr>
  </w:style>
  <w:style w:type="character" w:styleId="PageNumber">
    <w:name w:val="page number"/>
    <w:basedOn w:val="DefaultParagraphFont"/>
    <w:rsid w:val="00C3145A"/>
    <w:rPr>
      <w:rFonts w:ascii="Arial" w:hAnsi="Arial"/>
      <w:sz w:val="16"/>
    </w:rPr>
  </w:style>
  <w:style w:type="character" w:customStyle="1" w:styleId="ABN">
    <w:name w:val="ABN"/>
    <w:basedOn w:val="DefaultParagraphFont"/>
    <w:uiPriority w:val="1"/>
    <w:qFormat/>
    <w:rsid w:val="00C3145A"/>
    <w:rPr>
      <w:color w:val="002C47" w:themeColor="text2"/>
      <w:sz w:val="14"/>
    </w:rPr>
  </w:style>
  <w:style w:type="paragraph" w:customStyle="1" w:styleId="SubmissionID">
    <w:name w:val="Submission ID"/>
    <w:basedOn w:val="Normal"/>
    <w:qFormat/>
    <w:rsid w:val="00C3145A"/>
    <w:pPr>
      <w:adjustRightInd w:val="0"/>
      <w:snapToGrid w:val="0"/>
      <w:spacing w:before="180"/>
    </w:pPr>
    <w:rPr>
      <w:rFonts w:ascii="Arial" w:hAnsi="Arial" w:cs="Arial"/>
      <w:b/>
      <w:szCs w:val="22"/>
    </w:rPr>
  </w:style>
  <w:style w:type="paragraph" w:customStyle="1" w:styleId="ExpiryDate">
    <w:name w:val="Expiry Date"/>
    <w:basedOn w:val="Normal"/>
    <w:qFormat/>
    <w:rsid w:val="00C3145A"/>
    <w:pPr>
      <w:adjustRightInd w:val="0"/>
      <w:snapToGrid w:val="0"/>
      <w:spacing w:before="180"/>
      <w:jc w:val="right"/>
    </w:pPr>
    <w:rPr>
      <w:rFonts w:ascii="Arial" w:hAnsi="Arial" w:cs="Arial"/>
      <w:b/>
      <w:szCs w:val="22"/>
    </w:rPr>
  </w:style>
  <w:style w:type="paragraph" w:customStyle="1" w:styleId="Code">
    <w:name w:val="Code"/>
    <w:basedOn w:val="Footer"/>
    <w:qFormat/>
    <w:rsid w:val="00C3145A"/>
    <w:pPr>
      <w:tabs>
        <w:tab w:val="clear" w:pos="4513"/>
        <w:tab w:val="clear" w:pos="9026"/>
        <w:tab w:val="right" w:pos="9639"/>
      </w:tabs>
      <w:adjustRightInd w:val="0"/>
      <w:snapToGrid w:val="0"/>
      <w:spacing w:before="180" w:after="180" w:line="240" w:lineRule="atLeast"/>
    </w:pPr>
    <w:rPr>
      <w:rFonts w:ascii="Arial" w:hAnsi="Arial" w:cstheme="majorHAnsi"/>
      <w:sz w:val="14"/>
      <w:szCs w:val="14"/>
      <w:lang w:val="fr-FR"/>
    </w:rPr>
  </w:style>
  <w:style w:type="paragraph" w:customStyle="1" w:styleId="IDNumber">
    <w:name w:val="IDNumber"/>
    <w:basedOn w:val="Normal"/>
    <w:qFormat/>
    <w:rsid w:val="00C3145A"/>
    <w:pPr>
      <w:adjustRightInd w:val="0"/>
      <w:snapToGrid w:val="0"/>
      <w:spacing w:before="180"/>
    </w:pPr>
    <w:rPr>
      <w:rFonts w:ascii="Arial" w:hAnsi="Arial" w:cs="Arial"/>
      <w:b/>
      <w:sz w:val="10"/>
      <w:szCs w:val="22"/>
    </w:rPr>
  </w:style>
  <w:style w:type="table" w:customStyle="1" w:styleId="TableTGA">
    <w:name w:val="Table TGA"/>
    <w:basedOn w:val="TableNormal"/>
    <w:uiPriority w:val="99"/>
    <w:qFormat/>
    <w:rsid w:val="00C3145A"/>
    <w:rPr>
      <w:rFonts w:asciiTheme="majorHAnsi" w:eastAsia="MS Mincho" w:hAnsiTheme="majorHAnsi"/>
      <w:sz w:val="18"/>
    </w:rPr>
    <w:tblPr>
      <w:tblInd w:w="113" w:type="dxa"/>
    </w:tblPr>
    <w:tblStylePr w:type="firstRow">
      <w:rPr>
        <w:rFonts w:asciiTheme="majorHAnsi" w:hAnsiTheme="majorHAnsi"/>
        <w:b/>
        <w:i w:val="0"/>
        <w:color w:val="FFFFFF" w:themeColor="background1"/>
        <w:sz w:val="18"/>
      </w:rPr>
      <w:tblPr/>
      <w:tcPr>
        <w:tcBorders>
          <w:top w:val="nil"/>
          <w:left w:val="nil"/>
          <w:bottom w:val="nil"/>
          <w:right w:val="nil"/>
          <w:insideH w:val="nil"/>
          <w:insideV w:val="nil"/>
          <w:tl2br w:val="nil"/>
          <w:tr2bl w:val="nil"/>
        </w:tcBorders>
        <w:shd w:val="clear" w:color="auto" w:fill="002C47" w:themeFill="text1"/>
      </w:tcPr>
    </w:tblStylePr>
  </w:style>
  <w:style w:type="paragraph" w:customStyle="1" w:styleId="TableCopy">
    <w:name w:val="Table Copy"/>
    <w:basedOn w:val="Normal"/>
    <w:qFormat/>
    <w:rsid w:val="00C3145A"/>
    <w:pPr>
      <w:adjustRightInd w:val="0"/>
      <w:snapToGrid w:val="0"/>
      <w:spacing w:before="180"/>
    </w:pPr>
    <w:rPr>
      <w:rFonts w:ascii="Arial" w:hAnsi="Arial" w:cs="Arial"/>
      <w:sz w:val="18"/>
      <w:szCs w:val="22"/>
    </w:rPr>
  </w:style>
  <w:style w:type="paragraph" w:customStyle="1" w:styleId="TableHeadings">
    <w:name w:val="Table Headings"/>
    <w:basedOn w:val="Normal"/>
    <w:qFormat/>
    <w:rsid w:val="00C3145A"/>
    <w:pPr>
      <w:adjustRightInd w:val="0"/>
      <w:snapToGrid w:val="0"/>
      <w:spacing w:before="180"/>
    </w:pPr>
    <w:rPr>
      <w:rFonts w:ascii="Arial" w:hAnsi="Arial" w:cs="Arial"/>
      <w:b/>
      <w:color w:val="FFFFFF" w:themeColor="background1"/>
      <w:spacing w:val="-4"/>
      <w:szCs w:val="22"/>
    </w:rPr>
  </w:style>
  <w:style w:type="paragraph" w:customStyle="1" w:styleId="Heading1-Title">
    <w:name w:val="Heading 1 - Title"/>
    <w:basedOn w:val="Title"/>
    <w:rsid w:val="00C3145A"/>
    <w:pPr>
      <w:spacing w:before="240" w:after="480"/>
      <w:outlineLvl w:val="9"/>
    </w:pPr>
    <w:rPr>
      <w:color w:val="auto"/>
    </w:rPr>
  </w:style>
  <w:style w:type="paragraph" w:customStyle="1" w:styleId="Subtitle0">
    <w:name w:val="Sub title"/>
    <w:basedOn w:val="Title"/>
    <w:qFormat/>
    <w:rsid w:val="00C3145A"/>
    <w:pPr>
      <w:spacing w:before="240" w:after="480" w:line="240" w:lineRule="atLeast"/>
      <w:outlineLvl w:val="9"/>
    </w:pPr>
    <w:rPr>
      <w:color w:val="016665" w:themeColor="accent3"/>
      <w:sz w:val="28"/>
    </w:rPr>
  </w:style>
  <w:style w:type="paragraph" w:styleId="ListNumber">
    <w:name w:val="List Number"/>
    <w:basedOn w:val="Normal"/>
    <w:rsid w:val="00C3145A"/>
    <w:pPr>
      <w:numPr>
        <w:numId w:val="7"/>
      </w:numPr>
      <w:adjustRightInd w:val="0"/>
      <w:snapToGrid w:val="0"/>
      <w:spacing w:before="180"/>
      <w:ind w:left="425" w:hanging="425"/>
    </w:pPr>
    <w:rPr>
      <w:rFonts w:ascii="Arial" w:hAnsi="Arial" w:cs="Arial"/>
      <w:szCs w:val="22"/>
    </w:rPr>
  </w:style>
  <w:style w:type="paragraph" w:styleId="ListNumber2">
    <w:name w:val="List Number 2"/>
    <w:basedOn w:val="Normal"/>
    <w:rsid w:val="00C3145A"/>
    <w:pPr>
      <w:numPr>
        <w:numId w:val="8"/>
      </w:numPr>
      <w:adjustRightInd w:val="0"/>
      <w:snapToGrid w:val="0"/>
      <w:spacing w:before="180"/>
      <w:ind w:left="850" w:hanging="425"/>
    </w:pPr>
    <w:rPr>
      <w:rFonts w:ascii="Arial" w:hAnsi="Arial" w:cs="Arial"/>
      <w:szCs w:val="22"/>
    </w:rPr>
  </w:style>
  <w:style w:type="paragraph" w:styleId="ListNumber3">
    <w:name w:val="List Number 3"/>
    <w:basedOn w:val="Normal"/>
    <w:rsid w:val="00C3145A"/>
    <w:pPr>
      <w:numPr>
        <w:numId w:val="9"/>
      </w:numPr>
      <w:adjustRightInd w:val="0"/>
      <w:snapToGrid w:val="0"/>
      <w:spacing w:before="180"/>
      <w:ind w:left="1259" w:hanging="408"/>
    </w:pPr>
    <w:rPr>
      <w:rFonts w:ascii="Arial" w:hAnsi="Arial" w:cs="Arial"/>
      <w:szCs w:val="22"/>
    </w:rPr>
  </w:style>
  <w:style w:type="paragraph" w:customStyle="1" w:styleId="AxisLabel">
    <w:name w:val="Axis Label"/>
    <w:basedOn w:val="Normal"/>
    <w:qFormat/>
    <w:rsid w:val="00C3145A"/>
    <w:pPr>
      <w:adjustRightInd w:val="0"/>
      <w:snapToGrid w:val="0"/>
      <w:spacing w:before="180" w:after="0" w:line="240" w:lineRule="auto"/>
    </w:pPr>
    <w:rPr>
      <w:rFonts w:ascii="Arial" w:hAnsi="Arial" w:cs="Arial"/>
      <w:noProof/>
      <w:sz w:val="14"/>
      <w:szCs w:val="22"/>
      <w:lang w:eastAsia="en-AU"/>
    </w:rPr>
  </w:style>
  <w:style w:type="paragraph" w:customStyle="1" w:styleId="AxisTitle">
    <w:name w:val="Axis Title"/>
    <w:basedOn w:val="Normal"/>
    <w:qFormat/>
    <w:rsid w:val="00C3145A"/>
    <w:pPr>
      <w:adjustRightInd w:val="0"/>
      <w:snapToGrid w:val="0"/>
      <w:spacing w:before="180" w:after="0" w:line="240" w:lineRule="auto"/>
    </w:pPr>
    <w:rPr>
      <w:rFonts w:ascii="Arial" w:hAnsi="Arial" w:cs="Arial"/>
      <w:sz w:val="16"/>
      <w:szCs w:val="22"/>
    </w:rPr>
  </w:style>
  <w:style w:type="paragraph" w:styleId="Caption">
    <w:name w:val="caption"/>
    <w:basedOn w:val="Normal"/>
    <w:next w:val="Normal"/>
    <w:uiPriority w:val="35"/>
    <w:qFormat/>
    <w:rsid w:val="00C3145A"/>
    <w:pPr>
      <w:adjustRightInd w:val="0"/>
      <w:snapToGrid w:val="0"/>
      <w:spacing w:before="240" w:after="0"/>
    </w:pPr>
    <w:rPr>
      <w:rFonts w:ascii="Arial" w:hAnsi="Arial" w:cs="Arial"/>
      <w:b/>
      <w:szCs w:val="18"/>
    </w:rPr>
  </w:style>
  <w:style w:type="paragraph" w:customStyle="1" w:styleId="Contents">
    <w:name w:val="Contents"/>
    <w:basedOn w:val="Normal"/>
    <w:rsid w:val="00C3145A"/>
    <w:pPr>
      <w:adjustRightInd w:val="0"/>
      <w:snapToGrid w:val="0"/>
      <w:spacing w:before="0" w:after="360"/>
    </w:pPr>
    <w:rPr>
      <w:rFonts w:ascii="Arial" w:hAnsi="Arial" w:cs="Arial"/>
      <w:b/>
      <w:sz w:val="64"/>
      <w:szCs w:val="22"/>
    </w:rPr>
  </w:style>
  <w:style w:type="paragraph" w:customStyle="1" w:styleId="FigureCaption">
    <w:name w:val="Figure Caption"/>
    <w:basedOn w:val="Normal"/>
    <w:qFormat/>
    <w:rsid w:val="00C3145A"/>
    <w:pPr>
      <w:adjustRightInd w:val="0"/>
      <w:snapToGrid w:val="0"/>
      <w:spacing w:before="0" w:after="0"/>
    </w:pPr>
    <w:rPr>
      <w:rFonts w:ascii="Arial" w:hAnsi="Arial" w:cs="Arial"/>
      <w:sz w:val="20"/>
    </w:rPr>
  </w:style>
  <w:style w:type="paragraph" w:customStyle="1" w:styleId="FigureTitle0">
    <w:name w:val="Figure Title"/>
    <w:basedOn w:val="Normal"/>
    <w:qFormat/>
    <w:rsid w:val="00C3145A"/>
    <w:pPr>
      <w:adjustRightInd w:val="0"/>
      <w:snapToGrid w:val="0"/>
      <w:spacing w:before="180" w:line="220" w:lineRule="atLeast"/>
    </w:pPr>
    <w:rPr>
      <w:rFonts w:ascii="Arial" w:hAnsi="Arial" w:cs="Arial"/>
      <w:b/>
      <w:szCs w:val="22"/>
    </w:rPr>
  </w:style>
  <w:style w:type="paragraph" w:customStyle="1" w:styleId="FlowChartWhiteHeading">
    <w:name w:val="Flow Chart White Heading"/>
    <w:basedOn w:val="Normal"/>
    <w:rsid w:val="00C3145A"/>
    <w:pPr>
      <w:adjustRightInd w:val="0"/>
      <w:snapToGrid w:val="0"/>
      <w:jc w:val="center"/>
    </w:pPr>
    <w:rPr>
      <w:rFonts w:ascii="Arial" w:hAnsi="Arial" w:cs="Arial"/>
      <w:b/>
      <w:color w:val="FFFFFF"/>
      <w:szCs w:val="22"/>
    </w:rPr>
  </w:style>
  <w:style w:type="paragraph" w:customStyle="1" w:styleId="FlowChartBlackHeading">
    <w:name w:val="Flow Chart Black Heading"/>
    <w:basedOn w:val="FlowChartWhiteHeading"/>
    <w:rsid w:val="00C3145A"/>
    <w:rPr>
      <w:color w:val="auto"/>
    </w:rPr>
  </w:style>
  <w:style w:type="paragraph" w:customStyle="1" w:styleId="FlowChartWhiteText">
    <w:name w:val="Flow Chart White Text"/>
    <w:basedOn w:val="Normal"/>
    <w:rsid w:val="00C3145A"/>
    <w:pPr>
      <w:adjustRightInd w:val="0"/>
      <w:snapToGrid w:val="0"/>
      <w:spacing w:before="0" w:after="0"/>
      <w:jc w:val="center"/>
    </w:pPr>
    <w:rPr>
      <w:rFonts w:ascii="Arial" w:hAnsi="Arial" w:cs="Arial"/>
      <w:color w:val="FFFFFF"/>
      <w:szCs w:val="22"/>
    </w:rPr>
  </w:style>
  <w:style w:type="paragraph" w:customStyle="1" w:styleId="FlowchartText">
    <w:name w:val="Flowchart Text"/>
    <w:basedOn w:val="Normal"/>
    <w:rsid w:val="00C3145A"/>
    <w:pPr>
      <w:adjustRightInd w:val="0"/>
      <w:snapToGrid w:val="0"/>
      <w:spacing w:before="0" w:after="0"/>
      <w:jc w:val="center"/>
    </w:pPr>
    <w:rPr>
      <w:rFonts w:ascii="Arial" w:hAnsi="Arial" w:cs="Arial"/>
      <w:szCs w:val="22"/>
    </w:rPr>
  </w:style>
  <w:style w:type="paragraph" w:customStyle="1" w:styleId="Key">
    <w:name w:val="Key"/>
    <w:basedOn w:val="Normal"/>
    <w:qFormat/>
    <w:rsid w:val="00C3145A"/>
    <w:pPr>
      <w:adjustRightInd w:val="0"/>
      <w:snapToGrid w:val="0"/>
      <w:spacing w:before="180"/>
    </w:pPr>
    <w:rPr>
      <w:rFonts w:ascii="Arial" w:hAnsi="Arial" w:cs="Arial"/>
      <w:sz w:val="14"/>
      <w:szCs w:val="22"/>
    </w:rPr>
  </w:style>
  <w:style w:type="paragraph" w:customStyle="1" w:styleId="NonTOCHeading20">
    <w:name w:val="Non TOC Heading 2"/>
    <w:basedOn w:val="Normal"/>
    <w:qFormat/>
    <w:rsid w:val="00C3145A"/>
    <w:pPr>
      <w:adjustRightInd w:val="0"/>
      <w:snapToGrid w:val="0"/>
      <w:spacing w:before="180"/>
    </w:pPr>
    <w:rPr>
      <w:rFonts w:ascii="Arial" w:hAnsi="Arial" w:cs="Arial"/>
      <w:b/>
      <w:sz w:val="32"/>
      <w:szCs w:val="22"/>
    </w:rPr>
  </w:style>
  <w:style w:type="paragraph" w:customStyle="1" w:styleId="Notes">
    <w:name w:val="Notes"/>
    <w:basedOn w:val="Normal"/>
    <w:qFormat/>
    <w:locked/>
    <w:rsid w:val="00C3145A"/>
    <w:pPr>
      <w:adjustRightInd w:val="0"/>
      <w:snapToGrid w:val="0"/>
      <w:spacing w:before="180" w:after="0" w:line="240" w:lineRule="auto"/>
    </w:pPr>
    <w:rPr>
      <w:rFonts w:ascii="Arial" w:hAnsi="Arial" w:cs="Arial"/>
      <w:sz w:val="16"/>
      <w:szCs w:val="22"/>
    </w:rPr>
  </w:style>
  <w:style w:type="paragraph" w:customStyle="1" w:styleId="Subject">
    <w:name w:val="Subject"/>
    <w:basedOn w:val="Normal"/>
    <w:qFormat/>
    <w:rsid w:val="00C3145A"/>
    <w:pPr>
      <w:adjustRightInd w:val="0"/>
      <w:snapToGrid w:val="0"/>
      <w:spacing w:before="180"/>
    </w:pPr>
    <w:rPr>
      <w:rFonts w:ascii="Arial" w:hAnsi="Arial" w:cs="Arial"/>
      <w:b/>
      <w:szCs w:val="22"/>
    </w:rPr>
  </w:style>
  <w:style w:type="paragraph" w:customStyle="1" w:styleId="TableCaption">
    <w:name w:val="Table Caption"/>
    <w:basedOn w:val="FigureCaption"/>
    <w:qFormat/>
    <w:rsid w:val="00C3145A"/>
    <w:pPr>
      <w:spacing w:after="240"/>
    </w:pPr>
    <w:rPr>
      <w:sz w:val="17"/>
    </w:rPr>
  </w:style>
  <w:style w:type="paragraph" w:customStyle="1" w:styleId="TableTitle0">
    <w:name w:val="Table Title"/>
    <w:basedOn w:val="Normal"/>
    <w:qFormat/>
    <w:rsid w:val="00C3145A"/>
    <w:pPr>
      <w:adjustRightInd w:val="0"/>
      <w:snapToGrid w:val="0"/>
      <w:spacing w:before="180"/>
    </w:pPr>
    <w:rPr>
      <w:rFonts w:ascii="Arial" w:hAnsi="Arial" w:cs="Arial"/>
      <w:b/>
      <w:sz w:val="20"/>
      <w:szCs w:val="22"/>
    </w:rPr>
  </w:style>
  <w:style w:type="paragraph" w:styleId="ListNumber4">
    <w:name w:val="List Number 4"/>
    <w:basedOn w:val="Normal"/>
    <w:rsid w:val="00C3145A"/>
    <w:pPr>
      <w:numPr>
        <w:numId w:val="10"/>
      </w:numPr>
      <w:adjustRightInd w:val="0"/>
      <w:snapToGrid w:val="0"/>
      <w:spacing w:before="180"/>
      <w:ind w:left="1208" w:hanging="357"/>
    </w:pPr>
    <w:rPr>
      <w:rFonts w:ascii="Arial" w:hAnsi="Arial" w:cs="Arial"/>
      <w:szCs w:val="22"/>
    </w:rPr>
  </w:style>
  <w:style w:type="paragraph" w:styleId="ListNumber5">
    <w:name w:val="List Number 5"/>
    <w:basedOn w:val="Normal"/>
    <w:rsid w:val="00C3145A"/>
    <w:pPr>
      <w:numPr>
        <w:numId w:val="11"/>
      </w:numPr>
      <w:adjustRightInd w:val="0"/>
      <w:snapToGrid w:val="0"/>
      <w:spacing w:before="180"/>
      <w:ind w:left="1491" w:hanging="357"/>
    </w:pPr>
    <w:rPr>
      <w:rFonts w:ascii="Arial" w:hAnsi="Arial" w:cs="Arial"/>
      <w:szCs w:val="22"/>
    </w:rPr>
  </w:style>
  <w:style w:type="paragraph" w:customStyle="1" w:styleId="acthead50">
    <w:name w:val="acthead5"/>
    <w:basedOn w:val="Normal"/>
    <w:rsid w:val="00C3145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harsectno0">
    <w:name w:val="charsectno"/>
    <w:basedOn w:val="DefaultParagraphFont"/>
    <w:rsid w:val="00C3145A"/>
  </w:style>
  <w:style w:type="paragraph" w:customStyle="1" w:styleId="subsection2">
    <w:name w:val="subsection2"/>
    <w:aliases w:val="ss2"/>
    <w:basedOn w:val="Normal"/>
    <w:rsid w:val="00C3145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notetext0">
    <w:name w:val="notetext"/>
    <w:basedOn w:val="Normal"/>
    <w:rsid w:val="00C3145A"/>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sub">
    <w:name w:val="paragraphsub"/>
    <w:basedOn w:val="Normal"/>
    <w:rsid w:val="00C3145A"/>
    <w:pPr>
      <w:spacing w:before="100" w:beforeAutospacing="1" w:after="100" w:afterAutospacing="1" w:line="240" w:lineRule="auto"/>
    </w:pPr>
    <w:rPr>
      <w:rFonts w:ascii="Times New Roman" w:eastAsia="Times New Roman" w:hAnsi="Times New Roman"/>
      <w:sz w:val="24"/>
      <w:szCs w:val="24"/>
      <w:lang w:eastAsia="en-AU"/>
    </w:rPr>
  </w:style>
  <w:style w:type="table" w:styleId="ListTable4-Accent1">
    <w:name w:val="List Table 4 Accent 1"/>
    <w:basedOn w:val="TableNormal"/>
    <w:uiPriority w:val="49"/>
    <w:rsid w:val="00C3145A"/>
    <w:rPr>
      <w:rFonts w:ascii="Times New Roman" w:eastAsiaTheme="minorHAnsi" w:hAnsi="Times New Roman"/>
      <w:sz w:val="24"/>
      <w:szCs w:val="24"/>
      <w:lang w:eastAsia="en-US"/>
    </w:rPr>
    <w:tblPr>
      <w:tblStyleRowBandSize w:val="1"/>
      <w:tblStyleColBandSize w:val="1"/>
      <w:tblBorders>
        <w:top w:val="single" w:sz="4" w:space="0" w:color="31B7FF" w:themeColor="accent1" w:themeTint="99"/>
        <w:left w:val="single" w:sz="4" w:space="0" w:color="31B7FF" w:themeColor="accent1" w:themeTint="99"/>
        <w:bottom w:val="single" w:sz="4" w:space="0" w:color="31B7FF" w:themeColor="accent1" w:themeTint="99"/>
        <w:right w:val="single" w:sz="4" w:space="0" w:color="31B7FF" w:themeColor="accent1" w:themeTint="99"/>
        <w:insideH w:val="single" w:sz="4" w:space="0" w:color="31B7FF" w:themeColor="accent1" w:themeTint="99"/>
      </w:tblBorders>
    </w:tblPr>
    <w:tblStylePr w:type="firstRow">
      <w:rPr>
        <w:b/>
        <w:bCs/>
        <w:color w:val="FFFFFF" w:themeColor="background1"/>
      </w:rPr>
      <w:tblPr/>
      <w:tcPr>
        <w:tcBorders>
          <w:top w:val="single" w:sz="4" w:space="0" w:color="006EA8" w:themeColor="accent1"/>
          <w:left w:val="single" w:sz="4" w:space="0" w:color="006EA8" w:themeColor="accent1"/>
          <w:bottom w:val="single" w:sz="4" w:space="0" w:color="006EA8" w:themeColor="accent1"/>
          <w:right w:val="single" w:sz="4" w:space="0" w:color="006EA8" w:themeColor="accent1"/>
          <w:insideH w:val="nil"/>
        </w:tcBorders>
        <w:shd w:val="clear" w:color="auto" w:fill="006EA8" w:themeFill="accent1"/>
      </w:tcPr>
    </w:tblStylePr>
    <w:tblStylePr w:type="lastRow">
      <w:rPr>
        <w:b/>
        <w:bCs/>
      </w:rPr>
      <w:tblPr/>
      <w:tcPr>
        <w:tcBorders>
          <w:top w:val="double" w:sz="4" w:space="0" w:color="31B7FF" w:themeColor="accent1" w:themeTint="99"/>
        </w:tcBorders>
      </w:tcPr>
    </w:tblStylePr>
    <w:tblStylePr w:type="firstCol">
      <w:rPr>
        <w:b/>
        <w:bCs/>
      </w:rPr>
    </w:tblStylePr>
    <w:tblStylePr w:type="lastCol">
      <w:rPr>
        <w:b/>
        <w:bCs/>
      </w:rPr>
    </w:tblStylePr>
    <w:tblStylePr w:type="band1Vert">
      <w:tblPr/>
      <w:tcPr>
        <w:shd w:val="clear" w:color="auto" w:fill="BAE7FF" w:themeFill="accent1" w:themeFillTint="33"/>
      </w:tcPr>
    </w:tblStylePr>
    <w:tblStylePr w:type="band1Horz">
      <w:tblPr/>
      <w:tcPr>
        <w:shd w:val="clear" w:color="auto" w:fill="BAE7FF" w:themeFill="accent1" w:themeFillTint="33"/>
      </w:tcPr>
    </w:tblStylePr>
  </w:style>
  <w:style w:type="paragraph" w:styleId="BodyText">
    <w:name w:val="Body Text"/>
    <w:link w:val="BodyTextChar"/>
    <w:rsid w:val="00C3145A"/>
    <w:pPr>
      <w:pBdr>
        <w:top w:val="nil"/>
        <w:left w:val="nil"/>
        <w:bottom w:val="nil"/>
        <w:right w:val="nil"/>
        <w:between w:val="nil"/>
        <w:bar w:val="nil"/>
      </w:pBdr>
      <w:spacing w:after="120" w:line="276" w:lineRule="auto"/>
    </w:pPr>
    <w:rPr>
      <w:rFonts w:ascii="Trebuchet MS" w:eastAsia="Trebuchet MS" w:hAnsi="Trebuchet MS" w:cs="Trebuchet MS"/>
      <w:color w:val="000000"/>
      <w:sz w:val="22"/>
      <w:szCs w:val="22"/>
      <w:u w:color="000000"/>
      <w:bdr w:val="nil"/>
      <w:lang w:val="en-US" w:eastAsia="en-US"/>
    </w:rPr>
  </w:style>
  <w:style w:type="character" w:customStyle="1" w:styleId="BodyTextChar">
    <w:name w:val="Body Text Char"/>
    <w:basedOn w:val="DefaultParagraphFont"/>
    <w:link w:val="BodyText"/>
    <w:rsid w:val="00C3145A"/>
    <w:rPr>
      <w:rFonts w:ascii="Trebuchet MS" w:eastAsia="Trebuchet MS" w:hAnsi="Trebuchet MS" w:cs="Trebuchet MS"/>
      <w:color w:val="000000"/>
      <w:sz w:val="22"/>
      <w:szCs w:val="22"/>
      <w:u w:color="000000"/>
      <w:bdr w:val="nil"/>
      <w:lang w:val="en-US" w:eastAsia="en-US"/>
    </w:rPr>
  </w:style>
  <w:style w:type="character" w:customStyle="1" w:styleId="ListParagraphChar">
    <w:name w:val="List Paragraph Char"/>
    <w:aliases w:val="List Paragraph1 Char,Recommendation Char,List Paragraph11 Char,Bullet point Char,Bullet 1 Char,CV text Char,Dot pt Char,F5 List Paragraph Char,Indicator Text Char,L Char,List Paragraph Char Char Char Char,List Paragraph111 Char"/>
    <w:link w:val="ListParagraph"/>
    <w:qFormat/>
    <w:locked/>
    <w:rsid w:val="000F2C16"/>
    <w:rPr>
      <w:sz w:val="22"/>
      <w:lang w:eastAsia="en-US"/>
    </w:rPr>
  </w:style>
  <w:style w:type="numbering" w:customStyle="1" w:styleId="ListBullets2">
    <w:name w:val="ListBullets2"/>
    <w:uiPriority w:val="99"/>
    <w:locked/>
    <w:rsid w:val="000E1B5B"/>
    <w:pPr>
      <w:numPr>
        <w:numId w:val="20"/>
      </w:numPr>
    </w:pPr>
  </w:style>
  <w:style w:type="paragraph" w:customStyle="1" w:styleId="paragraphsub0">
    <w:name w:val="paragraph(sub)"/>
    <w:aliases w:val="aa"/>
    <w:basedOn w:val="Normal"/>
    <w:rsid w:val="00372B03"/>
    <w:pPr>
      <w:tabs>
        <w:tab w:val="right" w:pos="1985"/>
      </w:tabs>
      <w:spacing w:before="40" w:after="0" w:line="240" w:lineRule="auto"/>
      <w:ind w:left="2098" w:hanging="2098"/>
    </w:pPr>
    <w:rPr>
      <w:rFonts w:ascii="Times New Roman" w:eastAsia="Times New Roman" w:hAnsi="Times New Roman"/>
      <w:lang w:eastAsia="en-AU"/>
    </w:rPr>
  </w:style>
  <w:style w:type="paragraph" w:customStyle="1" w:styleId="NbrHeading1">
    <w:name w:val="Nbr Heading 1"/>
    <w:basedOn w:val="Heading1"/>
    <w:next w:val="BodyText"/>
    <w:uiPriority w:val="1"/>
    <w:qFormat/>
    <w:rsid w:val="00191D2D"/>
    <w:pPr>
      <w:numPr>
        <w:numId w:val="18"/>
      </w:numPr>
      <w:spacing w:line="240" w:lineRule="auto"/>
    </w:pPr>
    <w:rPr>
      <w:rFonts w:asciiTheme="majorHAnsi" w:eastAsiaTheme="majorEastAsia" w:hAnsiTheme="majorHAnsi" w:cstheme="majorBidi"/>
      <w:b w:val="0"/>
      <w:bCs w:val="0"/>
      <w:color w:val="006EA8" w:themeColor="accent1"/>
      <w:sz w:val="36"/>
      <w:szCs w:val="32"/>
      <w:lang w:eastAsia="en-AU"/>
    </w:rPr>
  </w:style>
  <w:style w:type="paragraph" w:customStyle="1" w:styleId="NbrHeading2">
    <w:name w:val="Nbr Heading 2"/>
    <w:basedOn w:val="Heading2"/>
    <w:next w:val="BodyText"/>
    <w:uiPriority w:val="1"/>
    <w:qFormat/>
    <w:rsid w:val="00191D2D"/>
    <w:pPr>
      <w:numPr>
        <w:ilvl w:val="1"/>
        <w:numId w:val="18"/>
      </w:numPr>
      <w:spacing w:before="240" w:line="240" w:lineRule="auto"/>
    </w:pPr>
    <w:rPr>
      <w:rFonts w:asciiTheme="majorHAnsi" w:eastAsiaTheme="majorEastAsia" w:hAnsiTheme="majorHAnsi" w:cstheme="majorBidi"/>
      <w:bCs w:val="0"/>
      <w:color w:val="006EA8" w:themeColor="accent1"/>
      <w:sz w:val="28"/>
      <w:szCs w:val="26"/>
      <w:lang w:eastAsia="en-AU"/>
    </w:rPr>
  </w:style>
  <w:style w:type="paragraph" w:customStyle="1" w:styleId="NbrHeading3">
    <w:name w:val="Nbr Heading 3"/>
    <w:basedOn w:val="Heading3"/>
    <w:next w:val="BodyText"/>
    <w:uiPriority w:val="1"/>
    <w:qFormat/>
    <w:rsid w:val="00191D2D"/>
    <w:pPr>
      <w:numPr>
        <w:ilvl w:val="2"/>
        <w:numId w:val="18"/>
      </w:numPr>
      <w:tabs>
        <w:tab w:val="clear" w:pos="1417"/>
        <w:tab w:val="num" w:pos="1134"/>
      </w:tabs>
      <w:spacing w:before="240" w:line="240" w:lineRule="auto"/>
      <w:ind w:left="1134"/>
    </w:pPr>
    <w:rPr>
      <w:rFonts w:asciiTheme="majorHAnsi" w:eastAsiaTheme="majorEastAsia" w:hAnsiTheme="majorHAnsi" w:cstheme="majorBidi"/>
      <w:b w:val="0"/>
      <w:bCs w:val="0"/>
      <w:color w:val="006EA8" w:themeColor="accent1"/>
      <w:sz w:val="24"/>
      <w:szCs w:val="24"/>
      <w:lang w:eastAsia="en-AU"/>
    </w:rPr>
  </w:style>
  <w:style w:type="paragraph" w:customStyle="1" w:styleId="NbrHeading4">
    <w:name w:val="Nbr Heading 4"/>
    <w:basedOn w:val="Heading4"/>
    <w:next w:val="BodyText"/>
    <w:uiPriority w:val="1"/>
    <w:qFormat/>
    <w:rsid w:val="00191D2D"/>
    <w:pPr>
      <w:numPr>
        <w:ilvl w:val="3"/>
        <w:numId w:val="18"/>
      </w:numPr>
      <w:spacing w:before="240" w:line="240" w:lineRule="auto"/>
    </w:pPr>
    <w:rPr>
      <w:rFonts w:asciiTheme="majorHAnsi" w:eastAsiaTheme="majorEastAsia" w:hAnsiTheme="majorHAnsi" w:cstheme="majorBidi"/>
      <w:bCs w:val="0"/>
      <w:iCs/>
      <w:color w:val="006EA8" w:themeColor="accent1"/>
      <w:szCs w:val="24"/>
      <w:lang w:eastAsia="en-AU"/>
    </w:rPr>
  </w:style>
  <w:style w:type="paragraph" w:customStyle="1" w:styleId="NbrHeading5">
    <w:name w:val="Nbr Heading 5"/>
    <w:basedOn w:val="Heading5"/>
    <w:next w:val="BodyText"/>
    <w:uiPriority w:val="1"/>
    <w:qFormat/>
    <w:rsid w:val="00191D2D"/>
    <w:pPr>
      <w:numPr>
        <w:ilvl w:val="4"/>
        <w:numId w:val="18"/>
      </w:numPr>
      <w:spacing w:line="240" w:lineRule="auto"/>
    </w:pPr>
    <w:rPr>
      <w:rFonts w:asciiTheme="majorHAnsi" w:eastAsiaTheme="majorEastAsia" w:hAnsiTheme="majorHAnsi" w:cstheme="majorBidi"/>
      <w:b w:val="0"/>
      <w:bCs w:val="0"/>
      <w:i/>
      <w:color w:val="006EA8" w:themeColor="accent1"/>
      <w:sz w:val="24"/>
      <w:szCs w:val="24"/>
      <w:lang w:eastAsia="en-AU"/>
    </w:rPr>
  </w:style>
  <w:style w:type="numbering" w:customStyle="1" w:styleId="ListNbrHeading">
    <w:name w:val="List_NbrHeading"/>
    <w:uiPriority w:val="99"/>
    <w:rsid w:val="00191D2D"/>
    <w:pPr>
      <w:numPr>
        <w:numId w:val="19"/>
      </w:numPr>
    </w:pPr>
  </w:style>
  <w:style w:type="table" w:customStyle="1" w:styleId="TableUQLined">
    <w:name w:val="Table UQ Lined"/>
    <w:basedOn w:val="TableNormal"/>
    <w:uiPriority w:val="99"/>
    <w:rsid w:val="00191D2D"/>
    <w:rPr>
      <w:rFonts w:asciiTheme="minorHAnsi" w:eastAsiaTheme="minorHAnsi" w:hAnsiTheme="minorHAnsi" w:cstheme="minorBidi"/>
      <w:sz w:val="22"/>
      <w:szCs w:val="22"/>
      <w:lang w:eastAsia="en-US"/>
    </w:rPr>
    <w:tblPr>
      <w:tblStyleRowBandSize w:val="1"/>
      <w:tblStyleColBandSize w:val="1"/>
      <w:tblBorders>
        <w:top w:val="single" w:sz="4" w:space="0" w:color="006EA8" w:themeColor="accent1"/>
        <w:bottom w:val="single" w:sz="18" w:space="0" w:color="006EA8" w:themeColor="accent1"/>
        <w:insideH w:val="single" w:sz="4" w:space="0" w:color="006EA8" w:themeColor="accent1"/>
      </w:tblBorders>
      <w:tblCellMar>
        <w:left w:w="0" w:type="dxa"/>
        <w:right w:w="0" w:type="dxa"/>
      </w:tblCellMar>
    </w:tblPr>
    <w:tblStylePr w:type="firstRow">
      <w:tblPr/>
      <w:tcPr>
        <w:tcBorders>
          <w:top w:val="single" w:sz="18" w:space="0" w:color="006EA8" w:themeColor="accent1"/>
          <w:left w:val="nil"/>
          <w:bottom w:val="single" w:sz="18" w:space="0" w:color="006EA8" w:themeColor="accent1"/>
          <w:right w:val="nil"/>
          <w:insideH w:val="nil"/>
          <w:insideV w:val="nil"/>
          <w:tl2br w:val="nil"/>
          <w:tr2bl w:val="nil"/>
        </w:tcBorders>
      </w:tcPr>
    </w:tblStylePr>
    <w:tblStylePr w:type="lastRow">
      <w:rPr>
        <w:b/>
      </w:rPr>
      <w:tblPr/>
      <w:tcPr>
        <w:shd w:val="clear" w:color="auto" w:fill="EAE6F0" w:themeFill="accent6" w:themeFillTint="33"/>
      </w:tcPr>
    </w:tblStylePr>
    <w:tblStylePr w:type="lastCol">
      <w:tblPr/>
      <w:tcPr>
        <w:shd w:val="clear" w:color="auto" w:fill="EAE6F0" w:themeFill="accent6" w:themeFillTint="33"/>
      </w:tcPr>
    </w:tblStylePr>
    <w:tblStylePr w:type="band2Vert">
      <w:tblPr/>
      <w:tcPr>
        <w:shd w:val="clear" w:color="auto" w:fill="EAE6F0" w:themeFill="accent6" w:themeFillTint="33"/>
      </w:tcPr>
    </w:tblStylePr>
    <w:tblStylePr w:type="band2Horz">
      <w:tblPr/>
      <w:tcPr>
        <w:shd w:val="clear" w:color="auto" w:fill="EAE6F0" w:themeFill="accent6" w:themeFillTint="33"/>
      </w:tcPr>
    </w:tblStylePr>
  </w:style>
  <w:style w:type="paragraph" w:customStyle="1" w:styleId="TableText">
    <w:name w:val="Table Text"/>
    <w:basedOn w:val="Normal"/>
    <w:uiPriority w:val="3"/>
    <w:qFormat/>
    <w:rsid w:val="00191D2D"/>
    <w:pPr>
      <w:spacing w:before="60" w:after="60" w:line="240" w:lineRule="auto"/>
      <w:ind w:left="113" w:right="113"/>
    </w:pPr>
    <w:rPr>
      <w:rFonts w:asciiTheme="minorHAnsi" w:eastAsia="Times New Roman" w:hAnsiTheme="minorHAnsi"/>
      <w:szCs w:val="24"/>
      <w:lang w:eastAsia="en-AU"/>
    </w:rPr>
  </w:style>
  <w:style w:type="table" w:styleId="PlainTable3">
    <w:name w:val="Plain Table 3"/>
    <w:basedOn w:val="TableNormal"/>
    <w:uiPriority w:val="43"/>
    <w:rsid w:val="00301927"/>
    <w:tblPr>
      <w:tblStyleRowBandSize w:val="1"/>
      <w:tblStyleColBandSize w:val="1"/>
    </w:tblPr>
    <w:tblStylePr w:type="firstRow">
      <w:rPr>
        <w:b/>
        <w:bCs/>
        <w:caps/>
      </w:rPr>
      <w:tblPr/>
      <w:tcPr>
        <w:tcBorders>
          <w:bottom w:val="single" w:sz="4" w:space="0" w:color="22AB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2AB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4541F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opofpage">
    <w:name w:val="topofpage"/>
    <w:basedOn w:val="Normal"/>
    <w:rsid w:val="004541F7"/>
    <w:pPr>
      <w:spacing w:before="100" w:beforeAutospacing="1" w:after="100" w:afterAutospacing="1" w:line="240" w:lineRule="auto"/>
    </w:pPr>
    <w:rPr>
      <w:rFonts w:ascii="Times New Roman" w:eastAsia="Times New Roman" w:hAnsi="Times New Roman"/>
      <w:sz w:val="24"/>
      <w:szCs w:val="24"/>
      <w:lang w:eastAsia="en-AU"/>
    </w:rPr>
  </w:style>
  <w:style w:type="numbering" w:customStyle="1" w:styleId="List33">
    <w:name w:val="List 33"/>
    <w:basedOn w:val="NoList"/>
    <w:rsid w:val="0080390B"/>
    <w:pPr>
      <w:numPr>
        <w:numId w:val="22"/>
      </w:numPr>
    </w:pPr>
  </w:style>
  <w:style w:type="table" w:customStyle="1" w:styleId="TableAltrowcolours1">
    <w:name w:val="Table (Alt. row colours)1"/>
    <w:basedOn w:val="TableNormal"/>
    <w:next w:val="TableGrid"/>
    <w:uiPriority w:val="39"/>
    <w:rsid w:val="00802AD8"/>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ltrowcolours2">
    <w:name w:val="Table (Alt. row colours)2"/>
    <w:basedOn w:val="TableNormal"/>
    <w:next w:val="TableGrid"/>
    <w:uiPriority w:val="39"/>
    <w:rsid w:val="00022AB6"/>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63166">
      <w:bodyDiv w:val="1"/>
      <w:marLeft w:val="0"/>
      <w:marRight w:val="0"/>
      <w:marTop w:val="0"/>
      <w:marBottom w:val="0"/>
      <w:divBdr>
        <w:top w:val="none" w:sz="0" w:space="0" w:color="auto"/>
        <w:left w:val="none" w:sz="0" w:space="0" w:color="auto"/>
        <w:bottom w:val="none" w:sz="0" w:space="0" w:color="auto"/>
        <w:right w:val="none" w:sz="0" w:space="0" w:color="auto"/>
      </w:divBdr>
    </w:div>
    <w:div w:id="199827891">
      <w:bodyDiv w:val="1"/>
      <w:marLeft w:val="0"/>
      <w:marRight w:val="0"/>
      <w:marTop w:val="0"/>
      <w:marBottom w:val="0"/>
      <w:divBdr>
        <w:top w:val="none" w:sz="0" w:space="0" w:color="auto"/>
        <w:left w:val="none" w:sz="0" w:space="0" w:color="auto"/>
        <w:bottom w:val="none" w:sz="0" w:space="0" w:color="auto"/>
        <w:right w:val="none" w:sz="0" w:space="0" w:color="auto"/>
      </w:divBdr>
    </w:div>
    <w:div w:id="214463506">
      <w:bodyDiv w:val="1"/>
      <w:marLeft w:val="0"/>
      <w:marRight w:val="0"/>
      <w:marTop w:val="0"/>
      <w:marBottom w:val="0"/>
      <w:divBdr>
        <w:top w:val="none" w:sz="0" w:space="0" w:color="auto"/>
        <w:left w:val="none" w:sz="0" w:space="0" w:color="auto"/>
        <w:bottom w:val="none" w:sz="0" w:space="0" w:color="auto"/>
        <w:right w:val="none" w:sz="0" w:space="0" w:color="auto"/>
      </w:divBdr>
      <w:divsChild>
        <w:div w:id="1461650984">
          <w:marLeft w:val="403"/>
          <w:marRight w:val="0"/>
          <w:marTop w:val="80"/>
          <w:marBottom w:val="0"/>
          <w:divBdr>
            <w:top w:val="none" w:sz="0" w:space="0" w:color="auto"/>
            <w:left w:val="none" w:sz="0" w:space="0" w:color="auto"/>
            <w:bottom w:val="none" w:sz="0" w:space="0" w:color="auto"/>
            <w:right w:val="none" w:sz="0" w:space="0" w:color="auto"/>
          </w:divBdr>
        </w:div>
        <w:div w:id="1055734513">
          <w:marLeft w:val="403"/>
          <w:marRight w:val="0"/>
          <w:marTop w:val="80"/>
          <w:marBottom w:val="0"/>
          <w:divBdr>
            <w:top w:val="none" w:sz="0" w:space="0" w:color="auto"/>
            <w:left w:val="none" w:sz="0" w:space="0" w:color="auto"/>
            <w:bottom w:val="none" w:sz="0" w:space="0" w:color="auto"/>
            <w:right w:val="none" w:sz="0" w:space="0" w:color="auto"/>
          </w:divBdr>
        </w:div>
        <w:div w:id="46103678">
          <w:marLeft w:val="403"/>
          <w:marRight w:val="0"/>
          <w:marTop w:val="80"/>
          <w:marBottom w:val="0"/>
          <w:divBdr>
            <w:top w:val="none" w:sz="0" w:space="0" w:color="auto"/>
            <w:left w:val="none" w:sz="0" w:space="0" w:color="auto"/>
            <w:bottom w:val="none" w:sz="0" w:space="0" w:color="auto"/>
            <w:right w:val="none" w:sz="0" w:space="0" w:color="auto"/>
          </w:divBdr>
        </w:div>
        <w:div w:id="732974389">
          <w:marLeft w:val="403"/>
          <w:marRight w:val="0"/>
          <w:marTop w:val="80"/>
          <w:marBottom w:val="0"/>
          <w:divBdr>
            <w:top w:val="none" w:sz="0" w:space="0" w:color="auto"/>
            <w:left w:val="none" w:sz="0" w:space="0" w:color="auto"/>
            <w:bottom w:val="none" w:sz="0" w:space="0" w:color="auto"/>
            <w:right w:val="none" w:sz="0" w:space="0" w:color="auto"/>
          </w:divBdr>
        </w:div>
        <w:div w:id="1138646947">
          <w:marLeft w:val="403"/>
          <w:marRight w:val="0"/>
          <w:marTop w:val="80"/>
          <w:marBottom w:val="0"/>
          <w:divBdr>
            <w:top w:val="none" w:sz="0" w:space="0" w:color="auto"/>
            <w:left w:val="none" w:sz="0" w:space="0" w:color="auto"/>
            <w:bottom w:val="none" w:sz="0" w:space="0" w:color="auto"/>
            <w:right w:val="none" w:sz="0" w:space="0" w:color="auto"/>
          </w:divBdr>
        </w:div>
      </w:divsChild>
    </w:div>
    <w:div w:id="350767202">
      <w:bodyDiv w:val="1"/>
      <w:marLeft w:val="0"/>
      <w:marRight w:val="0"/>
      <w:marTop w:val="0"/>
      <w:marBottom w:val="0"/>
      <w:divBdr>
        <w:top w:val="none" w:sz="0" w:space="0" w:color="auto"/>
        <w:left w:val="none" w:sz="0" w:space="0" w:color="auto"/>
        <w:bottom w:val="none" w:sz="0" w:space="0" w:color="auto"/>
        <w:right w:val="none" w:sz="0" w:space="0" w:color="auto"/>
      </w:divBdr>
    </w:div>
    <w:div w:id="378284943">
      <w:bodyDiv w:val="1"/>
      <w:marLeft w:val="0"/>
      <w:marRight w:val="0"/>
      <w:marTop w:val="0"/>
      <w:marBottom w:val="0"/>
      <w:divBdr>
        <w:top w:val="none" w:sz="0" w:space="0" w:color="auto"/>
        <w:left w:val="none" w:sz="0" w:space="0" w:color="auto"/>
        <w:bottom w:val="none" w:sz="0" w:space="0" w:color="auto"/>
        <w:right w:val="none" w:sz="0" w:space="0" w:color="auto"/>
      </w:divBdr>
    </w:div>
    <w:div w:id="416755168">
      <w:bodyDiv w:val="1"/>
      <w:marLeft w:val="0"/>
      <w:marRight w:val="0"/>
      <w:marTop w:val="0"/>
      <w:marBottom w:val="0"/>
      <w:divBdr>
        <w:top w:val="none" w:sz="0" w:space="0" w:color="auto"/>
        <w:left w:val="none" w:sz="0" w:space="0" w:color="auto"/>
        <w:bottom w:val="none" w:sz="0" w:space="0" w:color="auto"/>
        <w:right w:val="none" w:sz="0" w:space="0" w:color="auto"/>
      </w:divBdr>
    </w:div>
    <w:div w:id="614673604">
      <w:bodyDiv w:val="1"/>
      <w:marLeft w:val="0"/>
      <w:marRight w:val="0"/>
      <w:marTop w:val="0"/>
      <w:marBottom w:val="0"/>
      <w:divBdr>
        <w:top w:val="none" w:sz="0" w:space="0" w:color="auto"/>
        <w:left w:val="none" w:sz="0" w:space="0" w:color="auto"/>
        <w:bottom w:val="none" w:sz="0" w:space="0" w:color="auto"/>
        <w:right w:val="none" w:sz="0" w:space="0" w:color="auto"/>
      </w:divBdr>
    </w:div>
    <w:div w:id="638147588">
      <w:bodyDiv w:val="1"/>
      <w:marLeft w:val="0"/>
      <w:marRight w:val="0"/>
      <w:marTop w:val="0"/>
      <w:marBottom w:val="0"/>
      <w:divBdr>
        <w:top w:val="none" w:sz="0" w:space="0" w:color="auto"/>
        <w:left w:val="none" w:sz="0" w:space="0" w:color="auto"/>
        <w:bottom w:val="none" w:sz="0" w:space="0" w:color="auto"/>
        <w:right w:val="none" w:sz="0" w:space="0" w:color="auto"/>
      </w:divBdr>
      <w:divsChild>
        <w:div w:id="331571760">
          <w:marLeft w:val="418"/>
          <w:marRight w:val="0"/>
          <w:marTop w:val="80"/>
          <w:marBottom w:val="0"/>
          <w:divBdr>
            <w:top w:val="none" w:sz="0" w:space="0" w:color="auto"/>
            <w:left w:val="none" w:sz="0" w:space="0" w:color="auto"/>
            <w:bottom w:val="none" w:sz="0" w:space="0" w:color="auto"/>
            <w:right w:val="none" w:sz="0" w:space="0" w:color="auto"/>
          </w:divBdr>
        </w:div>
        <w:div w:id="1662006328">
          <w:marLeft w:val="418"/>
          <w:marRight w:val="0"/>
          <w:marTop w:val="80"/>
          <w:marBottom w:val="0"/>
          <w:divBdr>
            <w:top w:val="none" w:sz="0" w:space="0" w:color="auto"/>
            <w:left w:val="none" w:sz="0" w:space="0" w:color="auto"/>
            <w:bottom w:val="none" w:sz="0" w:space="0" w:color="auto"/>
            <w:right w:val="none" w:sz="0" w:space="0" w:color="auto"/>
          </w:divBdr>
        </w:div>
        <w:div w:id="2081632153">
          <w:marLeft w:val="418"/>
          <w:marRight w:val="0"/>
          <w:marTop w:val="80"/>
          <w:marBottom w:val="0"/>
          <w:divBdr>
            <w:top w:val="none" w:sz="0" w:space="0" w:color="auto"/>
            <w:left w:val="none" w:sz="0" w:space="0" w:color="auto"/>
            <w:bottom w:val="none" w:sz="0" w:space="0" w:color="auto"/>
            <w:right w:val="none" w:sz="0" w:space="0" w:color="auto"/>
          </w:divBdr>
        </w:div>
        <w:div w:id="752119915">
          <w:marLeft w:val="418"/>
          <w:marRight w:val="0"/>
          <w:marTop w:val="80"/>
          <w:marBottom w:val="0"/>
          <w:divBdr>
            <w:top w:val="none" w:sz="0" w:space="0" w:color="auto"/>
            <w:left w:val="none" w:sz="0" w:space="0" w:color="auto"/>
            <w:bottom w:val="none" w:sz="0" w:space="0" w:color="auto"/>
            <w:right w:val="none" w:sz="0" w:space="0" w:color="auto"/>
          </w:divBdr>
        </w:div>
        <w:div w:id="1508128611">
          <w:marLeft w:val="418"/>
          <w:marRight w:val="0"/>
          <w:marTop w:val="80"/>
          <w:marBottom w:val="0"/>
          <w:divBdr>
            <w:top w:val="none" w:sz="0" w:space="0" w:color="auto"/>
            <w:left w:val="none" w:sz="0" w:space="0" w:color="auto"/>
            <w:bottom w:val="none" w:sz="0" w:space="0" w:color="auto"/>
            <w:right w:val="none" w:sz="0" w:space="0" w:color="auto"/>
          </w:divBdr>
        </w:div>
        <w:div w:id="2060082710">
          <w:marLeft w:val="418"/>
          <w:marRight w:val="0"/>
          <w:marTop w:val="80"/>
          <w:marBottom w:val="0"/>
          <w:divBdr>
            <w:top w:val="none" w:sz="0" w:space="0" w:color="auto"/>
            <w:left w:val="none" w:sz="0" w:space="0" w:color="auto"/>
            <w:bottom w:val="none" w:sz="0" w:space="0" w:color="auto"/>
            <w:right w:val="none" w:sz="0" w:space="0" w:color="auto"/>
          </w:divBdr>
        </w:div>
        <w:div w:id="529955132">
          <w:marLeft w:val="418"/>
          <w:marRight w:val="0"/>
          <w:marTop w:val="80"/>
          <w:marBottom w:val="0"/>
          <w:divBdr>
            <w:top w:val="none" w:sz="0" w:space="0" w:color="auto"/>
            <w:left w:val="none" w:sz="0" w:space="0" w:color="auto"/>
            <w:bottom w:val="none" w:sz="0" w:space="0" w:color="auto"/>
            <w:right w:val="none" w:sz="0" w:space="0" w:color="auto"/>
          </w:divBdr>
        </w:div>
      </w:divsChild>
    </w:div>
    <w:div w:id="662245340">
      <w:bodyDiv w:val="1"/>
      <w:marLeft w:val="0"/>
      <w:marRight w:val="0"/>
      <w:marTop w:val="0"/>
      <w:marBottom w:val="0"/>
      <w:divBdr>
        <w:top w:val="none" w:sz="0" w:space="0" w:color="auto"/>
        <w:left w:val="none" w:sz="0" w:space="0" w:color="auto"/>
        <w:bottom w:val="none" w:sz="0" w:space="0" w:color="auto"/>
        <w:right w:val="none" w:sz="0" w:space="0" w:color="auto"/>
      </w:divBdr>
    </w:div>
    <w:div w:id="702443785">
      <w:bodyDiv w:val="1"/>
      <w:marLeft w:val="0"/>
      <w:marRight w:val="0"/>
      <w:marTop w:val="0"/>
      <w:marBottom w:val="0"/>
      <w:divBdr>
        <w:top w:val="none" w:sz="0" w:space="0" w:color="auto"/>
        <w:left w:val="none" w:sz="0" w:space="0" w:color="auto"/>
        <w:bottom w:val="none" w:sz="0" w:space="0" w:color="auto"/>
        <w:right w:val="none" w:sz="0" w:space="0" w:color="auto"/>
      </w:divBdr>
    </w:div>
    <w:div w:id="757168725">
      <w:bodyDiv w:val="1"/>
      <w:marLeft w:val="0"/>
      <w:marRight w:val="0"/>
      <w:marTop w:val="0"/>
      <w:marBottom w:val="0"/>
      <w:divBdr>
        <w:top w:val="none" w:sz="0" w:space="0" w:color="auto"/>
        <w:left w:val="none" w:sz="0" w:space="0" w:color="auto"/>
        <w:bottom w:val="none" w:sz="0" w:space="0" w:color="auto"/>
        <w:right w:val="none" w:sz="0" w:space="0" w:color="auto"/>
      </w:divBdr>
    </w:div>
    <w:div w:id="783311276">
      <w:bodyDiv w:val="1"/>
      <w:marLeft w:val="0"/>
      <w:marRight w:val="0"/>
      <w:marTop w:val="0"/>
      <w:marBottom w:val="0"/>
      <w:divBdr>
        <w:top w:val="none" w:sz="0" w:space="0" w:color="auto"/>
        <w:left w:val="none" w:sz="0" w:space="0" w:color="auto"/>
        <w:bottom w:val="none" w:sz="0" w:space="0" w:color="auto"/>
        <w:right w:val="none" w:sz="0" w:space="0" w:color="auto"/>
      </w:divBdr>
      <w:divsChild>
        <w:div w:id="176888048">
          <w:marLeft w:val="0"/>
          <w:marRight w:val="0"/>
          <w:marTop w:val="0"/>
          <w:marBottom w:val="0"/>
          <w:divBdr>
            <w:top w:val="none" w:sz="0" w:space="0" w:color="auto"/>
            <w:left w:val="none" w:sz="0" w:space="0" w:color="auto"/>
            <w:bottom w:val="none" w:sz="0" w:space="0" w:color="auto"/>
            <w:right w:val="none" w:sz="0" w:space="0" w:color="auto"/>
          </w:divBdr>
        </w:div>
      </w:divsChild>
    </w:div>
    <w:div w:id="1062799473">
      <w:bodyDiv w:val="1"/>
      <w:marLeft w:val="0"/>
      <w:marRight w:val="0"/>
      <w:marTop w:val="0"/>
      <w:marBottom w:val="0"/>
      <w:divBdr>
        <w:top w:val="none" w:sz="0" w:space="0" w:color="auto"/>
        <w:left w:val="none" w:sz="0" w:space="0" w:color="auto"/>
        <w:bottom w:val="none" w:sz="0" w:space="0" w:color="auto"/>
        <w:right w:val="none" w:sz="0" w:space="0" w:color="auto"/>
      </w:divBdr>
    </w:div>
    <w:div w:id="1063335092">
      <w:bodyDiv w:val="1"/>
      <w:marLeft w:val="0"/>
      <w:marRight w:val="0"/>
      <w:marTop w:val="0"/>
      <w:marBottom w:val="0"/>
      <w:divBdr>
        <w:top w:val="none" w:sz="0" w:space="0" w:color="auto"/>
        <w:left w:val="none" w:sz="0" w:space="0" w:color="auto"/>
        <w:bottom w:val="none" w:sz="0" w:space="0" w:color="auto"/>
        <w:right w:val="none" w:sz="0" w:space="0" w:color="auto"/>
      </w:divBdr>
      <w:divsChild>
        <w:div w:id="452361360">
          <w:marLeft w:val="418"/>
          <w:marRight w:val="0"/>
          <w:marTop w:val="80"/>
          <w:marBottom w:val="0"/>
          <w:divBdr>
            <w:top w:val="none" w:sz="0" w:space="0" w:color="auto"/>
            <w:left w:val="none" w:sz="0" w:space="0" w:color="auto"/>
            <w:bottom w:val="none" w:sz="0" w:space="0" w:color="auto"/>
            <w:right w:val="none" w:sz="0" w:space="0" w:color="auto"/>
          </w:divBdr>
        </w:div>
      </w:divsChild>
    </w:div>
    <w:div w:id="1184634064">
      <w:bodyDiv w:val="1"/>
      <w:marLeft w:val="0"/>
      <w:marRight w:val="0"/>
      <w:marTop w:val="0"/>
      <w:marBottom w:val="0"/>
      <w:divBdr>
        <w:top w:val="none" w:sz="0" w:space="0" w:color="auto"/>
        <w:left w:val="none" w:sz="0" w:space="0" w:color="auto"/>
        <w:bottom w:val="none" w:sz="0" w:space="0" w:color="auto"/>
        <w:right w:val="none" w:sz="0" w:space="0" w:color="auto"/>
      </w:divBdr>
      <w:divsChild>
        <w:div w:id="453869145">
          <w:marLeft w:val="418"/>
          <w:marRight w:val="0"/>
          <w:marTop w:val="80"/>
          <w:marBottom w:val="0"/>
          <w:divBdr>
            <w:top w:val="none" w:sz="0" w:space="0" w:color="auto"/>
            <w:left w:val="none" w:sz="0" w:space="0" w:color="auto"/>
            <w:bottom w:val="none" w:sz="0" w:space="0" w:color="auto"/>
            <w:right w:val="none" w:sz="0" w:space="0" w:color="auto"/>
          </w:divBdr>
        </w:div>
        <w:div w:id="887188452">
          <w:marLeft w:val="418"/>
          <w:marRight w:val="0"/>
          <w:marTop w:val="80"/>
          <w:marBottom w:val="0"/>
          <w:divBdr>
            <w:top w:val="none" w:sz="0" w:space="0" w:color="auto"/>
            <w:left w:val="none" w:sz="0" w:space="0" w:color="auto"/>
            <w:bottom w:val="none" w:sz="0" w:space="0" w:color="auto"/>
            <w:right w:val="none" w:sz="0" w:space="0" w:color="auto"/>
          </w:divBdr>
        </w:div>
        <w:div w:id="1204513859">
          <w:marLeft w:val="418"/>
          <w:marRight w:val="0"/>
          <w:marTop w:val="80"/>
          <w:marBottom w:val="0"/>
          <w:divBdr>
            <w:top w:val="none" w:sz="0" w:space="0" w:color="auto"/>
            <w:left w:val="none" w:sz="0" w:space="0" w:color="auto"/>
            <w:bottom w:val="none" w:sz="0" w:space="0" w:color="auto"/>
            <w:right w:val="none" w:sz="0" w:space="0" w:color="auto"/>
          </w:divBdr>
        </w:div>
        <w:div w:id="1169558459">
          <w:marLeft w:val="418"/>
          <w:marRight w:val="0"/>
          <w:marTop w:val="80"/>
          <w:marBottom w:val="0"/>
          <w:divBdr>
            <w:top w:val="none" w:sz="0" w:space="0" w:color="auto"/>
            <w:left w:val="none" w:sz="0" w:space="0" w:color="auto"/>
            <w:bottom w:val="none" w:sz="0" w:space="0" w:color="auto"/>
            <w:right w:val="none" w:sz="0" w:space="0" w:color="auto"/>
          </w:divBdr>
        </w:div>
        <w:div w:id="205220243">
          <w:marLeft w:val="418"/>
          <w:marRight w:val="0"/>
          <w:marTop w:val="80"/>
          <w:marBottom w:val="0"/>
          <w:divBdr>
            <w:top w:val="none" w:sz="0" w:space="0" w:color="auto"/>
            <w:left w:val="none" w:sz="0" w:space="0" w:color="auto"/>
            <w:bottom w:val="none" w:sz="0" w:space="0" w:color="auto"/>
            <w:right w:val="none" w:sz="0" w:space="0" w:color="auto"/>
          </w:divBdr>
        </w:div>
      </w:divsChild>
    </w:div>
    <w:div w:id="1379626495">
      <w:bodyDiv w:val="1"/>
      <w:marLeft w:val="0"/>
      <w:marRight w:val="0"/>
      <w:marTop w:val="0"/>
      <w:marBottom w:val="0"/>
      <w:divBdr>
        <w:top w:val="none" w:sz="0" w:space="0" w:color="auto"/>
        <w:left w:val="none" w:sz="0" w:space="0" w:color="auto"/>
        <w:bottom w:val="none" w:sz="0" w:space="0" w:color="auto"/>
        <w:right w:val="none" w:sz="0" w:space="0" w:color="auto"/>
      </w:divBdr>
    </w:div>
    <w:div w:id="1480612605">
      <w:bodyDiv w:val="1"/>
      <w:marLeft w:val="0"/>
      <w:marRight w:val="0"/>
      <w:marTop w:val="0"/>
      <w:marBottom w:val="0"/>
      <w:divBdr>
        <w:top w:val="none" w:sz="0" w:space="0" w:color="auto"/>
        <w:left w:val="none" w:sz="0" w:space="0" w:color="auto"/>
        <w:bottom w:val="none" w:sz="0" w:space="0" w:color="auto"/>
        <w:right w:val="none" w:sz="0" w:space="0" w:color="auto"/>
      </w:divBdr>
      <w:divsChild>
        <w:div w:id="1497770910">
          <w:marLeft w:val="403"/>
          <w:marRight w:val="0"/>
          <w:marTop w:val="80"/>
          <w:marBottom w:val="0"/>
          <w:divBdr>
            <w:top w:val="none" w:sz="0" w:space="0" w:color="auto"/>
            <w:left w:val="none" w:sz="0" w:space="0" w:color="auto"/>
            <w:bottom w:val="none" w:sz="0" w:space="0" w:color="auto"/>
            <w:right w:val="none" w:sz="0" w:space="0" w:color="auto"/>
          </w:divBdr>
        </w:div>
        <w:div w:id="1322083764">
          <w:marLeft w:val="403"/>
          <w:marRight w:val="0"/>
          <w:marTop w:val="80"/>
          <w:marBottom w:val="0"/>
          <w:divBdr>
            <w:top w:val="none" w:sz="0" w:space="0" w:color="auto"/>
            <w:left w:val="none" w:sz="0" w:space="0" w:color="auto"/>
            <w:bottom w:val="none" w:sz="0" w:space="0" w:color="auto"/>
            <w:right w:val="none" w:sz="0" w:space="0" w:color="auto"/>
          </w:divBdr>
        </w:div>
        <w:div w:id="1052584025">
          <w:marLeft w:val="403"/>
          <w:marRight w:val="0"/>
          <w:marTop w:val="80"/>
          <w:marBottom w:val="0"/>
          <w:divBdr>
            <w:top w:val="none" w:sz="0" w:space="0" w:color="auto"/>
            <w:left w:val="none" w:sz="0" w:space="0" w:color="auto"/>
            <w:bottom w:val="none" w:sz="0" w:space="0" w:color="auto"/>
            <w:right w:val="none" w:sz="0" w:space="0" w:color="auto"/>
          </w:divBdr>
        </w:div>
        <w:div w:id="691610371">
          <w:marLeft w:val="403"/>
          <w:marRight w:val="0"/>
          <w:marTop w:val="80"/>
          <w:marBottom w:val="0"/>
          <w:divBdr>
            <w:top w:val="none" w:sz="0" w:space="0" w:color="auto"/>
            <w:left w:val="none" w:sz="0" w:space="0" w:color="auto"/>
            <w:bottom w:val="none" w:sz="0" w:space="0" w:color="auto"/>
            <w:right w:val="none" w:sz="0" w:space="0" w:color="auto"/>
          </w:divBdr>
        </w:div>
        <w:div w:id="1514757145">
          <w:marLeft w:val="403"/>
          <w:marRight w:val="0"/>
          <w:marTop w:val="80"/>
          <w:marBottom w:val="0"/>
          <w:divBdr>
            <w:top w:val="none" w:sz="0" w:space="0" w:color="auto"/>
            <w:left w:val="none" w:sz="0" w:space="0" w:color="auto"/>
            <w:bottom w:val="none" w:sz="0" w:space="0" w:color="auto"/>
            <w:right w:val="none" w:sz="0" w:space="0" w:color="auto"/>
          </w:divBdr>
        </w:div>
      </w:divsChild>
    </w:div>
    <w:div w:id="1764256903">
      <w:bodyDiv w:val="1"/>
      <w:marLeft w:val="0"/>
      <w:marRight w:val="0"/>
      <w:marTop w:val="0"/>
      <w:marBottom w:val="0"/>
      <w:divBdr>
        <w:top w:val="none" w:sz="0" w:space="0" w:color="auto"/>
        <w:left w:val="none" w:sz="0" w:space="0" w:color="auto"/>
        <w:bottom w:val="none" w:sz="0" w:space="0" w:color="auto"/>
        <w:right w:val="none" w:sz="0" w:space="0" w:color="auto"/>
      </w:divBdr>
    </w:div>
    <w:div w:id="1882208261">
      <w:bodyDiv w:val="1"/>
      <w:marLeft w:val="0"/>
      <w:marRight w:val="0"/>
      <w:marTop w:val="0"/>
      <w:marBottom w:val="0"/>
      <w:divBdr>
        <w:top w:val="none" w:sz="0" w:space="0" w:color="auto"/>
        <w:left w:val="none" w:sz="0" w:space="0" w:color="auto"/>
        <w:bottom w:val="none" w:sz="0" w:space="0" w:color="auto"/>
        <w:right w:val="none" w:sz="0" w:space="0" w:color="auto"/>
      </w:divBdr>
      <w:divsChild>
        <w:div w:id="1592356085">
          <w:marLeft w:val="418"/>
          <w:marRight w:val="0"/>
          <w:marTop w:val="80"/>
          <w:marBottom w:val="0"/>
          <w:divBdr>
            <w:top w:val="none" w:sz="0" w:space="0" w:color="auto"/>
            <w:left w:val="none" w:sz="0" w:space="0" w:color="auto"/>
            <w:bottom w:val="none" w:sz="0" w:space="0" w:color="auto"/>
            <w:right w:val="none" w:sz="0" w:space="0" w:color="auto"/>
          </w:divBdr>
        </w:div>
        <w:div w:id="111705862">
          <w:marLeft w:val="418"/>
          <w:marRight w:val="0"/>
          <w:marTop w:val="80"/>
          <w:marBottom w:val="0"/>
          <w:divBdr>
            <w:top w:val="none" w:sz="0" w:space="0" w:color="auto"/>
            <w:left w:val="none" w:sz="0" w:space="0" w:color="auto"/>
            <w:bottom w:val="none" w:sz="0" w:space="0" w:color="auto"/>
            <w:right w:val="none" w:sz="0" w:space="0" w:color="auto"/>
          </w:divBdr>
        </w:div>
        <w:div w:id="349992956">
          <w:marLeft w:val="418"/>
          <w:marRight w:val="0"/>
          <w:marTop w:val="80"/>
          <w:marBottom w:val="0"/>
          <w:divBdr>
            <w:top w:val="none" w:sz="0" w:space="0" w:color="auto"/>
            <w:left w:val="none" w:sz="0" w:space="0" w:color="auto"/>
            <w:bottom w:val="none" w:sz="0" w:space="0" w:color="auto"/>
            <w:right w:val="none" w:sz="0" w:space="0" w:color="auto"/>
          </w:divBdr>
        </w:div>
        <w:div w:id="537398032">
          <w:marLeft w:val="418"/>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therapeutic-goods-legislation-amendment-2019-measures-no1-regulations-2019" TargetMode="External"/><Relationship Id="rId26" Type="http://schemas.openxmlformats.org/officeDocument/2006/relationships/hyperlink" Target="https://www.tga.gov.au/publication/uniform-recall-procedure-therapeutic-goods-urptg" TargetMode="External"/><Relationship Id="rId39" Type="http://schemas.openxmlformats.org/officeDocument/2006/relationships/hyperlink" Target="https://www.fda.gov/regulatory-information/search-fda-guidance-documents/changes-existing-medical-software-policies-resulting-section-3060-21st-century-cures-act"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s://ec.europa.eu/docsroom/documents/37581" TargetMode="External"/><Relationship Id="rId42" Type="http://schemas.openxmlformats.org/officeDocument/2006/relationships/hyperlink" Target="https://www.canada.ca/en/health-canada/services/drugs-health-products/medical-devices/application-information/guidance-documents/software-medical-device-guidance-document.html" TargetMode="External"/><Relationship Id="rId47" Type="http://schemas.openxmlformats.org/officeDocument/2006/relationships/hyperlink" Target="https://www.tga.gov.au" TargetMode="Externa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legislation.gov.au/Details/F2019L01660/Download" TargetMode="External"/><Relationship Id="rId25" Type="http://schemas.openxmlformats.org/officeDocument/2006/relationships/hyperlink" Target="https://www.tga.gov.au/reporting-adverse-events" TargetMode="External"/><Relationship Id="rId33" Type="http://schemas.openxmlformats.org/officeDocument/2006/relationships/hyperlink" Target="https://eur-lex.europa.eu/legal-content/EN/TXT/?uri=CELEX%3A32017R0745" TargetMode="External"/><Relationship Id="rId38" Type="http://schemas.openxmlformats.org/officeDocument/2006/relationships/hyperlink" Target="https://www.fda.gov/regulatory-information/search-fda-guidance-documents/changes-existing-medical-software-policies-resulting-section-3060-21st-century-cures-act" TargetMode="External"/><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consultation/consultation-regulation-software-including-software-medical-device-samd" TargetMode="External"/><Relationship Id="rId20" Type="http://schemas.openxmlformats.org/officeDocument/2006/relationships/header" Target="header4.xml"/><Relationship Id="rId29" Type="http://schemas.openxmlformats.org/officeDocument/2006/relationships/hyperlink" Target="mailto:devicereforms@health.gov.au" TargetMode="External"/><Relationship Id="rId41" Type="http://schemas.openxmlformats.org/officeDocument/2006/relationships/hyperlink" Target="https://www.fda.gov/regulatory-information/search-fda-guidance-documents/policy-device-software-functions-and-mobile-medical-app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c.europa.eu/docsroom/documents/37581" TargetMode="External"/><Relationship Id="rId32" Type="http://schemas.openxmlformats.org/officeDocument/2006/relationships/hyperlink" Target="https://www.tga.gov.au/therapeutic-goods-legislation-amendment-2019-measures-no1-regulations-2019" TargetMode="External"/><Relationship Id="rId37" Type="http://schemas.openxmlformats.org/officeDocument/2006/relationships/hyperlink" Target="https://www.fda.gov/regulatory-information/search-fda-guidance-documents/clinical-decision-support-software" TargetMode="External"/><Relationship Id="rId40" Type="http://schemas.openxmlformats.org/officeDocument/2006/relationships/hyperlink" Target="https://www.fda.gov/regulatory-information/search-fda-guidance-documents/policy-device-software-functions-and-mobile-medical-applications" TargetMode="External"/><Relationship Id="rId45" Type="http://schemas.openxmlformats.org/officeDocument/2006/relationships/hyperlink" Target="http://imdrf.org/docs/imdrf/final/technical/imdrf-tech-151002-samd-qms.pdf" TargetMode="External"/><Relationship Id="rId5" Type="http://schemas.openxmlformats.org/officeDocument/2006/relationships/webSettings" Target="webSettings.xml"/><Relationship Id="rId15" Type="http://schemas.openxmlformats.org/officeDocument/2006/relationships/hyperlink" Target="https://www.legislation.gov.au/Series/C2004A03952" TargetMode="External"/><Relationship Id="rId23" Type="http://schemas.openxmlformats.org/officeDocument/2006/relationships/hyperlink" Target="https://www.canada.ca/en/health-canada/services/drugs-health-products/medical-devices/application-information/guidance-documents/software-medical-device-guidance-document.html" TargetMode="External"/><Relationship Id="rId28" Type="http://schemas.openxmlformats.org/officeDocument/2006/relationships/hyperlink" Target="https://forms.business.gov.au/smartforms/landing.htm?formCode=consult-ssp" TargetMode="External"/><Relationship Id="rId36" Type="http://schemas.openxmlformats.org/officeDocument/2006/relationships/hyperlink" Target="https://www.fda.gov/regulatory-information/search-fda-guidance-documents/clinical-decision-support-software"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www.legislation.gov.au/Details/F2014L01741" TargetMode="External"/><Relationship Id="rId44" Type="http://schemas.openxmlformats.org/officeDocument/2006/relationships/hyperlink" Target="http://imdrf.org/docs/imdrf/final/technical/imdrf-tech-170921-samd-n41-clinical-evaluation_1.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tga.copyright@tga.gov.au" TargetMode="Externa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hyperlink" Target="mailto:devicereforms@health.gov.au" TargetMode="External"/><Relationship Id="rId35" Type="http://schemas.openxmlformats.org/officeDocument/2006/relationships/hyperlink" Target="https://ec.europa.eu/docsroom/documents/37581" TargetMode="External"/><Relationship Id="rId43" Type="http://schemas.openxmlformats.org/officeDocument/2006/relationships/hyperlink" Target="http://www.imdrf.org/docs/imdrf/final/technical/imdrf-tech-140918-samd-framework-risk-categorization-141013.pdf" TargetMode="External"/><Relationship Id="rId48" Type="http://schemas.openxmlformats.org/officeDocument/2006/relationships/hyperlink" Target="el://D18-11349466?db=A7&amp;edit" TargetMode="External"/><Relationship Id="rId8" Type="http://schemas.openxmlformats.org/officeDocument/2006/relationships/header" Target="header1.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908F1-FDD3-4155-BD40-21AE2644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27</Pages>
  <Words>8311</Words>
  <Characters>47379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Consultation: Scope of regulated software-based products - March 2020</vt:lpstr>
    </vt:vector>
  </TitlesOfParts>
  <Company>Department of Health Therapeutic Goods Administration</Company>
  <LinksUpToDate>false</LinksUpToDate>
  <CharactersWithSpaces>55579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Scope of regulated software-based products - March 2020</dc:title>
  <dc:subject>medical devices</dc:subject>
  <dc:creator>Therapeutic Goods Administration</dc:creator>
  <cp:keywords>consultation</cp:keywords>
  <cp:lastPrinted>2020-02-14T06:14:00Z</cp:lastPrinted>
  <dcterms:created xsi:type="dcterms:W3CDTF">2020-03-23T03:24:00Z</dcterms:created>
  <dcterms:modified xsi:type="dcterms:W3CDTF">2020-03-25T00:07:00Z</dcterms:modified>
</cp:coreProperties>
</file>