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nsultation Paper: Substances proposed to be added to Appendix H of the Poisons Standard [Version 1.0, May 2018]"/>
      </w:tblPr>
      <w:tblGrid>
        <w:gridCol w:w="8720"/>
      </w:tblGrid>
      <w:tr w:rsidR="00ED0C8B" w:rsidRPr="009401F6" w:rsidTr="00C3482F">
        <w:trPr>
          <w:tblHeader/>
        </w:trPr>
        <w:tc>
          <w:tcPr>
            <w:tcW w:w="8720" w:type="dxa"/>
          </w:tcPr>
          <w:p w:rsidR="001D480A" w:rsidRPr="009401F6" w:rsidRDefault="0039795A" w:rsidP="006A73D7">
            <w:pPr>
              <w:pStyle w:val="Title"/>
            </w:pPr>
            <w:r>
              <w:t xml:space="preserve">Consultation Paper: </w:t>
            </w:r>
            <w:r w:rsidR="0043490A">
              <w:t xml:space="preserve">Substances </w:t>
            </w:r>
            <w:r w:rsidR="00002C30">
              <w:t xml:space="preserve">proposed </w:t>
            </w:r>
            <w:r w:rsidR="0043490A">
              <w:t>to be added to Appendix</w:t>
            </w:r>
            <w:r w:rsidR="006A73D7">
              <w:t> </w:t>
            </w:r>
            <w:r w:rsidR="0043490A">
              <w:t>H of the Poisons Standard</w:t>
            </w:r>
          </w:p>
        </w:tc>
      </w:tr>
      <w:tr w:rsidR="00ED0C8B" w:rsidRPr="009401F6" w:rsidTr="00ED0C8B">
        <w:tc>
          <w:tcPr>
            <w:tcW w:w="8720" w:type="dxa"/>
          </w:tcPr>
          <w:p w:rsidR="00ED0C8B" w:rsidRPr="009401F6" w:rsidRDefault="005C7DCE" w:rsidP="005B4865">
            <w:pPr>
              <w:pStyle w:val="Date"/>
              <w:spacing w:before="960"/>
              <w:rPr>
                <w:lang w:eastAsia="en-AU"/>
              </w:rPr>
            </w:pPr>
            <w:r>
              <w:rPr>
                <w:lang w:eastAsia="en-AU"/>
              </w:rPr>
              <w:t>Version 1.0, May 2018</w:t>
            </w:r>
          </w:p>
        </w:tc>
      </w:tr>
    </w:tbl>
    <w:p w:rsidR="001D480A" w:rsidRPr="00EB2603" w:rsidRDefault="001D480A" w:rsidP="00EB2603">
      <w:pPr>
        <w:rPr>
          <w:lang w:eastAsia="en-AU"/>
        </w:rPr>
        <w:sectPr w:rsidR="001D480A" w:rsidRPr="00EB2603" w:rsidSect="00F8404D">
          <w:headerReference w:type="even" r:id="rId8"/>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bookmarkStart w:id="0" w:name="_GoBack"/>
      <w:bookmarkEnd w:id="0"/>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C73D6C">
        <w:t>8</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1"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5B4865">
          <w:pPr>
            <w:pStyle w:val="NonTOCheading2"/>
            <w:pageBreakBefore/>
          </w:pPr>
          <w:r w:rsidRPr="009401F6">
            <w:t>Contents</w:t>
          </w:r>
        </w:p>
        <w:p w:rsidR="00D236D0" w:rsidRDefault="00D236D0">
          <w:pPr>
            <w:pStyle w:val="TOC2"/>
            <w:rPr>
              <w:rFonts w:asciiTheme="minorHAnsi" w:eastAsiaTheme="minorEastAsia" w:hAnsiTheme="minorHAnsi" w:cstheme="minorBidi"/>
              <w:b w:val="0"/>
              <w:noProof/>
              <w:sz w:val="22"/>
              <w:szCs w:val="22"/>
              <w:lang w:eastAsia="en-AU"/>
            </w:rPr>
          </w:pPr>
          <w:r>
            <w:rPr>
              <w:rFonts w:ascii="Arial" w:hAnsi="Arial"/>
              <w:b w:val="0"/>
              <w:sz w:val="32"/>
            </w:rPr>
            <w:fldChar w:fldCharType="begin"/>
          </w:r>
          <w:r>
            <w:rPr>
              <w:rFonts w:ascii="Arial" w:hAnsi="Arial"/>
              <w:b w:val="0"/>
              <w:sz w:val="32"/>
            </w:rPr>
            <w:instrText xml:space="preserve"> TOC \o "1-3" \h \z \u </w:instrText>
          </w:r>
          <w:r>
            <w:rPr>
              <w:rFonts w:ascii="Arial" w:hAnsi="Arial"/>
              <w:b w:val="0"/>
              <w:sz w:val="32"/>
            </w:rPr>
            <w:fldChar w:fldCharType="separate"/>
          </w:r>
          <w:hyperlink w:anchor="_Toc515619669" w:history="1">
            <w:r w:rsidRPr="000A5B84">
              <w:rPr>
                <w:rStyle w:val="Hyperlink"/>
                <w:noProof/>
              </w:rPr>
              <w:t>Background</w:t>
            </w:r>
            <w:r>
              <w:rPr>
                <w:noProof/>
                <w:webHidden/>
              </w:rPr>
              <w:tab/>
            </w:r>
            <w:r>
              <w:rPr>
                <w:noProof/>
                <w:webHidden/>
              </w:rPr>
              <w:fldChar w:fldCharType="begin"/>
            </w:r>
            <w:r>
              <w:rPr>
                <w:noProof/>
                <w:webHidden/>
              </w:rPr>
              <w:instrText xml:space="preserve"> PAGEREF _Toc515619669 \h </w:instrText>
            </w:r>
            <w:r>
              <w:rPr>
                <w:noProof/>
                <w:webHidden/>
              </w:rPr>
            </w:r>
            <w:r>
              <w:rPr>
                <w:noProof/>
                <w:webHidden/>
              </w:rPr>
              <w:fldChar w:fldCharType="separate"/>
            </w:r>
            <w:r>
              <w:rPr>
                <w:noProof/>
                <w:webHidden/>
              </w:rPr>
              <w:t>4</w:t>
            </w:r>
            <w:r>
              <w:rPr>
                <w:noProof/>
                <w:webHidden/>
              </w:rPr>
              <w:fldChar w:fldCharType="end"/>
            </w:r>
          </w:hyperlink>
        </w:p>
        <w:p w:rsidR="00D236D0" w:rsidRDefault="007D6B29">
          <w:pPr>
            <w:pStyle w:val="TOC2"/>
            <w:rPr>
              <w:rFonts w:asciiTheme="minorHAnsi" w:eastAsiaTheme="minorEastAsia" w:hAnsiTheme="minorHAnsi" w:cstheme="minorBidi"/>
              <w:b w:val="0"/>
              <w:noProof/>
              <w:sz w:val="22"/>
              <w:szCs w:val="22"/>
              <w:lang w:eastAsia="en-AU"/>
            </w:rPr>
          </w:pPr>
          <w:hyperlink w:anchor="_Toc515619670" w:history="1">
            <w:r w:rsidR="00D236D0" w:rsidRPr="000A5B84">
              <w:rPr>
                <w:rStyle w:val="Hyperlink"/>
                <w:noProof/>
              </w:rPr>
              <w:t>Purpose</w:t>
            </w:r>
            <w:r w:rsidR="00D236D0">
              <w:rPr>
                <w:noProof/>
                <w:webHidden/>
              </w:rPr>
              <w:tab/>
            </w:r>
            <w:r w:rsidR="00D236D0">
              <w:rPr>
                <w:noProof/>
                <w:webHidden/>
              </w:rPr>
              <w:fldChar w:fldCharType="begin"/>
            </w:r>
            <w:r w:rsidR="00D236D0">
              <w:rPr>
                <w:noProof/>
                <w:webHidden/>
              </w:rPr>
              <w:instrText xml:space="preserve"> PAGEREF _Toc515619670 \h </w:instrText>
            </w:r>
            <w:r w:rsidR="00D236D0">
              <w:rPr>
                <w:noProof/>
                <w:webHidden/>
              </w:rPr>
            </w:r>
            <w:r w:rsidR="00D236D0">
              <w:rPr>
                <w:noProof/>
                <w:webHidden/>
              </w:rPr>
              <w:fldChar w:fldCharType="separate"/>
            </w:r>
            <w:r w:rsidR="00D236D0">
              <w:rPr>
                <w:noProof/>
                <w:webHidden/>
              </w:rPr>
              <w:t>4</w:t>
            </w:r>
            <w:r w:rsidR="00D236D0">
              <w:rPr>
                <w:noProof/>
                <w:webHidden/>
              </w:rPr>
              <w:fldChar w:fldCharType="end"/>
            </w:r>
          </w:hyperlink>
        </w:p>
        <w:p w:rsidR="00D236D0" w:rsidRDefault="007D6B29">
          <w:pPr>
            <w:pStyle w:val="TOC2"/>
            <w:rPr>
              <w:rFonts w:asciiTheme="minorHAnsi" w:eastAsiaTheme="minorEastAsia" w:hAnsiTheme="minorHAnsi" w:cstheme="minorBidi"/>
              <w:b w:val="0"/>
              <w:noProof/>
              <w:sz w:val="22"/>
              <w:szCs w:val="22"/>
              <w:lang w:eastAsia="en-AU"/>
            </w:rPr>
          </w:pPr>
          <w:hyperlink w:anchor="_Toc515619671" w:history="1">
            <w:r w:rsidR="00D236D0" w:rsidRPr="000A5B84">
              <w:rPr>
                <w:rStyle w:val="Hyperlink"/>
                <w:noProof/>
              </w:rPr>
              <w:t>What will happen after the consultation?</w:t>
            </w:r>
            <w:r w:rsidR="00D236D0">
              <w:rPr>
                <w:noProof/>
                <w:webHidden/>
              </w:rPr>
              <w:tab/>
            </w:r>
            <w:r w:rsidR="00D236D0">
              <w:rPr>
                <w:noProof/>
                <w:webHidden/>
              </w:rPr>
              <w:fldChar w:fldCharType="begin"/>
            </w:r>
            <w:r w:rsidR="00D236D0">
              <w:rPr>
                <w:noProof/>
                <w:webHidden/>
              </w:rPr>
              <w:instrText xml:space="preserve"> PAGEREF _Toc515619671 \h </w:instrText>
            </w:r>
            <w:r w:rsidR="00D236D0">
              <w:rPr>
                <w:noProof/>
                <w:webHidden/>
              </w:rPr>
            </w:r>
            <w:r w:rsidR="00D236D0">
              <w:rPr>
                <w:noProof/>
                <w:webHidden/>
              </w:rPr>
              <w:fldChar w:fldCharType="separate"/>
            </w:r>
            <w:r w:rsidR="00D236D0">
              <w:rPr>
                <w:noProof/>
                <w:webHidden/>
              </w:rPr>
              <w:t>4</w:t>
            </w:r>
            <w:r w:rsidR="00D236D0">
              <w:rPr>
                <w:noProof/>
                <w:webHidden/>
              </w:rPr>
              <w:fldChar w:fldCharType="end"/>
            </w:r>
          </w:hyperlink>
        </w:p>
        <w:p w:rsidR="00D236D0" w:rsidRDefault="007D6B29">
          <w:pPr>
            <w:pStyle w:val="TOC2"/>
            <w:rPr>
              <w:rFonts w:asciiTheme="minorHAnsi" w:eastAsiaTheme="minorEastAsia" w:hAnsiTheme="minorHAnsi" w:cstheme="minorBidi"/>
              <w:b w:val="0"/>
              <w:noProof/>
              <w:sz w:val="22"/>
              <w:szCs w:val="22"/>
              <w:lang w:eastAsia="en-AU"/>
            </w:rPr>
          </w:pPr>
          <w:hyperlink w:anchor="_Toc515619672" w:history="1">
            <w:r w:rsidR="00D236D0" w:rsidRPr="000A5B84">
              <w:rPr>
                <w:rStyle w:val="Hyperlink"/>
                <w:noProof/>
              </w:rPr>
              <w:t>The Substances</w:t>
            </w:r>
            <w:r w:rsidR="00D236D0">
              <w:rPr>
                <w:noProof/>
                <w:webHidden/>
              </w:rPr>
              <w:tab/>
            </w:r>
            <w:r w:rsidR="00D236D0">
              <w:rPr>
                <w:noProof/>
                <w:webHidden/>
              </w:rPr>
              <w:fldChar w:fldCharType="begin"/>
            </w:r>
            <w:r w:rsidR="00D236D0">
              <w:rPr>
                <w:noProof/>
                <w:webHidden/>
              </w:rPr>
              <w:instrText xml:space="preserve"> PAGEREF _Toc515619672 \h </w:instrText>
            </w:r>
            <w:r w:rsidR="00D236D0">
              <w:rPr>
                <w:noProof/>
                <w:webHidden/>
              </w:rPr>
            </w:r>
            <w:r w:rsidR="00D236D0">
              <w:rPr>
                <w:noProof/>
                <w:webHidden/>
              </w:rPr>
              <w:fldChar w:fldCharType="separate"/>
            </w:r>
            <w:r w:rsidR="00D236D0">
              <w:rPr>
                <w:noProof/>
                <w:webHidden/>
              </w:rPr>
              <w:t>5</w:t>
            </w:r>
            <w:r w:rsidR="00D236D0">
              <w:rPr>
                <w:noProof/>
                <w:webHidden/>
              </w:rPr>
              <w:fldChar w:fldCharType="end"/>
            </w:r>
          </w:hyperlink>
        </w:p>
        <w:p w:rsidR="00D236D0" w:rsidRDefault="007D6B29">
          <w:pPr>
            <w:pStyle w:val="TOC3"/>
            <w:rPr>
              <w:rFonts w:asciiTheme="minorHAnsi" w:eastAsiaTheme="minorEastAsia" w:hAnsiTheme="minorHAnsi" w:cstheme="minorBidi"/>
              <w:b w:val="0"/>
              <w:noProof/>
              <w:szCs w:val="22"/>
              <w:lang w:eastAsia="en-AU"/>
            </w:rPr>
          </w:pPr>
          <w:hyperlink w:anchor="_Toc515619673" w:history="1">
            <w:r w:rsidR="00D236D0" w:rsidRPr="000A5B84">
              <w:rPr>
                <w:rStyle w:val="Hyperlink"/>
                <w:noProof/>
              </w:rPr>
              <w:t>Current Appendix H substances (for reference)</w:t>
            </w:r>
            <w:r w:rsidR="00D236D0">
              <w:rPr>
                <w:noProof/>
                <w:webHidden/>
              </w:rPr>
              <w:tab/>
            </w:r>
            <w:r w:rsidR="00D236D0">
              <w:rPr>
                <w:noProof/>
                <w:webHidden/>
              </w:rPr>
              <w:fldChar w:fldCharType="begin"/>
            </w:r>
            <w:r w:rsidR="00D236D0">
              <w:rPr>
                <w:noProof/>
                <w:webHidden/>
              </w:rPr>
              <w:instrText xml:space="preserve"> PAGEREF _Toc515619673 \h </w:instrText>
            </w:r>
            <w:r w:rsidR="00D236D0">
              <w:rPr>
                <w:noProof/>
                <w:webHidden/>
              </w:rPr>
            </w:r>
            <w:r w:rsidR="00D236D0">
              <w:rPr>
                <w:noProof/>
                <w:webHidden/>
              </w:rPr>
              <w:fldChar w:fldCharType="separate"/>
            </w:r>
            <w:r w:rsidR="00D236D0">
              <w:rPr>
                <w:noProof/>
                <w:webHidden/>
              </w:rPr>
              <w:t>5</w:t>
            </w:r>
            <w:r w:rsidR="00D236D0">
              <w:rPr>
                <w:noProof/>
                <w:webHidden/>
              </w:rPr>
              <w:fldChar w:fldCharType="end"/>
            </w:r>
          </w:hyperlink>
        </w:p>
        <w:p w:rsidR="00D236D0" w:rsidRDefault="007D6B29">
          <w:pPr>
            <w:pStyle w:val="TOC3"/>
            <w:rPr>
              <w:rFonts w:asciiTheme="minorHAnsi" w:eastAsiaTheme="minorEastAsia" w:hAnsiTheme="minorHAnsi" w:cstheme="minorBidi"/>
              <w:b w:val="0"/>
              <w:noProof/>
              <w:szCs w:val="22"/>
              <w:lang w:eastAsia="en-AU"/>
            </w:rPr>
          </w:pPr>
          <w:hyperlink w:anchor="_Toc515619674" w:history="1">
            <w:r w:rsidR="00D236D0" w:rsidRPr="000A5B84">
              <w:rPr>
                <w:rStyle w:val="Hyperlink"/>
                <w:noProof/>
                <w:lang w:eastAsia="en-AU"/>
              </w:rPr>
              <w:t>Proposed additions to Appendix H</w:t>
            </w:r>
            <w:r w:rsidR="00D236D0">
              <w:rPr>
                <w:noProof/>
                <w:webHidden/>
              </w:rPr>
              <w:tab/>
            </w:r>
            <w:r w:rsidR="00D236D0">
              <w:rPr>
                <w:noProof/>
                <w:webHidden/>
              </w:rPr>
              <w:fldChar w:fldCharType="begin"/>
            </w:r>
            <w:r w:rsidR="00D236D0">
              <w:rPr>
                <w:noProof/>
                <w:webHidden/>
              </w:rPr>
              <w:instrText xml:space="preserve"> PAGEREF _Toc515619674 \h </w:instrText>
            </w:r>
            <w:r w:rsidR="00D236D0">
              <w:rPr>
                <w:noProof/>
                <w:webHidden/>
              </w:rPr>
            </w:r>
            <w:r w:rsidR="00D236D0">
              <w:rPr>
                <w:noProof/>
                <w:webHidden/>
              </w:rPr>
              <w:fldChar w:fldCharType="separate"/>
            </w:r>
            <w:r w:rsidR="00D236D0">
              <w:rPr>
                <w:noProof/>
                <w:webHidden/>
              </w:rPr>
              <w:t>5</w:t>
            </w:r>
            <w:r w:rsidR="00D236D0">
              <w:rPr>
                <w:noProof/>
                <w:webHidden/>
              </w:rPr>
              <w:fldChar w:fldCharType="end"/>
            </w:r>
          </w:hyperlink>
        </w:p>
        <w:p w:rsidR="00D236D0" w:rsidRDefault="007D6B29">
          <w:pPr>
            <w:pStyle w:val="TOC3"/>
            <w:rPr>
              <w:rFonts w:asciiTheme="minorHAnsi" w:eastAsiaTheme="minorEastAsia" w:hAnsiTheme="minorHAnsi" w:cstheme="minorBidi"/>
              <w:b w:val="0"/>
              <w:noProof/>
              <w:szCs w:val="22"/>
              <w:lang w:eastAsia="en-AU"/>
            </w:rPr>
          </w:pPr>
          <w:hyperlink w:anchor="_Toc515619675" w:history="1">
            <w:r w:rsidR="00D236D0" w:rsidRPr="000A5B84">
              <w:rPr>
                <w:rStyle w:val="Hyperlink"/>
                <w:noProof/>
              </w:rPr>
              <w:t>Proposed</w:t>
            </w:r>
            <w:r w:rsidR="00D236D0" w:rsidRPr="000A5B84">
              <w:rPr>
                <w:rStyle w:val="Hyperlink"/>
                <w:noProof/>
                <w:lang w:eastAsia="en-AU"/>
              </w:rPr>
              <w:t xml:space="preserve"> exclusions from Appendix H</w:t>
            </w:r>
            <w:r w:rsidR="00D236D0">
              <w:rPr>
                <w:noProof/>
                <w:webHidden/>
              </w:rPr>
              <w:tab/>
            </w:r>
            <w:r w:rsidR="00D236D0">
              <w:rPr>
                <w:noProof/>
                <w:webHidden/>
              </w:rPr>
              <w:fldChar w:fldCharType="begin"/>
            </w:r>
            <w:r w:rsidR="00D236D0">
              <w:rPr>
                <w:noProof/>
                <w:webHidden/>
              </w:rPr>
              <w:instrText xml:space="preserve"> PAGEREF _Toc515619675 \h </w:instrText>
            </w:r>
            <w:r w:rsidR="00D236D0">
              <w:rPr>
                <w:noProof/>
                <w:webHidden/>
              </w:rPr>
            </w:r>
            <w:r w:rsidR="00D236D0">
              <w:rPr>
                <w:noProof/>
                <w:webHidden/>
              </w:rPr>
              <w:fldChar w:fldCharType="separate"/>
            </w:r>
            <w:r w:rsidR="00D236D0">
              <w:rPr>
                <w:noProof/>
                <w:webHidden/>
              </w:rPr>
              <w:t>6</w:t>
            </w:r>
            <w:r w:rsidR="00D236D0">
              <w:rPr>
                <w:noProof/>
                <w:webHidden/>
              </w:rPr>
              <w:fldChar w:fldCharType="end"/>
            </w:r>
          </w:hyperlink>
        </w:p>
        <w:p w:rsidR="00D236D0" w:rsidRDefault="007D6B29">
          <w:pPr>
            <w:pStyle w:val="TOC2"/>
            <w:rPr>
              <w:rFonts w:asciiTheme="minorHAnsi" w:eastAsiaTheme="minorEastAsia" w:hAnsiTheme="minorHAnsi" w:cstheme="minorBidi"/>
              <w:b w:val="0"/>
              <w:noProof/>
              <w:sz w:val="22"/>
              <w:szCs w:val="22"/>
              <w:lang w:eastAsia="en-AU"/>
            </w:rPr>
          </w:pPr>
          <w:hyperlink w:anchor="_Toc515619676" w:history="1">
            <w:r w:rsidR="00D236D0" w:rsidRPr="000A5B84">
              <w:rPr>
                <w:rStyle w:val="Hyperlink"/>
                <w:noProof/>
              </w:rPr>
              <w:t>Appendix 1 - Guidelines for advertising medicines containing Schedule 3 substances</w:t>
            </w:r>
            <w:r w:rsidR="00D236D0">
              <w:rPr>
                <w:noProof/>
                <w:webHidden/>
              </w:rPr>
              <w:tab/>
            </w:r>
            <w:r w:rsidR="00D236D0">
              <w:rPr>
                <w:noProof/>
                <w:webHidden/>
              </w:rPr>
              <w:fldChar w:fldCharType="begin"/>
            </w:r>
            <w:r w:rsidR="00D236D0">
              <w:rPr>
                <w:noProof/>
                <w:webHidden/>
              </w:rPr>
              <w:instrText xml:space="preserve"> PAGEREF _Toc515619676 \h </w:instrText>
            </w:r>
            <w:r w:rsidR="00D236D0">
              <w:rPr>
                <w:noProof/>
                <w:webHidden/>
              </w:rPr>
            </w:r>
            <w:r w:rsidR="00D236D0">
              <w:rPr>
                <w:noProof/>
                <w:webHidden/>
              </w:rPr>
              <w:fldChar w:fldCharType="separate"/>
            </w:r>
            <w:r w:rsidR="00D236D0">
              <w:rPr>
                <w:noProof/>
                <w:webHidden/>
              </w:rPr>
              <w:t>9</w:t>
            </w:r>
            <w:r w:rsidR="00D236D0">
              <w:rPr>
                <w:noProof/>
                <w:webHidden/>
              </w:rPr>
              <w:fldChar w:fldCharType="end"/>
            </w:r>
          </w:hyperlink>
        </w:p>
        <w:p w:rsidR="00B92C72" w:rsidRPr="009401F6" w:rsidRDefault="00D236D0" w:rsidP="0023397F">
          <w:r>
            <w:rPr>
              <w:rFonts w:ascii="Arial" w:hAnsi="Arial"/>
              <w:b/>
              <w:sz w:val="32"/>
            </w:rPr>
            <w:fldChar w:fldCharType="end"/>
          </w:r>
        </w:p>
      </w:sdtContent>
    </w:sdt>
    <w:p w:rsidR="001525B4" w:rsidRPr="00207A30" w:rsidRDefault="00CF25B6" w:rsidP="001C5B63">
      <w:pPr>
        <w:pStyle w:val="Heading2"/>
        <w:pageBreakBefore/>
      </w:pPr>
      <w:bookmarkStart w:id="2" w:name="_Toc515619669"/>
      <w:bookmarkEnd w:id="1"/>
      <w:r w:rsidRPr="00207A30">
        <w:lastRenderedPageBreak/>
        <w:t>Background</w:t>
      </w:r>
      <w:bookmarkEnd w:id="2"/>
    </w:p>
    <w:p w:rsidR="00CF25B6" w:rsidRDefault="0043490A" w:rsidP="00FB59CE">
      <w:r>
        <w:t xml:space="preserve">In January 2018, the revised Scheduling Policy Framework (SPF) was published and came into force. As part of the review of the SPF, it was agreed that the policy intent for advertising of Schedule 3 substances should be to allow these substances to be advertised </w:t>
      </w:r>
      <w:r w:rsidR="00DE33DE">
        <w:t xml:space="preserve">directly to consumers </w:t>
      </w:r>
      <w:r>
        <w:t>unless it is</w:t>
      </w:r>
      <w:r w:rsidR="00C243C8">
        <w:t xml:space="preserve"> determined they should not be.</w:t>
      </w:r>
    </w:p>
    <w:p w:rsidR="00CF25B6" w:rsidRDefault="00DE33DE" w:rsidP="00FB59CE">
      <w:r>
        <w:t>A mandatory statement for inclusion on all advertisements for products containing Schedule 3 substances was developed i</w:t>
      </w:r>
      <w:r w:rsidR="00CF25B6">
        <w:t>n collaboration with a group of stakeholder</w:t>
      </w:r>
      <w:r>
        <w:t>s</w:t>
      </w:r>
      <w:r w:rsidR="00CF25B6">
        <w:t xml:space="preserve"> representing </w:t>
      </w:r>
      <w:r>
        <w:t xml:space="preserve">consumers, </w:t>
      </w:r>
      <w:r w:rsidR="00CF25B6">
        <w:t xml:space="preserve">industry and healthcare professionals. The new statement, “Ask your pharmacist – they must decide if this product is right for you”, is included in the </w:t>
      </w:r>
      <w:r w:rsidR="005C7DCE">
        <w:t xml:space="preserve">draft </w:t>
      </w:r>
      <w:r w:rsidR="00CF25B6">
        <w:t>revised Therapeutic Goods Advertising Code (the Code)</w:t>
      </w:r>
      <w:r w:rsidR="005C7DCE">
        <w:rPr>
          <w:rStyle w:val="FootnoteReference"/>
        </w:rPr>
        <w:footnoteReference w:id="1"/>
      </w:r>
      <w:r w:rsidR="00CF25B6">
        <w:t>.</w:t>
      </w:r>
    </w:p>
    <w:p w:rsidR="001525B4" w:rsidRDefault="00CF25B6" w:rsidP="00FB59CE">
      <w:r>
        <w:t xml:space="preserve">In addition to the mandatory statement, the stakeholder group also </w:t>
      </w:r>
      <w:r w:rsidR="00432D79">
        <w:t xml:space="preserve">assisted in developing new </w:t>
      </w:r>
      <w:r>
        <w:t xml:space="preserve">guidelines for determining if a substance is suitable to be advertised (included as Appendix 1), and initial comments on the substances </w:t>
      </w:r>
      <w:r w:rsidR="00DE33DE">
        <w:t xml:space="preserve">are </w:t>
      </w:r>
      <w:r>
        <w:t>presented in this paper.</w:t>
      </w:r>
    </w:p>
    <w:p w:rsidR="00CF25B6" w:rsidRDefault="00CF25B6" w:rsidP="00B25C97">
      <w:pPr>
        <w:pStyle w:val="Heading2"/>
      </w:pPr>
      <w:bookmarkStart w:id="3" w:name="_Toc515619670"/>
      <w:r>
        <w:t>Purpose</w:t>
      </w:r>
      <w:bookmarkEnd w:id="3"/>
    </w:p>
    <w:p w:rsidR="00191246" w:rsidRDefault="00191246" w:rsidP="00FB59CE">
      <w:pPr>
        <w:rPr>
          <w:rFonts w:asciiTheme="minorHAnsi" w:hAnsiTheme="minorHAnsi"/>
        </w:rPr>
      </w:pPr>
      <w:r w:rsidRPr="00191246">
        <w:rPr>
          <w:rFonts w:asciiTheme="minorHAnsi" w:hAnsiTheme="minorHAnsi"/>
        </w:rPr>
        <w:t>Currently there are only 19 of 85 Schedule 3 substances included in Appendix H. To facilitate the transition of substances to Appendix H, the current Schedule 3 substances will be considered in bulk and specific applications from stakeholders will NOT be required.</w:t>
      </w:r>
    </w:p>
    <w:p w:rsidR="00191246" w:rsidRDefault="00191246" w:rsidP="00191246">
      <w:pPr>
        <w:spacing w:after="100" w:afterAutospacing="1" w:line="271" w:lineRule="auto"/>
        <w:rPr>
          <w:rFonts w:asciiTheme="minorHAnsi" w:hAnsiTheme="minorHAnsi"/>
        </w:rPr>
      </w:pPr>
      <w:r w:rsidRPr="00191246">
        <w:rPr>
          <w:rFonts w:asciiTheme="minorHAnsi" w:hAnsiTheme="minorHAnsi"/>
        </w:rPr>
        <w:t xml:space="preserve">Using the factors described </w:t>
      </w:r>
      <w:r>
        <w:rPr>
          <w:rFonts w:asciiTheme="minorHAnsi" w:hAnsiTheme="minorHAnsi"/>
        </w:rPr>
        <w:t>in the Guideline,</w:t>
      </w:r>
      <w:r w:rsidRPr="00191246">
        <w:rPr>
          <w:rFonts w:asciiTheme="minorHAnsi" w:hAnsiTheme="minorHAnsi"/>
        </w:rPr>
        <w:t xml:space="preserve"> and considering feedback from earlier ta</w:t>
      </w:r>
      <w:r w:rsidR="00A8785D">
        <w:rPr>
          <w:rFonts w:asciiTheme="minorHAnsi" w:hAnsiTheme="minorHAnsi"/>
        </w:rPr>
        <w:t xml:space="preserve">rgeted consultation activities in </w:t>
      </w:r>
      <w:hyperlink r:id="rId14" w:history="1">
        <w:r w:rsidR="00A8785D">
          <w:rPr>
            <w:rStyle w:val="Hyperlink"/>
            <w:rFonts w:asciiTheme="minorHAnsi" w:hAnsiTheme="minorHAnsi"/>
          </w:rPr>
          <w:t>February 2018</w:t>
        </w:r>
      </w:hyperlink>
      <w:r w:rsidRPr="00191246">
        <w:rPr>
          <w:rFonts w:asciiTheme="minorHAnsi" w:hAnsiTheme="minorHAnsi"/>
        </w:rPr>
        <w:t xml:space="preserve"> </w:t>
      </w:r>
      <w:r w:rsidR="00A8785D">
        <w:rPr>
          <w:rFonts w:asciiTheme="minorHAnsi" w:hAnsiTheme="minorHAnsi"/>
        </w:rPr>
        <w:t xml:space="preserve">and </w:t>
      </w:r>
      <w:hyperlink r:id="rId15" w:history="1">
        <w:r w:rsidR="00A8785D" w:rsidRPr="00A8785D">
          <w:rPr>
            <w:rStyle w:val="Hyperlink"/>
            <w:rFonts w:asciiTheme="minorHAnsi" w:hAnsiTheme="minorHAnsi"/>
          </w:rPr>
          <w:t>March 2018</w:t>
        </w:r>
      </w:hyperlink>
      <w:r w:rsidRPr="00191246">
        <w:rPr>
          <w:rFonts w:asciiTheme="minorHAnsi" w:hAnsiTheme="minorHAnsi"/>
        </w:rPr>
        <w:t>, the current Schedule 3 substances have been classified into two lists – those that can be advertised (</w:t>
      </w:r>
      <w:r>
        <w:rPr>
          <w:rFonts w:asciiTheme="minorHAnsi" w:hAnsiTheme="minorHAnsi"/>
        </w:rPr>
        <w:t xml:space="preserve">to be </w:t>
      </w:r>
      <w:r w:rsidRPr="00191246">
        <w:rPr>
          <w:rFonts w:asciiTheme="minorHAnsi" w:hAnsiTheme="minorHAnsi"/>
        </w:rPr>
        <w:t>added to Appendix H) and those that are not suitable for advertising</w:t>
      </w:r>
      <w:r>
        <w:rPr>
          <w:rFonts w:asciiTheme="minorHAnsi" w:hAnsiTheme="minorHAnsi"/>
        </w:rPr>
        <w:t xml:space="preserve"> together with a justification</w:t>
      </w:r>
      <w:r w:rsidRPr="00191246">
        <w:rPr>
          <w:rFonts w:asciiTheme="minorHAnsi" w:hAnsiTheme="minorHAnsi"/>
        </w:rPr>
        <w:t>.</w:t>
      </w:r>
    </w:p>
    <w:p w:rsidR="00191246" w:rsidRDefault="00191246" w:rsidP="00191246">
      <w:pPr>
        <w:spacing w:after="100" w:afterAutospacing="1" w:line="271" w:lineRule="auto"/>
        <w:rPr>
          <w:rFonts w:asciiTheme="minorHAnsi" w:hAnsiTheme="minorHAnsi"/>
        </w:rPr>
      </w:pPr>
      <w:r>
        <w:rPr>
          <w:rFonts w:asciiTheme="minorHAnsi" w:hAnsiTheme="minorHAnsi"/>
        </w:rPr>
        <w:t xml:space="preserve">Stakeholders are invited to comment on the substances </w:t>
      </w:r>
      <w:r w:rsidR="00F76CFF">
        <w:rPr>
          <w:rFonts w:asciiTheme="minorHAnsi" w:hAnsiTheme="minorHAnsi"/>
        </w:rPr>
        <w:t xml:space="preserve">proposed for inclusion in </w:t>
      </w:r>
      <w:r>
        <w:rPr>
          <w:rFonts w:asciiTheme="minorHAnsi" w:hAnsiTheme="minorHAnsi"/>
        </w:rPr>
        <w:t>these lists.</w:t>
      </w:r>
    </w:p>
    <w:p w:rsidR="00191246" w:rsidRDefault="00191246" w:rsidP="00191246">
      <w:r>
        <w:t>The guideline at Appendix 1 is included for information, and is not part of the consultation.</w:t>
      </w:r>
    </w:p>
    <w:p w:rsidR="001525B4" w:rsidRDefault="00191246" w:rsidP="00B25C97">
      <w:pPr>
        <w:pStyle w:val="Heading2"/>
      </w:pPr>
      <w:bookmarkStart w:id="4" w:name="_Toc515619671"/>
      <w:r>
        <w:t>What will happen after the consultation?</w:t>
      </w:r>
      <w:bookmarkEnd w:id="4"/>
    </w:p>
    <w:p w:rsidR="00191246" w:rsidRPr="00191246" w:rsidRDefault="00191246" w:rsidP="00191246">
      <w:pPr>
        <w:spacing w:after="100" w:afterAutospacing="1" w:line="271" w:lineRule="auto"/>
        <w:rPr>
          <w:rFonts w:asciiTheme="minorHAnsi" w:hAnsiTheme="minorHAnsi"/>
        </w:rPr>
      </w:pPr>
      <w:r w:rsidRPr="00191246">
        <w:rPr>
          <w:rFonts w:asciiTheme="minorHAnsi" w:hAnsiTheme="minorHAnsi"/>
        </w:rPr>
        <w:t xml:space="preserve">Based on consultation responses, </w:t>
      </w:r>
      <w:r w:rsidR="00027DD1">
        <w:rPr>
          <w:rFonts w:asciiTheme="minorHAnsi" w:hAnsiTheme="minorHAnsi"/>
        </w:rPr>
        <w:t xml:space="preserve">similar to the scheduling process, </w:t>
      </w:r>
      <w:r w:rsidR="00DE33DE">
        <w:rPr>
          <w:rFonts w:asciiTheme="minorHAnsi" w:hAnsiTheme="minorHAnsi"/>
        </w:rPr>
        <w:t xml:space="preserve">a delegate of </w:t>
      </w:r>
      <w:r w:rsidRPr="00191246">
        <w:rPr>
          <w:rFonts w:asciiTheme="minorHAnsi" w:hAnsiTheme="minorHAnsi"/>
        </w:rPr>
        <w:t xml:space="preserve">the </w:t>
      </w:r>
      <w:r w:rsidR="00432D79">
        <w:rPr>
          <w:rFonts w:asciiTheme="minorHAnsi" w:hAnsiTheme="minorHAnsi"/>
        </w:rPr>
        <w:t>Secretary of the Department of Health</w:t>
      </w:r>
      <w:r w:rsidRPr="00191246">
        <w:rPr>
          <w:rFonts w:asciiTheme="minorHAnsi" w:hAnsiTheme="minorHAnsi"/>
        </w:rPr>
        <w:t xml:space="preserve"> will do one or more of the following for each substance:</w:t>
      </w:r>
    </w:p>
    <w:p w:rsidR="00191246" w:rsidRPr="00191246" w:rsidRDefault="00191246" w:rsidP="00191246">
      <w:pPr>
        <w:pStyle w:val="ListParagraph"/>
        <w:numPr>
          <w:ilvl w:val="0"/>
          <w:numId w:val="31"/>
        </w:numPr>
        <w:spacing w:after="100" w:afterAutospacing="1" w:line="271" w:lineRule="auto"/>
        <w:ind w:left="721" w:hanging="437"/>
        <w:rPr>
          <w:rFonts w:eastAsia="Times New Roman" w:cs="Times New Roman"/>
          <w:color w:val="000000"/>
          <w:lang w:eastAsia="en-AU"/>
        </w:rPr>
      </w:pPr>
      <w:r w:rsidRPr="00191246">
        <w:rPr>
          <w:rFonts w:eastAsia="Times New Roman" w:cs="Times New Roman"/>
          <w:color w:val="000000"/>
          <w:lang w:eastAsia="en-AU"/>
        </w:rPr>
        <w:t>Make a decision to add a substance to Appendix H</w:t>
      </w:r>
    </w:p>
    <w:p w:rsidR="00191246" w:rsidRPr="00191246" w:rsidRDefault="00191246" w:rsidP="00191246">
      <w:pPr>
        <w:pStyle w:val="ListParagraph"/>
        <w:numPr>
          <w:ilvl w:val="0"/>
          <w:numId w:val="31"/>
        </w:numPr>
        <w:spacing w:after="100" w:afterAutospacing="1" w:line="271" w:lineRule="auto"/>
        <w:ind w:left="721" w:hanging="437"/>
        <w:rPr>
          <w:rFonts w:eastAsia="Times New Roman" w:cs="Times New Roman"/>
          <w:color w:val="000000"/>
          <w:lang w:eastAsia="en-AU"/>
        </w:rPr>
      </w:pPr>
      <w:r w:rsidRPr="00191246">
        <w:rPr>
          <w:rFonts w:eastAsia="Times New Roman" w:cs="Times New Roman"/>
          <w:color w:val="000000"/>
          <w:lang w:eastAsia="en-AU"/>
        </w:rPr>
        <w:t>Decide not to add a substance to Appendix H</w:t>
      </w:r>
    </w:p>
    <w:p w:rsidR="00191246" w:rsidRPr="00191246" w:rsidRDefault="00191246" w:rsidP="00191246">
      <w:pPr>
        <w:pStyle w:val="ListParagraph"/>
        <w:numPr>
          <w:ilvl w:val="0"/>
          <w:numId w:val="31"/>
        </w:numPr>
        <w:spacing w:after="100" w:afterAutospacing="1" w:line="271" w:lineRule="auto"/>
        <w:ind w:left="721" w:hanging="437"/>
        <w:rPr>
          <w:rFonts w:eastAsia="Times New Roman" w:cs="Times New Roman"/>
          <w:color w:val="000000"/>
          <w:lang w:eastAsia="en-AU"/>
        </w:rPr>
      </w:pPr>
      <w:r w:rsidRPr="00191246">
        <w:rPr>
          <w:rFonts w:eastAsia="Times New Roman" w:cs="Times New Roman"/>
          <w:color w:val="000000"/>
          <w:lang w:eastAsia="en-AU"/>
        </w:rPr>
        <w:t>Reconsider the initial proposal in this paper and seek further comment on an alternative proposal</w:t>
      </w:r>
    </w:p>
    <w:p w:rsidR="00191246" w:rsidRPr="00191246" w:rsidRDefault="00191246" w:rsidP="00191246">
      <w:pPr>
        <w:pStyle w:val="ListParagraph"/>
        <w:numPr>
          <w:ilvl w:val="0"/>
          <w:numId w:val="31"/>
        </w:numPr>
        <w:spacing w:before="120" w:after="100" w:afterAutospacing="1" w:line="271" w:lineRule="auto"/>
        <w:ind w:left="721" w:hanging="437"/>
        <w:rPr>
          <w:rFonts w:eastAsia="Times New Roman" w:cs="Times New Roman"/>
          <w:color w:val="000000"/>
          <w:lang w:eastAsia="en-AU"/>
        </w:rPr>
      </w:pPr>
      <w:r w:rsidRPr="00191246">
        <w:rPr>
          <w:rFonts w:eastAsia="Times New Roman" w:cs="Times New Roman"/>
          <w:color w:val="000000"/>
          <w:lang w:eastAsia="en-AU"/>
        </w:rPr>
        <w:t>Refer the substance to the</w:t>
      </w:r>
      <w:r w:rsidR="00432D79">
        <w:rPr>
          <w:rFonts w:eastAsia="Times New Roman" w:cs="Times New Roman"/>
          <w:color w:val="000000"/>
          <w:lang w:eastAsia="en-AU"/>
        </w:rPr>
        <w:t xml:space="preserve"> Advisory Committee for Medicines Scheduling</w:t>
      </w:r>
      <w:r w:rsidRPr="00191246">
        <w:rPr>
          <w:rFonts w:eastAsia="Times New Roman" w:cs="Times New Roman"/>
          <w:color w:val="000000"/>
          <w:lang w:eastAsia="en-AU"/>
        </w:rPr>
        <w:t xml:space="preserve"> </w:t>
      </w:r>
      <w:r w:rsidR="00432D79">
        <w:rPr>
          <w:rFonts w:eastAsia="Times New Roman" w:cs="Times New Roman"/>
          <w:color w:val="000000"/>
          <w:lang w:eastAsia="en-AU"/>
        </w:rPr>
        <w:t>(</w:t>
      </w:r>
      <w:r w:rsidRPr="00191246">
        <w:rPr>
          <w:rFonts w:eastAsia="Times New Roman" w:cs="Times New Roman"/>
          <w:color w:val="000000"/>
          <w:lang w:eastAsia="en-AU"/>
        </w:rPr>
        <w:t>ACMS</w:t>
      </w:r>
      <w:r w:rsidR="00432D79">
        <w:rPr>
          <w:rFonts w:eastAsia="Times New Roman" w:cs="Times New Roman"/>
          <w:color w:val="000000"/>
          <w:lang w:eastAsia="en-AU"/>
        </w:rPr>
        <w:t>)</w:t>
      </w:r>
      <w:r w:rsidRPr="00191246">
        <w:rPr>
          <w:rFonts w:eastAsia="Times New Roman" w:cs="Times New Roman"/>
          <w:color w:val="000000"/>
          <w:lang w:eastAsia="en-AU"/>
        </w:rPr>
        <w:t xml:space="preserve"> for further advice.</w:t>
      </w:r>
    </w:p>
    <w:p w:rsidR="00191246" w:rsidRDefault="00191246" w:rsidP="00191246">
      <w:pPr>
        <w:rPr>
          <w:rFonts w:asciiTheme="minorHAnsi" w:eastAsia="Times New Roman" w:hAnsiTheme="minorHAnsi"/>
          <w:color w:val="000000"/>
          <w:lang w:eastAsia="en-AU"/>
        </w:rPr>
      </w:pPr>
      <w:r w:rsidRPr="00191246">
        <w:rPr>
          <w:rFonts w:asciiTheme="minorHAnsi" w:eastAsia="Times New Roman" w:hAnsiTheme="minorHAnsi"/>
          <w:color w:val="000000"/>
          <w:lang w:eastAsia="en-AU"/>
        </w:rPr>
        <w:t>It is anticipated that this process will be largely complete by the end of 2018.</w:t>
      </w:r>
    </w:p>
    <w:p w:rsidR="00027DD1" w:rsidRPr="00432D79" w:rsidRDefault="00027DD1" w:rsidP="00B25C97">
      <w:pPr>
        <w:pStyle w:val="Heading2"/>
        <w:rPr>
          <w:sz w:val="36"/>
        </w:rPr>
      </w:pPr>
      <w:bookmarkStart w:id="5" w:name="_Toc515619672"/>
      <w:r w:rsidRPr="00432D79">
        <w:rPr>
          <w:sz w:val="36"/>
        </w:rPr>
        <w:lastRenderedPageBreak/>
        <w:t>The Substances</w:t>
      </w:r>
      <w:bookmarkEnd w:id="5"/>
    </w:p>
    <w:p w:rsidR="00027DD1" w:rsidRPr="00432D79" w:rsidRDefault="00027DD1" w:rsidP="00B25C97">
      <w:pPr>
        <w:pStyle w:val="Heading3"/>
        <w:rPr>
          <w:sz w:val="28"/>
        </w:rPr>
      </w:pPr>
      <w:bookmarkStart w:id="6" w:name="_Toc515619673"/>
      <w:r w:rsidRPr="00432D79">
        <w:rPr>
          <w:sz w:val="28"/>
        </w:rPr>
        <w:t>Current Appendix H substances (for reference)</w:t>
      </w:r>
      <w:bookmarkEnd w:id="6"/>
    </w:p>
    <w:p w:rsidR="00027DD1" w:rsidRPr="00027DD1" w:rsidRDefault="00027DD1" w:rsidP="00B25C97">
      <w:pPr>
        <w:pStyle w:val="ListBullet"/>
        <w:rPr>
          <w:lang w:eastAsia="en-AU"/>
        </w:rPr>
      </w:pPr>
      <w:r w:rsidRPr="00027DD1">
        <w:rPr>
          <w:lang w:eastAsia="en-AU"/>
        </w:rPr>
        <w:t>BUTOCONAZOLE</w:t>
      </w:r>
    </w:p>
    <w:p w:rsidR="00027DD1" w:rsidRPr="00027DD1" w:rsidRDefault="00027DD1" w:rsidP="00B25C97">
      <w:pPr>
        <w:pStyle w:val="ListBullet"/>
        <w:rPr>
          <w:lang w:eastAsia="en-AU"/>
        </w:rPr>
      </w:pPr>
      <w:r w:rsidRPr="00027DD1">
        <w:rPr>
          <w:lang w:eastAsia="en-AU"/>
        </w:rPr>
        <w:t>CLOTRIMAZOLE</w:t>
      </w:r>
    </w:p>
    <w:p w:rsidR="00027DD1" w:rsidRPr="00027DD1" w:rsidRDefault="00027DD1" w:rsidP="00B25C97">
      <w:pPr>
        <w:pStyle w:val="ListBullet"/>
        <w:rPr>
          <w:lang w:eastAsia="en-AU"/>
        </w:rPr>
      </w:pPr>
      <w:r w:rsidRPr="00027DD1">
        <w:rPr>
          <w:lang w:eastAsia="en-AU"/>
        </w:rPr>
        <w:t>DICLOFENAC</w:t>
      </w:r>
    </w:p>
    <w:p w:rsidR="00027DD1" w:rsidRPr="00027DD1" w:rsidRDefault="00027DD1" w:rsidP="00B25C97">
      <w:pPr>
        <w:pStyle w:val="ListBullet"/>
        <w:rPr>
          <w:color w:val="000000"/>
        </w:rPr>
      </w:pPr>
      <w:r w:rsidRPr="00027DD1">
        <w:rPr>
          <w:color w:val="000000"/>
        </w:rPr>
        <w:t>DIMENHYDRINATE</w:t>
      </w:r>
      <w:r w:rsidR="00A8785D">
        <w:rPr>
          <w:color w:val="000000"/>
        </w:rPr>
        <w:t xml:space="preserve"> (</w:t>
      </w:r>
      <w:r w:rsidRPr="00027DD1">
        <w:rPr>
          <w:color w:val="000000"/>
        </w:rPr>
        <w:t>for the prevention and relief of motion sickness</w:t>
      </w:r>
      <w:r w:rsidR="00A8785D">
        <w:rPr>
          <w:color w:val="000000"/>
        </w:rPr>
        <w:t>)</w:t>
      </w:r>
    </w:p>
    <w:p w:rsidR="00027DD1" w:rsidRPr="00027DD1" w:rsidRDefault="00027DD1" w:rsidP="00B25C97">
      <w:pPr>
        <w:pStyle w:val="ListBullet"/>
        <w:rPr>
          <w:lang w:eastAsia="en-AU"/>
        </w:rPr>
      </w:pPr>
      <w:r w:rsidRPr="00027DD1">
        <w:rPr>
          <w:color w:val="000000"/>
        </w:rPr>
        <w:t>DIPHENOXYLATE</w:t>
      </w:r>
    </w:p>
    <w:p w:rsidR="00027DD1" w:rsidRPr="00027DD1" w:rsidRDefault="00027DD1" w:rsidP="00B25C97">
      <w:pPr>
        <w:pStyle w:val="ListBullet"/>
        <w:rPr>
          <w:color w:val="000000"/>
        </w:rPr>
      </w:pPr>
      <w:r w:rsidRPr="00027DD1">
        <w:rPr>
          <w:color w:val="000000"/>
        </w:rPr>
        <w:t>ECONAZOLE</w:t>
      </w:r>
    </w:p>
    <w:p w:rsidR="00027DD1" w:rsidRPr="00027DD1" w:rsidRDefault="00027DD1" w:rsidP="00B25C97">
      <w:pPr>
        <w:pStyle w:val="ListBullet"/>
        <w:rPr>
          <w:color w:val="000000"/>
        </w:rPr>
      </w:pPr>
      <w:r w:rsidRPr="00027DD1">
        <w:rPr>
          <w:color w:val="000000"/>
        </w:rPr>
        <w:t>ESOMEPRAZOLE</w:t>
      </w:r>
    </w:p>
    <w:p w:rsidR="00027DD1" w:rsidRPr="00027DD1" w:rsidRDefault="00027DD1" w:rsidP="00B25C97">
      <w:pPr>
        <w:pStyle w:val="ListBullet"/>
        <w:rPr>
          <w:color w:val="000000"/>
        </w:rPr>
      </w:pPr>
      <w:r w:rsidRPr="00027DD1">
        <w:rPr>
          <w:color w:val="000000"/>
        </w:rPr>
        <w:t>FLUCONAZOLE</w:t>
      </w:r>
    </w:p>
    <w:p w:rsidR="00027DD1" w:rsidRPr="00027DD1" w:rsidRDefault="00027DD1" w:rsidP="00B25C97">
      <w:pPr>
        <w:pStyle w:val="ListBullet"/>
        <w:rPr>
          <w:color w:val="000000"/>
        </w:rPr>
      </w:pPr>
      <w:r w:rsidRPr="00027DD1">
        <w:rPr>
          <w:color w:val="000000"/>
        </w:rPr>
        <w:t>HYDROCORTISONE</w:t>
      </w:r>
    </w:p>
    <w:p w:rsidR="00027DD1" w:rsidRPr="00027DD1" w:rsidRDefault="00027DD1" w:rsidP="00B25C97">
      <w:pPr>
        <w:pStyle w:val="ListBullet"/>
        <w:rPr>
          <w:color w:val="000000"/>
        </w:rPr>
      </w:pPr>
      <w:r w:rsidRPr="00027DD1">
        <w:rPr>
          <w:color w:val="000000"/>
        </w:rPr>
        <w:t>IBUPROFEN</w:t>
      </w:r>
    </w:p>
    <w:p w:rsidR="00027DD1" w:rsidRPr="00027DD1" w:rsidRDefault="00027DD1" w:rsidP="00B25C97">
      <w:pPr>
        <w:pStyle w:val="ListBullet"/>
        <w:rPr>
          <w:color w:val="000000"/>
        </w:rPr>
      </w:pPr>
      <w:r w:rsidRPr="00027DD1">
        <w:rPr>
          <w:color w:val="000000"/>
        </w:rPr>
        <w:t>LANSOPRAZOLE</w:t>
      </w:r>
    </w:p>
    <w:p w:rsidR="00027DD1" w:rsidRPr="00027DD1" w:rsidRDefault="00027DD1" w:rsidP="00B25C97">
      <w:pPr>
        <w:pStyle w:val="ListBullet"/>
        <w:rPr>
          <w:color w:val="000000"/>
        </w:rPr>
      </w:pPr>
      <w:r w:rsidRPr="00027DD1">
        <w:rPr>
          <w:color w:val="000000"/>
        </w:rPr>
        <w:t>MICONAZOLE</w:t>
      </w:r>
    </w:p>
    <w:p w:rsidR="00027DD1" w:rsidRPr="00027DD1" w:rsidRDefault="00027DD1" w:rsidP="00B25C97">
      <w:pPr>
        <w:pStyle w:val="ListBullet"/>
        <w:rPr>
          <w:color w:val="000000"/>
        </w:rPr>
      </w:pPr>
      <w:r w:rsidRPr="00027DD1">
        <w:rPr>
          <w:color w:val="000000"/>
        </w:rPr>
        <w:t>NAPROXEN</w:t>
      </w:r>
    </w:p>
    <w:p w:rsidR="00027DD1" w:rsidRPr="00027DD1" w:rsidRDefault="00027DD1" w:rsidP="00B25C97">
      <w:pPr>
        <w:pStyle w:val="ListBullet"/>
        <w:rPr>
          <w:color w:val="000000"/>
        </w:rPr>
      </w:pPr>
      <w:r w:rsidRPr="00027DD1">
        <w:rPr>
          <w:color w:val="000000"/>
        </w:rPr>
        <w:t>NYSTATIN</w:t>
      </w:r>
    </w:p>
    <w:p w:rsidR="00027DD1" w:rsidRPr="00027DD1" w:rsidRDefault="00027DD1" w:rsidP="00B25C97">
      <w:pPr>
        <w:pStyle w:val="ListBullet"/>
        <w:rPr>
          <w:color w:val="000000"/>
        </w:rPr>
      </w:pPr>
      <w:r w:rsidRPr="00027DD1">
        <w:rPr>
          <w:color w:val="000000"/>
        </w:rPr>
        <w:t>OMEPRAZOLE</w:t>
      </w:r>
    </w:p>
    <w:p w:rsidR="00027DD1" w:rsidRPr="00027DD1" w:rsidRDefault="00027DD1" w:rsidP="00B25C97">
      <w:pPr>
        <w:pStyle w:val="ListBullet"/>
        <w:rPr>
          <w:color w:val="000000"/>
        </w:rPr>
      </w:pPr>
      <w:r w:rsidRPr="00027DD1">
        <w:rPr>
          <w:color w:val="000000"/>
        </w:rPr>
        <w:t>PANTOPRAZOLE</w:t>
      </w:r>
    </w:p>
    <w:p w:rsidR="00027DD1" w:rsidRPr="00027DD1" w:rsidRDefault="00027DD1" w:rsidP="00B25C97">
      <w:pPr>
        <w:pStyle w:val="ListBullet"/>
        <w:rPr>
          <w:color w:val="000000"/>
        </w:rPr>
      </w:pPr>
      <w:r w:rsidRPr="00027DD1">
        <w:rPr>
          <w:color w:val="000000"/>
        </w:rPr>
        <w:t>RABEPRAZOLE</w:t>
      </w:r>
    </w:p>
    <w:p w:rsidR="00027DD1" w:rsidRPr="00027DD1" w:rsidRDefault="00027DD1" w:rsidP="00B25C97">
      <w:pPr>
        <w:pStyle w:val="ListBullet"/>
        <w:rPr>
          <w:color w:val="000000"/>
        </w:rPr>
      </w:pPr>
      <w:r w:rsidRPr="00027DD1">
        <w:rPr>
          <w:color w:val="000000"/>
        </w:rPr>
        <w:t xml:space="preserve">ULIPRISTAL </w:t>
      </w:r>
      <w:r w:rsidR="00A8785D">
        <w:rPr>
          <w:color w:val="000000"/>
        </w:rPr>
        <w:t>(</w:t>
      </w:r>
      <w:r w:rsidRPr="00027DD1">
        <w:rPr>
          <w:color w:val="000000"/>
        </w:rPr>
        <w:t>for emergency post-coital contraception</w:t>
      </w:r>
      <w:r w:rsidR="00A8785D">
        <w:rPr>
          <w:color w:val="000000"/>
        </w:rPr>
        <w:t>)</w:t>
      </w:r>
    </w:p>
    <w:p w:rsidR="001525B4" w:rsidRDefault="00027DD1" w:rsidP="00B25C97">
      <w:pPr>
        <w:pStyle w:val="ListBullet"/>
      </w:pPr>
      <w:r w:rsidRPr="00027DD1">
        <w:rPr>
          <w:color w:val="000000"/>
        </w:rPr>
        <w:t>VITAMIN D</w:t>
      </w:r>
    </w:p>
    <w:p w:rsidR="00027DD1" w:rsidRPr="00432D79" w:rsidRDefault="00027DD1" w:rsidP="00B25C97">
      <w:pPr>
        <w:pStyle w:val="Heading3"/>
        <w:rPr>
          <w:sz w:val="28"/>
          <w:lang w:eastAsia="en-AU"/>
        </w:rPr>
      </w:pPr>
      <w:bookmarkStart w:id="7" w:name="_Toc515619674"/>
      <w:r w:rsidRPr="00432D79">
        <w:rPr>
          <w:sz w:val="28"/>
          <w:lang w:eastAsia="en-AU"/>
        </w:rPr>
        <w:t>Proposed additions to Appendix H</w:t>
      </w:r>
      <w:bookmarkEnd w:id="7"/>
    </w:p>
    <w:p w:rsidR="00027DD1" w:rsidRPr="00027DD1" w:rsidRDefault="00C243C8" w:rsidP="00B25C97">
      <w:pPr>
        <w:pStyle w:val="ListBullet"/>
      </w:pPr>
      <w:r>
        <w:t>ADRENALINE</w:t>
      </w:r>
    </w:p>
    <w:p w:rsidR="00027DD1" w:rsidRPr="00027DD1" w:rsidRDefault="00027DD1" w:rsidP="00B25C97">
      <w:pPr>
        <w:pStyle w:val="ListBullet"/>
      </w:pPr>
      <w:r w:rsidRPr="00027DD1">
        <w:t>CHLORAMPHENICOL</w:t>
      </w:r>
    </w:p>
    <w:p w:rsidR="00027DD1" w:rsidRPr="00027DD1" w:rsidRDefault="00C243C8" w:rsidP="00B25C97">
      <w:pPr>
        <w:pStyle w:val="ListBullet"/>
      </w:pPr>
      <w:r>
        <w:t>CICLOPIROX</w:t>
      </w:r>
      <w:r w:rsidR="00027DD1" w:rsidRPr="00027DD1">
        <w:t>*</w:t>
      </w:r>
    </w:p>
    <w:p w:rsidR="00027DD1" w:rsidRPr="00027DD1" w:rsidRDefault="00027DD1" w:rsidP="00B25C97">
      <w:pPr>
        <w:pStyle w:val="ListBullet"/>
      </w:pPr>
      <w:r w:rsidRPr="00027DD1">
        <w:t>CLOBETASONE</w:t>
      </w:r>
    </w:p>
    <w:p w:rsidR="00027DD1" w:rsidRPr="00027DD1" w:rsidRDefault="00C243C8" w:rsidP="00B25C97">
      <w:pPr>
        <w:pStyle w:val="ListBullet"/>
      </w:pPr>
      <w:r>
        <w:t>FAMCICLOVIR</w:t>
      </w:r>
    </w:p>
    <w:p w:rsidR="00027DD1" w:rsidRPr="00027DD1" w:rsidRDefault="00027DD1" w:rsidP="00B25C97">
      <w:pPr>
        <w:pStyle w:val="ListBullet"/>
      </w:pPr>
      <w:r w:rsidRPr="00027DD1">
        <w:t>FLUORIDES*</w:t>
      </w:r>
    </w:p>
    <w:p w:rsidR="00027DD1" w:rsidRPr="00027DD1" w:rsidRDefault="00C243C8" w:rsidP="00B25C97">
      <w:pPr>
        <w:pStyle w:val="ListBullet"/>
      </w:pPr>
      <w:r>
        <w:t>GLYCERYL TRINITRATE</w:t>
      </w:r>
    </w:p>
    <w:p w:rsidR="00027DD1" w:rsidRPr="00027DD1" w:rsidRDefault="00027DD1" w:rsidP="00B25C97">
      <w:pPr>
        <w:pStyle w:val="ListBullet"/>
      </w:pPr>
      <w:r w:rsidRPr="00027DD1">
        <w:lastRenderedPageBreak/>
        <w:t>GLUCAGON</w:t>
      </w:r>
    </w:p>
    <w:p w:rsidR="00027DD1" w:rsidRPr="00027DD1" w:rsidRDefault="00027DD1" w:rsidP="00B25C97">
      <w:pPr>
        <w:pStyle w:val="ListBullet"/>
      </w:pPr>
      <w:r w:rsidRPr="00027DD1">
        <w:t>ISOCONAZOLE*</w:t>
      </w:r>
    </w:p>
    <w:p w:rsidR="00027DD1" w:rsidRPr="00027DD1" w:rsidRDefault="00C243C8" w:rsidP="00B25C97">
      <w:pPr>
        <w:pStyle w:val="ListBullet"/>
      </w:pPr>
      <w:r>
        <w:t>ISOSORBIDE DINITRATE</w:t>
      </w:r>
    </w:p>
    <w:p w:rsidR="00027DD1" w:rsidRPr="00027DD1" w:rsidRDefault="00C243C8" w:rsidP="00B25C97">
      <w:pPr>
        <w:pStyle w:val="ListBullet"/>
      </w:pPr>
      <w:r>
        <w:t>KETOPROFEN</w:t>
      </w:r>
    </w:p>
    <w:p w:rsidR="00027DD1" w:rsidRPr="00027DD1" w:rsidRDefault="00C243C8" w:rsidP="00B25C97">
      <w:pPr>
        <w:pStyle w:val="ListBullet"/>
      </w:pPr>
      <w:r>
        <w:t>LEVONORGESTREL</w:t>
      </w:r>
    </w:p>
    <w:p w:rsidR="00027DD1" w:rsidRPr="00027DD1" w:rsidRDefault="00027DD1" w:rsidP="00B25C97">
      <w:pPr>
        <w:pStyle w:val="ListBullet"/>
      </w:pPr>
      <w:r w:rsidRPr="00027DD1">
        <w:t>METOCLOPRAMIDE (specified for nausea associated with migraine)</w:t>
      </w:r>
    </w:p>
    <w:p w:rsidR="00027DD1" w:rsidRPr="00027DD1" w:rsidRDefault="00C243C8" w:rsidP="00B25C97">
      <w:pPr>
        <w:pStyle w:val="ListBullet"/>
      </w:pPr>
      <w:r>
        <w:t>NALOXONE</w:t>
      </w:r>
    </w:p>
    <w:p w:rsidR="00027DD1" w:rsidRPr="00027DD1" w:rsidRDefault="00027DD1" w:rsidP="00B25C97">
      <w:pPr>
        <w:pStyle w:val="ListBullet"/>
      </w:pPr>
      <w:r w:rsidRPr="00027DD1">
        <w:t>OXICONAZOLE *</w:t>
      </w:r>
    </w:p>
    <w:p w:rsidR="00027DD1" w:rsidRPr="00027DD1" w:rsidRDefault="00C243C8" w:rsidP="00B25C97">
      <w:pPr>
        <w:pStyle w:val="ListBullet"/>
      </w:pPr>
      <w:r>
        <w:t>PARACETAMOL*</w:t>
      </w:r>
    </w:p>
    <w:p w:rsidR="00027DD1" w:rsidRPr="00027DD1" w:rsidRDefault="00C243C8" w:rsidP="00B25C97">
      <w:pPr>
        <w:pStyle w:val="ListBullet"/>
      </w:pPr>
      <w:r>
        <w:t>PODOPHYLLOTOXIN*</w:t>
      </w:r>
    </w:p>
    <w:p w:rsidR="00027DD1" w:rsidRPr="00027DD1" w:rsidRDefault="00C243C8" w:rsidP="00B25C97">
      <w:pPr>
        <w:pStyle w:val="ListBullet"/>
      </w:pPr>
      <w:r>
        <w:t>PODOPHYLLUM EMODI (podophyllin)</w:t>
      </w:r>
      <w:r w:rsidR="00027DD1" w:rsidRPr="00027DD1">
        <w:t>*</w:t>
      </w:r>
    </w:p>
    <w:p w:rsidR="00027DD1" w:rsidRPr="00027DD1" w:rsidRDefault="00027DD1" w:rsidP="00B25C97">
      <w:pPr>
        <w:pStyle w:val="ListBullet"/>
      </w:pPr>
      <w:r w:rsidRPr="00027DD1">
        <w:t>POD</w:t>
      </w:r>
      <w:r w:rsidR="00C243C8">
        <w:t>OPHYLLUM PELTATUM (podophyllin)</w:t>
      </w:r>
      <w:r w:rsidRPr="00027DD1">
        <w:t>*</w:t>
      </w:r>
    </w:p>
    <w:p w:rsidR="00027DD1" w:rsidRPr="00027DD1" w:rsidRDefault="00C243C8" w:rsidP="00B25C97">
      <w:pPr>
        <w:pStyle w:val="ListBullet"/>
      </w:pPr>
      <w:r>
        <w:t>SALBUTAMOL</w:t>
      </w:r>
    </w:p>
    <w:p w:rsidR="00027DD1" w:rsidRPr="00027DD1" w:rsidRDefault="00C243C8" w:rsidP="00B25C97">
      <w:pPr>
        <w:pStyle w:val="ListBullet"/>
      </w:pPr>
      <w:r>
        <w:t>SALICYLIC ACID</w:t>
      </w:r>
    </w:p>
    <w:p w:rsidR="00027DD1" w:rsidRPr="00027DD1" w:rsidRDefault="00C243C8" w:rsidP="00B25C97">
      <w:pPr>
        <w:pStyle w:val="ListBullet"/>
      </w:pPr>
      <w:r>
        <w:t>TERBUTALINE</w:t>
      </w:r>
    </w:p>
    <w:p w:rsidR="00027DD1" w:rsidRPr="00027DD1" w:rsidRDefault="00C243C8" w:rsidP="00B25C97">
      <w:pPr>
        <w:pStyle w:val="ListBullet"/>
      </w:pPr>
      <w:r>
        <w:t>TIOCONAZOLE</w:t>
      </w:r>
      <w:r w:rsidR="00027DD1" w:rsidRPr="00027DD1">
        <w:t>*</w:t>
      </w:r>
    </w:p>
    <w:p w:rsidR="00027DD1" w:rsidRPr="00027DD1" w:rsidRDefault="00027DD1" w:rsidP="00B25C97">
      <w:pPr>
        <w:pStyle w:val="ListBullet"/>
      </w:pPr>
      <w:r w:rsidRPr="00027DD1">
        <w:t>TRIAMCINOLO</w:t>
      </w:r>
      <w:r w:rsidR="00C243C8">
        <w:t>NE</w:t>
      </w:r>
      <w:r w:rsidRPr="00027DD1">
        <w:t>*</w:t>
      </w:r>
    </w:p>
    <w:p w:rsidR="00027DD1" w:rsidRDefault="00027DD1" w:rsidP="00B25C97">
      <w:pPr>
        <w:pStyle w:val="ListBullet3"/>
        <w:numPr>
          <w:ilvl w:val="0"/>
          <w:numId w:val="0"/>
        </w:numPr>
        <w:jc w:val="both"/>
        <w:rPr>
          <w:rFonts w:asciiTheme="minorHAnsi" w:hAnsiTheme="minorHAnsi"/>
          <w:szCs w:val="22"/>
        </w:rPr>
      </w:pPr>
      <w:r w:rsidRPr="00027DD1">
        <w:rPr>
          <w:rFonts w:asciiTheme="minorHAnsi" w:hAnsiTheme="minorHAnsi"/>
          <w:szCs w:val="22"/>
        </w:rPr>
        <w:t xml:space="preserve">(* substance also has a Schedule 2 entry which can </w:t>
      </w:r>
      <w:r w:rsidR="00F76CFF">
        <w:rPr>
          <w:rFonts w:asciiTheme="minorHAnsi" w:hAnsiTheme="minorHAnsi"/>
          <w:szCs w:val="22"/>
        </w:rPr>
        <w:t xml:space="preserve">already </w:t>
      </w:r>
      <w:r w:rsidRPr="00027DD1">
        <w:rPr>
          <w:rFonts w:asciiTheme="minorHAnsi" w:hAnsiTheme="minorHAnsi"/>
          <w:szCs w:val="22"/>
        </w:rPr>
        <w:t>be advertised)</w:t>
      </w:r>
    </w:p>
    <w:p w:rsidR="00027DD1" w:rsidRPr="00432D79" w:rsidRDefault="00027DD1" w:rsidP="00B25C97">
      <w:pPr>
        <w:pStyle w:val="Heading3"/>
        <w:rPr>
          <w:sz w:val="28"/>
          <w:lang w:eastAsia="en-AU"/>
        </w:rPr>
      </w:pPr>
      <w:bookmarkStart w:id="8" w:name="_Toc515619675"/>
      <w:r w:rsidRPr="00432D79">
        <w:rPr>
          <w:sz w:val="28"/>
        </w:rPr>
        <w:t>Proposed</w:t>
      </w:r>
      <w:r w:rsidRPr="00432D79">
        <w:rPr>
          <w:sz w:val="28"/>
          <w:lang w:eastAsia="en-AU"/>
        </w:rPr>
        <w:t xml:space="preserve"> exclusions from Appendix H</w:t>
      </w:r>
      <w:bookmarkEnd w:id="8"/>
    </w:p>
    <w:p w:rsidR="00027DD1" w:rsidRDefault="00027DD1" w:rsidP="00027DD1">
      <w:pPr>
        <w:rPr>
          <w:rFonts w:asciiTheme="minorHAnsi" w:hAnsiTheme="minorHAnsi"/>
          <w:lang w:eastAsia="en-AU"/>
        </w:rPr>
      </w:pPr>
      <w:r w:rsidRPr="00027DD1">
        <w:rPr>
          <w:rFonts w:asciiTheme="minorHAnsi" w:hAnsiTheme="minorHAnsi"/>
          <w:lang w:eastAsia="en-AU"/>
        </w:rPr>
        <w:t>Justification for exclusion is per the following table</w:t>
      </w:r>
    </w:p>
    <w:tbl>
      <w:tblPr>
        <w:tblStyle w:val="TableTGAblue"/>
        <w:tblW w:w="0" w:type="auto"/>
        <w:tblLook w:val="04A0" w:firstRow="1" w:lastRow="0" w:firstColumn="1" w:lastColumn="0" w:noHBand="0" w:noVBand="1"/>
        <w:tblDescription w:val="This table provides a list of proposed exclusions from Appendix H"/>
      </w:tblPr>
      <w:tblGrid>
        <w:gridCol w:w="1384"/>
        <w:gridCol w:w="7336"/>
      </w:tblGrid>
      <w:tr w:rsidR="00027DD1" w:rsidRPr="00027DD1" w:rsidTr="00E56DDD">
        <w:trPr>
          <w:cnfStyle w:val="100000000000" w:firstRow="1" w:lastRow="0" w:firstColumn="0" w:lastColumn="0" w:oddVBand="0" w:evenVBand="0" w:oddHBand="0" w:evenHBand="0" w:firstRowFirstColumn="0" w:firstRowLastColumn="0" w:lastRowFirstColumn="0" w:lastRowLastColumn="0"/>
          <w:trHeight w:val="630"/>
          <w:tblHeader/>
        </w:trPr>
        <w:tc>
          <w:tcPr>
            <w:cnfStyle w:val="001000000000" w:firstRow="0" w:lastRow="0" w:firstColumn="1" w:lastColumn="0" w:oddVBand="0" w:evenVBand="0" w:oddHBand="0" w:evenHBand="0" w:firstRowFirstColumn="0" w:firstRowLastColumn="0" w:lastRowFirstColumn="0" w:lastRowLastColumn="0"/>
            <w:tcW w:w="1384" w:type="dxa"/>
            <w:vAlign w:val="center"/>
          </w:tcPr>
          <w:p w:rsidR="00027DD1" w:rsidRPr="00027DD1" w:rsidRDefault="00027DD1" w:rsidP="004A14D2">
            <w:pPr>
              <w:spacing w:before="0" w:line="240" w:lineRule="auto"/>
              <w:jc w:val="center"/>
              <w:rPr>
                <w:rFonts w:asciiTheme="minorHAnsi" w:hAnsiTheme="minorHAnsi"/>
                <w:b w:val="0"/>
                <w:szCs w:val="22"/>
              </w:rPr>
            </w:pPr>
            <w:r w:rsidRPr="00027DD1">
              <w:rPr>
                <w:rFonts w:asciiTheme="minorHAnsi" w:hAnsiTheme="minorHAnsi"/>
                <w:b w:val="0"/>
                <w:szCs w:val="22"/>
              </w:rPr>
              <w:t>Reference</w:t>
            </w:r>
          </w:p>
        </w:tc>
        <w:tc>
          <w:tcPr>
            <w:tcW w:w="7336" w:type="dxa"/>
            <w:vAlign w:val="center"/>
          </w:tcPr>
          <w:p w:rsidR="00027DD1" w:rsidRPr="00027DD1" w:rsidRDefault="00027DD1" w:rsidP="004A14D2">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Cs w:val="22"/>
              </w:rPr>
            </w:pPr>
            <w:r w:rsidRPr="00027DD1">
              <w:rPr>
                <w:rFonts w:asciiTheme="minorHAnsi" w:hAnsiTheme="minorHAnsi"/>
                <w:b w:val="0"/>
                <w:szCs w:val="22"/>
              </w:rPr>
              <w:t>Description</w:t>
            </w:r>
          </w:p>
        </w:tc>
      </w:tr>
      <w:tr w:rsidR="00027DD1" w:rsidRPr="00027DD1" w:rsidTr="004A14D2">
        <w:trPr>
          <w:trHeight w:val="635"/>
        </w:trPr>
        <w:tc>
          <w:tcPr>
            <w:cnfStyle w:val="001000000000" w:firstRow="0" w:lastRow="0" w:firstColumn="1" w:lastColumn="0" w:oddVBand="0" w:evenVBand="0" w:oddHBand="0" w:evenHBand="0" w:firstRowFirstColumn="0" w:firstRowLastColumn="0" w:lastRowFirstColumn="0" w:lastRowLastColumn="0"/>
            <w:tcW w:w="1384" w:type="dxa"/>
            <w:vAlign w:val="center"/>
          </w:tcPr>
          <w:p w:rsidR="00027DD1" w:rsidRPr="00027DD1" w:rsidRDefault="00027DD1" w:rsidP="004A14D2">
            <w:pPr>
              <w:spacing w:before="0"/>
              <w:jc w:val="center"/>
              <w:rPr>
                <w:rFonts w:asciiTheme="minorHAnsi" w:hAnsiTheme="minorHAnsi"/>
                <w:szCs w:val="22"/>
              </w:rPr>
            </w:pPr>
            <w:r w:rsidRPr="00027DD1">
              <w:rPr>
                <w:rFonts w:asciiTheme="minorHAnsi" w:hAnsiTheme="minorHAnsi"/>
                <w:szCs w:val="22"/>
              </w:rPr>
              <w:t>1a</w:t>
            </w:r>
          </w:p>
        </w:tc>
        <w:tc>
          <w:tcPr>
            <w:tcW w:w="7336" w:type="dxa"/>
            <w:vAlign w:val="center"/>
          </w:tcPr>
          <w:p w:rsidR="00027DD1" w:rsidRPr="00027DD1" w:rsidRDefault="00027DD1" w:rsidP="004A14D2">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Negative impact on public health due to potential misuse, abuse or diversion</w:t>
            </w:r>
          </w:p>
        </w:tc>
      </w:tr>
      <w:tr w:rsidR="00027DD1" w:rsidRPr="00027DD1" w:rsidTr="004A14D2">
        <w:trPr>
          <w:trHeight w:val="702"/>
        </w:trPr>
        <w:tc>
          <w:tcPr>
            <w:cnfStyle w:val="001000000000" w:firstRow="0" w:lastRow="0" w:firstColumn="1" w:lastColumn="0" w:oddVBand="0" w:evenVBand="0" w:oddHBand="0" w:evenHBand="0" w:firstRowFirstColumn="0" w:firstRowLastColumn="0" w:lastRowFirstColumn="0" w:lastRowLastColumn="0"/>
            <w:tcW w:w="1384" w:type="dxa"/>
            <w:vAlign w:val="center"/>
          </w:tcPr>
          <w:p w:rsidR="00027DD1" w:rsidRPr="00027DD1" w:rsidRDefault="00027DD1" w:rsidP="004A14D2">
            <w:pPr>
              <w:spacing w:before="0"/>
              <w:jc w:val="center"/>
              <w:rPr>
                <w:rFonts w:asciiTheme="minorHAnsi" w:hAnsiTheme="minorHAnsi"/>
                <w:szCs w:val="22"/>
              </w:rPr>
            </w:pPr>
            <w:r w:rsidRPr="00027DD1">
              <w:rPr>
                <w:rFonts w:asciiTheme="minorHAnsi" w:hAnsiTheme="minorHAnsi"/>
                <w:szCs w:val="22"/>
              </w:rPr>
              <w:t>1b</w:t>
            </w:r>
          </w:p>
        </w:tc>
        <w:tc>
          <w:tcPr>
            <w:tcW w:w="7336" w:type="dxa"/>
            <w:vAlign w:val="center"/>
          </w:tcPr>
          <w:p w:rsidR="00027DD1" w:rsidRPr="00027DD1" w:rsidRDefault="00027DD1" w:rsidP="004A14D2">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Negative impact on public health due to potential interactions (drug-drug, drug-food)</w:t>
            </w:r>
          </w:p>
        </w:tc>
      </w:tr>
      <w:tr w:rsidR="00027DD1" w:rsidRPr="00027DD1" w:rsidTr="004A14D2">
        <w:trPr>
          <w:trHeight w:val="684"/>
        </w:trPr>
        <w:tc>
          <w:tcPr>
            <w:cnfStyle w:val="001000000000" w:firstRow="0" w:lastRow="0" w:firstColumn="1" w:lastColumn="0" w:oddVBand="0" w:evenVBand="0" w:oddHBand="0" w:evenHBand="0" w:firstRowFirstColumn="0" w:firstRowLastColumn="0" w:lastRowFirstColumn="0" w:lastRowLastColumn="0"/>
            <w:tcW w:w="1384" w:type="dxa"/>
            <w:vAlign w:val="center"/>
          </w:tcPr>
          <w:p w:rsidR="00027DD1" w:rsidRPr="00027DD1" w:rsidRDefault="00027DD1" w:rsidP="004A14D2">
            <w:pPr>
              <w:spacing w:before="0"/>
              <w:jc w:val="center"/>
              <w:rPr>
                <w:rFonts w:asciiTheme="minorHAnsi" w:hAnsiTheme="minorHAnsi"/>
                <w:szCs w:val="22"/>
              </w:rPr>
            </w:pPr>
            <w:r w:rsidRPr="00027DD1">
              <w:rPr>
                <w:rFonts w:asciiTheme="minorHAnsi" w:hAnsiTheme="minorHAnsi"/>
                <w:szCs w:val="22"/>
              </w:rPr>
              <w:t>1c</w:t>
            </w:r>
          </w:p>
        </w:tc>
        <w:tc>
          <w:tcPr>
            <w:tcW w:w="7336" w:type="dxa"/>
            <w:vAlign w:val="center"/>
          </w:tcPr>
          <w:p w:rsidR="00027DD1" w:rsidRPr="00027DD1" w:rsidRDefault="00027DD1" w:rsidP="004A14D2">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Negative impact on public health due to additional risks associated with dosage form</w:t>
            </w:r>
          </w:p>
        </w:tc>
      </w:tr>
      <w:tr w:rsidR="00027DD1" w:rsidRPr="00027DD1" w:rsidTr="004A14D2">
        <w:trPr>
          <w:trHeight w:val="552"/>
        </w:trPr>
        <w:tc>
          <w:tcPr>
            <w:cnfStyle w:val="001000000000" w:firstRow="0" w:lastRow="0" w:firstColumn="1" w:lastColumn="0" w:oddVBand="0" w:evenVBand="0" w:oddHBand="0" w:evenHBand="0" w:firstRowFirstColumn="0" w:firstRowLastColumn="0" w:lastRowFirstColumn="0" w:lastRowLastColumn="0"/>
            <w:tcW w:w="1384" w:type="dxa"/>
            <w:vAlign w:val="center"/>
          </w:tcPr>
          <w:p w:rsidR="00027DD1" w:rsidRPr="00027DD1" w:rsidRDefault="00027DD1" w:rsidP="004A14D2">
            <w:pPr>
              <w:spacing w:before="0"/>
              <w:jc w:val="center"/>
              <w:rPr>
                <w:rFonts w:asciiTheme="minorHAnsi" w:hAnsiTheme="minorHAnsi"/>
                <w:szCs w:val="22"/>
              </w:rPr>
            </w:pPr>
            <w:r w:rsidRPr="00027DD1">
              <w:rPr>
                <w:rFonts w:asciiTheme="minorHAnsi" w:hAnsiTheme="minorHAnsi"/>
                <w:szCs w:val="22"/>
              </w:rPr>
              <w:t>1d</w:t>
            </w:r>
          </w:p>
        </w:tc>
        <w:tc>
          <w:tcPr>
            <w:tcW w:w="7336" w:type="dxa"/>
            <w:vAlign w:val="center"/>
          </w:tcPr>
          <w:p w:rsidR="00027DD1" w:rsidRPr="00027DD1" w:rsidRDefault="00027DD1" w:rsidP="004A14D2">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 xml:space="preserve">Negative impact on public health due to other specified factors </w:t>
            </w:r>
          </w:p>
        </w:tc>
      </w:tr>
      <w:tr w:rsidR="00027DD1" w:rsidRPr="00027DD1" w:rsidTr="004A14D2">
        <w:trPr>
          <w:trHeight w:val="532"/>
        </w:trPr>
        <w:tc>
          <w:tcPr>
            <w:cnfStyle w:val="001000000000" w:firstRow="0" w:lastRow="0" w:firstColumn="1" w:lastColumn="0" w:oddVBand="0" w:evenVBand="0" w:oddHBand="0" w:evenHBand="0" w:firstRowFirstColumn="0" w:firstRowLastColumn="0" w:lastRowFirstColumn="0" w:lastRowLastColumn="0"/>
            <w:tcW w:w="1384" w:type="dxa"/>
            <w:vAlign w:val="center"/>
          </w:tcPr>
          <w:p w:rsidR="00027DD1" w:rsidRPr="00027DD1" w:rsidRDefault="00027DD1" w:rsidP="004A14D2">
            <w:pPr>
              <w:spacing w:before="0"/>
              <w:jc w:val="center"/>
              <w:rPr>
                <w:rFonts w:asciiTheme="minorHAnsi" w:hAnsiTheme="minorHAnsi"/>
                <w:szCs w:val="22"/>
              </w:rPr>
            </w:pPr>
            <w:r w:rsidRPr="00027DD1">
              <w:rPr>
                <w:rFonts w:asciiTheme="minorHAnsi" w:hAnsiTheme="minorHAnsi"/>
                <w:szCs w:val="22"/>
              </w:rPr>
              <w:t>2</w:t>
            </w:r>
          </w:p>
        </w:tc>
        <w:tc>
          <w:tcPr>
            <w:tcW w:w="7336" w:type="dxa"/>
            <w:vAlign w:val="center"/>
          </w:tcPr>
          <w:p w:rsidR="00027DD1" w:rsidRPr="00027DD1" w:rsidRDefault="00027DD1" w:rsidP="00027DD1">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No longer a relevant ARTG entry / out dated substance</w:t>
            </w:r>
          </w:p>
        </w:tc>
      </w:tr>
    </w:tbl>
    <w:p w:rsidR="00027DD1" w:rsidRDefault="00027DD1" w:rsidP="00027DD1">
      <w:pPr>
        <w:pStyle w:val="ListBullet3"/>
        <w:numPr>
          <w:ilvl w:val="0"/>
          <w:numId w:val="0"/>
        </w:numPr>
        <w:rPr>
          <w:rFonts w:asciiTheme="minorHAnsi" w:hAnsiTheme="minorHAnsi"/>
          <w:szCs w:val="22"/>
        </w:rPr>
      </w:pPr>
    </w:p>
    <w:tbl>
      <w:tblPr>
        <w:tblStyle w:val="TableTGAblue"/>
        <w:tblW w:w="8755" w:type="dxa"/>
        <w:tblLook w:val="04A0" w:firstRow="1" w:lastRow="0" w:firstColumn="1" w:lastColumn="0" w:noHBand="0" w:noVBand="1"/>
        <w:tblDescription w:val="This table provides a list of substances and justification for exclusion from appendix H"/>
      </w:tblPr>
      <w:tblGrid>
        <w:gridCol w:w="4503"/>
        <w:gridCol w:w="4252"/>
      </w:tblGrid>
      <w:tr w:rsidR="00027DD1" w:rsidRPr="00027DD1" w:rsidTr="00C243C8">
        <w:trPr>
          <w:cnfStyle w:val="100000000000" w:firstRow="1" w:lastRow="0" w:firstColumn="0" w:lastColumn="0" w:oddVBand="0" w:evenVBand="0" w:oddHBand="0" w:evenHBand="0" w:firstRowFirstColumn="0" w:firstRowLastColumn="0" w:lastRowFirstColumn="0" w:lastRowLastColumn="0"/>
          <w:trHeight w:val="462"/>
          <w:tblHeader/>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spacing w:after="120" w:line="240" w:lineRule="auto"/>
              <w:rPr>
                <w:rFonts w:asciiTheme="minorHAnsi" w:hAnsiTheme="minorHAnsi"/>
                <w:b w:val="0"/>
                <w:szCs w:val="22"/>
              </w:rPr>
            </w:pPr>
            <w:bookmarkStart w:id="9" w:name="_Toc323738673"/>
            <w:bookmarkStart w:id="10" w:name="_Toc356305159"/>
            <w:r w:rsidRPr="00027DD1">
              <w:rPr>
                <w:rFonts w:asciiTheme="minorHAnsi" w:hAnsiTheme="minorHAnsi"/>
                <w:b w:val="0"/>
                <w:szCs w:val="22"/>
              </w:rPr>
              <w:lastRenderedPageBreak/>
              <w:t>Substance</w:t>
            </w:r>
          </w:p>
        </w:tc>
        <w:tc>
          <w:tcPr>
            <w:tcW w:w="4252" w:type="dxa"/>
            <w:vAlign w:val="center"/>
          </w:tcPr>
          <w:p w:rsidR="00027DD1" w:rsidRPr="00027DD1" w:rsidRDefault="00027DD1" w:rsidP="0016614D">
            <w:pPr>
              <w:spacing w:after="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szCs w:val="22"/>
              </w:rPr>
            </w:pPr>
            <w:r w:rsidRPr="00027DD1">
              <w:rPr>
                <w:rFonts w:asciiTheme="minorHAnsi" w:hAnsiTheme="minorHAnsi"/>
                <w:b w:val="0"/>
                <w:szCs w:val="22"/>
              </w:rPr>
              <w:t>Justification</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spacing w:after="120" w:line="240" w:lineRule="auto"/>
              <w:rPr>
                <w:rFonts w:asciiTheme="minorHAnsi" w:hAnsiTheme="minorHAnsi"/>
                <w:szCs w:val="22"/>
              </w:rPr>
            </w:pPr>
            <w:r w:rsidRPr="00027DD1">
              <w:rPr>
                <w:rFonts w:asciiTheme="minorHAnsi" w:hAnsiTheme="minorHAnsi"/>
                <w:szCs w:val="22"/>
              </w:rPr>
              <w:t>ALCLOMETASONE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spacing w:after="120" w:line="240" w:lineRule="auto"/>
              <w:rPr>
                <w:rFonts w:asciiTheme="minorHAnsi" w:hAnsiTheme="minorHAnsi"/>
                <w:szCs w:val="22"/>
              </w:rPr>
            </w:pPr>
            <w:r w:rsidRPr="00027DD1">
              <w:rPr>
                <w:rFonts w:asciiTheme="minorHAnsi" w:hAnsiTheme="minorHAnsi"/>
                <w:szCs w:val="22"/>
              </w:rPr>
              <w:t>ALIMEMAZINE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sedating</w:t>
            </w:r>
          </w:p>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spacing w:after="120" w:line="240" w:lineRule="auto"/>
              <w:rPr>
                <w:rFonts w:asciiTheme="minorHAnsi" w:hAnsiTheme="minorHAnsi"/>
                <w:szCs w:val="22"/>
              </w:rPr>
            </w:pPr>
            <w:r w:rsidRPr="00027DD1">
              <w:rPr>
                <w:rFonts w:asciiTheme="minorHAnsi" w:hAnsiTheme="minorHAnsi"/>
                <w:szCs w:val="22"/>
              </w:rPr>
              <w:t>AMINOPHYLLINE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1c</w:t>
            </w:r>
          </w:p>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safer alternatives</w:t>
            </w:r>
          </w:p>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spacing w:after="120" w:line="240" w:lineRule="auto"/>
              <w:rPr>
                <w:rFonts w:asciiTheme="minorHAnsi" w:hAnsiTheme="minorHAnsi"/>
                <w:szCs w:val="22"/>
              </w:rPr>
            </w:pPr>
            <w:r w:rsidRPr="00027DD1">
              <w:rPr>
                <w:rFonts w:asciiTheme="minorHAnsi" w:hAnsiTheme="minorHAnsi"/>
                <w:szCs w:val="22"/>
              </w:rPr>
              <w:t>AZATADINE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sedating</w:t>
            </w:r>
          </w:p>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spacing w:after="120" w:line="240" w:lineRule="auto"/>
              <w:rPr>
                <w:rFonts w:asciiTheme="minorHAnsi" w:hAnsiTheme="minorHAnsi"/>
                <w:szCs w:val="22"/>
              </w:rPr>
            </w:pPr>
            <w:r w:rsidRPr="00027DD1">
              <w:rPr>
                <w:rFonts w:asciiTheme="minorHAnsi" w:hAnsiTheme="minorHAnsi"/>
                <w:szCs w:val="22"/>
              </w:rPr>
              <w:t>BROMPHENIRAMINE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sedating</w:t>
            </w:r>
          </w:p>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spacing w:after="120" w:line="240" w:lineRule="auto"/>
              <w:rPr>
                <w:rFonts w:asciiTheme="minorHAnsi" w:hAnsiTheme="minorHAnsi"/>
                <w:szCs w:val="22"/>
              </w:rPr>
            </w:pPr>
            <w:r w:rsidRPr="00027DD1">
              <w:rPr>
                <w:rFonts w:asciiTheme="minorHAnsi" w:hAnsiTheme="minorHAnsi"/>
                <w:szCs w:val="22"/>
              </w:rPr>
              <w:t>BUCLIZINE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sz w:val="22"/>
                <w:szCs w:val="22"/>
              </w:rPr>
              <w:t>CHLORBUTANOL</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1a</w:t>
            </w:r>
          </w:p>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sz w:val="22"/>
                <w:szCs w:val="22"/>
              </w:rPr>
              <w:t>CHLORPHENAMINE (CHLORPHENIRAMINE)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sedating</w:t>
            </w:r>
          </w:p>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spacing w:after="120" w:line="240" w:lineRule="auto"/>
              <w:rPr>
                <w:rFonts w:asciiTheme="minorHAnsi" w:hAnsiTheme="minorHAnsi"/>
                <w:szCs w:val="22"/>
              </w:rPr>
            </w:pPr>
            <w:r w:rsidRPr="00027DD1">
              <w:rPr>
                <w:rFonts w:asciiTheme="minorHAnsi" w:hAnsiTheme="minorHAnsi"/>
                <w:szCs w:val="22"/>
              </w:rPr>
              <w:t>CIMETIDINE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1b</w:t>
            </w:r>
          </w:p>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sedating</w:t>
            </w:r>
          </w:p>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spacing w:after="120" w:line="240" w:lineRule="auto"/>
              <w:rPr>
                <w:rFonts w:asciiTheme="minorHAnsi" w:hAnsiTheme="minorHAnsi"/>
                <w:szCs w:val="22"/>
              </w:rPr>
            </w:pPr>
            <w:r w:rsidRPr="00027DD1">
              <w:rPr>
                <w:rFonts w:asciiTheme="minorHAnsi" w:hAnsiTheme="minorHAnsi"/>
                <w:szCs w:val="22"/>
              </w:rPr>
              <w:t>CLEMASTINE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sedating</w:t>
            </w:r>
          </w:p>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sz w:val="22"/>
                <w:szCs w:val="22"/>
              </w:rPr>
              <w:t>CYCLIZINE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1a</w:t>
            </w:r>
          </w:p>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1b</w:t>
            </w:r>
          </w:p>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sz w:val="22"/>
                <w:szCs w:val="22"/>
              </w:rPr>
              <w:t>CYPROHEPTADINE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sedating</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sz w:val="22"/>
                <w:szCs w:val="22"/>
              </w:rPr>
              <w:t>DEXCHLORPHENAMINE (DEXCHLORPHENIRAMINE)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sedating</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sz w:val="22"/>
                <w:szCs w:val="22"/>
              </w:rPr>
              <w:t>DIHYDROCODEINE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1a</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sz w:val="22"/>
                <w:szCs w:val="22"/>
              </w:rPr>
              <w:t>DIIODOHYDROXYQUINOLINE (iodoquinol)</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sz w:val="22"/>
                <w:szCs w:val="22"/>
              </w:rPr>
              <w:lastRenderedPageBreak/>
              <w:t>DIMETHINDENE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sz w:val="22"/>
                <w:szCs w:val="22"/>
              </w:rPr>
              <w:t>DIPHENHYDRAMINE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sedating</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sz w:val="22"/>
                <w:szCs w:val="22"/>
              </w:rPr>
              <w:t>DITHRANOL</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safer alternatives</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sz w:val="22"/>
                <w:szCs w:val="22"/>
              </w:rPr>
              <w:t>DOXYLAMINE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sedating</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color w:val="auto"/>
                <w:sz w:val="22"/>
                <w:szCs w:val="22"/>
              </w:rPr>
              <w:t>ERYTHRITYL TETRANITRATE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color w:val="auto"/>
                <w:sz w:val="22"/>
                <w:szCs w:val="22"/>
              </w:rPr>
              <w:t>FLAVOXATE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color w:val="auto"/>
                <w:sz w:val="22"/>
                <w:szCs w:val="22"/>
              </w:rPr>
              <w:t>GLYCOPYRRONIUM</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color w:val="auto"/>
                <w:sz w:val="22"/>
                <w:szCs w:val="22"/>
              </w:rPr>
              <w:t>INOSITOL NICOTINATE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sz w:val="22"/>
                <w:szCs w:val="22"/>
              </w:rPr>
              <w:t>MACROGOLS</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1a</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color w:val="auto"/>
                <w:sz w:val="22"/>
                <w:szCs w:val="22"/>
              </w:rPr>
              <w:t>MAGNESIUM SULFATE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1a</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sz w:val="22"/>
                <w:szCs w:val="22"/>
              </w:rPr>
              <w:t>MALATHION</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safer alternatives</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color w:val="auto"/>
                <w:sz w:val="22"/>
                <w:szCs w:val="22"/>
              </w:rPr>
              <w:t>MANNITYL HEXANITRATE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sz w:val="22"/>
                <w:szCs w:val="22"/>
              </w:rPr>
              <w:t>MEPYRAMINE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sedating</w:t>
            </w:r>
          </w:p>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color w:val="auto"/>
                <w:sz w:val="22"/>
                <w:szCs w:val="22"/>
              </w:rPr>
              <w:t>METHDILAZINE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sedating</w:t>
            </w:r>
          </w:p>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color w:val="auto"/>
                <w:sz w:val="22"/>
                <w:szCs w:val="22"/>
              </w:rPr>
            </w:pPr>
            <w:r w:rsidRPr="00027DD1">
              <w:rPr>
                <w:rFonts w:asciiTheme="minorHAnsi" w:hAnsiTheme="minorHAnsi"/>
                <w:color w:val="auto"/>
                <w:sz w:val="22"/>
                <w:szCs w:val="22"/>
              </w:rPr>
              <w:t>NICOTINIC ACID</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color w:val="auto"/>
                <w:sz w:val="22"/>
                <w:szCs w:val="22"/>
              </w:rPr>
            </w:pPr>
            <w:r w:rsidRPr="00027DD1">
              <w:rPr>
                <w:rFonts w:asciiTheme="minorHAnsi" w:hAnsiTheme="minorHAnsi"/>
                <w:color w:val="auto"/>
                <w:sz w:val="22"/>
                <w:szCs w:val="22"/>
              </w:rPr>
              <w:t>NICOTINYL ALCOHOL</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sz w:val="22"/>
                <w:szCs w:val="22"/>
              </w:rPr>
              <w:t>ORLISTAT</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1a</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sz w:val="22"/>
                <w:szCs w:val="22"/>
              </w:rPr>
              <w:t>PHENIRAMINE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sedating</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color w:val="auto"/>
                <w:sz w:val="22"/>
                <w:szCs w:val="22"/>
              </w:rPr>
              <w:t>PROCHLORPERAZINE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1a</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color w:val="auto"/>
                <w:sz w:val="22"/>
                <w:szCs w:val="22"/>
              </w:rPr>
            </w:pPr>
            <w:r w:rsidRPr="00027DD1">
              <w:rPr>
                <w:rFonts w:asciiTheme="minorHAnsi" w:hAnsiTheme="minorHAnsi"/>
                <w:color w:val="auto"/>
                <w:sz w:val="22"/>
                <w:szCs w:val="22"/>
              </w:rPr>
              <w:t>PROMETHAZINE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sedating</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color w:val="auto"/>
                <w:sz w:val="22"/>
                <w:szCs w:val="22"/>
              </w:rPr>
              <w:t>PSEUDOEPHEDRINE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1a</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color w:val="auto"/>
                <w:sz w:val="22"/>
                <w:szCs w:val="22"/>
              </w:rPr>
              <w:lastRenderedPageBreak/>
              <w:t>SANTONIN</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safer alternatives</w:t>
            </w:r>
          </w:p>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color w:val="auto"/>
                <w:sz w:val="22"/>
                <w:szCs w:val="22"/>
              </w:rPr>
              <w:t>SODIUM PHOSPHATE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1a</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color w:val="auto"/>
                <w:sz w:val="22"/>
                <w:szCs w:val="22"/>
              </w:rPr>
            </w:pPr>
            <w:r w:rsidRPr="00027DD1">
              <w:rPr>
                <w:rFonts w:asciiTheme="minorHAnsi" w:hAnsiTheme="minorHAnsi"/>
                <w:color w:val="auto"/>
                <w:sz w:val="22"/>
                <w:szCs w:val="22"/>
              </w:rPr>
              <w:t>SODIUM PICOSULFATE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1a</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sz w:val="22"/>
                <w:szCs w:val="22"/>
              </w:rPr>
              <w:t>SULFACETAMIDE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sz w:val="22"/>
                <w:szCs w:val="22"/>
              </w:rPr>
            </w:pPr>
            <w:r w:rsidRPr="00027DD1">
              <w:rPr>
                <w:rFonts w:asciiTheme="minorHAnsi" w:hAnsiTheme="minorHAnsi"/>
                <w:color w:val="auto"/>
                <w:sz w:val="22"/>
                <w:szCs w:val="22"/>
              </w:rPr>
              <w:t>THEOPHYLLINE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safer alternatives</w:t>
            </w:r>
          </w:p>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r w:rsidR="00027DD1" w:rsidRPr="00027DD1" w:rsidTr="00207A30">
        <w:trPr>
          <w:trHeight w:val="567"/>
        </w:trPr>
        <w:tc>
          <w:tcPr>
            <w:cnfStyle w:val="001000000000" w:firstRow="0" w:lastRow="0" w:firstColumn="1" w:lastColumn="0" w:oddVBand="0" w:evenVBand="0" w:oddHBand="0" w:evenHBand="0" w:firstRowFirstColumn="0" w:firstRowLastColumn="0" w:lastRowFirstColumn="0" w:lastRowLastColumn="0"/>
            <w:tcW w:w="4503" w:type="dxa"/>
            <w:vAlign w:val="center"/>
          </w:tcPr>
          <w:p w:rsidR="00027DD1" w:rsidRPr="00027DD1" w:rsidRDefault="00027DD1" w:rsidP="0016614D">
            <w:pPr>
              <w:pStyle w:val="Default"/>
              <w:spacing w:before="120" w:after="120"/>
              <w:rPr>
                <w:rFonts w:asciiTheme="minorHAnsi" w:hAnsiTheme="minorHAnsi"/>
                <w:color w:val="auto"/>
                <w:sz w:val="22"/>
                <w:szCs w:val="22"/>
              </w:rPr>
            </w:pPr>
            <w:r w:rsidRPr="00027DD1">
              <w:rPr>
                <w:rFonts w:asciiTheme="minorHAnsi" w:hAnsiTheme="minorHAnsi"/>
                <w:color w:val="auto"/>
                <w:sz w:val="22"/>
                <w:szCs w:val="22"/>
              </w:rPr>
              <w:t>TRIPROLIDINE</w:t>
            </w:r>
          </w:p>
        </w:tc>
        <w:tc>
          <w:tcPr>
            <w:tcW w:w="4252" w:type="dxa"/>
            <w:vAlign w:val="center"/>
          </w:tcPr>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1d - safer alternatives</w:t>
            </w:r>
          </w:p>
          <w:p w:rsidR="00027DD1" w:rsidRPr="00027DD1" w:rsidRDefault="00027DD1" w:rsidP="0016614D">
            <w:pPr>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27DD1">
              <w:rPr>
                <w:rFonts w:asciiTheme="minorHAnsi" w:hAnsiTheme="minorHAnsi"/>
                <w:szCs w:val="22"/>
              </w:rPr>
              <w:t>2</w:t>
            </w:r>
          </w:p>
        </w:tc>
      </w:tr>
    </w:tbl>
    <w:p w:rsidR="00C243C8" w:rsidRDefault="00604740" w:rsidP="00A8785D">
      <w:pPr>
        <w:pStyle w:val="Heading2"/>
        <w:rPr>
          <w:rStyle w:val="Heading4Char"/>
          <w:b/>
        </w:rPr>
      </w:pPr>
      <w:bookmarkStart w:id="11" w:name="_Toc515619676"/>
      <w:bookmarkEnd w:id="9"/>
      <w:bookmarkEnd w:id="10"/>
      <w:r w:rsidRPr="00A8785D">
        <w:rPr>
          <w:rStyle w:val="Heading4Char"/>
          <w:b/>
        </w:rPr>
        <w:t>Appendix 1</w:t>
      </w:r>
      <w:r w:rsidR="00A8785D" w:rsidRPr="00A8785D">
        <w:rPr>
          <w:rStyle w:val="Heading4Char"/>
          <w:b/>
        </w:rPr>
        <w:t xml:space="preserve"> - </w:t>
      </w:r>
      <w:r w:rsidRPr="00A8785D">
        <w:rPr>
          <w:rStyle w:val="Heading4Char"/>
          <w:b/>
        </w:rPr>
        <w:t>Guidelines for advertising medicines containing Schedule 3 substances</w:t>
      </w:r>
      <w:bookmarkEnd w:id="11"/>
    </w:p>
    <w:p w:rsidR="00FE1941" w:rsidRPr="00C3482F" w:rsidRDefault="00A8785D" w:rsidP="00C3482F">
      <w:r w:rsidRPr="00C3482F">
        <w:t>(See separate document)</w:t>
      </w:r>
    </w:p>
    <w:p w:rsidR="00BA6FF1" w:rsidRDefault="00BA6FF1" w:rsidP="00F8404D">
      <w:r>
        <w:br w:type="page"/>
      </w:r>
    </w:p>
    <w:p w:rsidR="003E3D34" w:rsidRPr="009401F6" w:rsidRDefault="003E3D34" w:rsidP="00F8404D">
      <w:pPr>
        <w:sectPr w:rsidR="003E3D34" w:rsidRPr="009401F6" w:rsidSect="0074066C">
          <w:headerReference w:type="even" r:id="rId16"/>
          <w:headerReference w:type="default" r:id="rId17"/>
          <w:footerReference w:type="default" r:id="rId18"/>
          <w:headerReference w:type="first" r:id="rId19"/>
          <w:type w:val="continuous"/>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Description w:val="Therapeutic Goods Administration&#10;PO Box 100 Woden ACT 2606 Australia&#10;Email: info@tga.gov.au  Phone: 1800 020 653  Fax: 02 6203 1605&#10;https://www.tga.gov.auReference/Publication #&#10;"/>
      </w:tblPr>
      <w:tblGrid>
        <w:gridCol w:w="9145"/>
      </w:tblGrid>
      <w:tr w:rsidR="00F8404D" w:rsidRPr="009401F6" w:rsidTr="00C243C8">
        <w:trPr>
          <w:trHeight w:hRule="exact" w:val="565"/>
          <w:jc w:val="center"/>
        </w:trPr>
        <w:tc>
          <w:tcPr>
            <w:tcW w:w="9145" w:type="dxa"/>
          </w:tcPr>
          <w:p w:rsidR="00F8404D" w:rsidRPr="009401F6" w:rsidRDefault="00F8404D" w:rsidP="00E2124E">
            <w:pPr>
              <w:pStyle w:val="TGASignoff"/>
            </w:pPr>
            <w:r w:rsidRPr="009401F6">
              <w:lastRenderedPageBreak/>
              <w:t>Therapeutic Goods Administration</w:t>
            </w:r>
          </w:p>
        </w:tc>
      </w:tr>
      <w:tr w:rsidR="00F8404D" w:rsidRPr="009401F6" w:rsidTr="00C243C8">
        <w:trPr>
          <w:trHeight w:val="963"/>
          <w:jc w:val="center"/>
        </w:trPr>
        <w:tc>
          <w:tcPr>
            <w:tcW w:w="9145" w:type="dxa"/>
            <w:tcMar>
              <w:top w:w="28" w:type="dxa"/>
            </w:tcMar>
          </w:tcPr>
          <w:p w:rsidR="00F8404D" w:rsidRPr="009401F6" w:rsidRDefault="00F8404D" w:rsidP="00E2124E">
            <w:pPr>
              <w:pStyle w:val="Address"/>
              <w:jc w:val="center"/>
            </w:pPr>
            <w:r w:rsidRPr="009401F6">
              <w:t>PO Box 100 Woden ACT 2606 Australia</w:t>
            </w:r>
          </w:p>
          <w:p w:rsidR="00F8404D" w:rsidRPr="009401F6" w:rsidRDefault="00F8404D" w:rsidP="00E2124E">
            <w:pPr>
              <w:pStyle w:val="Address"/>
              <w:jc w:val="center"/>
            </w:pPr>
            <w:r w:rsidRPr="009401F6">
              <w:t xml:space="preserve">Email: </w:t>
            </w:r>
            <w:hyperlink r:id="rId20"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7D6B29" w:rsidP="00E2124E">
            <w:pPr>
              <w:pStyle w:val="Address"/>
              <w:spacing w:line="260" w:lineRule="atLeast"/>
              <w:jc w:val="center"/>
              <w:rPr>
                <w:rStyle w:val="Hyperlink"/>
                <w:b/>
              </w:rPr>
            </w:pPr>
            <w:hyperlink r:id="rId21" w:history="1">
              <w:r w:rsidR="009401F6" w:rsidRPr="009401F6">
                <w:rPr>
                  <w:rStyle w:val="Hyperlink"/>
                  <w:b/>
                </w:rPr>
                <w:t>https://www.tga.gov.au</w:t>
              </w:r>
            </w:hyperlink>
          </w:p>
        </w:tc>
      </w:tr>
      <w:tr w:rsidR="00F8404D" w:rsidRPr="009401F6" w:rsidTr="00C243C8">
        <w:trPr>
          <w:trHeight w:val="251"/>
          <w:jc w:val="center"/>
        </w:trPr>
        <w:tc>
          <w:tcPr>
            <w:tcW w:w="9145" w:type="dxa"/>
            <w:tcMar>
              <w:top w:w="28" w:type="dxa"/>
            </w:tcMar>
          </w:tcPr>
          <w:p w:rsidR="00F8404D" w:rsidRPr="009401F6" w:rsidRDefault="00F8404D" w:rsidP="00E2124E">
            <w:pPr>
              <w:pStyle w:val="Address"/>
              <w:jc w:val="center"/>
            </w:pPr>
            <w:r w:rsidRPr="009401F6">
              <w:t>Reference/Publication #</w:t>
            </w:r>
          </w:p>
        </w:tc>
      </w:tr>
    </w:tbl>
    <w:p w:rsidR="0084580B" w:rsidRPr="009401F6" w:rsidRDefault="0084580B" w:rsidP="00F8404D">
      <w:pPr>
        <w:pStyle w:val="Footer"/>
      </w:pPr>
    </w:p>
    <w:sectPr w:rsidR="0084580B" w:rsidRPr="009401F6" w:rsidSect="00F8404D">
      <w:headerReference w:type="even" r:id="rId22"/>
      <w:headerReference w:type="default" r:id="rId23"/>
      <w:headerReference w:type="first" r:id="rId24"/>
      <w:footerReference w:type="first" r:id="rId25"/>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04D" w:rsidRDefault="0065604D" w:rsidP="00C40A36">
      <w:pPr>
        <w:spacing w:after="0"/>
      </w:pPr>
      <w:r>
        <w:separator/>
      </w:r>
    </w:p>
    <w:p w:rsidR="0065604D" w:rsidRDefault="0065604D"/>
  </w:endnote>
  <w:endnote w:type="continuationSeparator" w:id="0">
    <w:p w:rsidR="0065604D" w:rsidRDefault="0065604D" w:rsidP="00C40A36">
      <w:pPr>
        <w:spacing w:after="0"/>
      </w:pPr>
      <w:r>
        <w:continuationSeparator/>
      </w:r>
    </w:p>
    <w:p w:rsidR="0065604D" w:rsidRDefault="00656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D1" w:rsidRDefault="00F739D1"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quot;&quot;"/>
    </w:tblPr>
    <w:tblGrid>
      <w:gridCol w:w="4360"/>
      <w:gridCol w:w="4360"/>
    </w:tblGrid>
    <w:tr w:rsidR="00F739D1" w:rsidRPr="00257138" w:rsidTr="00C3482F">
      <w:trPr>
        <w:trHeight w:val="423"/>
        <w:tblHeader/>
      </w:trPr>
      <w:tc>
        <w:tcPr>
          <w:tcW w:w="4360" w:type="dxa"/>
          <w:tcBorders>
            <w:top w:val="single" w:sz="4" w:space="0" w:color="auto"/>
          </w:tcBorders>
        </w:tcPr>
        <w:p w:rsidR="00F739D1" w:rsidRDefault="00F739D1" w:rsidP="008D4740">
          <w:pPr>
            <w:pStyle w:val="Footer"/>
          </w:pPr>
        </w:p>
        <w:p w:rsidR="00F739D1" w:rsidRPr="00257138" w:rsidRDefault="00F739D1"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F739D1" w:rsidRDefault="00F739D1" w:rsidP="008D4740">
              <w:pPr>
                <w:pStyle w:val="Footer"/>
                <w:jc w:val="right"/>
              </w:pPr>
            </w:p>
            <w:p w:rsidR="00F739D1" w:rsidRPr="00257138" w:rsidRDefault="00F739D1" w:rsidP="008D4740">
              <w:pPr>
                <w:pStyle w:val="Footer"/>
                <w:jc w:val="right"/>
              </w:pPr>
              <w:r w:rsidRPr="00257138">
                <w:t xml:space="preserve">Page </w:t>
              </w:r>
              <w:r w:rsidR="00F87B87">
                <w:fldChar w:fldCharType="begin"/>
              </w:r>
              <w:r w:rsidR="00F87B87">
                <w:instrText xml:space="preserve"> PAGE </w:instrText>
              </w:r>
              <w:r w:rsidR="00F87B87">
                <w:fldChar w:fldCharType="separate"/>
              </w:r>
              <w:r w:rsidR="00EB2603">
                <w:rPr>
                  <w:noProof/>
                </w:rPr>
                <w:t>2</w:t>
              </w:r>
              <w:r w:rsidR="00F87B87">
                <w:rPr>
                  <w:noProof/>
                </w:rPr>
                <w:fldChar w:fldCharType="end"/>
              </w:r>
              <w:r w:rsidRPr="00257138">
                <w:t xml:space="preserve"> of </w:t>
              </w:r>
              <w:r w:rsidR="007D6B29">
                <w:fldChar w:fldCharType="begin"/>
              </w:r>
              <w:r w:rsidR="007D6B29">
                <w:instrText xml:space="preserve"> NUMPAGES  </w:instrText>
              </w:r>
              <w:r w:rsidR="007D6B29">
                <w:fldChar w:fldCharType="separate"/>
              </w:r>
              <w:r w:rsidR="00EB2603">
                <w:rPr>
                  <w:noProof/>
                </w:rPr>
                <w:t>11</w:t>
              </w:r>
              <w:r w:rsidR="007D6B29">
                <w:rPr>
                  <w:noProof/>
                </w:rPr>
                <w:fldChar w:fldCharType="end"/>
              </w:r>
            </w:p>
          </w:sdtContent>
        </w:sdt>
      </w:tc>
    </w:tr>
    <w:tr w:rsidR="00F739D1" w:rsidRPr="00257138" w:rsidTr="00C3482F">
      <w:trPr>
        <w:trHeight w:val="263"/>
        <w:tblHeader/>
      </w:trPr>
      <w:tc>
        <w:tcPr>
          <w:tcW w:w="4360" w:type="dxa"/>
        </w:tcPr>
        <w:p w:rsidR="00F739D1" w:rsidRPr="00257138" w:rsidRDefault="00F739D1" w:rsidP="008D4740">
          <w:pPr>
            <w:pStyle w:val="Footer"/>
          </w:pPr>
          <w:r w:rsidRPr="00257138">
            <w:t xml:space="preserve">V1.0 </w:t>
          </w:r>
          <w:r>
            <w:t>Month</w:t>
          </w:r>
          <w:r w:rsidRPr="00257138">
            <w:t xml:space="preserve"> 201</w:t>
          </w:r>
          <w:r>
            <w:t>2</w:t>
          </w:r>
        </w:p>
      </w:tc>
      <w:tc>
        <w:tcPr>
          <w:tcW w:w="4360" w:type="dxa"/>
        </w:tcPr>
        <w:p w:rsidR="00F739D1" w:rsidRPr="00257138" w:rsidRDefault="00F739D1" w:rsidP="008D4740">
          <w:pPr>
            <w:pStyle w:val="Footer"/>
            <w:jc w:val="right"/>
          </w:pPr>
        </w:p>
      </w:tc>
    </w:tr>
  </w:tbl>
  <w:p w:rsidR="00F739D1" w:rsidRPr="00826007" w:rsidRDefault="00F739D1"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D1" w:rsidRDefault="00F739D1"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nsultation paper: Substances to be added to Appendix H of the Poisons Standard  V1.0 May 2018&#10;"/>
    </w:tblPr>
    <w:tblGrid>
      <w:gridCol w:w="7479"/>
      <w:gridCol w:w="1241"/>
    </w:tblGrid>
    <w:tr w:rsidR="00F739D1" w:rsidRPr="00257138" w:rsidTr="00C3482F">
      <w:trPr>
        <w:trHeight w:val="423"/>
        <w:tblHeader/>
      </w:trPr>
      <w:tc>
        <w:tcPr>
          <w:tcW w:w="7479" w:type="dxa"/>
        </w:tcPr>
        <w:p w:rsidR="00F739D1" w:rsidRPr="00257138" w:rsidRDefault="005C7DCE" w:rsidP="005C7DCE">
          <w:pPr>
            <w:pStyle w:val="Footer"/>
            <w:spacing w:before="120" w:after="120"/>
          </w:pPr>
          <w:r>
            <w:t>Consultation paper: Substances to be added to Appendix H of the Poisons Standard</w:t>
          </w:r>
          <w:r w:rsidR="00EE1482">
            <w:t xml:space="preserve"> </w:t>
          </w:r>
          <w:r w:rsidR="00EE1482">
            <w:br/>
          </w:r>
          <w:r w:rsidR="00EE1482" w:rsidRPr="00257138">
            <w:t xml:space="preserve">V1.0 </w:t>
          </w:r>
          <w:r>
            <w:t>May 2018</w:t>
          </w:r>
        </w:p>
      </w:tc>
      <w:tc>
        <w:tcPr>
          <w:tcW w:w="1241" w:type="dxa"/>
        </w:tcPr>
        <w:sdt>
          <w:sdtPr>
            <w:id w:val="3702141"/>
            <w:docPartObj>
              <w:docPartGallery w:val="Page Numbers (Top of Page)"/>
              <w:docPartUnique/>
            </w:docPartObj>
          </w:sdtPr>
          <w:sdtEndPr/>
          <w:sdtContent>
            <w:p w:rsidR="00F739D1" w:rsidRPr="00257138" w:rsidRDefault="00F739D1" w:rsidP="00EE1482">
              <w:pPr>
                <w:pStyle w:val="Footer"/>
                <w:spacing w:before="120" w:after="120"/>
                <w:jc w:val="right"/>
              </w:pPr>
              <w:r w:rsidRPr="00257138">
                <w:t xml:space="preserve">Page </w:t>
              </w:r>
              <w:r w:rsidR="00F87B87">
                <w:fldChar w:fldCharType="begin"/>
              </w:r>
              <w:r w:rsidR="00F87B87">
                <w:instrText xml:space="preserve"> PAGE </w:instrText>
              </w:r>
              <w:r w:rsidR="00F87B87">
                <w:fldChar w:fldCharType="separate"/>
              </w:r>
              <w:r w:rsidR="007D6B29">
                <w:rPr>
                  <w:noProof/>
                </w:rPr>
                <w:t>3</w:t>
              </w:r>
              <w:r w:rsidR="00F87B87">
                <w:rPr>
                  <w:noProof/>
                </w:rPr>
                <w:fldChar w:fldCharType="end"/>
              </w:r>
              <w:r w:rsidRPr="00257138">
                <w:t xml:space="preserve"> of </w:t>
              </w:r>
              <w:r w:rsidR="007D6B29">
                <w:fldChar w:fldCharType="begin"/>
              </w:r>
              <w:r w:rsidR="007D6B29">
                <w:instrText xml:space="preserve"> NUMPAGES  </w:instrText>
              </w:r>
              <w:r w:rsidR="007D6B29">
                <w:fldChar w:fldCharType="separate"/>
              </w:r>
              <w:r w:rsidR="007D6B29">
                <w:rPr>
                  <w:noProof/>
                </w:rPr>
                <w:t>10</w:t>
              </w:r>
              <w:r w:rsidR="007D6B29">
                <w:rPr>
                  <w:noProof/>
                </w:rPr>
                <w:fldChar w:fldCharType="end"/>
              </w:r>
            </w:p>
          </w:sdtContent>
        </w:sdt>
      </w:tc>
    </w:tr>
  </w:tbl>
  <w:p w:rsidR="00F739D1" w:rsidRPr="00826007" w:rsidRDefault="00F739D1"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D1" w:rsidRPr="00F8404D" w:rsidRDefault="00F739D1"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04D" w:rsidRDefault="0065604D" w:rsidP="00FE1941">
      <w:pPr>
        <w:spacing w:after="0"/>
      </w:pPr>
      <w:r>
        <w:separator/>
      </w:r>
    </w:p>
  </w:footnote>
  <w:footnote w:type="continuationSeparator" w:id="0">
    <w:p w:rsidR="0065604D" w:rsidRDefault="0065604D" w:rsidP="00C40A36">
      <w:pPr>
        <w:spacing w:after="0"/>
      </w:pPr>
      <w:r>
        <w:continuationSeparator/>
      </w:r>
    </w:p>
    <w:p w:rsidR="0065604D" w:rsidRDefault="0065604D"/>
  </w:footnote>
  <w:footnote w:id="1">
    <w:p w:rsidR="005C7DCE" w:rsidRPr="005C7DCE" w:rsidRDefault="005C7DCE">
      <w:pPr>
        <w:pStyle w:val="FootnoteText"/>
        <w:rPr>
          <w:lang w:val="en-US"/>
        </w:rPr>
      </w:pPr>
      <w:r>
        <w:rPr>
          <w:rStyle w:val="FootnoteReference"/>
        </w:rPr>
        <w:footnoteRef/>
      </w:r>
      <w:r>
        <w:t xml:space="preserve"> </w:t>
      </w:r>
      <w:r>
        <w:rPr>
          <w:lang w:val="en-US"/>
        </w:rPr>
        <w:t>Consultation on the draft revised Code closed on 27 April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64" w:rsidRDefault="007D6B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4813" o:spid="_x0000_s28674" type="#_x0000_t136" style="position:absolute;left:0;text-align:left;margin-left:0;margin-top:0;width:587.5pt;height:51.8pt;rotation:315;z-index:-251653120;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D1" w:rsidRPr="00920FF4" w:rsidRDefault="007D6B29"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4814" o:spid="_x0000_s28675" type="#_x0000_t136" style="position:absolute;left:0;text-align:left;margin-left:0;margin-top:0;width:587.5pt;height:51.8pt;rotation:315;z-index:-251651072;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F739D1">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B50" w:rsidRPr="00E32326" w:rsidRDefault="007D6B29" w:rsidP="00F202AB">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4812" o:spid="_x0000_s28673" type="#_x0000_t136" style="position:absolute;margin-left:0;margin-top:0;width:587.5pt;height:51.8pt;rotation:315;z-index:-251655168;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F3255D" w:rsidRPr="00F3255D">
      <w:rPr>
        <w:noProof/>
        <w:lang w:eastAsia="en-AU"/>
      </w:rPr>
      <w:drawing>
        <wp:anchor distT="0" distB="0" distL="114300" distR="114300" simplePos="0" relativeHeight="251658240" behindDoc="0" locked="0" layoutInCell="1" allowOverlap="1" wp14:anchorId="2175C1B2" wp14:editId="3D949677">
          <wp:simplePos x="0" y="0"/>
          <wp:positionH relativeFrom="column">
            <wp:posOffset>-195580</wp:posOffset>
          </wp:positionH>
          <wp:positionV relativeFrom="paragraph">
            <wp:posOffset>-62230</wp:posOffset>
          </wp:positionV>
          <wp:extent cx="3524250" cy="1209675"/>
          <wp:effectExtent l="0" t="0" r="0" b="9525"/>
          <wp:wrapTopAndBottom/>
          <wp:docPr id="3" name="Picture 1" descr="Australian Government, Department of Health, Therapeutic Goods Administrati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p w:rsidR="00F739D1" w:rsidRPr="00E32326" w:rsidRDefault="00FF7B50" w:rsidP="00F202AB">
    <w:r>
      <w:rPr>
        <w:noProof/>
        <w:lang w:eastAsia="en-AU"/>
      </w:rPr>
      <w:drawing>
        <wp:anchor distT="0" distB="0" distL="114300" distR="114300" simplePos="0" relativeHeight="251656192" behindDoc="1" locked="0" layoutInCell="0" allowOverlap="1" wp14:anchorId="085D340B" wp14:editId="7AA2312E">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2"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B29" w:rsidRDefault="007D6B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4816" o:spid="_x0000_s28677" type="#_x0000_t136" style="position:absolute;left:0;text-align:left;margin-left:0;margin-top:0;width:587.5pt;height:51.8pt;rotation:315;z-index:-251646976;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D1" w:rsidRPr="00920FF4" w:rsidRDefault="007D6B29"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4817" o:spid="_x0000_s28678" type="#_x0000_t136" style="position:absolute;left:0;text-align:left;margin-left:0;margin-top:0;width:587.5pt;height:51.8pt;rotation:315;z-index:-251644928;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F739D1">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80A" w:rsidRPr="00920FF4" w:rsidRDefault="007D6B29" w:rsidP="001D48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4815" o:spid="_x0000_s28676" type="#_x0000_t136" style="position:absolute;left:0;text-align:left;margin-left:0;margin-top:0;width:587.5pt;height:51.8pt;rotation:315;z-index:-251649024;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1D480A">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B29" w:rsidRDefault="007D6B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4819" o:spid="_x0000_s28680" type="#_x0000_t136" style="position:absolute;left:0;text-align:left;margin-left:0;margin-top:0;width:587.5pt;height:51.8pt;rotation:315;z-index:-251640832;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B29" w:rsidRDefault="007D6B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4820" o:spid="_x0000_s28681" type="#_x0000_t136" style="position:absolute;left:0;text-align:left;margin-left:0;margin-top:0;width:587.5pt;height:51.8pt;rotation:315;z-index:-251638784;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D1" w:rsidRPr="002B0C2E" w:rsidRDefault="007D6B29" w:rsidP="00432D79">
    <w:pPr>
      <w:pStyle w:val="HeaderNoLine"/>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4818" o:spid="_x0000_s28679" type="#_x0000_t136" style="position:absolute;margin-left:0;margin-top:0;width:587.5pt;height:51.8pt;rotation:315;z-index:-251642880;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630B4"/>
    <w:multiLevelType w:val="hybridMultilevel"/>
    <w:tmpl w:val="117E4D1A"/>
    <w:lvl w:ilvl="0" w:tplc="C840C1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65A3764"/>
    <w:multiLevelType w:val="hybridMultilevel"/>
    <w:tmpl w:val="CE34418C"/>
    <w:lvl w:ilvl="0" w:tplc="D77AFD60">
      <w:start w:val="1"/>
      <w:numFmt w:val="decimal"/>
      <w:lvlText w:val="%1."/>
      <w:lvlJc w:val="left"/>
      <w:pPr>
        <w:ind w:left="720" w:hanging="360"/>
      </w:pPr>
      <w:rPr>
        <w:rFonts w:eastAsia="Cambria" w:cstheme="minorBid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4"/>
  </w:num>
  <w:num w:numId="19">
    <w:abstractNumId w:val="4"/>
  </w:num>
  <w:num w:numId="20">
    <w:abstractNumId w:val="4"/>
  </w:num>
  <w:num w:numId="21">
    <w:abstractNumId w:val="3"/>
  </w:num>
  <w:num w:numId="22">
    <w:abstractNumId w:val="3"/>
  </w:num>
  <w:num w:numId="23">
    <w:abstractNumId w:val="3"/>
  </w:num>
  <w:num w:numId="24">
    <w:abstractNumId w:val="5"/>
  </w:num>
  <w:num w:numId="25">
    <w:abstractNumId w:val="4"/>
  </w:num>
  <w:num w:numId="26">
    <w:abstractNumId w:val="4"/>
  </w:num>
  <w:num w:numId="27">
    <w:abstractNumId w:val="4"/>
  </w:num>
  <w:num w:numId="28">
    <w:abstractNumId w:val="3"/>
  </w:num>
  <w:num w:numId="29">
    <w:abstractNumId w:val="3"/>
  </w:num>
  <w:num w:numId="30">
    <w:abstractNumId w:val="3"/>
  </w:num>
  <w:num w:numId="31">
    <w:abstractNumId w:val="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8682"/>
    <o:shapelayout v:ext="edit">
      <o:idmap v:ext="edit" data="28"/>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0A"/>
    <w:rsid w:val="00002031"/>
    <w:rsid w:val="00002C30"/>
    <w:rsid w:val="00004734"/>
    <w:rsid w:val="00006B22"/>
    <w:rsid w:val="0001276A"/>
    <w:rsid w:val="000246AE"/>
    <w:rsid w:val="00025C67"/>
    <w:rsid w:val="00027DD1"/>
    <w:rsid w:val="0003306D"/>
    <w:rsid w:val="00055129"/>
    <w:rsid w:val="000554B4"/>
    <w:rsid w:val="0005559E"/>
    <w:rsid w:val="00061E51"/>
    <w:rsid w:val="00063028"/>
    <w:rsid w:val="00077775"/>
    <w:rsid w:val="00090471"/>
    <w:rsid w:val="000958DF"/>
    <w:rsid w:val="000A0965"/>
    <w:rsid w:val="000B0A5D"/>
    <w:rsid w:val="000B3532"/>
    <w:rsid w:val="000B3A75"/>
    <w:rsid w:val="000B7084"/>
    <w:rsid w:val="000C5A31"/>
    <w:rsid w:val="000D391B"/>
    <w:rsid w:val="000D3D6D"/>
    <w:rsid w:val="000D4FC7"/>
    <w:rsid w:val="000F4869"/>
    <w:rsid w:val="000F5B42"/>
    <w:rsid w:val="000F6E6F"/>
    <w:rsid w:val="001003F2"/>
    <w:rsid w:val="0010601F"/>
    <w:rsid w:val="00107378"/>
    <w:rsid w:val="00110EA5"/>
    <w:rsid w:val="001119DF"/>
    <w:rsid w:val="00115240"/>
    <w:rsid w:val="00125091"/>
    <w:rsid w:val="00125318"/>
    <w:rsid w:val="001305A2"/>
    <w:rsid w:val="00133238"/>
    <w:rsid w:val="00140FE3"/>
    <w:rsid w:val="0014197B"/>
    <w:rsid w:val="001447CD"/>
    <w:rsid w:val="001516B1"/>
    <w:rsid w:val="001525B4"/>
    <w:rsid w:val="00156316"/>
    <w:rsid w:val="00160006"/>
    <w:rsid w:val="00165389"/>
    <w:rsid w:val="0016614D"/>
    <w:rsid w:val="00170CED"/>
    <w:rsid w:val="0017693F"/>
    <w:rsid w:val="0018110E"/>
    <w:rsid w:val="00181684"/>
    <w:rsid w:val="001843C6"/>
    <w:rsid w:val="001850E0"/>
    <w:rsid w:val="0018693C"/>
    <w:rsid w:val="00191246"/>
    <w:rsid w:val="0019255A"/>
    <w:rsid w:val="001A525F"/>
    <w:rsid w:val="001A69AB"/>
    <w:rsid w:val="001B09F9"/>
    <w:rsid w:val="001B6448"/>
    <w:rsid w:val="001C5B63"/>
    <w:rsid w:val="001D11AD"/>
    <w:rsid w:val="001D480A"/>
    <w:rsid w:val="001E07CF"/>
    <w:rsid w:val="001E59F1"/>
    <w:rsid w:val="001F49EB"/>
    <w:rsid w:val="001F6CBA"/>
    <w:rsid w:val="001F78B9"/>
    <w:rsid w:val="00201D4E"/>
    <w:rsid w:val="00207515"/>
    <w:rsid w:val="00207A30"/>
    <w:rsid w:val="00211C7B"/>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848"/>
    <w:rsid w:val="0027084A"/>
    <w:rsid w:val="00271109"/>
    <w:rsid w:val="00277EF5"/>
    <w:rsid w:val="00286434"/>
    <w:rsid w:val="00286C59"/>
    <w:rsid w:val="002942D1"/>
    <w:rsid w:val="002A0556"/>
    <w:rsid w:val="002B0C2E"/>
    <w:rsid w:val="002B1638"/>
    <w:rsid w:val="002C1D7D"/>
    <w:rsid w:val="002C2511"/>
    <w:rsid w:val="002D1EDF"/>
    <w:rsid w:val="002E4C9A"/>
    <w:rsid w:val="002F11F8"/>
    <w:rsid w:val="002F3F56"/>
    <w:rsid w:val="002F44B5"/>
    <w:rsid w:val="00311AC0"/>
    <w:rsid w:val="003204DD"/>
    <w:rsid w:val="00331DBB"/>
    <w:rsid w:val="00332680"/>
    <w:rsid w:val="003374A6"/>
    <w:rsid w:val="003521E8"/>
    <w:rsid w:val="00365DDD"/>
    <w:rsid w:val="003664BF"/>
    <w:rsid w:val="003728F3"/>
    <w:rsid w:val="00390900"/>
    <w:rsid w:val="0039795A"/>
    <w:rsid w:val="003A35BD"/>
    <w:rsid w:val="003B00C5"/>
    <w:rsid w:val="003B443E"/>
    <w:rsid w:val="003B7E39"/>
    <w:rsid w:val="003C30DC"/>
    <w:rsid w:val="003C58DC"/>
    <w:rsid w:val="003C7461"/>
    <w:rsid w:val="003D0CD9"/>
    <w:rsid w:val="003E3208"/>
    <w:rsid w:val="003E3D34"/>
    <w:rsid w:val="003E7EAA"/>
    <w:rsid w:val="003F0B04"/>
    <w:rsid w:val="0040134E"/>
    <w:rsid w:val="00410839"/>
    <w:rsid w:val="0041452B"/>
    <w:rsid w:val="004169A8"/>
    <w:rsid w:val="00432D79"/>
    <w:rsid w:val="0043490A"/>
    <w:rsid w:val="00440A2D"/>
    <w:rsid w:val="004414E4"/>
    <w:rsid w:val="00455A6F"/>
    <w:rsid w:val="004564A7"/>
    <w:rsid w:val="004617BF"/>
    <w:rsid w:val="004634F1"/>
    <w:rsid w:val="00465E90"/>
    <w:rsid w:val="0047772E"/>
    <w:rsid w:val="00477BB1"/>
    <w:rsid w:val="004923FF"/>
    <w:rsid w:val="00494E60"/>
    <w:rsid w:val="00496BAC"/>
    <w:rsid w:val="004B5A6B"/>
    <w:rsid w:val="004B7B76"/>
    <w:rsid w:val="004C0070"/>
    <w:rsid w:val="004D51A6"/>
    <w:rsid w:val="004F0F38"/>
    <w:rsid w:val="004F1A46"/>
    <w:rsid w:val="004F4D12"/>
    <w:rsid w:val="00501921"/>
    <w:rsid w:val="00511904"/>
    <w:rsid w:val="00522A0C"/>
    <w:rsid w:val="00530354"/>
    <w:rsid w:val="00531B11"/>
    <w:rsid w:val="005434C6"/>
    <w:rsid w:val="00543B39"/>
    <w:rsid w:val="0054583D"/>
    <w:rsid w:val="005477E7"/>
    <w:rsid w:val="00550096"/>
    <w:rsid w:val="0055532D"/>
    <w:rsid w:val="00557FF9"/>
    <w:rsid w:val="00576378"/>
    <w:rsid w:val="00577279"/>
    <w:rsid w:val="00577E38"/>
    <w:rsid w:val="00585322"/>
    <w:rsid w:val="00593AD1"/>
    <w:rsid w:val="00594D03"/>
    <w:rsid w:val="00597877"/>
    <w:rsid w:val="005A1131"/>
    <w:rsid w:val="005A61CE"/>
    <w:rsid w:val="005B4865"/>
    <w:rsid w:val="005C5570"/>
    <w:rsid w:val="005C79A4"/>
    <w:rsid w:val="005C7DCE"/>
    <w:rsid w:val="005D4EA1"/>
    <w:rsid w:val="005D5442"/>
    <w:rsid w:val="005E6592"/>
    <w:rsid w:val="00604740"/>
    <w:rsid w:val="00611B57"/>
    <w:rsid w:val="00617EAC"/>
    <w:rsid w:val="006239CD"/>
    <w:rsid w:val="00640190"/>
    <w:rsid w:val="006405A9"/>
    <w:rsid w:val="00640FC3"/>
    <w:rsid w:val="00642020"/>
    <w:rsid w:val="00651C87"/>
    <w:rsid w:val="0065337B"/>
    <w:rsid w:val="00653FBF"/>
    <w:rsid w:val="0065419D"/>
    <w:rsid w:val="0065604D"/>
    <w:rsid w:val="006604D8"/>
    <w:rsid w:val="00664A5B"/>
    <w:rsid w:val="00665F8C"/>
    <w:rsid w:val="00667942"/>
    <w:rsid w:val="00667B4F"/>
    <w:rsid w:val="00680C08"/>
    <w:rsid w:val="0068741A"/>
    <w:rsid w:val="00691723"/>
    <w:rsid w:val="006931B1"/>
    <w:rsid w:val="00693CDB"/>
    <w:rsid w:val="006A15C0"/>
    <w:rsid w:val="006A73D7"/>
    <w:rsid w:val="006B188D"/>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25A8B"/>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3A59"/>
    <w:rsid w:val="007A2162"/>
    <w:rsid w:val="007B302B"/>
    <w:rsid w:val="007B43ED"/>
    <w:rsid w:val="007B4BF9"/>
    <w:rsid w:val="007C0F3D"/>
    <w:rsid w:val="007C1AF7"/>
    <w:rsid w:val="007C7A6D"/>
    <w:rsid w:val="007C7B5B"/>
    <w:rsid w:val="007D6B29"/>
    <w:rsid w:val="007E7BF8"/>
    <w:rsid w:val="007F2FF0"/>
    <w:rsid w:val="00810598"/>
    <w:rsid w:val="00811166"/>
    <w:rsid w:val="00814492"/>
    <w:rsid w:val="00821776"/>
    <w:rsid w:val="00826007"/>
    <w:rsid w:val="008321F5"/>
    <w:rsid w:val="00832369"/>
    <w:rsid w:val="00834660"/>
    <w:rsid w:val="00834C8E"/>
    <w:rsid w:val="00836BC2"/>
    <w:rsid w:val="0084580B"/>
    <w:rsid w:val="00845BCA"/>
    <w:rsid w:val="00853C8F"/>
    <w:rsid w:val="0085641B"/>
    <w:rsid w:val="00857136"/>
    <w:rsid w:val="00870B12"/>
    <w:rsid w:val="008752CE"/>
    <w:rsid w:val="008821AA"/>
    <w:rsid w:val="008855B8"/>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E7B83"/>
    <w:rsid w:val="008F1CCC"/>
    <w:rsid w:val="008F2967"/>
    <w:rsid w:val="008F407A"/>
    <w:rsid w:val="0090354E"/>
    <w:rsid w:val="00907ACE"/>
    <w:rsid w:val="00915C64"/>
    <w:rsid w:val="00920330"/>
    <w:rsid w:val="00920FF4"/>
    <w:rsid w:val="009219D7"/>
    <w:rsid w:val="00922D53"/>
    <w:rsid w:val="00923B70"/>
    <w:rsid w:val="00925DC5"/>
    <w:rsid w:val="0092600B"/>
    <w:rsid w:val="00930237"/>
    <w:rsid w:val="00934397"/>
    <w:rsid w:val="009401F6"/>
    <w:rsid w:val="00940F44"/>
    <w:rsid w:val="00941988"/>
    <w:rsid w:val="00952562"/>
    <w:rsid w:val="00963C08"/>
    <w:rsid w:val="00997420"/>
    <w:rsid w:val="009A09AA"/>
    <w:rsid w:val="009A474D"/>
    <w:rsid w:val="009A4CED"/>
    <w:rsid w:val="009B15F1"/>
    <w:rsid w:val="009B1D12"/>
    <w:rsid w:val="009B416B"/>
    <w:rsid w:val="009C4BD5"/>
    <w:rsid w:val="009C7E25"/>
    <w:rsid w:val="009D2E04"/>
    <w:rsid w:val="009D7B77"/>
    <w:rsid w:val="009E0BB0"/>
    <w:rsid w:val="009E3FBB"/>
    <w:rsid w:val="009E71F4"/>
    <w:rsid w:val="009F018D"/>
    <w:rsid w:val="009F7D61"/>
    <w:rsid w:val="00A052B5"/>
    <w:rsid w:val="00A1235B"/>
    <w:rsid w:val="00A14DF7"/>
    <w:rsid w:val="00A23F3C"/>
    <w:rsid w:val="00A3246D"/>
    <w:rsid w:val="00A3654F"/>
    <w:rsid w:val="00A36FA7"/>
    <w:rsid w:val="00A475B7"/>
    <w:rsid w:val="00A47AF7"/>
    <w:rsid w:val="00A47C3E"/>
    <w:rsid w:val="00A50226"/>
    <w:rsid w:val="00A539AC"/>
    <w:rsid w:val="00A56488"/>
    <w:rsid w:val="00A60BAD"/>
    <w:rsid w:val="00A64387"/>
    <w:rsid w:val="00A736F3"/>
    <w:rsid w:val="00A73A8D"/>
    <w:rsid w:val="00A84503"/>
    <w:rsid w:val="00A85B04"/>
    <w:rsid w:val="00A87334"/>
    <w:rsid w:val="00A8785D"/>
    <w:rsid w:val="00AB6F47"/>
    <w:rsid w:val="00AC2B40"/>
    <w:rsid w:val="00AC2BB2"/>
    <w:rsid w:val="00AC2C3C"/>
    <w:rsid w:val="00AC3BD9"/>
    <w:rsid w:val="00AC7EB0"/>
    <w:rsid w:val="00AE0320"/>
    <w:rsid w:val="00AE65EB"/>
    <w:rsid w:val="00AF1D94"/>
    <w:rsid w:val="00AF60C5"/>
    <w:rsid w:val="00B009C6"/>
    <w:rsid w:val="00B01548"/>
    <w:rsid w:val="00B21D29"/>
    <w:rsid w:val="00B21FC5"/>
    <w:rsid w:val="00B21FEE"/>
    <w:rsid w:val="00B25034"/>
    <w:rsid w:val="00B25C97"/>
    <w:rsid w:val="00B33863"/>
    <w:rsid w:val="00B37D17"/>
    <w:rsid w:val="00B4175E"/>
    <w:rsid w:val="00B510E1"/>
    <w:rsid w:val="00B54C25"/>
    <w:rsid w:val="00B600DA"/>
    <w:rsid w:val="00B64F68"/>
    <w:rsid w:val="00B76B91"/>
    <w:rsid w:val="00B92C72"/>
    <w:rsid w:val="00BA6FF1"/>
    <w:rsid w:val="00BB0909"/>
    <w:rsid w:val="00BB6529"/>
    <w:rsid w:val="00BC1CAB"/>
    <w:rsid w:val="00BC622A"/>
    <w:rsid w:val="00BD317A"/>
    <w:rsid w:val="00BD6F8A"/>
    <w:rsid w:val="00BE0A78"/>
    <w:rsid w:val="00BE79F0"/>
    <w:rsid w:val="00BF046D"/>
    <w:rsid w:val="00BF5D04"/>
    <w:rsid w:val="00C13563"/>
    <w:rsid w:val="00C243C8"/>
    <w:rsid w:val="00C339C6"/>
    <w:rsid w:val="00C3482F"/>
    <w:rsid w:val="00C404A6"/>
    <w:rsid w:val="00C40A36"/>
    <w:rsid w:val="00C44419"/>
    <w:rsid w:val="00C45E7B"/>
    <w:rsid w:val="00C471B1"/>
    <w:rsid w:val="00C52BEE"/>
    <w:rsid w:val="00C6316B"/>
    <w:rsid w:val="00C634A9"/>
    <w:rsid w:val="00C73D6C"/>
    <w:rsid w:val="00C772FF"/>
    <w:rsid w:val="00C77BC8"/>
    <w:rsid w:val="00C801AF"/>
    <w:rsid w:val="00C80256"/>
    <w:rsid w:val="00CA77CC"/>
    <w:rsid w:val="00CB6BC0"/>
    <w:rsid w:val="00CC1B7C"/>
    <w:rsid w:val="00CC47ED"/>
    <w:rsid w:val="00CC727F"/>
    <w:rsid w:val="00CD2699"/>
    <w:rsid w:val="00CD7871"/>
    <w:rsid w:val="00CE5BB0"/>
    <w:rsid w:val="00CF15C3"/>
    <w:rsid w:val="00CF25B6"/>
    <w:rsid w:val="00CF2B6F"/>
    <w:rsid w:val="00CF3409"/>
    <w:rsid w:val="00D017ED"/>
    <w:rsid w:val="00D153B1"/>
    <w:rsid w:val="00D224FE"/>
    <w:rsid w:val="00D229BA"/>
    <w:rsid w:val="00D236D0"/>
    <w:rsid w:val="00D26B84"/>
    <w:rsid w:val="00D5616E"/>
    <w:rsid w:val="00D634FE"/>
    <w:rsid w:val="00D6493E"/>
    <w:rsid w:val="00DA1124"/>
    <w:rsid w:val="00DA1DEF"/>
    <w:rsid w:val="00DA3043"/>
    <w:rsid w:val="00DD4C9F"/>
    <w:rsid w:val="00DD75A3"/>
    <w:rsid w:val="00DD7A91"/>
    <w:rsid w:val="00DE02AE"/>
    <w:rsid w:val="00DE33DE"/>
    <w:rsid w:val="00DE6A0C"/>
    <w:rsid w:val="00DE6C04"/>
    <w:rsid w:val="00DE75AC"/>
    <w:rsid w:val="00DF1D7F"/>
    <w:rsid w:val="00E02FB4"/>
    <w:rsid w:val="00E1340C"/>
    <w:rsid w:val="00E20571"/>
    <w:rsid w:val="00E21651"/>
    <w:rsid w:val="00E235F7"/>
    <w:rsid w:val="00E239D4"/>
    <w:rsid w:val="00E32326"/>
    <w:rsid w:val="00E329C6"/>
    <w:rsid w:val="00E40B22"/>
    <w:rsid w:val="00E4588F"/>
    <w:rsid w:val="00E46DA3"/>
    <w:rsid w:val="00E51164"/>
    <w:rsid w:val="00E56DDD"/>
    <w:rsid w:val="00E8120B"/>
    <w:rsid w:val="00EA16DE"/>
    <w:rsid w:val="00EA406B"/>
    <w:rsid w:val="00EA453A"/>
    <w:rsid w:val="00EB0798"/>
    <w:rsid w:val="00EB182C"/>
    <w:rsid w:val="00EB19F8"/>
    <w:rsid w:val="00EB2603"/>
    <w:rsid w:val="00EB40AD"/>
    <w:rsid w:val="00EB586E"/>
    <w:rsid w:val="00EB5FC8"/>
    <w:rsid w:val="00EC1271"/>
    <w:rsid w:val="00ED0C8B"/>
    <w:rsid w:val="00ED5A41"/>
    <w:rsid w:val="00EE1482"/>
    <w:rsid w:val="00EE255A"/>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7B16"/>
    <w:rsid w:val="00F739D1"/>
    <w:rsid w:val="00F76CFF"/>
    <w:rsid w:val="00F80E40"/>
    <w:rsid w:val="00F8365F"/>
    <w:rsid w:val="00F8404D"/>
    <w:rsid w:val="00F87B87"/>
    <w:rsid w:val="00FA4D6D"/>
    <w:rsid w:val="00FA5B82"/>
    <w:rsid w:val="00FA639E"/>
    <w:rsid w:val="00FB59CE"/>
    <w:rsid w:val="00FC03C8"/>
    <w:rsid w:val="00FC25E4"/>
    <w:rsid w:val="00FC260C"/>
    <w:rsid w:val="00FC4EF7"/>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8682"/>
    <o:shapelayout v:ext="edit">
      <o:idmap v:ext="edit" data="1"/>
    </o:shapelayout>
  </w:shapeDefaults>
  <w:decimalSymbol w:val="."/>
  <w:listSeparator w:val=","/>
  <w15:docId w15:val="{2D94FA6E-CC3E-4B89-BC8A-6B019979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D236D0"/>
    <w:pPr>
      <w:keepNext/>
      <w:keepLines/>
      <w:tabs>
        <w:tab w:val="right" w:leader="underscore" w:pos="8505"/>
      </w:tabs>
      <w:spacing w:after="200"/>
    </w:pPr>
    <w:rPr>
      <w:b/>
      <w:sz w:val="28"/>
    </w:rPr>
  </w:style>
  <w:style w:type="paragraph" w:styleId="TOC2">
    <w:name w:val="toc 2"/>
    <w:basedOn w:val="Normal"/>
    <w:next w:val="Normal"/>
    <w:uiPriority w:val="39"/>
    <w:unhideWhenUsed/>
    <w:rsid w:val="00D236D0"/>
    <w:pPr>
      <w:keepNext/>
      <w:keepLines/>
      <w:tabs>
        <w:tab w:val="right" w:leader="underscore" w:pos="8505"/>
      </w:tabs>
      <w:spacing w:after="100"/>
      <w:ind w:left="425"/>
    </w:pPr>
    <w:rPr>
      <w:b/>
      <w:sz w:val="24"/>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191246"/>
    <w:pPr>
      <w:spacing w:before="0" w:after="0"/>
      <w:ind w:left="720"/>
      <w:contextualSpacing/>
    </w:pPr>
    <w:rPr>
      <w:rFonts w:asciiTheme="minorHAnsi" w:hAnsiTheme="minorHAnsi" w:cstheme="minorBidi"/>
      <w:szCs w:val="22"/>
    </w:rPr>
  </w:style>
  <w:style w:type="paragraph" w:customStyle="1" w:styleId="Default">
    <w:name w:val="Default"/>
    <w:rsid w:val="00027DD1"/>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ga.copyright@tga.gov.au"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ga.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s://www.tga.gov.au/tga-presentation-medicines-scheduling-and-scheduling-policy-ad-hoc-working-group-meeting-two-6-march-2018" TargetMode="Externa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ga.gov.au/tga-presentation-scheduling-working-group-meeting-one-9-february-2018" TargetMode="External"/><Relationship Id="rId22" Type="http://schemas.openxmlformats.org/officeDocument/2006/relationships/header" Target="header7.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62A64-4B80-4E5D-95AC-EA43870E8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Substances proposed to be added to Appendix H of the Poisons Standard</dc:title>
  <dc:subject>poisons standard</dc:subject>
  <dc:creator>Therapeutic Goods Administration</dc:creator>
  <cp:keywords>consultation paper</cp:keywords>
  <cp:lastPrinted>2018-05-21T04:47:00Z</cp:lastPrinted>
  <dcterms:created xsi:type="dcterms:W3CDTF">2018-05-17T02:16:00Z</dcterms:created>
  <dcterms:modified xsi:type="dcterms:W3CDTF">2020-03-06T05:31:00Z</dcterms:modified>
  <cp:category>consultation</cp:category>
</cp:coreProperties>
</file>