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pPr w:leftFromText="180" w:rightFromText="180" w:vertAnchor="page" w:horzAnchor="margin" w:tblpY="3166"/>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Description w:val="Consultation Paper: Substances proposed to be added to Appendix H of the Poisons Standard [Version 1.0, May 2018]"/>
      </w:tblPr>
      <w:tblGrid>
        <w:gridCol w:w="8720"/>
      </w:tblGrid>
      <w:tr w:rsidR="00A92AE7" w:rsidRPr="00BB0B55" w:rsidTr="00A92AE7">
        <w:trPr>
          <w:cantSplit/>
          <w:tblHeader/>
        </w:trPr>
        <w:tc>
          <w:tcPr>
            <w:tcW w:w="8720" w:type="dxa"/>
          </w:tcPr>
          <w:p w:rsidR="00A92AE7" w:rsidRPr="00BB0B55" w:rsidRDefault="00A92AE7" w:rsidP="00BB0B55">
            <w:pPr>
              <w:pStyle w:val="Title"/>
              <w:rPr>
                <w:sz w:val="44"/>
                <w:szCs w:val="44"/>
              </w:rPr>
            </w:pPr>
            <w:bookmarkStart w:id="0" w:name="_GoBack" w:colFirst="0" w:colLast="0"/>
            <w:r w:rsidRPr="00BB0B55">
              <w:rPr>
                <w:sz w:val="44"/>
                <w:szCs w:val="44"/>
              </w:rPr>
              <w:t xml:space="preserve">Consultation: Proposed criteria for Appendix M of the Poisons Standard to support rescheduling of substances from Schedule 4 (Prescription only) </w:t>
            </w:r>
            <w:r w:rsidR="00BB0B55" w:rsidRPr="00BB0B55">
              <w:rPr>
                <w:sz w:val="44"/>
                <w:szCs w:val="44"/>
              </w:rPr>
              <w:t>to Schedule 3 (Pharmacist only)</w:t>
            </w:r>
          </w:p>
        </w:tc>
      </w:tr>
      <w:bookmarkEnd w:id="0"/>
      <w:tr w:rsidR="00BB0B55" w:rsidRPr="00BB0B55" w:rsidTr="00BB0B55">
        <w:trPr>
          <w:cantSplit/>
          <w:trHeight w:val="908"/>
          <w:tblHeader/>
        </w:trPr>
        <w:tc>
          <w:tcPr>
            <w:tcW w:w="8720" w:type="dxa"/>
          </w:tcPr>
          <w:p w:rsidR="00BB0B55" w:rsidRPr="00BB0B55" w:rsidRDefault="00BB0B55" w:rsidP="00BB0B55">
            <w:pPr>
              <w:pStyle w:val="Title"/>
            </w:pPr>
          </w:p>
        </w:tc>
      </w:tr>
      <w:tr w:rsidR="00A92AE7" w:rsidRPr="009401F6" w:rsidTr="00BB0B55">
        <w:trPr>
          <w:cantSplit/>
          <w:trHeight w:val="567"/>
        </w:trPr>
        <w:tc>
          <w:tcPr>
            <w:tcW w:w="8720" w:type="dxa"/>
          </w:tcPr>
          <w:p w:rsidR="00A92AE7" w:rsidRPr="00BB0B55" w:rsidRDefault="00A92AE7" w:rsidP="00BB0B55">
            <w:pPr>
              <w:pStyle w:val="Date"/>
              <w:rPr>
                <w:i/>
                <w:lang w:eastAsia="en-AU"/>
              </w:rPr>
            </w:pPr>
            <w:r w:rsidRPr="00BB0B55">
              <w:rPr>
                <w:i/>
                <w:lang w:eastAsia="en-AU"/>
              </w:rPr>
              <w:t xml:space="preserve">Version 1.0, </w:t>
            </w:r>
            <w:r w:rsidR="007F1406" w:rsidRPr="00BB0B55">
              <w:rPr>
                <w:i/>
                <w:lang w:eastAsia="en-AU"/>
              </w:rPr>
              <w:t>Febr</w:t>
            </w:r>
            <w:r w:rsidRPr="00BB0B55">
              <w:rPr>
                <w:i/>
                <w:lang w:eastAsia="en-AU"/>
              </w:rPr>
              <w:t>uary 2019</w:t>
            </w:r>
          </w:p>
        </w:tc>
      </w:tr>
    </w:tbl>
    <w:p w:rsidR="001D480A" w:rsidRPr="00EB2603" w:rsidRDefault="001D480A" w:rsidP="00EB2603">
      <w:pPr>
        <w:rPr>
          <w:lang w:eastAsia="en-AU"/>
        </w:rPr>
        <w:sectPr w:rsidR="001D480A" w:rsidRPr="00EB2603" w:rsidSect="00F8404D">
          <w:headerReference w:type="default" r:id="rId9"/>
          <w:footerReference w:type="default" r:id="rId10"/>
          <w:headerReference w:type="first" r:id="rId11"/>
          <w:footerReference w:type="first" r:id="rId12"/>
          <w:type w:val="continuous"/>
          <w:pgSz w:w="11906" w:h="16838" w:code="9"/>
          <w:pgMar w:top="6923" w:right="1418" w:bottom="709" w:left="1418" w:header="998" w:footer="0" w:gutter="0"/>
          <w:cols w:space="708"/>
          <w:titlePg/>
          <w:docGrid w:linePitch="360"/>
        </w:sectPr>
      </w:pPr>
    </w:p>
    <w:p w:rsidR="00BA6FF1" w:rsidRPr="005D4EA1" w:rsidRDefault="00BA6FF1" w:rsidP="00FE1941">
      <w:pPr>
        <w:pStyle w:val="LegalSubheading"/>
        <w:pageBreakBefore/>
      </w:pPr>
      <w:r w:rsidRPr="00691723">
        <w:lastRenderedPageBreak/>
        <w:t>Copyright</w:t>
      </w:r>
    </w:p>
    <w:p w:rsidR="00611B57" w:rsidRDefault="00EA453A" w:rsidP="00FE1941">
      <w:pPr>
        <w:pStyle w:val="LegalCopy"/>
        <w:spacing w:after="0"/>
      </w:pPr>
      <w:r w:rsidRPr="001B67A6">
        <w:t>© Commonwealth of Australia 201</w:t>
      </w:r>
      <w:r w:rsidR="001B67A6" w:rsidRPr="001B67A6">
        <w:t>9</w:t>
      </w:r>
      <w:r w:rsidRPr="009401F6">
        <w:br/>
      </w:r>
      <w:proofErr w:type="gramStart"/>
      <w:r w:rsidRPr="009401F6">
        <w:t>This</w:t>
      </w:r>
      <w:proofErr w:type="gramEnd"/>
      <w:r w:rsidRPr="009401F6">
        <w:t xml:space="preserve"> work is copyright. You may reproduce the whole or part of this work in unaltered form for your own personal use or, if you are part of an organisation, for internal use within your organisation, but only if you or your organisation do not use the reproduction for any commercial purpose and retain this copyright notice and all disclaimer notices as part of that reproduction. Apart from rights to use as permitted by the </w:t>
      </w:r>
      <w:r w:rsidRPr="009401F6">
        <w:rPr>
          <w:i/>
        </w:rPr>
        <w:t>Copyright Act 1968</w:t>
      </w:r>
      <w:r w:rsidRPr="009401F6">
        <w:t xml:space="preserve"> or allowed by this copyright notice, all other rights are reserved and you are not allowed to reproduce the whole or any part of this work in any way (electronic or otherwise) without first being given specific written permission from the Commonwealth to do so. Requests and inquiries concerning reproduction and rights are to be sent to the TGA Copyright Officer, Therapeutic Goods Administration, PO Box 100, Woden ACT 2606 or emailed to &lt;</w:t>
      </w:r>
      <w:hyperlink r:id="rId13" w:history="1">
        <w:r w:rsidRPr="009401F6">
          <w:rPr>
            <w:rStyle w:val="Hyperlink"/>
            <w:rFonts w:cs="Arial"/>
          </w:rPr>
          <w:t>tga.copyright@tga.gov.au</w:t>
        </w:r>
      </w:hyperlink>
      <w:r w:rsidR="004169A8" w:rsidRPr="009401F6">
        <w:t>&gt;</w:t>
      </w:r>
    </w:p>
    <w:p w:rsidR="008D2B09" w:rsidRPr="009401F6" w:rsidRDefault="008D2B09" w:rsidP="00611B57">
      <w:pPr>
        <w:pStyle w:val="LegalSubheading"/>
      </w:pPr>
      <w:r w:rsidRPr="009401F6">
        <w:t>Confidentiality</w:t>
      </w:r>
    </w:p>
    <w:p w:rsidR="00F8365F" w:rsidRDefault="008D2B09" w:rsidP="003204DD">
      <w:pPr>
        <w:pStyle w:val="LegalCopy"/>
        <w:rPr>
          <w:lang w:eastAsia="en-AU"/>
        </w:rPr>
      </w:pPr>
      <w:r w:rsidRPr="00EB182C">
        <w:rPr>
          <w:lang w:eastAsia="en-AU"/>
        </w:rPr>
        <w:t>All submissions received will be placed on the TGA’s Internet site, unless marked confidential. Any confidential</w:t>
      </w:r>
      <w:r w:rsidR="00907ACE" w:rsidRPr="00EB182C">
        <w:rPr>
          <w:lang w:eastAsia="en-AU"/>
        </w:rPr>
        <w:t xml:space="preserve"> </w:t>
      </w:r>
      <w:r w:rsidRPr="00EB182C">
        <w:rPr>
          <w:lang w:eastAsia="en-AU"/>
        </w:rPr>
        <w:t>material contained within your submission should be provided under a separate cover and clearly marked</w:t>
      </w:r>
      <w:r w:rsidR="00907ACE" w:rsidRPr="00EB182C">
        <w:rPr>
          <w:lang w:eastAsia="en-AU"/>
        </w:rPr>
        <w:t xml:space="preserve"> </w:t>
      </w:r>
      <w:r w:rsidRPr="00EB182C">
        <w:rPr>
          <w:lang w:eastAsia="en-AU"/>
        </w:rPr>
        <w:t>“IN CONFIDENCE”. Reasons for a claim to confidentiality must be included in the space provided on the TGA</w:t>
      </w:r>
      <w:r w:rsidR="00907ACE" w:rsidRPr="00EB182C">
        <w:rPr>
          <w:lang w:eastAsia="en-AU"/>
        </w:rPr>
        <w:t xml:space="preserve"> </w:t>
      </w:r>
      <w:r w:rsidRPr="00EB182C">
        <w:rPr>
          <w:lang w:eastAsia="en-AU"/>
        </w:rPr>
        <w:t xml:space="preserve">submission </w:t>
      </w:r>
      <w:r w:rsidR="003C7461" w:rsidRPr="00EB182C">
        <w:rPr>
          <w:lang w:eastAsia="en-AU"/>
        </w:rPr>
        <w:t>form</w:t>
      </w:r>
      <w:r w:rsidRPr="00EB182C">
        <w:rPr>
          <w:lang w:eastAsia="en-AU"/>
        </w:rPr>
        <w:t>.</w:t>
      </w:r>
      <w:r w:rsidR="00611B57" w:rsidRPr="00EB182C">
        <w:rPr>
          <w:lang w:eastAsia="en-AU"/>
        </w:rPr>
        <w:t xml:space="preserve"> </w:t>
      </w:r>
      <w:r w:rsidRPr="00EB182C">
        <w:rPr>
          <w:lang w:eastAsia="en-AU"/>
        </w:rPr>
        <w:t>For submission made by individuals, all personal details, other than your name, will be removed from your</w:t>
      </w:r>
      <w:r w:rsidR="00611B57" w:rsidRPr="00EB182C">
        <w:rPr>
          <w:lang w:eastAsia="en-AU"/>
        </w:rPr>
        <w:t xml:space="preserve"> </w:t>
      </w:r>
      <w:r w:rsidRPr="00EB182C">
        <w:rPr>
          <w:lang w:eastAsia="en-AU"/>
        </w:rPr>
        <w:t>submission before it is published on the TGA’s Internet site.</w:t>
      </w:r>
      <w:r w:rsidR="00611B57" w:rsidRPr="00EB182C">
        <w:rPr>
          <w:lang w:eastAsia="en-AU"/>
        </w:rPr>
        <w:t xml:space="preserve"> </w:t>
      </w:r>
      <w:r w:rsidRPr="00EB182C">
        <w:rPr>
          <w:lang w:eastAsia="en-AU"/>
        </w:rPr>
        <w:t>In addition, a list of parties making submissions will be published. If you do not wish to be identified with your</w:t>
      </w:r>
      <w:r w:rsidR="00611B57" w:rsidRPr="00EB182C">
        <w:rPr>
          <w:lang w:eastAsia="en-AU"/>
        </w:rPr>
        <w:t xml:space="preserve"> </w:t>
      </w:r>
      <w:r w:rsidRPr="00EB182C">
        <w:rPr>
          <w:lang w:eastAsia="en-AU"/>
        </w:rPr>
        <w:t xml:space="preserve">submission you must specifically request this in the space provided on the submission </w:t>
      </w:r>
      <w:r w:rsidR="003C7461" w:rsidRPr="00EB182C">
        <w:rPr>
          <w:lang w:eastAsia="en-AU"/>
        </w:rPr>
        <w:t>form.</w:t>
      </w:r>
      <w:bookmarkStart w:id="1" w:name="_Toc323738670"/>
    </w:p>
    <w:p w:rsidR="00B619B4" w:rsidRPr="00EB182C" w:rsidRDefault="00B619B4" w:rsidP="003204DD">
      <w:pPr>
        <w:pStyle w:val="LegalCopy"/>
      </w:pPr>
    </w:p>
    <w:bookmarkEnd w:id="1" w:displacedByCustomXml="next"/>
    <w:sdt>
      <w:sdtPr>
        <w:rPr>
          <w:rFonts w:ascii="Cambria" w:hAnsi="Cambria"/>
          <w:bCs/>
          <w:sz w:val="22"/>
        </w:rPr>
        <w:id w:val="-729915817"/>
        <w:docPartObj>
          <w:docPartGallery w:val="Table of Contents"/>
          <w:docPartUnique/>
        </w:docPartObj>
      </w:sdtPr>
      <w:sdtEndPr>
        <w:rPr>
          <w:b w:val="0"/>
          <w:bCs w:val="0"/>
          <w:noProof/>
        </w:rPr>
      </w:sdtEndPr>
      <w:sdtContent>
        <w:p w:rsidR="00545A3A" w:rsidRDefault="00545A3A" w:rsidP="00BB0B55">
          <w:pPr>
            <w:pStyle w:val="NonTOCheading2"/>
            <w:pageBreakBefore/>
          </w:pPr>
          <w:r>
            <w:t>Contents</w:t>
          </w:r>
        </w:p>
        <w:p w:rsidR="0040214D" w:rsidRDefault="00545A3A">
          <w:pPr>
            <w:pStyle w:val="TOC2"/>
            <w:rPr>
              <w:rFonts w:asciiTheme="minorHAnsi" w:eastAsiaTheme="minorEastAsia" w:hAnsiTheme="minorHAnsi" w:cstheme="minorBidi"/>
              <w:b w:val="0"/>
              <w:noProof/>
              <w:sz w:val="22"/>
              <w:szCs w:val="22"/>
              <w:lang w:eastAsia="en-AU"/>
            </w:rPr>
          </w:pPr>
          <w:r>
            <w:fldChar w:fldCharType="begin"/>
          </w:r>
          <w:r>
            <w:instrText xml:space="preserve"> TOC \o "1-3" \h \z \u </w:instrText>
          </w:r>
          <w:r>
            <w:fldChar w:fldCharType="separate"/>
          </w:r>
          <w:hyperlink w:anchor="_Toc1989338" w:history="1">
            <w:r w:rsidR="0040214D" w:rsidRPr="00316F48">
              <w:rPr>
                <w:rStyle w:val="Hyperlink"/>
                <w:noProof/>
              </w:rPr>
              <w:t>Executive summary</w:t>
            </w:r>
            <w:r w:rsidR="0040214D">
              <w:rPr>
                <w:noProof/>
                <w:webHidden/>
              </w:rPr>
              <w:tab/>
            </w:r>
            <w:r w:rsidR="0040214D">
              <w:rPr>
                <w:noProof/>
                <w:webHidden/>
              </w:rPr>
              <w:fldChar w:fldCharType="begin"/>
            </w:r>
            <w:r w:rsidR="0040214D">
              <w:rPr>
                <w:noProof/>
                <w:webHidden/>
              </w:rPr>
              <w:instrText xml:space="preserve"> PAGEREF _Toc1989338 \h </w:instrText>
            </w:r>
            <w:r w:rsidR="0040214D">
              <w:rPr>
                <w:noProof/>
                <w:webHidden/>
              </w:rPr>
            </w:r>
            <w:r w:rsidR="0040214D">
              <w:rPr>
                <w:noProof/>
                <w:webHidden/>
              </w:rPr>
              <w:fldChar w:fldCharType="separate"/>
            </w:r>
            <w:r w:rsidR="0040214D">
              <w:rPr>
                <w:noProof/>
                <w:webHidden/>
              </w:rPr>
              <w:t>4</w:t>
            </w:r>
            <w:r w:rsidR="0040214D">
              <w:rPr>
                <w:noProof/>
                <w:webHidden/>
              </w:rPr>
              <w:fldChar w:fldCharType="end"/>
            </w:r>
          </w:hyperlink>
        </w:p>
        <w:p w:rsidR="0040214D" w:rsidRDefault="0040214D">
          <w:pPr>
            <w:pStyle w:val="TOC2"/>
            <w:rPr>
              <w:rFonts w:asciiTheme="minorHAnsi" w:eastAsiaTheme="minorEastAsia" w:hAnsiTheme="minorHAnsi" w:cstheme="minorBidi"/>
              <w:b w:val="0"/>
              <w:noProof/>
              <w:sz w:val="22"/>
              <w:szCs w:val="22"/>
              <w:lang w:eastAsia="en-AU"/>
            </w:rPr>
          </w:pPr>
          <w:hyperlink w:anchor="_Toc1989339" w:history="1">
            <w:r w:rsidRPr="00316F48">
              <w:rPr>
                <w:rStyle w:val="Hyperlink"/>
                <w:noProof/>
              </w:rPr>
              <w:t>Purpose</w:t>
            </w:r>
            <w:r>
              <w:rPr>
                <w:noProof/>
                <w:webHidden/>
              </w:rPr>
              <w:tab/>
            </w:r>
            <w:r>
              <w:rPr>
                <w:noProof/>
                <w:webHidden/>
              </w:rPr>
              <w:fldChar w:fldCharType="begin"/>
            </w:r>
            <w:r>
              <w:rPr>
                <w:noProof/>
                <w:webHidden/>
              </w:rPr>
              <w:instrText xml:space="preserve"> PAGEREF _Toc1989339 \h </w:instrText>
            </w:r>
            <w:r>
              <w:rPr>
                <w:noProof/>
                <w:webHidden/>
              </w:rPr>
            </w:r>
            <w:r>
              <w:rPr>
                <w:noProof/>
                <w:webHidden/>
              </w:rPr>
              <w:fldChar w:fldCharType="separate"/>
            </w:r>
            <w:r>
              <w:rPr>
                <w:noProof/>
                <w:webHidden/>
              </w:rPr>
              <w:t>5</w:t>
            </w:r>
            <w:r>
              <w:rPr>
                <w:noProof/>
                <w:webHidden/>
              </w:rPr>
              <w:fldChar w:fldCharType="end"/>
            </w:r>
          </w:hyperlink>
        </w:p>
        <w:p w:rsidR="0040214D" w:rsidRDefault="0040214D">
          <w:pPr>
            <w:pStyle w:val="TOC2"/>
            <w:rPr>
              <w:rFonts w:asciiTheme="minorHAnsi" w:eastAsiaTheme="minorEastAsia" w:hAnsiTheme="minorHAnsi" w:cstheme="minorBidi"/>
              <w:b w:val="0"/>
              <w:noProof/>
              <w:sz w:val="22"/>
              <w:szCs w:val="22"/>
              <w:lang w:eastAsia="en-AU"/>
            </w:rPr>
          </w:pPr>
          <w:hyperlink w:anchor="_Toc1989340" w:history="1">
            <w:r w:rsidRPr="00316F48">
              <w:rPr>
                <w:rStyle w:val="Hyperlink"/>
                <w:noProof/>
              </w:rPr>
              <w:t>Background</w:t>
            </w:r>
            <w:r>
              <w:rPr>
                <w:noProof/>
                <w:webHidden/>
              </w:rPr>
              <w:tab/>
            </w:r>
            <w:r>
              <w:rPr>
                <w:noProof/>
                <w:webHidden/>
              </w:rPr>
              <w:fldChar w:fldCharType="begin"/>
            </w:r>
            <w:r>
              <w:rPr>
                <w:noProof/>
                <w:webHidden/>
              </w:rPr>
              <w:instrText xml:space="preserve"> PAGEREF _Toc1989340 \h </w:instrText>
            </w:r>
            <w:r>
              <w:rPr>
                <w:noProof/>
                <w:webHidden/>
              </w:rPr>
            </w:r>
            <w:r>
              <w:rPr>
                <w:noProof/>
                <w:webHidden/>
              </w:rPr>
              <w:fldChar w:fldCharType="separate"/>
            </w:r>
            <w:r>
              <w:rPr>
                <w:noProof/>
                <w:webHidden/>
              </w:rPr>
              <w:t>5</w:t>
            </w:r>
            <w:r>
              <w:rPr>
                <w:noProof/>
                <w:webHidden/>
              </w:rPr>
              <w:fldChar w:fldCharType="end"/>
            </w:r>
          </w:hyperlink>
        </w:p>
        <w:p w:rsidR="0040214D" w:rsidRDefault="0040214D">
          <w:pPr>
            <w:pStyle w:val="TOC3"/>
            <w:rPr>
              <w:rFonts w:asciiTheme="minorHAnsi" w:eastAsiaTheme="minorEastAsia" w:hAnsiTheme="minorHAnsi" w:cstheme="minorBidi"/>
              <w:b w:val="0"/>
              <w:noProof/>
              <w:szCs w:val="22"/>
              <w:lang w:eastAsia="en-AU"/>
            </w:rPr>
          </w:pPr>
          <w:hyperlink w:anchor="_Toc1989341" w:history="1">
            <w:r w:rsidRPr="00316F48">
              <w:rPr>
                <w:rStyle w:val="Hyperlink"/>
                <w:noProof/>
              </w:rPr>
              <w:t>Factors for consideration of placing substances in Schedule 4 (prescription only) v Schedule 3 (pharmacist only)</w:t>
            </w:r>
            <w:r>
              <w:rPr>
                <w:noProof/>
                <w:webHidden/>
              </w:rPr>
              <w:tab/>
            </w:r>
            <w:r>
              <w:rPr>
                <w:noProof/>
                <w:webHidden/>
              </w:rPr>
              <w:fldChar w:fldCharType="begin"/>
            </w:r>
            <w:r>
              <w:rPr>
                <w:noProof/>
                <w:webHidden/>
              </w:rPr>
              <w:instrText xml:space="preserve"> PAGEREF _Toc1989341 \h </w:instrText>
            </w:r>
            <w:r>
              <w:rPr>
                <w:noProof/>
                <w:webHidden/>
              </w:rPr>
            </w:r>
            <w:r>
              <w:rPr>
                <w:noProof/>
                <w:webHidden/>
              </w:rPr>
              <w:fldChar w:fldCharType="separate"/>
            </w:r>
            <w:r>
              <w:rPr>
                <w:noProof/>
                <w:webHidden/>
              </w:rPr>
              <w:t>6</w:t>
            </w:r>
            <w:r>
              <w:rPr>
                <w:noProof/>
                <w:webHidden/>
              </w:rPr>
              <w:fldChar w:fldCharType="end"/>
            </w:r>
          </w:hyperlink>
        </w:p>
        <w:p w:rsidR="0040214D" w:rsidRDefault="0040214D">
          <w:pPr>
            <w:pStyle w:val="TOC3"/>
            <w:rPr>
              <w:rFonts w:asciiTheme="minorHAnsi" w:eastAsiaTheme="minorEastAsia" w:hAnsiTheme="minorHAnsi" w:cstheme="minorBidi"/>
              <w:b w:val="0"/>
              <w:noProof/>
              <w:szCs w:val="22"/>
              <w:lang w:eastAsia="en-AU"/>
            </w:rPr>
          </w:pPr>
          <w:hyperlink w:anchor="_Toc1989342" w:history="1">
            <w:r w:rsidRPr="00316F48">
              <w:rPr>
                <w:rStyle w:val="Hyperlink"/>
                <w:noProof/>
              </w:rPr>
              <w:t>Pro-active down scheduling</w:t>
            </w:r>
            <w:r>
              <w:rPr>
                <w:noProof/>
                <w:webHidden/>
              </w:rPr>
              <w:tab/>
            </w:r>
            <w:r>
              <w:rPr>
                <w:noProof/>
                <w:webHidden/>
              </w:rPr>
              <w:fldChar w:fldCharType="begin"/>
            </w:r>
            <w:r>
              <w:rPr>
                <w:noProof/>
                <w:webHidden/>
              </w:rPr>
              <w:instrText xml:space="preserve"> PAGEREF _Toc1989342 \h </w:instrText>
            </w:r>
            <w:r>
              <w:rPr>
                <w:noProof/>
                <w:webHidden/>
              </w:rPr>
            </w:r>
            <w:r>
              <w:rPr>
                <w:noProof/>
                <w:webHidden/>
              </w:rPr>
              <w:fldChar w:fldCharType="separate"/>
            </w:r>
            <w:r>
              <w:rPr>
                <w:noProof/>
                <w:webHidden/>
              </w:rPr>
              <w:t>6</w:t>
            </w:r>
            <w:r>
              <w:rPr>
                <w:noProof/>
                <w:webHidden/>
              </w:rPr>
              <w:fldChar w:fldCharType="end"/>
            </w:r>
          </w:hyperlink>
        </w:p>
        <w:p w:rsidR="0040214D" w:rsidRDefault="0040214D">
          <w:pPr>
            <w:pStyle w:val="TOC3"/>
            <w:rPr>
              <w:rFonts w:asciiTheme="minorHAnsi" w:eastAsiaTheme="minorEastAsia" w:hAnsiTheme="minorHAnsi" w:cstheme="minorBidi"/>
              <w:b w:val="0"/>
              <w:noProof/>
              <w:szCs w:val="22"/>
              <w:lang w:eastAsia="en-AU"/>
            </w:rPr>
          </w:pPr>
          <w:hyperlink w:anchor="_Toc1989343" w:history="1">
            <w:r w:rsidRPr="00316F48">
              <w:rPr>
                <w:rStyle w:val="Hyperlink"/>
                <w:noProof/>
              </w:rPr>
              <w:t>Non-medical prescribing</w:t>
            </w:r>
            <w:r>
              <w:rPr>
                <w:noProof/>
                <w:webHidden/>
              </w:rPr>
              <w:tab/>
            </w:r>
            <w:r>
              <w:rPr>
                <w:noProof/>
                <w:webHidden/>
              </w:rPr>
              <w:fldChar w:fldCharType="begin"/>
            </w:r>
            <w:r>
              <w:rPr>
                <w:noProof/>
                <w:webHidden/>
              </w:rPr>
              <w:instrText xml:space="preserve"> PAGEREF _Toc1989343 \h </w:instrText>
            </w:r>
            <w:r>
              <w:rPr>
                <w:noProof/>
                <w:webHidden/>
              </w:rPr>
            </w:r>
            <w:r>
              <w:rPr>
                <w:noProof/>
                <w:webHidden/>
              </w:rPr>
              <w:fldChar w:fldCharType="separate"/>
            </w:r>
            <w:r>
              <w:rPr>
                <w:noProof/>
                <w:webHidden/>
              </w:rPr>
              <w:t>6</w:t>
            </w:r>
            <w:r>
              <w:rPr>
                <w:noProof/>
                <w:webHidden/>
              </w:rPr>
              <w:fldChar w:fldCharType="end"/>
            </w:r>
          </w:hyperlink>
        </w:p>
        <w:p w:rsidR="0040214D" w:rsidRDefault="0040214D">
          <w:pPr>
            <w:pStyle w:val="TOC3"/>
            <w:rPr>
              <w:rFonts w:asciiTheme="minorHAnsi" w:eastAsiaTheme="minorEastAsia" w:hAnsiTheme="minorHAnsi" w:cstheme="minorBidi"/>
              <w:b w:val="0"/>
              <w:noProof/>
              <w:szCs w:val="22"/>
              <w:lang w:eastAsia="en-AU"/>
            </w:rPr>
          </w:pPr>
          <w:hyperlink w:anchor="_Toc1989344" w:history="1">
            <w:r w:rsidRPr="00316F48">
              <w:rPr>
                <w:rStyle w:val="Hyperlink"/>
                <w:noProof/>
              </w:rPr>
              <w:t>Pharmacist competency</w:t>
            </w:r>
            <w:r>
              <w:rPr>
                <w:noProof/>
                <w:webHidden/>
              </w:rPr>
              <w:tab/>
            </w:r>
            <w:r>
              <w:rPr>
                <w:noProof/>
                <w:webHidden/>
              </w:rPr>
              <w:fldChar w:fldCharType="begin"/>
            </w:r>
            <w:r>
              <w:rPr>
                <w:noProof/>
                <w:webHidden/>
              </w:rPr>
              <w:instrText xml:space="preserve"> PAGEREF _Toc1989344 \h </w:instrText>
            </w:r>
            <w:r>
              <w:rPr>
                <w:noProof/>
                <w:webHidden/>
              </w:rPr>
            </w:r>
            <w:r>
              <w:rPr>
                <w:noProof/>
                <w:webHidden/>
              </w:rPr>
              <w:fldChar w:fldCharType="separate"/>
            </w:r>
            <w:r>
              <w:rPr>
                <w:noProof/>
                <w:webHidden/>
              </w:rPr>
              <w:t>7</w:t>
            </w:r>
            <w:r>
              <w:rPr>
                <w:noProof/>
                <w:webHidden/>
              </w:rPr>
              <w:fldChar w:fldCharType="end"/>
            </w:r>
          </w:hyperlink>
        </w:p>
        <w:p w:rsidR="0040214D" w:rsidRDefault="0040214D">
          <w:pPr>
            <w:pStyle w:val="TOC2"/>
            <w:rPr>
              <w:rFonts w:asciiTheme="minorHAnsi" w:eastAsiaTheme="minorEastAsia" w:hAnsiTheme="minorHAnsi" w:cstheme="minorBidi"/>
              <w:b w:val="0"/>
              <w:noProof/>
              <w:sz w:val="22"/>
              <w:szCs w:val="22"/>
              <w:lang w:eastAsia="en-AU"/>
            </w:rPr>
          </w:pPr>
          <w:hyperlink w:anchor="_Toc1989345" w:history="1">
            <w:r w:rsidRPr="00316F48">
              <w:rPr>
                <w:rStyle w:val="Hyperlink"/>
                <w:noProof/>
              </w:rPr>
              <w:t>Specific criteria for inclusion in Appendix M</w:t>
            </w:r>
            <w:r>
              <w:rPr>
                <w:noProof/>
                <w:webHidden/>
              </w:rPr>
              <w:tab/>
            </w:r>
            <w:r>
              <w:rPr>
                <w:noProof/>
                <w:webHidden/>
              </w:rPr>
              <w:fldChar w:fldCharType="begin"/>
            </w:r>
            <w:r>
              <w:rPr>
                <w:noProof/>
                <w:webHidden/>
              </w:rPr>
              <w:instrText xml:space="preserve"> PAGEREF _Toc1989345 \h </w:instrText>
            </w:r>
            <w:r>
              <w:rPr>
                <w:noProof/>
                <w:webHidden/>
              </w:rPr>
            </w:r>
            <w:r>
              <w:rPr>
                <w:noProof/>
                <w:webHidden/>
              </w:rPr>
              <w:fldChar w:fldCharType="separate"/>
            </w:r>
            <w:r>
              <w:rPr>
                <w:noProof/>
                <w:webHidden/>
              </w:rPr>
              <w:t>8</w:t>
            </w:r>
            <w:r>
              <w:rPr>
                <w:noProof/>
                <w:webHidden/>
              </w:rPr>
              <w:fldChar w:fldCharType="end"/>
            </w:r>
          </w:hyperlink>
        </w:p>
        <w:p w:rsidR="0040214D" w:rsidRDefault="0040214D">
          <w:pPr>
            <w:pStyle w:val="TOC3"/>
            <w:rPr>
              <w:rFonts w:asciiTheme="minorHAnsi" w:eastAsiaTheme="minorEastAsia" w:hAnsiTheme="minorHAnsi" w:cstheme="minorBidi"/>
              <w:b w:val="0"/>
              <w:noProof/>
              <w:szCs w:val="22"/>
              <w:lang w:eastAsia="en-AU"/>
            </w:rPr>
          </w:pPr>
          <w:hyperlink w:anchor="_Toc1989346" w:history="1">
            <w:r w:rsidRPr="00316F48">
              <w:rPr>
                <w:rStyle w:val="Hyperlink"/>
                <w:noProof/>
              </w:rPr>
              <w:t>Proposed criteria</w:t>
            </w:r>
            <w:r>
              <w:rPr>
                <w:noProof/>
                <w:webHidden/>
              </w:rPr>
              <w:tab/>
            </w:r>
            <w:r>
              <w:rPr>
                <w:noProof/>
                <w:webHidden/>
              </w:rPr>
              <w:fldChar w:fldCharType="begin"/>
            </w:r>
            <w:r>
              <w:rPr>
                <w:noProof/>
                <w:webHidden/>
              </w:rPr>
              <w:instrText xml:space="preserve"> PAGEREF _Toc1989346 \h </w:instrText>
            </w:r>
            <w:r>
              <w:rPr>
                <w:noProof/>
                <w:webHidden/>
              </w:rPr>
            </w:r>
            <w:r>
              <w:rPr>
                <w:noProof/>
                <w:webHidden/>
              </w:rPr>
              <w:fldChar w:fldCharType="separate"/>
            </w:r>
            <w:r>
              <w:rPr>
                <w:noProof/>
                <w:webHidden/>
              </w:rPr>
              <w:t>9</w:t>
            </w:r>
            <w:r>
              <w:rPr>
                <w:noProof/>
                <w:webHidden/>
              </w:rPr>
              <w:fldChar w:fldCharType="end"/>
            </w:r>
          </w:hyperlink>
        </w:p>
        <w:p w:rsidR="0040214D" w:rsidRDefault="0040214D">
          <w:pPr>
            <w:pStyle w:val="TOC2"/>
            <w:rPr>
              <w:rFonts w:asciiTheme="minorHAnsi" w:eastAsiaTheme="minorEastAsia" w:hAnsiTheme="minorHAnsi" w:cstheme="minorBidi"/>
              <w:b w:val="0"/>
              <w:noProof/>
              <w:sz w:val="22"/>
              <w:szCs w:val="22"/>
              <w:lang w:eastAsia="en-AU"/>
            </w:rPr>
          </w:pPr>
          <w:hyperlink w:anchor="_Toc1989347" w:history="1">
            <w:r w:rsidRPr="00316F48">
              <w:rPr>
                <w:rStyle w:val="Hyperlink"/>
                <w:noProof/>
              </w:rPr>
              <w:t>Accompanying guidance for Appendix M</w:t>
            </w:r>
            <w:r>
              <w:rPr>
                <w:noProof/>
                <w:webHidden/>
              </w:rPr>
              <w:tab/>
            </w:r>
            <w:r>
              <w:rPr>
                <w:noProof/>
                <w:webHidden/>
              </w:rPr>
              <w:fldChar w:fldCharType="begin"/>
            </w:r>
            <w:r>
              <w:rPr>
                <w:noProof/>
                <w:webHidden/>
              </w:rPr>
              <w:instrText xml:space="preserve"> PAGEREF _Toc1989347 \h </w:instrText>
            </w:r>
            <w:r>
              <w:rPr>
                <w:noProof/>
                <w:webHidden/>
              </w:rPr>
            </w:r>
            <w:r>
              <w:rPr>
                <w:noProof/>
                <w:webHidden/>
              </w:rPr>
              <w:fldChar w:fldCharType="separate"/>
            </w:r>
            <w:r>
              <w:rPr>
                <w:noProof/>
                <w:webHidden/>
              </w:rPr>
              <w:t>11</w:t>
            </w:r>
            <w:r>
              <w:rPr>
                <w:noProof/>
                <w:webHidden/>
              </w:rPr>
              <w:fldChar w:fldCharType="end"/>
            </w:r>
          </w:hyperlink>
        </w:p>
        <w:p w:rsidR="0040214D" w:rsidRDefault="0040214D">
          <w:pPr>
            <w:pStyle w:val="TOC3"/>
            <w:rPr>
              <w:rFonts w:asciiTheme="minorHAnsi" w:eastAsiaTheme="minorEastAsia" w:hAnsiTheme="minorHAnsi" w:cstheme="minorBidi"/>
              <w:b w:val="0"/>
              <w:noProof/>
              <w:szCs w:val="22"/>
              <w:lang w:eastAsia="en-AU"/>
            </w:rPr>
          </w:pPr>
          <w:hyperlink w:anchor="_Toc1989348" w:history="1">
            <w:r w:rsidRPr="00316F48">
              <w:rPr>
                <w:rStyle w:val="Hyperlink"/>
                <w:noProof/>
              </w:rPr>
              <w:t>The Scheduling Policy Framework</w:t>
            </w:r>
            <w:r>
              <w:rPr>
                <w:noProof/>
                <w:webHidden/>
              </w:rPr>
              <w:tab/>
            </w:r>
            <w:r>
              <w:rPr>
                <w:noProof/>
                <w:webHidden/>
              </w:rPr>
              <w:fldChar w:fldCharType="begin"/>
            </w:r>
            <w:r>
              <w:rPr>
                <w:noProof/>
                <w:webHidden/>
              </w:rPr>
              <w:instrText xml:space="preserve"> PAGEREF _Toc1989348 \h </w:instrText>
            </w:r>
            <w:r>
              <w:rPr>
                <w:noProof/>
                <w:webHidden/>
              </w:rPr>
            </w:r>
            <w:r>
              <w:rPr>
                <w:noProof/>
                <w:webHidden/>
              </w:rPr>
              <w:fldChar w:fldCharType="separate"/>
            </w:r>
            <w:r>
              <w:rPr>
                <w:noProof/>
                <w:webHidden/>
              </w:rPr>
              <w:t>11</w:t>
            </w:r>
            <w:r>
              <w:rPr>
                <w:noProof/>
                <w:webHidden/>
              </w:rPr>
              <w:fldChar w:fldCharType="end"/>
            </w:r>
          </w:hyperlink>
        </w:p>
        <w:p w:rsidR="0040214D" w:rsidRDefault="0040214D">
          <w:pPr>
            <w:pStyle w:val="TOC3"/>
            <w:rPr>
              <w:rFonts w:asciiTheme="minorHAnsi" w:eastAsiaTheme="minorEastAsia" w:hAnsiTheme="minorHAnsi" w:cstheme="minorBidi"/>
              <w:b w:val="0"/>
              <w:noProof/>
              <w:szCs w:val="22"/>
              <w:lang w:eastAsia="en-AU"/>
            </w:rPr>
          </w:pPr>
          <w:hyperlink w:anchor="_Toc1989349" w:history="1">
            <w:r w:rsidRPr="00316F48">
              <w:rPr>
                <w:rStyle w:val="Hyperlink"/>
                <w:noProof/>
              </w:rPr>
              <w:t>The Scheduling Handbook</w:t>
            </w:r>
            <w:r>
              <w:rPr>
                <w:noProof/>
                <w:webHidden/>
              </w:rPr>
              <w:tab/>
            </w:r>
            <w:r>
              <w:rPr>
                <w:noProof/>
                <w:webHidden/>
              </w:rPr>
              <w:fldChar w:fldCharType="begin"/>
            </w:r>
            <w:r>
              <w:rPr>
                <w:noProof/>
                <w:webHidden/>
              </w:rPr>
              <w:instrText xml:space="preserve"> PAGEREF _Toc1989349 \h </w:instrText>
            </w:r>
            <w:r>
              <w:rPr>
                <w:noProof/>
                <w:webHidden/>
              </w:rPr>
            </w:r>
            <w:r>
              <w:rPr>
                <w:noProof/>
                <w:webHidden/>
              </w:rPr>
              <w:fldChar w:fldCharType="separate"/>
            </w:r>
            <w:r>
              <w:rPr>
                <w:noProof/>
                <w:webHidden/>
              </w:rPr>
              <w:t>11</w:t>
            </w:r>
            <w:r>
              <w:rPr>
                <w:noProof/>
                <w:webHidden/>
              </w:rPr>
              <w:fldChar w:fldCharType="end"/>
            </w:r>
          </w:hyperlink>
        </w:p>
        <w:p w:rsidR="0040214D" w:rsidRDefault="0040214D">
          <w:pPr>
            <w:pStyle w:val="TOC3"/>
            <w:rPr>
              <w:rFonts w:asciiTheme="minorHAnsi" w:eastAsiaTheme="minorEastAsia" w:hAnsiTheme="minorHAnsi" w:cstheme="minorBidi"/>
              <w:b w:val="0"/>
              <w:noProof/>
              <w:szCs w:val="22"/>
              <w:lang w:eastAsia="en-AU"/>
            </w:rPr>
          </w:pPr>
          <w:hyperlink w:anchor="_Toc1989350" w:history="1">
            <w:r w:rsidRPr="00316F48">
              <w:rPr>
                <w:rStyle w:val="Hyperlink"/>
                <w:noProof/>
              </w:rPr>
              <w:t>The application to amend the Poisons Standard</w:t>
            </w:r>
            <w:r>
              <w:rPr>
                <w:noProof/>
                <w:webHidden/>
              </w:rPr>
              <w:tab/>
            </w:r>
            <w:r>
              <w:rPr>
                <w:noProof/>
                <w:webHidden/>
              </w:rPr>
              <w:fldChar w:fldCharType="begin"/>
            </w:r>
            <w:r>
              <w:rPr>
                <w:noProof/>
                <w:webHidden/>
              </w:rPr>
              <w:instrText xml:space="preserve"> PAGEREF _Toc1989350 \h </w:instrText>
            </w:r>
            <w:r>
              <w:rPr>
                <w:noProof/>
                <w:webHidden/>
              </w:rPr>
            </w:r>
            <w:r>
              <w:rPr>
                <w:noProof/>
                <w:webHidden/>
              </w:rPr>
              <w:fldChar w:fldCharType="separate"/>
            </w:r>
            <w:r>
              <w:rPr>
                <w:noProof/>
                <w:webHidden/>
              </w:rPr>
              <w:t>12</w:t>
            </w:r>
            <w:r>
              <w:rPr>
                <w:noProof/>
                <w:webHidden/>
              </w:rPr>
              <w:fldChar w:fldCharType="end"/>
            </w:r>
          </w:hyperlink>
        </w:p>
        <w:p w:rsidR="0040214D" w:rsidRDefault="0040214D">
          <w:pPr>
            <w:pStyle w:val="TOC2"/>
            <w:rPr>
              <w:rFonts w:asciiTheme="minorHAnsi" w:eastAsiaTheme="minorEastAsia" w:hAnsiTheme="minorHAnsi" w:cstheme="minorBidi"/>
              <w:b w:val="0"/>
              <w:noProof/>
              <w:sz w:val="22"/>
              <w:szCs w:val="22"/>
              <w:lang w:eastAsia="en-AU"/>
            </w:rPr>
          </w:pPr>
          <w:hyperlink w:anchor="_Toc1989351" w:history="1">
            <w:r w:rsidRPr="00316F48">
              <w:rPr>
                <w:rStyle w:val="Hyperlink"/>
                <w:noProof/>
              </w:rPr>
              <w:t>Monitoring, evaluation, compliance and enforcement of Appendix M</w:t>
            </w:r>
            <w:r>
              <w:rPr>
                <w:noProof/>
                <w:webHidden/>
              </w:rPr>
              <w:tab/>
            </w:r>
            <w:r>
              <w:rPr>
                <w:noProof/>
                <w:webHidden/>
              </w:rPr>
              <w:fldChar w:fldCharType="begin"/>
            </w:r>
            <w:r>
              <w:rPr>
                <w:noProof/>
                <w:webHidden/>
              </w:rPr>
              <w:instrText xml:space="preserve"> PAGEREF _Toc1989351 \h </w:instrText>
            </w:r>
            <w:r>
              <w:rPr>
                <w:noProof/>
                <w:webHidden/>
              </w:rPr>
            </w:r>
            <w:r>
              <w:rPr>
                <w:noProof/>
                <w:webHidden/>
              </w:rPr>
              <w:fldChar w:fldCharType="separate"/>
            </w:r>
            <w:r>
              <w:rPr>
                <w:noProof/>
                <w:webHidden/>
              </w:rPr>
              <w:t>13</w:t>
            </w:r>
            <w:r>
              <w:rPr>
                <w:noProof/>
                <w:webHidden/>
              </w:rPr>
              <w:fldChar w:fldCharType="end"/>
            </w:r>
          </w:hyperlink>
        </w:p>
        <w:p w:rsidR="0040214D" w:rsidRDefault="0040214D">
          <w:pPr>
            <w:pStyle w:val="TOC3"/>
            <w:rPr>
              <w:rFonts w:asciiTheme="minorHAnsi" w:eastAsiaTheme="minorEastAsia" w:hAnsiTheme="minorHAnsi" w:cstheme="minorBidi"/>
              <w:b w:val="0"/>
              <w:noProof/>
              <w:szCs w:val="22"/>
              <w:lang w:eastAsia="en-AU"/>
            </w:rPr>
          </w:pPr>
          <w:hyperlink w:anchor="_Toc1989352" w:history="1">
            <w:r w:rsidRPr="00316F48">
              <w:rPr>
                <w:rStyle w:val="Hyperlink"/>
                <w:noProof/>
              </w:rPr>
              <w:t>Monitoring and evaluation</w:t>
            </w:r>
            <w:r>
              <w:rPr>
                <w:noProof/>
                <w:webHidden/>
              </w:rPr>
              <w:tab/>
            </w:r>
            <w:r>
              <w:rPr>
                <w:noProof/>
                <w:webHidden/>
              </w:rPr>
              <w:fldChar w:fldCharType="begin"/>
            </w:r>
            <w:r>
              <w:rPr>
                <w:noProof/>
                <w:webHidden/>
              </w:rPr>
              <w:instrText xml:space="preserve"> PAGEREF _Toc1989352 \h </w:instrText>
            </w:r>
            <w:r>
              <w:rPr>
                <w:noProof/>
                <w:webHidden/>
              </w:rPr>
            </w:r>
            <w:r>
              <w:rPr>
                <w:noProof/>
                <w:webHidden/>
              </w:rPr>
              <w:fldChar w:fldCharType="separate"/>
            </w:r>
            <w:r>
              <w:rPr>
                <w:noProof/>
                <w:webHidden/>
              </w:rPr>
              <w:t>13</w:t>
            </w:r>
            <w:r>
              <w:rPr>
                <w:noProof/>
                <w:webHidden/>
              </w:rPr>
              <w:fldChar w:fldCharType="end"/>
            </w:r>
          </w:hyperlink>
        </w:p>
        <w:p w:rsidR="0040214D" w:rsidRDefault="0040214D">
          <w:pPr>
            <w:pStyle w:val="TOC3"/>
            <w:rPr>
              <w:rFonts w:asciiTheme="minorHAnsi" w:eastAsiaTheme="minorEastAsia" w:hAnsiTheme="minorHAnsi" w:cstheme="minorBidi"/>
              <w:b w:val="0"/>
              <w:noProof/>
              <w:szCs w:val="22"/>
              <w:lang w:eastAsia="en-AU"/>
            </w:rPr>
          </w:pPr>
          <w:hyperlink w:anchor="_Toc1989353" w:history="1">
            <w:r w:rsidRPr="00316F48">
              <w:rPr>
                <w:rStyle w:val="Hyperlink"/>
                <w:noProof/>
              </w:rPr>
              <w:t>Compliance and enforcement</w:t>
            </w:r>
            <w:r>
              <w:rPr>
                <w:noProof/>
                <w:webHidden/>
              </w:rPr>
              <w:tab/>
            </w:r>
            <w:r>
              <w:rPr>
                <w:noProof/>
                <w:webHidden/>
              </w:rPr>
              <w:fldChar w:fldCharType="begin"/>
            </w:r>
            <w:r>
              <w:rPr>
                <w:noProof/>
                <w:webHidden/>
              </w:rPr>
              <w:instrText xml:space="preserve"> PAGEREF _Toc1989353 \h </w:instrText>
            </w:r>
            <w:r>
              <w:rPr>
                <w:noProof/>
                <w:webHidden/>
              </w:rPr>
            </w:r>
            <w:r>
              <w:rPr>
                <w:noProof/>
                <w:webHidden/>
              </w:rPr>
              <w:fldChar w:fldCharType="separate"/>
            </w:r>
            <w:r>
              <w:rPr>
                <w:noProof/>
                <w:webHidden/>
              </w:rPr>
              <w:t>13</w:t>
            </w:r>
            <w:r>
              <w:rPr>
                <w:noProof/>
                <w:webHidden/>
              </w:rPr>
              <w:fldChar w:fldCharType="end"/>
            </w:r>
          </w:hyperlink>
        </w:p>
        <w:p w:rsidR="0040214D" w:rsidRDefault="0040214D">
          <w:pPr>
            <w:pStyle w:val="TOC2"/>
            <w:rPr>
              <w:rFonts w:asciiTheme="minorHAnsi" w:eastAsiaTheme="minorEastAsia" w:hAnsiTheme="minorHAnsi" w:cstheme="minorBidi"/>
              <w:b w:val="0"/>
              <w:noProof/>
              <w:sz w:val="22"/>
              <w:szCs w:val="22"/>
              <w:lang w:eastAsia="en-AU"/>
            </w:rPr>
          </w:pPr>
          <w:hyperlink w:anchor="_Toc1989354" w:history="1">
            <w:r w:rsidRPr="00316F48">
              <w:rPr>
                <w:rStyle w:val="Hyperlink"/>
                <w:noProof/>
              </w:rPr>
              <w:t>What will happen after the consultation?</w:t>
            </w:r>
            <w:r>
              <w:rPr>
                <w:noProof/>
                <w:webHidden/>
              </w:rPr>
              <w:tab/>
            </w:r>
            <w:r>
              <w:rPr>
                <w:noProof/>
                <w:webHidden/>
              </w:rPr>
              <w:fldChar w:fldCharType="begin"/>
            </w:r>
            <w:r>
              <w:rPr>
                <w:noProof/>
                <w:webHidden/>
              </w:rPr>
              <w:instrText xml:space="preserve"> PAGEREF _Toc1989354 \h </w:instrText>
            </w:r>
            <w:r>
              <w:rPr>
                <w:noProof/>
                <w:webHidden/>
              </w:rPr>
            </w:r>
            <w:r>
              <w:rPr>
                <w:noProof/>
                <w:webHidden/>
              </w:rPr>
              <w:fldChar w:fldCharType="separate"/>
            </w:r>
            <w:r>
              <w:rPr>
                <w:noProof/>
                <w:webHidden/>
              </w:rPr>
              <w:t>14</w:t>
            </w:r>
            <w:r>
              <w:rPr>
                <w:noProof/>
                <w:webHidden/>
              </w:rPr>
              <w:fldChar w:fldCharType="end"/>
            </w:r>
          </w:hyperlink>
        </w:p>
        <w:p w:rsidR="00545A3A" w:rsidRDefault="00545A3A">
          <w:r>
            <w:rPr>
              <w:b/>
              <w:bCs/>
              <w:noProof/>
            </w:rPr>
            <w:fldChar w:fldCharType="end"/>
          </w:r>
        </w:p>
      </w:sdtContent>
    </w:sdt>
    <w:p w:rsidR="00853A5E" w:rsidRDefault="00545A3A" w:rsidP="00BB0B55">
      <w:pPr>
        <w:pStyle w:val="Heading2"/>
        <w:pageBreakBefore/>
        <w:spacing w:before="0"/>
      </w:pPr>
      <w:bookmarkStart w:id="2" w:name="_Toc534986777"/>
      <w:bookmarkStart w:id="3" w:name="_Toc1989338"/>
      <w:r>
        <w:lastRenderedPageBreak/>
        <w:t>Executive s</w:t>
      </w:r>
      <w:r w:rsidR="00853A5E">
        <w:t>ummary</w:t>
      </w:r>
      <w:bookmarkEnd w:id="2"/>
      <w:bookmarkEnd w:id="3"/>
    </w:p>
    <w:p w:rsidR="00330AEA" w:rsidRDefault="00330AEA" w:rsidP="00BB0B55">
      <w:r>
        <w:t>Following AHMAC endorsement, as of 1 January 2018</w:t>
      </w:r>
      <w:r w:rsidR="007514DB">
        <w:t xml:space="preserve"> a provision for</w:t>
      </w:r>
      <w:r>
        <w:t xml:space="preserve"> </w:t>
      </w:r>
      <w:r w:rsidR="00AE3DA8">
        <w:t xml:space="preserve">an </w:t>
      </w:r>
      <w:r>
        <w:t>Appendix M was included in t</w:t>
      </w:r>
      <w:r w:rsidRPr="00050241">
        <w:t>he</w:t>
      </w:r>
      <w:r w:rsidRPr="00C670E8">
        <w:t xml:space="preserve"> </w:t>
      </w:r>
      <w:r>
        <w:t xml:space="preserve">Standard for the Uniform Scheduling of Medicines and Poisons (the </w:t>
      </w:r>
      <w:hyperlink r:id="rId14" w:history="1">
        <w:r w:rsidRPr="00596D6C">
          <w:rPr>
            <w:rStyle w:val="Hyperlink"/>
          </w:rPr>
          <w:t>Poisons Standard</w:t>
        </w:r>
      </w:hyperlink>
      <w:r>
        <w:rPr>
          <w:rStyle w:val="Hyperlink"/>
        </w:rPr>
        <w:t>)</w:t>
      </w:r>
      <w:r>
        <w:t xml:space="preserve">. </w:t>
      </w:r>
      <w:r w:rsidR="00150DAC">
        <w:t>Appendix M appears</w:t>
      </w:r>
      <w:r w:rsidR="00053446">
        <w:t xml:space="preserve"> in the Poisons Standard as of 1</w:t>
      </w:r>
      <w:r w:rsidR="00150DAC">
        <w:t xml:space="preserve"> February 2019</w:t>
      </w:r>
      <w:r w:rsidR="00053446">
        <w:t xml:space="preserve">. </w:t>
      </w:r>
      <w:r w:rsidR="003D0312">
        <w:t xml:space="preserve">Appendix M provides for the </w:t>
      </w:r>
      <w:r w:rsidR="00D10010">
        <w:t>imposition</w:t>
      </w:r>
      <w:r w:rsidR="003D0312">
        <w:t xml:space="preserve"> of additional conditions on Schedule 3 </w:t>
      </w:r>
      <w:r w:rsidR="00AE3DA8">
        <w:t xml:space="preserve">(pharmacist only) substances to </w:t>
      </w:r>
      <w:r w:rsidR="00EE5764">
        <w:t>support their down-scheduling (‘switching’</w:t>
      </w:r>
      <w:r w:rsidR="00AE3DA8">
        <w:t>) from Schedule 4 (prescription only)</w:t>
      </w:r>
      <w:r w:rsidR="003D0312">
        <w:t xml:space="preserve">. </w:t>
      </w:r>
      <w:r>
        <w:t xml:space="preserve">An </w:t>
      </w:r>
      <w:r w:rsidRPr="00587CFD">
        <w:rPr>
          <w:i/>
        </w:rPr>
        <w:t xml:space="preserve">ad </w:t>
      </w:r>
      <w:r w:rsidR="00DD4595" w:rsidRPr="00587CFD">
        <w:rPr>
          <w:i/>
        </w:rPr>
        <w:t>hoc</w:t>
      </w:r>
      <w:r w:rsidR="00DD4595">
        <w:t xml:space="preserve"> working group was formed</w:t>
      </w:r>
      <w:r w:rsidR="007514DB">
        <w:t xml:space="preserve"> in </w:t>
      </w:r>
      <w:r w:rsidR="00AE3DA8">
        <w:t>February</w:t>
      </w:r>
      <w:r w:rsidR="007514DB">
        <w:t xml:space="preserve"> 2018</w:t>
      </w:r>
      <w:r w:rsidR="00DD4595">
        <w:t xml:space="preserve"> to </w:t>
      </w:r>
      <w:r w:rsidR="00AE3DA8">
        <w:t xml:space="preserve">identify an appropriate regulatory framework to enable greater advertising of medicines containing Schedule 3 substances; to identify potential Schedule 3 substances that may be suitable for advertising; to </w:t>
      </w:r>
      <w:r w:rsidR="004562A1">
        <w:t xml:space="preserve">identify suitable candidates for consideration for switch from Schedule 4 to Schedule 3 and to </w:t>
      </w:r>
      <w:r w:rsidR="00DD4595">
        <w:t>develop criteria for the use of Appendix M.</w:t>
      </w:r>
    </w:p>
    <w:p w:rsidR="004562A1" w:rsidRDefault="003D0312" w:rsidP="00BB0B55">
      <w:r>
        <w:t xml:space="preserve">At </w:t>
      </w:r>
      <w:r w:rsidR="00AE3DA8">
        <w:t xml:space="preserve">a December 2018 </w:t>
      </w:r>
      <w:r>
        <w:t xml:space="preserve">meeting </w:t>
      </w:r>
      <w:r w:rsidR="00AE3DA8">
        <w:t xml:space="preserve">which was </w:t>
      </w:r>
      <w:r w:rsidR="004562A1">
        <w:t xml:space="preserve">focussed on the last of these tasks, </w:t>
      </w:r>
      <w:r>
        <w:t xml:space="preserve">it was agreed that public consultation on the </w:t>
      </w:r>
      <w:r w:rsidR="004562A1">
        <w:t xml:space="preserve">subject </w:t>
      </w:r>
      <w:r>
        <w:t xml:space="preserve">was </w:t>
      </w:r>
      <w:r w:rsidR="004562A1">
        <w:t>appropriate</w:t>
      </w:r>
      <w:r>
        <w:t>. This paper outlines a potential framework for Appendix M criteria and related guidance.</w:t>
      </w:r>
      <w:r w:rsidR="004562A1">
        <w:t xml:space="preserve"> Your consideration and advice is sought on the practicality, reasonableness and utility of the proposed framework.</w:t>
      </w:r>
    </w:p>
    <w:p w:rsidR="000E00F0" w:rsidRDefault="000E00F0" w:rsidP="00150DAC">
      <w:pPr>
        <w:spacing w:line="240" w:lineRule="auto"/>
        <w:ind w:left="1418"/>
      </w:pPr>
      <w:r>
        <w:rPr>
          <w:noProof/>
          <w:lang w:eastAsia="en-AU"/>
        </w:rPr>
        <w:drawing>
          <wp:inline distT="0" distB="0" distL="0" distR="0" wp14:anchorId="76D8FA78" wp14:editId="7D0DB345">
            <wp:extent cx="3657600" cy="4897582"/>
            <wp:effectExtent l="19050" t="0" r="57150" b="17780"/>
            <wp:docPr id="5" name="Diagram 5" descr="Part 1: The ability of the Delegate to require additional controls or supply requirements for certain Schedule 3 substances under Appendix M is noted in the Scheduling Policy Framework&#10;&#10;Part 2: Criteria for Appendix M (ie applicable interventions/additional requirements that might be applied) will be detailed in the Scheduling Handbook&#10;&#10;Part 3: The Application to Amend the Poisons Standard will provide  guidance to applicants on information required to support their application for Appendix M inclusion&#10;&#10;Part 4: Responsibility for monitoring, evaluation, compliance and enforcement of the supply of Appendix M goods by pharmacists will predominantly reside with State and Territory Regulators and the Pharmacy Board, as is the case with other regulated medicines.&#10;&#10;&#10;" title="Flowchart: Framework for Appendix M"/>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5" r:lo="rId16" r:qs="rId17" r:cs="rId18"/>
              </a:graphicData>
            </a:graphic>
          </wp:inline>
        </w:drawing>
      </w:r>
    </w:p>
    <w:p w:rsidR="008524C5" w:rsidRDefault="008524C5" w:rsidP="00BB0B55">
      <w:pPr>
        <w:pStyle w:val="Heading2"/>
      </w:pPr>
      <w:bookmarkStart w:id="4" w:name="_Toc534986778"/>
      <w:bookmarkStart w:id="5" w:name="_Toc1989339"/>
      <w:r w:rsidRPr="00BB0B55">
        <w:lastRenderedPageBreak/>
        <w:t>Purpose</w:t>
      </w:r>
      <w:bookmarkEnd w:id="4"/>
      <w:bookmarkEnd w:id="5"/>
    </w:p>
    <w:p w:rsidR="00B13911" w:rsidRDefault="008524C5" w:rsidP="00545A3A">
      <w:r>
        <w:t xml:space="preserve">The purpose of this consultation paper is to seek feedback on the proposed criteria, accompanying guidance and plans for monitoring </w:t>
      </w:r>
      <w:r w:rsidR="00644928">
        <w:t xml:space="preserve">of </w:t>
      </w:r>
      <w:r w:rsidR="004562A1">
        <w:t>the supply of Sch</w:t>
      </w:r>
      <w:r w:rsidR="0064794F">
        <w:t>e</w:t>
      </w:r>
      <w:r w:rsidR="004562A1">
        <w:t xml:space="preserve">dule 3 </w:t>
      </w:r>
      <w:r w:rsidR="00BC26B7">
        <w:t xml:space="preserve">(S3) </w:t>
      </w:r>
      <w:r w:rsidR="004562A1">
        <w:t xml:space="preserve">Pharmacist only - </w:t>
      </w:r>
      <w:r>
        <w:t>Appendix M substances.</w:t>
      </w:r>
    </w:p>
    <w:p w:rsidR="00DD76CC" w:rsidRDefault="003F5F99" w:rsidP="00BB0B55">
      <w:r>
        <w:t xml:space="preserve">Appendix M </w:t>
      </w:r>
      <w:r w:rsidR="0064794F">
        <w:t xml:space="preserve">is intended to </w:t>
      </w:r>
      <w:r>
        <w:t xml:space="preserve">include substances that have </w:t>
      </w:r>
      <w:r w:rsidR="004562A1">
        <w:t xml:space="preserve">formerly </w:t>
      </w:r>
      <w:r>
        <w:t>been scheduled as S</w:t>
      </w:r>
      <w:r w:rsidR="00BC26B7">
        <w:t xml:space="preserve">chedule </w:t>
      </w:r>
      <w:r>
        <w:t>4</w:t>
      </w:r>
      <w:r w:rsidR="00BC26B7">
        <w:t xml:space="preserve"> (S4)</w:t>
      </w:r>
      <w:r>
        <w:t xml:space="preserve"> and have required a prescription by a medical practitioner</w:t>
      </w:r>
      <w:r w:rsidR="00BC26B7">
        <w:t>,</w:t>
      </w:r>
      <w:r>
        <w:t xml:space="preserve"> but </w:t>
      </w:r>
      <w:r w:rsidR="0064794F">
        <w:t xml:space="preserve">if rescheduled to S3 </w:t>
      </w:r>
      <w:r>
        <w:t>c</w:t>
      </w:r>
      <w:r w:rsidR="00DD76CC">
        <w:t>ould</w:t>
      </w:r>
      <w:r>
        <w:t xml:space="preserve"> be dispensed by a pharmacist where </w:t>
      </w:r>
      <w:r w:rsidR="0064794F">
        <w:t xml:space="preserve">specific </w:t>
      </w:r>
      <w:r>
        <w:t xml:space="preserve">strict controls are in place that ensure safe use. </w:t>
      </w:r>
      <w:r w:rsidR="0064794F">
        <w:t>It is not intended that Appendix M controls would be routinely required for medicines that are rescheduled from S4 to S3.</w:t>
      </w:r>
    </w:p>
    <w:p w:rsidR="004462FE" w:rsidRDefault="0064794F" w:rsidP="00545A3A">
      <w:r w:rsidRPr="00587CFD">
        <w:t xml:space="preserve">The aim of this consultation is to </w:t>
      </w:r>
      <w:r w:rsidR="004560BE" w:rsidRPr="00587CFD">
        <w:t xml:space="preserve">establish </w:t>
      </w:r>
      <w:r w:rsidRPr="00587CFD">
        <w:t xml:space="preserve">specific </w:t>
      </w:r>
      <w:r w:rsidR="00B13911" w:rsidRPr="00587CFD">
        <w:t xml:space="preserve">principles for when a S4 medicine could be considered for </w:t>
      </w:r>
      <w:r w:rsidR="004560BE" w:rsidRPr="00587CFD">
        <w:t xml:space="preserve">rescheduling to S3 with additional </w:t>
      </w:r>
      <w:r w:rsidR="00B13911" w:rsidRPr="00587CFD">
        <w:t>Appendix M</w:t>
      </w:r>
      <w:r w:rsidR="004560BE" w:rsidRPr="00587CFD">
        <w:t xml:space="preserve"> conditions</w:t>
      </w:r>
      <w:r w:rsidR="004462FE">
        <w:t>, and to establish a framework for the development of guidance to applicants on considerations and required information to be included in any application to reschedule goods from S4 to S3 with additional Appendix M conditions</w:t>
      </w:r>
      <w:r w:rsidR="00B13911" w:rsidRPr="00587CFD">
        <w:t>.</w:t>
      </w:r>
      <w:r w:rsidR="004462FE">
        <w:t xml:space="preserve"> It should be emphasised that applicants will be expected to have canvassed </w:t>
      </w:r>
      <w:r w:rsidR="00A005C6">
        <w:t xml:space="preserve">the </w:t>
      </w:r>
      <w:r w:rsidR="004462FE">
        <w:t>possible operation and implications of any proposed Appendix M conditions with relevant professional bodies</w:t>
      </w:r>
      <w:r w:rsidR="00A005C6">
        <w:t xml:space="preserve"> and other stakeholders</w:t>
      </w:r>
      <w:r w:rsidR="004462FE">
        <w:t xml:space="preserve"> prior</w:t>
      </w:r>
      <w:r w:rsidR="00A005C6">
        <w:t xml:space="preserve"> to submitting an application to </w:t>
      </w:r>
      <w:r w:rsidR="00316C77">
        <w:t>down schedule</w:t>
      </w:r>
      <w:r w:rsidR="00A005C6">
        <w:t xml:space="preserve"> their goods from S4, where Appendix M controls are anticipated.</w:t>
      </w:r>
    </w:p>
    <w:p w:rsidR="00587CFD" w:rsidRPr="00587CFD" w:rsidRDefault="00BE19FA" w:rsidP="00BB0B55">
      <w:pPr>
        <w:rPr>
          <w:b/>
        </w:rPr>
      </w:pPr>
      <w:r w:rsidRPr="00587CFD">
        <w:t>Please note</w:t>
      </w:r>
      <w:r w:rsidR="004560BE" w:rsidRPr="00587CFD">
        <w:t xml:space="preserve"> that</w:t>
      </w:r>
      <w:r w:rsidRPr="00587CFD">
        <w:t xml:space="preserve"> comment is not sought on </w:t>
      </w:r>
      <w:r w:rsidR="00587CFD">
        <w:t xml:space="preserve">the </w:t>
      </w:r>
      <w:r w:rsidRPr="00587CFD">
        <w:t>existing scheduling factors for S3 and S4</w:t>
      </w:r>
      <w:bookmarkStart w:id="6" w:name="_Toc534986779"/>
      <w:r w:rsidR="00BB0B55">
        <w:t xml:space="preserve"> substances.</w:t>
      </w:r>
    </w:p>
    <w:p w:rsidR="001525B4" w:rsidRPr="00207A30" w:rsidRDefault="00CF25B6" w:rsidP="00BB0B55">
      <w:pPr>
        <w:pStyle w:val="Heading2"/>
      </w:pPr>
      <w:bookmarkStart w:id="7" w:name="_Toc1989340"/>
      <w:r w:rsidRPr="00BB0B55">
        <w:t>Background</w:t>
      </w:r>
      <w:bookmarkEnd w:id="6"/>
      <w:bookmarkEnd w:id="7"/>
    </w:p>
    <w:p w:rsidR="00E14AC4" w:rsidRPr="00BB0B55" w:rsidRDefault="0043490A" w:rsidP="00BB0B55">
      <w:r>
        <w:t xml:space="preserve">In January 2018, </w:t>
      </w:r>
      <w:r w:rsidR="004560BE">
        <w:t xml:space="preserve">a </w:t>
      </w:r>
      <w:r>
        <w:t xml:space="preserve">revised </w:t>
      </w:r>
      <w:hyperlink r:id="rId20" w:history="1">
        <w:r w:rsidRPr="001B67A6">
          <w:rPr>
            <w:rStyle w:val="Hyperlink"/>
          </w:rPr>
          <w:t>Scheduling Policy Framework (SPF)</w:t>
        </w:r>
      </w:hyperlink>
      <w:r>
        <w:t xml:space="preserve"> wa</w:t>
      </w:r>
      <w:r w:rsidR="00C12B9C">
        <w:t>s published and came into force, including</w:t>
      </w:r>
      <w:r w:rsidR="007514DB">
        <w:t xml:space="preserve"> provision for </w:t>
      </w:r>
      <w:r w:rsidR="002E6CAD">
        <w:t>a</w:t>
      </w:r>
      <w:r w:rsidR="00C12B9C">
        <w:t xml:space="preserve"> new Appendix M.</w:t>
      </w:r>
      <w:r>
        <w:t xml:space="preserve"> </w:t>
      </w:r>
      <w:r w:rsidR="007514DB">
        <w:t>Appendix M appear</w:t>
      </w:r>
      <w:r w:rsidR="00D75772">
        <w:t>s</w:t>
      </w:r>
      <w:r w:rsidR="007514DB">
        <w:t xml:space="preserve"> in the Poisons Standard from</w:t>
      </w:r>
      <w:r w:rsidR="00150DAC">
        <w:t xml:space="preserve"> </w:t>
      </w:r>
      <w:r w:rsidR="007514DB">
        <w:t>February 2019</w:t>
      </w:r>
      <w:r w:rsidR="00BF19C3">
        <w:t xml:space="preserve"> with the heading “additional controls or supply requirements for poisons included in Schedule 3 to allow them to be provided by a pharmacist”</w:t>
      </w:r>
      <w:r w:rsidR="002E6CAD">
        <w:t>.</w:t>
      </w:r>
    </w:p>
    <w:p w:rsidR="008C3C62" w:rsidRDefault="001B67A6" w:rsidP="00BB0B55">
      <w:r>
        <w:t xml:space="preserve">Conceptually, it is envisaged that </w:t>
      </w:r>
      <w:r w:rsidR="00C12B9C">
        <w:t>A</w:t>
      </w:r>
      <w:r w:rsidR="00C12B9C" w:rsidRPr="0048564F">
        <w:t>ppendix</w:t>
      </w:r>
      <w:r w:rsidR="00C12B9C">
        <w:t xml:space="preserve"> M </w:t>
      </w:r>
      <w:r w:rsidR="00C12B9C" w:rsidRPr="0048564F">
        <w:t>will</w:t>
      </w:r>
      <w:r w:rsidR="00C12B9C">
        <w:t xml:space="preserve"> </w:t>
      </w:r>
      <w:r w:rsidR="00C12B9C" w:rsidRPr="0048564F">
        <w:t>function</w:t>
      </w:r>
      <w:r w:rsidR="00C12B9C">
        <w:t xml:space="preserve"> </w:t>
      </w:r>
      <w:r w:rsidR="00C12B9C" w:rsidRPr="0048564F">
        <w:t>in</w:t>
      </w:r>
      <w:r w:rsidR="00C12B9C">
        <w:t xml:space="preserve"> </w:t>
      </w:r>
      <w:r w:rsidR="00C12B9C" w:rsidRPr="0048564F">
        <w:t>a</w:t>
      </w:r>
      <w:r w:rsidR="00C12B9C">
        <w:t xml:space="preserve"> </w:t>
      </w:r>
      <w:r w:rsidR="00C12B9C" w:rsidRPr="0048564F">
        <w:t>similar</w:t>
      </w:r>
      <w:r w:rsidR="00C12B9C">
        <w:t xml:space="preserve"> </w:t>
      </w:r>
      <w:r w:rsidR="00C12B9C" w:rsidRPr="0048564F">
        <w:t>manner</w:t>
      </w:r>
      <w:r w:rsidR="00C12B9C">
        <w:t xml:space="preserve"> </w:t>
      </w:r>
      <w:r w:rsidR="00C12B9C" w:rsidRPr="0048564F">
        <w:t>to</w:t>
      </w:r>
      <w:r w:rsidR="00C12B9C">
        <w:t xml:space="preserve"> </w:t>
      </w:r>
      <w:r w:rsidR="00C12B9C" w:rsidRPr="0048564F">
        <w:t>Appendix</w:t>
      </w:r>
      <w:r w:rsidR="00C12B9C">
        <w:t xml:space="preserve"> </w:t>
      </w:r>
      <w:r w:rsidR="00C12B9C" w:rsidRPr="0048564F">
        <w:t>D,</w:t>
      </w:r>
      <w:r w:rsidR="00C12B9C">
        <w:t xml:space="preserve"> </w:t>
      </w:r>
      <w:r w:rsidR="00C12B9C" w:rsidRPr="0048564F">
        <w:t>which</w:t>
      </w:r>
      <w:r w:rsidR="00C12B9C">
        <w:t xml:space="preserve"> </w:t>
      </w:r>
      <w:r w:rsidR="00C12B9C" w:rsidRPr="0048564F">
        <w:t>specifies</w:t>
      </w:r>
      <w:r w:rsidR="00C12B9C">
        <w:t xml:space="preserve"> </w:t>
      </w:r>
      <w:r w:rsidR="00C12B9C" w:rsidRPr="0048564F">
        <w:t>additional</w:t>
      </w:r>
      <w:r w:rsidR="00C12B9C">
        <w:t xml:space="preserve"> </w:t>
      </w:r>
      <w:r w:rsidR="00C12B9C" w:rsidRPr="0048564F">
        <w:t>controls</w:t>
      </w:r>
      <w:r w:rsidR="00C12B9C">
        <w:t xml:space="preserve"> </w:t>
      </w:r>
      <w:r w:rsidR="00C12B9C" w:rsidRPr="0048564F">
        <w:t>for</w:t>
      </w:r>
      <w:r w:rsidR="00C12B9C">
        <w:t xml:space="preserve"> particular </w:t>
      </w:r>
      <w:r w:rsidR="00C12B9C" w:rsidRPr="0048564F">
        <w:t>S4</w:t>
      </w:r>
      <w:r w:rsidR="00C12B9C">
        <w:t xml:space="preserve"> </w:t>
      </w:r>
      <w:r w:rsidR="00C12B9C" w:rsidRPr="0048564F">
        <w:t>or</w:t>
      </w:r>
      <w:r w:rsidR="00C12B9C">
        <w:t xml:space="preserve"> Schedule </w:t>
      </w:r>
      <w:r w:rsidR="00C12B9C" w:rsidRPr="0048564F">
        <w:t>8</w:t>
      </w:r>
      <w:r w:rsidR="00C12B9C">
        <w:t xml:space="preserve"> (S8) </w:t>
      </w:r>
      <w:r w:rsidR="00C12B9C" w:rsidRPr="0048564F">
        <w:t>substances</w:t>
      </w:r>
      <w:r w:rsidR="00C12B9C">
        <w:t xml:space="preserve">. </w:t>
      </w:r>
      <w:r w:rsidR="004560BE">
        <w:t xml:space="preserve">Appendix </w:t>
      </w:r>
      <w:proofErr w:type="gramStart"/>
      <w:r w:rsidR="004560BE">
        <w:t xml:space="preserve">M </w:t>
      </w:r>
      <w:r w:rsidR="00C12B9C">
        <w:t xml:space="preserve"> </w:t>
      </w:r>
      <w:r w:rsidR="00C12B9C" w:rsidRPr="00172404">
        <w:t>would</w:t>
      </w:r>
      <w:proofErr w:type="gramEnd"/>
      <w:r w:rsidR="00C12B9C">
        <w:t xml:space="preserve"> </w:t>
      </w:r>
      <w:r w:rsidR="004560BE">
        <w:t>specify</w:t>
      </w:r>
      <w:r w:rsidR="00C12B9C">
        <w:t xml:space="preserve"> </w:t>
      </w:r>
      <w:r w:rsidR="00C12B9C" w:rsidRPr="00172404">
        <w:t>additional</w:t>
      </w:r>
      <w:r w:rsidR="00C12B9C">
        <w:t xml:space="preserve"> </w:t>
      </w:r>
      <w:r w:rsidR="00C12B9C" w:rsidRPr="00172404">
        <w:t>controls</w:t>
      </w:r>
      <w:r w:rsidR="00853A5E">
        <w:t xml:space="preserve"> to those normally applying to </w:t>
      </w:r>
      <w:r w:rsidR="00C12B9C">
        <w:t>pharmacist-only medicines</w:t>
      </w:r>
      <w:r w:rsidR="004560BE">
        <w:t>. T</w:t>
      </w:r>
      <w:r w:rsidR="00C12B9C">
        <w:t xml:space="preserve">he introduction of Appendix M was planned to </w:t>
      </w:r>
      <w:r w:rsidR="00C12B9C" w:rsidRPr="00172404">
        <w:t>facilitate</w:t>
      </w:r>
      <w:r w:rsidR="00C12B9C">
        <w:t xml:space="preserve"> </w:t>
      </w:r>
      <w:r w:rsidR="00C12B9C" w:rsidRPr="00172404">
        <w:t>appropriate</w:t>
      </w:r>
      <w:r w:rsidR="00C12B9C">
        <w:t xml:space="preserve"> </w:t>
      </w:r>
      <w:r w:rsidR="00BD56D7">
        <w:t>over the counter (</w:t>
      </w:r>
      <w:r w:rsidR="00C12B9C" w:rsidRPr="00172404">
        <w:t>OTC</w:t>
      </w:r>
      <w:r w:rsidR="00BD56D7">
        <w:t>)</w:t>
      </w:r>
      <w:r w:rsidR="00C12B9C">
        <w:t xml:space="preserve"> </w:t>
      </w:r>
      <w:r w:rsidR="00C12B9C" w:rsidRPr="00172404">
        <w:t>access</w:t>
      </w:r>
      <w:r w:rsidR="00C12B9C">
        <w:t xml:space="preserve"> </w:t>
      </w:r>
      <w:r w:rsidR="00C12B9C" w:rsidRPr="00172404">
        <w:t>for</w:t>
      </w:r>
      <w:r w:rsidR="00C12B9C">
        <w:t xml:space="preserve"> </w:t>
      </w:r>
      <w:r w:rsidR="00C12B9C" w:rsidRPr="00172404">
        <w:t>certain</w:t>
      </w:r>
      <w:r w:rsidR="00C12B9C">
        <w:t xml:space="preserve"> </w:t>
      </w:r>
      <w:r w:rsidR="00C12B9C" w:rsidRPr="00172404">
        <w:t>products</w:t>
      </w:r>
      <w:r w:rsidR="00C12B9C">
        <w:t xml:space="preserve"> </w:t>
      </w:r>
      <w:r w:rsidR="00C12B9C" w:rsidRPr="00172404">
        <w:t>that</w:t>
      </w:r>
      <w:r w:rsidR="00853A5E">
        <w:t xml:space="preserve"> have a good case for broader community access, but </w:t>
      </w:r>
      <w:r w:rsidR="00C12B9C" w:rsidRPr="00172404">
        <w:t>are</w:t>
      </w:r>
      <w:r w:rsidR="00C12B9C">
        <w:t xml:space="preserve"> </w:t>
      </w:r>
      <w:r w:rsidR="00C12B9C" w:rsidRPr="00172404">
        <w:t>currently</w:t>
      </w:r>
      <w:r w:rsidR="00C12B9C">
        <w:t xml:space="preserve"> </w:t>
      </w:r>
      <w:r w:rsidR="00C12B9C" w:rsidRPr="00172404">
        <w:t>prescription-only</w:t>
      </w:r>
      <w:r w:rsidR="00C12B9C">
        <w:t xml:space="preserve"> </w:t>
      </w:r>
      <w:r w:rsidR="00C12B9C" w:rsidRPr="00172404">
        <w:t>in</w:t>
      </w:r>
      <w:r w:rsidR="00C12B9C">
        <w:t xml:space="preserve"> </w:t>
      </w:r>
      <w:r w:rsidR="00C12B9C" w:rsidRPr="00172404">
        <w:t>Australia</w:t>
      </w:r>
      <w:r w:rsidR="00C12B9C">
        <w:t xml:space="preserve"> </w:t>
      </w:r>
      <w:r w:rsidR="00853A5E">
        <w:t xml:space="preserve">and </w:t>
      </w:r>
      <w:r w:rsidR="00C12B9C">
        <w:t xml:space="preserve">may </w:t>
      </w:r>
      <w:r w:rsidR="00853A5E">
        <w:t>present public health risks above those normally considered acceptable for S3 substa</w:t>
      </w:r>
      <w:r w:rsidR="00BB0B55">
        <w:t>nces.</w:t>
      </w:r>
    </w:p>
    <w:p w:rsidR="008C3C62" w:rsidRDefault="008C3C62" w:rsidP="00BB0B55">
      <w:r>
        <w:t>While the responsibility for proposing specific Appendix M controls would rest with the applicant for rescheduling of a particular substance, given the special nature of Appendix M conditions the TGA Scheduling secretariat would engage in a dialogue with the applicant on these conditions prior to public consultation or consideration of the application by the Advisory Committee on Medicines Scheduling</w:t>
      </w:r>
      <w:r w:rsidR="007C371A">
        <w:t xml:space="preserve"> (ACMS)</w:t>
      </w:r>
      <w:r w:rsidR="00BB0B55">
        <w:t>.</w:t>
      </w:r>
    </w:p>
    <w:p w:rsidR="00C12B9C" w:rsidRDefault="00C12B9C" w:rsidP="00BB0B55">
      <w:r>
        <w:t xml:space="preserve">As </w:t>
      </w:r>
      <w:r w:rsidRPr="00172404">
        <w:t>experience</w:t>
      </w:r>
      <w:r>
        <w:t xml:space="preserve"> builds with the product provided in an OTC environment</w:t>
      </w:r>
      <w:r w:rsidRPr="00172404">
        <w:t>,</w:t>
      </w:r>
      <w:r>
        <w:t xml:space="preserve"> </w:t>
      </w:r>
      <w:r w:rsidRPr="00172404">
        <w:t>the</w:t>
      </w:r>
      <w:r>
        <w:t xml:space="preserve"> </w:t>
      </w:r>
      <w:r w:rsidRPr="00172404">
        <w:t>controls</w:t>
      </w:r>
      <w:r>
        <w:t xml:space="preserve"> </w:t>
      </w:r>
      <w:r w:rsidRPr="00172404">
        <w:t>on</w:t>
      </w:r>
      <w:r>
        <w:t xml:space="preserve"> </w:t>
      </w:r>
      <w:r w:rsidRPr="00172404">
        <w:t>particular</w:t>
      </w:r>
      <w:r>
        <w:t xml:space="preserve"> </w:t>
      </w:r>
      <w:r w:rsidRPr="00172404">
        <w:t>products</w:t>
      </w:r>
      <w:r>
        <w:t xml:space="preserve"> </w:t>
      </w:r>
      <w:r w:rsidR="00CC0923">
        <w:t>may</w:t>
      </w:r>
      <w:r>
        <w:t xml:space="preserve"> subsequently </w:t>
      </w:r>
      <w:r w:rsidRPr="00172404">
        <w:t>be</w:t>
      </w:r>
      <w:r>
        <w:t xml:space="preserve"> </w:t>
      </w:r>
      <w:r w:rsidRPr="00172404">
        <w:t>able</w:t>
      </w:r>
      <w:r>
        <w:t xml:space="preserve"> </w:t>
      </w:r>
      <w:r w:rsidRPr="00172404">
        <w:t>to</w:t>
      </w:r>
      <w:r>
        <w:t xml:space="preserve"> </w:t>
      </w:r>
      <w:r w:rsidRPr="00172404">
        <w:t>be</w:t>
      </w:r>
      <w:r>
        <w:t xml:space="preserve"> </w:t>
      </w:r>
      <w:r w:rsidRPr="00172404">
        <w:t>modified.</w:t>
      </w:r>
    </w:p>
    <w:p w:rsidR="00C12B9C" w:rsidRDefault="00EE3F39" w:rsidP="00BB0B55">
      <w:r>
        <w:t xml:space="preserve">Some examples of Appendix D Controls currently in place </w:t>
      </w:r>
      <w:r w:rsidR="004560BE">
        <w:t>for prescription medicines include</w:t>
      </w:r>
      <w:r>
        <w:t>:</w:t>
      </w:r>
    </w:p>
    <w:p w:rsidR="007B01D9" w:rsidRPr="00BB0B55" w:rsidRDefault="007B01D9" w:rsidP="00BB0B55">
      <w:pPr>
        <w:pStyle w:val="ListBullet"/>
      </w:pPr>
      <w:r w:rsidRPr="00BB0B55">
        <w:t xml:space="preserve">Specific </w:t>
      </w:r>
      <w:proofErr w:type="spellStart"/>
      <w:r w:rsidRPr="00BB0B55">
        <w:t>authorisation</w:t>
      </w:r>
      <w:proofErr w:type="spellEnd"/>
      <w:r w:rsidRPr="00BB0B55">
        <w:t xml:space="preserve"> of certain types </w:t>
      </w:r>
      <w:r w:rsidR="004560BE" w:rsidRPr="00BB0B55">
        <w:t xml:space="preserve">(specialties) </w:t>
      </w:r>
      <w:r w:rsidRPr="00BB0B55">
        <w:t>of medical practitioners to prescribe</w:t>
      </w:r>
    </w:p>
    <w:p w:rsidR="007B01D9" w:rsidRPr="00BB0B55" w:rsidRDefault="007B01D9" w:rsidP="00BB0B55">
      <w:pPr>
        <w:pStyle w:val="ListBullet"/>
      </w:pPr>
      <w:r w:rsidRPr="00BB0B55">
        <w:t xml:space="preserve">Specific </w:t>
      </w:r>
      <w:proofErr w:type="spellStart"/>
      <w:r w:rsidRPr="00BB0B55">
        <w:t>authorisation</w:t>
      </w:r>
      <w:proofErr w:type="spellEnd"/>
      <w:r w:rsidRPr="00BB0B55">
        <w:t xml:space="preserve"> of individual medical practitioners </w:t>
      </w:r>
      <w:r w:rsidR="004560BE" w:rsidRPr="00BB0B55">
        <w:t xml:space="preserve">to prescribe </w:t>
      </w:r>
      <w:r w:rsidRPr="00BB0B55">
        <w:t>by</w:t>
      </w:r>
      <w:r w:rsidR="007514DB" w:rsidRPr="00BB0B55">
        <w:t xml:space="preserve"> State and Territory</w:t>
      </w:r>
      <w:r w:rsidR="00D849A1" w:rsidRPr="00BB0B55">
        <w:t xml:space="preserve"> </w:t>
      </w:r>
      <w:r w:rsidRPr="00BB0B55">
        <w:t>Health Department head</w:t>
      </w:r>
      <w:r w:rsidR="007514DB" w:rsidRPr="00BB0B55">
        <w:t>s</w:t>
      </w:r>
      <w:r w:rsidRPr="00BB0B55">
        <w:t xml:space="preserve"> </w:t>
      </w:r>
      <w:r w:rsidR="004560BE" w:rsidRPr="00BB0B55">
        <w:t>(</w:t>
      </w:r>
      <w:r w:rsidRPr="00BB0B55">
        <w:t xml:space="preserve">or </w:t>
      </w:r>
      <w:r w:rsidR="004560BE" w:rsidRPr="00BB0B55">
        <w:t xml:space="preserve">their </w:t>
      </w:r>
      <w:r w:rsidRPr="00BB0B55">
        <w:t>delegate</w:t>
      </w:r>
      <w:r w:rsidR="004560BE" w:rsidRPr="00BB0B55">
        <w:t>s)</w:t>
      </w:r>
    </w:p>
    <w:p w:rsidR="007B01D9" w:rsidRPr="00BB0B55" w:rsidRDefault="007B01D9" w:rsidP="00BB0B55">
      <w:pPr>
        <w:pStyle w:val="ListBullet"/>
      </w:pPr>
      <w:r w:rsidRPr="00BB0B55">
        <w:lastRenderedPageBreak/>
        <w:t xml:space="preserve">Specific checks/ interviews of patients required </w:t>
      </w:r>
      <w:r w:rsidR="004560BE" w:rsidRPr="00BB0B55">
        <w:t>prior to prescribing of the medicine</w:t>
      </w:r>
    </w:p>
    <w:p w:rsidR="007B01D9" w:rsidRPr="00BB0B55" w:rsidRDefault="007B01D9" w:rsidP="00BB0B55">
      <w:pPr>
        <w:pStyle w:val="ListBullet"/>
      </w:pPr>
      <w:r w:rsidRPr="00BB0B55">
        <w:t xml:space="preserve">Specific advice required </w:t>
      </w:r>
      <w:r w:rsidR="004560BE" w:rsidRPr="00BB0B55">
        <w:t>to be provided to the</w:t>
      </w:r>
      <w:r w:rsidRPr="00BB0B55">
        <w:t xml:space="preserve"> patient (e.g. avoid becoming pregnant)</w:t>
      </w:r>
    </w:p>
    <w:p w:rsidR="007B01D9" w:rsidRPr="00BB0B55" w:rsidRDefault="007B01D9" w:rsidP="00BB0B55">
      <w:pPr>
        <w:pStyle w:val="ListBullet"/>
      </w:pPr>
      <w:r w:rsidRPr="00BB0B55">
        <w:t>Only the individual who is named on the prescription</w:t>
      </w:r>
      <w:r w:rsidR="004560BE" w:rsidRPr="00BB0B55">
        <w:t xml:space="preserve"> being</w:t>
      </w:r>
      <w:r w:rsidRPr="00BB0B55">
        <w:t xml:space="preserve"> legally able to possess substance</w:t>
      </w:r>
    </w:p>
    <w:p w:rsidR="00C12B9C" w:rsidRDefault="00EE3F39" w:rsidP="00BB0B55">
      <w:r>
        <w:t>While some of these could reasonably be paralleled in Appendix M, others, such as restricting authorisation to specific practitioners</w:t>
      </w:r>
      <w:r w:rsidR="002E6CAD">
        <w:t>,</w:t>
      </w:r>
      <w:r w:rsidR="004560BE">
        <w:t xml:space="preserve"> would require a different approach. For example, a parallel situation would be to require completion of particular training </w:t>
      </w:r>
      <w:r>
        <w:t>for pharmacist only medications.</w:t>
      </w:r>
    </w:p>
    <w:p w:rsidR="009470EC" w:rsidRDefault="00D25A32" w:rsidP="00BB0B55">
      <w:r>
        <w:t xml:space="preserve">Consideration of these issues has been part of the brief of </w:t>
      </w:r>
      <w:r w:rsidR="009470EC">
        <w:t xml:space="preserve">an </w:t>
      </w:r>
      <w:r w:rsidR="009470EC" w:rsidRPr="00587CFD">
        <w:rPr>
          <w:i/>
        </w:rPr>
        <w:t>ad hoc</w:t>
      </w:r>
      <w:r w:rsidR="009470EC">
        <w:t xml:space="preserve"> working group formed in January 2018 to continue work on outstanding scheduling issues. This group </w:t>
      </w:r>
      <w:r w:rsidR="009470EC" w:rsidRPr="00DC16D3">
        <w:t>compris</w:t>
      </w:r>
      <w:r w:rsidR="009470EC">
        <w:t>es</w:t>
      </w:r>
      <w:r w:rsidR="009470EC" w:rsidRPr="00DC16D3">
        <w:t xml:space="preserve"> representatives from the states and territories, the medicines and chemical scheduling advisory committees, industry groups and professionals from the medicine, pharmacy and chemicals sectors as well as consumer representatives.</w:t>
      </w:r>
      <w:r w:rsidR="009470EC">
        <w:t xml:space="preserve"> The working group has met three times to date</w:t>
      </w:r>
      <w:r w:rsidR="00587CFD">
        <w:t xml:space="preserve"> -</w:t>
      </w:r>
      <w:r w:rsidR="009470EC">
        <w:t xml:space="preserve"> 9 February</w:t>
      </w:r>
      <w:proofErr w:type="gramStart"/>
      <w:r w:rsidR="00B84D78">
        <w:t xml:space="preserve">, </w:t>
      </w:r>
      <w:r w:rsidR="009470EC">
        <w:t xml:space="preserve"> 6</w:t>
      </w:r>
      <w:proofErr w:type="gramEnd"/>
      <w:r w:rsidR="009470EC">
        <w:t xml:space="preserve"> March</w:t>
      </w:r>
      <w:r w:rsidR="00B84D78">
        <w:t xml:space="preserve"> and </w:t>
      </w:r>
      <w:r w:rsidR="00BB0B55">
        <w:t>11 December 2018.</w:t>
      </w:r>
    </w:p>
    <w:p w:rsidR="009470EC" w:rsidRDefault="00F04C70" w:rsidP="00BB0B55">
      <w:r>
        <w:t>W</w:t>
      </w:r>
      <w:r w:rsidR="009470EC">
        <w:t xml:space="preserve">hile discussion on the structure and use of Appendix M has progressed, </w:t>
      </w:r>
      <w:r w:rsidR="00B84D78">
        <w:t xml:space="preserve">it </w:t>
      </w:r>
      <w:r w:rsidR="009470EC">
        <w:t>was agreed that further public consultation on this matter was warranted.</w:t>
      </w:r>
    </w:p>
    <w:p w:rsidR="00750E8D" w:rsidRDefault="00750E8D" w:rsidP="00BB0B55">
      <w:pPr>
        <w:pStyle w:val="Heading3"/>
      </w:pPr>
      <w:bookmarkStart w:id="8" w:name="_Toc1989341"/>
      <w:r>
        <w:t xml:space="preserve">Factors for </w:t>
      </w:r>
      <w:r w:rsidR="008524C5">
        <w:t xml:space="preserve">consideration of placing substances in </w:t>
      </w:r>
      <w:r w:rsidR="002309D9">
        <w:t>S</w:t>
      </w:r>
      <w:r>
        <w:t>chedule 4</w:t>
      </w:r>
      <w:r w:rsidR="00545A3A">
        <w:t xml:space="preserve"> (</w:t>
      </w:r>
      <w:r w:rsidR="00545A3A" w:rsidRPr="00BB0B55">
        <w:t>p</w:t>
      </w:r>
      <w:r w:rsidR="0045563A" w:rsidRPr="00BB0B55">
        <w:t>rescription</w:t>
      </w:r>
      <w:r w:rsidR="0045563A">
        <w:t xml:space="preserve"> only)</w:t>
      </w:r>
      <w:r w:rsidR="002309D9">
        <w:t xml:space="preserve"> v S</w:t>
      </w:r>
      <w:r>
        <w:t>chedule 3</w:t>
      </w:r>
      <w:r w:rsidR="00545A3A">
        <w:t xml:space="preserve"> (p</w:t>
      </w:r>
      <w:r w:rsidR="0045563A">
        <w:t>harmacist only)</w:t>
      </w:r>
      <w:bookmarkEnd w:id="8"/>
    </w:p>
    <w:p w:rsidR="00EF2C13" w:rsidRDefault="00750E8D" w:rsidP="00750E8D">
      <w:r w:rsidRPr="00750E8D">
        <w:t>A</w:t>
      </w:r>
      <w:r>
        <w:t>ll</w:t>
      </w:r>
      <w:r w:rsidRPr="00750E8D">
        <w:t xml:space="preserve"> </w:t>
      </w:r>
      <w:r>
        <w:t>sc</w:t>
      </w:r>
      <w:r w:rsidRPr="00750E8D">
        <w:t xml:space="preserve">heduling decisions include consideration of a standard set of factors, to ensure that application of public health risk </w:t>
      </w:r>
      <w:r w:rsidR="0045563A">
        <w:t xml:space="preserve">and benefit </w:t>
      </w:r>
      <w:r w:rsidRPr="00750E8D">
        <w:t xml:space="preserve">considerations is consistent within each Schedule. The factors for each schedule are set out in the </w:t>
      </w:r>
      <w:r w:rsidR="00544540">
        <w:t>SPF</w:t>
      </w:r>
      <w:r w:rsidRPr="00750E8D">
        <w:t xml:space="preserve"> </w:t>
      </w:r>
      <w:r w:rsidR="00F04C70">
        <w:t>(</w:t>
      </w:r>
      <w:hyperlink r:id="rId21" w:history="1">
        <w:r w:rsidR="00F04C70" w:rsidRPr="00F04C70">
          <w:rPr>
            <w:rStyle w:val="Hyperlink"/>
          </w:rPr>
          <w:t>scheduling factors</w:t>
        </w:r>
      </w:hyperlink>
      <w:r w:rsidR="00F04C70">
        <w:t xml:space="preserve">) </w:t>
      </w:r>
      <w:r w:rsidRPr="00750E8D">
        <w:t xml:space="preserve">and relate back to the matters required to be taken into account by section 52E(1) of the </w:t>
      </w:r>
      <w:r w:rsidRPr="00853A5E">
        <w:rPr>
          <w:i/>
        </w:rPr>
        <w:t>Therapeutic Goods Act 1989</w:t>
      </w:r>
      <w:r w:rsidRPr="00750E8D">
        <w:t xml:space="preserve"> (</w:t>
      </w:r>
      <w:r w:rsidR="00853A5E">
        <w:t>the Act</w:t>
      </w:r>
      <w:r w:rsidRPr="00750E8D">
        <w:t>).</w:t>
      </w:r>
    </w:p>
    <w:p w:rsidR="002F0CDE" w:rsidRDefault="002E6CAD" w:rsidP="00BB0B55">
      <w:pPr>
        <w:pStyle w:val="Heading3"/>
      </w:pPr>
      <w:bookmarkStart w:id="9" w:name="_Toc1989342"/>
      <w:r>
        <w:t xml:space="preserve">Pro-active </w:t>
      </w:r>
      <w:r w:rsidR="00316C77" w:rsidRPr="00BB0B55">
        <w:t>down</w:t>
      </w:r>
      <w:r w:rsidR="00316C77">
        <w:t xml:space="preserve"> scheduling</w:t>
      </w:r>
      <w:bookmarkEnd w:id="9"/>
    </w:p>
    <w:p w:rsidR="002F0CDE" w:rsidRPr="002F0CDE" w:rsidRDefault="002F0CDE" w:rsidP="00BB0B55">
      <w:r>
        <w:t xml:space="preserve">An additional process considered by the </w:t>
      </w:r>
      <w:r w:rsidRPr="00C42251">
        <w:rPr>
          <w:i/>
        </w:rPr>
        <w:t>ad hoc</w:t>
      </w:r>
      <w:r>
        <w:t xml:space="preserve"> working group as part of the ongoing scheduling reforms relates to consideration of a process for pro-active </w:t>
      </w:r>
      <w:r w:rsidR="00316C77">
        <w:t>down scheduling</w:t>
      </w:r>
      <w:r>
        <w:t xml:space="preserve"> of S4 goods to S3. As part of this process, at the December 2018 meeting of the </w:t>
      </w:r>
      <w:r w:rsidRPr="006C4534">
        <w:rPr>
          <w:i/>
        </w:rPr>
        <w:t>ad hoc</w:t>
      </w:r>
      <w:r>
        <w:t xml:space="preserve"> working group, two lists of S4 substances that could be consi</w:t>
      </w:r>
      <w:r w:rsidR="00C42251">
        <w:t>d</w:t>
      </w:r>
      <w:r w:rsidR="002E6CAD">
        <w:t xml:space="preserve">ered for pro-active </w:t>
      </w:r>
      <w:r w:rsidR="00316C77">
        <w:t>down scheduling</w:t>
      </w:r>
      <w:r>
        <w:t xml:space="preserve"> were presented by working group members</w:t>
      </w:r>
      <w:r w:rsidR="00C42251">
        <w:t>.</w:t>
      </w:r>
      <w:r>
        <w:t xml:space="preserve"> </w:t>
      </w:r>
      <w:r w:rsidR="00C42251">
        <w:t>D</w:t>
      </w:r>
      <w:r>
        <w:t xml:space="preserve">iscussion of this process and the lists </w:t>
      </w:r>
      <w:r w:rsidR="00C42251">
        <w:t xml:space="preserve">of substances </w:t>
      </w:r>
      <w:r>
        <w:t xml:space="preserve">can be found on the TGA website under </w:t>
      </w:r>
      <w:hyperlink r:id="rId22" w:history="1">
        <w:r w:rsidRPr="002F0CDE">
          <w:rPr>
            <w:rStyle w:val="Hyperlink"/>
          </w:rPr>
          <w:t>Scheduling News</w:t>
        </w:r>
      </w:hyperlink>
      <w:r w:rsidRPr="002F0CDE">
        <w:t>. These</w:t>
      </w:r>
      <w:r>
        <w:rPr>
          <w:b/>
        </w:rPr>
        <w:t xml:space="preserve"> </w:t>
      </w:r>
      <w:r>
        <w:t>lists provide</w:t>
      </w:r>
      <w:r w:rsidR="00C42251">
        <w:t xml:space="preserve"> some</w:t>
      </w:r>
      <w:r>
        <w:t xml:space="preserve"> examples </w:t>
      </w:r>
      <w:r w:rsidRPr="002F0CDE">
        <w:t>o</w:t>
      </w:r>
      <w:r>
        <w:t>f</w:t>
      </w:r>
      <w:r w:rsidRPr="002F0CDE">
        <w:t xml:space="preserve"> the types of </w:t>
      </w:r>
      <w:r>
        <w:t xml:space="preserve">substances that </w:t>
      </w:r>
      <w:r w:rsidR="00C42251">
        <w:t xml:space="preserve">could </w:t>
      </w:r>
      <w:r>
        <w:t>be considered for the applic</w:t>
      </w:r>
      <w:r w:rsidR="00C42251">
        <w:t>ation of Appendix M conditions.</w:t>
      </w:r>
    </w:p>
    <w:p w:rsidR="008D3523" w:rsidRDefault="00545A3A" w:rsidP="00BB0B55">
      <w:pPr>
        <w:pStyle w:val="Heading3"/>
      </w:pPr>
      <w:bookmarkStart w:id="10" w:name="_Toc1989343"/>
      <w:r>
        <w:t xml:space="preserve">Non-medical </w:t>
      </w:r>
      <w:r w:rsidRPr="00BB0B55">
        <w:t>p</w:t>
      </w:r>
      <w:r w:rsidR="008D3523" w:rsidRPr="00BB0B55">
        <w:t>rescribing</w:t>
      </w:r>
      <w:bookmarkEnd w:id="10"/>
    </w:p>
    <w:p w:rsidR="0045563A" w:rsidRDefault="008D3523" w:rsidP="00BB0B55">
      <w:r>
        <w:t>It is important to emphasise that the policy and legal intent of Appendix M requirements (where the substance would be an OTC medicine</w:t>
      </w:r>
      <w:r w:rsidR="00853A5E">
        <w:t>,</w:t>
      </w:r>
      <w:r>
        <w:t xml:space="preserve"> but </w:t>
      </w:r>
      <w:r w:rsidR="00414E24">
        <w:t xml:space="preserve">supplied </w:t>
      </w:r>
      <w:r>
        <w:t xml:space="preserve">with additional controls) is </w:t>
      </w:r>
      <w:r w:rsidRPr="008D3523">
        <w:t>different</w:t>
      </w:r>
      <w:r w:rsidRPr="00C87593">
        <w:rPr>
          <w:b/>
        </w:rPr>
        <w:t xml:space="preserve"> </w:t>
      </w:r>
      <w:r>
        <w:t>to thos</w:t>
      </w:r>
      <w:r w:rsidR="00F04C70">
        <w:t>e around pharmacist prescribing</w:t>
      </w:r>
      <w:r>
        <w:t xml:space="preserve"> and dispensing of S4 medicines wh</w:t>
      </w:r>
      <w:r w:rsidR="00B81491">
        <w:t>e</w:t>
      </w:r>
      <w:r w:rsidR="00F04C70">
        <w:t xml:space="preserve">re allowed by state </w:t>
      </w:r>
      <w:r w:rsidR="0045563A">
        <w:t xml:space="preserve">and territory </w:t>
      </w:r>
      <w:r w:rsidR="00F04C70">
        <w:t>regulation (</w:t>
      </w:r>
      <w:r>
        <w:t>such a</w:t>
      </w:r>
      <w:r w:rsidR="00B81491">
        <w:t>s the influenza vaccine</w:t>
      </w:r>
      <w:r w:rsidR="00F04C70">
        <w:t>)</w:t>
      </w:r>
      <w:r>
        <w:t>, or emergency supply</w:t>
      </w:r>
      <w:r w:rsidR="002C0A8A">
        <w:t xml:space="preserve"> </w:t>
      </w:r>
      <w:r w:rsidR="0045563A">
        <w:t xml:space="preserve">provisions </w:t>
      </w:r>
      <w:r w:rsidR="002C0A8A">
        <w:t>under</w:t>
      </w:r>
      <w:r w:rsidR="00F04C70">
        <w:t xml:space="preserve"> P</w:t>
      </w:r>
      <w:r w:rsidR="002C0A8A">
        <w:t>art 3 section 3.2 of the Poisons Standard</w:t>
      </w:r>
      <w:r w:rsidR="00BB0B55">
        <w:t>.</w:t>
      </w:r>
    </w:p>
    <w:p w:rsidR="008D3523" w:rsidRDefault="008D3523" w:rsidP="00BB0B55">
      <w:r>
        <w:t>While some of the potential controls may be similar, there may also be the need for specific differences in the regulatory controls for the two types of provision</w:t>
      </w:r>
      <w:r w:rsidR="00853A5E">
        <w:t>s</w:t>
      </w:r>
      <w:r>
        <w:t>.</w:t>
      </w:r>
    </w:p>
    <w:p w:rsidR="00A61877" w:rsidRDefault="00545A3A" w:rsidP="00BB0B55">
      <w:pPr>
        <w:pStyle w:val="Heading3"/>
      </w:pPr>
      <w:bookmarkStart w:id="11" w:name="_Toc1989344"/>
      <w:r>
        <w:lastRenderedPageBreak/>
        <w:t xml:space="preserve">Pharmacist </w:t>
      </w:r>
      <w:r w:rsidRPr="00BB0B55">
        <w:t>c</w:t>
      </w:r>
      <w:r w:rsidR="00A61877" w:rsidRPr="00BB0B55">
        <w:t>ompetency</w:t>
      </w:r>
      <w:bookmarkEnd w:id="11"/>
    </w:p>
    <w:p w:rsidR="00F427C1" w:rsidRPr="00F427C1" w:rsidRDefault="00805A72" w:rsidP="00BB0B55">
      <w:pPr>
        <w:rPr>
          <w:lang w:eastAsia="en-AU"/>
        </w:rPr>
      </w:pPr>
      <w:r>
        <w:rPr>
          <w:lang w:eastAsia="en-AU"/>
        </w:rPr>
        <w:t>P</w:t>
      </w:r>
      <w:r w:rsidRPr="007840C1">
        <w:rPr>
          <w:lang w:eastAsia="en-AU"/>
        </w:rPr>
        <w:t>harmacy stakeholders</w:t>
      </w:r>
      <w:r>
        <w:rPr>
          <w:lang w:eastAsia="en-AU"/>
        </w:rPr>
        <w:t>,</w:t>
      </w:r>
      <w:r w:rsidRPr="007840C1">
        <w:rPr>
          <w:lang w:eastAsia="en-AU"/>
        </w:rPr>
        <w:t xml:space="preserve"> including the profession</w:t>
      </w:r>
      <w:r>
        <w:rPr>
          <w:lang w:eastAsia="en-AU"/>
        </w:rPr>
        <w:t>,</w:t>
      </w:r>
      <w:r w:rsidRPr="007840C1">
        <w:rPr>
          <w:lang w:eastAsia="en-AU"/>
        </w:rPr>
        <w:t xml:space="preserve"> have collaborated on the development of</w:t>
      </w:r>
      <w:r>
        <w:rPr>
          <w:lang w:eastAsia="en-AU"/>
        </w:rPr>
        <w:t>,</w:t>
      </w:r>
      <w:r w:rsidRPr="007840C1">
        <w:rPr>
          <w:lang w:eastAsia="en-AU"/>
        </w:rPr>
        <w:t xml:space="preserve"> and periodic review of</w:t>
      </w:r>
      <w:r>
        <w:rPr>
          <w:lang w:eastAsia="en-AU"/>
        </w:rPr>
        <w:t>,</w:t>
      </w:r>
      <w:r w:rsidRPr="007840C1">
        <w:rPr>
          <w:lang w:eastAsia="en-AU"/>
        </w:rPr>
        <w:t xml:space="preserve"> the competency standards framework for pharmacists</w:t>
      </w:r>
      <w:r>
        <w:rPr>
          <w:lang w:eastAsia="en-AU"/>
        </w:rPr>
        <w:t xml:space="preserve">. </w:t>
      </w:r>
      <w:r w:rsidR="00F427C1">
        <w:rPr>
          <w:lang w:eastAsia="en-AU"/>
        </w:rPr>
        <w:t>T</w:t>
      </w:r>
      <w:r w:rsidR="00F427C1" w:rsidRPr="00F427C1">
        <w:rPr>
          <w:lang w:eastAsia="en-AU"/>
        </w:rPr>
        <w:t>he safe and effective delivery of pharmacy services is supported by professional practice standards and guidelines</w:t>
      </w:r>
      <w:r w:rsidR="00EE77F8">
        <w:rPr>
          <w:lang w:eastAsia="en-AU"/>
        </w:rPr>
        <w:t>,</w:t>
      </w:r>
      <w:r w:rsidR="00F427C1" w:rsidRPr="00F427C1">
        <w:rPr>
          <w:lang w:eastAsia="en-AU"/>
        </w:rPr>
        <w:t xml:space="preserve"> such as those developed and published by the Pharmaceutical Society of Australia</w:t>
      </w:r>
      <w:r w:rsidR="00F427C1">
        <w:rPr>
          <w:lang w:eastAsia="en-AU"/>
        </w:rPr>
        <w:t xml:space="preserve"> (PSA)</w:t>
      </w:r>
      <w:r w:rsidR="00F427C1" w:rsidRPr="00F427C1">
        <w:rPr>
          <w:lang w:eastAsia="en-AU"/>
        </w:rPr>
        <w:t xml:space="preserve"> and The</w:t>
      </w:r>
      <w:r w:rsidR="00F427C1">
        <w:rPr>
          <w:lang w:eastAsia="en-AU"/>
        </w:rPr>
        <w:t xml:space="preserve"> </w:t>
      </w:r>
      <w:r w:rsidR="00F427C1" w:rsidRPr="00F427C1">
        <w:rPr>
          <w:lang w:eastAsia="en-AU"/>
        </w:rPr>
        <w:t>Society of Hospital Pharmacists of Australia</w:t>
      </w:r>
      <w:r w:rsidR="00F427C1">
        <w:rPr>
          <w:lang w:eastAsia="en-AU"/>
        </w:rPr>
        <w:t xml:space="preserve"> (SHPA).</w:t>
      </w:r>
    </w:p>
    <w:p w:rsidR="00805A72" w:rsidRDefault="002309D9" w:rsidP="00BB0B55">
      <w:pPr>
        <w:pStyle w:val="Heading4"/>
      </w:pPr>
      <w:r>
        <w:t xml:space="preserve">The </w:t>
      </w:r>
      <w:r w:rsidRPr="00BB0B55">
        <w:t>P</w:t>
      </w:r>
      <w:r w:rsidR="00EE77F8" w:rsidRPr="00BB0B55">
        <w:t>harmacy</w:t>
      </w:r>
      <w:r w:rsidR="00EE77F8">
        <w:t xml:space="preserve"> </w:t>
      </w:r>
      <w:r>
        <w:t>B</w:t>
      </w:r>
      <w:r w:rsidR="00805A72">
        <w:t>oard</w:t>
      </w:r>
    </w:p>
    <w:p w:rsidR="009B33AF" w:rsidRDefault="00805A72" w:rsidP="00C42251">
      <w:r>
        <w:t xml:space="preserve">The Pharmacy Board of Australia (the Board) is the regulator of pharmacists in Australia and acts to protect the public by ensuring that only suitably qualified and competent pharmacists are registered. The role of the Board as a regulator of pharmacists is one component of the complex regulatory environment governing pharmacist practice, which includes regulation by a range of entities including </w:t>
      </w:r>
      <w:r w:rsidRPr="00053446">
        <w:t>pharmacy registering authorities</w:t>
      </w:r>
      <w:r>
        <w:t xml:space="preserve"> and state an</w:t>
      </w:r>
      <w:r w:rsidR="00BB0B55">
        <w:t>d territory health departments.</w:t>
      </w:r>
    </w:p>
    <w:p w:rsidR="002309D9" w:rsidRPr="002309D9" w:rsidRDefault="002309D9" w:rsidP="00BB0B55">
      <w:r w:rsidRPr="002309D9">
        <w:t xml:space="preserve">Under the </w:t>
      </w:r>
      <w:r w:rsidRPr="002309D9">
        <w:rPr>
          <w:rFonts w:asciiTheme="minorHAnsi" w:hAnsiTheme="minorHAnsi" w:cs="Arial"/>
          <w:szCs w:val="22"/>
          <w:shd w:val="clear" w:color="auto" w:fill="FFFFFF"/>
        </w:rPr>
        <w:t xml:space="preserve">Health Practitioner Regulation National Law (the National Law), </w:t>
      </w:r>
      <w:r w:rsidRPr="002309D9">
        <w:t xml:space="preserve">the Board is responsible for developing registration standards for pharmacists and may develop codes and guidelines to guide pharmacists. The Board’s guidelines address issues requiring clarification from a regulatory perspective such as complying with </w:t>
      </w:r>
      <w:r w:rsidRPr="002309D9">
        <w:rPr>
          <w:rFonts w:asciiTheme="minorHAnsi" w:hAnsiTheme="minorHAnsi" w:cs="Arial"/>
          <w:szCs w:val="22"/>
          <w:shd w:val="clear" w:color="auto" w:fill="FFFFFF"/>
        </w:rPr>
        <w:t xml:space="preserve">the National Law when </w:t>
      </w:r>
      <w:r w:rsidRPr="002309D9">
        <w:t xml:space="preserve">advertising regulated health services, or addressing public risk about a specific practice issue. For example, the Board has published guidance about compounded medicines, </w:t>
      </w:r>
      <w:r w:rsidRPr="002309D9">
        <w:rPr>
          <w:color w:val="000000"/>
        </w:rPr>
        <w:t xml:space="preserve">in particular the </w:t>
      </w:r>
      <w:r w:rsidRPr="002309D9">
        <w:rPr>
          <w:rFonts w:cs="Arial"/>
          <w:color w:val="000000"/>
          <w:shd w:val="clear" w:color="auto" w:fill="FFFFFF"/>
        </w:rPr>
        <w:t xml:space="preserve">compounding of sterile injectable medicines, </w:t>
      </w:r>
      <w:r w:rsidRPr="002309D9">
        <w:t xml:space="preserve">to ensure product quality, safety and efficacy. </w:t>
      </w:r>
      <w:r w:rsidRPr="002309D9">
        <w:rPr>
          <w:lang w:eastAsia="en-AU"/>
        </w:rPr>
        <w:t>The Board’s ‘Guidelines for the compounding of medicines’ highlight risks that need to be carefully assessed and managed and are not a protocol for compounding. The practice standards on compounding developed by the PSA and SHPA, relevant legislation and published information in text books and journals and any other relevant published guidance (for instance, from other regulators) are an important primary source of information about</w:t>
      </w:r>
      <w:r w:rsidR="00BB0B55">
        <w:rPr>
          <w:lang w:eastAsia="en-AU"/>
        </w:rPr>
        <w:t xml:space="preserve"> the delivery of such services.</w:t>
      </w:r>
    </w:p>
    <w:p w:rsidR="00F427C1" w:rsidRPr="00C42251" w:rsidRDefault="00F427C1" w:rsidP="00BB0B55">
      <w:r w:rsidRPr="00C42251">
        <w:t>The Board also has responsibility for managing notifications (complaints and concerns) about pharmacists and pharmacy students. Expected standards of practice are informed by the professional practice standards and guidelines published by pharmacy organisations such as the PSA and SHPA, relevant legislation and additional information published by relevant regulators, and the codes and guidelines published by the Board. These may be used as evidence of what constitutes appropriate professional conduct or practice for pharmacy in proceedings under the Health Practitioner Regulation National Law (the National Law) or a law of a co-regulatory jurisdiction against a health practitioner.</w:t>
      </w:r>
    </w:p>
    <w:p w:rsidR="00805A72" w:rsidRDefault="002309D9" w:rsidP="00BB0B55">
      <w:pPr>
        <w:pStyle w:val="Heading4"/>
      </w:pPr>
      <w:r>
        <w:t>Pharmaceutical Society of A</w:t>
      </w:r>
      <w:r w:rsidR="00805A72">
        <w:t>ustralia</w:t>
      </w:r>
    </w:p>
    <w:p w:rsidR="00F427C1" w:rsidRDefault="00805A72" w:rsidP="00F427C1">
      <w:r>
        <w:t>The PSA is the only Australian Government recognised peak national professional pharmacy organisation representing all of Australia’s 31,000 pharmacists working in all sectors and across all locations</w:t>
      </w:r>
      <w:r w:rsidRPr="001F1AE1">
        <w:t xml:space="preserve">. </w:t>
      </w:r>
      <w:r>
        <w:t xml:space="preserve">The </w:t>
      </w:r>
      <w:r w:rsidRPr="001F1AE1">
        <w:t>PSA provides high-quality practitioner development and practice support to pharmacists and is the custodian of the professional practice standards and guidelines to ensure quality and integrity in the practice of pharmacy</w:t>
      </w:r>
      <w:r w:rsidR="00BB0B55">
        <w:t>.</w:t>
      </w:r>
    </w:p>
    <w:p w:rsidR="00805A72" w:rsidRDefault="002E6CAD" w:rsidP="00BB0B55">
      <w:pPr>
        <w:rPr>
          <w:rFonts w:asciiTheme="minorHAnsi" w:hAnsiTheme="minorHAnsi"/>
          <w:szCs w:val="22"/>
        </w:rPr>
      </w:pPr>
      <w:r>
        <w:t xml:space="preserve">The </w:t>
      </w:r>
      <w:r w:rsidR="00F427C1">
        <w:t>PSA, as the profession’s standards-setting body develops its own codes, guidelines and standards. These cover aspects of professional and ethical practice by pharmacists. PSA’s documents are referred to by the Pharmacy Board when outlining its expectations. In its public protection role, the Board may also refer to or use as evidence PSA’s documents when considering cases relating to pharmacists’ professional conduct or behaviour.</w:t>
      </w:r>
    </w:p>
    <w:p w:rsidR="009D3026" w:rsidRDefault="00545A3A" w:rsidP="00BB0B55">
      <w:pPr>
        <w:pStyle w:val="Heading2"/>
      </w:pPr>
      <w:bookmarkStart w:id="12" w:name="_Toc534986780"/>
      <w:bookmarkStart w:id="13" w:name="_Toc1989345"/>
      <w:r>
        <w:lastRenderedPageBreak/>
        <w:t>Specific c</w:t>
      </w:r>
      <w:r w:rsidR="008524C5">
        <w:t>riteria</w:t>
      </w:r>
      <w:r w:rsidR="002309D9">
        <w:t xml:space="preserve"> </w:t>
      </w:r>
      <w:r w:rsidR="002309D9" w:rsidRPr="00BB0B55">
        <w:t>for</w:t>
      </w:r>
      <w:r w:rsidR="002309D9">
        <w:t xml:space="preserve"> inclusion in A</w:t>
      </w:r>
      <w:r w:rsidR="00BF6BA6">
        <w:t xml:space="preserve">ppendix </w:t>
      </w:r>
      <w:bookmarkEnd w:id="12"/>
      <w:r w:rsidR="002309D9">
        <w:t>M</w:t>
      </w:r>
      <w:bookmarkEnd w:id="13"/>
    </w:p>
    <w:p w:rsidR="005A4E99" w:rsidRPr="00BD56D7" w:rsidRDefault="00D92A2C" w:rsidP="00BB0B55">
      <w:r w:rsidRPr="00C42251">
        <w:t xml:space="preserve">Appendix M entries will include both </w:t>
      </w:r>
      <w:r w:rsidR="00C82FD5" w:rsidRPr="00C42251">
        <w:t xml:space="preserve">the </w:t>
      </w:r>
      <w:r w:rsidRPr="00C42251">
        <w:t xml:space="preserve">substance </w:t>
      </w:r>
      <w:r w:rsidR="003576D0" w:rsidRPr="00C42251">
        <w:t xml:space="preserve">that has been rescheduled to S3 </w:t>
      </w:r>
      <w:r w:rsidRPr="00C42251">
        <w:t xml:space="preserve">and the additional </w:t>
      </w:r>
      <w:r w:rsidR="00C82FD5" w:rsidRPr="00C42251">
        <w:t xml:space="preserve">requirements that relate to </w:t>
      </w:r>
      <w:r w:rsidR="003576D0" w:rsidRPr="00C42251">
        <w:t>that substance</w:t>
      </w:r>
      <w:r w:rsidRPr="00C42251">
        <w:t xml:space="preserve">. </w:t>
      </w:r>
      <w:r w:rsidR="003576D0" w:rsidRPr="00C42251">
        <w:t xml:space="preserve">As </w:t>
      </w:r>
      <w:r w:rsidR="00D878DE" w:rsidRPr="00C42251">
        <w:t xml:space="preserve">is the case with </w:t>
      </w:r>
      <w:r w:rsidR="003576D0" w:rsidRPr="00C42251">
        <w:t xml:space="preserve">other appendices to the Poisons Standard, </w:t>
      </w:r>
      <w:r w:rsidRPr="00C42251">
        <w:t xml:space="preserve">Appendix M criteria should </w:t>
      </w:r>
      <w:r w:rsidR="00D878DE" w:rsidRPr="00C42251">
        <w:t xml:space="preserve">be </w:t>
      </w:r>
      <w:r w:rsidRPr="00C42251">
        <w:t>well defined</w:t>
      </w:r>
      <w:r w:rsidR="00D878DE" w:rsidRPr="00C42251">
        <w:t>,</w:t>
      </w:r>
      <w:r w:rsidRPr="00C42251">
        <w:t xml:space="preserve"> </w:t>
      </w:r>
      <w:r w:rsidR="003576D0" w:rsidRPr="00C42251">
        <w:t xml:space="preserve">but </w:t>
      </w:r>
      <w:r w:rsidR="00587CFD" w:rsidRPr="00C42251">
        <w:t>allow</w:t>
      </w:r>
      <w:r w:rsidR="003576D0" w:rsidRPr="00C42251">
        <w:t xml:space="preserve"> </w:t>
      </w:r>
      <w:r w:rsidR="005A4E99" w:rsidRPr="00C42251">
        <w:t xml:space="preserve">for </w:t>
      </w:r>
      <w:r w:rsidR="00587CFD" w:rsidRPr="00C42251">
        <w:t xml:space="preserve">the </w:t>
      </w:r>
      <w:r w:rsidR="003576D0" w:rsidRPr="00C42251">
        <w:t xml:space="preserve">flexibility to address </w:t>
      </w:r>
      <w:r w:rsidR="00BD2803" w:rsidRPr="00C42251">
        <w:t>specific safeguards that may be required for individual substances</w:t>
      </w:r>
      <w:r w:rsidRPr="00C42251">
        <w:t xml:space="preserve">. </w:t>
      </w:r>
      <w:r w:rsidR="00BD2803" w:rsidRPr="00C42251">
        <w:t xml:space="preserve">It is proposed </w:t>
      </w:r>
      <w:r w:rsidRPr="00C42251">
        <w:t>to have a set list of common criteria, some or all of which could be applied to each</w:t>
      </w:r>
      <w:r w:rsidR="00626AB1" w:rsidRPr="00C42251">
        <w:t xml:space="preserve"> new substance considered for addition to Appendix M, depending on the specific risks identified as </w:t>
      </w:r>
      <w:r w:rsidR="00BD2803" w:rsidRPr="00C42251">
        <w:t xml:space="preserve">requiring additional controls to manage risks in </w:t>
      </w:r>
      <w:r w:rsidR="00D17979" w:rsidRPr="00C42251">
        <w:t>down schedul</w:t>
      </w:r>
      <w:r w:rsidR="00BD2803" w:rsidRPr="00C42251">
        <w:t>ing</w:t>
      </w:r>
      <w:r w:rsidR="00626AB1" w:rsidRPr="00C42251">
        <w:t xml:space="preserve"> </w:t>
      </w:r>
      <w:r w:rsidR="00587CFD" w:rsidRPr="00C42251">
        <w:t xml:space="preserve">to </w:t>
      </w:r>
      <w:r w:rsidR="00626AB1" w:rsidRPr="00C42251">
        <w:t>S3</w:t>
      </w:r>
      <w:r w:rsidR="00BD2803" w:rsidRPr="00C42251">
        <w:t xml:space="preserve">. </w:t>
      </w:r>
      <w:r w:rsidR="005A4E99" w:rsidRPr="00C42251">
        <w:t>In addition (or in place of specific criteria) the Delegate can impose additional criteria on Appendix M substances on a case by case basis, where warranted and on the advice of the ACMS.</w:t>
      </w:r>
      <w:r w:rsidR="00BD56D7" w:rsidRPr="00C42251">
        <w:t xml:space="preserve"> It is not intended that Appendix M controls would be routinely required for medicines that are rescheduled from S4 to S3.</w:t>
      </w:r>
    </w:p>
    <w:p w:rsidR="00D92A2C" w:rsidRDefault="00BD2803" w:rsidP="00C42251">
      <w:pPr>
        <w:rPr>
          <w:rFonts w:asciiTheme="minorHAnsi" w:hAnsiTheme="minorHAnsi"/>
          <w:szCs w:val="22"/>
        </w:rPr>
      </w:pPr>
      <w:r>
        <w:t>In general</w:t>
      </w:r>
      <w:r w:rsidR="00587CFD">
        <w:t>,</w:t>
      </w:r>
      <w:r>
        <w:t xml:space="preserve"> </w:t>
      </w:r>
      <w:r w:rsidR="00626AB1">
        <w:t xml:space="preserve">novel </w:t>
      </w:r>
      <w:r>
        <w:t xml:space="preserve">medicinal </w:t>
      </w:r>
      <w:r w:rsidR="00626AB1">
        <w:t xml:space="preserve">substances that have not benefited from a minimum period in widespread general </w:t>
      </w:r>
      <w:r w:rsidR="00D878DE">
        <w:t xml:space="preserve">use </w:t>
      </w:r>
      <w:r w:rsidR="00956D6D">
        <w:t>are typically scheduled as prescription-only substances, and it is anti</w:t>
      </w:r>
      <w:r w:rsidR="00587CFD">
        <w:t>cip</w:t>
      </w:r>
      <w:r w:rsidR="00956D6D">
        <w:t>ated that this practice would continue</w:t>
      </w:r>
      <w:r w:rsidR="00626AB1">
        <w:t xml:space="preserve">. </w:t>
      </w:r>
      <w:r w:rsidR="00C759B3">
        <w:t xml:space="preserve">Thus Appendix M would </w:t>
      </w:r>
      <w:r w:rsidR="00D9049C">
        <w:t>normally</w:t>
      </w:r>
      <w:r w:rsidR="00C759B3">
        <w:t xml:space="preserve"> only be considered for </w:t>
      </w:r>
      <w:r w:rsidR="00C759B3" w:rsidRPr="00587CFD">
        <w:rPr>
          <w:rFonts w:asciiTheme="minorHAnsi" w:hAnsiTheme="minorHAnsi"/>
          <w:szCs w:val="22"/>
        </w:rPr>
        <w:t>rescheduling purposes, not for newly</w:t>
      </w:r>
      <w:r w:rsidR="00956D6D" w:rsidRPr="00587CFD">
        <w:rPr>
          <w:rFonts w:asciiTheme="minorHAnsi" w:hAnsiTheme="minorHAnsi"/>
          <w:szCs w:val="22"/>
        </w:rPr>
        <w:t>-</w:t>
      </w:r>
      <w:r w:rsidR="00C759B3" w:rsidRPr="00587CFD">
        <w:rPr>
          <w:rFonts w:asciiTheme="minorHAnsi" w:hAnsiTheme="minorHAnsi"/>
          <w:szCs w:val="22"/>
        </w:rPr>
        <w:t>scheduled substances.</w:t>
      </w:r>
    </w:p>
    <w:p w:rsidR="00053446" w:rsidRDefault="007C371A" w:rsidP="00BB0B55">
      <w:pPr>
        <w:rPr>
          <w:rFonts w:asciiTheme="minorHAnsi" w:hAnsiTheme="minorHAnsi"/>
          <w:szCs w:val="22"/>
        </w:rPr>
      </w:pPr>
      <w:r w:rsidRPr="00587CFD">
        <w:rPr>
          <w:color w:val="000000"/>
        </w:rPr>
        <w:t>Where pharmacist training is referenced in the criteria for Appendix</w:t>
      </w:r>
      <w:r w:rsidRPr="00587CFD">
        <w:rPr>
          <w:color w:val="002C47" w:themeColor="text1"/>
        </w:rPr>
        <w:t xml:space="preserve"> </w:t>
      </w:r>
      <w:r>
        <w:t>M, it is envisaged that this will be focussed on the specific substance and associated conditions in question and that training requirements would be relatively concise, easily accessible and not onerous in nature</w:t>
      </w:r>
      <w:r w:rsidR="00F14BBC">
        <w:t xml:space="preserve"> in most cases</w:t>
      </w:r>
      <w:r>
        <w:t>. They could take the form of optional Continuing Professional Develo</w:t>
      </w:r>
      <w:r w:rsidR="00EE77F8">
        <w:t>pment (CPD) units developed by s</w:t>
      </w:r>
      <w:r>
        <w:t>ponsors and approved by relevant organisations. This training would be developed on a case by case basis for each Appendix M entry.</w:t>
      </w:r>
    </w:p>
    <w:p w:rsidR="00053446" w:rsidRDefault="00BD7524" w:rsidP="00C42251">
      <w:r>
        <w:t>It will be important for pharmaci</w:t>
      </w:r>
      <w:r w:rsidR="00053446" w:rsidRPr="0007559B">
        <w:t>s</w:t>
      </w:r>
      <w:r>
        <w:t>ts</w:t>
      </w:r>
      <w:r w:rsidR="00053446" w:rsidRPr="0007559B">
        <w:t xml:space="preserve"> to emphasise the ongoing role of pharmacist/ prescriber collaboration in healthcare management of individuals.</w:t>
      </w:r>
      <w:r>
        <w:t xml:space="preserve"> T</w:t>
      </w:r>
      <w:r w:rsidR="00053446" w:rsidRPr="0007559B">
        <w:t>he importance of patients advising their doctor of all medicines they are currently taking, including OTC and complementary medicines should be emphasised</w:t>
      </w:r>
      <w:r w:rsidR="00BB0B55">
        <w:t>.</w:t>
      </w:r>
    </w:p>
    <w:p w:rsidR="00BD7524" w:rsidRDefault="00BD7524" w:rsidP="00BB0B55">
      <w:r>
        <w:t xml:space="preserve">As an additional consideration, the nature of Appendix M and the additional controls placed in it are such that there are likely to be circumstances in which the substance cannot be provided as pharmacist only, either because the patient or pharmacist does not satisfy the additional controls. To ensure needed substances remain available, the Delegate could decide that the substance should also remain in S4. The effect of these provisions is such that Appendix M will function as a ‘stage down’ provision to enable down scheduling on S4 substances in a controlled and monitored fashion, where doubt exists as to the safety of doing so. The removal of Appendix M conditions, if and when considered appropriate, could be achieved through the usual mechanisms </w:t>
      </w:r>
      <w:r w:rsidR="00726939">
        <w:t>i.e.</w:t>
      </w:r>
      <w:r>
        <w:t xml:space="preserve"> by direct decision of the Delegate, or following an application to amend the Poisons Standard by any applicant.</w:t>
      </w:r>
    </w:p>
    <w:p w:rsidR="00053446" w:rsidRPr="00587CFD" w:rsidRDefault="00053446" w:rsidP="00BB0B55">
      <w:pPr>
        <w:rPr>
          <w:b/>
        </w:rPr>
      </w:pPr>
      <w:r w:rsidRPr="00C42251">
        <w:t>In considering criteria for Appendix M, it is important to note that the Poisons Standard, including Appendix M, is given legal effect by State and Territory legislation. Therefore, criteria should be framed in such a way as to allow for ready adoption by States and Territories through their usual processes. It is recognised that some of the criteria suggested below might more appropriately be considered the domain of professional practice standards, to be adopted by pharmacy professional and peak bodies, while others can be readily translated into State and Territory legislation. Accordingly, the suggested criteria are separated into two groups; criteria that could be directly regulated; and criteria that could be captured through a requirement to comply with specific professional practice standards as developed for each Appendix M item</w:t>
      </w:r>
      <w:r w:rsidR="00BB0B55">
        <w:rPr>
          <w:rFonts w:asciiTheme="minorHAnsi" w:hAnsiTheme="minorHAnsi"/>
          <w:szCs w:val="22"/>
        </w:rPr>
        <w:t>.</w:t>
      </w:r>
    </w:p>
    <w:p w:rsidR="00DE58F4" w:rsidRDefault="00956D6D" w:rsidP="00115AF7">
      <w:pPr>
        <w:pStyle w:val="Heading3"/>
      </w:pPr>
      <w:bookmarkStart w:id="14" w:name="_Toc1989346"/>
      <w:r>
        <w:lastRenderedPageBreak/>
        <w:t>Proposed</w:t>
      </w:r>
      <w:r w:rsidR="00545A3A">
        <w:t xml:space="preserve"> c</w:t>
      </w:r>
      <w:r w:rsidR="00DE58F4">
        <w:t>riteria</w:t>
      </w:r>
      <w:bookmarkEnd w:id="14"/>
    </w:p>
    <w:p w:rsidR="00591D45" w:rsidRDefault="00591D45" w:rsidP="00591D45">
      <w:r w:rsidRPr="00591D45">
        <w:t>A range of potential criteria for application to Appendix M subst</w:t>
      </w:r>
      <w:r w:rsidR="00E30220">
        <w:t>ances has been identified. The D</w:t>
      </w:r>
      <w:r w:rsidRPr="00591D45">
        <w:t>elegate</w:t>
      </w:r>
      <w:r w:rsidR="00E30220">
        <w:t xml:space="preserve"> and the ACMS (in advising the D</w:t>
      </w:r>
      <w:r w:rsidRPr="00591D45">
        <w:t>elegate) may require that one, some or several of these criteria be applied under an Appendix M entry for the Schedule 3 substance</w:t>
      </w:r>
      <w:r w:rsidR="00E30220">
        <w:t>.</w:t>
      </w:r>
    </w:p>
    <w:p w:rsidR="00053446" w:rsidRDefault="00053446" w:rsidP="00053446">
      <w:pPr>
        <w:pStyle w:val="Heading4"/>
      </w:pPr>
      <w:r>
        <w:t>Group 1: Criteria that could be directly regulated via State and Territory legislation</w:t>
      </w:r>
    </w:p>
    <w:p w:rsidR="00053446" w:rsidRPr="00053446" w:rsidRDefault="00053446" w:rsidP="00BB0B55">
      <w:pPr>
        <w:pStyle w:val="Numberbullet0"/>
      </w:pPr>
      <w:r w:rsidRPr="00053446">
        <w:t>Specific advice by the pharmacist (patient education) is required</w:t>
      </w:r>
    </w:p>
    <w:p w:rsidR="00053446" w:rsidRDefault="00053446" w:rsidP="00DB5119">
      <w:pPr>
        <w:ind w:left="426"/>
      </w:pPr>
      <w:r w:rsidRPr="00587CFD">
        <w:t xml:space="preserve">This criterion identifies </w:t>
      </w:r>
      <w:r>
        <w:t xml:space="preserve">advice on </w:t>
      </w:r>
      <w:r w:rsidRPr="00587CFD">
        <w:t xml:space="preserve">mandatory warnings to be applied to medicines </w:t>
      </w:r>
      <w:r>
        <w:t xml:space="preserve">containing S3, Appendix M </w:t>
      </w:r>
      <w:r w:rsidRPr="00587CFD">
        <w:t xml:space="preserve">substances when </w:t>
      </w:r>
      <w:r>
        <w:t xml:space="preserve">they are </w:t>
      </w:r>
      <w:r w:rsidRPr="00587CFD">
        <w:t>supplied</w:t>
      </w:r>
      <w:r>
        <w:t>. I</w:t>
      </w:r>
      <w:r w:rsidRPr="00587CFD">
        <w:t xml:space="preserve">nformation </w:t>
      </w:r>
      <w:r>
        <w:t xml:space="preserve">may be required </w:t>
      </w:r>
      <w:r w:rsidRPr="00587CFD">
        <w:t xml:space="preserve">to be provided to </w:t>
      </w:r>
      <w:r>
        <w:t xml:space="preserve">the </w:t>
      </w:r>
      <w:r w:rsidRPr="00587CFD">
        <w:t>patient about side effects</w:t>
      </w:r>
      <w:r>
        <w:t xml:space="preserve">, </w:t>
      </w:r>
      <w:r w:rsidRPr="00587CFD">
        <w:t>drug</w:t>
      </w:r>
      <w:r>
        <w:t>-drug</w:t>
      </w:r>
      <w:r w:rsidRPr="00587CFD">
        <w:t xml:space="preserve"> interactions and/or health conditions </w:t>
      </w:r>
      <w:r>
        <w:t>that are contraindicated with the use of the</w:t>
      </w:r>
      <w:r w:rsidRPr="00587CFD">
        <w:t xml:space="preserve"> substance, including advice on when to seek medical review. This may be required to be provided as oral and/or written advice.</w:t>
      </w:r>
    </w:p>
    <w:p w:rsidR="00053446" w:rsidRPr="00115AF7" w:rsidRDefault="00053446" w:rsidP="00BB0B55">
      <w:pPr>
        <w:pStyle w:val="Numberbullet0"/>
      </w:pPr>
      <w:r w:rsidRPr="00115AF7">
        <w:t>Specific pharmacist training on the provision of the medicine may be required</w:t>
      </w:r>
    </w:p>
    <w:p w:rsidR="00053446" w:rsidRDefault="00053446" w:rsidP="00DB5119">
      <w:pPr>
        <w:ind w:left="426"/>
      </w:pPr>
      <w:r w:rsidRPr="00587CFD">
        <w:t>A training package for provision of medicines containing each S3</w:t>
      </w:r>
      <w:r w:rsidR="00EE77F8">
        <w:t>,</w:t>
      </w:r>
      <w:r>
        <w:t xml:space="preserve"> Appendix </w:t>
      </w:r>
      <w:r w:rsidRPr="00587CFD">
        <w:t xml:space="preserve">M substance would be developed by the sponsor </w:t>
      </w:r>
      <w:r w:rsidR="007917FA">
        <w:t xml:space="preserve">in conjunction with </w:t>
      </w:r>
      <w:r w:rsidRPr="00587CFD">
        <w:t>an appropriate provider, such as the P</w:t>
      </w:r>
      <w:r>
        <w:t>SA</w:t>
      </w:r>
      <w:r w:rsidRPr="00587CFD">
        <w:t xml:space="preserve">. </w:t>
      </w:r>
      <w:r>
        <w:t xml:space="preserve">This could be modelled on existing specific pharmacist training packages, such as those on provision of emergency contraception. </w:t>
      </w:r>
      <w:r w:rsidRPr="00587CFD">
        <w:t xml:space="preserve">Minimum requirements for training packages will be described in the application for rescheduling. Pharmacists would be required to successfully complete this training prior to being eligible to provide each substance under Appendix M. </w:t>
      </w:r>
      <w:r>
        <w:t>It is anticipated that individua</w:t>
      </w:r>
      <w:r w:rsidR="007917FA">
        <w:t xml:space="preserve">l pharmacists, business owners and </w:t>
      </w:r>
      <w:r>
        <w:t>the training provider</w:t>
      </w:r>
      <w:r w:rsidR="007917FA">
        <w:t xml:space="preserve">, including </w:t>
      </w:r>
      <w:r w:rsidR="00726939">
        <w:t>e.g.</w:t>
      </w:r>
      <w:r w:rsidR="007917FA">
        <w:t xml:space="preserve"> the sponsor and the PSA, </w:t>
      </w:r>
      <w:r>
        <w:t xml:space="preserve">would </w:t>
      </w:r>
      <w:r w:rsidR="007917FA">
        <w:t>retain</w:t>
      </w:r>
      <w:r>
        <w:t xml:space="preserve"> records of the pharmacists who have completed training.</w:t>
      </w:r>
    </w:p>
    <w:p w:rsidR="00053446" w:rsidRPr="00673C67" w:rsidRDefault="00053446" w:rsidP="00BB0B55">
      <w:pPr>
        <w:pStyle w:val="Numberbullet0"/>
      </w:pPr>
      <w:r w:rsidRPr="00673C67">
        <w:t>Additional conditions may be imposed</w:t>
      </w:r>
    </w:p>
    <w:p w:rsidR="00053446" w:rsidRDefault="00053446" w:rsidP="00DB5119">
      <w:pPr>
        <w:ind w:left="426"/>
      </w:pPr>
      <w:r>
        <w:t>Appendix M would also contain the general provision that the Scheduling Delegate may impose additional controls on substances on a case by case basis where deemed necessary, on the advice of the Advisory Committee on Medicines Scheduling. Depending on the nature of any additional controls, these might be directly implemented by States and Territories, or could be incorporated into professional practice standards, as for Group 2.</w:t>
      </w:r>
    </w:p>
    <w:p w:rsidR="00053446" w:rsidRDefault="00053446" w:rsidP="00BB0B55">
      <w:pPr>
        <w:pStyle w:val="Heading4"/>
      </w:pPr>
      <w:proofErr w:type="gramStart"/>
      <w:r>
        <w:t xml:space="preserve">Group 2: Criteria that could be developed into item-specific professional practice </w:t>
      </w:r>
      <w:r w:rsidRPr="00BB0B55">
        <w:t>standards</w:t>
      </w:r>
      <w:r>
        <w:t>, which must be complied with as a condition of supply of an Appendix M good.</w:t>
      </w:r>
      <w:proofErr w:type="gramEnd"/>
    </w:p>
    <w:p w:rsidR="00053446" w:rsidRPr="00053446" w:rsidRDefault="00053446" w:rsidP="00BB0B55">
      <w:pPr>
        <w:pStyle w:val="Numberbullet0"/>
      </w:pPr>
      <w:r w:rsidRPr="00053446">
        <w:t>Suitability of individual patient for supply of medicines containing an S3, Appendix M  substance to be assessed by the pharmacist</w:t>
      </w:r>
    </w:p>
    <w:p w:rsidR="00053446" w:rsidRDefault="00053446" w:rsidP="00DB5119">
      <w:pPr>
        <w:ind w:left="426"/>
      </w:pPr>
      <w:r w:rsidRPr="00DA1573">
        <w:t xml:space="preserve">This would include use of </w:t>
      </w:r>
      <w:r w:rsidR="003E22E9">
        <w:t>clinica</w:t>
      </w:r>
      <w:r w:rsidR="00BD7524">
        <w:t>l</w:t>
      </w:r>
      <w:r w:rsidR="003E22E9">
        <w:t xml:space="preserve"> decision making tools such as questionnaires, checklists or guidelines</w:t>
      </w:r>
      <w:r w:rsidRPr="00DA1573">
        <w:t xml:space="preserve"> by pharmacists in determining whether supply of an S3</w:t>
      </w:r>
      <w:r w:rsidR="00EE77F8">
        <w:t>,</w:t>
      </w:r>
      <w:r w:rsidRPr="00DA1573">
        <w:t xml:space="preserve"> Appendix M substance is appropriate. </w:t>
      </w:r>
      <w:r w:rsidR="003E22E9">
        <w:t>These</w:t>
      </w:r>
      <w:r w:rsidRPr="00DA1573">
        <w:t xml:space="preserve"> would cover information about general health conditions, patient characteristics, existing medications and co-morbidities pertinent to the substance in question and clearly state relative and absolute contraindications to supply, including relevant patient exclusions. Full assessment might be required on each supply or at periodic intervals (e.g. once a year, every third supply etc.).</w:t>
      </w:r>
    </w:p>
    <w:p w:rsidR="00053446" w:rsidRPr="00DA1573" w:rsidRDefault="00053446" w:rsidP="00BB0B55">
      <w:pPr>
        <w:pStyle w:val="Numberbullet0"/>
        <w:keepNext/>
      </w:pPr>
      <w:r w:rsidRPr="00DA1573">
        <w:lastRenderedPageBreak/>
        <w:t>Record keeping and information sharing</w:t>
      </w:r>
    </w:p>
    <w:p w:rsidR="00F14BBC" w:rsidRPr="00F14BBC" w:rsidRDefault="00F14BBC" w:rsidP="00F14BBC">
      <w:pPr>
        <w:ind w:left="426"/>
      </w:pPr>
      <w:r>
        <w:t>P</w:t>
      </w:r>
      <w:r w:rsidR="00053446" w:rsidRPr="00DA1573">
        <w:t>harmacists would be required to retain patient questionnaires or records of interview and related data on supply of</w:t>
      </w:r>
      <w:r w:rsidR="00EE77F8">
        <w:t xml:space="preserve"> S3,</w:t>
      </w:r>
      <w:r w:rsidR="00053446" w:rsidRPr="00DA1573">
        <w:t xml:space="preserve"> Appendix M goods for a specified period. </w:t>
      </w:r>
      <w:r w:rsidRPr="00F14BBC">
        <w:t>Records and related data</w:t>
      </w:r>
      <w:r>
        <w:t xml:space="preserve"> could</w:t>
      </w:r>
      <w:r w:rsidRPr="00F14BBC">
        <w:t xml:space="preserve"> include:</w:t>
      </w:r>
    </w:p>
    <w:p w:rsidR="00F14BBC" w:rsidRPr="00F14BBC" w:rsidRDefault="00F14BBC" w:rsidP="00BB0B55">
      <w:pPr>
        <w:pStyle w:val="ListBullet"/>
        <w:ind w:left="851" w:hanging="425"/>
      </w:pPr>
      <w:r w:rsidRPr="00F14BBC">
        <w:t xml:space="preserve">all material and information used to support pharmacist decision making </w:t>
      </w:r>
      <w:r w:rsidR="00EE77F8">
        <w:t>in supply of an Appendix M good, and</w:t>
      </w:r>
    </w:p>
    <w:p w:rsidR="00F14BBC" w:rsidRPr="00F14BBC" w:rsidRDefault="00F14BBC" w:rsidP="00BB0B55">
      <w:pPr>
        <w:pStyle w:val="ListBullet"/>
        <w:ind w:left="851" w:hanging="425"/>
      </w:pPr>
      <w:proofErr w:type="gramStart"/>
      <w:r w:rsidRPr="00F14BBC">
        <w:t>any</w:t>
      </w:r>
      <w:proofErr w:type="gramEnd"/>
      <w:r w:rsidRPr="00F14BBC">
        <w:t xml:space="preserve"> other evidence of compliance with Appendix M criteria as relevant (</w:t>
      </w:r>
      <w:r w:rsidR="00726939" w:rsidRPr="00F14BBC">
        <w:t>e.g.</w:t>
      </w:r>
      <w:r w:rsidRPr="00F14BBC">
        <w:t xml:space="preserve"> demonstrate use of labels, patient information sheets , information sharing practices with GPs)</w:t>
      </w:r>
      <w:r w:rsidR="00EE77F8">
        <w:t>.</w:t>
      </w:r>
    </w:p>
    <w:p w:rsidR="003E22E9" w:rsidRDefault="003E22E9" w:rsidP="00DB5119">
      <w:pPr>
        <w:ind w:left="426"/>
      </w:pPr>
      <w:r>
        <w:t xml:space="preserve">It is not expected that systems for real-time data collection and sharing (for example, as used currently for pseudoephedrine) would typically be required for </w:t>
      </w:r>
      <w:r w:rsidR="00EE77F8">
        <w:t xml:space="preserve">S3, </w:t>
      </w:r>
      <w:r>
        <w:t>Appendix M goods, although this is an option that could be considered by the Delegate in specific cases.</w:t>
      </w:r>
    </w:p>
    <w:p w:rsidR="00053446" w:rsidRDefault="00F14BBC" w:rsidP="00DB5119">
      <w:pPr>
        <w:ind w:left="426"/>
      </w:pPr>
      <w:r w:rsidRPr="00F14BBC">
        <w:t>A requirement to share information relating to the supply of goods with the patient’s GP could also be considered</w:t>
      </w:r>
      <w:r w:rsidR="003E22E9">
        <w:t xml:space="preserve"> on a case by case basis</w:t>
      </w:r>
      <w:r w:rsidRPr="00F14BBC">
        <w:t xml:space="preserve">. Information sharing could be through any agreed method by the pharmacy and relevant GPs, including, but not limited to, use of </w:t>
      </w:r>
      <w:proofErr w:type="spellStart"/>
      <w:r w:rsidRPr="00F14BBC">
        <w:t>MyHealth</w:t>
      </w:r>
      <w:proofErr w:type="spellEnd"/>
      <w:r w:rsidRPr="00F14BBC">
        <w:t xml:space="preserve"> Records or direct, electronic communication with the practice, and would be subject to all applicable legislative restrictions</w:t>
      </w:r>
      <w:r w:rsidR="003E22E9">
        <w:t xml:space="preserve">, including patient consent </w:t>
      </w:r>
      <w:r w:rsidR="00BB0B55">
        <w:t>for the sharing of information.</w:t>
      </w:r>
    </w:p>
    <w:p w:rsidR="00053446" w:rsidRPr="00DA1573" w:rsidRDefault="00053446" w:rsidP="00BB0B55">
      <w:pPr>
        <w:pStyle w:val="Numberbullet0"/>
      </w:pPr>
      <w:r w:rsidRPr="00DA1573">
        <w:t>Limitations on duration, quan</w:t>
      </w:r>
      <w:r w:rsidR="00AD67BA">
        <w:t>tity and/or frequency of supply</w:t>
      </w:r>
    </w:p>
    <w:p w:rsidR="00053446" w:rsidRDefault="00053446" w:rsidP="00C42251">
      <w:pPr>
        <w:ind w:left="426"/>
      </w:pPr>
      <w:r>
        <w:t>While the maximum quantity (and strength) of doses containing particular substances able to be supplied per pack can be specified in the Schedule 3 entry for an S3, Appendix M substance, it is proposed the S3, Appendix M entry could specify</w:t>
      </w:r>
      <w:r w:rsidR="00BD7524">
        <w:t xml:space="preserve"> additional</w:t>
      </w:r>
      <w:r>
        <w:t xml:space="preserve"> </w:t>
      </w:r>
      <w:r w:rsidRPr="00C1236F">
        <w:t>l</w:t>
      </w:r>
      <w:r w:rsidRPr="00587CFD">
        <w:t xml:space="preserve">imitations on duration, quantity and/or frequency of supply </w:t>
      </w:r>
      <w:r>
        <w:t>of products containi</w:t>
      </w:r>
      <w:r w:rsidR="00BD7524">
        <w:t xml:space="preserve">ng an S3, Appendix M substance. </w:t>
      </w:r>
      <w:r>
        <w:t>This could potentially form part of state and territory regulation or be considered as a component of good pharmacy practice</w:t>
      </w:r>
      <w:r w:rsidR="00E30220">
        <w:t>.</w:t>
      </w:r>
    </w:p>
    <w:p w:rsidR="00053446" w:rsidRPr="00587CFD" w:rsidRDefault="00053446" w:rsidP="00DB5119">
      <w:pPr>
        <w:spacing w:line="240" w:lineRule="auto"/>
        <w:ind w:left="426"/>
      </w:pPr>
      <w:r>
        <w:t xml:space="preserve">Examples of conditions that could be applied include: that the </w:t>
      </w:r>
      <w:r w:rsidR="00BD7524">
        <w:t xml:space="preserve">substance </w:t>
      </w:r>
      <w:r w:rsidRPr="00587CFD">
        <w:t>be supplied</w:t>
      </w:r>
      <w:r>
        <w:t xml:space="preserve"> from a particular pharmacy</w:t>
      </w:r>
      <w:r w:rsidRPr="00587CFD">
        <w:t xml:space="preserve"> not more than twice in a 12 month period; or not more than 20 tablets to be supplied at one time; or for no longer than 6 months without evidence of appropriate clinical review; or not without evidence of stable disease not requiring dose adjustments for at least 6 months.</w:t>
      </w:r>
      <w:r>
        <w:t xml:space="preserve"> It is recognised that the patient could seek supp</w:t>
      </w:r>
      <w:r w:rsidR="00BD7524">
        <w:t>ly from an alternative pharmacy</w:t>
      </w:r>
      <w:r>
        <w:t>.</w:t>
      </w:r>
      <w:r w:rsidR="00BD7524">
        <w:t xml:space="preserve"> This is a risk for any patient consultation process and could be mitigated by </w:t>
      </w:r>
      <w:r w:rsidR="00DE0F20">
        <w:t>the provision of advisory information under the first criterion, to ensure patient awareness of the risks of inappropriate use of the substance in question, or that a continued need to use the Appendix M good in excess of the restrictions on OTC supply would indicate a need for medical review.</w:t>
      </w:r>
      <w:r>
        <w:t xml:space="preserve"> </w:t>
      </w:r>
      <w:r w:rsidR="00DE0F20">
        <w:t>If such measures were considered inadequate</w:t>
      </w:r>
      <w:r>
        <w:t xml:space="preserve"> </w:t>
      </w:r>
      <w:r w:rsidR="00DE0F20">
        <w:t>mitigation for the risks posed, it is likely the substance in question would remain S4 only.</w:t>
      </w:r>
    </w:p>
    <w:p w:rsidR="00053446" w:rsidRPr="00DA1573" w:rsidRDefault="00053446" w:rsidP="00BB0B55">
      <w:pPr>
        <w:pStyle w:val="Numberbullet0"/>
      </w:pPr>
      <w:r w:rsidRPr="00DA1573">
        <w:t>Need for formal diagnosis or periodic review of the cond</w:t>
      </w:r>
      <w:r w:rsidR="00AD67BA">
        <w:t>ition by a medical practitioner</w:t>
      </w:r>
    </w:p>
    <w:p w:rsidR="00053446" w:rsidRDefault="00053446" w:rsidP="00053446">
      <w:pPr>
        <w:spacing w:line="240" w:lineRule="auto"/>
        <w:ind w:left="426"/>
      </w:pPr>
      <w:r>
        <w:t xml:space="preserve">For some substances, it may be appropriate that they only be </w:t>
      </w:r>
      <w:r w:rsidRPr="00587CFD">
        <w:t xml:space="preserve">supplied </w:t>
      </w:r>
      <w:r>
        <w:t>if the patient has had a formal diagnosis or periodic review of the condition by</w:t>
      </w:r>
      <w:r w:rsidR="00DE0F20">
        <w:t xml:space="preserve"> a medical practitioner within </w:t>
      </w:r>
      <w:r>
        <w:t xml:space="preserve">a specified timeframe. </w:t>
      </w:r>
      <w:r w:rsidR="00DE0F20">
        <w:t xml:space="preserve">Assessing this could form </w:t>
      </w:r>
      <w:r>
        <w:t xml:space="preserve">part of the patient interview or questionnaire, </w:t>
      </w:r>
      <w:r w:rsidR="00DE0F20">
        <w:t>and include consideration of recent prescriptions</w:t>
      </w:r>
      <w:r w:rsidR="002951D1">
        <w:t>, specialist referrals or notes or any other documentation held by the patient</w:t>
      </w:r>
      <w:r>
        <w:t>.</w:t>
      </w:r>
      <w:r w:rsidR="002951D1">
        <w:t xml:space="preserve"> Determining an acceptable level of evidence to confirm whether a patient has a formal </w:t>
      </w:r>
      <w:r w:rsidR="00726939">
        <w:t>diagnosis</w:t>
      </w:r>
      <w:r w:rsidR="002951D1">
        <w:t xml:space="preserve"> or has been recently reviewed would be guided by professional practice standards, but ultimately be at the discretion of pharmacists on a case by case basis.</w:t>
      </w:r>
    </w:p>
    <w:tbl>
      <w:tblPr>
        <w:tblW w:w="9101" w:type="dxa"/>
        <w:tblLayout w:type="fixed"/>
        <w:tblCellMar>
          <w:left w:w="0" w:type="dxa"/>
          <w:right w:w="0" w:type="dxa"/>
        </w:tblCellMar>
        <w:tblLook w:val="04A0" w:firstRow="1" w:lastRow="0" w:firstColumn="1" w:lastColumn="0" w:noHBand="0" w:noVBand="1"/>
      </w:tblPr>
      <w:tblGrid>
        <w:gridCol w:w="1285"/>
        <w:gridCol w:w="7816"/>
      </w:tblGrid>
      <w:tr w:rsidR="007E4B0A" w:rsidRPr="00072203" w:rsidTr="00115AF7">
        <w:trPr>
          <w:trHeight w:val="405"/>
        </w:trPr>
        <w:tc>
          <w:tcPr>
            <w:tcW w:w="1285" w:type="dxa"/>
            <w:vAlign w:val="center"/>
          </w:tcPr>
          <w:p w:rsidR="007E4B0A" w:rsidRPr="00072203" w:rsidRDefault="007E4B0A" w:rsidP="009171BF">
            <w:pPr>
              <w:spacing w:before="0"/>
              <w:rPr>
                <w:sz w:val="20"/>
              </w:rPr>
            </w:pPr>
            <w:r w:rsidRPr="00072203">
              <w:rPr>
                <w:noProof/>
                <w:sz w:val="20"/>
                <w:lang w:eastAsia="en-AU"/>
              </w:rPr>
              <w:lastRenderedPageBreak/>
              <w:drawing>
                <wp:inline distT="0" distB="0" distL="0" distR="0" wp14:anchorId="7CDBC026" wp14:editId="156777A1">
                  <wp:extent cx="489600" cy="489600"/>
                  <wp:effectExtent l="0" t="0" r="5715" b="5715"/>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laceyg\AppData\Local\Microsoft\Windows\Temporary Internet Files\Content.IE5\1L6LQT4S\1390060157[1].png"/>
                          <pic:cNvPicPr>
                            <a:picLocks noChangeAspect="1" noChangeArrowheads="1"/>
                          </pic:cNvPicPr>
                        </pic:nvPicPr>
                        <pic:blipFill>
                          <a:blip r:embed="rId23" cstate="print">
                            <a:extLst>
                              <a:ext uri="{28A0092B-C50C-407E-A947-70E740481C1C}">
                                <a14:useLocalDpi xmlns:a14="http://schemas.microsoft.com/office/drawing/2010/main" val="0"/>
                              </a:ext>
                            </a:extLst>
                          </a:blip>
                          <a:stretch>
                            <a:fillRect/>
                          </a:stretch>
                        </pic:blipFill>
                        <pic:spPr bwMode="auto">
                          <a:xfrm>
                            <a:off x="0" y="0"/>
                            <a:ext cx="489600" cy="489600"/>
                          </a:xfrm>
                          <a:prstGeom prst="rect">
                            <a:avLst/>
                          </a:prstGeom>
                          <a:noFill/>
                          <a:ln>
                            <a:noFill/>
                          </a:ln>
                        </pic:spPr>
                      </pic:pic>
                    </a:graphicData>
                  </a:graphic>
                </wp:inline>
              </w:drawing>
            </w:r>
          </w:p>
        </w:tc>
        <w:tc>
          <w:tcPr>
            <w:tcW w:w="7816" w:type="dxa"/>
            <w:shd w:val="clear" w:color="auto" w:fill="EAEAEA"/>
            <w:tcMar>
              <w:top w:w="170" w:type="dxa"/>
              <w:left w:w="170" w:type="dxa"/>
              <w:bottom w:w="170" w:type="dxa"/>
              <w:right w:w="170" w:type="dxa"/>
            </w:tcMar>
          </w:tcPr>
          <w:p w:rsidR="007E4B0A" w:rsidRPr="007E4B0A" w:rsidRDefault="007E4B0A" w:rsidP="00AD67BA">
            <w:pPr>
              <w:pStyle w:val="ListBullet"/>
            </w:pPr>
            <w:r w:rsidRPr="007E4B0A">
              <w:t xml:space="preserve">Do you agree with the above criteria? </w:t>
            </w:r>
            <w:r w:rsidR="00C97281">
              <w:t>If so w</w:t>
            </w:r>
            <w:r w:rsidRPr="007E4B0A">
              <w:t>hy/why not?</w:t>
            </w:r>
          </w:p>
          <w:p w:rsidR="007E4B0A" w:rsidRPr="007E4B0A" w:rsidRDefault="007E4B0A" w:rsidP="00BB0B55">
            <w:pPr>
              <w:pStyle w:val="ListBullet"/>
            </w:pPr>
            <w:r w:rsidRPr="007E4B0A">
              <w:t>Do you foresee issues with implement</w:t>
            </w:r>
            <w:r w:rsidR="00AD67BA">
              <w:t>ation of any of these criteria?</w:t>
            </w:r>
          </w:p>
          <w:p w:rsidR="007E4B0A" w:rsidRPr="007E4B0A" w:rsidRDefault="007E4B0A" w:rsidP="00BB0B55">
            <w:pPr>
              <w:pStyle w:val="ListBullet"/>
              <w:rPr>
                <w:rFonts w:ascii="Calibri" w:hAnsi="Calibri"/>
              </w:rPr>
            </w:pPr>
            <w:r w:rsidRPr="007E4B0A">
              <w:t>Are there additional criteria that should be included?</w:t>
            </w:r>
          </w:p>
        </w:tc>
      </w:tr>
    </w:tbl>
    <w:p w:rsidR="00BF6BA6" w:rsidRPr="00AD67BA" w:rsidRDefault="00545A3A" w:rsidP="00AD67BA">
      <w:pPr>
        <w:pStyle w:val="Heading2"/>
      </w:pPr>
      <w:bookmarkStart w:id="15" w:name="_Accompanying_Guidance_for"/>
      <w:bookmarkStart w:id="16" w:name="_Toc534986781"/>
      <w:bookmarkStart w:id="17" w:name="_Toc1989347"/>
      <w:bookmarkEnd w:id="15"/>
      <w:r>
        <w:t>Accompanying g</w:t>
      </w:r>
      <w:r w:rsidR="004462FE">
        <w:t>uidance for A</w:t>
      </w:r>
      <w:r w:rsidR="00BF6BA6">
        <w:t xml:space="preserve">ppendix </w:t>
      </w:r>
      <w:bookmarkEnd w:id="16"/>
      <w:r w:rsidR="004462FE">
        <w:t>M</w:t>
      </w:r>
      <w:bookmarkEnd w:id="17"/>
    </w:p>
    <w:p w:rsidR="00084F3C" w:rsidRDefault="00C759B3" w:rsidP="00AD67BA">
      <w:r>
        <w:t xml:space="preserve">There are three main documents in which applicants </w:t>
      </w:r>
      <w:r w:rsidR="00EE04B3">
        <w:t xml:space="preserve">can find information about requirements for </w:t>
      </w:r>
      <w:r>
        <w:t>rescheduling</w:t>
      </w:r>
      <w:r w:rsidR="00EE04B3">
        <w:t xml:space="preserve"> applications: the SPF, the </w:t>
      </w:r>
      <w:r w:rsidR="00544540">
        <w:t xml:space="preserve">Scheduling </w:t>
      </w:r>
      <w:r w:rsidR="00EE04B3">
        <w:t xml:space="preserve">Handbook </w:t>
      </w:r>
      <w:r w:rsidR="00544540">
        <w:t>(</w:t>
      </w:r>
      <w:hyperlink r:id="rId24" w:history="1">
        <w:r w:rsidR="00544540" w:rsidRPr="00544540">
          <w:rPr>
            <w:rStyle w:val="Hyperlink"/>
          </w:rPr>
          <w:t>the Handbook</w:t>
        </w:r>
      </w:hyperlink>
      <w:r w:rsidR="00544540">
        <w:t>)</w:t>
      </w:r>
      <w:r w:rsidR="005A4E99">
        <w:t xml:space="preserve"> </w:t>
      </w:r>
      <w:r w:rsidR="00EE04B3">
        <w:t>and the Application to Amend the Poisons Standard itself</w:t>
      </w:r>
      <w:r w:rsidR="00302347">
        <w:t xml:space="preserve"> [</w:t>
      </w:r>
      <w:hyperlink r:id="rId25" w:history="1">
        <w:r w:rsidR="00544540">
          <w:rPr>
            <w:rStyle w:val="Hyperlink"/>
          </w:rPr>
          <w:t>the Application</w:t>
        </w:r>
      </w:hyperlink>
      <w:r w:rsidR="00302347">
        <w:t>]</w:t>
      </w:r>
      <w:r w:rsidR="00EE04B3">
        <w:t xml:space="preserve">. Proposed changes to each to address Appendix M guidance </w:t>
      </w:r>
      <w:r w:rsidR="00E30220">
        <w:t>are</w:t>
      </w:r>
      <w:r w:rsidR="00166748">
        <w:t xml:space="preserve"> </w:t>
      </w:r>
      <w:r w:rsidR="00EE04B3">
        <w:t>discussed below.</w:t>
      </w:r>
    </w:p>
    <w:p w:rsidR="00084F3C" w:rsidRPr="00AD67BA" w:rsidRDefault="004462FE" w:rsidP="00AD67BA">
      <w:pPr>
        <w:pStyle w:val="Heading3"/>
      </w:pPr>
      <w:bookmarkStart w:id="18" w:name="_Toc1989348"/>
      <w:r>
        <w:t>The S</w:t>
      </w:r>
      <w:r w:rsidR="00DC3039">
        <w:t xml:space="preserve">cheduling </w:t>
      </w:r>
      <w:r>
        <w:t>P</w:t>
      </w:r>
      <w:r w:rsidR="00DC3039">
        <w:t xml:space="preserve">olicy </w:t>
      </w:r>
      <w:r>
        <w:t>F</w:t>
      </w:r>
      <w:r w:rsidR="00DC3039">
        <w:t>ramework</w:t>
      </w:r>
      <w:bookmarkEnd w:id="18"/>
    </w:p>
    <w:p w:rsidR="00EB3573" w:rsidRDefault="00EB3573" w:rsidP="00AD67BA">
      <w:r>
        <w:t>The SPF states:</w:t>
      </w:r>
    </w:p>
    <w:p w:rsidR="00EB3573" w:rsidRPr="00AD67BA" w:rsidRDefault="00EB3573" w:rsidP="00AD67BA">
      <w:pPr>
        <w:ind w:left="567"/>
        <w:rPr>
          <w:i/>
          <w:lang w:eastAsia="en-AU"/>
        </w:rPr>
      </w:pPr>
      <w:r w:rsidRPr="00AD67BA">
        <w:rPr>
          <w:i/>
          <w:lang w:eastAsia="en-AU"/>
        </w:rPr>
        <w:t>“The Secretary may, in consultation with ACMS, require additional controls or supply requirements for certain Schedule 3 substances to enable them to be provided by a pharmacist. This Appendix is intended to facilitate down scheduling from Schedule 4 to Schedule 3 where, for example, there is community need for access to a medicine but additional controls and oversight, including by the di</w:t>
      </w:r>
      <w:r w:rsidR="00AD67BA" w:rsidRPr="00AD67BA">
        <w:rPr>
          <w:i/>
          <w:lang w:eastAsia="en-AU"/>
        </w:rPr>
        <w:t>spensing pharmacist are needed.</w:t>
      </w:r>
    </w:p>
    <w:p w:rsidR="00EB3573" w:rsidRPr="00AD67BA" w:rsidRDefault="00EB3573" w:rsidP="00AD67BA">
      <w:pPr>
        <w:ind w:left="567"/>
        <w:rPr>
          <w:i/>
          <w:lang w:eastAsia="en-AU"/>
        </w:rPr>
      </w:pPr>
      <w:r w:rsidRPr="00AD67BA">
        <w:rPr>
          <w:i/>
          <w:lang w:eastAsia="en-AU"/>
        </w:rPr>
        <w:t xml:space="preserve">The substance and proposed intervention/additional requirement(s) will be listed in the Appendix. </w:t>
      </w:r>
    </w:p>
    <w:p w:rsidR="00EB3573" w:rsidRPr="00AD67BA" w:rsidRDefault="00EB3573" w:rsidP="00AD67BA">
      <w:pPr>
        <w:ind w:left="567"/>
        <w:rPr>
          <w:i/>
        </w:rPr>
      </w:pPr>
      <w:r w:rsidRPr="00AD67BA">
        <w:rPr>
          <w:i/>
          <w:lang w:eastAsia="en-AU"/>
        </w:rPr>
        <w:t>All proposals for inclusion in Appendix M must be referred to ACMS and undergo public consultation.”</w:t>
      </w:r>
    </w:p>
    <w:p w:rsidR="00EB3573" w:rsidRDefault="00EB3573" w:rsidP="00EB3573">
      <w:r>
        <w:t>Appendix M is further explained in a note to the Scheduling Factors for S3 which states:</w:t>
      </w:r>
    </w:p>
    <w:p w:rsidR="00EB3573" w:rsidRPr="00AD67BA" w:rsidRDefault="00EB3573" w:rsidP="00AD67BA">
      <w:pPr>
        <w:ind w:left="567"/>
        <w:rPr>
          <w:i/>
        </w:rPr>
      </w:pPr>
      <w:r w:rsidRPr="00AD67BA">
        <w:rPr>
          <w:i/>
        </w:rPr>
        <w:t>“Additional controls over access and training for substances in Schedule 3 may be required through inclusion in Appendix M, particularly where the potential for severe and possibly irreversible injury may occur without the user being aware of exposure and/or where the pattern of use of the substance poses a significant risk from direct or indirect public exposure.”</w:t>
      </w:r>
    </w:p>
    <w:p w:rsidR="007C371A" w:rsidRPr="00CC0923" w:rsidRDefault="007C371A" w:rsidP="00AD67BA">
      <w:r>
        <w:t>It is not anticipated that any changes will be made to the SPF.</w:t>
      </w:r>
    </w:p>
    <w:p w:rsidR="00EE04B3" w:rsidRDefault="00EE04B3" w:rsidP="00AD67BA">
      <w:pPr>
        <w:pStyle w:val="Heading3"/>
      </w:pPr>
      <w:bookmarkStart w:id="19" w:name="_Toc1989349"/>
      <w:r>
        <w:t xml:space="preserve">The </w:t>
      </w:r>
      <w:r w:rsidR="004462FE" w:rsidRPr="00AD67BA">
        <w:t>S</w:t>
      </w:r>
      <w:r w:rsidR="000A2685" w:rsidRPr="00AD67BA">
        <w:t>cheduling</w:t>
      </w:r>
      <w:r w:rsidR="000A2685">
        <w:t xml:space="preserve"> </w:t>
      </w:r>
      <w:r w:rsidR="004462FE">
        <w:t>H</w:t>
      </w:r>
      <w:r>
        <w:t>andbook</w:t>
      </w:r>
      <w:bookmarkEnd w:id="19"/>
    </w:p>
    <w:p w:rsidR="00BF6BA6" w:rsidRDefault="00CC0923" w:rsidP="00AD67BA">
      <w:r>
        <w:t>The Handbook provides further guidance on the application of the SPF. At present, regarding rescheduling applications, the Handbook states:</w:t>
      </w:r>
    </w:p>
    <w:p w:rsidR="00CC0923" w:rsidRPr="00AD67BA" w:rsidRDefault="00CC0923" w:rsidP="00AD67BA">
      <w:pPr>
        <w:ind w:left="567"/>
        <w:rPr>
          <w:i/>
          <w:lang w:eastAsia="en-AU"/>
        </w:rPr>
      </w:pPr>
      <w:r w:rsidRPr="00AD67BA">
        <w:rPr>
          <w:i/>
          <w:lang w:eastAsia="en-AU"/>
        </w:rPr>
        <w:t>“Rescheduling applications are only made in relation to substances that have an existing (individual substance or class) entry or e</w:t>
      </w:r>
      <w:r w:rsidR="00AD67BA">
        <w:rPr>
          <w:i/>
          <w:lang w:eastAsia="en-AU"/>
        </w:rPr>
        <w:t>ntries in the Poisons Standard.</w:t>
      </w:r>
    </w:p>
    <w:p w:rsidR="00CC0923" w:rsidRPr="00AD67BA" w:rsidRDefault="00CC0923" w:rsidP="00AD67BA">
      <w:pPr>
        <w:ind w:left="567"/>
        <w:rPr>
          <w:i/>
          <w:lang w:eastAsia="en-AU"/>
        </w:rPr>
      </w:pPr>
      <w:r w:rsidRPr="00AD67BA">
        <w:rPr>
          <w:i/>
          <w:lang w:eastAsia="en-AU"/>
        </w:rPr>
        <w:t>When considering a rescheduling application the Secretary</w:t>
      </w:r>
      <w:r w:rsidR="00AD67BA">
        <w:rPr>
          <w:i/>
          <w:lang w:eastAsia="en-AU"/>
        </w:rPr>
        <w:t xml:space="preserve"> will decide:</w:t>
      </w:r>
    </w:p>
    <w:p w:rsidR="00CC0923" w:rsidRPr="00AD67BA" w:rsidRDefault="00CC0923" w:rsidP="00AD67BA">
      <w:pPr>
        <w:pStyle w:val="ListBullet"/>
        <w:ind w:left="993" w:hanging="426"/>
        <w:rPr>
          <w:i/>
          <w:lang w:eastAsia="en-AU"/>
        </w:rPr>
      </w:pPr>
      <w:r w:rsidRPr="00AD67BA">
        <w:rPr>
          <w:i/>
          <w:lang w:eastAsia="en-AU"/>
        </w:rPr>
        <w:t>the scope of the entry and the schedule(s) in which the substance is to be included</w:t>
      </w:r>
    </w:p>
    <w:p w:rsidR="00CC0923" w:rsidRPr="00AD67BA" w:rsidRDefault="00CC0923" w:rsidP="00AD67BA">
      <w:pPr>
        <w:pStyle w:val="ListBullet"/>
        <w:ind w:left="993" w:hanging="426"/>
        <w:rPr>
          <w:i/>
          <w:lang w:eastAsia="en-AU"/>
        </w:rPr>
      </w:pPr>
      <w:r w:rsidRPr="00AD67BA">
        <w:rPr>
          <w:i/>
          <w:lang w:eastAsia="en-AU"/>
        </w:rPr>
        <w:t>which other parts of the Poisons Standard may also apply to the substance”</w:t>
      </w:r>
    </w:p>
    <w:p w:rsidR="00595E61" w:rsidRDefault="00595E61" w:rsidP="00AD67BA">
      <w:r>
        <w:lastRenderedPageBreak/>
        <w:t>It is proposed that the Appendix M criteria wou</w:t>
      </w:r>
      <w:r w:rsidR="00AD67BA">
        <w:t>ld be included in the handbook.</w:t>
      </w:r>
    </w:p>
    <w:p w:rsidR="00EE04B3" w:rsidRDefault="00545A3A" w:rsidP="00AD67BA">
      <w:pPr>
        <w:pStyle w:val="Heading3"/>
      </w:pPr>
      <w:bookmarkStart w:id="20" w:name="_Toc1989350"/>
      <w:r>
        <w:t>The a</w:t>
      </w:r>
      <w:r w:rsidR="00544540">
        <w:t>pplication</w:t>
      </w:r>
      <w:r w:rsidR="004462FE">
        <w:t xml:space="preserve"> to </w:t>
      </w:r>
      <w:r w:rsidR="004462FE" w:rsidRPr="00AD67BA">
        <w:t>amend</w:t>
      </w:r>
      <w:r w:rsidR="004462FE">
        <w:t xml:space="preserve"> the P</w:t>
      </w:r>
      <w:r>
        <w:t>oisons</w:t>
      </w:r>
      <w:r w:rsidR="004462FE">
        <w:t xml:space="preserve"> S</w:t>
      </w:r>
      <w:r>
        <w:t>tandard</w:t>
      </w:r>
      <w:bookmarkEnd w:id="20"/>
    </w:p>
    <w:p w:rsidR="00F73E7B" w:rsidRDefault="00E03B5E" w:rsidP="00AD67BA">
      <w:r>
        <w:t xml:space="preserve">The application </w:t>
      </w:r>
      <w:r w:rsidR="00DA459C">
        <w:t>form specifies information</w:t>
      </w:r>
      <w:r w:rsidR="00302347">
        <w:t xml:space="preserve"> required for consideration of </w:t>
      </w:r>
      <w:r w:rsidR="00DA459C">
        <w:t>scheduling</w:t>
      </w:r>
      <w:r w:rsidR="00302347">
        <w:t xml:space="preserve"> and rescheduling</w:t>
      </w:r>
      <w:r w:rsidR="00DA459C">
        <w:t xml:space="preserve"> amendment</w:t>
      </w:r>
      <w:r w:rsidR="00166748">
        <w:t>s</w:t>
      </w:r>
      <w:r w:rsidR="00DA459C">
        <w:t xml:space="preserve">. Information regarding claims against the requirements of the scheduling policy framework is already provided for in Part 2.1 of the form, which specifies criteria that must be addressed in detail by the applicant in order for their application to be considered by the advisory committee. It is proposed that further criteria </w:t>
      </w:r>
      <w:r w:rsidR="00595E61">
        <w:t>w</w:t>
      </w:r>
      <w:r w:rsidR="00A005C6">
        <w:t>ould be added to the form</w:t>
      </w:r>
      <w:r w:rsidR="00DA459C">
        <w:t xml:space="preserve"> </w:t>
      </w:r>
      <w:r w:rsidR="002951D1">
        <w:t xml:space="preserve">by </w:t>
      </w:r>
      <w:r w:rsidR="00DA459C">
        <w:t>adding a new Part 2.3</w:t>
      </w:r>
      <w:r w:rsidR="000D62F6">
        <w:t>, which would require an application for rescheduling of an item to S3, Appendix M</w:t>
      </w:r>
      <w:r w:rsidR="00DA459C">
        <w:t xml:space="preserve"> to address in detail how </w:t>
      </w:r>
      <w:r w:rsidR="000D62F6">
        <w:t>the applicant</w:t>
      </w:r>
      <w:r w:rsidR="00DA459C">
        <w:t xml:space="preserve"> propose</w:t>
      </w:r>
      <w:r w:rsidR="000D62F6">
        <w:t>s</w:t>
      </w:r>
      <w:r w:rsidR="002951D1">
        <w:t xml:space="preserve"> to meet Appendix M criteria.</w:t>
      </w:r>
    </w:p>
    <w:p w:rsidR="00EE04B3" w:rsidRDefault="000D62F6" w:rsidP="00AD67BA">
      <w:r>
        <w:t>Explanatory guidance to the section could include relevant advice such as:</w:t>
      </w:r>
    </w:p>
    <w:p w:rsidR="000D62F6" w:rsidRDefault="00DD34C4" w:rsidP="00AD67BA">
      <w:pPr>
        <w:pStyle w:val="ListBullet"/>
      </w:pPr>
      <w:r>
        <w:t>A</w:t>
      </w:r>
      <w:r w:rsidR="000D62F6">
        <w:t>ll criteria</w:t>
      </w:r>
      <w:r w:rsidR="00D76988">
        <w:t xml:space="preserve"> (1-</w:t>
      </w:r>
      <w:r w:rsidR="00740D5D">
        <w:t>7</w:t>
      </w:r>
      <w:r w:rsidR="00D76988">
        <w:t>)</w:t>
      </w:r>
      <w:r w:rsidR="000D62F6">
        <w:t xml:space="preserve"> must be addressed.</w:t>
      </w:r>
      <w:r w:rsidR="00D76988">
        <w:t xml:space="preserve"> The applicant should outline what measure(s) they think would be appropriate to meet each criteria.</w:t>
      </w:r>
      <w:r w:rsidR="000D62F6">
        <w:t xml:space="preserve"> If the applicant thinks a particular cri</w:t>
      </w:r>
      <w:r w:rsidR="00D76988">
        <w:t>terion need</w:t>
      </w:r>
      <w:r w:rsidR="000D62F6">
        <w:t xml:space="preserve"> not be applied to their product, they need to provide justification for its </w:t>
      </w:r>
      <w:r w:rsidR="00D76988">
        <w:t>omission</w:t>
      </w:r>
      <w:r w:rsidR="00AD67BA">
        <w:t>.</w:t>
      </w:r>
    </w:p>
    <w:p w:rsidR="000D62F6" w:rsidRDefault="00302347" w:rsidP="00BB0B55">
      <w:pPr>
        <w:pStyle w:val="ListBullet"/>
      </w:pPr>
      <w:r>
        <w:t>S</w:t>
      </w:r>
      <w:r w:rsidR="00D76988">
        <w:t xml:space="preserve">amples of any </w:t>
      </w:r>
      <w:r w:rsidR="005C6131">
        <w:t xml:space="preserve">proposed </w:t>
      </w:r>
      <w:r w:rsidR="00D76988">
        <w:t>patient information or advisory material should be provided with the application</w:t>
      </w:r>
      <w:r w:rsidR="00AD67BA">
        <w:t>.</w:t>
      </w:r>
    </w:p>
    <w:p w:rsidR="00D60E82" w:rsidRDefault="00E3130F" w:rsidP="00BB0B55">
      <w:pPr>
        <w:pStyle w:val="ListBullet"/>
      </w:pPr>
      <w:r>
        <w:t xml:space="preserve">A preliminary version or comparable example of any </w:t>
      </w:r>
      <w:r w:rsidR="00D60E82">
        <w:t>proposed material related to ensuring the appropriate use of the product, such as training</w:t>
      </w:r>
      <w:r w:rsidR="00FF3106">
        <w:t xml:space="preserve"> material</w:t>
      </w:r>
      <w:r w:rsidR="007C371A">
        <w:t>,</w:t>
      </w:r>
      <w:r w:rsidR="00D60E82">
        <w:t xml:space="preserve"> </w:t>
      </w:r>
      <w:r w:rsidR="00D76988">
        <w:t>clinical decision making guidelines</w:t>
      </w:r>
      <w:r w:rsidR="00302347">
        <w:t>, questionnaires</w:t>
      </w:r>
      <w:r w:rsidR="007C371A">
        <w:t xml:space="preserve"> or</w:t>
      </w:r>
      <w:r w:rsidR="00EE5764">
        <w:t xml:space="preserve"> </w:t>
      </w:r>
      <w:r w:rsidR="00D60E82">
        <w:t>professional</w:t>
      </w:r>
      <w:r w:rsidR="00115AF7">
        <w:t xml:space="preserve"> advice</w:t>
      </w:r>
      <w:r w:rsidR="00D60E82">
        <w:t xml:space="preserve"> </w:t>
      </w:r>
      <w:r w:rsidR="00D76988">
        <w:t>for pharmacists must be included for evaluation</w:t>
      </w:r>
      <w:r w:rsidR="005C6131">
        <w:t>. Evidence of consultation</w:t>
      </w:r>
      <w:r w:rsidR="002951D1">
        <w:t xml:space="preserve"> and/or collaboration</w:t>
      </w:r>
      <w:r w:rsidR="005C6131">
        <w:t xml:space="preserve"> </w:t>
      </w:r>
      <w:r w:rsidR="00D60E82">
        <w:t>with relevant professional colleges or associations</w:t>
      </w:r>
      <w:r w:rsidR="002951D1">
        <w:t xml:space="preserve"> (for example, the PSA)</w:t>
      </w:r>
      <w:r w:rsidR="00D60E82">
        <w:t xml:space="preserve"> </w:t>
      </w:r>
      <w:r w:rsidR="005C6131">
        <w:t>should also be included.</w:t>
      </w:r>
    </w:p>
    <w:p w:rsidR="00D76988" w:rsidRDefault="00D9049C" w:rsidP="00BB0B55">
      <w:pPr>
        <w:pStyle w:val="ListBullet"/>
      </w:pPr>
      <w:r>
        <w:t>Training material must include:</w:t>
      </w:r>
    </w:p>
    <w:p w:rsidR="00D9049C" w:rsidRPr="00AD67BA" w:rsidRDefault="00D9049C" w:rsidP="00AD67BA">
      <w:pPr>
        <w:pStyle w:val="ListBullet2"/>
      </w:pPr>
      <w:r>
        <w:t xml:space="preserve">Information on relevant health conditions and indications for the substance in question (including, where </w:t>
      </w:r>
      <w:r w:rsidRPr="00AD67BA">
        <w:t>relevant, any known alternative non-drug treatments for the relevant health conditions to enable the provision of fully informed, appropriate clinical advice)</w:t>
      </w:r>
    </w:p>
    <w:p w:rsidR="00D9049C" w:rsidRPr="00AD67BA" w:rsidRDefault="00D9049C" w:rsidP="00AD67BA">
      <w:pPr>
        <w:pStyle w:val="ListBullet2"/>
      </w:pPr>
      <w:r w:rsidRPr="00AD67BA">
        <w:t>All known side effects, adverse effects and drug interactions, including relative and absolute contraindications for supply</w:t>
      </w:r>
    </w:p>
    <w:p w:rsidR="00D9049C" w:rsidRPr="00AD67BA" w:rsidRDefault="00D60E82" w:rsidP="00AD67BA">
      <w:pPr>
        <w:pStyle w:val="ListBullet2"/>
      </w:pPr>
      <w:r w:rsidRPr="00AD67BA">
        <w:t>An o</w:t>
      </w:r>
      <w:r w:rsidR="00D9049C" w:rsidRPr="00AD67BA">
        <w:t>utline of any related patient information materials produced as part of the Appendix M criteria</w:t>
      </w:r>
    </w:p>
    <w:p w:rsidR="00D9049C" w:rsidRPr="00AD67BA" w:rsidRDefault="00D9049C" w:rsidP="00AD67BA">
      <w:pPr>
        <w:pStyle w:val="ListBullet2"/>
      </w:pPr>
      <w:r w:rsidRPr="00AD67BA">
        <w:t xml:space="preserve">Guidance as to when patients should be referred for medical assessment, including advice on </w:t>
      </w:r>
      <w:r w:rsidR="00D17979" w:rsidRPr="00AD67BA">
        <w:t>common</w:t>
      </w:r>
      <w:r w:rsidRPr="00AD67BA">
        <w:t xml:space="preserve"> co-morbidities which might require further evaluation</w:t>
      </w:r>
      <w:r w:rsidR="006131E0" w:rsidRPr="00AD67BA">
        <w:t xml:space="preserve"> by a medical practitioner</w:t>
      </w:r>
    </w:p>
    <w:p w:rsidR="00D76988" w:rsidRDefault="00DD34C4" w:rsidP="00BB0B55">
      <w:pPr>
        <w:pStyle w:val="ListBullet"/>
      </w:pPr>
      <w:r>
        <w:t xml:space="preserve">Record keeping and information sharing requirements for pharmacists would generally be expected to be consistent for all entries and determined by State and Territory </w:t>
      </w:r>
      <w:r w:rsidR="00D849A1">
        <w:t>Drugs and Poisons units</w:t>
      </w:r>
      <w:r>
        <w:t xml:space="preserve"> in consultation with</w:t>
      </w:r>
      <w:r w:rsidR="005F537D">
        <w:t xml:space="preserve"> other key stakeholders, including</w:t>
      </w:r>
      <w:r>
        <w:t xml:space="preserve"> the Pharmacy Board. Applicants would only be required to indicate if additional/alternative arrangements were considered necessary or advisable for a particular </w:t>
      </w:r>
      <w:proofErr w:type="gramStart"/>
      <w:r>
        <w:t>substance</w:t>
      </w:r>
      <w:r w:rsidR="00187721">
        <w:t>,</w:t>
      </w:r>
      <w:proofErr w:type="gramEnd"/>
      <w:r w:rsidR="00302347">
        <w:t xml:space="preserve"> and if so, to detail what these </w:t>
      </w:r>
      <w:r w:rsidR="006131E0">
        <w:t xml:space="preserve">should </w:t>
      </w:r>
      <w:r w:rsidR="00302347">
        <w:t>be and why they were necessary.</w:t>
      </w:r>
    </w:p>
    <w:p w:rsidR="00DD34C4" w:rsidRDefault="00302347" w:rsidP="00BB0B55">
      <w:pPr>
        <w:pStyle w:val="ListBullet"/>
      </w:pPr>
      <w:r>
        <w:t>I</w:t>
      </w:r>
      <w:r w:rsidR="00DD34C4">
        <w:t xml:space="preserve">f an applicant </w:t>
      </w:r>
      <w:r>
        <w:t>foresees that</w:t>
      </w:r>
      <w:r w:rsidR="00DD34C4">
        <w:t xml:space="preserve"> there may be an objection to </w:t>
      </w:r>
      <w:r w:rsidR="00316C77">
        <w:t>down scheduling</w:t>
      </w:r>
      <w:r w:rsidR="00DD34C4">
        <w:t xml:space="preserve"> their substance that </w:t>
      </w:r>
      <w:r w:rsidR="00740D5D">
        <w:t xml:space="preserve">is not addressed by </w:t>
      </w:r>
      <w:r w:rsidR="00A005C6">
        <w:t>the other criteria</w:t>
      </w:r>
      <w:r w:rsidR="00DD34C4">
        <w:t xml:space="preserve">, they may </w:t>
      </w:r>
      <w:r>
        <w:t xml:space="preserve">suggest </w:t>
      </w:r>
      <w:r w:rsidR="00DD34C4">
        <w:t>additional</w:t>
      </w:r>
      <w:r>
        <w:t xml:space="preserve"> criteria for risk mitigation under criterion </w:t>
      </w:r>
      <w:r w:rsidR="00A005C6">
        <w:t>3</w:t>
      </w:r>
      <w:r>
        <w:t>, for consideration by</w:t>
      </w:r>
      <w:r w:rsidR="00DD34C4">
        <w:t xml:space="preserve"> the</w:t>
      </w:r>
      <w:r>
        <w:t xml:space="preserve"> delegate and ACMS in their scheduling decision.</w:t>
      </w:r>
    </w:p>
    <w:tbl>
      <w:tblPr>
        <w:tblW w:w="9072" w:type="dxa"/>
        <w:tblLayout w:type="fixed"/>
        <w:tblCellMar>
          <w:left w:w="0" w:type="dxa"/>
          <w:right w:w="0" w:type="dxa"/>
        </w:tblCellMar>
        <w:tblLook w:val="04A0" w:firstRow="1" w:lastRow="0" w:firstColumn="1" w:lastColumn="0" w:noHBand="0" w:noVBand="1"/>
      </w:tblPr>
      <w:tblGrid>
        <w:gridCol w:w="1281"/>
        <w:gridCol w:w="7791"/>
      </w:tblGrid>
      <w:tr w:rsidR="007E4B0A" w:rsidRPr="00072203" w:rsidTr="007E4B0A">
        <w:trPr>
          <w:trHeight w:val="251"/>
        </w:trPr>
        <w:tc>
          <w:tcPr>
            <w:tcW w:w="1281" w:type="dxa"/>
            <w:vAlign w:val="center"/>
          </w:tcPr>
          <w:p w:rsidR="007E4B0A" w:rsidRPr="00072203" w:rsidRDefault="007E4B0A" w:rsidP="009171BF">
            <w:pPr>
              <w:spacing w:before="0"/>
              <w:rPr>
                <w:sz w:val="20"/>
              </w:rPr>
            </w:pPr>
            <w:r w:rsidRPr="00072203">
              <w:rPr>
                <w:noProof/>
                <w:sz w:val="20"/>
                <w:lang w:eastAsia="en-AU"/>
              </w:rPr>
              <w:lastRenderedPageBreak/>
              <w:drawing>
                <wp:inline distT="0" distB="0" distL="0" distR="0" wp14:anchorId="4241F256" wp14:editId="76FA9DDD">
                  <wp:extent cx="489600" cy="489600"/>
                  <wp:effectExtent l="0" t="0" r="5715" b="571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laceyg\AppData\Local\Microsoft\Windows\Temporary Internet Files\Content.IE5\1L6LQT4S\1390060157[1].png"/>
                          <pic:cNvPicPr>
                            <a:picLocks noChangeAspect="1" noChangeArrowheads="1"/>
                          </pic:cNvPicPr>
                        </pic:nvPicPr>
                        <pic:blipFill>
                          <a:blip r:embed="rId23" cstate="print">
                            <a:extLst>
                              <a:ext uri="{28A0092B-C50C-407E-A947-70E740481C1C}">
                                <a14:useLocalDpi xmlns:a14="http://schemas.microsoft.com/office/drawing/2010/main" val="0"/>
                              </a:ext>
                            </a:extLst>
                          </a:blip>
                          <a:stretch>
                            <a:fillRect/>
                          </a:stretch>
                        </pic:blipFill>
                        <pic:spPr bwMode="auto">
                          <a:xfrm>
                            <a:off x="0" y="0"/>
                            <a:ext cx="489600" cy="489600"/>
                          </a:xfrm>
                          <a:prstGeom prst="rect">
                            <a:avLst/>
                          </a:prstGeom>
                          <a:noFill/>
                          <a:ln>
                            <a:noFill/>
                          </a:ln>
                        </pic:spPr>
                      </pic:pic>
                    </a:graphicData>
                  </a:graphic>
                </wp:inline>
              </w:drawing>
            </w:r>
          </w:p>
        </w:tc>
        <w:tc>
          <w:tcPr>
            <w:tcW w:w="7791" w:type="dxa"/>
            <w:shd w:val="clear" w:color="auto" w:fill="EAEAEA"/>
            <w:tcMar>
              <w:top w:w="170" w:type="dxa"/>
              <w:left w:w="170" w:type="dxa"/>
              <w:bottom w:w="170" w:type="dxa"/>
              <w:right w:w="170" w:type="dxa"/>
            </w:tcMar>
          </w:tcPr>
          <w:p w:rsidR="007E4B0A" w:rsidRPr="00587CFD" w:rsidRDefault="007E4B0A" w:rsidP="00BB0B55">
            <w:pPr>
              <w:pStyle w:val="ListBullet"/>
            </w:pPr>
            <w:r w:rsidRPr="00587CFD">
              <w:t>Is this sufficient level of detail fo</w:t>
            </w:r>
            <w:r w:rsidR="00AD67BA">
              <w:t>r completion of an application?</w:t>
            </w:r>
          </w:p>
          <w:p w:rsidR="007E4B0A" w:rsidRPr="00587CFD" w:rsidRDefault="007E4B0A" w:rsidP="00BB0B55">
            <w:pPr>
              <w:pStyle w:val="ListBullet"/>
            </w:pPr>
            <w:r w:rsidRPr="00587CFD">
              <w:t>Are the proposed requirements for t</w:t>
            </w:r>
            <w:r w:rsidR="00AD67BA">
              <w:t>he application form reasonable?</w:t>
            </w:r>
          </w:p>
          <w:p w:rsidR="007E4B0A" w:rsidRPr="006B0E12" w:rsidRDefault="007E4B0A" w:rsidP="00BB0B55">
            <w:pPr>
              <w:pStyle w:val="ListBullet"/>
              <w:rPr>
                <w:rFonts w:asciiTheme="majorHAnsi" w:hAnsiTheme="majorHAnsi"/>
              </w:rPr>
            </w:pPr>
            <w:r w:rsidRPr="00587CFD">
              <w:t>Does this level of guidance provide sufficient information and flexibility for future scheduling decisions in relation to Appendix M?</w:t>
            </w:r>
          </w:p>
        </w:tc>
      </w:tr>
    </w:tbl>
    <w:p w:rsidR="009D3026" w:rsidRDefault="009D3026" w:rsidP="00AD67BA">
      <w:pPr>
        <w:pStyle w:val="Heading2"/>
      </w:pPr>
      <w:bookmarkStart w:id="21" w:name="_Toc534986782"/>
      <w:bookmarkStart w:id="22" w:name="_Toc1989351"/>
      <w:r>
        <w:t>Monitoring,</w:t>
      </w:r>
      <w:r w:rsidR="004C196B">
        <w:t xml:space="preserve"> evaluation,</w:t>
      </w:r>
      <w:r>
        <w:t xml:space="preserve"> </w:t>
      </w:r>
      <w:r w:rsidRPr="00AD67BA">
        <w:t>compliance</w:t>
      </w:r>
      <w:r>
        <w:t xml:space="preserve"> and enforcement</w:t>
      </w:r>
      <w:r w:rsidR="00C42251">
        <w:t xml:space="preserve"> of A</w:t>
      </w:r>
      <w:r w:rsidR="00BF6BA6">
        <w:t xml:space="preserve">ppendix </w:t>
      </w:r>
      <w:bookmarkEnd w:id="21"/>
      <w:r w:rsidR="00C42251">
        <w:t>M</w:t>
      </w:r>
      <w:bookmarkEnd w:id="22"/>
    </w:p>
    <w:p w:rsidR="00B12CE1" w:rsidRDefault="00B12CE1" w:rsidP="00115AF7">
      <w:pPr>
        <w:pStyle w:val="Heading3"/>
      </w:pPr>
      <w:bookmarkStart w:id="23" w:name="_Toc1989352"/>
      <w:r>
        <w:t>Monitoring</w:t>
      </w:r>
      <w:r w:rsidR="00545A3A">
        <w:t xml:space="preserve"> and e</w:t>
      </w:r>
      <w:r w:rsidR="00D849A1">
        <w:t>valuation</w:t>
      </w:r>
      <w:bookmarkEnd w:id="23"/>
    </w:p>
    <w:p w:rsidR="00EA5236" w:rsidRDefault="00EA5236" w:rsidP="00AD67BA">
      <w:r>
        <w:t xml:space="preserve">Monitoring of Appendix M items will be </w:t>
      </w:r>
      <w:r w:rsidR="00BD102B">
        <w:t>important</w:t>
      </w:r>
      <w:r w:rsidR="005A4E99">
        <w:t xml:space="preserve"> </w:t>
      </w:r>
      <w:r>
        <w:t>for ensuring compliance with its provisions by pharmacists</w:t>
      </w:r>
      <w:r w:rsidR="00D849A1">
        <w:t xml:space="preserve"> (individual compliance)</w:t>
      </w:r>
      <w:r w:rsidR="006131E0">
        <w:t xml:space="preserve"> </w:t>
      </w:r>
      <w:r>
        <w:t xml:space="preserve">and evaluating the </w:t>
      </w:r>
      <w:r w:rsidR="00BD102B">
        <w:t xml:space="preserve">impact </w:t>
      </w:r>
      <w:r>
        <w:t xml:space="preserve">of these </w:t>
      </w:r>
      <w:r w:rsidR="00D849A1">
        <w:t>controls</w:t>
      </w:r>
      <w:r>
        <w:t xml:space="preserve"> on public health and safety</w:t>
      </w:r>
      <w:r w:rsidR="00D849A1">
        <w:t xml:space="preserve"> (program evaluation)</w:t>
      </w:r>
      <w:r w:rsidR="00115AF7">
        <w:t xml:space="preserve">. </w:t>
      </w:r>
      <w:r w:rsidR="00934549">
        <w:t>Responsibi</w:t>
      </w:r>
      <w:r w:rsidR="00934549" w:rsidRPr="00934549">
        <w:t>l</w:t>
      </w:r>
      <w:r w:rsidR="00934549">
        <w:t xml:space="preserve">ity for monitoring </w:t>
      </w:r>
      <w:r w:rsidR="00D849A1">
        <w:t xml:space="preserve">and evaluation of individual compliance </w:t>
      </w:r>
      <w:r w:rsidR="00934549">
        <w:t>w</w:t>
      </w:r>
      <w:r w:rsidR="00BD102B">
        <w:t>ould</w:t>
      </w:r>
      <w:r w:rsidR="00934549">
        <w:t xml:space="preserve"> lie predominantly with State and Territory </w:t>
      </w:r>
      <w:r w:rsidR="00D849A1">
        <w:t>Drugs and Poisons units</w:t>
      </w:r>
      <w:r w:rsidR="004C196B">
        <w:t xml:space="preserve"> under existing capabilities for evaluating compliance with scheduling requirements</w:t>
      </w:r>
      <w:r w:rsidR="00934549">
        <w:t>.</w:t>
      </w:r>
      <w:r w:rsidR="00D849A1">
        <w:t xml:space="preserve"> Program evaluation may be undertaken by </w:t>
      </w:r>
      <w:r w:rsidR="00BD102B">
        <w:t xml:space="preserve">partners such as </w:t>
      </w:r>
      <w:r w:rsidR="00D849A1">
        <w:t>State and Territory Drugs and Poisons units</w:t>
      </w:r>
      <w:r w:rsidR="00726939">
        <w:t xml:space="preserve"> or </w:t>
      </w:r>
      <w:r w:rsidR="00D849A1">
        <w:t>the TGA where deemed appropriate.</w:t>
      </w:r>
    </w:p>
    <w:p w:rsidR="00B12CE1" w:rsidRDefault="00B12CE1" w:rsidP="00115AF7">
      <w:pPr>
        <w:pStyle w:val="Heading3"/>
      </w:pPr>
      <w:bookmarkStart w:id="24" w:name="_Toc1989353"/>
      <w:r>
        <w:t xml:space="preserve">Compliance and </w:t>
      </w:r>
      <w:r w:rsidR="00545A3A">
        <w:t>e</w:t>
      </w:r>
      <w:r w:rsidR="00D17979">
        <w:t>nforcement</w:t>
      </w:r>
      <w:bookmarkEnd w:id="24"/>
    </w:p>
    <w:p w:rsidR="006942E1" w:rsidRDefault="006942E1" w:rsidP="00150DAC">
      <w:pPr>
        <w:pStyle w:val="Heading4"/>
      </w:pPr>
      <w:r>
        <w:t xml:space="preserve">Compliance with </w:t>
      </w:r>
      <w:r w:rsidRPr="00726939">
        <w:rPr>
          <w:i/>
        </w:rPr>
        <w:t xml:space="preserve">general </w:t>
      </w:r>
      <w:r>
        <w:t xml:space="preserve">competency to supply under </w:t>
      </w:r>
      <w:r w:rsidR="002309D9">
        <w:t>A</w:t>
      </w:r>
      <w:r>
        <w:t xml:space="preserve">ppendix </w:t>
      </w:r>
      <w:r w:rsidR="002309D9">
        <w:t>M</w:t>
      </w:r>
    </w:p>
    <w:p w:rsidR="006942E1" w:rsidRPr="006942E1" w:rsidRDefault="006942E1" w:rsidP="00150DAC">
      <w:pPr>
        <w:rPr>
          <w:lang w:eastAsia="en-AU"/>
        </w:rPr>
      </w:pPr>
      <w:r w:rsidRPr="006942E1">
        <w:rPr>
          <w:lang w:eastAsia="en-AU"/>
        </w:rPr>
        <w:t>The</w:t>
      </w:r>
      <w:r w:rsidR="00657656">
        <w:rPr>
          <w:lang w:eastAsia="en-AU"/>
        </w:rPr>
        <w:t xml:space="preserve"> Pharmacy</w:t>
      </w:r>
      <w:r w:rsidRPr="006942E1">
        <w:rPr>
          <w:lang w:eastAsia="en-AU"/>
        </w:rPr>
        <w:t xml:space="preserve"> Board has developed </w:t>
      </w:r>
      <w:r w:rsidRPr="00150DAC">
        <w:rPr>
          <w:bCs/>
          <w:lang w:eastAsia="en-AU"/>
        </w:rPr>
        <w:t>registration</w:t>
      </w:r>
      <w:r w:rsidRPr="006942E1">
        <w:rPr>
          <w:b/>
          <w:bCs/>
          <w:lang w:eastAsia="en-AU"/>
        </w:rPr>
        <w:t xml:space="preserve"> </w:t>
      </w:r>
      <w:r w:rsidRPr="006942E1">
        <w:rPr>
          <w:lang w:eastAsia="en-AU"/>
        </w:rPr>
        <w:t xml:space="preserve">standards for the pharmacy profession. These are distinct from the professional </w:t>
      </w:r>
      <w:r w:rsidRPr="00726939">
        <w:rPr>
          <w:iCs/>
          <w:lang w:eastAsia="en-AU"/>
        </w:rPr>
        <w:t xml:space="preserve">practice </w:t>
      </w:r>
      <w:r w:rsidRPr="006942E1">
        <w:rPr>
          <w:lang w:eastAsia="en-AU"/>
        </w:rPr>
        <w:t>standards for pharmacists</w:t>
      </w:r>
      <w:r w:rsidR="00726939">
        <w:rPr>
          <w:lang w:eastAsia="en-AU"/>
        </w:rPr>
        <w:t>,</w:t>
      </w:r>
      <w:r w:rsidRPr="006942E1">
        <w:rPr>
          <w:lang w:eastAsia="en-AU"/>
        </w:rPr>
        <w:t xml:space="preserve"> such as those published by PSA and SHPA, which articulate the expected standards of professional behaviour of pharmacists whe</w:t>
      </w:r>
      <w:r w:rsidR="00187721">
        <w:rPr>
          <w:lang w:eastAsia="en-AU"/>
        </w:rPr>
        <w:t>n delivering pharmacy services.</w:t>
      </w:r>
    </w:p>
    <w:p w:rsidR="00D01D60" w:rsidRDefault="006942E1" w:rsidP="00150DAC">
      <w:pPr>
        <w:rPr>
          <w:lang w:eastAsia="en-AU"/>
        </w:rPr>
      </w:pPr>
      <w:r w:rsidRPr="006942E1">
        <w:rPr>
          <w:lang w:eastAsia="en-AU"/>
        </w:rPr>
        <w:t xml:space="preserve">The Board’s </w:t>
      </w:r>
      <w:r w:rsidRPr="006942E1">
        <w:rPr>
          <w:i/>
          <w:iCs/>
          <w:lang w:eastAsia="en-AU"/>
        </w:rPr>
        <w:t>Registration standard: Continuing professional development</w:t>
      </w:r>
      <w:r w:rsidRPr="006942E1">
        <w:rPr>
          <w:lang w:eastAsia="en-AU"/>
        </w:rPr>
        <w:t xml:space="preserve"> sets out the annual CPD obligations of pharmacists to competently and safely provide services to the public. When renewing their registration annually, pharmacists are required to declare that they have met the minimum annual CPD requirements specified in the registration standard. The Board’s registrations standard and guidelines do not specify particular CPD activities to be completed and pharmacists must assess their CPD needs and complete suitable activities to address those needs</w:t>
      </w:r>
      <w:r w:rsidR="00D01D60">
        <w:rPr>
          <w:lang w:eastAsia="en-AU"/>
        </w:rPr>
        <w:t>.</w:t>
      </w:r>
    </w:p>
    <w:p w:rsidR="00D01D60" w:rsidRDefault="00D01D60" w:rsidP="00D01D60">
      <w:r>
        <w:t xml:space="preserve">It is possible that specific competency requirements could be set by the Pharmacy Board to establish competence to comply with Appendix M controls, as part of their registration standards. It will first be necessary to review the existing competency standards framework to ascertain whether or not it currently articulates the competencies that are necessary for supply by pharmacists of medicines in Appendix M. If additional competencies are identified, it will be necessary to consider how pharmacists might meet those competencies e.g. through additional education and training, and whether this can be achieved through pharmacists’ compliance with the Board’s </w:t>
      </w:r>
      <w:r>
        <w:rPr>
          <w:i/>
          <w:iCs/>
        </w:rPr>
        <w:t xml:space="preserve">Registration standard: Continuing professional development </w:t>
      </w:r>
      <w:r>
        <w:t>or by a relevant authority (e.g. a health department) setting specific education and train</w:t>
      </w:r>
      <w:r w:rsidR="00187721">
        <w:t>ing and any other requirements.</w:t>
      </w:r>
    </w:p>
    <w:p w:rsidR="00FA7588" w:rsidRDefault="00D01D60" w:rsidP="00187721">
      <w:r>
        <w:lastRenderedPageBreak/>
        <w:t>If additional competencies for the general provision of Appendi</w:t>
      </w:r>
      <w:r w:rsidR="007C371A">
        <w:t>x</w:t>
      </w:r>
      <w:r>
        <w:t xml:space="preserve"> M goods were developed, f</w:t>
      </w:r>
      <w:r w:rsidR="00D849A1">
        <w:t xml:space="preserve">ailure of </w:t>
      </w:r>
      <w:r w:rsidR="00DC76F3">
        <w:t>a pharmacist</w:t>
      </w:r>
      <w:r w:rsidR="00D849A1">
        <w:t xml:space="preserve"> to </w:t>
      </w:r>
      <w:r w:rsidR="00A90799">
        <w:t>maintain</w:t>
      </w:r>
      <w:r w:rsidR="00D849A1">
        <w:t xml:space="preserve"> </w:t>
      </w:r>
      <w:r>
        <w:t>those</w:t>
      </w:r>
      <w:r w:rsidR="00D849A1">
        <w:t xml:space="preserve"> competenc</w:t>
      </w:r>
      <w:r w:rsidR="00A90799">
        <w:t>ies</w:t>
      </w:r>
      <w:r w:rsidR="00D849A1">
        <w:t xml:space="preserve"> would be a matter for the Pharmacy Board </w:t>
      </w:r>
      <w:r w:rsidR="00DC76F3">
        <w:t>to consider and redress.</w:t>
      </w:r>
    </w:p>
    <w:p w:rsidR="006942E1" w:rsidRDefault="006942E1" w:rsidP="00150DAC">
      <w:pPr>
        <w:pStyle w:val="Heading4"/>
      </w:pPr>
      <w:r>
        <w:t xml:space="preserve">Compliance with </w:t>
      </w:r>
      <w:r w:rsidRPr="00726939">
        <w:rPr>
          <w:i/>
        </w:rPr>
        <w:t>specific</w:t>
      </w:r>
      <w:r w:rsidR="00C42251">
        <w:t xml:space="preserve"> A</w:t>
      </w:r>
      <w:r>
        <w:t xml:space="preserve">ppendix </w:t>
      </w:r>
      <w:r w:rsidR="00C42251">
        <w:t>M</w:t>
      </w:r>
      <w:r>
        <w:t xml:space="preserve"> conditions</w:t>
      </w:r>
      <w:r w:rsidR="00657656">
        <w:t xml:space="preserve"> for individual items</w:t>
      </w:r>
      <w:r>
        <w:t>, including completion of any item-specific training packages</w:t>
      </w:r>
      <w:r w:rsidR="007C371A">
        <w:t xml:space="preserve"> prior to supply</w:t>
      </w:r>
    </w:p>
    <w:p w:rsidR="00CD6885" w:rsidRDefault="006131E0" w:rsidP="009629D9">
      <w:pPr>
        <w:spacing w:after="100" w:afterAutospacing="1" w:line="240" w:lineRule="auto"/>
      </w:pPr>
      <w:r>
        <w:t>Under the proposed arrangements</w:t>
      </w:r>
      <w:r w:rsidR="00A90799">
        <w:t>,</w:t>
      </w:r>
      <w:r>
        <w:t xml:space="preserve"> </w:t>
      </w:r>
      <w:r w:rsidR="00DC76F3">
        <w:t xml:space="preserve">ensuring that pharmacists have complied </w:t>
      </w:r>
      <w:r w:rsidR="00F04C70">
        <w:t xml:space="preserve">with </w:t>
      </w:r>
      <w:r w:rsidR="00DC76F3">
        <w:t xml:space="preserve">specific </w:t>
      </w:r>
      <w:r w:rsidR="00F04C70">
        <w:t xml:space="preserve">Appendix M </w:t>
      </w:r>
      <w:r w:rsidR="00DC76F3">
        <w:t>controls</w:t>
      </w:r>
      <w:r w:rsidR="00F04C70">
        <w:t xml:space="preserve"> and responding to </w:t>
      </w:r>
      <w:r w:rsidR="00D17979">
        <w:t>breaches</w:t>
      </w:r>
      <w:r w:rsidR="00F04C70">
        <w:t xml:space="preserve"> w</w:t>
      </w:r>
      <w:r w:rsidR="00DC76F3">
        <w:t xml:space="preserve">ould </w:t>
      </w:r>
      <w:r w:rsidR="00F04C70">
        <w:t>be a joint responsibility und</w:t>
      </w:r>
      <w:r w:rsidR="00DC76F3">
        <w:t>er existing provisions between S</w:t>
      </w:r>
      <w:r w:rsidR="00F04C70">
        <w:t xml:space="preserve">tate and </w:t>
      </w:r>
      <w:r w:rsidR="00DC76F3">
        <w:t>T</w:t>
      </w:r>
      <w:r w:rsidR="00D17979">
        <w:t>erritory</w:t>
      </w:r>
      <w:r w:rsidR="00F04C70">
        <w:t xml:space="preserve"> </w:t>
      </w:r>
      <w:r w:rsidR="00DC76F3">
        <w:t xml:space="preserve">Drugs and Poisons units </w:t>
      </w:r>
      <w:r w:rsidR="00F04C70">
        <w:t>and the Pharmacy Board</w:t>
      </w:r>
      <w:r w:rsidR="00A90799">
        <w:t xml:space="preserve">, either of whom could take independent action appropriate to </w:t>
      </w:r>
      <w:r w:rsidR="00245167">
        <w:t>the specifics of the case in question</w:t>
      </w:r>
      <w:r w:rsidR="00F04C70">
        <w:t xml:space="preserve">. </w:t>
      </w:r>
      <w:r w:rsidR="00726939">
        <w:t>This would include assessment of compliance with professional practice standards, as a condition of supply of Appendix M goods under State and Territory legislation.</w:t>
      </w:r>
    </w:p>
    <w:tbl>
      <w:tblPr>
        <w:tblW w:w="9123" w:type="dxa"/>
        <w:tblLayout w:type="fixed"/>
        <w:tblCellMar>
          <w:left w:w="0" w:type="dxa"/>
          <w:right w:w="0" w:type="dxa"/>
        </w:tblCellMar>
        <w:tblLook w:val="04A0" w:firstRow="1" w:lastRow="0" w:firstColumn="1" w:lastColumn="0" w:noHBand="0" w:noVBand="1"/>
      </w:tblPr>
      <w:tblGrid>
        <w:gridCol w:w="1288"/>
        <w:gridCol w:w="7835"/>
      </w:tblGrid>
      <w:tr w:rsidR="00B619B4" w:rsidRPr="00072203" w:rsidTr="00DC76F3">
        <w:trPr>
          <w:trHeight w:val="406"/>
        </w:trPr>
        <w:tc>
          <w:tcPr>
            <w:tcW w:w="1288" w:type="dxa"/>
            <w:vAlign w:val="center"/>
          </w:tcPr>
          <w:p w:rsidR="00B619B4" w:rsidRPr="00072203" w:rsidRDefault="00B619B4" w:rsidP="009171BF">
            <w:pPr>
              <w:spacing w:before="0"/>
              <w:rPr>
                <w:sz w:val="20"/>
              </w:rPr>
            </w:pPr>
            <w:r w:rsidRPr="00072203">
              <w:rPr>
                <w:noProof/>
                <w:sz w:val="20"/>
                <w:lang w:eastAsia="en-AU"/>
              </w:rPr>
              <w:drawing>
                <wp:inline distT="0" distB="0" distL="0" distR="0" wp14:anchorId="7779CA1D" wp14:editId="164BADED">
                  <wp:extent cx="489600" cy="489600"/>
                  <wp:effectExtent l="0" t="0" r="5715" b="571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laceyg\AppData\Local\Microsoft\Windows\Temporary Internet Files\Content.IE5\1L6LQT4S\1390060157[1].png"/>
                          <pic:cNvPicPr>
                            <a:picLocks noChangeAspect="1" noChangeArrowheads="1"/>
                          </pic:cNvPicPr>
                        </pic:nvPicPr>
                        <pic:blipFill>
                          <a:blip r:embed="rId23" cstate="print">
                            <a:extLst>
                              <a:ext uri="{28A0092B-C50C-407E-A947-70E740481C1C}">
                                <a14:useLocalDpi xmlns:a14="http://schemas.microsoft.com/office/drawing/2010/main" val="0"/>
                              </a:ext>
                            </a:extLst>
                          </a:blip>
                          <a:stretch>
                            <a:fillRect/>
                          </a:stretch>
                        </pic:blipFill>
                        <pic:spPr bwMode="auto">
                          <a:xfrm>
                            <a:off x="0" y="0"/>
                            <a:ext cx="489600" cy="489600"/>
                          </a:xfrm>
                          <a:prstGeom prst="rect">
                            <a:avLst/>
                          </a:prstGeom>
                          <a:noFill/>
                          <a:ln>
                            <a:noFill/>
                          </a:ln>
                        </pic:spPr>
                      </pic:pic>
                    </a:graphicData>
                  </a:graphic>
                </wp:inline>
              </w:drawing>
            </w:r>
          </w:p>
        </w:tc>
        <w:tc>
          <w:tcPr>
            <w:tcW w:w="7835" w:type="dxa"/>
            <w:shd w:val="clear" w:color="auto" w:fill="EAEAEA"/>
            <w:tcMar>
              <w:top w:w="170" w:type="dxa"/>
              <w:left w:w="170" w:type="dxa"/>
              <w:bottom w:w="170" w:type="dxa"/>
              <w:right w:w="170" w:type="dxa"/>
            </w:tcMar>
          </w:tcPr>
          <w:p w:rsidR="00B619B4" w:rsidRPr="00587CFD" w:rsidRDefault="00B619B4" w:rsidP="00187721">
            <w:pPr>
              <w:pStyle w:val="ListBullet"/>
            </w:pPr>
            <w:r w:rsidRPr="00587CFD">
              <w:t>Are these provisions adequate for monitoring,</w:t>
            </w:r>
            <w:r w:rsidR="007E174D">
              <w:t xml:space="preserve"> evaluation,</w:t>
            </w:r>
            <w:r w:rsidRPr="00587CFD">
              <w:t xml:space="preserve"> compliance and enforcemen</w:t>
            </w:r>
            <w:r w:rsidR="00187721">
              <w:t>t of Appendix M criteria?</w:t>
            </w:r>
          </w:p>
          <w:p w:rsidR="00B619B4" w:rsidRPr="006D59B9" w:rsidRDefault="00B619B4" w:rsidP="00BB0B55">
            <w:pPr>
              <w:pStyle w:val="ListBullet"/>
            </w:pPr>
            <w:r w:rsidRPr="00587CFD">
              <w:t>What alternative measures might be considered?</w:t>
            </w:r>
          </w:p>
        </w:tc>
      </w:tr>
    </w:tbl>
    <w:p w:rsidR="001525B4" w:rsidRDefault="00191246" w:rsidP="00187721">
      <w:pPr>
        <w:pStyle w:val="Heading2"/>
      </w:pPr>
      <w:bookmarkStart w:id="25" w:name="_Toc534986783"/>
      <w:bookmarkStart w:id="26" w:name="_Toc1989354"/>
      <w:r>
        <w:t xml:space="preserve">What will </w:t>
      </w:r>
      <w:r w:rsidRPr="00187721">
        <w:t>happen</w:t>
      </w:r>
      <w:r>
        <w:t xml:space="preserve"> after the consultation?</w:t>
      </w:r>
      <w:bookmarkEnd w:id="25"/>
      <w:bookmarkEnd w:id="26"/>
    </w:p>
    <w:p w:rsidR="00191246" w:rsidRPr="005C6131" w:rsidRDefault="00191246" w:rsidP="009629D9">
      <w:pPr>
        <w:spacing w:after="100" w:afterAutospacing="1" w:line="240" w:lineRule="auto"/>
        <w:rPr>
          <w:rFonts w:eastAsia="Times New Roman"/>
          <w:color w:val="000000"/>
          <w:lang w:eastAsia="en-AU"/>
        </w:rPr>
      </w:pPr>
      <w:r w:rsidRPr="00115AF7">
        <w:t xml:space="preserve">Based on consultation responses, </w:t>
      </w:r>
      <w:r w:rsidR="005C6131" w:rsidRPr="00115AF7">
        <w:t>a final position paper will be developed outlining the suggested Appendix M changes and forms</w:t>
      </w:r>
      <w:r w:rsidR="002E7E29" w:rsidRPr="00115AF7">
        <w:t>, in particular the proposed criteria</w:t>
      </w:r>
      <w:r w:rsidR="000F3E20" w:rsidRPr="00115AF7">
        <w:t xml:space="preserve"> for Appendix M</w:t>
      </w:r>
      <w:r w:rsidR="005C6131" w:rsidRPr="00115AF7">
        <w:t xml:space="preserve">. </w:t>
      </w:r>
      <w:r w:rsidR="000F3E20" w:rsidRPr="00115AF7">
        <w:t>C</w:t>
      </w:r>
      <w:r w:rsidR="002E7E29" w:rsidRPr="00115AF7">
        <w:t>hanges</w:t>
      </w:r>
      <w:r w:rsidR="002E7E29">
        <w:rPr>
          <w:rFonts w:asciiTheme="minorHAnsi" w:hAnsiTheme="minorHAnsi"/>
        </w:rPr>
        <w:t xml:space="preserve"> will be implem</w:t>
      </w:r>
      <w:r w:rsidR="00166748">
        <w:rPr>
          <w:rFonts w:asciiTheme="minorHAnsi" w:hAnsiTheme="minorHAnsi"/>
        </w:rPr>
        <w:t>ented and stakeholders notified via the TGA website</w:t>
      </w:r>
      <w:r w:rsidR="000F3E20">
        <w:rPr>
          <w:rFonts w:asciiTheme="minorHAnsi" w:hAnsiTheme="minorHAnsi"/>
        </w:rPr>
        <w:t xml:space="preserve"> by mid-2019</w:t>
      </w:r>
      <w:r w:rsidR="00166748">
        <w:rPr>
          <w:rFonts w:asciiTheme="minorHAnsi" w:hAnsiTheme="minorHAnsi"/>
        </w:rPr>
        <w:t>.</w:t>
      </w:r>
    </w:p>
    <w:p w:rsidR="00545A3A" w:rsidRPr="009401F6" w:rsidRDefault="00545A3A" w:rsidP="00187721">
      <w:pPr>
        <w:pStyle w:val="NonTOCheading2"/>
        <w:pageBreakBefore/>
        <w:spacing w:before="0"/>
      </w:pPr>
      <w:r w:rsidRPr="009401F6">
        <w:lastRenderedPageBreak/>
        <w:t xml:space="preserve">Version </w:t>
      </w:r>
      <w:r w:rsidRPr="00DF3BC6">
        <w:t>history</w:t>
      </w:r>
    </w:p>
    <w:tbl>
      <w:tblPr>
        <w:tblStyle w:val="TableTGAblack"/>
        <w:tblW w:w="9038" w:type="dxa"/>
        <w:tblLayout w:type="fixed"/>
        <w:tblLook w:val="04A0" w:firstRow="1" w:lastRow="0" w:firstColumn="1" w:lastColumn="0" w:noHBand="0" w:noVBand="1"/>
      </w:tblPr>
      <w:tblGrid>
        <w:gridCol w:w="1276"/>
        <w:gridCol w:w="3242"/>
        <w:gridCol w:w="2712"/>
        <w:gridCol w:w="1808"/>
      </w:tblGrid>
      <w:tr w:rsidR="00545A3A" w:rsidRPr="009401F6" w:rsidTr="007C371A">
        <w:trPr>
          <w:cnfStyle w:val="100000000000" w:firstRow="1" w:lastRow="0" w:firstColumn="0" w:lastColumn="0" w:oddVBand="0" w:evenVBand="0" w:oddHBand="0" w:evenHBand="0" w:firstRowFirstColumn="0" w:firstRowLastColumn="0" w:lastRowFirstColumn="0" w:lastRowLastColumn="0"/>
          <w:cantSplit w:val="0"/>
          <w:tblHeader/>
        </w:trPr>
        <w:tc>
          <w:tcPr>
            <w:cnfStyle w:val="001000000100" w:firstRow="0" w:lastRow="0" w:firstColumn="1" w:lastColumn="0" w:oddVBand="0" w:evenVBand="0" w:oddHBand="0" w:evenHBand="0" w:firstRowFirstColumn="1" w:firstRowLastColumn="0" w:lastRowFirstColumn="0" w:lastRowLastColumn="0"/>
            <w:tcW w:w="1276" w:type="dxa"/>
          </w:tcPr>
          <w:p w:rsidR="00545A3A" w:rsidRPr="009401F6" w:rsidRDefault="00545A3A" w:rsidP="007C371A">
            <w:bookmarkStart w:id="27" w:name="ColumnTitle_4"/>
            <w:r w:rsidRPr="009401F6">
              <w:t>Version</w:t>
            </w:r>
          </w:p>
        </w:tc>
        <w:tc>
          <w:tcPr>
            <w:tcW w:w="3242" w:type="dxa"/>
          </w:tcPr>
          <w:p w:rsidR="00545A3A" w:rsidRPr="009401F6" w:rsidRDefault="00545A3A" w:rsidP="007C371A">
            <w:pPr>
              <w:cnfStyle w:val="100000000000" w:firstRow="1" w:lastRow="0" w:firstColumn="0" w:lastColumn="0" w:oddVBand="0" w:evenVBand="0" w:oddHBand="0" w:evenHBand="0" w:firstRowFirstColumn="0" w:firstRowLastColumn="0" w:lastRowFirstColumn="0" w:lastRowLastColumn="0"/>
            </w:pPr>
            <w:r w:rsidRPr="009401F6">
              <w:t>Description of change</w:t>
            </w:r>
          </w:p>
        </w:tc>
        <w:tc>
          <w:tcPr>
            <w:tcW w:w="2712" w:type="dxa"/>
          </w:tcPr>
          <w:p w:rsidR="00545A3A" w:rsidRPr="009401F6" w:rsidRDefault="00545A3A" w:rsidP="007C371A">
            <w:pPr>
              <w:cnfStyle w:val="100000000000" w:firstRow="1" w:lastRow="0" w:firstColumn="0" w:lastColumn="0" w:oddVBand="0" w:evenVBand="0" w:oddHBand="0" w:evenHBand="0" w:firstRowFirstColumn="0" w:firstRowLastColumn="0" w:lastRowFirstColumn="0" w:lastRowLastColumn="0"/>
            </w:pPr>
            <w:r w:rsidRPr="009401F6">
              <w:t>Author</w:t>
            </w:r>
          </w:p>
        </w:tc>
        <w:tc>
          <w:tcPr>
            <w:tcW w:w="1808" w:type="dxa"/>
          </w:tcPr>
          <w:p w:rsidR="00545A3A" w:rsidRPr="009401F6" w:rsidRDefault="00545A3A" w:rsidP="007C371A">
            <w:pPr>
              <w:cnfStyle w:val="100000000000" w:firstRow="1" w:lastRow="0" w:firstColumn="0" w:lastColumn="0" w:oddVBand="0" w:evenVBand="0" w:oddHBand="0" w:evenHBand="0" w:firstRowFirstColumn="0" w:firstRowLastColumn="0" w:lastRowFirstColumn="0" w:lastRowLastColumn="0"/>
            </w:pPr>
            <w:r w:rsidRPr="009401F6">
              <w:t>Effective date</w:t>
            </w:r>
          </w:p>
        </w:tc>
      </w:tr>
      <w:bookmarkEnd w:id="27"/>
      <w:tr w:rsidR="00545A3A" w:rsidRPr="009401F6" w:rsidTr="007C371A">
        <w:trPr>
          <w:cantSplit w:val="0"/>
          <w:trHeight w:val="1418"/>
        </w:trPr>
        <w:tc>
          <w:tcPr>
            <w:cnfStyle w:val="001000000000" w:firstRow="0" w:lastRow="0" w:firstColumn="1" w:lastColumn="0" w:oddVBand="0" w:evenVBand="0" w:oddHBand="0" w:evenHBand="0" w:firstRowFirstColumn="0" w:firstRowLastColumn="0" w:lastRowFirstColumn="0" w:lastRowLastColumn="0"/>
            <w:tcW w:w="1276" w:type="dxa"/>
          </w:tcPr>
          <w:p w:rsidR="00545A3A" w:rsidRPr="009401F6" w:rsidRDefault="00545A3A" w:rsidP="007C371A">
            <w:r w:rsidRPr="009401F6">
              <w:t>V1.0</w:t>
            </w:r>
          </w:p>
        </w:tc>
        <w:tc>
          <w:tcPr>
            <w:tcW w:w="3242" w:type="dxa"/>
          </w:tcPr>
          <w:p w:rsidR="00545A3A" w:rsidRPr="009401F6" w:rsidRDefault="00545A3A" w:rsidP="007C371A">
            <w:pPr>
              <w:cnfStyle w:val="000000000000" w:firstRow="0" w:lastRow="0" w:firstColumn="0" w:lastColumn="0" w:oddVBand="0" w:evenVBand="0" w:oddHBand="0" w:evenHBand="0" w:firstRowFirstColumn="0" w:firstRowLastColumn="0" w:lastRowFirstColumn="0" w:lastRowLastColumn="0"/>
            </w:pPr>
            <w:r w:rsidRPr="009401F6">
              <w:t>Original publication</w:t>
            </w:r>
          </w:p>
        </w:tc>
        <w:tc>
          <w:tcPr>
            <w:tcW w:w="2712" w:type="dxa"/>
          </w:tcPr>
          <w:p w:rsidR="00545A3A" w:rsidRPr="009401F6" w:rsidRDefault="00545A3A" w:rsidP="00187721">
            <w:pPr>
              <w:cnfStyle w:val="000000000000" w:firstRow="0" w:lastRow="0" w:firstColumn="0" w:lastColumn="0" w:oddVBand="0" w:evenVBand="0" w:oddHBand="0" w:evenHBand="0" w:firstRowFirstColumn="0" w:firstRowLastColumn="0" w:lastRowFirstColumn="0" w:lastRowLastColumn="0"/>
            </w:pPr>
            <w:r>
              <w:t>T</w:t>
            </w:r>
            <w:r w:rsidR="00187721">
              <w:t xml:space="preserve">ransparency </w:t>
            </w:r>
            <w:r>
              <w:t>R</w:t>
            </w:r>
            <w:r w:rsidR="00187721">
              <w:t xml:space="preserve">eforms and </w:t>
            </w:r>
            <w:r>
              <w:t>E</w:t>
            </w:r>
            <w:r w:rsidR="00187721">
              <w:t xml:space="preserve">valuation </w:t>
            </w:r>
            <w:r>
              <w:t>S</w:t>
            </w:r>
            <w:r w:rsidR="00187721">
              <w:t>upport</w:t>
            </w:r>
            <w:r>
              <w:t>, P</w:t>
            </w:r>
            <w:r w:rsidR="00187721">
              <w:t xml:space="preserve">rescription </w:t>
            </w:r>
            <w:r>
              <w:t>M</w:t>
            </w:r>
            <w:r w:rsidR="00187721">
              <w:t xml:space="preserve">edicines </w:t>
            </w:r>
            <w:r>
              <w:t>A</w:t>
            </w:r>
            <w:r w:rsidR="00187721">
              <w:t xml:space="preserve">uthorisation </w:t>
            </w:r>
            <w:r>
              <w:t>B</w:t>
            </w:r>
            <w:r w:rsidR="00187721">
              <w:t>ranch</w:t>
            </w:r>
            <w:r w:rsidR="00187721" w:rsidRPr="00E07432">
              <w:rPr>
                <w:b/>
                <w:color w:val="FFFFFF" w:themeColor="background1"/>
                <w:sz w:val="16"/>
                <w:szCs w:val="16"/>
                <w:highlight w:val="blue"/>
              </w:rPr>
              <w:t xml:space="preserve"> </w:t>
            </w:r>
          </w:p>
        </w:tc>
        <w:tc>
          <w:tcPr>
            <w:tcW w:w="1808" w:type="dxa"/>
          </w:tcPr>
          <w:p w:rsidR="00545A3A" w:rsidRPr="009401F6" w:rsidRDefault="007F1406" w:rsidP="007C371A">
            <w:pPr>
              <w:cnfStyle w:val="000000000000" w:firstRow="0" w:lastRow="0" w:firstColumn="0" w:lastColumn="0" w:oddVBand="0" w:evenVBand="0" w:oddHBand="0" w:evenHBand="0" w:firstRowFirstColumn="0" w:firstRowLastColumn="0" w:lastRowFirstColumn="0" w:lastRowLastColumn="0"/>
            </w:pPr>
            <w:r>
              <w:t>February 2019</w:t>
            </w:r>
          </w:p>
        </w:tc>
      </w:tr>
    </w:tbl>
    <w:p w:rsidR="00545A3A" w:rsidRPr="009401F6" w:rsidRDefault="00545A3A" w:rsidP="00F8404D">
      <w:pPr>
        <w:sectPr w:rsidR="00545A3A" w:rsidRPr="009401F6" w:rsidSect="008E73EB">
          <w:headerReference w:type="default" r:id="rId26"/>
          <w:footerReference w:type="default" r:id="rId27"/>
          <w:headerReference w:type="first" r:id="rId28"/>
          <w:pgSz w:w="11906" w:h="16838" w:code="9"/>
          <w:pgMar w:top="1530" w:right="1418" w:bottom="1361" w:left="1418" w:header="998" w:footer="283" w:gutter="0"/>
          <w:cols w:space="708"/>
          <w:titlePg/>
          <w:docGrid w:linePitch="360"/>
        </w:sectPr>
      </w:pPr>
    </w:p>
    <w:tbl>
      <w:tblPr>
        <w:tblW w:w="9145" w:type="dxa"/>
        <w:jc w:val="center"/>
        <w:tblLayout w:type="fixed"/>
        <w:tblCellMar>
          <w:left w:w="0" w:type="dxa"/>
          <w:right w:w="0" w:type="dxa"/>
        </w:tblCellMar>
        <w:tblLook w:val="04A0" w:firstRow="1" w:lastRow="0" w:firstColumn="1" w:lastColumn="0" w:noHBand="0" w:noVBand="1"/>
        <w:tblDescription w:val="Therapeutic Goods Administration&#10;PO Box 100 Woden ACT 2606 Australia&#10;Email: info@tga.gov.au  Phone: 1800 020 653  Fax: 02 6203 1605&#10;https://www.tga.gov.auReference/Publication #&#10;"/>
      </w:tblPr>
      <w:tblGrid>
        <w:gridCol w:w="9145"/>
      </w:tblGrid>
      <w:tr w:rsidR="00F8404D" w:rsidRPr="009401F6" w:rsidTr="00C243C8">
        <w:trPr>
          <w:trHeight w:hRule="exact" w:val="565"/>
          <w:jc w:val="center"/>
        </w:trPr>
        <w:tc>
          <w:tcPr>
            <w:tcW w:w="9145" w:type="dxa"/>
          </w:tcPr>
          <w:p w:rsidR="00F8404D" w:rsidRPr="009401F6" w:rsidRDefault="00F8404D" w:rsidP="007B01D9">
            <w:pPr>
              <w:pStyle w:val="TGASignoff"/>
            </w:pPr>
            <w:r w:rsidRPr="009401F6">
              <w:lastRenderedPageBreak/>
              <w:t>Therapeutic Goods Administration</w:t>
            </w:r>
          </w:p>
        </w:tc>
      </w:tr>
      <w:tr w:rsidR="00F8404D" w:rsidRPr="009401F6" w:rsidTr="0035201E">
        <w:trPr>
          <w:trHeight w:val="963"/>
          <w:jc w:val="center"/>
        </w:trPr>
        <w:tc>
          <w:tcPr>
            <w:tcW w:w="9145" w:type="dxa"/>
            <w:tcMar>
              <w:top w:w="28" w:type="dxa"/>
            </w:tcMar>
          </w:tcPr>
          <w:p w:rsidR="00F8404D" w:rsidRPr="009401F6" w:rsidRDefault="00F8404D" w:rsidP="007B01D9">
            <w:pPr>
              <w:pStyle w:val="Address"/>
              <w:jc w:val="center"/>
            </w:pPr>
            <w:r w:rsidRPr="009401F6">
              <w:t>PO Box 100 Woden ACT 2606 Australia</w:t>
            </w:r>
          </w:p>
          <w:p w:rsidR="00F8404D" w:rsidRPr="009401F6" w:rsidRDefault="00F8404D" w:rsidP="007B01D9">
            <w:pPr>
              <w:pStyle w:val="Address"/>
              <w:jc w:val="center"/>
            </w:pPr>
            <w:r w:rsidRPr="009401F6">
              <w:t xml:space="preserve">Email: </w:t>
            </w:r>
            <w:hyperlink r:id="rId29" w:history="1">
              <w:r w:rsidRPr="009401F6">
                <w:rPr>
                  <w:rStyle w:val="Hyperlink"/>
                </w:rPr>
                <w:t>info@tga.gov.au</w:t>
              </w:r>
            </w:hyperlink>
            <w:r w:rsidRPr="009401F6">
              <w:t xml:space="preserve">  Phone: 1800 020 653  Fax: 02 62</w:t>
            </w:r>
            <w:r w:rsidR="003204DD">
              <w:t>0</w:t>
            </w:r>
            <w:r w:rsidRPr="009401F6">
              <w:t xml:space="preserve">3 </w:t>
            </w:r>
            <w:r w:rsidR="003204DD">
              <w:t>1</w:t>
            </w:r>
            <w:r w:rsidRPr="009401F6">
              <w:t>605</w:t>
            </w:r>
          </w:p>
          <w:p w:rsidR="00F8404D" w:rsidRPr="009401F6" w:rsidRDefault="0040214D" w:rsidP="007B01D9">
            <w:pPr>
              <w:pStyle w:val="Address"/>
              <w:spacing w:line="260" w:lineRule="atLeast"/>
              <w:jc w:val="center"/>
              <w:rPr>
                <w:rStyle w:val="Hyperlink"/>
                <w:b/>
              </w:rPr>
            </w:pPr>
            <w:hyperlink r:id="rId30" w:history="1">
              <w:r w:rsidR="009401F6" w:rsidRPr="009401F6">
                <w:rPr>
                  <w:rStyle w:val="Hyperlink"/>
                  <w:b/>
                </w:rPr>
                <w:t>https://www.tga.gov.au</w:t>
              </w:r>
            </w:hyperlink>
          </w:p>
        </w:tc>
      </w:tr>
      <w:tr w:rsidR="00F8404D" w:rsidRPr="009401F6" w:rsidTr="00C243C8">
        <w:trPr>
          <w:trHeight w:val="251"/>
          <w:jc w:val="center"/>
        </w:trPr>
        <w:tc>
          <w:tcPr>
            <w:tcW w:w="9145" w:type="dxa"/>
            <w:tcMar>
              <w:top w:w="28" w:type="dxa"/>
            </w:tcMar>
          </w:tcPr>
          <w:p w:rsidR="00F8404D" w:rsidRPr="009401F6" w:rsidRDefault="00F8404D" w:rsidP="007B01D9">
            <w:pPr>
              <w:pStyle w:val="Address"/>
              <w:jc w:val="center"/>
            </w:pPr>
            <w:r w:rsidRPr="0035201E">
              <w:t>Reference/Publication #</w:t>
            </w:r>
          </w:p>
        </w:tc>
      </w:tr>
    </w:tbl>
    <w:p w:rsidR="0084580B" w:rsidRPr="009401F6" w:rsidRDefault="0084580B" w:rsidP="00F8404D">
      <w:pPr>
        <w:pStyle w:val="Footer"/>
      </w:pPr>
    </w:p>
    <w:sectPr w:rsidR="0084580B" w:rsidRPr="009401F6" w:rsidSect="007B1D0B">
      <w:headerReference w:type="first" r:id="rId31"/>
      <w:footerReference w:type="first" r:id="rId32"/>
      <w:pgSz w:w="11906" w:h="16838" w:code="9"/>
      <w:pgMar w:top="13718" w:right="1701" w:bottom="709" w:left="1701" w:header="1134" w:footer="623"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A49A4" w:rsidRDefault="002A49A4" w:rsidP="00C40A36">
      <w:pPr>
        <w:spacing w:after="0"/>
      </w:pPr>
      <w:r>
        <w:separator/>
      </w:r>
    </w:p>
    <w:p w:rsidR="002A49A4" w:rsidRDefault="002A49A4"/>
  </w:endnote>
  <w:endnote w:type="continuationSeparator" w:id="0">
    <w:p w:rsidR="002A49A4" w:rsidRDefault="002A49A4" w:rsidP="00C40A36">
      <w:pPr>
        <w:spacing w:after="0"/>
      </w:pPr>
      <w:r>
        <w:continuationSeparator/>
      </w:r>
    </w:p>
    <w:p w:rsidR="002A49A4" w:rsidRDefault="002A49A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PMingLiU">
    <w:altName w:val="新細明體"/>
    <w:panose1 w:val="02020500000000000000"/>
    <w:charset w:val="88"/>
    <w:family w:val="roman"/>
    <w:pitch w:val="variable"/>
    <w:sig w:usb0="A00002FF" w:usb1="28CFFCFA" w:usb2="00000016" w:usb3="00000000" w:csb0="00100001" w:csb1="00000000"/>
  </w:font>
  <w:font w:name="MingLiU">
    <w:altName w:val="細明體"/>
    <w:panose1 w:val="02020509000000000000"/>
    <w:charset w:val="88"/>
    <w:family w:val="modern"/>
    <w:pitch w:val="fixed"/>
    <w:sig w:usb0="A00002FF" w:usb1="28CFFCFA" w:usb2="00000016" w:usb3="00000000" w:csb0="001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B5119" w:rsidRDefault="00DB5119" w:rsidP="00A3654F">
    <w:pPr>
      <w:pStyle w:val="Footer"/>
      <w:tabs>
        <w:tab w:val="left" w:pos="7620"/>
        <w:tab w:val="right" w:pos="8504"/>
      </w:tabs>
      <w:rPr>
        <w:lang w:eastAsia="en-AU"/>
      </w:rPr>
    </w:pPr>
  </w:p>
  <w:p w:rsidR="00DB5119" w:rsidRPr="00826007" w:rsidRDefault="00DB5119" w:rsidP="00A3654F">
    <w:pPr>
      <w:pStyle w:val="Footer"/>
      <w:tabs>
        <w:tab w:val="left" w:pos="7620"/>
        <w:tab w:val="right" w:pos="8504"/>
      </w:tabs>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B5119" w:rsidRDefault="00DB5119" w:rsidP="00FF7B50">
    <w:pPr>
      <w:pStyle w:val="Footer"/>
      <w:ind w:left="-1757" w:right="-227"/>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eGrid"/>
      <w:tblW w:w="0" w:type="auto"/>
      <w:tblBorders>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Description w:val="Consultation paper: Substances to be added to Appendix H of the Poisons Standard  V1.0 May 2018&#10;"/>
    </w:tblPr>
    <w:tblGrid>
      <w:gridCol w:w="7479"/>
      <w:gridCol w:w="1241"/>
    </w:tblGrid>
    <w:tr w:rsidR="00DB5119" w:rsidRPr="00257138" w:rsidTr="00C3482F">
      <w:trPr>
        <w:trHeight w:val="423"/>
        <w:tblHeader/>
      </w:trPr>
      <w:tc>
        <w:tcPr>
          <w:tcW w:w="7479" w:type="dxa"/>
        </w:tcPr>
        <w:p w:rsidR="00DB5119" w:rsidRPr="00257138" w:rsidRDefault="002E6CAD" w:rsidP="002E6CAD">
          <w:pPr>
            <w:pStyle w:val="Footer"/>
            <w:spacing w:before="120" w:after="120"/>
          </w:pPr>
          <w:r>
            <w:t>Consultation</w:t>
          </w:r>
          <w:r w:rsidR="00DB5119">
            <w:t xml:space="preserve">: </w:t>
          </w:r>
          <w:r>
            <w:t>Proposed criteria for Appendix M of the Poisons Standard to support rescheduling of substances from Schedule 4 (Prescription only) to Schedule 3 (Pharmacist only)</w:t>
          </w:r>
          <w:r w:rsidR="00DB5119">
            <w:br/>
          </w:r>
          <w:r w:rsidR="00DB5119" w:rsidRPr="007F1406">
            <w:rPr>
              <w:shd w:val="clear" w:color="auto" w:fill="FFFFFF" w:themeFill="background2"/>
            </w:rPr>
            <w:t>V1.0 February 2019</w:t>
          </w:r>
        </w:p>
      </w:tc>
      <w:tc>
        <w:tcPr>
          <w:tcW w:w="1241" w:type="dxa"/>
        </w:tcPr>
        <w:sdt>
          <w:sdtPr>
            <w:id w:val="-1648810646"/>
            <w:docPartObj>
              <w:docPartGallery w:val="Page Numbers (Top of Page)"/>
              <w:docPartUnique/>
            </w:docPartObj>
          </w:sdtPr>
          <w:sdtEndPr/>
          <w:sdtContent>
            <w:p w:rsidR="00DB5119" w:rsidRPr="00257138" w:rsidRDefault="00DB5119" w:rsidP="00EE1482">
              <w:pPr>
                <w:pStyle w:val="Footer"/>
                <w:spacing w:before="120" w:after="120"/>
                <w:jc w:val="right"/>
              </w:pPr>
              <w:r w:rsidRPr="00257138">
                <w:t xml:space="preserve">Page </w:t>
              </w:r>
              <w:r>
                <w:fldChar w:fldCharType="begin"/>
              </w:r>
              <w:r>
                <w:instrText xml:space="preserve"> PAGE </w:instrText>
              </w:r>
              <w:r>
                <w:fldChar w:fldCharType="separate"/>
              </w:r>
              <w:r w:rsidR="0040214D">
                <w:rPr>
                  <w:noProof/>
                </w:rPr>
                <w:t>3</w:t>
              </w:r>
              <w:r>
                <w:rPr>
                  <w:noProof/>
                </w:rPr>
                <w:fldChar w:fldCharType="end"/>
              </w:r>
              <w:r w:rsidRPr="00257138">
                <w:t xml:space="preserve"> of </w:t>
              </w:r>
              <w:fldSimple w:instr=" NUMPAGES  ">
                <w:r w:rsidR="0040214D">
                  <w:rPr>
                    <w:noProof/>
                  </w:rPr>
                  <w:t>16</w:t>
                </w:r>
              </w:fldSimple>
            </w:p>
          </w:sdtContent>
        </w:sdt>
      </w:tc>
    </w:tr>
  </w:tbl>
  <w:p w:rsidR="00DB5119" w:rsidRPr="00826007" w:rsidRDefault="00DB5119" w:rsidP="00F4663D">
    <w:pPr>
      <w:pStyle w:val="Footer"/>
      <w:tabs>
        <w:tab w:val="left" w:pos="7620"/>
        <w:tab w:val="right" w:pos="8504"/>
      </w:tabs>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B5119" w:rsidRPr="00F8404D" w:rsidRDefault="00DB5119" w:rsidP="00F8404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A49A4" w:rsidRDefault="002A49A4" w:rsidP="00FE1941">
      <w:pPr>
        <w:spacing w:after="0"/>
      </w:pPr>
      <w:r>
        <w:separator/>
      </w:r>
    </w:p>
  </w:footnote>
  <w:footnote w:type="continuationSeparator" w:id="0">
    <w:p w:rsidR="002A49A4" w:rsidRDefault="002A49A4" w:rsidP="00C40A36">
      <w:pPr>
        <w:spacing w:after="0"/>
      </w:pPr>
      <w:r>
        <w:continuationSeparator/>
      </w:r>
    </w:p>
    <w:p w:rsidR="002A49A4" w:rsidRDefault="002A49A4"/>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B5119" w:rsidRPr="00920FF4" w:rsidRDefault="00DB5119" w:rsidP="00920FF4">
    <w:pPr>
      <w:pStyle w:val="Header"/>
    </w:pPr>
    <w:r>
      <w:t>Therapeutic Goods Administration</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B5119" w:rsidRPr="00E32326" w:rsidRDefault="00DB5119" w:rsidP="00F202AB">
    <w:r w:rsidRPr="00F3255D">
      <w:rPr>
        <w:noProof/>
        <w:lang w:eastAsia="en-AU"/>
      </w:rPr>
      <w:drawing>
        <wp:anchor distT="0" distB="0" distL="114300" distR="114300" simplePos="0" relativeHeight="251659264" behindDoc="0" locked="0" layoutInCell="1" allowOverlap="1" wp14:anchorId="4F78121B" wp14:editId="4C5B6682">
          <wp:simplePos x="0" y="0"/>
          <wp:positionH relativeFrom="column">
            <wp:posOffset>-195580</wp:posOffset>
          </wp:positionH>
          <wp:positionV relativeFrom="paragraph">
            <wp:posOffset>-62230</wp:posOffset>
          </wp:positionV>
          <wp:extent cx="3524250" cy="1209675"/>
          <wp:effectExtent l="0" t="0" r="0" b="9525"/>
          <wp:wrapTopAndBottom/>
          <wp:docPr id="6" name="Picture 1" descr="Australian Government, Department of Health, Therapeutic Goods Administration cre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U:\Work\_resources\TGA Vector Graphics\DH&amp;A\New crests Sept 2013\DH-TGA_inline_black-RGB-1200.gif"/>
                  <pic:cNvPicPr>
                    <a:picLocks noChangeAspect="1" noChangeArrowheads="1"/>
                  </pic:cNvPicPr>
                </pic:nvPicPr>
                <pic:blipFill>
                  <a:blip r:embed="rId1"/>
                  <a:srcRect/>
                  <a:stretch>
                    <a:fillRect/>
                  </a:stretch>
                </pic:blipFill>
                <pic:spPr bwMode="auto">
                  <a:xfrm>
                    <a:off x="0" y="0"/>
                    <a:ext cx="3524250" cy="1209675"/>
                  </a:xfrm>
                  <a:prstGeom prst="rect">
                    <a:avLst/>
                  </a:prstGeom>
                  <a:noFill/>
                  <a:ln w="9525">
                    <a:noFill/>
                    <a:miter lim="800000"/>
                    <a:headEnd/>
                    <a:tailEnd/>
                  </a:ln>
                </pic:spPr>
              </pic:pic>
            </a:graphicData>
          </a:graphic>
        </wp:anchor>
      </w:drawing>
    </w:r>
  </w:p>
  <w:tbl>
    <w:tblPr>
      <w:tblStyle w:val="TableGrid"/>
      <w:tblpPr w:leftFromText="181" w:rightFromText="181" w:vertAnchor="page" w:horzAnchor="page" w:tblpX="1" w:tblpY="8999"/>
      <w:tblOverlap w:val="never"/>
      <w:tblW w:w="1196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Description w:val="&quot;&quot;"/>
    </w:tblPr>
    <w:tblGrid>
      <w:gridCol w:w="11964"/>
    </w:tblGrid>
    <w:tr w:rsidR="00DB5119" w:rsidRPr="00FF7B50" w:rsidTr="00C3482F">
      <w:trPr>
        <w:trHeight w:hRule="exact" w:val="8845"/>
        <w:tblHeader/>
      </w:trPr>
      <w:tc>
        <w:tcPr>
          <w:tcW w:w="11964" w:type="dxa"/>
        </w:tcPr>
        <w:p w:rsidR="00DB5119" w:rsidRPr="00FF7B50" w:rsidRDefault="0040214D" w:rsidP="00CC47ED">
          <w:pPr>
            <w:pStyle w:val="Header"/>
            <w:ind w:left="-57"/>
            <w:jc w:val="left"/>
            <w:rPr>
              <w:noProof/>
              <w:lang w:eastAsia="en-AU"/>
            </w:rPr>
          </w:pPr>
          <w:sdt>
            <w:sdtPr>
              <w:rPr>
                <w:noProof/>
                <w:lang w:eastAsia="en-AU"/>
              </w:rPr>
              <w:id w:val="185257285"/>
              <w:picture/>
            </w:sdtPr>
            <w:sdtEndPr/>
            <w:sdtContent/>
          </w:sdt>
        </w:p>
      </w:tc>
    </w:tr>
  </w:tbl>
  <w:p w:rsidR="00DB5119" w:rsidRPr="00E32326" w:rsidRDefault="00DB5119" w:rsidP="00F202AB">
    <w:r>
      <w:rPr>
        <w:noProof/>
        <w:lang w:eastAsia="en-AU"/>
      </w:rPr>
      <w:drawing>
        <wp:anchor distT="0" distB="0" distL="114300" distR="114300" simplePos="0" relativeHeight="251657216" behindDoc="0" locked="0" layoutInCell="0" allowOverlap="1" wp14:anchorId="697854C1" wp14:editId="48584D8C">
          <wp:simplePos x="0" y="0"/>
          <wp:positionH relativeFrom="column">
            <wp:posOffset>-900430</wp:posOffset>
          </wp:positionH>
          <wp:positionV relativeFrom="page">
            <wp:posOffset>4171950</wp:posOffset>
          </wp:positionV>
          <wp:extent cx="7600950" cy="2457450"/>
          <wp:effectExtent l="19050" t="0" r="0" b="0"/>
          <wp:wrapNone/>
          <wp:docPr id="7" name="Picture 8" descr="TGA: Health, Safety, Regul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C:\Users\fletct\Desktop\TGA-Swoosh-w-Wordmark-Green-CMYK.gif"/>
                  <pic:cNvPicPr>
                    <a:picLocks noChangeAspect="1" noChangeArrowheads="1"/>
                  </pic:cNvPicPr>
                </pic:nvPicPr>
                <pic:blipFill>
                  <a:blip r:embed="rId2" cstate="print"/>
                  <a:srcRect/>
                  <a:stretch>
                    <a:fillRect/>
                  </a:stretch>
                </pic:blipFill>
                <pic:spPr bwMode="auto">
                  <a:xfrm>
                    <a:off x="0" y="0"/>
                    <a:ext cx="7600950" cy="2457450"/>
                  </a:xfrm>
                  <a:prstGeom prst="rect">
                    <a:avLst/>
                  </a:prstGeom>
                  <a:noFill/>
                  <a:ln w="9525">
                    <a:noFill/>
                    <a:miter lim="800000"/>
                    <a:headEnd/>
                    <a:tailEnd/>
                  </a:ln>
                </pic:spPr>
              </pic:pic>
            </a:graphicData>
          </a:graphic>
        </wp:anchor>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B5119" w:rsidRPr="00920FF4" w:rsidRDefault="00DB5119" w:rsidP="00920FF4">
    <w:pPr>
      <w:pStyle w:val="Header"/>
    </w:pPr>
    <w:r>
      <w:t>Therapeutic Goods Administration</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B5119" w:rsidRPr="00920FF4" w:rsidRDefault="00DB5119" w:rsidP="001D480A">
    <w:pPr>
      <w:pStyle w:val="Header"/>
    </w:pPr>
    <w:r>
      <w:t>Therapeutic Goods Administration</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B5119" w:rsidRPr="002B0C2E" w:rsidRDefault="00DB5119" w:rsidP="00432D79">
    <w:pPr>
      <w:pStyle w:val="HeaderNoLine"/>
      <w:jc w:val="lef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9"/>
    <w:multiLevelType w:val="singleLevel"/>
    <w:tmpl w:val="9D24E3E0"/>
    <w:lvl w:ilvl="0">
      <w:start w:val="1"/>
      <w:numFmt w:val="bullet"/>
      <w:lvlText w:val=""/>
      <w:lvlJc w:val="left"/>
      <w:pPr>
        <w:tabs>
          <w:tab w:val="num" w:pos="360"/>
        </w:tabs>
        <w:ind w:left="360" w:hanging="360"/>
      </w:pPr>
      <w:rPr>
        <w:rFonts w:ascii="Symbol" w:hAnsi="Symbol" w:hint="default"/>
      </w:rPr>
    </w:lvl>
  </w:abstractNum>
  <w:abstractNum w:abstractNumId="1">
    <w:nsid w:val="057B68E5"/>
    <w:multiLevelType w:val="multilevel"/>
    <w:tmpl w:val="CB507AD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nsid w:val="08CC3433"/>
    <w:multiLevelType w:val="hybridMultilevel"/>
    <w:tmpl w:val="56EE6F4C"/>
    <w:lvl w:ilvl="0" w:tplc="0C09000F">
      <w:start w:val="2"/>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nsid w:val="0A8C4A34"/>
    <w:multiLevelType w:val="hybridMultilevel"/>
    <w:tmpl w:val="D1902E44"/>
    <w:lvl w:ilvl="0" w:tplc="460C85E4">
      <w:start w:val="5"/>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nsid w:val="0DD263C0"/>
    <w:multiLevelType w:val="hybridMultilevel"/>
    <w:tmpl w:val="2ACAFCE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nsid w:val="0E825150"/>
    <w:multiLevelType w:val="hybridMultilevel"/>
    <w:tmpl w:val="5A025404"/>
    <w:lvl w:ilvl="0" w:tplc="D2C206AE">
      <w:start w:val="1"/>
      <w:numFmt w:val="bullet"/>
      <w:lvlText w:val="•"/>
      <w:lvlJc w:val="left"/>
      <w:pPr>
        <w:ind w:left="720" w:hanging="360"/>
      </w:pPr>
      <w:rPr>
        <w:rFonts w:ascii="Arial" w:hAnsi="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nsid w:val="0E9C34B2"/>
    <w:multiLevelType w:val="hybridMultilevel"/>
    <w:tmpl w:val="AFE80840"/>
    <w:lvl w:ilvl="0" w:tplc="0C090001">
      <w:start w:val="1"/>
      <w:numFmt w:val="bullet"/>
      <w:lvlText w:val=""/>
      <w:lvlJc w:val="left"/>
      <w:pPr>
        <w:ind w:left="1484" w:hanging="360"/>
      </w:pPr>
      <w:rPr>
        <w:rFonts w:ascii="Symbol" w:hAnsi="Symbol" w:hint="default"/>
      </w:rPr>
    </w:lvl>
    <w:lvl w:ilvl="1" w:tplc="0C090003" w:tentative="1">
      <w:start w:val="1"/>
      <w:numFmt w:val="bullet"/>
      <w:lvlText w:val="o"/>
      <w:lvlJc w:val="left"/>
      <w:pPr>
        <w:ind w:left="2204" w:hanging="360"/>
      </w:pPr>
      <w:rPr>
        <w:rFonts w:ascii="Courier New" w:hAnsi="Courier New" w:cs="Courier New" w:hint="default"/>
      </w:rPr>
    </w:lvl>
    <w:lvl w:ilvl="2" w:tplc="0C090005" w:tentative="1">
      <w:start w:val="1"/>
      <w:numFmt w:val="bullet"/>
      <w:lvlText w:val=""/>
      <w:lvlJc w:val="left"/>
      <w:pPr>
        <w:ind w:left="2924" w:hanging="360"/>
      </w:pPr>
      <w:rPr>
        <w:rFonts w:ascii="Wingdings" w:hAnsi="Wingdings" w:hint="default"/>
      </w:rPr>
    </w:lvl>
    <w:lvl w:ilvl="3" w:tplc="0C090001" w:tentative="1">
      <w:start w:val="1"/>
      <w:numFmt w:val="bullet"/>
      <w:lvlText w:val=""/>
      <w:lvlJc w:val="left"/>
      <w:pPr>
        <w:ind w:left="3644" w:hanging="360"/>
      </w:pPr>
      <w:rPr>
        <w:rFonts w:ascii="Symbol" w:hAnsi="Symbol" w:hint="default"/>
      </w:rPr>
    </w:lvl>
    <w:lvl w:ilvl="4" w:tplc="0C090003" w:tentative="1">
      <w:start w:val="1"/>
      <w:numFmt w:val="bullet"/>
      <w:lvlText w:val="o"/>
      <w:lvlJc w:val="left"/>
      <w:pPr>
        <w:ind w:left="4364" w:hanging="360"/>
      </w:pPr>
      <w:rPr>
        <w:rFonts w:ascii="Courier New" w:hAnsi="Courier New" w:cs="Courier New" w:hint="default"/>
      </w:rPr>
    </w:lvl>
    <w:lvl w:ilvl="5" w:tplc="0C090005" w:tentative="1">
      <w:start w:val="1"/>
      <w:numFmt w:val="bullet"/>
      <w:lvlText w:val=""/>
      <w:lvlJc w:val="left"/>
      <w:pPr>
        <w:ind w:left="5084" w:hanging="360"/>
      </w:pPr>
      <w:rPr>
        <w:rFonts w:ascii="Wingdings" w:hAnsi="Wingdings" w:hint="default"/>
      </w:rPr>
    </w:lvl>
    <w:lvl w:ilvl="6" w:tplc="0C090001" w:tentative="1">
      <w:start w:val="1"/>
      <w:numFmt w:val="bullet"/>
      <w:lvlText w:val=""/>
      <w:lvlJc w:val="left"/>
      <w:pPr>
        <w:ind w:left="5804" w:hanging="360"/>
      </w:pPr>
      <w:rPr>
        <w:rFonts w:ascii="Symbol" w:hAnsi="Symbol" w:hint="default"/>
      </w:rPr>
    </w:lvl>
    <w:lvl w:ilvl="7" w:tplc="0C090003" w:tentative="1">
      <w:start w:val="1"/>
      <w:numFmt w:val="bullet"/>
      <w:lvlText w:val="o"/>
      <w:lvlJc w:val="left"/>
      <w:pPr>
        <w:ind w:left="6524" w:hanging="360"/>
      </w:pPr>
      <w:rPr>
        <w:rFonts w:ascii="Courier New" w:hAnsi="Courier New" w:cs="Courier New" w:hint="default"/>
      </w:rPr>
    </w:lvl>
    <w:lvl w:ilvl="8" w:tplc="0C090005" w:tentative="1">
      <w:start w:val="1"/>
      <w:numFmt w:val="bullet"/>
      <w:lvlText w:val=""/>
      <w:lvlJc w:val="left"/>
      <w:pPr>
        <w:ind w:left="7244" w:hanging="360"/>
      </w:pPr>
      <w:rPr>
        <w:rFonts w:ascii="Wingdings" w:hAnsi="Wingdings" w:hint="default"/>
      </w:rPr>
    </w:lvl>
  </w:abstractNum>
  <w:abstractNum w:abstractNumId="7">
    <w:nsid w:val="10053F11"/>
    <w:multiLevelType w:val="multilevel"/>
    <w:tmpl w:val="575CEDBE"/>
    <w:styleLink w:val="NumberBullet"/>
    <w:lvl w:ilvl="0">
      <w:start w:val="1"/>
      <w:numFmt w:val="decimal"/>
      <w:pStyle w:val="Numberbullet0"/>
      <w:lvlText w:val="%1."/>
      <w:lvlJc w:val="left"/>
      <w:pPr>
        <w:ind w:left="425" w:hanging="425"/>
      </w:pPr>
      <w:rPr>
        <w:rFonts w:ascii="Cambria" w:hAnsi="Cambria" w:hint="default"/>
      </w:rPr>
    </w:lvl>
    <w:lvl w:ilvl="1">
      <w:start w:val="1"/>
      <w:numFmt w:val="lowerLetter"/>
      <w:pStyle w:val="Numberbullet2"/>
      <w:lvlText w:val="%2."/>
      <w:lvlJc w:val="left"/>
      <w:pPr>
        <w:ind w:left="851" w:hanging="426"/>
      </w:pPr>
      <w:rPr>
        <w:rFonts w:hint="default"/>
      </w:rPr>
    </w:lvl>
    <w:lvl w:ilvl="2">
      <w:start w:val="1"/>
      <w:numFmt w:val="lowerRoman"/>
      <w:pStyle w:val="Numberbullet3"/>
      <w:lvlText w:val="%3."/>
      <w:lvlJc w:val="left"/>
      <w:pPr>
        <w:ind w:left="1276" w:hanging="425"/>
      </w:pPr>
      <w:rPr>
        <w:rFonts w:hint="default"/>
      </w:rPr>
    </w:lvl>
    <w:lvl w:ilvl="3">
      <w:start w:val="1"/>
      <w:numFmt w:val="none"/>
      <w:lvlText w:val=""/>
      <w:lvlJc w:val="left"/>
      <w:pPr>
        <w:ind w:left="1276" w:hanging="425"/>
      </w:pPr>
      <w:rPr>
        <w:rFonts w:hint="default"/>
      </w:rPr>
    </w:lvl>
    <w:lvl w:ilvl="4">
      <w:start w:val="1"/>
      <w:numFmt w:val="none"/>
      <w:lvlText w:val=""/>
      <w:lvlJc w:val="left"/>
      <w:pPr>
        <w:ind w:left="1276" w:hanging="425"/>
      </w:pPr>
      <w:rPr>
        <w:rFonts w:hint="default"/>
      </w:rPr>
    </w:lvl>
    <w:lvl w:ilvl="5">
      <w:start w:val="1"/>
      <w:numFmt w:val="none"/>
      <w:lvlText w:val=""/>
      <w:lvlJc w:val="left"/>
      <w:pPr>
        <w:ind w:left="1276" w:hanging="425"/>
      </w:pPr>
      <w:rPr>
        <w:rFonts w:hint="default"/>
      </w:rPr>
    </w:lvl>
    <w:lvl w:ilvl="6">
      <w:start w:val="1"/>
      <w:numFmt w:val="none"/>
      <w:lvlText w:val="%7"/>
      <w:lvlJc w:val="left"/>
      <w:pPr>
        <w:ind w:left="1276" w:hanging="425"/>
      </w:pPr>
      <w:rPr>
        <w:rFonts w:hint="default"/>
      </w:rPr>
    </w:lvl>
    <w:lvl w:ilvl="7">
      <w:start w:val="1"/>
      <w:numFmt w:val="none"/>
      <w:lvlText w:val=""/>
      <w:lvlJc w:val="left"/>
      <w:pPr>
        <w:ind w:left="1276" w:hanging="425"/>
      </w:pPr>
      <w:rPr>
        <w:rFonts w:hint="default"/>
      </w:rPr>
    </w:lvl>
    <w:lvl w:ilvl="8">
      <w:start w:val="1"/>
      <w:numFmt w:val="none"/>
      <w:lvlText w:val=""/>
      <w:lvlJc w:val="left"/>
      <w:pPr>
        <w:ind w:left="1276" w:hanging="425"/>
      </w:pPr>
      <w:rPr>
        <w:rFonts w:hint="default"/>
      </w:rPr>
    </w:lvl>
  </w:abstractNum>
  <w:abstractNum w:abstractNumId="8">
    <w:nsid w:val="168F13E9"/>
    <w:multiLevelType w:val="multilevel"/>
    <w:tmpl w:val="BFEA1854"/>
    <w:styleLink w:val="ListBullets"/>
    <w:lvl w:ilvl="0">
      <w:start w:val="1"/>
      <w:numFmt w:val="bullet"/>
      <w:pStyle w:val="ListBullet"/>
      <w:lvlText w:val="•"/>
      <w:lvlJc w:val="left"/>
      <w:pPr>
        <w:ind w:left="360" w:hanging="360"/>
      </w:pPr>
      <w:rPr>
        <w:rFonts w:ascii="Arial" w:hAnsi="Arial" w:hint="default"/>
      </w:rPr>
    </w:lvl>
    <w:lvl w:ilvl="1">
      <w:start w:val="1"/>
      <w:numFmt w:val="bullet"/>
      <w:pStyle w:val="ListBullet2"/>
      <w:lvlText w:val="–"/>
      <w:lvlJc w:val="left"/>
      <w:pPr>
        <w:ind w:left="720" w:hanging="360"/>
      </w:pPr>
      <w:rPr>
        <w:rFonts w:ascii="Arial" w:hAnsi="Arial" w:hint="default"/>
      </w:rPr>
    </w:lvl>
    <w:lvl w:ilvl="2">
      <w:start w:val="1"/>
      <w:numFmt w:val="bullet"/>
      <w:pStyle w:val="ListBullet3"/>
      <w:lvlText w:val=""/>
      <w:lvlJc w:val="left"/>
      <w:pPr>
        <w:ind w:left="1080" w:hanging="360"/>
      </w:pPr>
      <w:rPr>
        <w:rFonts w:ascii="Wingdings" w:hAnsi="Wingdings" w:hint="default"/>
      </w:rPr>
    </w:lvl>
    <w:lvl w:ilvl="3">
      <w:start w:val="1"/>
      <w:numFmt w:val="none"/>
      <w:lvlText w:val=""/>
      <w:lvlJc w:val="left"/>
      <w:pPr>
        <w:ind w:left="1440" w:hanging="360"/>
      </w:pPr>
      <w:rPr>
        <w:rFonts w:hint="default"/>
      </w:rPr>
    </w:lvl>
    <w:lvl w:ilvl="4">
      <w:start w:val="1"/>
      <w:numFmt w:val="none"/>
      <w:lvlText w:val=""/>
      <w:lvlJc w:val="left"/>
      <w:pPr>
        <w:ind w:left="1800" w:hanging="360"/>
      </w:pPr>
      <w:rPr>
        <w:rFonts w:hint="default"/>
      </w:rPr>
    </w:lvl>
    <w:lvl w:ilvl="5">
      <w:start w:val="1"/>
      <w:numFmt w:val="none"/>
      <w:lvlText w:val=""/>
      <w:lvlJc w:val="left"/>
      <w:pPr>
        <w:ind w:left="2160" w:hanging="360"/>
      </w:pPr>
      <w:rPr>
        <w:rFonts w:hint="default"/>
      </w:rPr>
    </w:lvl>
    <w:lvl w:ilvl="6">
      <w:start w:val="1"/>
      <w:numFmt w:val="none"/>
      <w:lvlText w:val="%7"/>
      <w:lvlJc w:val="left"/>
      <w:pPr>
        <w:ind w:left="2520" w:hanging="360"/>
      </w:pPr>
      <w:rPr>
        <w:rFonts w:hint="default"/>
      </w:rPr>
    </w:lvl>
    <w:lvl w:ilvl="7">
      <w:start w:val="1"/>
      <w:numFmt w:val="none"/>
      <w:lvlText w:val="%8"/>
      <w:lvlJc w:val="left"/>
      <w:pPr>
        <w:ind w:left="2880" w:hanging="360"/>
      </w:pPr>
      <w:rPr>
        <w:rFonts w:hint="default"/>
      </w:rPr>
    </w:lvl>
    <w:lvl w:ilvl="8">
      <w:start w:val="1"/>
      <w:numFmt w:val="none"/>
      <w:lvlText w:val="%9"/>
      <w:lvlJc w:val="left"/>
      <w:pPr>
        <w:ind w:left="3240" w:hanging="360"/>
      </w:pPr>
      <w:rPr>
        <w:rFonts w:hint="default"/>
      </w:rPr>
    </w:lvl>
  </w:abstractNum>
  <w:abstractNum w:abstractNumId="9">
    <w:nsid w:val="1DFE53DB"/>
    <w:multiLevelType w:val="hybridMultilevel"/>
    <w:tmpl w:val="655E2BB4"/>
    <w:lvl w:ilvl="0" w:tplc="9376B18E">
      <w:start w:val="4"/>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0">
    <w:nsid w:val="1E8D2C04"/>
    <w:multiLevelType w:val="hybridMultilevel"/>
    <w:tmpl w:val="C10ED17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nsid w:val="20825519"/>
    <w:multiLevelType w:val="multilevel"/>
    <w:tmpl w:val="A9860E4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2">
    <w:nsid w:val="341B1B22"/>
    <w:multiLevelType w:val="hybridMultilevel"/>
    <w:tmpl w:val="FBBE2AE6"/>
    <w:lvl w:ilvl="0" w:tplc="34E25440">
      <w:start w:val="1"/>
      <w:numFmt w:val="decimal"/>
      <w:lvlText w:val="%1."/>
      <w:lvlJc w:val="left"/>
      <w:pPr>
        <w:ind w:left="720" w:hanging="360"/>
      </w:pPr>
      <w:rPr>
        <w:b/>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3">
    <w:nsid w:val="35E00A06"/>
    <w:multiLevelType w:val="multilevel"/>
    <w:tmpl w:val="D288411A"/>
    <w:lvl w:ilvl="0">
      <w:start w:val="1"/>
      <w:numFmt w:val="decimal"/>
      <w:lvlText w:val="%1."/>
      <w:lvlJc w:val="left"/>
      <w:pPr>
        <w:ind w:left="360" w:hanging="360"/>
      </w:pPr>
      <w:rPr>
        <w:rFonts w:hint="default"/>
        <w:b w:val="0"/>
      </w:rPr>
    </w:lvl>
    <w:lvl w:ilvl="1">
      <w:start w:val="1"/>
      <w:numFmt w:val="bullet"/>
      <w:lvlText w:val="–"/>
      <w:lvlJc w:val="left"/>
      <w:pPr>
        <w:ind w:left="720" w:hanging="360"/>
      </w:pPr>
      <w:rPr>
        <w:rFonts w:ascii="Arial" w:hAnsi="Arial" w:hint="default"/>
      </w:rPr>
    </w:lvl>
    <w:lvl w:ilvl="2">
      <w:start w:val="1"/>
      <w:numFmt w:val="bullet"/>
      <w:lvlText w:val=""/>
      <w:lvlJc w:val="left"/>
      <w:pPr>
        <w:ind w:left="1080" w:hanging="360"/>
      </w:pPr>
      <w:rPr>
        <w:rFonts w:ascii="Wingdings" w:hAnsi="Wingdings" w:hint="default"/>
      </w:rPr>
    </w:lvl>
    <w:lvl w:ilvl="3">
      <w:start w:val="1"/>
      <w:numFmt w:val="none"/>
      <w:lvlText w:val=""/>
      <w:lvlJc w:val="left"/>
      <w:pPr>
        <w:ind w:left="1440" w:hanging="360"/>
      </w:pPr>
      <w:rPr>
        <w:rFonts w:hint="default"/>
      </w:rPr>
    </w:lvl>
    <w:lvl w:ilvl="4">
      <w:start w:val="1"/>
      <w:numFmt w:val="none"/>
      <w:lvlText w:val=""/>
      <w:lvlJc w:val="left"/>
      <w:pPr>
        <w:ind w:left="1800" w:hanging="360"/>
      </w:pPr>
      <w:rPr>
        <w:rFonts w:hint="default"/>
      </w:rPr>
    </w:lvl>
    <w:lvl w:ilvl="5">
      <w:start w:val="1"/>
      <w:numFmt w:val="none"/>
      <w:lvlText w:val=""/>
      <w:lvlJc w:val="left"/>
      <w:pPr>
        <w:ind w:left="2160" w:hanging="360"/>
      </w:pPr>
      <w:rPr>
        <w:rFonts w:hint="default"/>
      </w:rPr>
    </w:lvl>
    <w:lvl w:ilvl="6">
      <w:start w:val="1"/>
      <w:numFmt w:val="none"/>
      <w:lvlText w:val="%7"/>
      <w:lvlJc w:val="left"/>
      <w:pPr>
        <w:ind w:left="2520" w:hanging="360"/>
      </w:pPr>
      <w:rPr>
        <w:rFonts w:hint="default"/>
      </w:rPr>
    </w:lvl>
    <w:lvl w:ilvl="7">
      <w:start w:val="1"/>
      <w:numFmt w:val="none"/>
      <w:lvlText w:val="%8"/>
      <w:lvlJc w:val="left"/>
      <w:pPr>
        <w:ind w:left="2880" w:hanging="360"/>
      </w:pPr>
      <w:rPr>
        <w:rFonts w:hint="default"/>
      </w:rPr>
    </w:lvl>
    <w:lvl w:ilvl="8">
      <w:start w:val="1"/>
      <w:numFmt w:val="none"/>
      <w:lvlText w:val="%9"/>
      <w:lvlJc w:val="left"/>
      <w:pPr>
        <w:ind w:left="3240" w:hanging="360"/>
      </w:pPr>
      <w:rPr>
        <w:rFonts w:hint="default"/>
      </w:rPr>
    </w:lvl>
  </w:abstractNum>
  <w:abstractNum w:abstractNumId="14">
    <w:nsid w:val="3E4E068C"/>
    <w:multiLevelType w:val="multilevel"/>
    <w:tmpl w:val="8EFC033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5">
    <w:nsid w:val="3F41674A"/>
    <w:multiLevelType w:val="hybridMultilevel"/>
    <w:tmpl w:val="93C0D9C4"/>
    <w:lvl w:ilvl="0" w:tplc="D2C206AE">
      <w:start w:val="1"/>
      <w:numFmt w:val="bullet"/>
      <w:lvlText w:val="•"/>
      <w:lvlJc w:val="left"/>
      <w:pPr>
        <w:tabs>
          <w:tab w:val="num" w:pos="720"/>
        </w:tabs>
        <w:ind w:left="720" w:hanging="360"/>
      </w:pPr>
      <w:rPr>
        <w:rFonts w:ascii="Arial" w:hAnsi="Arial" w:hint="default"/>
      </w:rPr>
    </w:lvl>
    <w:lvl w:ilvl="1" w:tplc="86308984" w:tentative="1">
      <w:start w:val="1"/>
      <w:numFmt w:val="bullet"/>
      <w:lvlText w:val="•"/>
      <w:lvlJc w:val="left"/>
      <w:pPr>
        <w:tabs>
          <w:tab w:val="num" w:pos="1440"/>
        </w:tabs>
        <w:ind w:left="1440" w:hanging="360"/>
      </w:pPr>
      <w:rPr>
        <w:rFonts w:ascii="Arial" w:hAnsi="Arial" w:hint="default"/>
      </w:rPr>
    </w:lvl>
    <w:lvl w:ilvl="2" w:tplc="EFD67748" w:tentative="1">
      <w:start w:val="1"/>
      <w:numFmt w:val="bullet"/>
      <w:lvlText w:val="•"/>
      <w:lvlJc w:val="left"/>
      <w:pPr>
        <w:tabs>
          <w:tab w:val="num" w:pos="2160"/>
        </w:tabs>
        <w:ind w:left="2160" w:hanging="360"/>
      </w:pPr>
      <w:rPr>
        <w:rFonts w:ascii="Arial" w:hAnsi="Arial" w:hint="default"/>
      </w:rPr>
    </w:lvl>
    <w:lvl w:ilvl="3" w:tplc="750A8A18" w:tentative="1">
      <w:start w:val="1"/>
      <w:numFmt w:val="bullet"/>
      <w:lvlText w:val="•"/>
      <w:lvlJc w:val="left"/>
      <w:pPr>
        <w:tabs>
          <w:tab w:val="num" w:pos="2880"/>
        </w:tabs>
        <w:ind w:left="2880" w:hanging="360"/>
      </w:pPr>
      <w:rPr>
        <w:rFonts w:ascii="Arial" w:hAnsi="Arial" w:hint="default"/>
      </w:rPr>
    </w:lvl>
    <w:lvl w:ilvl="4" w:tplc="65E8D080" w:tentative="1">
      <w:start w:val="1"/>
      <w:numFmt w:val="bullet"/>
      <w:lvlText w:val="•"/>
      <w:lvlJc w:val="left"/>
      <w:pPr>
        <w:tabs>
          <w:tab w:val="num" w:pos="3600"/>
        </w:tabs>
        <w:ind w:left="3600" w:hanging="360"/>
      </w:pPr>
      <w:rPr>
        <w:rFonts w:ascii="Arial" w:hAnsi="Arial" w:hint="default"/>
      </w:rPr>
    </w:lvl>
    <w:lvl w:ilvl="5" w:tplc="5742F394" w:tentative="1">
      <w:start w:val="1"/>
      <w:numFmt w:val="bullet"/>
      <w:lvlText w:val="•"/>
      <w:lvlJc w:val="left"/>
      <w:pPr>
        <w:tabs>
          <w:tab w:val="num" w:pos="4320"/>
        </w:tabs>
        <w:ind w:left="4320" w:hanging="360"/>
      </w:pPr>
      <w:rPr>
        <w:rFonts w:ascii="Arial" w:hAnsi="Arial" w:hint="default"/>
      </w:rPr>
    </w:lvl>
    <w:lvl w:ilvl="6" w:tplc="FE546AAA" w:tentative="1">
      <w:start w:val="1"/>
      <w:numFmt w:val="bullet"/>
      <w:lvlText w:val="•"/>
      <w:lvlJc w:val="left"/>
      <w:pPr>
        <w:tabs>
          <w:tab w:val="num" w:pos="5040"/>
        </w:tabs>
        <w:ind w:left="5040" w:hanging="360"/>
      </w:pPr>
      <w:rPr>
        <w:rFonts w:ascii="Arial" w:hAnsi="Arial" w:hint="default"/>
      </w:rPr>
    </w:lvl>
    <w:lvl w:ilvl="7" w:tplc="97762854" w:tentative="1">
      <w:start w:val="1"/>
      <w:numFmt w:val="bullet"/>
      <w:lvlText w:val="•"/>
      <w:lvlJc w:val="left"/>
      <w:pPr>
        <w:tabs>
          <w:tab w:val="num" w:pos="5760"/>
        </w:tabs>
        <w:ind w:left="5760" w:hanging="360"/>
      </w:pPr>
      <w:rPr>
        <w:rFonts w:ascii="Arial" w:hAnsi="Arial" w:hint="default"/>
      </w:rPr>
    </w:lvl>
    <w:lvl w:ilvl="8" w:tplc="63AAD158" w:tentative="1">
      <w:start w:val="1"/>
      <w:numFmt w:val="bullet"/>
      <w:lvlText w:val="•"/>
      <w:lvlJc w:val="left"/>
      <w:pPr>
        <w:tabs>
          <w:tab w:val="num" w:pos="6480"/>
        </w:tabs>
        <w:ind w:left="6480" w:hanging="360"/>
      </w:pPr>
      <w:rPr>
        <w:rFonts w:ascii="Arial" w:hAnsi="Arial" w:hint="default"/>
      </w:rPr>
    </w:lvl>
  </w:abstractNum>
  <w:abstractNum w:abstractNumId="16">
    <w:nsid w:val="433B02D4"/>
    <w:multiLevelType w:val="hybridMultilevel"/>
    <w:tmpl w:val="6C300C4C"/>
    <w:lvl w:ilvl="0" w:tplc="0C090001">
      <w:start w:val="1"/>
      <w:numFmt w:val="bullet"/>
      <w:lvlText w:val=""/>
      <w:lvlJc w:val="left"/>
      <w:pPr>
        <w:ind w:left="720" w:hanging="360"/>
      </w:pPr>
      <w:rPr>
        <w:rFonts w:ascii="Symbol" w:hAnsi="Symbol"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7">
    <w:nsid w:val="46846A40"/>
    <w:multiLevelType w:val="multilevel"/>
    <w:tmpl w:val="CF7C402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8">
    <w:nsid w:val="4BC751DB"/>
    <w:multiLevelType w:val="hybridMultilevel"/>
    <w:tmpl w:val="F828D950"/>
    <w:lvl w:ilvl="0" w:tplc="C6E0F864">
      <w:start w:val="3"/>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9">
    <w:nsid w:val="51F03994"/>
    <w:multiLevelType w:val="hybridMultilevel"/>
    <w:tmpl w:val="6A42F314"/>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nsid w:val="51FB4C15"/>
    <w:multiLevelType w:val="hybridMultilevel"/>
    <w:tmpl w:val="33362100"/>
    <w:lvl w:ilvl="0" w:tplc="316C6C9C">
      <w:numFmt w:val="bullet"/>
      <w:lvlText w:val="-"/>
      <w:lvlJc w:val="left"/>
      <w:pPr>
        <w:ind w:left="720" w:hanging="360"/>
      </w:pPr>
      <w:rPr>
        <w:rFonts w:ascii="Cambria" w:eastAsia="Cambria" w:hAnsi="Cambria"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nsid w:val="52930A6F"/>
    <w:multiLevelType w:val="hybridMultilevel"/>
    <w:tmpl w:val="272C1016"/>
    <w:lvl w:ilvl="0" w:tplc="0C090011">
      <w:start w:val="1"/>
      <w:numFmt w:val="decimal"/>
      <w:lvlText w:val="%1)"/>
      <w:lvlJc w:val="left"/>
      <w:pPr>
        <w:ind w:left="720" w:hanging="360"/>
      </w:pPr>
      <w:rPr>
        <w:rFonts w:hint="default"/>
      </w:r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2">
    <w:nsid w:val="530114FB"/>
    <w:multiLevelType w:val="hybridMultilevel"/>
    <w:tmpl w:val="1AF6C434"/>
    <w:lvl w:ilvl="0" w:tplc="0C090011">
      <w:start w:val="1"/>
      <w:numFmt w:val="decimal"/>
      <w:lvlText w:val="%1)"/>
      <w:lvlJc w:val="left"/>
      <w:pPr>
        <w:ind w:left="720" w:hanging="360"/>
      </w:pPr>
      <w:rPr>
        <w:rFonts w:hint="default"/>
      </w:r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3">
    <w:nsid w:val="5C8A6013"/>
    <w:multiLevelType w:val="hybridMultilevel"/>
    <w:tmpl w:val="83F4C6A4"/>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4">
    <w:nsid w:val="601E2F30"/>
    <w:multiLevelType w:val="multilevel"/>
    <w:tmpl w:val="14EE34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nsid w:val="671563C9"/>
    <w:multiLevelType w:val="hybridMultilevel"/>
    <w:tmpl w:val="F828D950"/>
    <w:lvl w:ilvl="0" w:tplc="C6E0F864">
      <w:start w:val="3"/>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6">
    <w:nsid w:val="68A12FED"/>
    <w:multiLevelType w:val="hybridMultilevel"/>
    <w:tmpl w:val="8F1C8B68"/>
    <w:lvl w:ilvl="0" w:tplc="0C090011">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7">
    <w:nsid w:val="6B270D26"/>
    <w:multiLevelType w:val="hybridMultilevel"/>
    <w:tmpl w:val="3DFC485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8">
    <w:nsid w:val="6D855BCE"/>
    <w:multiLevelType w:val="hybridMultilevel"/>
    <w:tmpl w:val="9262243E"/>
    <w:lvl w:ilvl="0" w:tplc="316C6C9C">
      <w:numFmt w:val="bullet"/>
      <w:lvlText w:val="-"/>
      <w:lvlJc w:val="left"/>
      <w:pPr>
        <w:ind w:left="720" w:hanging="360"/>
      </w:pPr>
      <w:rPr>
        <w:rFonts w:ascii="Cambria" w:eastAsia="Cambria" w:hAnsi="Cambria"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9">
    <w:nsid w:val="765A3764"/>
    <w:multiLevelType w:val="hybridMultilevel"/>
    <w:tmpl w:val="CE34418C"/>
    <w:lvl w:ilvl="0" w:tplc="D77AFD60">
      <w:start w:val="1"/>
      <w:numFmt w:val="decimal"/>
      <w:lvlText w:val="%1."/>
      <w:lvlJc w:val="left"/>
      <w:pPr>
        <w:ind w:left="720" w:hanging="360"/>
      </w:pPr>
      <w:rPr>
        <w:rFonts w:eastAsia="Cambria" w:cstheme="minorBidi" w:hint="default"/>
        <w:color w:val="auto"/>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0">
    <w:nsid w:val="793F431B"/>
    <w:multiLevelType w:val="hybridMultilevel"/>
    <w:tmpl w:val="6B32E74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1">
    <w:nsid w:val="7A335A05"/>
    <w:multiLevelType w:val="multilevel"/>
    <w:tmpl w:val="52E81A3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2">
    <w:nsid w:val="7A9D2B6A"/>
    <w:multiLevelType w:val="multilevel"/>
    <w:tmpl w:val="D288411A"/>
    <w:lvl w:ilvl="0">
      <w:start w:val="1"/>
      <w:numFmt w:val="decimal"/>
      <w:lvlText w:val="%1."/>
      <w:lvlJc w:val="left"/>
      <w:pPr>
        <w:ind w:left="360" w:hanging="360"/>
      </w:pPr>
      <w:rPr>
        <w:rFonts w:hint="default"/>
        <w:b w:val="0"/>
      </w:rPr>
    </w:lvl>
    <w:lvl w:ilvl="1">
      <w:start w:val="1"/>
      <w:numFmt w:val="bullet"/>
      <w:lvlText w:val="–"/>
      <w:lvlJc w:val="left"/>
      <w:pPr>
        <w:ind w:left="720" w:hanging="360"/>
      </w:pPr>
      <w:rPr>
        <w:rFonts w:ascii="Arial" w:hAnsi="Arial" w:hint="default"/>
      </w:rPr>
    </w:lvl>
    <w:lvl w:ilvl="2">
      <w:start w:val="1"/>
      <w:numFmt w:val="bullet"/>
      <w:lvlText w:val=""/>
      <w:lvlJc w:val="left"/>
      <w:pPr>
        <w:ind w:left="1080" w:hanging="360"/>
      </w:pPr>
      <w:rPr>
        <w:rFonts w:ascii="Wingdings" w:hAnsi="Wingdings" w:hint="default"/>
      </w:rPr>
    </w:lvl>
    <w:lvl w:ilvl="3">
      <w:start w:val="1"/>
      <w:numFmt w:val="none"/>
      <w:lvlText w:val=""/>
      <w:lvlJc w:val="left"/>
      <w:pPr>
        <w:ind w:left="1440" w:hanging="360"/>
      </w:pPr>
      <w:rPr>
        <w:rFonts w:hint="default"/>
      </w:rPr>
    </w:lvl>
    <w:lvl w:ilvl="4">
      <w:start w:val="1"/>
      <w:numFmt w:val="none"/>
      <w:lvlText w:val=""/>
      <w:lvlJc w:val="left"/>
      <w:pPr>
        <w:ind w:left="1800" w:hanging="360"/>
      </w:pPr>
      <w:rPr>
        <w:rFonts w:hint="default"/>
      </w:rPr>
    </w:lvl>
    <w:lvl w:ilvl="5">
      <w:start w:val="1"/>
      <w:numFmt w:val="none"/>
      <w:lvlText w:val=""/>
      <w:lvlJc w:val="left"/>
      <w:pPr>
        <w:ind w:left="2160" w:hanging="360"/>
      </w:pPr>
      <w:rPr>
        <w:rFonts w:hint="default"/>
      </w:rPr>
    </w:lvl>
    <w:lvl w:ilvl="6">
      <w:start w:val="1"/>
      <w:numFmt w:val="none"/>
      <w:lvlText w:val="%7"/>
      <w:lvlJc w:val="left"/>
      <w:pPr>
        <w:ind w:left="2520" w:hanging="360"/>
      </w:pPr>
      <w:rPr>
        <w:rFonts w:hint="default"/>
      </w:rPr>
    </w:lvl>
    <w:lvl w:ilvl="7">
      <w:start w:val="1"/>
      <w:numFmt w:val="none"/>
      <w:lvlText w:val="%8"/>
      <w:lvlJc w:val="left"/>
      <w:pPr>
        <w:ind w:left="2880" w:hanging="360"/>
      </w:pPr>
      <w:rPr>
        <w:rFonts w:hint="default"/>
      </w:rPr>
    </w:lvl>
    <w:lvl w:ilvl="8">
      <w:start w:val="1"/>
      <w:numFmt w:val="none"/>
      <w:lvlText w:val="%9"/>
      <w:lvlJc w:val="left"/>
      <w:pPr>
        <w:ind w:left="3240" w:hanging="360"/>
      </w:pPr>
      <w:rPr>
        <w:rFonts w:hint="default"/>
      </w:rPr>
    </w:lvl>
  </w:abstractNum>
  <w:abstractNum w:abstractNumId="33">
    <w:nsid w:val="7C546902"/>
    <w:multiLevelType w:val="hybridMultilevel"/>
    <w:tmpl w:val="8BA6E05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8"/>
  </w:num>
  <w:num w:numId="2">
    <w:abstractNumId w:val="7"/>
  </w:num>
  <w:num w:numId="3">
    <w:abstractNumId w:val="8"/>
  </w:num>
  <w:num w:numId="4">
    <w:abstractNumId w:val="7"/>
  </w:num>
  <w:num w:numId="5">
    <w:abstractNumId w:val="29"/>
  </w:num>
  <w:num w:numId="6">
    <w:abstractNumId w:val="22"/>
  </w:num>
  <w:num w:numId="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2"/>
  </w:num>
  <w:num w:numId="9">
    <w:abstractNumId w:val="15"/>
  </w:num>
  <w:num w:numId="10">
    <w:abstractNumId w:val="13"/>
  </w:num>
  <w:num w:numId="11">
    <w:abstractNumId w:val="32"/>
  </w:num>
  <w:num w:numId="12">
    <w:abstractNumId w:val="27"/>
  </w:num>
  <w:num w:numId="13">
    <w:abstractNumId w:val="23"/>
  </w:num>
  <w:num w:numId="14">
    <w:abstractNumId w:val="7"/>
    <w:lvlOverride w:ilvl="0">
      <w:lvl w:ilvl="0">
        <w:start w:val="1"/>
        <w:numFmt w:val="decimal"/>
        <w:pStyle w:val="Numberbullet0"/>
        <w:lvlText w:val="%1."/>
        <w:lvlJc w:val="left"/>
        <w:pPr>
          <w:ind w:left="425" w:hanging="425"/>
        </w:pPr>
        <w:rPr>
          <w:rFonts w:ascii="Cambria" w:hAnsi="Cambria" w:hint="default"/>
          <w:b/>
        </w:rPr>
      </w:lvl>
    </w:lvlOverride>
    <w:lvlOverride w:ilvl="1">
      <w:lvl w:ilvl="1">
        <w:start w:val="1"/>
        <w:numFmt w:val="lowerLetter"/>
        <w:pStyle w:val="Numberbullet2"/>
        <w:lvlText w:val="%2."/>
        <w:lvlJc w:val="left"/>
        <w:pPr>
          <w:ind w:left="851" w:hanging="426"/>
        </w:pPr>
        <w:rPr>
          <w:rFonts w:hint="default"/>
        </w:rPr>
      </w:lvl>
    </w:lvlOverride>
    <w:lvlOverride w:ilvl="2">
      <w:lvl w:ilvl="2">
        <w:start w:val="1"/>
        <w:numFmt w:val="lowerRoman"/>
        <w:pStyle w:val="Numberbullet3"/>
        <w:lvlText w:val="%3."/>
        <w:lvlJc w:val="left"/>
        <w:pPr>
          <w:ind w:left="1276" w:hanging="425"/>
        </w:pPr>
        <w:rPr>
          <w:rFonts w:hint="default"/>
        </w:rPr>
      </w:lvl>
    </w:lvlOverride>
    <w:lvlOverride w:ilvl="3">
      <w:lvl w:ilvl="3">
        <w:start w:val="1"/>
        <w:numFmt w:val="none"/>
        <w:lvlText w:val=""/>
        <w:lvlJc w:val="left"/>
        <w:pPr>
          <w:ind w:left="1276" w:hanging="425"/>
        </w:pPr>
        <w:rPr>
          <w:rFonts w:hint="default"/>
        </w:rPr>
      </w:lvl>
    </w:lvlOverride>
    <w:lvlOverride w:ilvl="4">
      <w:lvl w:ilvl="4">
        <w:start w:val="1"/>
        <w:numFmt w:val="none"/>
        <w:lvlText w:val=""/>
        <w:lvlJc w:val="left"/>
        <w:pPr>
          <w:ind w:left="1276" w:hanging="425"/>
        </w:pPr>
        <w:rPr>
          <w:rFonts w:hint="default"/>
        </w:rPr>
      </w:lvl>
    </w:lvlOverride>
    <w:lvlOverride w:ilvl="5">
      <w:lvl w:ilvl="5">
        <w:start w:val="1"/>
        <w:numFmt w:val="none"/>
        <w:lvlText w:val=""/>
        <w:lvlJc w:val="left"/>
        <w:pPr>
          <w:ind w:left="1276" w:hanging="425"/>
        </w:pPr>
        <w:rPr>
          <w:rFonts w:hint="default"/>
        </w:rPr>
      </w:lvl>
    </w:lvlOverride>
    <w:lvlOverride w:ilvl="6">
      <w:lvl w:ilvl="6">
        <w:start w:val="1"/>
        <w:numFmt w:val="none"/>
        <w:lvlText w:val="%7"/>
        <w:lvlJc w:val="left"/>
        <w:pPr>
          <w:ind w:left="1276" w:hanging="425"/>
        </w:pPr>
        <w:rPr>
          <w:rFonts w:hint="default"/>
        </w:rPr>
      </w:lvl>
    </w:lvlOverride>
    <w:lvlOverride w:ilvl="7">
      <w:lvl w:ilvl="7">
        <w:start w:val="1"/>
        <w:numFmt w:val="none"/>
        <w:lvlText w:val=""/>
        <w:lvlJc w:val="left"/>
        <w:pPr>
          <w:ind w:left="1276" w:hanging="425"/>
        </w:pPr>
        <w:rPr>
          <w:rFonts w:hint="default"/>
        </w:rPr>
      </w:lvl>
    </w:lvlOverride>
    <w:lvlOverride w:ilvl="8">
      <w:lvl w:ilvl="8">
        <w:start w:val="1"/>
        <w:numFmt w:val="none"/>
        <w:lvlText w:val=""/>
        <w:lvlJc w:val="left"/>
        <w:pPr>
          <w:ind w:left="1276" w:hanging="425"/>
        </w:pPr>
        <w:rPr>
          <w:rFonts w:hint="default"/>
        </w:rPr>
      </w:lvl>
    </w:lvlOverride>
  </w:num>
  <w:num w:numId="15">
    <w:abstractNumId w:val="2"/>
  </w:num>
  <w:num w:numId="16">
    <w:abstractNumId w:val="18"/>
  </w:num>
  <w:num w:numId="17">
    <w:abstractNumId w:val="9"/>
  </w:num>
  <w:num w:numId="18">
    <w:abstractNumId w:val="3"/>
  </w:num>
  <w:num w:numId="19">
    <w:abstractNumId w:val="25"/>
  </w:num>
  <w:num w:numId="20">
    <w:abstractNumId w:val="7"/>
    <w:lvlOverride w:ilvl="0">
      <w:startOverride w:val="1"/>
      <w:lvl w:ilvl="0">
        <w:start w:val="1"/>
        <w:numFmt w:val="decimal"/>
        <w:pStyle w:val="Numberbullet0"/>
        <w:lvlText w:val="%1."/>
        <w:lvlJc w:val="left"/>
        <w:pPr>
          <w:ind w:left="425" w:hanging="425"/>
        </w:pPr>
        <w:rPr>
          <w:rFonts w:ascii="Cambria" w:hAnsi="Cambria" w:hint="default"/>
          <w:b/>
        </w:rPr>
      </w:lvl>
    </w:lvlOverride>
    <w:lvlOverride w:ilvl="1">
      <w:startOverride w:val="1"/>
      <w:lvl w:ilvl="1">
        <w:start w:val="1"/>
        <w:numFmt w:val="lowerLetter"/>
        <w:pStyle w:val="Numberbullet2"/>
        <w:lvlText w:val="%2."/>
        <w:lvlJc w:val="left"/>
        <w:pPr>
          <w:ind w:left="851" w:hanging="426"/>
        </w:pPr>
        <w:rPr>
          <w:rFonts w:hint="default"/>
        </w:rPr>
      </w:lvl>
    </w:lvlOverride>
    <w:lvlOverride w:ilvl="2">
      <w:startOverride w:val="1"/>
      <w:lvl w:ilvl="2">
        <w:start w:val="1"/>
        <w:numFmt w:val="lowerRoman"/>
        <w:pStyle w:val="Numberbullet3"/>
        <w:lvlText w:val="%3."/>
        <w:lvlJc w:val="left"/>
        <w:pPr>
          <w:ind w:left="1276" w:hanging="425"/>
        </w:pPr>
        <w:rPr>
          <w:rFonts w:hint="default"/>
        </w:rPr>
      </w:lvl>
    </w:lvlOverride>
    <w:lvlOverride w:ilvl="3">
      <w:startOverride w:val="1"/>
      <w:lvl w:ilvl="3">
        <w:start w:val="1"/>
        <w:numFmt w:val="none"/>
        <w:lvlText w:val=""/>
        <w:lvlJc w:val="left"/>
        <w:pPr>
          <w:ind w:left="1276" w:hanging="425"/>
        </w:pPr>
        <w:rPr>
          <w:rFonts w:hint="default"/>
        </w:rPr>
      </w:lvl>
    </w:lvlOverride>
    <w:lvlOverride w:ilvl="4">
      <w:startOverride w:val="1"/>
      <w:lvl w:ilvl="4">
        <w:start w:val="1"/>
        <w:numFmt w:val="none"/>
        <w:lvlText w:val=""/>
        <w:lvlJc w:val="left"/>
        <w:pPr>
          <w:ind w:left="1276" w:hanging="425"/>
        </w:pPr>
        <w:rPr>
          <w:rFonts w:hint="default"/>
        </w:rPr>
      </w:lvl>
    </w:lvlOverride>
    <w:lvlOverride w:ilvl="5">
      <w:startOverride w:val="1"/>
      <w:lvl w:ilvl="5">
        <w:start w:val="1"/>
        <w:numFmt w:val="none"/>
        <w:lvlText w:val=""/>
        <w:lvlJc w:val="left"/>
        <w:pPr>
          <w:ind w:left="1276" w:hanging="425"/>
        </w:pPr>
        <w:rPr>
          <w:rFonts w:hint="default"/>
        </w:rPr>
      </w:lvl>
    </w:lvlOverride>
    <w:lvlOverride w:ilvl="6">
      <w:startOverride w:val="1"/>
      <w:lvl w:ilvl="6">
        <w:start w:val="1"/>
        <w:numFmt w:val="none"/>
        <w:lvlText w:val="%7"/>
        <w:lvlJc w:val="left"/>
        <w:pPr>
          <w:ind w:left="1276" w:hanging="425"/>
        </w:pPr>
        <w:rPr>
          <w:rFonts w:hint="default"/>
        </w:rPr>
      </w:lvl>
    </w:lvlOverride>
    <w:lvlOverride w:ilvl="7">
      <w:startOverride w:val="1"/>
      <w:lvl w:ilvl="7">
        <w:start w:val="1"/>
        <w:numFmt w:val="none"/>
        <w:lvlText w:val=""/>
        <w:lvlJc w:val="left"/>
        <w:pPr>
          <w:ind w:left="1276" w:hanging="425"/>
        </w:pPr>
        <w:rPr>
          <w:rFonts w:hint="default"/>
        </w:rPr>
      </w:lvl>
    </w:lvlOverride>
    <w:lvlOverride w:ilvl="8">
      <w:startOverride w:val="1"/>
      <w:lvl w:ilvl="8">
        <w:start w:val="1"/>
        <w:numFmt w:val="none"/>
        <w:lvlText w:val=""/>
        <w:lvlJc w:val="left"/>
        <w:pPr>
          <w:ind w:left="1276" w:hanging="425"/>
        </w:pPr>
        <w:rPr>
          <w:rFonts w:hint="default"/>
        </w:rPr>
      </w:lvl>
    </w:lvlOverride>
  </w:num>
  <w:num w:numId="21">
    <w:abstractNumId w:val="4"/>
  </w:num>
  <w:num w:numId="22">
    <w:abstractNumId w:val="20"/>
  </w:num>
  <w:num w:numId="23">
    <w:abstractNumId w:val="21"/>
  </w:num>
  <w:num w:numId="24">
    <w:abstractNumId w:val="28"/>
  </w:num>
  <w:num w:numId="25">
    <w:abstractNumId w:val="26"/>
  </w:num>
  <w:num w:numId="26">
    <w:abstractNumId w:val="5"/>
  </w:num>
  <w:num w:numId="27">
    <w:abstractNumId w:val="19"/>
  </w:num>
  <w:num w:numId="28">
    <w:abstractNumId w:val="6"/>
  </w:num>
  <w:num w:numId="29">
    <w:abstractNumId w:val="10"/>
  </w:num>
  <w:num w:numId="30">
    <w:abstractNumId w:val="33"/>
  </w:num>
  <w:num w:numId="31">
    <w:abstractNumId w:val="30"/>
  </w:num>
  <w:num w:numId="32">
    <w:abstractNumId w:val="16"/>
  </w:num>
  <w:num w:numId="33">
    <w:abstractNumId w:val="14"/>
  </w:num>
  <w:num w:numId="34">
    <w:abstractNumId w:val="17"/>
  </w:num>
  <w:num w:numId="35">
    <w:abstractNumId w:val="31"/>
  </w:num>
  <w:num w:numId="36">
    <w:abstractNumId w:val="11"/>
  </w:num>
  <w:num w:numId="37">
    <w:abstractNumId w:val="24"/>
  </w:num>
  <w:num w:numId="38">
    <w:abstractNumId w:val="1"/>
  </w:num>
  <w:num w:numId="39">
    <w:abstractNumId w:val="0"/>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isplayBackgroundShape/>
  <w:proofState w:spelling="clean" w:grammar="clean"/>
  <w:attachedTemplate r:id="rId1"/>
  <w:stylePaneFormatFilter w:val="1001" w:allStyles="1" w:customStyles="0" w:latentStyles="0" w:stylesInUse="0" w:headingStyles="0" w:numberingStyles="0" w:tableStyles="0" w:directFormattingOnRuns="0" w:directFormattingOnParagraphs="0" w:directFormattingOnNumbering="0" w:directFormattingOnTables="0" w:clearFormatting="1" w:top3HeadingStyles="0" w:visibleStyles="0" w:alternateStyleNames="0"/>
  <w:stylePaneSortMethod w:val="0000"/>
  <w:defaultTabStop w:val="720"/>
  <w:drawingGridHorizontalSpacing w:val="110"/>
  <w:displayHorizontalDrawingGridEvery w:val="2"/>
  <w:characterSpacingControl w:val="doNotCompress"/>
  <w:hdrShapeDefaults>
    <o:shapedefaults v:ext="edit" spidmax="4097"/>
  </w:hdrShapeDefaults>
  <w:footnotePr>
    <w:footnote w:id="-1"/>
    <w:footnote w:id="0"/>
  </w:footnotePr>
  <w:endnotePr>
    <w:pos w:val="sectEnd"/>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3490A"/>
    <w:rsid w:val="00002031"/>
    <w:rsid w:val="00002C30"/>
    <w:rsid w:val="00004734"/>
    <w:rsid w:val="00006B22"/>
    <w:rsid w:val="00012172"/>
    <w:rsid w:val="0001276A"/>
    <w:rsid w:val="000246AE"/>
    <w:rsid w:val="00025C67"/>
    <w:rsid w:val="00027DD1"/>
    <w:rsid w:val="0003306D"/>
    <w:rsid w:val="00044715"/>
    <w:rsid w:val="00053446"/>
    <w:rsid w:val="00055129"/>
    <w:rsid w:val="000554B4"/>
    <w:rsid w:val="0005559E"/>
    <w:rsid w:val="00061E51"/>
    <w:rsid w:val="00063028"/>
    <w:rsid w:val="00066EBF"/>
    <w:rsid w:val="00067264"/>
    <w:rsid w:val="00077775"/>
    <w:rsid w:val="00084F3C"/>
    <w:rsid w:val="00090471"/>
    <w:rsid w:val="000958DF"/>
    <w:rsid w:val="000A0965"/>
    <w:rsid w:val="000A2685"/>
    <w:rsid w:val="000B0A5D"/>
    <w:rsid w:val="000B3532"/>
    <w:rsid w:val="000B3A75"/>
    <w:rsid w:val="000B7084"/>
    <w:rsid w:val="000C5A31"/>
    <w:rsid w:val="000D391B"/>
    <w:rsid w:val="000D3D6D"/>
    <w:rsid w:val="000D4FC7"/>
    <w:rsid w:val="000D62F6"/>
    <w:rsid w:val="000E00F0"/>
    <w:rsid w:val="000F3E20"/>
    <w:rsid w:val="000F4869"/>
    <w:rsid w:val="000F5B42"/>
    <w:rsid w:val="000F6E6F"/>
    <w:rsid w:val="001003F2"/>
    <w:rsid w:val="0010601F"/>
    <w:rsid w:val="00107378"/>
    <w:rsid w:val="00110EA5"/>
    <w:rsid w:val="001119DF"/>
    <w:rsid w:val="00115240"/>
    <w:rsid w:val="00115AF7"/>
    <w:rsid w:val="00120A22"/>
    <w:rsid w:val="00125091"/>
    <w:rsid w:val="00125318"/>
    <w:rsid w:val="001305A2"/>
    <w:rsid w:val="00133238"/>
    <w:rsid w:val="00140FE3"/>
    <w:rsid w:val="0014197B"/>
    <w:rsid w:val="001447CD"/>
    <w:rsid w:val="00150DAC"/>
    <w:rsid w:val="001516B1"/>
    <w:rsid w:val="001525B4"/>
    <w:rsid w:val="0015592E"/>
    <w:rsid w:val="00156316"/>
    <w:rsid w:val="00160006"/>
    <w:rsid w:val="00164B9A"/>
    <w:rsid w:val="00165389"/>
    <w:rsid w:val="00165774"/>
    <w:rsid w:val="0016614D"/>
    <w:rsid w:val="00166748"/>
    <w:rsid w:val="00170CED"/>
    <w:rsid w:val="0017693F"/>
    <w:rsid w:val="0018110E"/>
    <w:rsid w:val="00181684"/>
    <w:rsid w:val="001843C6"/>
    <w:rsid w:val="001850E0"/>
    <w:rsid w:val="0018693C"/>
    <w:rsid w:val="00187721"/>
    <w:rsid w:val="00191246"/>
    <w:rsid w:val="0019255A"/>
    <w:rsid w:val="001929B1"/>
    <w:rsid w:val="001A525F"/>
    <w:rsid w:val="001A69AB"/>
    <w:rsid w:val="001B09F9"/>
    <w:rsid w:val="001B6448"/>
    <w:rsid w:val="001B67A6"/>
    <w:rsid w:val="001C5B63"/>
    <w:rsid w:val="001D11AD"/>
    <w:rsid w:val="001D480A"/>
    <w:rsid w:val="001E07CF"/>
    <w:rsid w:val="001E5591"/>
    <w:rsid w:val="001E59F1"/>
    <w:rsid w:val="001F49EB"/>
    <w:rsid w:val="001F4ED2"/>
    <w:rsid w:val="001F6CBA"/>
    <w:rsid w:val="001F78B9"/>
    <w:rsid w:val="00201D4E"/>
    <w:rsid w:val="00207515"/>
    <w:rsid w:val="00207A30"/>
    <w:rsid w:val="00211C7B"/>
    <w:rsid w:val="00212871"/>
    <w:rsid w:val="00220B8A"/>
    <w:rsid w:val="002232C2"/>
    <w:rsid w:val="002257F3"/>
    <w:rsid w:val="002302EC"/>
    <w:rsid w:val="002303B0"/>
    <w:rsid w:val="002309D9"/>
    <w:rsid w:val="002314E8"/>
    <w:rsid w:val="00231D9F"/>
    <w:rsid w:val="00233456"/>
    <w:rsid w:val="0023397F"/>
    <w:rsid w:val="002339A5"/>
    <w:rsid w:val="00237F7C"/>
    <w:rsid w:val="00245167"/>
    <w:rsid w:val="002452E7"/>
    <w:rsid w:val="00245F98"/>
    <w:rsid w:val="00246194"/>
    <w:rsid w:val="002507F5"/>
    <w:rsid w:val="002538AE"/>
    <w:rsid w:val="002541E7"/>
    <w:rsid w:val="00257138"/>
    <w:rsid w:val="00257848"/>
    <w:rsid w:val="0027084A"/>
    <w:rsid w:val="00271109"/>
    <w:rsid w:val="00277EF5"/>
    <w:rsid w:val="00286434"/>
    <w:rsid w:val="00286C59"/>
    <w:rsid w:val="002942D1"/>
    <w:rsid w:val="002951D1"/>
    <w:rsid w:val="002A0556"/>
    <w:rsid w:val="002A49A4"/>
    <w:rsid w:val="002B01B3"/>
    <w:rsid w:val="002B0C2E"/>
    <w:rsid w:val="002B1638"/>
    <w:rsid w:val="002B6093"/>
    <w:rsid w:val="002C0A8A"/>
    <w:rsid w:val="002C1707"/>
    <w:rsid w:val="002C1D7D"/>
    <w:rsid w:val="002C2511"/>
    <w:rsid w:val="002D1EDF"/>
    <w:rsid w:val="002E4C9A"/>
    <w:rsid w:val="002E6050"/>
    <w:rsid w:val="002E6CAD"/>
    <w:rsid w:val="002E7E29"/>
    <w:rsid w:val="002F0CDE"/>
    <w:rsid w:val="002F11F8"/>
    <w:rsid w:val="002F3F56"/>
    <w:rsid w:val="002F44B5"/>
    <w:rsid w:val="00302347"/>
    <w:rsid w:val="00311AC0"/>
    <w:rsid w:val="003124D3"/>
    <w:rsid w:val="00316C77"/>
    <w:rsid w:val="003204DD"/>
    <w:rsid w:val="003206CA"/>
    <w:rsid w:val="00330AEA"/>
    <w:rsid w:val="00331DBB"/>
    <w:rsid w:val="00332680"/>
    <w:rsid w:val="003374A6"/>
    <w:rsid w:val="0035201E"/>
    <w:rsid w:val="003521E8"/>
    <w:rsid w:val="003576D0"/>
    <w:rsid w:val="00363A4A"/>
    <w:rsid w:val="00364ED9"/>
    <w:rsid w:val="00365DDD"/>
    <w:rsid w:val="003664BF"/>
    <w:rsid w:val="003728F3"/>
    <w:rsid w:val="003822FE"/>
    <w:rsid w:val="00390900"/>
    <w:rsid w:val="00395C55"/>
    <w:rsid w:val="0039795A"/>
    <w:rsid w:val="003A35BD"/>
    <w:rsid w:val="003B00C5"/>
    <w:rsid w:val="003B443E"/>
    <w:rsid w:val="003B7E39"/>
    <w:rsid w:val="003C30DC"/>
    <w:rsid w:val="003C58DC"/>
    <w:rsid w:val="003C7461"/>
    <w:rsid w:val="003D0312"/>
    <w:rsid w:val="003D0CD9"/>
    <w:rsid w:val="003E22E9"/>
    <w:rsid w:val="003E3208"/>
    <w:rsid w:val="003E3D34"/>
    <w:rsid w:val="003E7EAA"/>
    <w:rsid w:val="003F0043"/>
    <w:rsid w:val="003F0B04"/>
    <w:rsid w:val="003F4FEE"/>
    <w:rsid w:val="003F5F99"/>
    <w:rsid w:val="0040134E"/>
    <w:rsid w:val="0040214D"/>
    <w:rsid w:val="00407715"/>
    <w:rsid w:val="00410839"/>
    <w:rsid w:val="0041452B"/>
    <w:rsid w:val="00414E24"/>
    <w:rsid w:val="004169A8"/>
    <w:rsid w:val="0042594D"/>
    <w:rsid w:val="00432D79"/>
    <w:rsid w:val="0043490A"/>
    <w:rsid w:val="0043535B"/>
    <w:rsid w:val="004365B6"/>
    <w:rsid w:val="00440A2D"/>
    <w:rsid w:val="004414E4"/>
    <w:rsid w:val="004462FE"/>
    <w:rsid w:val="0045563A"/>
    <w:rsid w:val="00455A6F"/>
    <w:rsid w:val="004560BE"/>
    <w:rsid w:val="004562A1"/>
    <w:rsid w:val="004564A7"/>
    <w:rsid w:val="004617BF"/>
    <w:rsid w:val="004634F1"/>
    <w:rsid w:val="00465E90"/>
    <w:rsid w:val="0047772E"/>
    <w:rsid w:val="00477BB1"/>
    <w:rsid w:val="004923FF"/>
    <w:rsid w:val="00494E60"/>
    <w:rsid w:val="00496BAC"/>
    <w:rsid w:val="00497335"/>
    <w:rsid w:val="004B1110"/>
    <w:rsid w:val="004B1503"/>
    <w:rsid w:val="004B590D"/>
    <w:rsid w:val="004B5A6B"/>
    <w:rsid w:val="004B7B76"/>
    <w:rsid w:val="004C0070"/>
    <w:rsid w:val="004C196B"/>
    <w:rsid w:val="004C6328"/>
    <w:rsid w:val="004D39DD"/>
    <w:rsid w:val="004D51A6"/>
    <w:rsid w:val="004E041D"/>
    <w:rsid w:val="004E4558"/>
    <w:rsid w:val="004F0F38"/>
    <w:rsid w:val="004F1A46"/>
    <w:rsid w:val="004F3B63"/>
    <w:rsid w:val="004F4D12"/>
    <w:rsid w:val="00501921"/>
    <w:rsid w:val="005106DE"/>
    <w:rsid w:val="00511904"/>
    <w:rsid w:val="00522A0C"/>
    <w:rsid w:val="00522C2F"/>
    <w:rsid w:val="00522CA0"/>
    <w:rsid w:val="00530354"/>
    <w:rsid w:val="00531B11"/>
    <w:rsid w:val="00532EAC"/>
    <w:rsid w:val="00533F89"/>
    <w:rsid w:val="005434C6"/>
    <w:rsid w:val="00543B39"/>
    <w:rsid w:val="00544540"/>
    <w:rsid w:val="0054583D"/>
    <w:rsid w:val="00545A3A"/>
    <w:rsid w:val="005477E7"/>
    <w:rsid w:val="00550096"/>
    <w:rsid w:val="0055532D"/>
    <w:rsid w:val="00557FF9"/>
    <w:rsid w:val="00574D6B"/>
    <w:rsid w:val="00576378"/>
    <w:rsid w:val="00577279"/>
    <w:rsid w:val="00577E38"/>
    <w:rsid w:val="00585322"/>
    <w:rsid w:val="00587CFD"/>
    <w:rsid w:val="00591D45"/>
    <w:rsid w:val="00593AD1"/>
    <w:rsid w:val="00594D03"/>
    <w:rsid w:val="00595E61"/>
    <w:rsid w:val="00597877"/>
    <w:rsid w:val="005A1131"/>
    <w:rsid w:val="005A4E99"/>
    <w:rsid w:val="005A61CE"/>
    <w:rsid w:val="005B1182"/>
    <w:rsid w:val="005B4865"/>
    <w:rsid w:val="005C5570"/>
    <w:rsid w:val="005C5E4F"/>
    <w:rsid w:val="005C6131"/>
    <w:rsid w:val="005C79A4"/>
    <w:rsid w:val="005C7DCE"/>
    <w:rsid w:val="005D4EA1"/>
    <w:rsid w:val="005D5442"/>
    <w:rsid w:val="005D7E54"/>
    <w:rsid w:val="005E6592"/>
    <w:rsid w:val="005F0A7B"/>
    <w:rsid w:val="005F0EFF"/>
    <w:rsid w:val="005F537D"/>
    <w:rsid w:val="005F6CB4"/>
    <w:rsid w:val="00604740"/>
    <w:rsid w:val="00611B57"/>
    <w:rsid w:val="006131E0"/>
    <w:rsid w:val="006163D5"/>
    <w:rsid w:val="00617EAC"/>
    <w:rsid w:val="006239CD"/>
    <w:rsid w:val="00626AB1"/>
    <w:rsid w:val="00627B93"/>
    <w:rsid w:val="00640190"/>
    <w:rsid w:val="006405A9"/>
    <w:rsid w:val="00640FC3"/>
    <w:rsid w:val="00642020"/>
    <w:rsid w:val="00644928"/>
    <w:rsid w:val="0064794F"/>
    <w:rsid w:val="00650E33"/>
    <w:rsid w:val="00651C87"/>
    <w:rsid w:val="0065337B"/>
    <w:rsid w:val="00653FBF"/>
    <w:rsid w:val="0065419D"/>
    <w:rsid w:val="0065604D"/>
    <w:rsid w:val="00657656"/>
    <w:rsid w:val="00660004"/>
    <w:rsid w:val="006604D8"/>
    <w:rsid w:val="006608E1"/>
    <w:rsid w:val="00664A5B"/>
    <w:rsid w:val="00665F8C"/>
    <w:rsid w:val="00667942"/>
    <w:rsid w:val="00667B4F"/>
    <w:rsid w:val="006716B5"/>
    <w:rsid w:val="0068044B"/>
    <w:rsid w:val="00680C08"/>
    <w:rsid w:val="00682CA3"/>
    <w:rsid w:val="00682F5B"/>
    <w:rsid w:val="0068741A"/>
    <w:rsid w:val="006876B0"/>
    <w:rsid w:val="00691723"/>
    <w:rsid w:val="006931B1"/>
    <w:rsid w:val="00693CDB"/>
    <w:rsid w:val="006942E1"/>
    <w:rsid w:val="00697017"/>
    <w:rsid w:val="00697509"/>
    <w:rsid w:val="006A15C0"/>
    <w:rsid w:val="006A73D7"/>
    <w:rsid w:val="006B188D"/>
    <w:rsid w:val="006C0D02"/>
    <w:rsid w:val="006C1F3B"/>
    <w:rsid w:val="006C3E2A"/>
    <w:rsid w:val="006C4534"/>
    <w:rsid w:val="006C505E"/>
    <w:rsid w:val="006C626D"/>
    <w:rsid w:val="006C642F"/>
    <w:rsid w:val="006C6B6D"/>
    <w:rsid w:val="006C6EDB"/>
    <w:rsid w:val="006D039E"/>
    <w:rsid w:val="006D03E5"/>
    <w:rsid w:val="006D0C3B"/>
    <w:rsid w:val="006D5D3E"/>
    <w:rsid w:val="006E08B3"/>
    <w:rsid w:val="006E5AB4"/>
    <w:rsid w:val="006E7677"/>
    <w:rsid w:val="006F3CF6"/>
    <w:rsid w:val="006F572E"/>
    <w:rsid w:val="006F6F4D"/>
    <w:rsid w:val="007046D6"/>
    <w:rsid w:val="00705DB0"/>
    <w:rsid w:val="00706AFE"/>
    <w:rsid w:val="00725A8B"/>
    <w:rsid w:val="00726939"/>
    <w:rsid w:val="00727CF7"/>
    <w:rsid w:val="0074066C"/>
    <w:rsid w:val="00740D5D"/>
    <w:rsid w:val="00742004"/>
    <w:rsid w:val="0074253D"/>
    <w:rsid w:val="0074429B"/>
    <w:rsid w:val="007477F8"/>
    <w:rsid w:val="00750E8D"/>
    <w:rsid w:val="007514DB"/>
    <w:rsid w:val="0075443B"/>
    <w:rsid w:val="007615BC"/>
    <w:rsid w:val="00762F05"/>
    <w:rsid w:val="00763336"/>
    <w:rsid w:val="00764EB9"/>
    <w:rsid w:val="007652FF"/>
    <w:rsid w:val="00766F39"/>
    <w:rsid w:val="00771329"/>
    <w:rsid w:val="00773EF7"/>
    <w:rsid w:val="00774E1D"/>
    <w:rsid w:val="0077675A"/>
    <w:rsid w:val="00780355"/>
    <w:rsid w:val="007803C3"/>
    <w:rsid w:val="00785721"/>
    <w:rsid w:val="00787322"/>
    <w:rsid w:val="007901AF"/>
    <w:rsid w:val="007917FA"/>
    <w:rsid w:val="00793A59"/>
    <w:rsid w:val="007A2162"/>
    <w:rsid w:val="007A658D"/>
    <w:rsid w:val="007B01D9"/>
    <w:rsid w:val="007B1D0B"/>
    <w:rsid w:val="007B302B"/>
    <w:rsid w:val="007B43ED"/>
    <w:rsid w:val="007B4BF9"/>
    <w:rsid w:val="007B4DBF"/>
    <w:rsid w:val="007C0F3D"/>
    <w:rsid w:val="007C1AF7"/>
    <w:rsid w:val="007C371A"/>
    <w:rsid w:val="007C7A6D"/>
    <w:rsid w:val="007C7B5B"/>
    <w:rsid w:val="007D3254"/>
    <w:rsid w:val="007D4E04"/>
    <w:rsid w:val="007E174D"/>
    <w:rsid w:val="007E4B0A"/>
    <w:rsid w:val="007E7BF8"/>
    <w:rsid w:val="007F1406"/>
    <w:rsid w:val="007F2FF0"/>
    <w:rsid w:val="00805A72"/>
    <w:rsid w:val="00810598"/>
    <w:rsid w:val="00811166"/>
    <w:rsid w:val="00814492"/>
    <w:rsid w:val="00814B6D"/>
    <w:rsid w:val="008204B0"/>
    <w:rsid w:val="00821776"/>
    <w:rsid w:val="00826007"/>
    <w:rsid w:val="008321F5"/>
    <w:rsid w:val="00832369"/>
    <w:rsid w:val="00834660"/>
    <w:rsid w:val="00834C8E"/>
    <w:rsid w:val="00836BC2"/>
    <w:rsid w:val="0084580B"/>
    <w:rsid w:val="00845BCA"/>
    <w:rsid w:val="008524C5"/>
    <w:rsid w:val="00853A5E"/>
    <w:rsid w:val="00853C8F"/>
    <w:rsid w:val="0085641B"/>
    <w:rsid w:val="00857136"/>
    <w:rsid w:val="00870B12"/>
    <w:rsid w:val="008752CE"/>
    <w:rsid w:val="008821AA"/>
    <w:rsid w:val="008855B8"/>
    <w:rsid w:val="00894788"/>
    <w:rsid w:val="00896018"/>
    <w:rsid w:val="008A07FF"/>
    <w:rsid w:val="008A2B9D"/>
    <w:rsid w:val="008A5E0B"/>
    <w:rsid w:val="008A5E18"/>
    <w:rsid w:val="008A6D59"/>
    <w:rsid w:val="008B2D31"/>
    <w:rsid w:val="008B4B03"/>
    <w:rsid w:val="008B596F"/>
    <w:rsid w:val="008C159F"/>
    <w:rsid w:val="008C1623"/>
    <w:rsid w:val="008C3C62"/>
    <w:rsid w:val="008C4B98"/>
    <w:rsid w:val="008C51A9"/>
    <w:rsid w:val="008C56D9"/>
    <w:rsid w:val="008D2B09"/>
    <w:rsid w:val="008D3523"/>
    <w:rsid w:val="008D4740"/>
    <w:rsid w:val="008D4821"/>
    <w:rsid w:val="008E73EB"/>
    <w:rsid w:val="008E7B83"/>
    <w:rsid w:val="008F1CCC"/>
    <w:rsid w:val="008F2967"/>
    <w:rsid w:val="008F407A"/>
    <w:rsid w:val="0090354E"/>
    <w:rsid w:val="00907ACE"/>
    <w:rsid w:val="00915C64"/>
    <w:rsid w:val="009171BF"/>
    <w:rsid w:val="00920330"/>
    <w:rsid w:val="00920FF4"/>
    <w:rsid w:val="009219D7"/>
    <w:rsid w:val="00922D53"/>
    <w:rsid w:val="009231EC"/>
    <w:rsid w:val="00923B70"/>
    <w:rsid w:val="00925DC5"/>
    <w:rsid w:val="0092600B"/>
    <w:rsid w:val="00930237"/>
    <w:rsid w:val="00934397"/>
    <w:rsid w:val="00934549"/>
    <w:rsid w:val="009401F6"/>
    <w:rsid w:val="00940F44"/>
    <w:rsid w:val="00941988"/>
    <w:rsid w:val="0094442A"/>
    <w:rsid w:val="009470EC"/>
    <w:rsid w:val="00952562"/>
    <w:rsid w:val="00956D6D"/>
    <w:rsid w:val="009629D9"/>
    <w:rsid w:val="00963C08"/>
    <w:rsid w:val="00993382"/>
    <w:rsid w:val="00997420"/>
    <w:rsid w:val="009A09AA"/>
    <w:rsid w:val="009A474D"/>
    <w:rsid w:val="009A4CED"/>
    <w:rsid w:val="009B15F1"/>
    <w:rsid w:val="009B1D12"/>
    <w:rsid w:val="009B33AF"/>
    <w:rsid w:val="009B416B"/>
    <w:rsid w:val="009B4B10"/>
    <w:rsid w:val="009C421A"/>
    <w:rsid w:val="009C4BD5"/>
    <w:rsid w:val="009C7E25"/>
    <w:rsid w:val="009D2E04"/>
    <w:rsid w:val="009D3026"/>
    <w:rsid w:val="009D3C1D"/>
    <w:rsid w:val="009D4F10"/>
    <w:rsid w:val="009D7B77"/>
    <w:rsid w:val="009E0BB0"/>
    <w:rsid w:val="009E3FBB"/>
    <w:rsid w:val="009E71F4"/>
    <w:rsid w:val="009F018D"/>
    <w:rsid w:val="009F7D61"/>
    <w:rsid w:val="00A005C6"/>
    <w:rsid w:val="00A0268F"/>
    <w:rsid w:val="00A052B5"/>
    <w:rsid w:val="00A1235B"/>
    <w:rsid w:val="00A14DF7"/>
    <w:rsid w:val="00A23F3C"/>
    <w:rsid w:val="00A3246D"/>
    <w:rsid w:val="00A33B3E"/>
    <w:rsid w:val="00A3654F"/>
    <w:rsid w:val="00A36FA7"/>
    <w:rsid w:val="00A475B7"/>
    <w:rsid w:val="00A47AF7"/>
    <w:rsid w:val="00A47C3E"/>
    <w:rsid w:val="00A50226"/>
    <w:rsid w:val="00A52892"/>
    <w:rsid w:val="00A539AC"/>
    <w:rsid w:val="00A557F8"/>
    <w:rsid w:val="00A56488"/>
    <w:rsid w:val="00A60BAD"/>
    <w:rsid w:val="00A61877"/>
    <w:rsid w:val="00A64387"/>
    <w:rsid w:val="00A736F3"/>
    <w:rsid w:val="00A73A8D"/>
    <w:rsid w:val="00A772C4"/>
    <w:rsid w:val="00A84503"/>
    <w:rsid w:val="00A85B04"/>
    <w:rsid w:val="00A87334"/>
    <w:rsid w:val="00A8785D"/>
    <w:rsid w:val="00A90799"/>
    <w:rsid w:val="00A92AE7"/>
    <w:rsid w:val="00A951ED"/>
    <w:rsid w:val="00AA0365"/>
    <w:rsid w:val="00AB62C6"/>
    <w:rsid w:val="00AB6F47"/>
    <w:rsid w:val="00AC2B40"/>
    <w:rsid w:val="00AC2BB2"/>
    <w:rsid w:val="00AC2C3C"/>
    <w:rsid w:val="00AC34C4"/>
    <w:rsid w:val="00AC3BD9"/>
    <w:rsid w:val="00AC7EB0"/>
    <w:rsid w:val="00AD67BA"/>
    <w:rsid w:val="00AD6892"/>
    <w:rsid w:val="00AE0320"/>
    <w:rsid w:val="00AE3DA8"/>
    <w:rsid w:val="00AE65EB"/>
    <w:rsid w:val="00AE6933"/>
    <w:rsid w:val="00AF1D94"/>
    <w:rsid w:val="00AF4489"/>
    <w:rsid w:val="00AF60C5"/>
    <w:rsid w:val="00B009C6"/>
    <w:rsid w:val="00B01548"/>
    <w:rsid w:val="00B0242A"/>
    <w:rsid w:val="00B06C0B"/>
    <w:rsid w:val="00B1049F"/>
    <w:rsid w:val="00B12CE1"/>
    <w:rsid w:val="00B13911"/>
    <w:rsid w:val="00B16EA0"/>
    <w:rsid w:val="00B1734B"/>
    <w:rsid w:val="00B17D32"/>
    <w:rsid w:val="00B21D29"/>
    <w:rsid w:val="00B21FC5"/>
    <w:rsid w:val="00B21FEE"/>
    <w:rsid w:val="00B25034"/>
    <w:rsid w:val="00B25C97"/>
    <w:rsid w:val="00B33863"/>
    <w:rsid w:val="00B34FE4"/>
    <w:rsid w:val="00B37BB3"/>
    <w:rsid w:val="00B37D17"/>
    <w:rsid w:val="00B4175E"/>
    <w:rsid w:val="00B47334"/>
    <w:rsid w:val="00B510E1"/>
    <w:rsid w:val="00B54C25"/>
    <w:rsid w:val="00B600DA"/>
    <w:rsid w:val="00B619B4"/>
    <w:rsid w:val="00B61B85"/>
    <w:rsid w:val="00B64F68"/>
    <w:rsid w:val="00B76B91"/>
    <w:rsid w:val="00B81491"/>
    <w:rsid w:val="00B84D78"/>
    <w:rsid w:val="00B91845"/>
    <w:rsid w:val="00B92C72"/>
    <w:rsid w:val="00BA6FF1"/>
    <w:rsid w:val="00BB0909"/>
    <w:rsid w:val="00BB0B55"/>
    <w:rsid w:val="00BB6529"/>
    <w:rsid w:val="00BC1CAB"/>
    <w:rsid w:val="00BC26B7"/>
    <w:rsid w:val="00BC465A"/>
    <w:rsid w:val="00BC622A"/>
    <w:rsid w:val="00BD102B"/>
    <w:rsid w:val="00BD2803"/>
    <w:rsid w:val="00BD317A"/>
    <w:rsid w:val="00BD56D7"/>
    <w:rsid w:val="00BD6F8A"/>
    <w:rsid w:val="00BD7524"/>
    <w:rsid w:val="00BE0A78"/>
    <w:rsid w:val="00BE19FA"/>
    <w:rsid w:val="00BE79F0"/>
    <w:rsid w:val="00BF046D"/>
    <w:rsid w:val="00BF19C3"/>
    <w:rsid w:val="00BF3466"/>
    <w:rsid w:val="00BF5D04"/>
    <w:rsid w:val="00BF6BA6"/>
    <w:rsid w:val="00C1236F"/>
    <w:rsid w:val="00C12B9C"/>
    <w:rsid w:val="00C13563"/>
    <w:rsid w:val="00C16B8C"/>
    <w:rsid w:val="00C243C8"/>
    <w:rsid w:val="00C339C6"/>
    <w:rsid w:val="00C3445C"/>
    <w:rsid w:val="00C3482F"/>
    <w:rsid w:val="00C3606C"/>
    <w:rsid w:val="00C404A6"/>
    <w:rsid w:val="00C40A36"/>
    <w:rsid w:val="00C42251"/>
    <w:rsid w:val="00C44419"/>
    <w:rsid w:val="00C45E7B"/>
    <w:rsid w:val="00C471B1"/>
    <w:rsid w:val="00C52BEE"/>
    <w:rsid w:val="00C602B0"/>
    <w:rsid w:val="00C6316B"/>
    <w:rsid w:val="00C634A9"/>
    <w:rsid w:val="00C73D6C"/>
    <w:rsid w:val="00C759B3"/>
    <w:rsid w:val="00C772FF"/>
    <w:rsid w:val="00C77BC8"/>
    <w:rsid w:val="00C801AF"/>
    <w:rsid w:val="00C80256"/>
    <w:rsid w:val="00C82FD5"/>
    <w:rsid w:val="00C91BE4"/>
    <w:rsid w:val="00C97281"/>
    <w:rsid w:val="00CA77CC"/>
    <w:rsid w:val="00CB6BC0"/>
    <w:rsid w:val="00CC0923"/>
    <w:rsid w:val="00CC1B7C"/>
    <w:rsid w:val="00CC47ED"/>
    <w:rsid w:val="00CC727F"/>
    <w:rsid w:val="00CD2699"/>
    <w:rsid w:val="00CD3E4B"/>
    <w:rsid w:val="00CD6885"/>
    <w:rsid w:val="00CD7871"/>
    <w:rsid w:val="00CE5BB0"/>
    <w:rsid w:val="00CF15C3"/>
    <w:rsid w:val="00CF25B6"/>
    <w:rsid w:val="00CF2B6F"/>
    <w:rsid w:val="00CF3409"/>
    <w:rsid w:val="00D017ED"/>
    <w:rsid w:val="00D01D60"/>
    <w:rsid w:val="00D10010"/>
    <w:rsid w:val="00D153B1"/>
    <w:rsid w:val="00D17979"/>
    <w:rsid w:val="00D224FE"/>
    <w:rsid w:val="00D229BA"/>
    <w:rsid w:val="00D236D0"/>
    <w:rsid w:val="00D2501C"/>
    <w:rsid w:val="00D25A32"/>
    <w:rsid w:val="00D26B84"/>
    <w:rsid w:val="00D5616E"/>
    <w:rsid w:val="00D56DD8"/>
    <w:rsid w:val="00D60E82"/>
    <w:rsid w:val="00D634FE"/>
    <w:rsid w:val="00D6493E"/>
    <w:rsid w:val="00D755CC"/>
    <w:rsid w:val="00D75772"/>
    <w:rsid w:val="00D76988"/>
    <w:rsid w:val="00D818B5"/>
    <w:rsid w:val="00D849A1"/>
    <w:rsid w:val="00D8708F"/>
    <w:rsid w:val="00D878DE"/>
    <w:rsid w:val="00D9049C"/>
    <w:rsid w:val="00D92A2C"/>
    <w:rsid w:val="00DA0CEF"/>
    <w:rsid w:val="00DA1124"/>
    <w:rsid w:val="00DA1DEF"/>
    <w:rsid w:val="00DA3043"/>
    <w:rsid w:val="00DA459C"/>
    <w:rsid w:val="00DB5119"/>
    <w:rsid w:val="00DC3039"/>
    <w:rsid w:val="00DC76F3"/>
    <w:rsid w:val="00DD34C4"/>
    <w:rsid w:val="00DD4595"/>
    <w:rsid w:val="00DD4C9F"/>
    <w:rsid w:val="00DD6083"/>
    <w:rsid w:val="00DD75A3"/>
    <w:rsid w:val="00DD76CC"/>
    <w:rsid w:val="00DD7A91"/>
    <w:rsid w:val="00DE02AE"/>
    <w:rsid w:val="00DE0F20"/>
    <w:rsid w:val="00DE33DE"/>
    <w:rsid w:val="00DE58F4"/>
    <w:rsid w:val="00DE6A0C"/>
    <w:rsid w:val="00DE6C04"/>
    <w:rsid w:val="00DE75AC"/>
    <w:rsid w:val="00DF1D7F"/>
    <w:rsid w:val="00E02FB4"/>
    <w:rsid w:val="00E03B5E"/>
    <w:rsid w:val="00E1340C"/>
    <w:rsid w:val="00E14AC4"/>
    <w:rsid w:val="00E20571"/>
    <w:rsid w:val="00E21651"/>
    <w:rsid w:val="00E235F7"/>
    <w:rsid w:val="00E239D4"/>
    <w:rsid w:val="00E30220"/>
    <w:rsid w:val="00E3130F"/>
    <w:rsid w:val="00E32326"/>
    <w:rsid w:val="00E329C6"/>
    <w:rsid w:val="00E40B22"/>
    <w:rsid w:val="00E4588F"/>
    <w:rsid w:val="00E46DA3"/>
    <w:rsid w:val="00E51164"/>
    <w:rsid w:val="00E56C3A"/>
    <w:rsid w:val="00E56DDD"/>
    <w:rsid w:val="00E8120B"/>
    <w:rsid w:val="00E93140"/>
    <w:rsid w:val="00E932F2"/>
    <w:rsid w:val="00EA16DE"/>
    <w:rsid w:val="00EA406B"/>
    <w:rsid w:val="00EA453A"/>
    <w:rsid w:val="00EA47CC"/>
    <w:rsid w:val="00EA5236"/>
    <w:rsid w:val="00EB0798"/>
    <w:rsid w:val="00EB182C"/>
    <w:rsid w:val="00EB19F8"/>
    <w:rsid w:val="00EB2603"/>
    <w:rsid w:val="00EB3573"/>
    <w:rsid w:val="00EB40AD"/>
    <w:rsid w:val="00EB586E"/>
    <w:rsid w:val="00EB5FC8"/>
    <w:rsid w:val="00EC1271"/>
    <w:rsid w:val="00ED0C8B"/>
    <w:rsid w:val="00ED5A41"/>
    <w:rsid w:val="00ED75D0"/>
    <w:rsid w:val="00EE04B3"/>
    <w:rsid w:val="00EE1482"/>
    <w:rsid w:val="00EE255A"/>
    <w:rsid w:val="00EE3F39"/>
    <w:rsid w:val="00EE5764"/>
    <w:rsid w:val="00EE77F8"/>
    <w:rsid w:val="00EF2C13"/>
    <w:rsid w:val="00EF578B"/>
    <w:rsid w:val="00F0163C"/>
    <w:rsid w:val="00F033EC"/>
    <w:rsid w:val="00F04C70"/>
    <w:rsid w:val="00F04F68"/>
    <w:rsid w:val="00F0609B"/>
    <w:rsid w:val="00F0627D"/>
    <w:rsid w:val="00F11A17"/>
    <w:rsid w:val="00F12670"/>
    <w:rsid w:val="00F14B27"/>
    <w:rsid w:val="00F14BBC"/>
    <w:rsid w:val="00F202AB"/>
    <w:rsid w:val="00F3148D"/>
    <w:rsid w:val="00F31AE8"/>
    <w:rsid w:val="00F3255D"/>
    <w:rsid w:val="00F35298"/>
    <w:rsid w:val="00F3529E"/>
    <w:rsid w:val="00F36C32"/>
    <w:rsid w:val="00F40F73"/>
    <w:rsid w:val="00F427C1"/>
    <w:rsid w:val="00F4305F"/>
    <w:rsid w:val="00F44B0D"/>
    <w:rsid w:val="00F4663D"/>
    <w:rsid w:val="00F467A6"/>
    <w:rsid w:val="00F47E37"/>
    <w:rsid w:val="00F578E6"/>
    <w:rsid w:val="00F623FD"/>
    <w:rsid w:val="00F63C0D"/>
    <w:rsid w:val="00F640B6"/>
    <w:rsid w:val="00F67B16"/>
    <w:rsid w:val="00F739D1"/>
    <w:rsid w:val="00F73E7B"/>
    <w:rsid w:val="00F76CFF"/>
    <w:rsid w:val="00F80E40"/>
    <w:rsid w:val="00F8365F"/>
    <w:rsid w:val="00F8404D"/>
    <w:rsid w:val="00F87B87"/>
    <w:rsid w:val="00F93A8C"/>
    <w:rsid w:val="00FA4D6D"/>
    <w:rsid w:val="00FA5B82"/>
    <w:rsid w:val="00FA639E"/>
    <w:rsid w:val="00FA7588"/>
    <w:rsid w:val="00FB1359"/>
    <w:rsid w:val="00FB59CE"/>
    <w:rsid w:val="00FC03C8"/>
    <w:rsid w:val="00FC25E4"/>
    <w:rsid w:val="00FC260C"/>
    <w:rsid w:val="00FC4EF7"/>
    <w:rsid w:val="00FE1941"/>
    <w:rsid w:val="00FE1DEE"/>
    <w:rsid w:val="00FE59F8"/>
    <w:rsid w:val="00FF2126"/>
    <w:rsid w:val="00FF3106"/>
    <w:rsid w:val="00FF3C6D"/>
    <w:rsid w:val="00FF69BE"/>
    <w:rsid w:val="00FF72EE"/>
    <w:rsid w:val="00FF7B50"/>
    <w:rsid w:val="00FF7B93"/>
  </w:rsids>
  <m:mathPr>
    <m:mathFont m:val="Cambria Math"/>
    <m:brkBin m:val="before"/>
    <m:brkBinSub m:val="--"/>
    <m:smallFrac m:val="0"/>
    <m:dispDef/>
    <m:lMargin m:val="0"/>
    <m:rMargin m:val="0"/>
    <m:defJc m:val="centerGroup"/>
    <m:wrapIndent m:val="1440"/>
    <m:intLim m:val="subSup"/>
    <m:naryLim m:val="undOvr"/>
  </m:mathPr>
  <w:themeFontLang w:val="en-AU" w:eastAsia="zh-TW"/>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mbria" w:eastAsia="Cambria" w:hAnsi="Cambria" w:cs="Times New Roman"/>
        <w:lang w:val="en-AU" w:eastAsia="en-A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9" w:unhideWhenUsed="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nhideWhenUsed="0"/>
    <w:lsdException w:name="footer" w:semiHidden="0" w:unhideWhenUsed="0"/>
    <w:lsdException w:name="caption" w:semiHidden="0" w:uiPriority="35" w:unhideWhenUsed="0"/>
    <w:lsdException w:name="footnote reference" w:uiPriority="0"/>
    <w:lsdException w:name="endnote text" w:uiPriority="0"/>
    <w:lsdException w:name="List Bullet" w:semiHidden="0" w:uiPriority="0" w:unhideWhenUsed="0" w:qFormat="1"/>
    <w:lsdException w:name="List Bullet 2" w:semiHidden="0" w:uiPriority="0" w:unhideWhenUsed="0" w:qFormat="1"/>
    <w:lsdException w:name="List Bullet 3" w:qFormat="1"/>
    <w:lsdException w:name="Title" w:semiHidden="0" w:uiPriority="10" w:unhideWhenUsed="0"/>
    <w:lsdException w:name="Default Paragraph Font" w:uiPriority="1"/>
    <w:lsdException w:name="Subtitle" w:semiHidden="0" w:uiPriority="11" w:unhideWhenUsed="0"/>
    <w:lsdException w:name="Date" w:semiHidden="0" w:unhideWhenUsed="0"/>
    <w:lsdException w:name="FollowedHyperlink" w:uiPriority="0"/>
    <w:lsdException w:name="Strong" w:semiHidden="0" w:uiPriority="22" w:unhideWhenUsed="0"/>
    <w:lsdException w:name="Emphasis" w:semiHidden="0" w:uiPriority="20" w:unhideWhenUsed="0"/>
    <w:lsdException w:name="Table Grid" w:semiHidden="0" w:uiPriority="5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qFormat/>
    <w:rsid w:val="00FB59CE"/>
    <w:pPr>
      <w:spacing w:before="120" w:after="180" w:line="240" w:lineRule="atLeast"/>
    </w:pPr>
    <w:rPr>
      <w:sz w:val="22"/>
      <w:lang w:eastAsia="en-US"/>
    </w:rPr>
  </w:style>
  <w:style w:type="paragraph" w:styleId="Heading1">
    <w:name w:val="heading 1"/>
    <w:basedOn w:val="Normal"/>
    <w:next w:val="Normal"/>
    <w:link w:val="Heading1Char"/>
    <w:rsid w:val="00EE1482"/>
    <w:pPr>
      <w:keepNext/>
      <w:keepLines/>
      <w:spacing w:before="360" w:after="240"/>
      <w:outlineLvl w:val="0"/>
    </w:pPr>
    <w:rPr>
      <w:rFonts w:ascii="Arial" w:eastAsia="Times New Roman" w:hAnsi="Arial"/>
      <w:b/>
      <w:bCs/>
      <w:sz w:val="48"/>
      <w:szCs w:val="48"/>
    </w:rPr>
  </w:style>
  <w:style w:type="paragraph" w:styleId="Heading2">
    <w:name w:val="heading 2"/>
    <w:basedOn w:val="Normal"/>
    <w:next w:val="Normal"/>
    <w:link w:val="Heading2Char"/>
    <w:qFormat/>
    <w:rsid w:val="00EE1482"/>
    <w:pPr>
      <w:keepNext/>
      <w:keepLines/>
      <w:spacing w:before="480" w:after="120"/>
      <w:outlineLvl w:val="1"/>
    </w:pPr>
    <w:rPr>
      <w:rFonts w:ascii="Arial" w:eastAsia="Times New Roman" w:hAnsi="Arial"/>
      <w:b/>
      <w:bCs/>
      <w:sz w:val="38"/>
      <w:szCs w:val="38"/>
    </w:rPr>
  </w:style>
  <w:style w:type="paragraph" w:styleId="Heading3">
    <w:name w:val="heading 3"/>
    <w:basedOn w:val="Normal"/>
    <w:next w:val="Normal"/>
    <w:link w:val="Heading3Char"/>
    <w:qFormat/>
    <w:rsid w:val="00EE1482"/>
    <w:pPr>
      <w:keepNext/>
      <w:keepLines/>
      <w:spacing w:before="480" w:after="120"/>
      <w:outlineLvl w:val="2"/>
    </w:pPr>
    <w:rPr>
      <w:rFonts w:ascii="Arial" w:eastAsia="Times New Roman" w:hAnsi="Arial"/>
      <w:b/>
      <w:bCs/>
      <w:sz w:val="32"/>
      <w:szCs w:val="32"/>
    </w:rPr>
  </w:style>
  <w:style w:type="paragraph" w:styleId="Heading4">
    <w:name w:val="heading 4"/>
    <w:basedOn w:val="Normal"/>
    <w:next w:val="Normal"/>
    <w:link w:val="Heading4Char"/>
    <w:qFormat/>
    <w:rsid w:val="00EE1482"/>
    <w:pPr>
      <w:keepNext/>
      <w:keepLines/>
      <w:spacing w:before="360" w:after="120"/>
      <w:outlineLvl w:val="3"/>
    </w:pPr>
    <w:rPr>
      <w:rFonts w:ascii="Arial" w:hAnsi="Arial"/>
      <w:b/>
      <w:bCs/>
      <w:sz w:val="26"/>
      <w:szCs w:val="26"/>
    </w:rPr>
  </w:style>
  <w:style w:type="paragraph" w:styleId="Heading5">
    <w:name w:val="heading 5"/>
    <w:basedOn w:val="Normal"/>
    <w:next w:val="Normal"/>
    <w:link w:val="Heading5Char"/>
    <w:uiPriority w:val="9"/>
    <w:rsid w:val="00EE1482"/>
    <w:pPr>
      <w:keepNext/>
      <w:keepLines/>
      <w:spacing w:before="240" w:after="120"/>
      <w:outlineLvl w:val="4"/>
    </w:pPr>
    <w:rPr>
      <w:rFonts w:eastAsia="Times New Roman"/>
      <w:b/>
      <w:bCs/>
      <w:color w:val="001523"/>
      <w:sz w:val="26"/>
      <w:szCs w:val="26"/>
    </w:rPr>
  </w:style>
  <w:style w:type="paragraph" w:styleId="Heading6">
    <w:name w:val="heading 6"/>
    <w:basedOn w:val="Normal"/>
    <w:next w:val="Normal"/>
    <w:link w:val="Heading6Char"/>
    <w:uiPriority w:val="9"/>
    <w:rsid w:val="00EE1482"/>
    <w:pPr>
      <w:keepNext/>
      <w:keepLines/>
      <w:spacing w:before="240" w:after="120"/>
      <w:outlineLvl w:val="5"/>
    </w:pPr>
    <w:rPr>
      <w:rFonts w:eastAsia="Times New Roman"/>
      <w:b/>
      <w:bCs/>
      <w:i/>
      <w:szCs w:val="21"/>
    </w:rPr>
  </w:style>
  <w:style w:type="paragraph" w:styleId="Heading7">
    <w:name w:val="heading 7"/>
    <w:basedOn w:val="Normal"/>
    <w:next w:val="Normal"/>
    <w:link w:val="Heading7Char"/>
    <w:uiPriority w:val="9"/>
    <w:rsid w:val="00EE1482"/>
    <w:pPr>
      <w:keepNext/>
      <w:keepLines/>
      <w:spacing w:before="240" w:after="60" w:line="180" w:lineRule="atLeast"/>
      <w:outlineLvl w:val="6"/>
    </w:pPr>
    <w:rPr>
      <w:rFonts w:eastAsia="Times New Roman"/>
      <w:bCs/>
      <w:i/>
      <w:szCs w:val="2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2B0C2E"/>
    <w:rPr>
      <w:rFonts w:ascii="Arial" w:eastAsia="Times New Roman" w:hAnsi="Arial"/>
      <w:b/>
      <w:bCs/>
      <w:sz w:val="48"/>
      <w:szCs w:val="48"/>
      <w:lang w:eastAsia="en-US"/>
    </w:rPr>
  </w:style>
  <w:style w:type="character" w:customStyle="1" w:styleId="Heading2Char">
    <w:name w:val="Heading 2 Char"/>
    <w:basedOn w:val="DefaultParagraphFont"/>
    <w:link w:val="Heading2"/>
    <w:rsid w:val="000C5A31"/>
    <w:rPr>
      <w:rFonts w:ascii="Arial" w:eastAsia="Times New Roman" w:hAnsi="Arial"/>
      <w:b/>
      <w:bCs/>
      <w:sz w:val="38"/>
      <w:szCs w:val="38"/>
      <w:lang w:eastAsia="en-US"/>
    </w:rPr>
  </w:style>
  <w:style w:type="character" w:customStyle="1" w:styleId="Heading3Char">
    <w:name w:val="Heading 3 Char"/>
    <w:basedOn w:val="DefaultParagraphFont"/>
    <w:link w:val="Heading3"/>
    <w:rsid w:val="002B0C2E"/>
    <w:rPr>
      <w:rFonts w:ascii="Arial" w:eastAsia="Times New Roman" w:hAnsi="Arial"/>
      <w:b/>
      <w:bCs/>
      <w:sz w:val="32"/>
      <w:szCs w:val="32"/>
      <w:lang w:eastAsia="en-US"/>
    </w:rPr>
  </w:style>
  <w:style w:type="paragraph" w:customStyle="1" w:styleId="Address">
    <w:name w:val="Address"/>
    <w:basedOn w:val="Normal"/>
    <w:rsid w:val="00140FE3"/>
    <w:pPr>
      <w:spacing w:before="0" w:after="0" w:line="240" w:lineRule="auto"/>
    </w:pPr>
    <w:rPr>
      <w:sz w:val="21"/>
    </w:rPr>
  </w:style>
  <w:style w:type="paragraph" w:styleId="DocumentMap">
    <w:name w:val="Document Map"/>
    <w:basedOn w:val="Normal"/>
    <w:link w:val="DocumentMapChar"/>
    <w:uiPriority w:val="99"/>
    <w:semiHidden/>
    <w:unhideWhenUsed/>
    <w:rsid w:val="00FB59CE"/>
    <w:pPr>
      <w:spacing w:before="0" w:after="0" w:line="240" w:lineRule="auto"/>
    </w:pPr>
    <w:rPr>
      <w:rFonts w:ascii="Tahoma" w:hAnsi="Tahoma" w:cs="Tahoma"/>
      <w:sz w:val="16"/>
      <w:szCs w:val="16"/>
    </w:rPr>
  </w:style>
  <w:style w:type="character" w:customStyle="1" w:styleId="DocumentMapChar">
    <w:name w:val="Document Map Char"/>
    <w:basedOn w:val="DefaultParagraphFont"/>
    <w:link w:val="DocumentMap"/>
    <w:uiPriority w:val="99"/>
    <w:semiHidden/>
    <w:rsid w:val="00FB59CE"/>
    <w:rPr>
      <w:rFonts w:ascii="Tahoma" w:hAnsi="Tahoma" w:cs="Tahoma"/>
      <w:sz w:val="16"/>
      <w:szCs w:val="16"/>
      <w:lang w:eastAsia="en-US"/>
    </w:rPr>
  </w:style>
  <w:style w:type="paragraph" w:styleId="BalloonText">
    <w:name w:val="Balloon Text"/>
    <w:basedOn w:val="Normal"/>
    <w:link w:val="BalloonTextChar"/>
    <w:uiPriority w:val="99"/>
    <w:semiHidden/>
    <w:unhideWhenUsed/>
    <w:rsid w:val="00F3148D"/>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F3148D"/>
    <w:rPr>
      <w:rFonts w:ascii="Tahoma" w:hAnsi="Tahoma" w:cs="Tahoma"/>
      <w:sz w:val="16"/>
      <w:szCs w:val="16"/>
    </w:rPr>
  </w:style>
  <w:style w:type="paragraph" w:styleId="TOC4">
    <w:name w:val="toc 4"/>
    <w:basedOn w:val="Normal"/>
    <w:next w:val="Normal"/>
    <w:autoRedefine/>
    <w:uiPriority w:val="39"/>
    <w:semiHidden/>
    <w:unhideWhenUsed/>
    <w:rsid w:val="008A07FF"/>
    <w:pPr>
      <w:tabs>
        <w:tab w:val="right" w:leader="hyphen" w:pos="8505"/>
      </w:tabs>
      <w:spacing w:after="100"/>
      <w:ind w:left="1276"/>
    </w:pPr>
  </w:style>
  <w:style w:type="paragraph" w:styleId="TOC5">
    <w:name w:val="toc 5"/>
    <w:basedOn w:val="Normal"/>
    <w:next w:val="Normal"/>
    <w:autoRedefine/>
    <w:uiPriority w:val="39"/>
    <w:semiHidden/>
    <w:unhideWhenUsed/>
    <w:rsid w:val="008A07FF"/>
    <w:pPr>
      <w:tabs>
        <w:tab w:val="right" w:leader="dot" w:pos="8505"/>
      </w:tabs>
      <w:spacing w:after="100"/>
      <w:ind w:left="1701"/>
    </w:pPr>
    <w:rPr>
      <w:noProof/>
    </w:rPr>
  </w:style>
  <w:style w:type="paragraph" w:styleId="Date">
    <w:name w:val="Date"/>
    <w:basedOn w:val="Normal"/>
    <w:link w:val="DateChar"/>
    <w:uiPriority w:val="99"/>
    <w:rsid w:val="00BB0B55"/>
    <w:pPr>
      <w:spacing w:before="0" w:after="0" w:line="240" w:lineRule="auto"/>
    </w:pPr>
    <w:rPr>
      <w:rFonts w:ascii="Arial" w:hAnsi="Arial"/>
      <w:sz w:val="28"/>
    </w:rPr>
  </w:style>
  <w:style w:type="character" w:customStyle="1" w:styleId="DateChar">
    <w:name w:val="Date Char"/>
    <w:basedOn w:val="DefaultParagraphFont"/>
    <w:link w:val="Date"/>
    <w:uiPriority w:val="99"/>
    <w:rsid w:val="00BB0B55"/>
    <w:rPr>
      <w:rFonts w:ascii="Arial" w:hAnsi="Arial"/>
      <w:sz w:val="28"/>
      <w:lang w:eastAsia="en-US"/>
    </w:rPr>
  </w:style>
  <w:style w:type="paragraph" w:styleId="TOC6">
    <w:name w:val="toc 6"/>
    <w:basedOn w:val="Normal"/>
    <w:next w:val="Normal"/>
    <w:autoRedefine/>
    <w:uiPriority w:val="39"/>
    <w:semiHidden/>
    <w:unhideWhenUsed/>
    <w:rsid w:val="008A07FF"/>
    <w:pPr>
      <w:tabs>
        <w:tab w:val="right" w:pos="8505"/>
      </w:tabs>
      <w:spacing w:after="100"/>
      <w:ind w:left="2126"/>
    </w:pPr>
  </w:style>
  <w:style w:type="paragraph" w:styleId="TOC7">
    <w:name w:val="toc 7"/>
    <w:basedOn w:val="Normal"/>
    <w:next w:val="Normal"/>
    <w:autoRedefine/>
    <w:uiPriority w:val="39"/>
    <w:semiHidden/>
    <w:unhideWhenUsed/>
    <w:rsid w:val="008A07FF"/>
    <w:pPr>
      <w:spacing w:after="100"/>
      <w:ind w:left="2211"/>
    </w:pPr>
  </w:style>
  <w:style w:type="character" w:customStyle="1" w:styleId="Heading4Char">
    <w:name w:val="Heading 4 Char"/>
    <w:basedOn w:val="DefaultParagraphFont"/>
    <w:link w:val="Heading4"/>
    <w:rsid w:val="00C339C6"/>
    <w:rPr>
      <w:rFonts w:ascii="Arial" w:hAnsi="Arial"/>
      <w:b/>
      <w:bCs/>
      <w:sz w:val="26"/>
      <w:szCs w:val="26"/>
      <w:lang w:eastAsia="en-US"/>
    </w:rPr>
  </w:style>
  <w:style w:type="character" w:styleId="FollowedHyperlink">
    <w:name w:val="FollowedHyperlink"/>
    <w:basedOn w:val="DefaultParagraphFont"/>
    <w:semiHidden/>
    <w:unhideWhenUsed/>
    <w:rsid w:val="00EE1482"/>
    <w:rPr>
      <w:color w:val="800080"/>
      <w:u w:val="single"/>
    </w:rPr>
  </w:style>
  <w:style w:type="paragraph" w:styleId="Footer">
    <w:name w:val="footer"/>
    <w:basedOn w:val="Normal"/>
    <w:link w:val="FooterChar"/>
    <w:uiPriority w:val="99"/>
    <w:rsid w:val="00EE1482"/>
    <w:pPr>
      <w:tabs>
        <w:tab w:val="center" w:pos="4513"/>
        <w:tab w:val="right" w:pos="9026"/>
      </w:tabs>
      <w:spacing w:before="0" w:after="0" w:line="240" w:lineRule="auto"/>
    </w:pPr>
    <w:rPr>
      <w:sz w:val="17"/>
    </w:rPr>
  </w:style>
  <w:style w:type="character" w:customStyle="1" w:styleId="FooterChar">
    <w:name w:val="Footer Char"/>
    <w:basedOn w:val="DefaultParagraphFont"/>
    <w:link w:val="Footer"/>
    <w:uiPriority w:val="99"/>
    <w:rsid w:val="00257138"/>
    <w:rPr>
      <w:sz w:val="17"/>
      <w:lang w:eastAsia="en-US"/>
    </w:rPr>
  </w:style>
  <w:style w:type="paragraph" w:styleId="Header">
    <w:name w:val="header"/>
    <w:basedOn w:val="Normal"/>
    <w:link w:val="HeaderChar"/>
    <w:uiPriority w:val="99"/>
    <w:rsid w:val="00EE1482"/>
    <w:pPr>
      <w:pBdr>
        <w:bottom w:val="single" w:sz="4" w:space="3" w:color="auto"/>
      </w:pBdr>
      <w:tabs>
        <w:tab w:val="center" w:pos="4513"/>
        <w:tab w:val="right" w:pos="9026"/>
      </w:tabs>
      <w:spacing w:before="0" w:after="0" w:line="240" w:lineRule="auto"/>
      <w:jc w:val="right"/>
    </w:pPr>
    <w:rPr>
      <w:sz w:val="17"/>
    </w:rPr>
  </w:style>
  <w:style w:type="character" w:customStyle="1" w:styleId="HeaderChar">
    <w:name w:val="Header Char"/>
    <w:basedOn w:val="DefaultParagraphFont"/>
    <w:link w:val="Header"/>
    <w:uiPriority w:val="99"/>
    <w:rsid w:val="00F3148D"/>
    <w:rPr>
      <w:sz w:val="17"/>
      <w:lang w:eastAsia="en-US"/>
    </w:rPr>
  </w:style>
  <w:style w:type="paragraph" w:customStyle="1" w:styleId="HeaderNoLine">
    <w:name w:val="Header No Line"/>
    <w:basedOn w:val="Header"/>
    <w:rsid w:val="002B0C2E"/>
    <w:pPr>
      <w:pBdr>
        <w:bottom w:val="none" w:sz="0" w:space="0" w:color="auto"/>
      </w:pBdr>
    </w:pPr>
  </w:style>
  <w:style w:type="character" w:customStyle="1" w:styleId="Heading5Char">
    <w:name w:val="Heading 5 Char"/>
    <w:basedOn w:val="DefaultParagraphFont"/>
    <w:link w:val="Heading5"/>
    <w:uiPriority w:val="9"/>
    <w:rsid w:val="00C339C6"/>
    <w:rPr>
      <w:rFonts w:eastAsia="Times New Roman"/>
      <w:b/>
      <w:bCs/>
      <w:color w:val="001523"/>
      <w:sz w:val="26"/>
      <w:szCs w:val="26"/>
      <w:lang w:eastAsia="en-US"/>
    </w:rPr>
  </w:style>
  <w:style w:type="character" w:customStyle="1" w:styleId="Heading6Char">
    <w:name w:val="Heading 6 Char"/>
    <w:basedOn w:val="DefaultParagraphFont"/>
    <w:link w:val="Heading6"/>
    <w:uiPriority w:val="9"/>
    <w:rsid w:val="00C339C6"/>
    <w:rPr>
      <w:rFonts w:eastAsia="Times New Roman"/>
      <w:b/>
      <w:bCs/>
      <w:i/>
      <w:sz w:val="22"/>
      <w:szCs w:val="21"/>
      <w:lang w:eastAsia="en-US"/>
    </w:rPr>
  </w:style>
  <w:style w:type="character" w:customStyle="1" w:styleId="Heading7Char">
    <w:name w:val="Heading 7 Char"/>
    <w:basedOn w:val="DefaultParagraphFont"/>
    <w:link w:val="Heading7"/>
    <w:uiPriority w:val="9"/>
    <w:rsid w:val="00C339C6"/>
    <w:rPr>
      <w:rFonts w:eastAsia="Times New Roman"/>
      <w:bCs/>
      <w:i/>
      <w:sz w:val="22"/>
      <w:szCs w:val="22"/>
      <w:lang w:eastAsia="en-US"/>
    </w:rPr>
  </w:style>
  <w:style w:type="character" w:styleId="Hyperlink">
    <w:name w:val="Hyperlink"/>
    <w:basedOn w:val="DefaultParagraphFont"/>
    <w:uiPriority w:val="99"/>
    <w:unhideWhenUsed/>
    <w:rsid w:val="00EE1482"/>
    <w:rPr>
      <w:color w:val="0000FF"/>
      <w:u w:val="single"/>
    </w:rPr>
  </w:style>
  <w:style w:type="paragraph" w:customStyle="1" w:styleId="LegalCopy">
    <w:name w:val="Legal Copy"/>
    <w:basedOn w:val="Footer"/>
    <w:rsid w:val="008855B8"/>
    <w:pPr>
      <w:spacing w:after="180"/>
    </w:pPr>
  </w:style>
  <w:style w:type="paragraph" w:customStyle="1" w:styleId="LegalSubheading">
    <w:name w:val="Legal Subheading"/>
    <w:basedOn w:val="Footer"/>
    <w:rsid w:val="004634F1"/>
    <w:pPr>
      <w:spacing w:before="120"/>
    </w:pPr>
    <w:rPr>
      <w:b/>
    </w:rPr>
  </w:style>
  <w:style w:type="table" w:styleId="LightShading-Accent2">
    <w:name w:val="Light Shading Accent 2"/>
    <w:basedOn w:val="TableNormal"/>
    <w:uiPriority w:val="60"/>
    <w:rsid w:val="00F3148D"/>
    <w:rPr>
      <w:rFonts w:eastAsia="Calibri"/>
      <w:color w:val="943634"/>
      <w:sz w:val="21"/>
      <w:szCs w:val="21"/>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paragraph" w:styleId="ListBullet">
    <w:name w:val="List Bullet"/>
    <w:basedOn w:val="Normal"/>
    <w:uiPriority w:val="1"/>
    <w:qFormat/>
    <w:rsid w:val="00BB0B55"/>
    <w:pPr>
      <w:numPr>
        <w:numId w:val="3"/>
      </w:numPr>
    </w:pPr>
    <w:rPr>
      <w:lang w:val="en-US"/>
    </w:rPr>
  </w:style>
  <w:style w:type="paragraph" w:styleId="ListBullet2">
    <w:name w:val="List Bullet 2"/>
    <w:basedOn w:val="Normal"/>
    <w:uiPriority w:val="1"/>
    <w:qFormat/>
    <w:rsid w:val="004B5A6B"/>
    <w:pPr>
      <w:numPr>
        <w:ilvl w:val="1"/>
        <w:numId w:val="3"/>
      </w:numPr>
      <w:ind w:left="850" w:hanging="425"/>
    </w:pPr>
  </w:style>
  <w:style w:type="paragraph" w:styleId="ListBullet3">
    <w:name w:val="List Bullet 3"/>
    <w:basedOn w:val="Normal"/>
    <w:uiPriority w:val="99"/>
    <w:qFormat/>
    <w:rsid w:val="004B5A6B"/>
    <w:pPr>
      <w:numPr>
        <w:ilvl w:val="2"/>
        <w:numId w:val="3"/>
      </w:numPr>
      <w:ind w:left="1276" w:hanging="425"/>
    </w:pPr>
  </w:style>
  <w:style w:type="numbering" w:customStyle="1" w:styleId="ListBullets">
    <w:name w:val="ListBullets"/>
    <w:uiPriority w:val="99"/>
    <w:locked/>
    <w:rsid w:val="00F3148D"/>
    <w:pPr>
      <w:numPr>
        <w:numId w:val="1"/>
      </w:numPr>
    </w:pPr>
  </w:style>
  <w:style w:type="table" w:styleId="MediumGrid2-Accent5">
    <w:name w:val="Medium Grid 2 Accent 5"/>
    <w:basedOn w:val="TableNormal"/>
    <w:uiPriority w:val="68"/>
    <w:rsid w:val="00F3148D"/>
    <w:rPr>
      <w:rFonts w:eastAsia="Times New Roman"/>
      <w:color w:val="000000"/>
      <w:sz w:val="21"/>
      <w:szCs w:val="21"/>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cPr>
      <w:shd w:val="clear" w:color="auto" w:fill="D2EAF1"/>
    </w:tcPr>
    <w:tblStylePr w:type="firstRow">
      <w:rPr>
        <w:b/>
        <w:bCs/>
        <w:color w:val="000000"/>
      </w:rPr>
      <w:tblPr/>
      <w:tcPr>
        <w:shd w:val="clear" w:color="auto" w:fill="EDF6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AEEF3"/>
      </w:tcPr>
    </w:tblStylePr>
    <w:tblStylePr w:type="band1Vert">
      <w:tblPr/>
      <w:tcPr>
        <w:shd w:val="clear" w:color="auto" w:fill="A5D5E2"/>
      </w:tcPr>
    </w:tblStylePr>
    <w:tblStylePr w:type="band1Horz">
      <w:tblPr/>
      <w:tcPr>
        <w:tcBorders>
          <w:insideH w:val="single" w:sz="6" w:space="0" w:color="4BACC6"/>
          <w:insideV w:val="single" w:sz="6" w:space="0" w:color="4BACC6"/>
        </w:tcBorders>
        <w:shd w:val="clear" w:color="auto" w:fill="A5D5E2"/>
      </w:tcPr>
    </w:tblStylePr>
    <w:tblStylePr w:type="nwCell">
      <w:tblPr/>
      <w:tcPr>
        <w:shd w:val="clear" w:color="auto" w:fill="FFFFFF"/>
      </w:tcPr>
    </w:tblStylePr>
  </w:style>
  <w:style w:type="paragraph" w:customStyle="1" w:styleId="Numberbullet0">
    <w:name w:val="Number bullet"/>
    <w:basedOn w:val="ListBullet"/>
    <w:uiPriority w:val="2"/>
    <w:qFormat/>
    <w:rsid w:val="00EE1482"/>
    <w:pPr>
      <w:numPr>
        <w:numId w:val="4"/>
      </w:numPr>
    </w:pPr>
  </w:style>
  <w:style w:type="paragraph" w:customStyle="1" w:styleId="Numberbullet2">
    <w:name w:val="Number bullet 2"/>
    <w:basedOn w:val="ListBullet2"/>
    <w:uiPriority w:val="2"/>
    <w:qFormat/>
    <w:rsid w:val="00EE1482"/>
    <w:pPr>
      <w:numPr>
        <w:numId w:val="4"/>
      </w:numPr>
    </w:pPr>
  </w:style>
  <w:style w:type="paragraph" w:customStyle="1" w:styleId="Numberbullet3">
    <w:name w:val="Number bullet 3"/>
    <w:basedOn w:val="ListBullet3"/>
    <w:uiPriority w:val="2"/>
    <w:qFormat/>
    <w:rsid w:val="00EE1482"/>
    <w:pPr>
      <w:numPr>
        <w:numId w:val="4"/>
      </w:numPr>
    </w:pPr>
  </w:style>
  <w:style w:type="numbering" w:customStyle="1" w:styleId="NumberBullet">
    <w:name w:val="NumberBullet"/>
    <w:uiPriority w:val="99"/>
    <w:locked/>
    <w:rsid w:val="00F3148D"/>
    <w:pPr>
      <w:numPr>
        <w:numId w:val="2"/>
      </w:numPr>
    </w:pPr>
  </w:style>
  <w:style w:type="character" w:styleId="PlaceholderText">
    <w:name w:val="Placeholder Text"/>
    <w:basedOn w:val="DefaultParagraphFont"/>
    <w:uiPriority w:val="99"/>
    <w:semiHidden/>
    <w:rsid w:val="00F3148D"/>
    <w:rPr>
      <w:color w:val="808080"/>
    </w:rPr>
  </w:style>
  <w:style w:type="paragraph" w:customStyle="1" w:styleId="Reference">
    <w:name w:val="Reference"/>
    <w:basedOn w:val="Normal"/>
    <w:rsid w:val="00EE1482"/>
    <w:pPr>
      <w:spacing w:before="40" w:after="0"/>
      <w:ind w:left="170" w:hanging="170"/>
    </w:pPr>
    <w:rPr>
      <w:sz w:val="19"/>
    </w:rPr>
  </w:style>
  <w:style w:type="paragraph" w:styleId="Subtitle">
    <w:name w:val="Subtitle"/>
    <w:basedOn w:val="Normal"/>
    <w:link w:val="SubtitleChar"/>
    <w:uiPriority w:val="11"/>
    <w:rsid w:val="0054583D"/>
    <w:pPr>
      <w:numPr>
        <w:ilvl w:val="1"/>
      </w:numPr>
      <w:spacing w:before="0" w:after="0"/>
      <w:ind w:left="170"/>
    </w:pPr>
    <w:rPr>
      <w:rFonts w:ascii="Arial" w:eastAsia="Times New Roman" w:hAnsi="Arial"/>
      <w:bCs/>
      <w:iCs/>
      <w:color w:val="006DA7"/>
      <w:sz w:val="40"/>
      <w:szCs w:val="24"/>
    </w:rPr>
  </w:style>
  <w:style w:type="character" w:customStyle="1" w:styleId="SubtitleChar">
    <w:name w:val="Subtitle Char"/>
    <w:basedOn w:val="DefaultParagraphFont"/>
    <w:link w:val="Subtitle"/>
    <w:uiPriority w:val="11"/>
    <w:rsid w:val="0054583D"/>
    <w:rPr>
      <w:rFonts w:ascii="Arial" w:eastAsia="Times New Roman" w:hAnsi="Arial"/>
      <w:bCs/>
      <w:iCs/>
      <w:color w:val="006DA7"/>
      <w:sz w:val="40"/>
      <w:szCs w:val="24"/>
      <w:lang w:eastAsia="en-US"/>
    </w:rPr>
  </w:style>
  <w:style w:type="paragraph" w:styleId="EndnoteText">
    <w:name w:val="endnote text"/>
    <w:basedOn w:val="FootnoteText"/>
    <w:link w:val="EndnoteTextChar"/>
    <w:semiHidden/>
    <w:unhideWhenUsed/>
    <w:rsid w:val="00594D03"/>
    <w:rPr>
      <w:rFonts w:asciiTheme="minorHAnsi" w:hAnsiTheme="minorHAnsi" w:cstheme="minorBidi"/>
      <w:szCs w:val="22"/>
    </w:rPr>
  </w:style>
  <w:style w:type="table" w:styleId="TableGrid">
    <w:name w:val="Table Grid"/>
    <w:basedOn w:val="TableNormal"/>
    <w:uiPriority w:val="59"/>
    <w:rsid w:val="00F3148D"/>
    <w:rPr>
      <w:sz w:val="21"/>
      <w:szCs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TGAblue">
    <w:name w:val="Table TGA blue"/>
    <w:basedOn w:val="TableNormal"/>
    <w:uiPriority w:val="99"/>
    <w:qFormat/>
    <w:rsid w:val="002303B0"/>
    <w:rPr>
      <w:color w:val="000000"/>
      <w:sz w:val="22"/>
      <w:szCs w:val="21"/>
    </w:rPr>
    <w:tblPr>
      <w:tblBorders>
        <w:top w:val="single" w:sz="8" w:space="0" w:color="002C47"/>
        <w:left w:val="single" w:sz="8" w:space="0" w:color="002C47"/>
        <w:bottom w:val="single" w:sz="8" w:space="0" w:color="002C47"/>
        <w:right w:val="single" w:sz="8" w:space="0" w:color="002C47"/>
        <w:insideH w:val="single" w:sz="8" w:space="0" w:color="002C47"/>
        <w:insideV w:val="single" w:sz="8" w:space="0" w:color="002C47"/>
      </w:tblBorders>
    </w:tblPr>
    <w:trPr>
      <w:cantSplit/>
    </w:trPr>
    <w:tcPr>
      <w:shd w:val="clear" w:color="auto" w:fill="auto"/>
    </w:tcPr>
    <w:tblStylePr w:type="firstRow">
      <w:pPr>
        <w:keepNext/>
        <w:wordWrap/>
      </w:pPr>
      <w:rPr>
        <w:rFonts w:ascii="Cambria" w:hAnsi="Cambria"/>
        <w:b/>
        <w:color w:val="FFFFFF"/>
        <w:sz w:val="22"/>
      </w:rPr>
      <w:tblPr/>
      <w:tcPr>
        <w:tcBorders>
          <w:top w:val="single" w:sz="8" w:space="0" w:color="002C47"/>
          <w:left w:val="single" w:sz="8" w:space="0" w:color="002C47"/>
          <w:bottom w:val="single" w:sz="8" w:space="0" w:color="002C47"/>
          <w:right w:val="single" w:sz="8" w:space="0" w:color="002C47"/>
          <w:insideH w:val="nil"/>
          <w:insideV w:val="nil"/>
          <w:tl2br w:val="nil"/>
          <w:tr2bl w:val="nil"/>
        </w:tcBorders>
        <w:shd w:val="clear" w:color="auto" w:fill="006DA7"/>
      </w:tcPr>
    </w:tblStylePr>
    <w:tblStylePr w:type="firstCol">
      <w:pPr>
        <w:keepNext w:val="0"/>
        <w:wordWrap/>
      </w:pPr>
    </w:tblStylePr>
  </w:style>
  <w:style w:type="table" w:customStyle="1" w:styleId="TableTGAblack">
    <w:name w:val="Table TGA black"/>
    <w:basedOn w:val="TableNormal"/>
    <w:uiPriority w:val="99"/>
    <w:rsid w:val="002303B0"/>
    <w:pPr>
      <w:spacing w:before="60"/>
    </w:pPr>
    <w:rPr>
      <w:color w:val="000000"/>
      <w:sz w:val="22"/>
      <w:szCs w:val="21"/>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trPr>
      <w:cantSplit/>
    </w:trPr>
    <w:tcPr>
      <w:shd w:val="clear" w:color="auto" w:fill="auto"/>
    </w:tcPr>
    <w:tblStylePr w:type="firstRow">
      <w:pPr>
        <w:keepNext/>
        <w:wordWrap/>
      </w:pPr>
      <w:rPr>
        <w:rFonts w:ascii="Cambria" w:hAnsi="Cambria"/>
        <w:b/>
        <w:color w:val="FFFFFF"/>
        <w:sz w:val="22"/>
      </w:rPr>
      <w:tblPr/>
      <w:tcPr>
        <w:shd w:val="clear" w:color="auto" w:fill="000000"/>
      </w:tcPr>
    </w:tblStylePr>
    <w:tblStylePr w:type="lastRow">
      <w:rPr>
        <w:b w:val="0"/>
      </w:rPr>
    </w:tblStylePr>
    <w:tblStylePr w:type="firstCol">
      <w:pPr>
        <w:keepNext w:val="0"/>
        <w:wordWrap/>
      </w:pPr>
    </w:tblStylePr>
    <w:tblStylePr w:type="neCell">
      <w:rPr>
        <w:b w:val="0"/>
        <w:i w:val="0"/>
      </w:rPr>
    </w:tblStylePr>
    <w:tblStylePr w:type="nwCell">
      <w:rPr>
        <w:rFonts w:ascii="Cambria" w:hAnsi="Cambria"/>
        <w:b/>
        <w:i w:val="0"/>
        <w:color w:val="FFFFFF"/>
        <w:sz w:val="22"/>
      </w:rPr>
    </w:tblStylePr>
  </w:style>
  <w:style w:type="paragraph" w:customStyle="1" w:styleId="TGASignoff">
    <w:name w:val="TGA Signoff"/>
    <w:basedOn w:val="Normal"/>
    <w:rsid w:val="00F3148D"/>
    <w:pPr>
      <w:jc w:val="center"/>
    </w:pPr>
    <w:rPr>
      <w:rFonts w:ascii="Arial" w:hAnsi="Arial"/>
      <w:b/>
      <w:sz w:val="28"/>
    </w:rPr>
  </w:style>
  <w:style w:type="paragraph" w:styleId="Title">
    <w:name w:val="Title"/>
    <w:link w:val="TitleChar"/>
    <w:uiPriority w:val="10"/>
    <w:rsid w:val="00F3529E"/>
    <w:pPr>
      <w:spacing w:after="120"/>
      <w:contextualSpacing/>
    </w:pPr>
    <w:rPr>
      <w:rFonts w:ascii="Arial" w:eastAsia="Times New Roman" w:hAnsi="Arial"/>
      <w:color w:val="002C47"/>
      <w:spacing w:val="5"/>
      <w:kern w:val="28"/>
      <w:sz w:val="52"/>
      <w:szCs w:val="52"/>
      <w:lang w:eastAsia="en-US"/>
    </w:rPr>
  </w:style>
  <w:style w:type="character" w:customStyle="1" w:styleId="TitleChar">
    <w:name w:val="Title Char"/>
    <w:basedOn w:val="DefaultParagraphFont"/>
    <w:link w:val="Title"/>
    <w:uiPriority w:val="10"/>
    <w:rsid w:val="00F3529E"/>
    <w:rPr>
      <w:rFonts w:ascii="Arial" w:eastAsia="Times New Roman" w:hAnsi="Arial"/>
      <w:color w:val="002C47"/>
      <w:spacing w:val="5"/>
      <w:kern w:val="28"/>
      <w:sz w:val="52"/>
      <w:szCs w:val="52"/>
      <w:lang w:eastAsia="en-US"/>
    </w:rPr>
  </w:style>
  <w:style w:type="paragraph" w:styleId="TOC1">
    <w:name w:val="toc 1"/>
    <w:basedOn w:val="Normal"/>
    <w:next w:val="Normal"/>
    <w:uiPriority w:val="39"/>
    <w:unhideWhenUsed/>
    <w:rsid w:val="00D236D0"/>
    <w:pPr>
      <w:keepNext/>
      <w:keepLines/>
      <w:tabs>
        <w:tab w:val="right" w:leader="underscore" w:pos="8505"/>
      </w:tabs>
      <w:spacing w:after="200"/>
    </w:pPr>
    <w:rPr>
      <w:b/>
      <w:sz w:val="28"/>
    </w:rPr>
  </w:style>
  <w:style w:type="paragraph" w:styleId="TOC2">
    <w:name w:val="toc 2"/>
    <w:basedOn w:val="Normal"/>
    <w:next w:val="Normal"/>
    <w:uiPriority w:val="39"/>
    <w:unhideWhenUsed/>
    <w:rsid w:val="00D236D0"/>
    <w:pPr>
      <w:keepNext/>
      <w:keepLines/>
      <w:tabs>
        <w:tab w:val="right" w:leader="underscore" w:pos="8505"/>
      </w:tabs>
      <w:spacing w:after="100"/>
      <w:ind w:left="425"/>
    </w:pPr>
    <w:rPr>
      <w:b/>
      <w:sz w:val="24"/>
    </w:rPr>
  </w:style>
  <w:style w:type="paragraph" w:styleId="TOC3">
    <w:name w:val="toc 3"/>
    <w:basedOn w:val="Normal"/>
    <w:next w:val="Normal"/>
    <w:uiPriority w:val="39"/>
    <w:unhideWhenUsed/>
    <w:rsid w:val="008A07FF"/>
    <w:pPr>
      <w:keepNext/>
      <w:keepLines/>
      <w:tabs>
        <w:tab w:val="right" w:leader="hyphen" w:pos="8505"/>
      </w:tabs>
      <w:spacing w:after="100"/>
      <w:ind w:left="851"/>
    </w:pPr>
    <w:rPr>
      <w:b/>
    </w:rPr>
  </w:style>
  <w:style w:type="paragraph" w:styleId="TOCHeading">
    <w:name w:val="TOC Heading"/>
    <w:basedOn w:val="Heading1"/>
    <w:next w:val="Normal"/>
    <w:uiPriority w:val="39"/>
    <w:unhideWhenUsed/>
    <w:qFormat/>
    <w:rsid w:val="00F3148D"/>
    <w:pPr>
      <w:spacing w:before="480" w:after="0" w:line="276" w:lineRule="auto"/>
      <w:outlineLvl w:val="9"/>
    </w:pPr>
    <w:rPr>
      <w:color w:val="002035"/>
      <w:sz w:val="28"/>
      <w:lang w:val="en-US"/>
    </w:rPr>
  </w:style>
  <w:style w:type="numbering" w:customStyle="1" w:styleId="NumberBullet1">
    <w:name w:val="NumberBullet1"/>
    <w:uiPriority w:val="99"/>
    <w:rsid w:val="001525B4"/>
  </w:style>
  <w:style w:type="numbering" w:customStyle="1" w:styleId="ListBullets1">
    <w:name w:val="ListBullets1"/>
    <w:uiPriority w:val="99"/>
    <w:rsid w:val="001525B4"/>
  </w:style>
  <w:style w:type="paragraph" w:styleId="FootnoteText">
    <w:name w:val="footnote text"/>
    <w:aliases w:val="(NECG) Footnote Text"/>
    <w:basedOn w:val="Normal"/>
    <w:link w:val="FootnoteTextChar"/>
    <w:uiPriority w:val="99"/>
    <w:rsid w:val="00EE1482"/>
    <w:pPr>
      <w:keepLines/>
      <w:spacing w:before="0" w:after="0"/>
    </w:pPr>
    <w:rPr>
      <w:sz w:val="20"/>
    </w:rPr>
  </w:style>
  <w:style w:type="character" w:customStyle="1" w:styleId="FootnoteTextChar">
    <w:name w:val="Footnote Text Char"/>
    <w:aliases w:val="(NECG) Footnote Text Char"/>
    <w:basedOn w:val="DefaultParagraphFont"/>
    <w:link w:val="FootnoteText"/>
    <w:uiPriority w:val="99"/>
    <w:rsid w:val="001525B4"/>
    <w:rPr>
      <w:lang w:eastAsia="en-US"/>
    </w:rPr>
  </w:style>
  <w:style w:type="character" w:styleId="FootnoteReference">
    <w:name w:val="footnote reference"/>
    <w:aliases w:val="(NECG) Footnote Reference"/>
    <w:basedOn w:val="DefaultParagraphFont"/>
    <w:unhideWhenUsed/>
    <w:rsid w:val="001525B4"/>
    <w:rPr>
      <w:vertAlign w:val="superscript"/>
    </w:rPr>
  </w:style>
  <w:style w:type="character" w:customStyle="1" w:styleId="EndnoteTextChar">
    <w:name w:val="Endnote Text Char"/>
    <w:basedOn w:val="DefaultParagraphFont"/>
    <w:link w:val="EndnoteText"/>
    <w:semiHidden/>
    <w:rsid w:val="0084580B"/>
    <w:rPr>
      <w:rFonts w:asciiTheme="minorHAnsi" w:hAnsiTheme="minorHAnsi" w:cstheme="minorBidi"/>
      <w:szCs w:val="22"/>
      <w:lang w:eastAsia="en-US"/>
    </w:rPr>
  </w:style>
  <w:style w:type="character" w:styleId="EndnoteReference">
    <w:name w:val="endnote reference"/>
    <w:basedOn w:val="DefaultParagraphFont"/>
    <w:uiPriority w:val="99"/>
    <w:semiHidden/>
    <w:unhideWhenUsed/>
    <w:rsid w:val="0084580B"/>
    <w:rPr>
      <w:vertAlign w:val="superscript"/>
    </w:rPr>
  </w:style>
  <w:style w:type="table" w:customStyle="1" w:styleId="LightShading1">
    <w:name w:val="Light Shading1"/>
    <w:basedOn w:val="TableNormal"/>
    <w:uiPriority w:val="60"/>
    <w:rsid w:val="0054583D"/>
    <w:rPr>
      <w:color w:val="002035" w:themeColor="text1" w:themeShade="BF"/>
    </w:rPr>
    <w:tblPr>
      <w:tblStyleRowBandSize w:val="1"/>
      <w:tblStyleColBandSize w:val="1"/>
      <w:tblBorders>
        <w:top w:val="single" w:sz="8" w:space="0" w:color="002C47" w:themeColor="text1"/>
        <w:bottom w:val="single" w:sz="8" w:space="0" w:color="002C47" w:themeColor="text1"/>
      </w:tblBorders>
    </w:tblPr>
    <w:tblStylePr w:type="firstRow">
      <w:pPr>
        <w:spacing w:before="0" w:after="0" w:line="240" w:lineRule="auto"/>
      </w:pPr>
      <w:rPr>
        <w:b/>
        <w:bCs/>
      </w:rPr>
      <w:tblPr/>
      <w:tcPr>
        <w:tcBorders>
          <w:top w:val="single" w:sz="8" w:space="0" w:color="002C47" w:themeColor="text1"/>
          <w:left w:val="nil"/>
          <w:bottom w:val="single" w:sz="8" w:space="0" w:color="002C47" w:themeColor="text1"/>
          <w:right w:val="nil"/>
          <w:insideH w:val="nil"/>
          <w:insideV w:val="nil"/>
        </w:tcBorders>
      </w:tcPr>
    </w:tblStylePr>
    <w:tblStylePr w:type="lastRow">
      <w:pPr>
        <w:spacing w:before="0" w:after="0" w:line="240" w:lineRule="auto"/>
      </w:pPr>
      <w:rPr>
        <w:b/>
        <w:bCs/>
      </w:rPr>
      <w:tblPr/>
      <w:tcPr>
        <w:tcBorders>
          <w:top w:val="single" w:sz="8" w:space="0" w:color="002C47" w:themeColor="text1"/>
          <w:left w:val="nil"/>
          <w:bottom w:val="single" w:sz="8" w:space="0" w:color="002C47"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92D5FF" w:themeFill="text1" w:themeFillTint="3F"/>
      </w:tcPr>
    </w:tblStylePr>
    <w:tblStylePr w:type="band1Horz">
      <w:tblPr/>
      <w:tcPr>
        <w:tcBorders>
          <w:left w:val="nil"/>
          <w:right w:val="nil"/>
          <w:insideH w:val="nil"/>
          <w:insideV w:val="nil"/>
        </w:tcBorders>
        <w:shd w:val="clear" w:color="auto" w:fill="92D5FF" w:themeFill="text1" w:themeFillTint="3F"/>
      </w:tcPr>
    </w:tblStylePr>
  </w:style>
  <w:style w:type="paragraph" w:customStyle="1" w:styleId="NonTOCheading2">
    <w:name w:val="Non TOC heading 2"/>
    <w:basedOn w:val="Normal"/>
    <w:next w:val="Normal"/>
    <w:rsid w:val="00EE1482"/>
    <w:pPr>
      <w:keepNext/>
      <w:keepLines/>
      <w:spacing w:before="360"/>
    </w:pPr>
    <w:rPr>
      <w:rFonts w:ascii="Arial" w:hAnsi="Arial"/>
      <w:b/>
      <w:sz w:val="38"/>
    </w:rPr>
  </w:style>
  <w:style w:type="paragraph" w:customStyle="1" w:styleId="Figuredescription">
    <w:name w:val="Figure description"/>
    <w:basedOn w:val="Normal"/>
    <w:next w:val="Normal"/>
    <w:rsid w:val="00EE1482"/>
    <w:pPr>
      <w:spacing w:after="240" w:line="180" w:lineRule="atLeast"/>
    </w:pPr>
    <w:rPr>
      <w:sz w:val="18"/>
    </w:rPr>
  </w:style>
  <w:style w:type="paragraph" w:customStyle="1" w:styleId="Figuretitle">
    <w:name w:val="Figure title"/>
    <w:basedOn w:val="Normal"/>
    <w:next w:val="Normal"/>
    <w:rsid w:val="00FE1941"/>
    <w:pPr>
      <w:keepNext/>
      <w:keepLines/>
      <w:outlineLvl w:val="4"/>
    </w:pPr>
    <w:rPr>
      <w:b/>
    </w:rPr>
  </w:style>
  <w:style w:type="paragraph" w:customStyle="1" w:styleId="Headernoline0">
    <w:name w:val="Header no line"/>
    <w:basedOn w:val="Header"/>
    <w:rsid w:val="00EE1482"/>
    <w:pPr>
      <w:pBdr>
        <w:bottom w:val="none" w:sz="0" w:space="0" w:color="auto"/>
      </w:pBdr>
      <w:spacing w:line="240" w:lineRule="atLeast"/>
    </w:pPr>
  </w:style>
  <w:style w:type="paragraph" w:customStyle="1" w:styleId="Quotation">
    <w:name w:val="Quotation"/>
    <w:basedOn w:val="Normal"/>
    <w:next w:val="Normal"/>
    <w:uiPriority w:val="3"/>
    <w:qFormat/>
    <w:rsid w:val="00EE1482"/>
    <w:pPr>
      <w:ind w:left="425"/>
    </w:pPr>
    <w:rPr>
      <w:sz w:val="20"/>
    </w:rPr>
  </w:style>
  <w:style w:type="paragraph" w:customStyle="1" w:styleId="Tabledescription">
    <w:name w:val="Table description"/>
    <w:basedOn w:val="Figuredescription"/>
    <w:next w:val="Normal"/>
    <w:rsid w:val="00EE1482"/>
  </w:style>
  <w:style w:type="paragraph" w:customStyle="1" w:styleId="Tabletitle">
    <w:name w:val="Table title"/>
    <w:basedOn w:val="Normal"/>
    <w:next w:val="Normal"/>
    <w:rsid w:val="00EE1482"/>
    <w:pPr>
      <w:keepNext/>
      <w:outlineLvl w:val="4"/>
    </w:pPr>
    <w:rPr>
      <w:b/>
    </w:rPr>
  </w:style>
  <w:style w:type="character" w:styleId="CommentReference">
    <w:name w:val="annotation reference"/>
    <w:basedOn w:val="DefaultParagraphFont"/>
    <w:uiPriority w:val="99"/>
    <w:semiHidden/>
    <w:unhideWhenUsed/>
    <w:rsid w:val="000B0A5D"/>
    <w:rPr>
      <w:sz w:val="16"/>
      <w:szCs w:val="16"/>
    </w:rPr>
  </w:style>
  <w:style w:type="paragraph" w:styleId="CommentText">
    <w:name w:val="annotation text"/>
    <w:basedOn w:val="Normal"/>
    <w:link w:val="CommentTextChar"/>
    <w:uiPriority w:val="99"/>
    <w:semiHidden/>
    <w:unhideWhenUsed/>
    <w:rsid w:val="000B0A5D"/>
    <w:pPr>
      <w:spacing w:line="240" w:lineRule="auto"/>
    </w:pPr>
    <w:rPr>
      <w:sz w:val="20"/>
    </w:rPr>
  </w:style>
  <w:style w:type="character" w:customStyle="1" w:styleId="CommentTextChar">
    <w:name w:val="Comment Text Char"/>
    <w:basedOn w:val="DefaultParagraphFont"/>
    <w:link w:val="CommentText"/>
    <w:uiPriority w:val="99"/>
    <w:semiHidden/>
    <w:rsid w:val="000B0A5D"/>
    <w:rPr>
      <w:lang w:eastAsia="en-US"/>
    </w:rPr>
  </w:style>
  <w:style w:type="paragraph" w:styleId="CommentSubject">
    <w:name w:val="annotation subject"/>
    <w:basedOn w:val="CommentText"/>
    <w:next w:val="CommentText"/>
    <w:link w:val="CommentSubjectChar"/>
    <w:uiPriority w:val="99"/>
    <w:semiHidden/>
    <w:unhideWhenUsed/>
    <w:rsid w:val="000B0A5D"/>
    <w:rPr>
      <w:b/>
      <w:bCs/>
    </w:rPr>
  </w:style>
  <w:style w:type="character" w:customStyle="1" w:styleId="CommentSubjectChar">
    <w:name w:val="Comment Subject Char"/>
    <w:basedOn w:val="CommentTextChar"/>
    <w:link w:val="CommentSubject"/>
    <w:uiPriority w:val="99"/>
    <w:semiHidden/>
    <w:rsid w:val="000B0A5D"/>
    <w:rPr>
      <w:b/>
      <w:bCs/>
      <w:lang w:eastAsia="en-US"/>
    </w:rPr>
  </w:style>
  <w:style w:type="paragraph" w:styleId="ListParagraph">
    <w:name w:val="List Paragraph"/>
    <w:basedOn w:val="Normal"/>
    <w:uiPriority w:val="34"/>
    <w:qFormat/>
    <w:rsid w:val="00191246"/>
    <w:pPr>
      <w:spacing w:before="0" w:after="0"/>
      <w:ind w:left="720"/>
      <w:contextualSpacing/>
    </w:pPr>
    <w:rPr>
      <w:rFonts w:asciiTheme="minorHAnsi" w:hAnsiTheme="minorHAnsi" w:cstheme="minorBidi"/>
      <w:szCs w:val="22"/>
    </w:rPr>
  </w:style>
  <w:style w:type="paragraph" w:customStyle="1" w:styleId="Default">
    <w:name w:val="Default"/>
    <w:rsid w:val="00027DD1"/>
    <w:pPr>
      <w:autoSpaceDE w:val="0"/>
      <w:autoSpaceDN w:val="0"/>
      <w:adjustRightInd w:val="0"/>
    </w:pPr>
    <w:rPr>
      <w:rFonts w:ascii="Arial" w:hAnsi="Arial" w:cs="Arial"/>
      <w:color w:val="000000"/>
      <w:sz w:val="24"/>
      <w:szCs w:val="24"/>
      <w:lang w:eastAsia="en-US"/>
    </w:rPr>
  </w:style>
  <w:style w:type="table" w:styleId="MediumGrid3-Accent1">
    <w:name w:val="Medium Grid 3 Accent 1"/>
    <w:basedOn w:val="TableNormal"/>
    <w:uiPriority w:val="69"/>
    <w:rsid w:val="00D2501C"/>
    <w:rPr>
      <w:rFonts w:asciiTheme="minorHAnsi" w:eastAsiaTheme="minorHAnsi" w:hAnsiTheme="minorHAnsi" w:cstheme="minorBidi"/>
      <w:sz w:val="22"/>
      <w:szCs w:val="22"/>
      <w:lang w:eastAsia="en-US"/>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AAE1FF"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6EA8"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6EA8"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6EA8"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6EA8"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54C3FF"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54C3FF" w:themeFill="accent1" w:themeFillTint="7F"/>
      </w:tcPr>
    </w:tblStylePr>
  </w:style>
  <w:style w:type="table" w:styleId="LightList-Accent1">
    <w:name w:val="Light List Accent 1"/>
    <w:basedOn w:val="TableNormal"/>
    <w:uiPriority w:val="61"/>
    <w:rsid w:val="0042594D"/>
    <w:tblPr>
      <w:tblStyleRowBandSize w:val="1"/>
      <w:tblStyleColBandSize w:val="1"/>
      <w:tblBorders>
        <w:top w:val="single" w:sz="8" w:space="0" w:color="006EA8" w:themeColor="accent1"/>
        <w:left w:val="single" w:sz="8" w:space="0" w:color="006EA8" w:themeColor="accent1"/>
        <w:bottom w:val="single" w:sz="8" w:space="0" w:color="006EA8" w:themeColor="accent1"/>
        <w:right w:val="single" w:sz="8" w:space="0" w:color="006EA8" w:themeColor="accent1"/>
      </w:tblBorders>
    </w:tblPr>
    <w:tblStylePr w:type="firstRow">
      <w:pPr>
        <w:spacing w:before="0" w:after="0" w:line="240" w:lineRule="auto"/>
      </w:pPr>
      <w:rPr>
        <w:b/>
        <w:bCs/>
        <w:color w:val="FFFFFF" w:themeColor="background1"/>
      </w:rPr>
      <w:tblPr/>
      <w:tcPr>
        <w:shd w:val="clear" w:color="auto" w:fill="006EA8" w:themeFill="accent1"/>
      </w:tcPr>
    </w:tblStylePr>
    <w:tblStylePr w:type="lastRow">
      <w:pPr>
        <w:spacing w:before="0" w:after="0" w:line="240" w:lineRule="auto"/>
      </w:pPr>
      <w:rPr>
        <w:b/>
        <w:bCs/>
      </w:rPr>
      <w:tblPr/>
      <w:tcPr>
        <w:tcBorders>
          <w:top w:val="double" w:sz="6" w:space="0" w:color="006EA8" w:themeColor="accent1"/>
          <w:left w:val="single" w:sz="8" w:space="0" w:color="006EA8" w:themeColor="accent1"/>
          <w:bottom w:val="single" w:sz="8" w:space="0" w:color="006EA8" w:themeColor="accent1"/>
          <w:right w:val="single" w:sz="8" w:space="0" w:color="006EA8" w:themeColor="accent1"/>
        </w:tcBorders>
      </w:tcPr>
    </w:tblStylePr>
    <w:tblStylePr w:type="firstCol">
      <w:rPr>
        <w:b/>
        <w:bCs/>
      </w:rPr>
    </w:tblStylePr>
    <w:tblStylePr w:type="lastCol">
      <w:rPr>
        <w:b/>
        <w:bCs/>
      </w:rPr>
    </w:tblStylePr>
    <w:tblStylePr w:type="band1Vert">
      <w:tblPr/>
      <w:tcPr>
        <w:tcBorders>
          <w:top w:val="single" w:sz="8" w:space="0" w:color="006EA8" w:themeColor="accent1"/>
          <w:left w:val="single" w:sz="8" w:space="0" w:color="006EA8" w:themeColor="accent1"/>
          <w:bottom w:val="single" w:sz="8" w:space="0" w:color="006EA8" w:themeColor="accent1"/>
          <w:right w:val="single" w:sz="8" w:space="0" w:color="006EA8" w:themeColor="accent1"/>
        </w:tcBorders>
      </w:tcPr>
    </w:tblStylePr>
    <w:tblStylePr w:type="band1Horz">
      <w:tblPr/>
      <w:tcPr>
        <w:tcBorders>
          <w:top w:val="single" w:sz="8" w:space="0" w:color="006EA8" w:themeColor="accent1"/>
          <w:left w:val="single" w:sz="8" w:space="0" w:color="006EA8" w:themeColor="accent1"/>
          <w:bottom w:val="single" w:sz="8" w:space="0" w:color="006EA8" w:themeColor="accent1"/>
          <w:right w:val="single" w:sz="8" w:space="0" w:color="006EA8" w:themeColor="accent1"/>
        </w:tcBorders>
      </w:tcPr>
    </w:tblStylePr>
  </w:style>
  <w:style w:type="table" w:styleId="MediumShading2-Accent1">
    <w:name w:val="Medium Shading 2 Accent 1"/>
    <w:basedOn w:val="TableNormal"/>
    <w:uiPriority w:val="64"/>
    <w:rsid w:val="0042594D"/>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6EA8"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6EA8" w:themeFill="accent1"/>
      </w:tcPr>
    </w:tblStylePr>
    <w:tblStylePr w:type="lastCol">
      <w:rPr>
        <w:b/>
        <w:bCs/>
        <w:color w:val="FFFFFF" w:themeColor="background1"/>
      </w:rPr>
      <w:tblPr/>
      <w:tcPr>
        <w:tcBorders>
          <w:left w:val="nil"/>
          <w:right w:val="nil"/>
          <w:insideH w:val="nil"/>
          <w:insideV w:val="nil"/>
        </w:tcBorders>
        <w:shd w:val="clear" w:color="auto" w:fill="006EA8"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styleId="NormalWeb">
    <w:name w:val="Normal (Web)"/>
    <w:basedOn w:val="Normal"/>
    <w:uiPriority w:val="99"/>
    <w:semiHidden/>
    <w:unhideWhenUsed/>
    <w:rsid w:val="0045563A"/>
    <w:pPr>
      <w:spacing w:before="100" w:beforeAutospacing="1" w:after="100" w:afterAutospacing="1" w:line="240" w:lineRule="auto"/>
    </w:pPr>
    <w:rPr>
      <w:rFonts w:ascii="Times New Roman" w:eastAsia="Times New Roman" w:hAnsi="Times New Roman"/>
      <w:sz w:val="24"/>
      <w:szCs w:val="24"/>
      <w:lang w:eastAsia="en-AU"/>
    </w:rPr>
  </w:style>
  <w:style w:type="paragraph" w:styleId="Revision">
    <w:name w:val="Revision"/>
    <w:hidden/>
    <w:uiPriority w:val="99"/>
    <w:semiHidden/>
    <w:rsid w:val="00066EBF"/>
    <w:rPr>
      <w:sz w:val="22"/>
      <w:lang w:eastAsia="en-US"/>
    </w:rPr>
  </w:style>
  <w:style w:type="paragraph" w:customStyle="1" w:styleId="Cambria">
    <w:name w:val="Cambria"/>
    <w:basedOn w:val="ListParagraph"/>
    <w:link w:val="CambriaChar"/>
    <w:qFormat/>
    <w:rsid w:val="00053446"/>
    <w:pPr>
      <w:spacing w:line="240" w:lineRule="auto"/>
      <w:ind w:left="426"/>
    </w:pPr>
  </w:style>
  <w:style w:type="character" w:customStyle="1" w:styleId="CambriaChar">
    <w:name w:val="Cambria Char"/>
    <w:basedOn w:val="DefaultParagraphFont"/>
    <w:link w:val="Cambria"/>
    <w:rsid w:val="00053446"/>
    <w:rPr>
      <w:rFonts w:asciiTheme="minorHAnsi" w:hAnsiTheme="minorHAnsi" w:cstheme="minorBidi"/>
      <w:sz w:val="22"/>
      <w:szCs w:val="22"/>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mbria" w:eastAsia="Cambria" w:hAnsi="Cambria" w:cs="Times New Roman"/>
        <w:lang w:val="en-AU" w:eastAsia="en-A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9" w:unhideWhenUsed="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nhideWhenUsed="0"/>
    <w:lsdException w:name="footer" w:semiHidden="0" w:unhideWhenUsed="0"/>
    <w:lsdException w:name="caption" w:semiHidden="0" w:uiPriority="35" w:unhideWhenUsed="0"/>
    <w:lsdException w:name="footnote reference" w:uiPriority="0"/>
    <w:lsdException w:name="endnote text" w:uiPriority="0"/>
    <w:lsdException w:name="List Bullet" w:semiHidden="0" w:uiPriority="0" w:unhideWhenUsed="0" w:qFormat="1"/>
    <w:lsdException w:name="List Bullet 2" w:semiHidden="0" w:uiPriority="0" w:unhideWhenUsed="0" w:qFormat="1"/>
    <w:lsdException w:name="List Bullet 3" w:qFormat="1"/>
    <w:lsdException w:name="Title" w:semiHidden="0" w:uiPriority="10" w:unhideWhenUsed="0"/>
    <w:lsdException w:name="Default Paragraph Font" w:uiPriority="1"/>
    <w:lsdException w:name="Subtitle" w:semiHidden="0" w:uiPriority="11" w:unhideWhenUsed="0"/>
    <w:lsdException w:name="Date" w:semiHidden="0" w:unhideWhenUsed="0"/>
    <w:lsdException w:name="FollowedHyperlink" w:uiPriority="0"/>
    <w:lsdException w:name="Strong" w:semiHidden="0" w:uiPriority="22" w:unhideWhenUsed="0"/>
    <w:lsdException w:name="Emphasis" w:semiHidden="0" w:uiPriority="20" w:unhideWhenUsed="0"/>
    <w:lsdException w:name="Table Grid" w:semiHidden="0" w:uiPriority="5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qFormat/>
    <w:rsid w:val="00FB59CE"/>
    <w:pPr>
      <w:spacing w:before="120" w:after="180" w:line="240" w:lineRule="atLeast"/>
    </w:pPr>
    <w:rPr>
      <w:sz w:val="22"/>
      <w:lang w:eastAsia="en-US"/>
    </w:rPr>
  </w:style>
  <w:style w:type="paragraph" w:styleId="Heading1">
    <w:name w:val="heading 1"/>
    <w:basedOn w:val="Normal"/>
    <w:next w:val="Normal"/>
    <w:link w:val="Heading1Char"/>
    <w:rsid w:val="00EE1482"/>
    <w:pPr>
      <w:keepNext/>
      <w:keepLines/>
      <w:spacing w:before="360" w:after="240"/>
      <w:outlineLvl w:val="0"/>
    </w:pPr>
    <w:rPr>
      <w:rFonts w:ascii="Arial" w:eastAsia="Times New Roman" w:hAnsi="Arial"/>
      <w:b/>
      <w:bCs/>
      <w:sz w:val="48"/>
      <w:szCs w:val="48"/>
    </w:rPr>
  </w:style>
  <w:style w:type="paragraph" w:styleId="Heading2">
    <w:name w:val="heading 2"/>
    <w:basedOn w:val="Normal"/>
    <w:next w:val="Normal"/>
    <w:link w:val="Heading2Char"/>
    <w:qFormat/>
    <w:rsid w:val="00EE1482"/>
    <w:pPr>
      <w:keepNext/>
      <w:keepLines/>
      <w:spacing w:before="480" w:after="120"/>
      <w:outlineLvl w:val="1"/>
    </w:pPr>
    <w:rPr>
      <w:rFonts w:ascii="Arial" w:eastAsia="Times New Roman" w:hAnsi="Arial"/>
      <w:b/>
      <w:bCs/>
      <w:sz w:val="38"/>
      <w:szCs w:val="38"/>
    </w:rPr>
  </w:style>
  <w:style w:type="paragraph" w:styleId="Heading3">
    <w:name w:val="heading 3"/>
    <w:basedOn w:val="Normal"/>
    <w:next w:val="Normal"/>
    <w:link w:val="Heading3Char"/>
    <w:qFormat/>
    <w:rsid w:val="00EE1482"/>
    <w:pPr>
      <w:keepNext/>
      <w:keepLines/>
      <w:spacing w:before="480" w:after="120"/>
      <w:outlineLvl w:val="2"/>
    </w:pPr>
    <w:rPr>
      <w:rFonts w:ascii="Arial" w:eastAsia="Times New Roman" w:hAnsi="Arial"/>
      <w:b/>
      <w:bCs/>
      <w:sz w:val="32"/>
      <w:szCs w:val="32"/>
    </w:rPr>
  </w:style>
  <w:style w:type="paragraph" w:styleId="Heading4">
    <w:name w:val="heading 4"/>
    <w:basedOn w:val="Normal"/>
    <w:next w:val="Normal"/>
    <w:link w:val="Heading4Char"/>
    <w:qFormat/>
    <w:rsid w:val="00EE1482"/>
    <w:pPr>
      <w:keepNext/>
      <w:keepLines/>
      <w:spacing w:before="360" w:after="120"/>
      <w:outlineLvl w:val="3"/>
    </w:pPr>
    <w:rPr>
      <w:rFonts w:ascii="Arial" w:hAnsi="Arial"/>
      <w:b/>
      <w:bCs/>
      <w:sz w:val="26"/>
      <w:szCs w:val="26"/>
    </w:rPr>
  </w:style>
  <w:style w:type="paragraph" w:styleId="Heading5">
    <w:name w:val="heading 5"/>
    <w:basedOn w:val="Normal"/>
    <w:next w:val="Normal"/>
    <w:link w:val="Heading5Char"/>
    <w:uiPriority w:val="9"/>
    <w:rsid w:val="00EE1482"/>
    <w:pPr>
      <w:keepNext/>
      <w:keepLines/>
      <w:spacing w:before="240" w:after="120"/>
      <w:outlineLvl w:val="4"/>
    </w:pPr>
    <w:rPr>
      <w:rFonts w:eastAsia="Times New Roman"/>
      <w:b/>
      <w:bCs/>
      <w:color w:val="001523"/>
      <w:sz w:val="26"/>
      <w:szCs w:val="26"/>
    </w:rPr>
  </w:style>
  <w:style w:type="paragraph" w:styleId="Heading6">
    <w:name w:val="heading 6"/>
    <w:basedOn w:val="Normal"/>
    <w:next w:val="Normal"/>
    <w:link w:val="Heading6Char"/>
    <w:uiPriority w:val="9"/>
    <w:rsid w:val="00EE1482"/>
    <w:pPr>
      <w:keepNext/>
      <w:keepLines/>
      <w:spacing w:before="240" w:after="120"/>
      <w:outlineLvl w:val="5"/>
    </w:pPr>
    <w:rPr>
      <w:rFonts w:eastAsia="Times New Roman"/>
      <w:b/>
      <w:bCs/>
      <w:i/>
      <w:szCs w:val="21"/>
    </w:rPr>
  </w:style>
  <w:style w:type="paragraph" w:styleId="Heading7">
    <w:name w:val="heading 7"/>
    <w:basedOn w:val="Normal"/>
    <w:next w:val="Normal"/>
    <w:link w:val="Heading7Char"/>
    <w:uiPriority w:val="9"/>
    <w:rsid w:val="00EE1482"/>
    <w:pPr>
      <w:keepNext/>
      <w:keepLines/>
      <w:spacing w:before="240" w:after="60" w:line="180" w:lineRule="atLeast"/>
      <w:outlineLvl w:val="6"/>
    </w:pPr>
    <w:rPr>
      <w:rFonts w:eastAsia="Times New Roman"/>
      <w:bCs/>
      <w:i/>
      <w:szCs w:val="2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2B0C2E"/>
    <w:rPr>
      <w:rFonts w:ascii="Arial" w:eastAsia="Times New Roman" w:hAnsi="Arial"/>
      <w:b/>
      <w:bCs/>
      <w:sz w:val="48"/>
      <w:szCs w:val="48"/>
      <w:lang w:eastAsia="en-US"/>
    </w:rPr>
  </w:style>
  <w:style w:type="character" w:customStyle="1" w:styleId="Heading2Char">
    <w:name w:val="Heading 2 Char"/>
    <w:basedOn w:val="DefaultParagraphFont"/>
    <w:link w:val="Heading2"/>
    <w:rsid w:val="000C5A31"/>
    <w:rPr>
      <w:rFonts w:ascii="Arial" w:eastAsia="Times New Roman" w:hAnsi="Arial"/>
      <w:b/>
      <w:bCs/>
      <w:sz w:val="38"/>
      <w:szCs w:val="38"/>
      <w:lang w:eastAsia="en-US"/>
    </w:rPr>
  </w:style>
  <w:style w:type="character" w:customStyle="1" w:styleId="Heading3Char">
    <w:name w:val="Heading 3 Char"/>
    <w:basedOn w:val="DefaultParagraphFont"/>
    <w:link w:val="Heading3"/>
    <w:rsid w:val="002B0C2E"/>
    <w:rPr>
      <w:rFonts w:ascii="Arial" w:eastAsia="Times New Roman" w:hAnsi="Arial"/>
      <w:b/>
      <w:bCs/>
      <w:sz w:val="32"/>
      <w:szCs w:val="32"/>
      <w:lang w:eastAsia="en-US"/>
    </w:rPr>
  </w:style>
  <w:style w:type="paragraph" w:customStyle="1" w:styleId="Address">
    <w:name w:val="Address"/>
    <w:basedOn w:val="Normal"/>
    <w:rsid w:val="00140FE3"/>
    <w:pPr>
      <w:spacing w:before="0" w:after="0" w:line="240" w:lineRule="auto"/>
    </w:pPr>
    <w:rPr>
      <w:sz w:val="21"/>
    </w:rPr>
  </w:style>
  <w:style w:type="paragraph" w:styleId="DocumentMap">
    <w:name w:val="Document Map"/>
    <w:basedOn w:val="Normal"/>
    <w:link w:val="DocumentMapChar"/>
    <w:uiPriority w:val="99"/>
    <w:semiHidden/>
    <w:unhideWhenUsed/>
    <w:rsid w:val="00FB59CE"/>
    <w:pPr>
      <w:spacing w:before="0" w:after="0" w:line="240" w:lineRule="auto"/>
    </w:pPr>
    <w:rPr>
      <w:rFonts w:ascii="Tahoma" w:hAnsi="Tahoma" w:cs="Tahoma"/>
      <w:sz w:val="16"/>
      <w:szCs w:val="16"/>
    </w:rPr>
  </w:style>
  <w:style w:type="character" w:customStyle="1" w:styleId="DocumentMapChar">
    <w:name w:val="Document Map Char"/>
    <w:basedOn w:val="DefaultParagraphFont"/>
    <w:link w:val="DocumentMap"/>
    <w:uiPriority w:val="99"/>
    <w:semiHidden/>
    <w:rsid w:val="00FB59CE"/>
    <w:rPr>
      <w:rFonts w:ascii="Tahoma" w:hAnsi="Tahoma" w:cs="Tahoma"/>
      <w:sz w:val="16"/>
      <w:szCs w:val="16"/>
      <w:lang w:eastAsia="en-US"/>
    </w:rPr>
  </w:style>
  <w:style w:type="paragraph" w:styleId="BalloonText">
    <w:name w:val="Balloon Text"/>
    <w:basedOn w:val="Normal"/>
    <w:link w:val="BalloonTextChar"/>
    <w:uiPriority w:val="99"/>
    <w:semiHidden/>
    <w:unhideWhenUsed/>
    <w:rsid w:val="00F3148D"/>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F3148D"/>
    <w:rPr>
      <w:rFonts w:ascii="Tahoma" w:hAnsi="Tahoma" w:cs="Tahoma"/>
      <w:sz w:val="16"/>
      <w:szCs w:val="16"/>
    </w:rPr>
  </w:style>
  <w:style w:type="paragraph" w:styleId="TOC4">
    <w:name w:val="toc 4"/>
    <w:basedOn w:val="Normal"/>
    <w:next w:val="Normal"/>
    <w:autoRedefine/>
    <w:uiPriority w:val="39"/>
    <w:semiHidden/>
    <w:unhideWhenUsed/>
    <w:rsid w:val="008A07FF"/>
    <w:pPr>
      <w:tabs>
        <w:tab w:val="right" w:leader="hyphen" w:pos="8505"/>
      </w:tabs>
      <w:spacing w:after="100"/>
      <w:ind w:left="1276"/>
    </w:pPr>
  </w:style>
  <w:style w:type="paragraph" w:styleId="TOC5">
    <w:name w:val="toc 5"/>
    <w:basedOn w:val="Normal"/>
    <w:next w:val="Normal"/>
    <w:autoRedefine/>
    <w:uiPriority w:val="39"/>
    <w:semiHidden/>
    <w:unhideWhenUsed/>
    <w:rsid w:val="008A07FF"/>
    <w:pPr>
      <w:tabs>
        <w:tab w:val="right" w:leader="dot" w:pos="8505"/>
      </w:tabs>
      <w:spacing w:after="100"/>
      <w:ind w:left="1701"/>
    </w:pPr>
    <w:rPr>
      <w:noProof/>
    </w:rPr>
  </w:style>
  <w:style w:type="paragraph" w:styleId="Date">
    <w:name w:val="Date"/>
    <w:basedOn w:val="Normal"/>
    <w:link w:val="DateChar"/>
    <w:uiPriority w:val="99"/>
    <w:rsid w:val="00BB0B55"/>
    <w:pPr>
      <w:spacing w:before="0" w:after="0" w:line="240" w:lineRule="auto"/>
    </w:pPr>
    <w:rPr>
      <w:rFonts w:ascii="Arial" w:hAnsi="Arial"/>
      <w:sz w:val="28"/>
    </w:rPr>
  </w:style>
  <w:style w:type="character" w:customStyle="1" w:styleId="DateChar">
    <w:name w:val="Date Char"/>
    <w:basedOn w:val="DefaultParagraphFont"/>
    <w:link w:val="Date"/>
    <w:uiPriority w:val="99"/>
    <w:rsid w:val="00BB0B55"/>
    <w:rPr>
      <w:rFonts w:ascii="Arial" w:hAnsi="Arial"/>
      <w:sz w:val="28"/>
      <w:lang w:eastAsia="en-US"/>
    </w:rPr>
  </w:style>
  <w:style w:type="paragraph" w:styleId="TOC6">
    <w:name w:val="toc 6"/>
    <w:basedOn w:val="Normal"/>
    <w:next w:val="Normal"/>
    <w:autoRedefine/>
    <w:uiPriority w:val="39"/>
    <w:semiHidden/>
    <w:unhideWhenUsed/>
    <w:rsid w:val="008A07FF"/>
    <w:pPr>
      <w:tabs>
        <w:tab w:val="right" w:pos="8505"/>
      </w:tabs>
      <w:spacing w:after="100"/>
      <w:ind w:left="2126"/>
    </w:pPr>
  </w:style>
  <w:style w:type="paragraph" w:styleId="TOC7">
    <w:name w:val="toc 7"/>
    <w:basedOn w:val="Normal"/>
    <w:next w:val="Normal"/>
    <w:autoRedefine/>
    <w:uiPriority w:val="39"/>
    <w:semiHidden/>
    <w:unhideWhenUsed/>
    <w:rsid w:val="008A07FF"/>
    <w:pPr>
      <w:spacing w:after="100"/>
      <w:ind w:left="2211"/>
    </w:pPr>
  </w:style>
  <w:style w:type="character" w:customStyle="1" w:styleId="Heading4Char">
    <w:name w:val="Heading 4 Char"/>
    <w:basedOn w:val="DefaultParagraphFont"/>
    <w:link w:val="Heading4"/>
    <w:rsid w:val="00C339C6"/>
    <w:rPr>
      <w:rFonts w:ascii="Arial" w:hAnsi="Arial"/>
      <w:b/>
      <w:bCs/>
      <w:sz w:val="26"/>
      <w:szCs w:val="26"/>
      <w:lang w:eastAsia="en-US"/>
    </w:rPr>
  </w:style>
  <w:style w:type="character" w:styleId="FollowedHyperlink">
    <w:name w:val="FollowedHyperlink"/>
    <w:basedOn w:val="DefaultParagraphFont"/>
    <w:semiHidden/>
    <w:unhideWhenUsed/>
    <w:rsid w:val="00EE1482"/>
    <w:rPr>
      <w:color w:val="800080"/>
      <w:u w:val="single"/>
    </w:rPr>
  </w:style>
  <w:style w:type="paragraph" w:styleId="Footer">
    <w:name w:val="footer"/>
    <w:basedOn w:val="Normal"/>
    <w:link w:val="FooterChar"/>
    <w:uiPriority w:val="99"/>
    <w:rsid w:val="00EE1482"/>
    <w:pPr>
      <w:tabs>
        <w:tab w:val="center" w:pos="4513"/>
        <w:tab w:val="right" w:pos="9026"/>
      </w:tabs>
      <w:spacing w:before="0" w:after="0" w:line="240" w:lineRule="auto"/>
    </w:pPr>
    <w:rPr>
      <w:sz w:val="17"/>
    </w:rPr>
  </w:style>
  <w:style w:type="character" w:customStyle="1" w:styleId="FooterChar">
    <w:name w:val="Footer Char"/>
    <w:basedOn w:val="DefaultParagraphFont"/>
    <w:link w:val="Footer"/>
    <w:uiPriority w:val="99"/>
    <w:rsid w:val="00257138"/>
    <w:rPr>
      <w:sz w:val="17"/>
      <w:lang w:eastAsia="en-US"/>
    </w:rPr>
  </w:style>
  <w:style w:type="paragraph" w:styleId="Header">
    <w:name w:val="header"/>
    <w:basedOn w:val="Normal"/>
    <w:link w:val="HeaderChar"/>
    <w:uiPriority w:val="99"/>
    <w:rsid w:val="00EE1482"/>
    <w:pPr>
      <w:pBdr>
        <w:bottom w:val="single" w:sz="4" w:space="3" w:color="auto"/>
      </w:pBdr>
      <w:tabs>
        <w:tab w:val="center" w:pos="4513"/>
        <w:tab w:val="right" w:pos="9026"/>
      </w:tabs>
      <w:spacing w:before="0" w:after="0" w:line="240" w:lineRule="auto"/>
      <w:jc w:val="right"/>
    </w:pPr>
    <w:rPr>
      <w:sz w:val="17"/>
    </w:rPr>
  </w:style>
  <w:style w:type="character" w:customStyle="1" w:styleId="HeaderChar">
    <w:name w:val="Header Char"/>
    <w:basedOn w:val="DefaultParagraphFont"/>
    <w:link w:val="Header"/>
    <w:uiPriority w:val="99"/>
    <w:rsid w:val="00F3148D"/>
    <w:rPr>
      <w:sz w:val="17"/>
      <w:lang w:eastAsia="en-US"/>
    </w:rPr>
  </w:style>
  <w:style w:type="paragraph" w:customStyle="1" w:styleId="HeaderNoLine">
    <w:name w:val="Header No Line"/>
    <w:basedOn w:val="Header"/>
    <w:rsid w:val="002B0C2E"/>
    <w:pPr>
      <w:pBdr>
        <w:bottom w:val="none" w:sz="0" w:space="0" w:color="auto"/>
      </w:pBdr>
    </w:pPr>
  </w:style>
  <w:style w:type="character" w:customStyle="1" w:styleId="Heading5Char">
    <w:name w:val="Heading 5 Char"/>
    <w:basedOn w:val="DefaultParagraphFont"/>
    <w:link w:val="Heading5"/>
    <w:uiPriority w:val="9"/>
    <w:rsid w:val="00C339C6"/>
    <w:rPr>
      <w:rFonts w:eastAsia="Times New Roman"/>
      <w:b/>
      <w:bCs/>
      <w:color w:val="001523"/>
      <w:sz w:val="26"/>
      <w:szCs w:val="26"/>
      <w:lang w:eastAsia="en-US"/>
    </w:rPr>
  </w:style>
  <w:style w:type="character" w:customStyle="1" w:styleId="Heading6Char">
    <w:name w:val="Heading 6 Char"/>
    <w:basedOn w:val="DefaultParagraphFont"/>
    <w:link w:val="Heading6"/>
    <w:uiPriority w:val="9"/>
    <w:rsid w:val="00C339C6"/>
    <w:rPr>
      <w:rFonts w:eastAsia="Times New Roman"/>
      <w:b/>
      <w:bCs/>
      <w:i/>
      <w:sz w:val="22"/>
      <w:szCs w:val="21"/>
      <w:lang w:eastAsia="en-US"/>
    </w:rPr>
  </w:style>
  <w:style w:type="character" w:customStyle="1" w:styleId="Heading7Char">
    <w:name w:val="Heading 7 Char"/>
    <w:basedOn w:val="DefaultParagraphFont"/>
    <w:link w:val="Heading7"/>
    <w:uiPriority w:val="9"/>
    <w:rsid w:val="00C339C6"/>
    <w:rPr>
      <w:rFonts w:eastAsia="Times New Roman"/>
      <w:bCs/>
      <w:i/>
      <w:sz w:val="22"/>
      <w:szCs w:val="22"/>
      <w:lang w:eastAsia="en-US"/>
    </w:rPr>
  </w:style>
  <w:style w:type="character" w:styleId="Hyperlink">
    <w:name w:val="Hyperlink"/>
    <w:basedOn w:val="DefaultParagraphFont"/>
    <w:uiPriority w:val="99"/>
    <w:unhideWhenUsed/>
    <w:rsid w:val="00EE1482"/>
    <w:rPr>
      <w:color w:val="0000FF"/>
      <w:u w:val="single"/>
    </w:rPr>
  </w:style>
  <w:style w:type="paragraph" w:customStyle="1" w:styleId="LegalCopy">
    <w:name w:val="Legal Copy"/>
    <w:basedOn w:val="Footer"/>
    <w:rsid w:val="008855B8"/>
    <w:pPr>
      <w:spacing w:after="180"/>
    </w:pPr>
  </w:style>
  <w:style w:type="paragraph" w:customStyle="1" w:styleId="LegalSubheading">
    <w:name w:val="Legal Subheading"/>
    <w:basedOn w:val="Footer"/>
    <w:rsid w:val="004634F1"/>
    <w:pPr>
      <w:spacing w:before="120"/>
    </w:pPr>
    <w:rPr>
      <w:b/>
    </w:rPr>
  </w:style>
  <w:style w:type="table" w:styleId="LightShading-Accent2">
    <w:name w:val="Light Shading Accent 2"/>
    <w:basedOn w:val="TableNormal"/>
    <w:uiPriority w:val="60"/>
    <w:rsid w:val="00F3148D"/>
    <w:rPr>
      <w:rFonts w:eastAsia="Calibri"/>
      <w:color w:val="943634"/>
      <w:sz w:val="21"/>
      <w:szCs w:val="21"/>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paragraph" w:styleId="ListBullet">
    <w:name w:val="List Bullet"/>
    <w:basedOn w:val="Normal"/>
    <w:uiPriority w:val="1"/>
    <w:qFormat/>
    <w:rsid w:val="00BB0B55"/>
    <w:pPr>
      <w:numPr>
        <w:numId w:val="3"/>
      </w:numPr>
    </w:pPr>
    <w:rPr>
      <w:lang w:val="en-US"/>
    </w:rPr>
  </w:style>
  <w:style w:type="paragraph" w:styleId="ListBullet2">
    <w:name w:val="List Bullet 2"/>
    <w:basedOn w:val="Normal"/>
    <w:uiPriority w:val="1"/>
    <w:qFormat/>
    <w:rsid w:val="004B5A6B"/>
    <w:pPr>
      <w:numPr>
        <w:ilvl w:val="1"/>
        <w:numId w:val="3"/>
      </w:numPr>
      <w:ind w:left="850" w:hanging="425"/>
    </w:pPr>
  </w:style>
  <w:style w:type="paragraph" w:styleId="ListBullet3">
    <w:name w:val="List Bullet 3"/>
    <w:basedOn w:val="Normal"/>
    <w:uiPriority w:val="99"/>
    <w:qFormat/>
    <w:rsid w:val="004B5A6B"/>
    <w:pPr>
      <w:numPr>
        <w:ilvl w:val="2"/>
        <w:numId w:val="3"/>
      </w:numPr>
      <w:ind w:left="1276" w:hanging="425"/>
    </w:pPr>
  </w:style>
  <w:style w:type="numbering" w:customStyle="1" w:styleId="ListBullets">
    <w:name w:val="ListBullets"/>
    <w:uiPriority w:val="99"/>
    <w:locked/>
    <w:rsid w:val="00F3148D"/>
    <w:pPr>
      <w:numPr>
        <w:numId w:val="1"/>
      </w:numPr>
    </w:pPr>
  </w:style>
  <w:style w:type="table" w:styleId="MediumGrid2-Accent5">
    <w:name w:val="Medium Grid 2 Accent 5"/>
    <w:basedOn w:val="TableNormal"/>
    <w:uiPriority w:val="68"/>
    <w:rsid w:val="00F3148D"/>
    <w:rPr>
      <w:rFonts w:eastAsia="Times New Roman"/>
      <w:color w:val="000000"/>
      <w:sz w:val="21"/>
      <w:szCs w:val="21"/>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cPr>
      <w:shd w:val="clear" w:color="auto" w:fill="D2EAF1"/>
    </w:tcPr>
    <w:tblStylePr w:type="firstRow">
      <w:rPr>
        <w:b/>
        <w:bCs/>
        <w:color w:val="000000"/>
      </w:rPr>
      <w:tblPr/>
      <w:tcPr>
        <w:shd w:val="clear" w:color="auto" w:fill="EDF6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AEEF3"/>
      </w:tcPr>
    </w:tblStylePr>
    <w:tblStylePr w:type="band1Vert">
      <w:tblPr/>
      <w:tcPr>
        <w:shd w:val="clear" w:color="auto" w:fill="A5D5E2"/>
      </w:tcPr>
    </w:tblStylePr>
    <w:tblStylePr w:type="band1Horz">
      <w:tblPr/>
      <w:tcPr>
        <w:tcBorders>
          <w:insideH w:val="single" w:sz="6" w:space="0" w:color="4BACC6"/>
          <w:insideV w:val="single" w:sz="6" w:space="0" w:color="4BACC6"/>
        </w:tcBorders>
        <w:shd w:val="clear" w:color="auto" w:fill="A5D5E2"/>
      </w:tcPr>
    </w:tblStylePr>
    <w:tblStylePr w:type="nwCell">
      <w:tblPr/>
      <w:tcPr>
        <w:shd w:val="clear" w:color="auto" w:fill="FFFFFF"/>
      </w:tcPr>
    </w:tblStylePr>
  </w:style>
  <w:style w:type="paragraph" w:customStyle="1" w:styleId="Numberbullet0">
    <w:name w:val="Number bullet"/>
    <w:basedOn w:val="ListBullet"/>
    <w:uiPriority w:val="2"/>
    <w:qFormat/>
    <w:rsid w:val="00EE1482"/>
    <w:pPr>
      <w:numPr>
        <w:numId w:val="4"/>
      </w:numPr>
    </w:pPr>
  </w:style>
  <w:style w:type="paragraph" w:customStyle="1" w:styleId="Numberbullet2">
    <w:name w:val="Number bullet 2"/>
    <w:basedOn w:val="ListBullet2"/>
    <w:uiPriority w:val="2"/>
    <w:qFormat/>
    <w:rsid w:val="00EE1482"/>
    <w:pPr>
      <w:numPr>
        <w:numId w:val="4"/>
      </w:numPr>
    </w:pPr>
  </w:style>
  <w:style w:type="paragraph" w:customStyle="1" w:styleId="Numberbullet3">
    <w:name w:val="Number bullet 3"/>
    <w:basedOn w:val="ListBullet3"/>
    <w:uiPriority w:val="2"/>
    <w:qFormat/>
    <w:rsid w:val="00EE1482"/>
    <w:pPr>
      <w:numPr>
        <w:numId w:val="4"/>
      </w:numPr>
    </w:pPr>
  </w:style>
  <w:style w:type="numbering" w:customStyle="1" w:styleId="NumberBullet">
    <w:name w:val="NumberBullet"/>
    <w:uiPriority w:val="99"/>
    <w:locked/>
    <w:rsid w:val="00F3148D"/>
    <w:pPr>
      <w:numPr>
        <w:numId w:val="2"/>
      </w:numPr>
    </w:pPr>
  </w:style>
  <w:style w:type="character" w:styleId="PlaceholderText">
    <w:name w:val="Placeholder Text"/>
    <w:basedOn w:val="DefaultParagraphFont"/>
    <w:uiPriority w:val="99"/>
    <w:semiHidden/>
    <w:rsid w:val="00F3148D"/>
    <w:rPr>
      <w:color w:val="808080"/>
    </w:rPr>
  </w:style>
  <w:style w:type="paragraph" w:customStyle="1" w:styleId="Reference">
    <w:name w:val="Reference"/>
    <w:basedOn w:val="Normal"/>
    <w:rsid w:val="00EE1482"/>
    <w:pPr>
      <w:spacing w:before="40" w:after="0"/>
      <w:ind w:left="170" w:hanging="170"/>
    </w:pPr>
    <w:rPr>
      <w:sz w:val="19"/>
    </w:rPr>
  </w:style>
  <w:style w:type="paragraph" w:styleId="Subtitle">
    <w:name w:val="Subtitle"/>
    <w:basedOn w:val="Normal"/>
    <w:link w:val="SubtitleChar"/>
    <w:uiPriority w:val="11"/>
    <w:rsid w:val="0054583D"/>
    <w:pPr>
      <w:numPr>
        <w:ilvl w:val="1"/>
      </w:numPr>
      <w:spacing w:before="0" w:after="0"/>
      <w:ind w:left="170"/>
    </w:pPr>
    <w:rPr>
      <w:rFonts w:ascii="Arial" w:eastAsia="Times New Roman" w:hAnsi="Arial"/>
      <w:bCs/>
      <w:iCs/>
      <w:color w:val="006DA7"/>
      <w:sz w:val="40"/>
      <w:szCs w:val="24"/>
    </w:rPr>
  </w:style>
  <w:style w:type="character" w:customStyle="1" w:styleId="SubtitleChar">
    <w:name w:val="Subtitle Char"/>
    <w:basedOn w:val="DefaultParagraphFont"/>
    <w:link w:val="Subtitle"/>
    <w:uiPriority w:val="11"/>
    <w:rsid w:val="0054583D"/>
    <w:rPr>
      <w:rFonts w:ascii="Arial" w:eastAsia="Times New Roman" w:hAnsi="Arial"/>
      <w:bCs/>
      <w:iCs/>
      <w:color w:val="006DA7"/>
      <w:sz w:val="40"/>
      <w:szCs w:val="24"/>
      <w:lang w:eastAsia="en-US"/>
    </w:rPr>
  </w:style>
  <w:style w:type="paragraph" w:styleId="EndnoteText">
    <w:name w:val="endnote text"/>
    <w:basedOn w:val="FootnoteText"/>
    <w:link w:val="EndnoteTextChar"/>
    <w:semiHidden/>
    <w:unhideWhenUsed/>
    <w:rsid w:val="00594D03"/>
    <w:rPr>
      <w:rFonts w:asciiTheme="minorHAnsi" w:hAnsiTheme="minorHAnsi" w:cstheme="minorBidi"/>
      <w:szCs w:val="22"/>
    </w:rPr>
  </w:style>
  <w:style w:type="table" w:styleId="TableGrid">
    <w:name w:val="Table Grid"/>
    <w:basedOn w:val="TableNormal"/>
    <w:uiPriority w:val="59"/>
    <w:rsid w:val="00F3148D"/>
    <w:rPr>
      <w:sz w:val="21"/>
      <w:szCs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TGAblue">
    <w:name w:val="Table TGA blue"/>
    <w:basedOn w:val="TableNormal"/>
    <w:uiPriority w:val="99"/>
    <w:qFormat/>
    <w:rsid w:val="002303B0"/>
    <w:rPr>
      <w:color w:val="000000"/>
      <w:sz w:val="22"/>
      <w:szCs w:val="21"/>
    </w:rPr>
    <w:tblPr>
      <w:tblBorders>
        <w:top w:val="single" w:sz="8" w:space="0" w:color="002C47"/>
        <w:left w:val="single" w:sz="8" w:space="0" w:color="002C47"/>
        <w:bottom w:val="single" w:sz="8" w:space="0" w:color="002C47"/>
        <w:right w:val="single" w:sz="8" w:space="0" w:color="002C47"/>
        <w:insideH w:val="single" w:sz="8" w:space="0" w:color="002C47"/>
        <w:insideV w:val="single" w:sz="8" w:space="0" w:color="002C47"/>
      </w:tblBorders>
    </w:tblPr>
    <w:trPr>
      <w:cantSplit/>
    </w:trPr>
    <w:tcPr>
      <w:shd w:val="clear" w:color="auto" w:fill="auto"/>
    </w:tcPr>
    <w:tblStylePr w:type="firstRow">
      <w:pPr>
        <w:keepNext/>
        <w:wordWrap/>
      </w:pPr>
      <w:rPr>
        <w:rFonts w:ascii="Cambria" w:hAnsi="Cambria"/>
        <w:b/>
        <w:color w:val="FFFFFF"/>
        <w:sz w:val="22"/>
      </w:rPr>
      <w:tblPr/>
      <w:tcPr>
        <w:tcBorders>
          <w:top w:val="single" w:sz="8" w:space="0" w:color="002C47"/>
          <w:left w:val="single" w:sz="8" w:space="0" w:color="002C47"/>
          <w:bottom w:val="single" w:sz="8" w:space="0" w:color="002C47"/>
          <w:right w:val="single" w:sz="8" w:space="0" w:color="002C47"/>
          <w:insideH w:val="nil"/>
          <w:insideV w:val="nil"/>
          <w:tl2br w:val="nil"/>
          <w:tr2bl w:val="nil"/>
        </w:tcBorders>
        <w:shd w:val="clear" w:color="auto" w:fill="006DA7"/>
      </w:tcPr>
    </w:tblStylePr>
    <w:tblStylePr w:type="firstCol">
      <w:pPr>
        <w:keepNext w:val="0"/>
        <w:wordWrap/>
      </w:pPr>
    </w:tblStylePr>
  </w:style>
  <w:style w:type="table" w:customStyle="1" w:styleId="TableTGAblack">
    <w:name w:val="Table TGA black"/>
    <w:basedOn w:val="TableNormal"/>
    <w:uiPriority w:val="99"/>
    <w:rsid w:val="002303B0"/>
    <w:pPr>
      <w:spacing w:before="60"/>
    </w:pPr>
    <w:rPr>
      <w:color w:val="000000"/>
      <w:sz w:val="22"/>
      <w:szCs w:val="21"/>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trPr>
      <w:cantSplit/>
    </w:trPr>
    <w:tcPr>
      <w:shd w:val="clear" w:color="auto" w:fill="auto"/>
    </w:tcPr>
    <w:tblStylePr w:type="firstRow">
      <w:pPr>
        <w:keepNext/>
        <w:wordWrap/>
      </w:pPr>
      <w:rPr>
        <w:rFonts w:ascii="Cambria" w:hAnsi="Cambria"/>
        <w:b/>
        <w:color w:val="FFFFFF"/>
        <w:sz w:val="22"/>
      </w:rPr>
      <w:tblPr/>
      <w:tcPr>
        <w:shd w:val="clear" w:color="auto" w:fill="000000"/>
      </w:tcPr>
    </w:tblStylePr>
    <w:tblStylePr w:type="lastRow">
      <w:rPr>
        <w:b w:val="0"/>
      </w:rPr>
    </w:tblStylePr>
    <w:tblStylePr w:type="firstCol">
      <w:pPr>
        <w:keepNext w:val="0"/>
        <w:wordWrap/>
      </w:pPr>
    </w:tblStylePr>
    <w:tblStylePr w:type="neCell">
      <w:rPr>
        <w:b w:val="0"/>
        <w:i w:val="0"/>
      </w:rPr>
    </w:tblStylePr>
    <w:tblStylePr w:type="nwCell">
      <w:rPr>
        <w:rFonts w:ascii="Cambria" w:hAnsi="Cambria"/>
        <w:b/>
        <w:i w:val="0"/>
        <w:color w:val="FFFFFF"/>
        <w:sz w:val="22"/>
      </w:rPr>
    </w:tblStylePr>
  </w:style>
  <w:style w:type="paragraph" w:customStyle="1" w:styleId="TGASignoff">
    <w:name w:val="TGA Signoff"/>
    <w:basedOn w:val="Normal"/>
    <w:rsid w:val="00F3148D"/>
    <w:pPr>
      <w:jc w:val="center"/>
    </w:pPr>
    <w:rPr>
      <w:rFonts w:ascii="Arial" w:hAnsi="Arial"/>
      <w:b/>
      <w:sz w:val="28"/>
    </w:rPr>
  </w:style>
  <w:style w:type="paragraph" w:styleId="Title">
    <w:name w:val="Title"/>
    <w:link w:val="TitleChar"/>
    <w:uiPriority w:val="10"/>
    <w:rsid w:val="00F3529E"/>
    <w:pPr>
      <w:spacing w:after="120"/>
      <w:contextualSpacing/>
    </w:pPr>
    <w:rPr>
      <w:rFonts w:ascii="Arial" w:eastAsia="Times New Roman" w:hAnsi="Arial"/>
      <w:color w:val="002C47"/>
      <w:spacing w:val="5"/>
      <w:kern w:val="28"/>
      <w:sz w:val="52"/>
      <w:szCs w:val="52"/>
      <w:lang w:eastAsia="en-US"/>
    </w:rPr>
  </w:style>
  <w:style w:type="character" w:customStyle="1" w:styleId="TitleChar">
    <w:name w:val="Title Char"/>
    <w:basedOn w:val="DefaultParagraphFont"/>
    <w:link w:val="Title"/>
    <w:uiPriority w:val="10"/>
    <w:rsid w:val="00F3529E"/>
    <w:rPr>
      <w:rFonts w:ascii="Arial" w:eastAsia="Times New Roman" w:hAnsi="Arial"/>
      <w:color w:val="002C47"/>
      <w:spacing w:val="5"/>
      <w:kern w:val="28"/>
      <w:sz w:val="52"/>
      <w:szCs w:val="52"/>
      <w:lang w:eastAsia="en-US"/>
    </w:rPr>
  </w:style>
  <w:style w:type="paragraph" w:styleId="TOC1">
    <w:name w:val="toc 1"/>
    <w:basedOn w:val="Normal"/>
    <w:next w:val="Normal"/>
    <w:uiPriority w:val="39"/>
    <w:unhideWhenUsed/>
    <w:rsid w:val="00D236D0"/>
    <w:pPr>
      <w:keepNext/>
      <w:keepLines/>
      <w:tabs>
        <w:tab w:val="right" w:leader="underscore" w:pos="8505"/>
      </w:tabs>
      <w:spacing w:after="200"/>
    </w:pPr>
    <w:rPr>
      <w:b/>
      <w:sz w:val="28"/>
    </w:rPr>
  </w:style>
  <w:style w:type="paragraph" w:styleId="TOC2">
    <w:name w:val="toc 2"/>
    <w:basedOn w:val="Normal"/>
    <w:next w:val="Normal"/>
    <w:uiPriority w:val="39"/>
    <w:unhideWhenUsed/>
    <w:rsid w:val="00D236D0"/>
    <w:pPr>
      <w:keepNext/>
      <w:keepLines/>
      <w:tabs>
        <w:tab w:val="right" w:leader="underscore" w:pos="8505"/>
      </w:tabs>
      <w:spacing w:after="100"/>
      <w:ind w:left="425"/>
    </w:pPr>
    <w:rPr>
      <w:b/>
      <w:sz w:val="24"/>
    </w:rPr>
  </w:style>
  <w:style w:type="paragraph" w:styleId="TOC3">
    <w:name w:val="toc 3"/>
    <w:basedOn w:val="Normal"/>
    <w:next w:val="Normal"/>
    <w:uiPriority w:val="39"/>
    <w:unhideWhenUsed/>
    <w:rsid w:val="008A07FF"/>
    <w:pPr>
      <w:keepNext/>
      <w:keepLines/>
      <w:tabs>
        <w:tab w:val="right" w:leader="hyphen" w:pos="8505"/>
      </w:tabs>
      <w:spacing w:after="100"/>
      <w:ind w:left="851"/>
    </w:pPr>
    <w:rPr>
      <w:b/>
    </w:rPr>
  </w:style>
  <w:style w:type="paragraph" w:styleId="TOCHeading">
    <w:name w:val="TOC Heading"/>
    <w:basedOn w:val="Heading1"/>
    <w:next w:val="Normal"/>
    <w:uiPriority w:val="39"/>
    <w:unhideWhenUsed/>
    <w:qFormat/>
    <w:rsid w:val="00F3148D"/>
    <w:pPr>
      <w:spacing w:before="480" w:after="0" w:line="276" w:lineRule="auto"/>
      <w:outlineLvl w:val="9"/>
    </w:pPr>
    <w:rPr>
      <w:color w:val="002035"/>
      <w:sz w:val="28"/>
      <w:lang w:val="en-US"/>
    </w:rPr>
  </w:style>
  <w:style w:type="numbering" w:customStyle="1" w:styleId="NumberBullet1">
    <w:name w:val="NumberBullet1"/>
    <w:uiPriority w:val="99"/>
    <w:rsid w:val="001525B4"/>
  </w:style>
  <w:style w:type="numbering" w:customStyle="1" w:styleId="ListBullets1">
    <w:name w:val="ListBullets1"/>
    <w:uiPriority w:val="99"/>
    <w:rsid w:val="001525B4"/>
  </w:style>
  <w:style w:type="paragraph" w:styleId="FootnoteText">
    <w:name w:val="footnote text"/>
    <w:aliases w:val="(NECG) Footnote Text"/>
    <w:basedOn w:val="Normal"/>
    <w:link w:val="FootnoteTextChar"/>
    <w:uiPriority w:val="99"/>
    <w:rsid w:val="00EE1482"/>
    <w:pPr>
      <w:keepLines/>
      <w:spacing w:before="0" w:after="0"/>
    </w:pPr>
    <w:rPr>
      <w:sz w:val="20"/>
    </w:rPr>
  </w:style>
  <w:style w:type="character" w:customStyle="1" w:styleId="FootnoteTextChar">
    <w:name w:val="Footnote Text Char"/>
    <w:aliases w:val="(NECG) Footnote Text Char"/>
    <w:basedOn w:val="DefaultParagraphFont"/>
    <w:link w:val="FootnoteText"/>
    <w:uiPriority w:val="99"/>
    <w:rsid w:val="001525B4"/>
    <w:rPr>
      <w:lang w:eastAsia="en-US"/>
    </w:rPr>
  </w:style>
  <w:style w:type="character" w:styleId="FootnoteReference">
    <w:name w:val="footnote reference"/>
    <w:aliases w:val="(NECG) Footnote Reference"/>
    <w:basedOn w:val="DefaultParagraphFont"/>
    <w:unhideWhenUsed/>
    <w:rsid w:val="001525B4"/>
    <w:rPr>
      <w:vertAlign w:val="superscript"/>
    </w:rPr>
  </w:style>
  <w:style w:type="character" w:customStyle="1" w:styleId="EndnoteTextChar">
    <w:name w:val="Endnote Text Char"/>
    <w:basedOn w:val="DefaultParagraphFont"/>
    <w:link w:val="EndnoteText"/>
    <w:semiHidden/>
    <w:rsid w:val="0084580B"/>
    <w:rPr>
      <w:rFonts w:asciiTheme="minorHAnsi" w:hAnsiTheme="minorHAnsi" w:cstheme="minorBidi"/>
      <w:szCs w:val="22"/>
      <w:lang w:eastAsia="en-US"/>
    </w:rPr>
  </w:style>
  <w:style w:type="character" w:styleId="EndnoteReference">
    <w:name w:val="endnote reference"/>
    <w:basedOn w:val="DefaultParagraphFont"/>
    <w:uiPriority w:val="99"/>
    <w:semiHidden/>
    <w:unhideWhenUsed/>
    <w:rsid w:val="0084580B"/>
    <w:rPr>
      <w:vertAlign w:val="superscript"/>
    </w:rPr>
  </w:style>
  <w:style w:type="table" w:customStyle="1" w:styleId="LightShading1">
    <w:name w:val="Light Shading1"/>
    <w:basedOn w:val="TableNormal"/>
    <w:uiPriority w:val="60"/>
    <w:rsid w:val="0054583D"/>
    <w:rPr>
      <w:color w:val="002035" w:themeColor="text1" w:themeShade="BF"/>
    </w:rPr>
    <w:tblPr>
      <w:tblStyleRowBandSize w:val="1"/>
      <w:tblStyleColBandSize w:val="1"/>
      <w:tblBorders>
        <w:top w:val="single" w:sz="8" w:space="0" w:color="002C47" w:themeColor="text1"/>
        <w:bottom w:val="single" w:sz="8" w:space="0" w:color="002C47" w:themeColor="text1"/>
      </w:tblBorders>
    </w:tblPr>
    <w:tblStylePr w:type="firstRow">
      <w:pPr>
        <w:spacing w:before="0" w:after="0" w:line="240" w:lineRule="auto"/>
      </w:pPr>
      <w:rPr>
        <w:b/>
        <w:bCs/>
      </w:rPr>
      <w:tblPr/>
      <w:tcPr>
        <w:tcBorders>
          <w:top w:val="single" w:sz="8" w:space="0" w:color="002C47" w:themeColor="text1"/>
          <w:left w:val="nil"/>
          <w:bottom w:val="single" w:sz="8" w:space="0" w:color="002C47" w:themeColor="text1"/>
          <w:right w:val="nil"/>
          <w:insideH w:val="nil"/>
          <w:insideV w:val="nil"/>
        </w:tcBorders>
      </w:tcPr>
    </w:tblStylePr>
    <w:tblStylePr w:type="lastRow">
      <w:pPr>
        <w:spacing w:before="0" w:after="0" w:line="240" w:lineRule="auto"/>
      </w:pPr>
      <w:rPr>
        <w:b/>
        <w:bCs/>
      </w:rPr>
      <w:tblPr/>
      <w:tcPr>
        <w:tcBorders>
          <w:top w:val="single" w:sz="8" w:space="0" w:color="002C47" w:themeColor="text1"/>
          <w:left w:val="nil"/>
          <w:bottom w:val="single" w:sz="8" w:space="0" w:color="002C47"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92D5FF" w:themeFill="text1" w:themeFillTint="3F"/>
      </w:tcPr>
    </w:tblStylePr>
    <w:tblStylePr w:type="band1Horz">
      <w:tblPr/>
      <w:tcPr>
        <w:tcBorders>
          <w:left w:val="nil"/>
          <w:right w:val="nil"/>
          <w:insideH w:val="nil"/>
          <w:insideV w:val="nil"/>
        </w:tcBorders>
        <w:shd w:val="clear" w:color="auto" w:fill="92D5FF" w:themeFill="text1" w:themeFillTint="3F"/>
      </w:tcPr>
    </w:tblStylePr>
  </w:style>
  <w:style w:type="paragraph" w:customStyle="1" w:styleId="NonTOCheading2">
    <w:name w:val="Non TOC heading 2"/>
    <w:basedOn w:val="Normal"/>
    <w:next w:val="Normal"/>
    <w:rsid w:val="00EE1482"/>
    <w:pPr>
      <w:keepNext/>
      <w:keepLines/>
      <w:spacing w:before="360"/>
    </w:pPr>
    <w:rPr>
      <w:rFonts w:ascii="Arial" w:hAnsi="Arial"/>
      <w:b/>
      <w:sz w:val="38"/>
    </w:rPr>
  </w:style>
  <w:style w:type="paragraph" w:customStyle="1" w:styleId="Figuredescription">
    <w:name w:val="Figure description"/>
    <w:basedOn w:val="Normal"/>
    <w:next w:val="Normal"/>
    <w:rsid w:val="00EE1482"/>
    <w:pPr>
      <w:spacing w:after="240" w:line="180" w:lineRule="atLeast"/>
    </w:pPr>
    <w:rPr>
      <w:sz w:val="18"/>
    </w:rPr>
  </w:style>
  <w:style w:type="paragraph" w:customStyle="1" w:styleId="Figuretitle">
    <w:name w:val="Figure title"/>
    <w:basedOn w:val="Normal"/>
    <w:next w:val="Normal"/>
    <w:rsid w:val="00FE1941"/>
    <w:pPr>
      <w:keepNext/>
      <w:keepLines/>
      <w:outlineLvl w:val="4"/>
    </w:pPr>
    <w:rPr>
      <w:b/>
    </w:rPr>
  </w:style>
  <w:style w:type="paragraph" w:customStyle="1" w:styleId="Headernoline0">
    <w:name w:val="Header no line"/>
    <w:basedOn w:val="Header"/>
    <w:rsid w:val="00EE1482"/>
    <w:pPr>
      <w:pBdr>
        <w:bottom w:val="none" w:sz="0" w:space="0" w:color="auto"/>
      </w:pBdr>
      <w:spacing w:line="240" w:lineRule="atLeast"/>
    </w:pPr>
  </w:style>
  <w:style w:type="paragraph" w:customStyle="1" w:styleId="Quotation">
    <w:name w:val="Quotation"/>
    <w:basedOn w:val="Normal"/>
    <w:next w:val="Normal"/>
    <w:uiPriority w:val="3"/>
    <w:qFormat/>
    <w:rsid w:val="00EE1482"/>
    <w:pPr>
      <w:ind w:left="425"/>
    </w:pPr>
    <w:rPr>
      <w:sz w:val="20"/>
    </w:rPr>
  </w:style>
  <w:style w:type="paragraph" w:customStyle="1" w:styleId="Tabledescription">
    <w:name w:val="Table description"/>
    <w:basedOn w:val="Figuredescription"/>
    <w:next w:val="Normal"/>
    <w:rsid w:val="00EE1482"/>
  </w:style>
  <w:style w:type="paragraph" w:customStyle="1" w:styleId="Tabletitle">
    <w:name w:val="Table title"/>
    <w:basedOn w:val="Normal"/>
    <w:next w:val="Normal"/>
    <w:rsid w:val="00EE1482"/>
    <w:pPr>
      <w:keepNext/>
      <w:outlineLvl w:val="4"/>
    </w:pPr>
    <w:rPr>
      <w:b/>
    </w:rPr>
  </w:style>
  <w:style w:type="character" w:styleId="CommentReference">
    <w:name w:val="annotation reference"/>
    <w:basedOn w:val="DefaultParagraphFont"/>
    <w:uiPriority w:val="99"/>
    <w:semiHidden/>
    <w:unhideWhenUsed/>
    <w:rsid w:val="000B0A5D"/>
    <w:rPr>
      <w:sz w:val="16"/>
      <w:szCs w:val="16"/>
    </w:rPr>
  </w:style>
  <w:style w:type="paragraph" w:styleId="CommentText">
    <w:name w:val="annotation text"/>
    <w:basedOn w:val="Normal"/>
    <w:link w:val="CommentTextChar"/>
    <w:uiPriority w:val="99"/>
    <w:semiHidden/>
    <w:unhideWhenUsed/>
    <w:rsid w:val="000B0A5D"/>
    <w:pPr>
      <w:spacing w:line="240" w:lineRule="auto"/>
    </w:pPr>
    <w:rPr>
      <w:sz w:val="20"/>
    </w:rPr>
  </w:style>
  <w:style w:type="character" w:customStyle="1" w:styleId="CommentTextChar">
    <w:name w:val="Comment Text Char"/>
    <w:basedOn w:val="DefaultParagraphFont"/>
    <w:link w:val="CommentText"/>
    <w:uiPriority w:val="99"/>
    <w:semiHidden/>
    <w:rsid w:val="000B0A5D"/>
    <w:rPr>
      <w:lang w:eastAsia="en-US"/>
    </w:rPr>
  </w:style>
  <w:style w:type="paragraph" w:styleId="CommentSubject">
    <w:name w:val="annotation subject"/>
    <w:basedOn w:val="CommentText"/>
    <w:next w:val="CommentText"/>
    <w:link w:val="CommentSubjectChar"/>
    <w:uiPriority w:val="99"/>
    <w:semiHidden/>
    <w:unhideWhenUsed/>
    <w:rsid w:val="000B0A5D"/>
    <w:rPr>
      <w:b/>
      <w:bCs/>
    </w:rPr>
  </w:style>
  <w:style w:type="character" w:customStyle="1" w:styleId="CommentSubjectChar">
    <w:name w:val="Comment Subject Char"/>
    <w:basedOn w:val="CommentTextChar"/>
    <w:link w:val="CommentSubject"/>
    <w:uiPriority w:val="99"/>
    <w:semiHidden/>
    <w:rsid w:val="000B0A5D"/>
    <w:rPr>
      <w:b/>
      <w:bCs/>
      <w:lang w:eastAsia="en-US"/>
    </w:rPr>
  </w:style>
  <w:style w:type="paragraph" w:styleId="ListParagraph">
    <w:name w:val="List Paragraph"/>
    <w:basedOn w:val="Normal"/>
    <w:uiPriority w:val="34"/>
    <w:qFormat/>
    <w:rsid w:val="00191246"/>
    <w:pPr>
      <w:spacing w:before="0" w:after="0"/>
      <w:ind w:left="720"/>
      <w:contextualSpacing/>
    </w:pPr>
    <w:rPr>
      <w:rFonts w:asciiTheme="minorHAnsi" w:hAnsiTheme="minorHAnsi" w:cstheme="minorBidi"/>
      <w:szCs w:val="22"/>
    </w:rPr>
  </w:style>
  <w:style w:type="paragraph" w:customStyle="1" w:styleId="Default">
    <w:name w:val="Default"/>
    <w:rsid w:val="00027DD1"/>
    <w:pPr>
      <w:autoSpaceDE w:val="0"/>
      <w:autoSpaceDN w:val="0"/>
      <w:adjustRightInd w:val="0"/>
    </w:pPr>
    <w:rPr>
      <w:rFonts w:ascii="Arial" w:hAnsi="Arial" w:cs="Arial"/>
      <w:color w:val="000000"/>
      <w:sz w:val="24"/>
      <w:szCs w:val="24"/>
      <w:lang w:eastAsia="en-US"/>
    </w:rPr>
  </w:style>
  <w:style w:type="table" w:styleId="MediumGrid3-Accent1">
    <w:name w:val="Medium Grid 3 Accent 1"/>
    <w:basedOn w:val="TableNormal"/>
    <w:uiPriority w:val="69"/>
    <w:rsid w:val="00D2501C"/>
    <w:rPr>
      <w:rFonts w:asciiTheme="minorHAnsi" w:eastAsiaTheme="minorHAnsi" w:hAnsiTheme="minorHAnsi" w:cstheme="minorBidi"/>
      <w:sz w:val="22"/>
      <w:szCs w:val="22"/>
      <w:lang w:eastAsia="en-US"/>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AAE1FF"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6EA8"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6EA8"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6EA8"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6EA8"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54C3FF"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54C3FF" w:themeFill="accent1" w:themeFillTint="7F"/>
      </w:tcPr>
    </w:tblStylePr>
  </w:style>
  <w:style w:type="table" w:styleId="LightList-Accent1">
    <w:name w:val="Light List Accent 1"/>
    <w:basedOn w:val="TableNormal"/>
    <w:uiPriority w:val="61"/>
    <w:rsid w:val="0042594D"/>
    <w:tblPr>
      <w:tblStyleRowBandSize w:val="1"/>
      <w:tblStyleColBandSize w:val="1"/>
      <w:tblBorders>
        <w:top w:val="single" w:sz="8" w:space="0" w:color="006EA8" w:themeColor="accent1"/>
        <w:left w:val="single" w:sz="8" w:space="0" w:color="006EA8" w:themeColor="accent1"/>
        <w:bottom w:val="single" w:sz="8" w:space="0" w:color="006EA8" w:themeColor="accent1"/>
        <w:right w:val="single" w:sz="8" w:space="0" w:color="006EA8" w:themeColor="accent1"/>
      </w:tblBorders>
    </w:tblPr>
    <w:tblStylePr w:type="firstRow">
      <w:pPr>
        <w:spacing w:before="0" w:after="0" w:line="240" w:lineRule="auto"/>
      </w:pPr>
      <w:rPr>
        <w:b/>
        <w:bCs/>
        <w:color w:val="FFFFFF" w:themeColor="background1"/>
      </w:rPr>
      <w:tblPr/>
      <w:tcPr>
        <w:shd w:val="clear" w:color="auto" w:fill="006EA8" w:themeFill="accent1"/>
      </w:tcPr>
    </w:tblStylePr>
    <w:tblStylePr w:type="lastRow">
      <w:pPr>
        <w:spacing w:before="0" w:after="0" w:line="240" w:lineRule="auto"/>
      </w:pPr>
      <w:rPr>
        <w:b/>
        <w:bCs/>
      </w:rPr>
      <w:tblPr/>
      <w:tcPr>
        <w:tcBorders>
          <w:top w:val="double" w:sz="6" w:space="0" w:color="006EA8" w:themeColor="accent1"/>
          <w:left w:val="single" w:sz="8" w:space="0" w:color="006EA8" w:themeColor="accent1"/>
          <w:bottom w:val="single" w:sz="8" w:space="0" w:color="006EA8" w:themeColor="accent1"/>
          <w:right w:val="single" w:sz="8" w:space="0" w:color="006EA8" w:themeColor="accent1"/>
        </w:tcBorders>
      </w:tcPr>
    </w:tblStylePr>
    <w:tblStylePr w:type="firstCol">
      <w:rPr>
        <w:b/>
        <w:bCs/>
      </w:rPr>
    </w:tblStylePr>
    <w:tblStylePr w:type="lastCol">
      <w:rPr>
        <w:b/>
        <w:bCs/>
      </w:rPr>
    </w:tblStylePr>
    <w:tblStylePr w:type="band1Vert">
      <w:tblPr/>
      <w:tcPr>
        <w:tcBorders>
          <w:top w:val="single" w:sz="8" w:space="0" w:color="006EA8" w:themeColor="accent1"/>
          <w:left w:val="single" w:sz="8" w:space="0" w:color="006EA8" w:themeColor="accent1"/>
          <w:bottom w:val="single" w:sz="8" w:space="0" w:color="006EA8" w:themeColor="accent1"/>
          <w:right w:val="single" w:sz="8" w:space="0" w:color="006EA8" w:themeColor="accent1"/>
        </w:tcBorders>
      </w:tcPr>
    </w:tblStylePr>
    <w:tblStylePr w:type="band1Horz">
      <w:tblPr/>
      <w:tcPr>
        <w:tcBorders>
          <w:top w:val="single" w:sz="8" w:space="0" w:color="006EA8" w:themeColor="accent1"/>
          <w:left w:val="single" w:sz="8" w:space="0" w:color="006EA8" w:themeColor="accent1"/>
          <w:bottom w:val="single" w:sz="8" w:space="0" w:color="006EA8" w:themeColor="accent1"/>
          <w:right w:val="single" w:sz="8" w:space="0" w:color="006EA8" w:themeColor="accent1"/>
        </w:tcBorders>
      </w:tcPr>
    </w:tblStylePr>
  </w:style>
  <w:style w:type="table" w:styleId="MediumShading2-Accent1">
    <w:name w:val="Medium Shading 2 Accent 1"/>
    <w:basedOn w:val="TableNormal"/>
    <w:uiPriority w:val="64"/>
    <w:rsid w:val="0042594D"/>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6EA8"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6EA8" w:themeFill="accent1"/>
      </w:tcPr>
    </w:tblStylePr>
    <w:tblStylePr w:type="lastCol">
      <w:rPr>
        <w:b/>
        <w:bCs/>
        <w:color w:val="FFFFFF" w:themeColor="background1"/>
      </w:rPr>
      <w:tblPr/>
      <w:tcPr>
        <w:tcBorders>
          <w:left w:val="nil"/>
          <w:right w:val="nil"/>
          <w:insideH w:val="nil"/>
          <w:insideV w:val="nil"/>
        </w:tcBorders>
        <w:shd w:val="clear" w:color="auto" w:fill="006EA8"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styleId="NormalWeb">
    <w:name w:val="Normal (Web)"/>
    <w:basedOn w:val="Normal"/>
    <w:uiPriority w:val="99"/>
    <w:semiHidden/>
    <w:unhideWhenUsed/>
    <w:rsid w:val="0045563A"/>
    <w:pPr>
      <w:spacing w:before="100" w:beforeAutospacing="1" w:after="100" w:afterAutospacing="1" w:line="240" w:lineRule="auto"/>
    </w:pPr>
    <w:rPr>
      <w:rFonts w:ascii="Times New Roman" w:eastAsia="Times New Roman" w:hAnsi="Times New Roman"/>
      <w:sz w:val="24"/>
      <w:szCs w:val="24"/>
      <w:lang w:eastAsia="en-AU"/>
    </w:rPr>
  </w:style>
  <w:style w:type="paragraph" w:styleId="Revision">
    <w:name w:val="Revision"/>
    <w:hidden/>
    <w:uiPriority w:val="99"/>
    <w:semiHidden/>
    <w:rsid w:val="00066EBF"/>
    <w:rPr>
      <w:sz w:val="22"/>
      <w:lang w:eastAsia="en-US"/>
    </w:rPr>
  </w:style>
  <w:style w:type="paragraph" w:customStyle="1" w:styleId="Cambria">
    <w:name w:val="Cambria"/>
    <w:basedOn w:val="ListParagraph"/>
    <w:link w:val="CambriaChar"/>
    <w:qFormat/>
    <w:rsid w:val="00053446"/>
    <w:pPr>
      <w:spacing w:line="240" w:lineRule="auto"/>
      <w:ind w:left="426"/>
    </w:pPr>
  </w:style>
  <w:style w:type="character" w:customStyle="1" w:styleId="CambriaChar">
    <w:name w:val="Cambria Char"/>
    <w:basedOn w:val="DefaultParagraphFont"/>
    <w:link w:val="Cambria"/>
    <w:rsid w:val="00053446"/>
    <w:rPr>
      <w:rFonts w:asciiTheme="minorHAnsi" w:hAnsiTheme="minorHAnsi" w:cstheme="minorBid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6658720">
      <w:bodyDiv w:val="1"/>
      <w:marLeft w:val="0"/>
      <w:marRight w:val="0"/>
      <w:marTop w:val="0"/>
      <w:marBottom w:val="0"/>
      <w:divBdr>
        <w:top w:val="none" w:sz="0" w:space="0" w:color="auto"/>
        <w:left w:val="none" w:sz="0" w:space="0" w:color="auto"/>
        <w:bottom w:val="none" w:sz="0" w:space="0" w:color="auto"/>
        <w:right w:val="none" w:sz="0" w:space="0" w:color="auto"/>
      </w:divBdr>
      <w:divsChild>
        <w:div w:id="888804897">
          <w:marLeft w:val="0"/>
          <w:marRight w:val="0"/>
          <w:marTop w:val="0"/>
          <w:marBottom w:val="0"/>
          <w:divBdr>
            <w:top w:val="none" w:sz="0" w:space="0" w:color="auto"/>
            <w:left w:val="none" w:sz="0" w:space="0" w:color="auto"/>
            <w:bottom w:val="none" w:sz="0" w:space="0" w:color="auto"/>
            <w:right w:val="none" w:sz="0" w:space="0" w:color="auto"/>
          </w:divBdr>
          <w:divsChild>
            <w:div w:id="1172646256">
              <w:marLeft w:val="0"/>
              <w:marRight w:val="0"/>
              <w:marTop w:val="0"/>
              <w:marBottom w:val="0"/>
              <w:divBdr>
                <w:top w:val="none" w:sz="0" w:space="0" w:color="auto"/>
                <w:left w:val="none" w:sz="0" w:space="0" w:color="auto"/>
                <w:bottom w:val="none" w:sz="0" w:space="0" w:color="auto"/>
                <w:right w:val="none" w:sz="0" w:space="0" w:color="auto"/>
              </w:divBdr>
              <w:divsChild>
                <w:div w:id="916403802">
                  <w:marLeft w:val="-225"/>
                  <w:marRight w:val="-225"/>
                  <w:marTop w:val="0"/>
                  <w:marBottom w:val="0"/>
                  <w:divBdr>
                    <w:top w:val="none" w:sz="0" w:space="0" w:color="auto"/>
                    <w:left w:val="none" w:sz="0" w:space="0" w:color="auto"/>
                    <w:bottom w:val="none" w:sz="0" w:space="0" w:color="auto"/>
                    <w:right w:val="none" w:sz="0" w:space="0" w:color="auto"/>
                  </w:divBdr>
                  <w:divsChild>
                    <w:div w:id="809177594">
                      <w:marLeft w:val="0"/>
                      <w:marRight w:val="0"/>
                      <w:marTop w:val="0"/>
                      <w:marBottom w:val="0"/>
                      <w:divBdr>
                        <w:top w:val="none" w:sz="0" w:space="0" w:color="auto"/>
                        <w:left w:val="none" w:sz="0" w:space="0" w:color="auto"/>
                        <w:bottom w:val="none" w:sz="0" w:space="0" w:color="auto"/>
                        <w:right w:val="none" w:sz="0" w:space="0" w:color="auto"/>
                      </w:divBdr>
                      <w:divsChild>
                        <w:div w:id="843939563">
                          <w:marLeft w:val="-15"/>
                          <w:marRight w:val="-15"/>
                          <w:marTop w:val="0"/>
                          <w:marBottom w:val="0"/>
                          <w:divBdr>
                            <w:top w:val="none" w:sz="0" w:space="0" w:color="auto"/>
                            <w:left w:val="none" w:sz="0" w:space="0" w:color="auto"/>
                            <w:bottom w:val="none" w:sz="0" w:space="0" w:color="auto"/>
                            <w:right w:val="none" w:sz="0" w:space="0" w:color="auto"/>
                          </w:divBdr>
                          <w:divsChild>
                            <w:div w:id="2101295202">
                              <w:marLeft w:val="0"/>
                              <w:marRight w:val="0"/>
                              <w:marTop w:val="0"/>
                              <w:marBottom w:val="0"/>
                              <w:divBdr>
                                <w:top w:val="none" w:sz="0" w:space="0" w:color="auto"/>
                                <w:left w:val="none" w:sz="0" w:space="0" w:color="auto"/>
                                <w:bottom w:val="none" w:sz="0" w:space="0" w:color="auto"/>
                                <w:right w:val="none" w:sz="0" w:space="0" w:color="auto"/>
                              </w:divBdr>
                              <w:divsChild>
                                <w:div w:id="563301972">
                                  <w:marLeft w:val="0"/>
                                  <w:marRight w:val="0"/>
                                  <w:marTop w:val="0"/>
                                  <w:marBottom w:val="0"/>
                                  <w:divBdr>
                                    <w:top w:val="none" w:sz="0" w:space="0" w:color="auto"/>
                                    <w:left w:val="none" w:sz="0" w:space="0" w:color="auto"/>
                                    <w:bottom w:val="none" w:sz="0" w:space="0" w:color="auto"/>
                                    <w:right w:val="none" w:sz="0" w:space="0" w:color="auto"/>
                                  </w:divBdr>
                                  <w:divsChild>
                                    <w:div w:id="148137869">
                                      <w:marLeft w:val="0"/>
                                      <w:marRight w:val="0"/>
                                      <w:marTop w:val="0"/>
                                      <w:marBottom w:val="0"/>
                                      <w:divBdr>
                                        <w:top w:val="none" w:sz="0" w:space="0" w:color="auto"/>
                                        <w:left w:val="none" w:sz="0" w:space="0" w:color="auto"/>
                                        <w:bottom w:val="none" w:sz="0" w:space="0" w:color="auto"/>
                                        <w:right w:val="none" w:sz="0" w:space="0" w:color="auto"/>
                                      </w:divBdr>
                                      <w:divsChild>
                                        <w:div w:id="2089839120">
                                          <w:marLeft w:val="0"/>
                                          <w:marRight w:val="0"/>
                                          <w:marTop w:val="0"/>
                                          <w:marBottom w:val="0"/>
                                          <w:divBdr>
                                            <w:top w:val="none" w:sz="0" w:space="0" w:color="auto"/>
                                            <w:left w:val="none" w:sz="0" w:space="0" w:color="auto"/>
                                            <w:bottom w:val="none" w:sz="0" w:space="0" w:color="auto"/>
                                            <w:right w:val="none" w:sz="0" w:space="0" w:color="auto"/>
                                          </w:divBdr>
                                          <w:divsChild>
                                            <w:div w:id="2100129613">
                                              <w:marLeft w:val="0"/>
                                              <w:marRight w:val="0"/>
                                              <w:marTop w:val="0"/>
                                              <w:marBottom w:val="0"/>
                                              <w:divBdr>
                                                <w:top w:val="none" w:sz="0" w:space="0" w:color="auto"/>
                                                <w:left w:val="none" w:sz="0" w:space="0" w:color="auto"/>
                                                <w:bottom w:val="none" w:sz="0" w:space="0" w:color="auto"/>
                                                <w:right w:val="none" w:sz="0" w:space="0" w:color="auto"/>
                                              </w:divBdr>
                                              <w:divsChild>
                                                <w:div w:id="1020745394">
                                                  <w:marLeft w:val="0"/>
                                                  <w:marRight w:val="0"/>
                                                  <w:marTop w:val="0"/>
                                                  <w:marBottom w:val="0"/>
                                                  <w:divBdr>
                                                    <w:top w:val="none" w:sz="0" w:space="0" w:color="auto"/>
                                                    <w:left w:val="none" w:sz="0" w:space="0" w:color="auto"/>
                                                    <w:bottom w:val="none" w:sz="0" w:space="0" w:color="auto"/>
                                                    <w:right w:val="none" w:sz="0" w:space="0" w:color="auto"/>
                                                  </w:divBdr>
                                                  <w:divsChild>
                                                    <w:div w:id="19002844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483547736">
      <w:bodyDiv w:val="1"/>
      <w:marLeft w:val="0"/>
      <w:marRight w:val="0"/>
      <w:marTop w:val="0"/>
      <w:marBottom w:val="0"/>
      <w:divBdr>
        <w:top w:val="none" w:sz="0" w:space="0" w:color="auto"/>
        <w:left w:val="none" w:sz="0" w:space="0" w:color="auto"/>
        <w:bottom w:val="none" w:sz="0" w:space="0" w:color="auto"/>
        <w:right w:val="none" w:sz="0" w:space="0" w:color="auto"/>
      </w:divBdr>
    </w:div>
    <w:div w:id="546381284">
      <w:bodyDiv w:val="1"/>
      <w:marLeft w:val="0"/>
      <w:marRight w:val="0"/>
      <w:marTop w:val="0"/>
      <w:marBottom w:val="0"/>
      <w:divBdr>
        <w:top w:val="none" w:sz="0" w:space="0" w:color="auto"/>
        <w:left w:val="none" w:sz="0" w:space="0" w:color="auto"/>
        <w:bottom w:val="none" w:sz="0" w:space="0" w:color="auto"/>
        <w:right w:val="none" w:sz="0" w:space="0" w:color="auto"/>
      </w:divBdr>
    </w:div>
    <w:div w:id="573852238">
      <w:bodyDiv w:val="1"/>
      <w:marLeft w:val="0"/>
      <w:marRight w:val="0"/>
      <w:marTop w:val="0"/>
      <w:marBottom w:val="0"/>
      <w:divBdr>
        <w:top w:val="none" w:sz="0" w:space="0" w:color="auto"/>
        <w:left w:val="none" w:sz="0" w:space="0" w:color="auto"/>
        <w:bottom w:val="none" w:sz="0" w:space="0" w:color="auto"/>
        <w:right w:val="none" w:sz="0" w:space="0" w:color="auto"/>
      </w:divBdr>
      <w:divsChild>
        <w:div w:id="679089341">
          <w:marLeft w:val="0"/>
          <w:marRight w:val="0"/>
          <w:marTop w:val="0"/>
          <w:marBottom w:val="0"/>
          <w:divBdr>
            <w:top w:val="none" w:sz="0" w:space="0" w:color="auto"/>
            <w:left w:val="none" w:sz="0" w:space="0" w:color="auto"/>
            <w:bottom w:val="none" w:sz="0" w:space="0" w:color="auto"/>
            <w:right w:val="none" w:sz="0" w:space="0" w:color="auto"/>
          </w:divBdr>
          <w:divsChild>
            <w:div w:id="1473017712">
              <w:marLeft w:val="0"/>
              <w:marRight w:val="0"/>
              <w:marTop w:val="0"/>
              <w:marBottom w:val="0"/>
              <w:divBdr>
                <w:top w:val="none" w:sz="0" w:space="0" w:color="auto"/>
                <w:left w:val="none" w:sz="0" w:space="0" w:color="auto"/>
                <w:bottom w:val="none" w:sz="0" w:space="0" w:color="auto"/>
                <w:right w:val="none" w:sz="0" w:space="0" w:color="auto"/>
              </w:divBdr>
              <w:divsChild>
                <w:div w:id="2115779594">
                  <w:marLeft w:val="-150"/>
                  <w:marRight w:val="-150"/>
                  <w:marTop w:val="0"/>
                  <w:marBottom w:val="0"/>
                  <w:divBdr>
                    <w:top w:val="none" w:sz="0" w:space="0" w:color="auto"/>
                    <w:left w:val="none" w:sz="0" w:space="0" w:color="auto"/>
                    <w:bottom w:val="none" w:sz="0" w:space="0" w:color="auto"/>
                    <w:right w:val="none" w:sz="0" w:space="0" w:color="auto"/>
                  </w:divBdr>
                  <w:divsChild>
                    <w:div w:id="1916552687">
                      <w:marLeft w:val="0"/>
                      <w:marRight w:val="0"/>
                      <w:marTop w:val="0"/>
                      <w:marBottom w:val="0"/>
                      <w:divBdr>
                        <w:top w:val="none" w:sz="0" w:space="0" w:color="auto"/>
                        <w:left w:val="none" w:sz="0" w:space="0" w:color="auto"/>
                        <w:bottom w:val="none" w:sz="0" w:space="0" w:color="auto"/>
                        <w:right w:val="none" w:sz="0" w:space="0" w:color="auto"/>
                      </w:divBdr>
                      <w:divsChild>
                        <w:div w:id="859128086">
                          <w:marLeft w:val="0"/>
                          <w:marRight w:val="0"/>
                          <w:marTop w:val="0"/>
                          <w:marBottom w:val="0"/>
                          <w:divBdr>
                            <w:top w:val="none" w:sz="0" w:space="0" w:color="auto"/>
                            <w:left w:val="none" w:sz="0" w:space="0" w:color="auto"/>
                            <w:bottom w:val="none" w:sz="0" w:space="0" w:color="auto"/>
                            <w:right w:val="none" w:sz="0" w:space="0" w:color="auto"/>
                          </w:divBdr>
                          <w:divsChild>
                            <w:div w:id="2093575684">
                              <w:marLeft w:val="-150"/>
                              <w:marRight w:val="-150"/>
                              <w:marTop w:val="0"/>
                              <w:marBottom w:val="0"/>
                              <w:divBdr>
                                <w:top w:val="none" w:sz="0" w:space="0" w:color="auto"/>
                                <w:left w:val="none" w:sz="0" w:space="0" w:color="auto"/>
                                <w:bottom w:val="none" w:sz="0" w:space="0" w:color="auto"/>
                                <w:right w:val="none" w:sz="0" w:space="0" w:color="auto"/>
                              </w:divBdr>
                              <w:divsChild>
                                <w:div w:id="1399745577">
                                  <w:marLeft w:val="0"/>
                                  <w:marRight w:val="0"/>
                                  <w:marTop w:val="0"/>
                                  <w:marBottom w:val="0"/>
                                  <w:divBdr>
                                    <w:top w:val="none" w:sz="0" w:space="0" w:color="auto"/>
                                    <w:left w:val="none" w:sz="0" w:space="0" w:color="auto"/>
                                    <w:bottom w:val="none" w:sz="0" w:space="0" w:color="auto"/>
                                    <w:right w:val="none" w:sz="0" w:space="0" w:color="auto"/>
                                  </w:divBdr>
                                  <w:divsChild>
                                    <w:div w:id="1493787734">
                                      <w:marLeft w:val="0"/>
                                      <w:marRight w:val="0"/>
                                      <w:marTop w:val="0"/>
                                      <w:marBottom w:val="0"/>
                                      <w:divBdr>
                                        <w:top w:val="none" w:sz="0" w:space="0" w:color="auto"/>
                                        <w:left w:val="none" w:sz="0" w:space="0" w:color="auto"/>
                                        <w:bottom w:val="none" w:sz="0" w:space="0" w:color="auto"/>
                                        <w:right w:val="none" w:sz="0" w:space="0" w:color="auto"/>
                                      </w:divBdr>
                                      <w:divsChild>
                                        <w:div w:id="660079852">
                                          <w:marLeft w:val="0"/>
                                          <w:marRight w:val="0"/>
                                          <w:marTop w:val="0"/>
                                          <w:marBottom w:val="0"/>
                                          <w:divBdr>
                                            <w:top w:val="none" w:sz="0" w:space="0" w:color="auto"/>
                                            <w:left w:val="none" w:sz="0" w:space="0" w:color="auto"/>
                                            <w:bottom w:val="none" w:sz="0" w:space="0" w:color="auto"/>
                                            <w:right w:val="none" w:sz="0" w:space="0" w:color="auto"/>
                                          </w:divBdr>
                                          <w:divsChild>
                                            <w:div w:id="1341540441">
                                              <w:marLeft w:val="0"/>
                                              <w:marRight w:val="0"/>
                                              <w:marTop w:val="0"/>
                                              <w:marBottom w:val="0"/>
                                              <w:divBdr>
                                                <w:top w:val="none" w:sz="0" w:space="0" w:color="auto"/>
                                                <w:left w:val="none" w:sz="0" w:space="0" w:color="auto"/>
                                                <w:bottom w:val="none" w:sz="0" w:space="0" w:color="auto"/>
                                                <w:right w:val="none" w:sz="0" w:space="0" w:color="auto"/>
                                              </w:divBdr>
                                              <w:divsChild>
                                                <w:div w:id="1311060881">
                                                  <w:marLeft w:val="0"/>
                                                  <w:marRight w:val="0"/>
                                                  <w:marTop w:val="0"/>
                                                  <w:marBottom w:val="0"/>
                                                  <w:divBdr>
                                                    <w:top w:val="none" w:sz="0" w:space="0" w:color="auto"/>
                                                    <w:left w:val="none" w:sz="0" w:space="0" w:color="auto"/>
                                                    <w:bottom w:val="none" w:sz="0" w:space="0" w:color="auto"/>
                                                    <w:right w:val="none" w:sz="0" w:space="0" w:color="auto"/>
                                                  </w:divBdr>
                                                  <w:divsChild>
                                                    <w:div w:id="4151725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606502836">
      <w:bodyDiv w:val="1"/>
      <w:marLeft w:val="0"/>
      <w:marRight w:val="0"/>
      <w:marTop w:val="0"/>
      <w:marBottom w:val="0"/>
      <w:divBdr>
        <w:top w:val="none" w:sz="0" w:space="0" w:color="auto"/>
        <w:left w:val="none" w:sz="0" w:space="0" w:color="auto"/>
        <w:bottom w:val="none" w:sz="0" w:space="0" w:color="auto"/>
        <w:right w:val="none" w:sz="0" w:space="0" w:color="auto"/>
      </w:divBdr>
    </w:div>
    <w:div w:id="624772426">
      <w:bodyDiv w:val="1"/>
      <w:marLeft w:val="0"/>
      <w:marRight w:val="0"/>
      <w:marTop w:val="0"/>
      <w:marBottom w:val="0"/>
      <w:divBdr>
        <w:top w:val="none" w:sz="0" w:space="0" w:color="auto"/>
        <w:left w:val="none" w:sz="0" w:space="0" w:color="auto"/>
        <w:bottom w:val="none" w:sz="0" w:space="0" w:color="auto"/>
        <w:right w:val="none" w:sz="0" w:space="0" w:color="auto"/>
      </w:divBdr>
    </w:div>
    <w:div w:id="637806854">
      <w:bodyDiv w:val="1"/>
      <w:marLeft w:val="0"/>
      <w:marRight w:val="0"/>
      <w:marTop w:val="0"/>
      <w:marBottom w:val="0"/>
      <w:divBdr>
        <w:top w:val="none" w:sz="0" w:space="0" w:color="auto"/>
        <w:left w:val="none" w:sz="0" w:space="0" w:color="auto"/>
        <w:bottom w:val="none" w:sz="0" w:space="0" w:color="auto"/>
        <w:right w:val="none" w:sz="0" w:space="0" w:color="auto"/>
      </w:divBdr>
    </w:div>
    <w:div w:id="671220769">
      <w:bodyDiv w:val="1"/>
      <w:marLeft w:val="0"/>
      <w:marRight w:val="0"/>
      <w:marTop w:val="0"/>
      <w:marBottom w:val="0"/>
      <w:divBdr>
        <w:top w:val="none" w:sz="0" w:space="0" w:color="auto"/>
        <w:left w:val="none" w:sz="0" w:space="0" w:color="auto"/>
        <w:bottom w:val="none" w:sz="0" w:space="0" w:color="auto"/>
        <w:right w:val="none" w:sz="0" w:space="0" w:color="auto"/>
      </w:divBdr>
    </w:div>
    <w:div w:id="1050883294">
      <w:bodyDiv w:val="1"/>
      <w:marLeft w:val="0"/>
      <w:marRight w:val="0"/>
      <w:marTop w:val="0"/>
      <w:marBottom w:val="0"/>
      <w:divBdr>
        <w:top w:val="none" w:sz="0" w:space="0" w:color="auto"/>
        <w:left w:val="none" w:sz="0" w:space="0" w:color="auto"/>
        <w:bottom w:val="none" w:sz="0" w:space="0" w:color="auto"/>
        <w:right w:val="none" w:sz="0" w:space="0" w:color="auto"/>
      </w:divBdr>
    </w:div>
    <w:div w:id="1125923334">
      <w:bodyDiv w:val="1"/>
      <w:marLeft w:val="0"/>
      <w:marRight w:val="0"/>
      <w:marTop w:val="0"/>
      <w:marBottom w:val="0"/>
      <w:divBdr>
        <w:top w:val="none" w:sz="0" w:space="0" w:color="auto"/>
        <w:left w:val="none" w:sz="0" w:space="0" w:color="auto"/>
        <w:bottom w:val="none" w:sz="0" w:space="0" w:color="auto"/>
        <w:right w:val="none" w:sz="0" w:space="0" w:color="auto"/>
      </w:divBdr>
    </w:div>
    <w:div w:id="1479956775">
      <w:bodyDiv w:val="1"/>
      <w:marLeft w:val="0"/>
      <w:marRight w:val="0"/>
      <w:marTop w:val="0"/>
      <w:marBottom w:val="0"/>
      <w:divBdr>
        <w:top w:val="none" w:sz="0" w:space="0" w:color="auto"/>
        <w:left w:val="none" w:sz="0" w:space="0" w:color="auto"/>
        <w:bottom w:val="none" w:sz="0" w:space="0" w:color="auto"/>
        <w:right w:val="none" w:sz="0" w:space="0" w:color="auto"/>
      </w:divBdr>
    </w:div>
    <w:div w:id="1686593772">
      <w:bodyDiv w:val="1"/>
      <w:marLeft w:val="0"/>
      <w:marRight w:val="0"/>
      <w:marTop w:val="0"/>
      <w:marBottom w:val="0"/>
      <w:divBdr>
        <w:top w:val="none" w:sz="0" w:space="0" w:color="auto"/>
        <w:left w:val="none" w:sz="0" w:space="0" w:color="auto"/>
        <w:bottom w:val="none" w:sz="0" w:space="0" w:color="auto"/>
        <w:right w:val="none" w:sz="0" w:space="0" w:color="auto"/>
      </w:divBdr>
    </w:div>
    <w:div w:id="1710645048">
      <w:bodyDiv w:val="1"/>
      <w:marLeft w:val="0"/>
      <w:marRight w:val="0"/>
      <w:marTop w:val="0"/>
      <w:marBottom w:val="0"/>
      <w:divBdr>
        <w:top w:val="none" w:sz="0" w:space="0" w:color="auto"/>
        <w:left w:val="none" w:sz="0" w:space="0" w:color="auto"/>
        <w:bottom w:val="none" w:sz="0" w:space="0" w:color="auto"/>
        <w:right w:val="none" w:sz="0" w:space="0" w:color="auto"/>
      </w:divBdr>
    </w:div>
    <w:div w:id="1739354702">
      <w:bodyDiv w:val="1"/>
      <w:marLeft w:val="0"/>
      <w:marRight w:val="0"/>
      <w:marTop w:val="0"/>
      <w:marBottom w:val="0"/>
      <w:divBdr>
        <w:top w:val="none" w:sz="0" w:space="0" w:color="auto"/>
        <w:left w:val="none" w:sz="0" w:space="0" w:color="auto"/>
        <w:bottom w:val="none" w:sz="0" w:space="0" w:color="auto"/>
        <w:right w:val="none" w:sz="0" w:space="0" w:color="auto"/>
      </w:divBdr>
      <w:divsChild>
        <w:div w:id="1877499244">
          <w:marLeft w:val="288"/>
          <w:marRight w:val="0"/>
          <w:marTop w:val="120"/>
          <w:marBottom w:val="0"/>
          <w:divBdr>
            <w:top w:val="none" w:sz="0" w:space="0" w:color="auto"/>
            <w:left w:val="none" w:sz="0" w:space="0" w:color="auto"/>
            <w:bottom w:val="none" w:sz="0" w:space="0" w:color="auto"/>
            <w:right w:val="none" w:sz="0" w:space="0" w:color="auto"/>
          </w:divBdr>
        </w:div>
        <w:div w:id="905215829">
          <w:marLeft w:val="288"/>
          <w:marRight w:val="0"/>
          <w:marTop w:val="120"/>
          <w:marBottom w:val="0"/>
          <w:divBdr>
            <w:top w:val="none" w:sz="0" w:space="0" w:color="auto"/>
            <w:left w:val="none" w:sz="0" w:space="0" w:color="auto"/>
            <w:bottom w:val="none" w:sz="0" w:space="0" w:color="auto"/>
            <w:right w:val="none" w:sz="0" w:space="0" w:color="auto"/>
          </w:divBdr>
        </w:div>
        <w:div w:id="367949571">
          <w:marLeft w:val="288"/>
          <w:marRight w:val="0"/>
          <w:marTop w:val="120"/>
          <w:marBottom w:val="0"/>
          <w:divBdr>
            <w:top w:val="none" w:sz="0" w:space="0" w:color="auto"/>
            <w:left w:val="none" w:sz="0" w:space="0" w:color="auto"/>
            <w:bottom w:val="none" w:sz="0" w:space="0" w:color="auto"/>
            <w:right w:val="none" w:sz="0" w:space="0" w:color="auto"/>
          </w:divBdr>
        </w:div>
        <w:div w:id="963779573">
          <w:marLeft w:val="288"/>
          <w:marRight w:val="0"/>
          <w:marTop w:val="120"/>
          <w:marBottom w:val="0"/>
          <w:divBdr>
            <w:top w:val="none" w:sz="0" w:space="0" w:color="auto"/>
            <w:left w:val="none" w:sz="0" w:space="0" w:color="auto"/>
            <w:bottom w:val="none" w:sz="0" w:space="0" w:color="auto"/>
            <w:right w:val="none" w:sz="0" w:space="0" w:color="auto"/>
          </w:divBdr>
        </w:div>
        <w:div w:id="2068334880">
          <w:marLeft w:val="288"/>
          <w:marRight w:val="0"/>
          <w:marTop w:val="120"/>
          <w:marBottom w:val="0"/>
          <w:divBdr>
            <w:top w:val="none" w:sz="0" w:space="0" w:color="auto"/>
            <w:left w:val="none" w:sz="0" w:space="0" w:color="auto"/>
            <w:bottom w:val="none" w:sz="0" w:space="0" w:color="auto"/>
            <w:right w:val="none" w:sz="0" w:space="0" w:color="auto"/>
          </w:divBdr>
        </w:div>
      </w:divsChild>
    </w:div>
    <w:div w:id="2013292972">
      <w:bodyDiv w:val="1"/>
      <w:marLeft w:val="0"/>
      <w:marRight w:val="0"/>
      <w:marTop w:val="0"/>
      <w:marBottom w:val="0"/>
      <w:divBdr>
        <w:top w:val="none" w:sz="0" w:space="0" w:color="auto"/>
        <w:left w:val="none" w:sz="0" w:space="0" w:color="auto"/>
        <w:bottom w:val="none" w:sz="0" w:space="0" w:color="auto"/>
        <w:right w:val="none" w:sz="0" w:space="0" w:color="auto"/>
      </w:divBdr>
      <w:divsChild>
        <w:div w:id="958338483">
          <w:marLeft w:val="0"/>
          <w:marRight w:val="0"/>
          <w:marTop w:val="0"/>
          <w:marBottom w:val="0"/>
          <w:divBdr>
            <w:top w:val="none" w:sz="0" w:space="0" w:color="auto"/>
            <w:left w:val="none" w:sz="0" w:space="0" w:color="auto"/>
            <w:bottom w:val="none" w:sz="0" w:space="0" w:color="auto"/>
            <w:right w:val="none" w:sz="0" w:space="0" w:color="auto"/>
          </w:divBdr>
          <w:divsChild>
            <w:div w:id="811559805">
              <w:marLeft w:val="0"/>
              <w:marRight w:val="0"/>
              <w:marTop w:val="0"/>
              <w:marBottom w:val="0"/>
              <w:divBdr>
                <w:top w:val="none" w:sz="0" w:space="0" w:color="auto"/>
                <w:left w:val="none" w:sz="0" w:space="0" w:color="auto"/>
                <w:bottom w:val="none" w:sz="0" w:space="0" w:color="auto"/>
                <w:right w:val="none" w:sz="0" w:space="0" w:color="auto"/>
              </w:divBdr>
              <w:divsChild>
                <w:div w:id="2064787964">
                  <w:marLeft w:val="0"/>
                  <w:marRight w:val="0"/>
                  <w:marTop w:val="0"/>
                  <w:marBottom w:val="0"/>
                  <w:divBdr>
                    <w:top w:val="none" w:sz="0" w:space="0" w:color="auto"/>
                    <w:left w:val="none" w:sz="0" w:space="0" w:color="auto"/>
                    <w:bottom w:val="none" w:sz="0" w:space="0" w:color="auto"/>
                    <w:right w:val="none" w:sz="0" w:space="0" w:color="auto"/>
                  </w:divBdr>
                  <w:divsChild>
                    <w:div w:id="996347558">
                      <w:marLeft w:val="0"/>
                      <w:marRight w:val="0"/>
                      <w:marTop w:val="0"/>
                      <w:marBottom w:val="0"/>
                      <w:divBdr>
                        <w:top w:val="none" w:sz="0" w:space="0" w:color="auto"/>
                        <w:left w:val="none" w:sz="0" w:space="0" w:color="auto"/>
                        <w:bottom w:val="none" w:sz="0" w:space="0" w:color="auto"/>
                        <w:right w:val="none" w:sz="0" w:space="0" w:color="auto"/>
                      </w:divBdr>
                      <w:divsChild>
                        <w:div w:id="773599097">
                          <w:marLeft w:val="0"/>
                          <w:marRight w:val="0"/>
                          <w:marTop w:val="0"/>
                          <w:marBottom w:val="0"/>
                          <w:divBdr>
                            <w:top w:val="none" w:sz="0" w:space="0" w:color="auto"/>
                            <w:left w:val="none" w:sz="0" w:space="0" w:color="auto"/>
                            <w:bottom w:val="none" w:sz="0" w:space="0" w:color="auto"/>
                            <w:right w:val="none" w:sz="0" w:space="0" w:color="auto"/>
                          </w:divBdr>
                          <w:divsChild>
                            <w:div w:id="1064599248">
                              <w:marLeft w:val="0"/>
                              <w:marRight w:val="0"/>
                              <w:marTop w:val="0"/>
                              <w:marBottom w:val="0"/>
                              <w:divBdr>
                                <w:top w:val="none" w:sz="0" w:space="0" w:color="auto"/>
                                <w:left w:val="none" w:sz="0" w:space="0" w:color="auto"/>
                                <w:bottom w:val="none" w:sz="0" w:space="0" w:color="auto"/>
                                <w:right w:val="none" w:sz="0" w:space="0" w:color="auto"/>
                              </w:divBdr>
                              <w:divsChild>
                                <w:div w:id="1371342390">
                                  <w:marLeft w:val="0"/>
                                  <w:marRight w:val="0"/>
                                  <w:marTop w:val="0"/>
                                  <w:marBottom w:val="0"/>
                                  <w:divBdr>
                                    <w:top w:val="none" w:sz="0" w:space="0" w:color="auto"/>
                                    <w:left w:val="none" w:sz="0" w:space="0" w:color="auto"/>
                                    <w:bottom w:val="none" w:sz="0" w:space="0" w:color="auto"/>
                                    <w:right w:val="none" w:sz="0" w:space="0" w:color="auto"/>
                                  </w:divBdr>
                                  <w:divsChild>
                                    <w:div w:id="1949045039">
                                      <w:marLeft w:val="0"/>
                                      <w:marRight w:val="0"/>
                                      <w:marTop w:val="0"/>
                                      <w:marBottom w:val="0"/>
                                      <w:divBdr>
                                        <w:top w:val="none" w:sz="0" w:space="0" w:color="auto"/>
                                        <w:left w:val="none" w:sz="0" w:space="0" w:color="auto"/>
                                        <w:bottom w:val="none" w:sz="0" w:space="0" w:color="auto"/>
                                        <w:right w:val="none" w:sz="0" w:space="0" w:color="auto"/>
                                      </w:divBdr>
                                      <w:divsChild>
                                        <w:div w:id="646130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143687033">
      <w:bodyDiv w:val="1"/>
      <w:marLeft w:val="0"/>
      <w:marRight w:val="0"/>
      <w:marTop w:val="0"/>
      <w:marBottom w:val="0"/>
      <w:divBdr>
        <w:top w:val="none" w:sz="0" w:space="0" w:color="auto"/>
        <w:left w:val="none" w:sz="0" w:space="0" w:color="auto"/>
        <w:bottom w:val="none" w:sz="0" w:space="0" w:color="auto"/>
        <w:right w:val="none" w:sz="0" w:space="0" w:color="auto"/>
      </w:divBdr>
      <w:divsChild>
        <w:div w:id="1147742701">
          <w:marLeft w:val="0"/>
          <w:marRight w:val="0"/>
          <w:marTop w:val="0"/>
          <w:marBottom w:val="0"/>
          <w:divBdr>
            <w:top w:val="none" w:sz="0" w:space="0" w:color="auto"/>
            <w:left w:val="none" w:sz="0" w:space="0" w:color="auto"/>
            <w:bottom w:val="none" w:sz="0" w:space="0" w:color="auto"/>
            <w:right w:val="none" w:sz="0" w:space="0" w:color="auto"/>
          </w:divBdr>
          <w:divsChild>
            <w:div w:id="399401502">
              <w:marLeft w:val="0"/>
              <w:marRight w:val="0"/>
              <w:marTop w:val="0"/>
              <w:marBottom w:val="0"/>
              <w:divBdr>
                <w:top w:val="none" w:sz="0" w:space="0" w:color="auto"/>
                <w:left w:val="none" w:sz="0" w:space="0" w:color="auto"/>
                <w:bottom w:val="none" w:sz="0" w:space="0" w:color="auto"/>
                <w:right w:val="none" w:sz="0" w:space="0" w:color="auto"/>
              </w:divBdr>
              <w:divsChild>
                <w:div w:id="1904175719">
                  <w:marLeft w:val="0"/>
                  <w:marRight w:val="0"/>
                  <w:marTop w:val="0"/>
                  <w:marBottom w:val="0"/>
                  <w:divBdr>
                    <w:top w:val="none" w:sz="0" w:space="0" w:color="auto"/>
                    <w:left w:val="none" w:sz="0" w:space="0" w:color="auto"/>
                    <w:bottom w:val="none" w:sz="0" w:space="0" w:color="auto"/>
                    <w:right w:val="none" w:sz="0" w:space="0" w:color="auto"/>
                  </w:divBdr>
                  <w:divsChild>
                    <w:div w:id="45763022">
                      <w:marLeft w:val="0"/>
                      <w:marRight w:val="0"/>
                      <w:marTop w:val="0"/>
                      <w:marBottom w:val="0"/>
                      <w:divBdr>
                        <w:top w:val="none" w:sz="0" w:space="0" w:color="auto"/>
                        <w:left w:val="none" w:sz="0" w:space="0" w:color="auto"/>
                        <w:bottom w:val="none" w:sz="0" w:space="0" w:color="auto"/>
                        <w:right w:val="none" w:sz="0" w:space="0" w:color="auto"/>
                      </w:divBdr>
                      <w:divsChild>
                        <w:div w:id="1476024019">
                          <w:marLeft w:val="0"/>
                          <w:marRight w:val="0"/>
                          <w:marTop w:val="0"/>
                          <w:marBottom w:val="0"/>
                          <w:divBdr>
                            <w:top w:val="none" w:sz="0" w:space="0" w:color="auto"/>
                            <w:left w:val="none" w:sz="0" w:space="0" w:color="auto"/>
                            <w:bottom w:val="none" w:sz="0" w:space="0" w:color="auto"/>
                            <w:right w:val="none" w:sz="0" w:space="0" w:color="auto"/>
                          </w:divBdr>
                          <w:divsChild>
                            <w:div w:id="1918049488">
                              <w:marLeft w:val="0"/>
                              <w:marRight w:val="0"/>
                              <w:marTop w:val="0"/>
                              <w:marBottom w:val="0"/>
                              <w:divBdr>
                                <w:top w:val="none" w:sz="0" w:space="0" w:color="auto"/>
                                <w:left w:val="none" w:sz="0" w:space="0" w:color="auto"/>
                                <w:bottom w:val="none" w:sz="0" w:space="0" w:color="auto"/>
                                <w:right w:val="none" w:sz="0" w:space="0" w:color="auto"/>
                              </w:divBdr>
                              <w:divsChild>
                                <w:div w:id="725029685">
                                  <w:marLeft w:val="0"/>
                                  <w:marRight w:val="0"/>
                                  <w:marTop w:val="0"/>
                                  <w:marBottom w:val="0"/>
                                  <w:divBdr>
                                    <w:top w:val="none" w:sz="0" w:space="0" w:color="auto"/>
                                    <w:left w:val="none" w:sz="0" w:space="0" w:color="auto"/>
                                    <w:bottom w:val="none" w:sz="0" w:space="0" w:color="auto"/>
                                    <w:right w:val="none" w:sz="0" w:space="0" w:color="auto"/>
                                  </w:divBdr>
                                  <w:divsChild>
                                    <w:div w:id="480003024">
                                      <w:marLeft w:val="0"/>
                                      <w:marRight w:val="0"/>
                                      <w:marTop w:val="0"/>
                                      <w:marBottom w:val="0"/>
                                      <w:divBdr>
                                        <w:top w:val="none" w:sz="0" w:space="0" w:color="auto"/>
                                        <w:left w:val="none" w:sz="0" w:space="0" w:color="auto"/>
                                        <w:bottom w:val="none" w:sz="0" w:space="0" w:color="auto"/>
                                        <w:right w:val="none" w:sz="0" w:space="0" w:color="auto"/>
                                      </w:divBdr>
                                      <w:divsChild>
                                        <w:div w:id="13919195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tga.copyright@tga.gov.au" TargetMode="External"/><Relationship Id="rId18" Type="http://schemas.openxmlformats.org/officeDocument/2006/relationships/diagramColors" Target="diagrams/colors1.xml"/><Relationship Id="rId26" Type="http://schemas.openxmlformats.org/officeDocument/2006/relationships/header" Target="header3.xml"/><Relationship Id="rId3" Type="http://schemas.openxmlformats.org/officeDocument/2006/relationships/styles" Target="styles.xml"/><Relationship Id="rId21" Type="http://schemas.openxmlformats.org/officeDocument/2006/relationships/hyperlink" Target="https://www.tga.gov.au/book-page/scheduling-factors" TargetMode="External"/><Relationship Id="rId34"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diagramQuickStyle" Target="diagrams/quickStyle1.xml"/><Relationship Id="rId25" Type="http://schemas.openxmlformats.org/officeDocument/2006/relationships/hyperlink" Target="https://www.tga.gov.au/form/application-amend-poisons-standard" TargetMode="External"/><Relationship Id="rId33"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diagramLayout" Target="diagrams/layout1.xml"/><Relationship Id="rId20" Type="http://schemas.openxmlformats.org/officeDocument/2006/relationships/hyperlink" Target="https://www.tga.gov.au/publication/ahmac-scheduling-policy-framework-medicines-and-chemicals" TargetMode="External"/><Relationship Id="rId29" Type="http://schemas.openxmlformats.org/officeDocument/2006/relationships/hyperlink" Target="mailto:info@tga.gov.au"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24" Type="http://schemas.openxmlformats.org/officeDocument/2006/relationships/hyperlink" Target="https://www.tga.gov.au/publication/scheduling-handbook-guidance-amending-poisons-standard" TargetMode="External"/><Relationship Id="rId32" Type="http://schemas.openxmlformats.org/officeDocument/2006/relationships/footer" Target="footer4.xml"/><Relationship Id="rId5" Type="http://schemas.openxmlformats.org/officeDocument/2006/relationships/settings" Target="settings.xml"/><Relationship Id="rId15" Type="http://schemas.openxmlformats.org/officeDocument/2006/relationships/diagramData" Target="diagrams/data1.xml"/><Relationship Id="rId23" Type="http://schemas.openxmlformats.org/officeDocument/2006/relationships/image" Target="media/image3.png"/><Relationship Id="rId28" Type="http://schemas.openxmlformats.org/officeDocument/2006/relationships/header" Target="header4.xml"/><Relationship Id="rId10" Type="http://schemas.openxmlformats.org/officeDocument/2006/relationships/footer" Target="footer1.xml"/><Relationship Id="rId19" Type="http://schemas.microsoft.com/office/2007/relationships/diagramDrawing" Target="diagrams/drawing1.xml"/><Relationship Id="rId31" Type="http://schemas.openxmlformats.org/officeDocument/2006/relationships/header" Target="header5.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hyperlink" Target="http://www.tga.gov.au/publication/poisons-standard-susmp" TargetMode="External"/><Relationship Id="rId22" Type="http://schemas.openxmlformats.org/officeDocument/2006/relationships/hyperlink" Target="https://www.tga.gov.au/scheduling-news" TargetMode="External"/><Relationship Id="rId27" Type="http://schemas.openxmlformats.org/officeDocument/2006/relationships/footer" Target="footer3.xml"/><Relationship Id="rId30" Type="http://schemas.openxmlformats.org/officeDocument/2006/relationships/hyperlink" Target="https://www.tga.gov.au" TargetMode="External"/></Relationships>
</file>

<file path=word/_rels/header2.xml.rels><?xml version="1.0" encoding="UTF-8" standalone="yes"?>
<Relationships xmlns="http://schemas.openxmlformats.org/package/2006/relationships"><Relationship Id="rId2" Type="http://schemas.openxmlformats.org/officeDocument/2006/relationships/image" Target="media/image2.gif"/><Relationship Id="rId1" Type="http://schemas.openxmlformats.org/officeDocument/2006/relationships/image" Target="media/image1.gif"/></Relationships>
</file>

<file path=word/_rels/settings.xml.rels><?xml version="1.0" encoding="UTF-8" standalone="yes"?>
<Relationships xmlns="http://schemas.openxmlformats.org/package/2006/relationships"><Relationship Id="rId1" Type="http://schemas.openxmlformats.org/officeDocument/2006/relationships/attachedTemplate" Target="file:///I:\Departmental%20Templates\TGA%20External\Consultation%20paper.dotx" TargetMode="External"/></Relationships>
</file>

<file path=word/diagrams/colors1.xml><?xml version="1.0" encoding="utf-8"?>
<dgm:colorsDef xmlns:dgm="http://schemas.openxmlformats.org/drawingml/2006/diagram" xmlns:a="http://schemas.openxmlformats.org/drawingml/2006/main" uniqueId="urn:microsoft.com/office/officeart/2005/8/colors/colorful5">
  <dgm:title val=""/>
  <dgm:desc val=""/>
  <dgm:catLst>
    <dgm:cat type="colorful" pri="10500"/>
  </dgm:catLst>
  <dgm:styleLbl name="node0">
    <dgm:fillClrLst meth="repeat">
      <a:schemeClr val="accent4"/>
    </dgm:fillClrLst>
    <dgm:linClrLst meth="repeat">
      <a:schemeClr val="lt1"/>
    </dgm:linClrLst>
    <dgm:effectClrLst/>
    <dgm:txLinClrLst/>
    <dgm:txFillClrLst/>
    <dgm:txEffectClrLst/>
  </dgm:styleLbl>
  <dgm:styleLbl name="node1">
    <dgm:fillClrLst>
      <a:schemeClr val="accent5"/>
      <a:schemeClr val="accent6"/>
    </dgm:fillClrLst>
    <dgm:linClrLst meth="repeat">
      <a:schemeClr val="lt1"/>
    </dgm:linClrLst>
    <dgm:effectClrLst/>
    <dgm:txLinClrLst/>
    <dgm:txFillClrLst/>
    <dgm:txEffectClrLst/>
  </dgm:styleLbl>
  <dgm:styleLbl name="alignNode1">
    <dgm:fillClrLst>
      <a:schemeClr val="accent5"/>
      <a:schemeClr val="accent6"/>
    </dgm:fillClrLst>
    <dgm:linClrLst>
      <a:schemeClr val="accent5"/>
      <a:schemeClr val="accent6"/>
    </dgm:linClrLst>
    <dgm:effectClrLst/>
    <dgm:txLinClrLst/>
    <dgm:txFillClrLst/>
    <dgm:txEffectClrLst/>
  </dgm:styleLbl>
  <dgm:styleLbl name="lnNode1">
    <dgm:fillClrLst>
      <a:schemeClr val="accent5"/>
      <a:schemeClr val="accent6"/>
    </dgm:fillClrLst>
    <dgm:linClrLst meth="repeat">
      <a:schemeClr val="lt1"/>
    </dgm:linClrLst>
    <dgm:effectClrLst/>
    <dgm:txLinClrLst/>
    <dgm:txFillClrLst/>
    <dgm:txEffectClrLst/>
  </dgm:styleLbl>
  <dgm:styleLbl name="vennNode1">
    <dgm:fillClrLst>
      <a:schemeClr val="accent5">
        <a:alpha val="50000"/>
      </a:schemeClr>
      <a:schemeClr val="accent6">
        <a:alpha val="50000"/>
      </a:schemeClr>
    </dgm:fillClrLst>
    <dgm:linClrLst meth="repeat">
      <a:schemeClr val="lt1"/>
    </dgm:linClrLst>
    <dgm:effectClrLst/>
    <dgm:txLinClrLst/>
    <dgm:txFillClrLst/>
    <dgm:txEffectClrLst/>
  </dgm:styleLbl>
  <dgm:styleLbl name="node2">
    <dgm:fillClrLst>
      <a:schemeClr val="accent6"/>
    </dgm:fillClrLst>
    <dgm:linClrLst meth="repeat">
      <a:schemeClr val="lt1"/>
    </dgm:linClrLst>
    <dgm:effectClrLst/>
    <dgm:txLinClrLst/>
    <dgm:txFillClrLst/>
    <dgm:txEffectClrLst/>
  </dgm:styleLbl>
  <dgm:styleLbl name="node3">
    <dgm:fillClrLst>
      <a:schemeClr val="accent1"/>
    </dgm:fillClrLst>
    <dgm:linClrLst meth="repeat">
      <a:schemeClr val="lt1"/>
    </dgm:linClrLst>
    <dgm:effectClrLst/>
    <dgm:txLinClrLst/>
    <dgm:txFillClrLst/>
    <dgm:txEffectClrLst/>
  </dgm:styleLbl>
  <dgm:styleLbl name="node4">
    <dgm:fillClrLst>
      <a:schemeClr val="accent2"/>
    </dgm:fillClrLst>
    <dgm:linClrLst meth="repeat">
      <a:schemeClr val="lt1"/>
    </dgm:linClrLst>
    <dgm:effectClrLst/>
    <dgm:txLinClrLst/>
    <dgm:txFillClrLst/>
    <dgm:txEffectClrLst/>
  </dgm:styleLbl>
  <dgm:styleLbl name="fgImgPlace1">
    <dgm:fillClrLst>
      <a:schemeClr val="accent5">
        <a:tint val="50000"/>
      </a:schemeClr>
      <a:schemeClr val="accent6">
        <a:tint val="50000"/>
      </a:schemeClr>
    </dgm:fillClrLst>
    <dgm:linClrLst meth="repeat">
      <a:schemeClr val="lt1"/>
    </dgm:linClrLst>
    <dgm:effectClrLst/>
    <dgm:txLinClrLst/>
    <dgm:txFillClrLst meth="repeat">
      <a:schemeClr val="lt1"/>
    </dgm:txFillClrLst>
    <dgm:txEffectClrLst/>
  </dgm:styleLbl>
  <dgm:styleLbl name="alignImgPlace1">
    <dgm:fillClrLst>
      <a:schemeClr val="accent5">
        <a:tint val="50000"/>
      </a:schemeClr>
      <a:schemeClr val="accent6">
        <a:tint val="20000"/>
      </a:schemeClr>
    </dgm:fillClrLst>
    <dgm:linClrLst meth="repeat">
      <a:schemeClr val="lt1"/>
    </dgm:linClrLst>
    <dgm:effectClrLst/>
    <dgm:txLinClrLst/>
    <dgm:txFillClrLst meth="repeat">
      <a:schemeClr val="lt1"/>
    </dgm:txFillClrLst>
    <dgm:txEffectClrLst/>
  </dgm:styleLbl>
  <dgm:styleLbl name="bgImgPlace1">
    <dgm:fillClrLst>
      <a:schemeClr val="accent5">
        <a:tint val="50000"/>
      </a:schemeClr>
      <a:schemeClr val="accent6">
        <a:tint val="20000"/>
      </a:schemeClr>
    </dgm:fillClrLst>
    <dgm:linClrLst meth="repeat">
      <a:schemeClr val="lt1"/>
    </dgm:linClrLst>
    <dgm:effectClrLst/>
    <dgm:txLinClrLst/>
    <dgm:txFillClrLst meth="repeat">
      <a:schemeClr val="lt1"/>
    </dgm:txFillClrLst>
    <dgm:txEffectClrLst/>
  </dgm:styleLbl>
  <dgm:styleLbl name="sibTrans2D1">
    <dgm:fillClrLst>
      <a:schemeClr val="accent5"/>
      <a:schemeClr val="accent6"/>
    </dgm:fillClrLst>
    <dgm:linClrLst meth="repeat">
      <a:schemeClr val="lt1"/>
    </dgm:linClrLst>
    <dgm:effectClrLst/>
    <dgm:txLinClrLst/>
    <dgm:txFillClrLst/>
    <dgm:txEffectClrLst/>
  </dgm:styleLbl>
  <dgm:styleLbl name="fgSibTrans2D1">
    <dgm:fillClrLst>
      <a:schemeClr val="accent5"/>
      <a:schemeClr val="accent6"/>
    </dgm:fillClrLst>
    <dgm:linClrLst meth="repeat">
      <a:schemeClr val="lt1"/>
    </dgm:linClrLst>
    <dgm:effectClrLst/>
    <dgm:txLinClrLst/>
    <dgm:txFillClrLst meth="repeat">
      <a:schemeClr val="lt1"/>
    </dgm:txFillClrLst>
    <dgm:txEffectClrLst/>
  </dgm:styleLbl>
  <dgm:styleLbl name="bgSibTrans2D1">
    <dgm:fillClrLst>
      <a:schemeClr val="accent5"/>
      <a:schemeClr val="accent6"/>
    </dgm:fillClrLst>
    <dgm:linClrLst meth="repeat">
      <a:schemeClr val="lt1"/>
    </dgm:linClrLst>
    <dgm:effectClrLst/>
    <dgm:txLinClrLst/>
    <dgm:txFillClrLst meth="repeat">
      <a:schemeClr val="lt1"/>
    </dgm:txFillClrLst>
    <dgm:txEffectClrLst/>
  </dgm:styleLbl>
  <dgm:styleLbl name="sibTrans1D1">
    <dgm:fillClrLst/>
    <dgm:linClrLst>
      <a:schemeClr val="accent5"/>
      <a:schemeClr val="accent6"/>
    </dgm:linClrLst>
    <dgm:effectClrLst/>
    <dgm:txLinClrLst/>
    <dgm:txFillClrLst meth="repeat">
      <a:schemeClr val="tx1"/>
    </dgm:txFillClrLst>
    <dgm:txEffectClrLst/>
  </dgm:styleLbl>
  <dgm:styleLbl name="callout">
    <dgm:fillClrLst meth="repeat">
      <a:schemeClr val="accent5"/>
    </dgm:fillClrLst>
    <dgm:linClrLst meth="repeat">
      <a:schemeClr val="accent5">
        <a:tint val="50000"/>
      </a:schemeClr>
    </dgm:linClrLst>
    <dgm:effectClrLst/>
    <dgm:txLinClrLst/>
    <dgm:txFillClrLst meth="repeat">
      <a:schemeClr val="tx1"/>
    </dgm:txFillClrLst>
    <dgm:txEffectClrLst/>
  </dgm:styleLbl>
  <dgm:styleLbl name="asst0">
    <dgm:fillClrLst meth="repeat">
      <a:schemeClr val="accent5"/>
    </dgm:fillClrLst>
    <dgm:linClrLst meth="repeat">
      <a:schemeClr val="lt1">
        <a:shade val="80000"/>
      </a:schemeClr>
    </dgm:linClrLst>
    <dgm:effectClrLst/>
    <dgm:txLinClrLst/>
    <dgm:txFillClrLst/>
    <dgm:txEffectClrLst/>
  </dgm:styleLbl>
  <dgm:styleLbl name="asst1">
    <dgm:fillClrLst meth="repeat">
      <a:schemeClr val="accent6"/>
    </dgm:fillClrLst>
    <dgm:linClrLst meth="repeat">
      <a:schemeClr val="lt1">
        <a:shade val="80000"/>
      </a:schemeClr>
    </dgm:linClrLst>
    <dgm:effectClrLst/>
    <dgm:txLinClrLst/>
    <dgm:txFillClrLst/>
    <dgm:txEffectClrLst/>
  </dgm:styleLbl>
  <dgm:styleLbl name="asst2">
    <dgm:fillClrLst>
      <a:schemeClr val="accent1"/>
    </dgm:fillClrLst>
    <dgm:linClrLst meth="repeat">
      <a:schemeClr val="lt1"/>
    </dgm:linClrLst>
    <dgm:effectClrLst/>
    <dgm:txLinClrLst/>
    <dgm:txFillClrLst/>
    <dgm:txEffectClrLst/>
  </dgm:styleLbl>
  <dgm:styleLbl name="asst3">
    <dgm:fillClrLst>
      <a:schemeClr val="accent2"/>
    </dgm:fillClrLst>
    <dgm:linClrLst meth="repeat">
      <a:schemeClr val="lt1"/>
    </dgm:linClrLst>
    <dgm:effectClrLst/>
    <dgm:txLinClrLst/>
    <dgm:txFillClrLst/>
    <dgm:txEffectClrLst/>
  </dgm:styleLbl>
  <dgm:styleLbl name="asst4">
    <dgm:fillClrLst>
      <a:schemeClr val="accent3"/>
    </dgm:fillClrLst>
    <dgm:linClrLst meth="repeat">
      <a:schemeClr val="lt1"/>
    </dgm:linClrLst>
    <dgm:effectClrLst/>
    <dgm:txLinClrLst/>
    <dgm:txFillClrLst/>
    <dgm:txEffectClrLst/>
  </dgm:styleLbl>
  <dgm:styleLbl name="parChTrans2D1">
    <dgm:fillClrLst meth="repeat">
      <a:schemeClr val="accent5"/>
    </dgm:fillClrLst>
    <dgm:linClrLst meth="repeat">
      <a:schemeClr val="lt1"/>
    </dgm:linClrLst>
    <dgm:effectClrLst/>
    <dgm:txLinClrLst/>
    <dgm:txFillClrLst meth="repeat">
      <a:schemeClr val="lt1"/>
    </dgm:txFillClrLst>
    <dgm:txEffectClrLst/>
  </dgm:styleLbl>
  <dgm:styleLbl name="parChTrans2D2">
    <dgm:fillClrLst meth="repeat">
      <a:schemeClr val="accent6"/>
    </dgm:fillClrLst>
    <dgm:linClrLst meth="repeat">
      <a:schemeClr val="lt1"/>
    </dgm:linClrLst>
    <dgm:effectClrLst/>
    <dgm:txLinClrLst/>
    <dgm:txFillClrLst/>
    <dgm:txEffectClrLst/>
  </dgm:styleLbl>
  <dgm:styleLbl name="parChTrans2D3">
    <dgm:fillClrLst meth="repeat">
      <a:schemeClr val="accent6"/>
    </dgm:fillClrLst>
    <dgm:linClrLst meth="repeat">
      <a:schemeClr val="lt1"/>
    </dgm:linClrLst>
    <dgm:effectClrLst/>
    <dgm:txLinClrLst/>
    <dgm:txFillClrLst/>
    <dgm:txEffectClrLst/>
  </dgm:styleLbl>
  <dgm:styleLbl name="parChTrans2D4">
    <dgm:fillClrLst meth="repeat">
      <a:schemeClr val="accent1"/>
    </dgm:fillClrLst>
    <dgm:linClrLst meth="repeat">
      <a:schemeClr val="lt1"/>
    </dgm:linClrLst>
    <dgm:effectClrLst/>
    <dgm:txLinClrLst/>
    <dgm:txFillClrLst meth="repeat">
      <a:schemeClr val="lt1"/>
    </dgm:txFillClrLst>
    <dgm:txEffectClrLst/>
  </dgm:styleLbl>
  <dgm:styleLbl name="parChTrans1D1">
    <dgm:fillClrLst meth="repeat">
      <a:schemeClr val="accent5"/>
    </dgm:fillClrLst>
    <dgm:linClrLst meth="repeat">
      <a:schemeClr val="accent5"/>
    </dgm:linClrLst>
    <dgm:effectClrLst/>
    <dgm:txLinClrLst/>
    <dgm:txFillClrLst meth="repeat">
      <a:schemeClr val="tx1"/>
    </dgm:txFillClrLst>
    <dgm:txEffectClrLst/>
  </dgm:styleLbl>
  <dgm:styleLbl name="parChTrans1D2">
    <dgm:fillClrLst meth="repeat">
      <a:schemeClr val="accent6">
        <a:tint val="90000"/>
      </a:schemeClr>
    </dgm:fillClrLst>
    <dgm:linClrLst meth="repeat">
      <a:schemeClr val="accent6"/>
    </dgm:linClrLst>
    <dgm:effectClrLst/>
    <dgm:txLinClrLst/>
    <dgm:txFillClrLst meth="repeat">
      <a:schemeClr val="tx1"/>
    </dgm:txFillClrLst>
    <dgm:txEffectClrLst/>
  </dgm:styleLbl>
  <dgm:styleLbl name="parChTrans1D3">
    <dgm:fillClrLst meth="repeat">
      <a:schemeClr val="accent6">
        <a:tint val="70000"/>
      </a:schemeClr>
    </dgm:fillClrLst>
    <dgm:linClrLst meth="repeat">
      <a:schemeClr val="accent1"/>
    </dgm:linClrLst>
    <dgm:effectClrLst/>
    <dgm:txLinClrLst/>
    <dgm:txFillClrLst meth="repeat">
      <a:schemeClr val="tx1"/>
    </dgm:txFillClrLst>
    <dgm:txEffectClrLst/>
  </dgm:styleLbl>
  <dgm:styleLbl name="parChTrans1D4">
    <dgm:fillClrLst meth="repeat">
      <a:schemeClr val="accent6">
        <a:tint val="50000"/>
      </a:schemeClr>
    </dgm:fillClrLst>
    <dgm:linClrLst meth="repeat">
      <a:schemeClr val="accent2"/>
    </dgm:linClrLst>
    <dgm:effectClrLst/>
    <dgm:txLinClrLst/>
    <dgm:txFillClrLst meth="repeat">
      <a:schemeClr val="tx1"/>
    </dgm:txFillClrLst>
    <dgm:txEffectClrLst/>
  </dgm:styleLbl>
  <dgm:styleLbl name="fgAcc1">
    <dgm:fillClrLst meth="repeat">
      <a:schemeClr val="lt1">
        <a:alpha val="90000"/>
      </a:schemeClr>
    </dgm:fillClrLst>
    <dgm:linClrLst>
      <a:schemeClr val="accent5"/>
      <a:schemeClr val="accent6"/>
    </dgm:linClrLst>
    <dgm:effectClrLst/>
    <dgm:txLinClrLst/>
    <dgm:txFillClrLst meth="repeat">
      <a:schemeClr val="dk1"/>
    </dgm:txFillClrLst>
    <dgm:txEffectClrLst/>
  </dgm:styleLbl>
  <dgm:styleLbl name="conFgAcc1">
    <dgm:fillClrLst meth="repeat">
      <a:schemeClr val="lt1">
        <a:alpha val="90000"/>
      </a:schemeClr>
    </dgm:fillClrLst>
    <dgm:linClrLst>
      <a:schemeClr val="accent5"/>
      <a:schemeClr val="accent6"/>
    </dgm:linClrLst>
    <dgm:effectClrLst/>
    <dgm:txLinClrLst/>
    <dgm:txFillClrLst meth="repeat">
      <a:schemeClr val="dk1"/>
    </dgm:txFillClrLst>
    <dgm:txEffectClrLst/>
  </dgm:styleLbl>
  <dgm:styleLbl name="alignAcc1">
    <dgm:fillClrLst meth="repeat">
      <a:schemeClr val="lt1">
        <a:alpha val="90000"/>
      </a:schemeClr>
    </dgm:fillClrLst>
    <dgm:linClrLst>
      <a:schemeClr val="accent5"/>
      <a:schemeClr val="accent6"/>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5"/>
    </dgm:linClrLst>
    <dgm:effectClrLst/>
    <dgm:txLinClrLst/>
    <dgm:txFillClrLst meth="repeat">
      <a:schemeClr val="dk1"/>
    </dgm:txFillClrLst>
    <dgm:txEffectClrLst/>
  </dgm:styleLbl>
  <dgm:styleLbl name="bgAcc1">
    <dgm:fillClrLst meth="repeat">
      <a:schemeClr val="lt1">
        <a:alpha val="90000"/>
      </a:schemeClr>
    </dgm:fillClrLst>
    <dgm:linClrLst>
      <a:schemeClr val="accent5"/>
      <a:schemeClr val="accent6"/>
    </dgm:linClrLst>
    <dgm:effectClrLst/>
    <dgm:txLinClrLst/>
    <dgm:txFillClrLst meth="repeat">
      <a:schemeClr val="dk1"/>
    </dgm:txFillClrLst>
    <dgm:txEffectClrLst/>
  </dgm:styleLbl>
  <dgm:styleLbl name="solidFgAcc1">
    <dgm:fillClrLst meth="repeat">
      <a:schemeClr val="lt1"/>
    </dgm:fillClrLst>
    <dgm:linClrLst>
      <a:schemeClr val="accent5"/>
      <a:schemeClr val="accent6"/>
    </dgm:linClrLst>
    <dgm:effectClrLst/>
    <dgm:txLinClrLst/>
    <dgm:txFillClrLst meth="repeat">
      <a:schemeClr val="dk1"/>
    </dgm:txFillClrLst>
    <dgm:txEffectClrLst/>
  </dgm:styleLbl>
  <dgm:styleLbl name="solidAlignAcc1">
    <dgm:fillClrLst meth="repeat">
      <a:schemeClr val="lt1"/>
    </dgm:fillClrLst>
    <dgm:linClrLst>
      <a:schemeClr val="accent5"/>
      <a:schemeClr val="accent6"/>
    </dgm:linClrLst>
    <dgm:effectClrLst/>
    <dgm:txLinClrLst/>
    <dgm:txFillClrLst meth="repeat">
      <a:schemeClr val="dk1"/>
    </dgm:txFillClrLst>
    <dgm:txEffectClrLst/>
  </dgm:styleLbl>
  <dgm:styleLbl name="solidBgAcc1">
    <dgm:fillClrLst meth="repeat">
      <a:schemeClr val="lt1"/>
    </dgm:fillClrLst>
    <dgm:linClrLst>
      <a:schemeClr val="accent5"/>
      <a:schemeClr val="accent6"/>
    </dgm:linClrLst>
    <dgm:effectClrLst/>
    <dgm:txLinClrLst/>
    <dgm:txFillClrLst meth="repeat">
      <a:schemeClr val="dk1"/>
    </dgm:txFillClrLst>
    <dgm:txEffectClrLst/>
  </dgm:styleLbl>
  <dgm:styleLbl name="fgAccFollowNode1">
    <dgm:fillClrLst>
      <a:schemeClr val="accent5">
        <a:tint val="40000"/>
        <a:alpha val="90000"/>
      </a:schemeClr>
      <a:schemeClr val="accent6">
        <a:tint val="40000"/>
        <a:alpha val="90000"/>
      </a:schemeClr>
    </dgm:fillClrLst>
    <dgm:linClrLst>
      <a:schemeClr val="accent5">
        <a:tint val="40000"/>
        <a:alpha val="90000"/>
      </a:schemeClr>
      <a:schemeClr val="accent5">
        <a:tint val="40000"/>
        <a:alpha val="90000"/>
      </a:schemeClr>
    </dgm:linClrLst>
    <dgm:effectClrLst/>
    <dgm:txLinClrLst/>
    <dgm:txFillClrLst meth="repeat">
      <a:schemeClr val="dk1"/>
    </dgm:txFillClrLst>
    <dgm:txEffectClrLst/>
  </dgm:styleLbl>
  <dgm:styleLbl name="alignAccFollowNode1">
    <dgm:fillClrLst>
      <a:schemeClr val="accent5">
        <a:tint val="40000"/>
        <a:alpha val="90000"/>
      </a:schemeClr>
      <a:schemeClr val="accent6">
        <a:tint val="40000"/>
        <a:alpha val="90000"/>
      </a:schemeClr>
    </dgm:fillClrLst>
    <dgm:linClrLst>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bgAccFollowNode1">
    <dgm:fillClrLst>
      <a:schemeClr val="accent5">
        <a:tint val="40000"/>
        <a:alpha val="90000"/>
      </a:schemeClr>
      <a:schemeClr val="accent6">
        <a:tint val="40000"/>
        <a:alpha val="90000"/>
      </a:schemeClr>
    </dgm:fillClrLst>
    <dgm:linClrLst>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fgAcc0">
    <dgm:fillClrLst meth="repeat">
      <a:schemeClr val="lt1">
        <a:alpha val="90000"/>
      </a:schemeClr>
    </dgm:fillClrLst>
    <dgm:linClrLst>
      <a:schemeClr val="accent4"/>
    </dgm:linClrLst>
    <dgm:effectClrLst/>
    <dgm:txLinClrLst/>
    <dgm:txFillClrLst meth="repeat">
      <a:schemeClr val="dk1"/>
    </dgm:txFillClrLst>
    <dgm:txEffectClrLst/>
  </dgm:styleLbl>
  <dgm:styleLbl name="fgAcc2">
    <dgm:fillClrLst meth="repeat">
      <a:schemeClr val="lt1">
        <a:alpha val="90000"/>
      </a:schemeClr>
    </dgm:fillClrLst>
    <dgm:linClrLst>
      <a:schemeClr val="accent6"/>
    </dgm:linClrLst>
    <dgm:effectClrLst/>
    <dgm:txLinClrLst/>
    <dgm:txFillClrLst meth="repeat">
      <a:schemeClr val="dk1"/>
    </dgm:txFillClrLst>
    <dgm:txEffectClrLst/>
  </dgm:styleLbl>
  <dgm:styleLbl name="fgAcc3">
    <dgm:fillClrLst meth="repeat">
      <a:schemeClr val="lt1">
        <a:alpha val="90000"/>
      </a:schemeClr>
    </dgm:fillClrLst>
    <dgm:linClrLst>
      <a:schemeClr val="accent1"/>
    </dgm:linClrLst>
    <dgm:effectClrLst/>
    <dgm:txLinClrLst/>
    <dgm:txFillClrLst meth="repeat">
      <a:schemeClr val="dk1"/>
    </dgm:txFillClrLst>
    <dgm:txEffectClrLst/>
  </dgm:styleLbl>
  <dgm:styleLbl name="fgAcc4">
    <dgm:fillClrLst meth="repeat">
      <a:schemeClr val="lt1">
        <a:alpha val="90000"/>
      </a:schemeClr>
    </dgm:fillClrLst>
    <dgm:linClrLst>
      <a:schemeClr val="accent2"/>
    </dgm:linClrLst>
    <dgm:effectClrLst/>
    <dgm:txLinClrLst/>
    <dgm:txFillClrLst meth="repeat">
      <a:schemeClr val="dk1"/>
    </dgm:txFillClrLst>
    <dgm:txEffectClrLst/>
  </dgm:styleLbl>
  <dgm:styleLbl name="bgShp">
    <dgm:fillClrLst meth="repeat">
      <a:schemeClr val="accent5">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accent5">
        <a:shade val="90000"/>
      </a:schemeClr>
    </dgm:fillClrLst>
    <dgm:linClrLst meth="repeat">
      <a:schemeClr val="dk1"/>
    </dgm:linClrLst>
    <dgm:effectClrLst/>
    <dgm:txLinClrLst/>
    <dgm:txFillClrLst meth="repeat">
      <a:schemeClr val="lt1"/>
    </dgm:txFillClrLst>
    <dgm:txEffectClrLst/>
  </dgm:styleLbl>
  <dgm:styleLbl name="trBgShp">
    <dgm:fillClrLst meth="repeat">
      <a:schemeClr val="accent5">
        <a:tint val="50000"/>
        <a:alpha val="40000"/>
      </a:schemeClr>
    </dgm:fillClrLst>
    <dgm:linClrLst meth="repeat">
      <a:schemeClr val="accent5"/>
    </dgm:linClrLst>
    <dgm:effectClrLst/>
    <dgm:txLinClrLst/>
    <dgm:txFillClrLst meth="repeat">
      <a:schemeClr val="lt1"/>
    </dgm:txFillClrLst>
    <dgm:txEffectClrLst/>
  </dgm:styleLbl>
  <dgm:styleLbl name="fgShp">
    <dgm:fillClrLst meth="repeat">
      <a:schemeClr val="accent5">
        <a:tint val="4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22D7C960-39FA-4CBF-B5A3-761F540D0AAF}" type="doc">
      <dgm:prSet loTypeId="urn:microsoft.com/office/officeart/2005/8/layout/process4" loCatId="list" qsTypeId="urn:microsoft.com/office/officeart/2005/8/quickstyle/simple1" qsCatId="simple" csTypeId="urn:microsoft.com/office/officeart/2005/8/colors/colorful5" csCatId="colorful" phldr="1"/>
      <dgm:spPr/>
      <dgm:t>
        <a:bodyPr/>
        <a:lstStyle/>
        <a:p>
          <a:endParaRPr lang="en-AU"/>
        </a:p>
      </dgm:t>
    </dgm:pt>
    <dgm:pt modelId="{F62A066C-21D4-45BD-AFFE-32D9FED7FA4E}">
      <dgm:prSet phldrT="[Text]"/>
      <dgm:spPr/>
      <dgm:t>
        <a:bodyPr/>
        <a:lstStyle/>
        <a:p>
          <a:pPr algn="ctr"/>
          <a:r>
            <a:rPr lang="en-AU"/>
            <a:t>Criteria for Appendix M (ie applicable interventions/additional requirements) will be detailed in the </a:t>
          </a:r>
          <a:r>
            <a:rPr lang="en-AU" b="1" i="1"/>
            <a:t>Scheduling Handbook</a:t>
          </a:r>
          <a:endParaRPr lang="en-AU"/>
        </a:p>
      </dgm:t>
    </dgm:pt>
    <dgm:pt modelId="{182E8AB7-BACC-48D8-B430-34680D17396F}" type="sibTrans" cxnId="{5475EDBC-DBC5-4C43-8180-CA62BFAEF357}">
      <dgm:prSet/>
      <dgm:spPr/>
      <dgm:t>
        <a:bodyPr/>
        <a:lstStyle/>
        <a:p>
          <a:pPr algn="ctr"/>
          <a:endParaRPr lang="en-AU"/>
        </a:p>
      </dgm:t>
    </dgm:pt>
    <dgm:pt modelId="{5DAD2E47-90F1-41F3-BE39-53BDB8C25CE7}" type="parTrans" cxnId="{5475EDBC-DBC5-4C43-8180-CA62BFAEF357}">
      <dgm:prSet/>
      <dgm:spPr/>
      <dgm:t>
        <a:bodyPr/>
        <a:lstStyle/>
        <a:p>
          <a:pPr algn="ctr"/>
          <a:endParaRPr lang="en-AU"/>
        </a:p>
      </dgm:t>
    </dgm:pt>
    <dgm:pt modelId="{0B572DB8-4345-48D3-8A21-4F9057F60F4D}">
      <dgm:prSet phldrT="[Text]"/>
      <dgm:spPr/>
      <dgm:t>
        <a:bodyPr/>
        <a:lstStyle/>
        <a:p>
          <a:pPr algn="ctr"/>
          <a:r>
            <a:rPr lang="en-AU"/>
            <a:t>The </a:t>
          </a:r>
          <a:r>
            <a:rPr lang="en-AU" b="1" i="1"/>
            <a:t>Application to Amend the Poisons Standard </a:t>
          </a:r>
          <a:r>
            <a:rPr lang="en-AU"/>
            <a:t>will provide  guidance to applicants on information required to support their application for Appendix M inclusion</a:t>
          </a:r>
        </a:p>
      </dgm:t>
    </dgm:pt>
    <dgm:pt modelId="{02B10C66-05F2-406F-BBC1-8423F4005A30}" type="parTrans" cxnId="{D13B08C4-68D6-4309-A4C2-DED4B77966E1}">
      <dgm:prSet/>
      <dgm:spPr/>
      <dgm:t>
        <a:bodyPr/>
        <a:lstStyle/>
        <a:p>
          <a:pPr algn="ctr"/>
          <a:endParaRPr lang="en-AU"/>
        </a:p>
      </dgm:t>
    </dgm:pt>
    <dgm:pt modelId="{EF405000-0CF7-4795-8409-2E29396F5098}" type="sibTrans" cxnId="{D13B08C4-68D6-4309-A4C2-DED4B77966E1}">
      <dgm:prSet/>
      <dgm:spPr/>
      <dgm:t>
        <a:bodyPr/>
        <a:lstStyle/>
        <a:p>
          <a:pPr algn="ctr"/>
          <a:endParaRPr lang="en-AU"/>
        </a:p>
      </dgm:t>
    </dgm:pt>
    <dgm:pt modelId="{73A5BD8F-47B4-49AF-AD57-5B8CEA3CF46C}">
      <dgm:prSet phldrT="[Text]"/>
      <dgm:spPr/>
      <dgm:t>
        <a:bodyPr/>
        <a:lstStyle/>
        <a:p>
          <a:pPr algn="ctr"/>
          <a:r>
            <a:rPr lang="en-AU"/>
            <a:t>Responsibility for monitoring, evaluation, compliance and enforcement of the supply of Appendix M goods by pharmacists will predominantly reside with </a:t>
          </a:r>
          <a:r>
            <a:rPr lang="en-AU" b="1" i="1"/>
            <a:t>State and Territory Regulators and the Pharmacy Board</a:t>
          </a:r>
          <a:r>
            <a:rPr lang="en-AU"/>
            <a:t>, as is the case with other regulated medicines.</a:t>
          </a:r>
        </a:p>
      </dgm:t>
    </dgm:pt>
    <dgm:pt modelId="{A54DB7D0-B1EF-4B8A-89B9-5B1D947A2ED3}" type="parTrans" cxnId="{2FD6B20A-2032-4282-961D-77F0AD966ED2}">
      <dgm:prSet/>
      <dgm:spPr/>
      <dgm:t>
        <a:bodyPr/>
        <a:lstStyle/>
        <a:p>
          <a:pPr algn="ctr"/>
          <a:endParaRPr lang="en-AU"/>
        </a:p>
      </dgm:t>
    </dgm:pt>
    <dgm:pt modelId="{BA45A163-EB22-4662-8616-D3992E609084}" type="sibTrans" cxnId="{2FD6B20A-2032-4282-961D-77F0AD966ED2}">
      <dgm:prSet/>
      <dgm:spPr/>
      <dgm:t>
        <a:bodyPr/>
        <a:lstStyle/>
        <a:p>
          <a:pPr algn="ctr"/>
          <a:endParaRPr lang="en-AU"/>
        </a:p>
      </dgm:t>
    </dgm:pt>
    <dgm:pt modelId="{573DA522-E921-4CE5-AC2A-18C4BE83F746}">
      <dgm:prSet phldrT="[Text]"/>
      <dgm:spPr/>
      <dgm:t>
        <a:bodyPr/>
        <a:lstStyle/>
        <a:p>
          <a:pPr algn="ctr"/>
          <a:r>
            <a:rPr lang="en-AU" i="0"/>
            <a:t>The ability of the Delegate to require additional controls or supply requirements for certain Schedule 3 substances under </a:t>
          </a:r>
          <a:r>
            <a:rPr lang="en-AU"/>
            <a:t>Appendix M is noted in the </a:t>
          </a:r>
          <a:r>
            <a:rPr lang="en-AU" b="1" i="1"/>
            <a:t>Scheduling Policy Framework</a:t>
          </a:r>
        </a:p>
      </dgm:t>
    </dgm:pt>
    <dgm:pt modelId="{68EE1810-0EDA-43FA-9DE1-37902CEE90AC}" type="sibTrans" cxnId="{F1B963CE-5A38-4CE5-89CB-790A3C74779F}">
      <dgm:prSet/>
      <dgm:spPr/>
      <dgm:t>
        <a:bodyPr/>
        <a:lstStyle/>
        <a:p>
          <a:pPr algn="ctr"/>
          <a:endParaRPr lang="en-AU"/>
        </a:p>
      </dgm:t>
    </dgm:pt>
    <dgm:pt modelId="{B90A868F-6F0E-4371-BCDF-3ADEB156BDC0}" type="parTrans" cxnId="{F1B963CE-5A38-4CE5-89CB-790A3C74779F}">
      <dgm:prSet/>
      <dgm:spPr/>
      <dgm:t>
        <a:bodyPr/>
        <a:lstStyle/>
        <a:p>
          <a:pPr algn="ctr"/>
          <a:endParaRPr lang="en-AU"/>
        </a:p>
      </dgm:t>
    </dgm:pt>
    <dgm:pt modelId="{95678DFC-201B-4C48-8356-12DB37D12B1D}" type="pres">
      <dgm:prSet presAssocID="{22D7C960-39FA-4CBF-B5A3-761F540D0AAF}" presName="Name0" presStyleCnt="0">
        <dgm:presLayoutVars>
          <dgm:dir/>
          <dgm:animLvl val="lvl"/>
          <dgm:resizeHandles val="exact"/>
        </dgm:presLayoutVars>
      </dgm:prSet>
      <dgm:spPr/>
      <dgm:t>
        <a:bodyPr/>
        <a:lstStyle/>
        <a:p>
          <a:endParaRPr lang="en-AU"/>
        </a:p>
      </dgm:t>
    </dgm:pt>
    <dgm:pt modelId="{020CF185-B644-406A-AB0D-C361D0C24F54}" type="pres">
      <dgm:prSet presAssocID="{73A5BD8F-47B4-49AF-AD57-5B8CEA3CF46C}" presName="boxAndChildren" presStyleCnt="0"/>
      <dgm:spPr/>
    </dgm:pt>
    <dgm:pt modelId="{7A0E1344-4FB6-4BCB-A3E7-95188E439CAC}" type="pres">
      <dgm:prSet presAssocID="{73A5BD8F-47B4-49AF-AD57-5B8CEA3CF46C}" presName="parentTextBox" presStyleLbl="node1" presStyleIdx="0" presStyleCnt="4" custLinFactNeighborX="-217"/>
      <dgm:spPr/>
      <dgm:t>
        <a:bodyPr/>
        <a:lstStyle/>
        <a:p>
          <a:endParaRPr lang="en-AU"/>
        </a:p>
      </dgm:t>
    </dgm:pt>
    <dgm:pt modelId="{BEF183B1-45E2-4320-987B-E940AF4A0FF8}" type="pres">
      <dgm:prSet presAssocID="{EF405000-0CF7-4795-8409-2E29396F5098}" presName="sp" presStyleCnt="0"/>
      <dgm:spPr/>
    </dgm:pt>
    <dgm:pt modelId="{193EEA7B-71E4-4686-9E94-6CBE342F8B95}" type="pres">
      <dgm:prSet presAssocID="{0B572DB8-4345-48D3-8A21-4F9057F60F4D}" presName="arrowAndChildren" presStyleCnt="0"/>
      <dgm:spPr/>
    </dgm:pt>
    <dgm:pt modelId="{306090AC-2837-4338-857D-464054D0F429}" type="pres">
      <dgm:prSet presAssocID="{0B572DB8-4345-48D3-8A21-4F9057F60F4D}" presName="parentTextArrow" presStyleLbl="node1" presStyleIdx="1" presStyleCnt="4"/>
      <dgm:spPr/>
      <dgm:t>
        <a:bodyPr/>
        <a:lstStyle/>
        <a:p>
          <a:endParaRPr lang="en-AU"/>
        </a:p>
      </dgm:t>
    </dgm:pt>
    <dgm:pt modelId="{B113D0A6-2C1B-4C9E-85A6-A24DBCDA1252}" type="pres">
      <dgm:prSet presAssocID="{182E8AB7-BACC-48D8-B430-34680D17396F}" presName="sp" presStyleCnt="0"/>
      <dgm:spPr/>
    </dgm:pt>
    <dgm:pt modelId="{D2326F6B-54EF-4AB4-A783-B267F9CE43C0}" type="pres">
      <dgm:prSet presAssocID="{F62A066C-21D4-45BD-AFFE-32D9FED7FA4E}" presName="arrowAndChildren" presStyleCnt="0"/>
      <dgm:spPr/>
    </dgm:pt>
    <dgm:pt modelId="{5BA5C847-961E-4AF3-AF5B-29AB5431022D}" type="pres">
      <dgm:prSet presAssocID="{F62A066C-21D4-45BD-AFFE-32D9FED7FA4E}" presName="parentTextArrow" presStyleLbl="node1" presStyleIdx="2" presStyleCnt="4"/>
      <dgm:spPr/>
      <dgm:t>
        <a:bodyPr/>
        <a:lstStyle/>
        <a:p>
          <a:endParaRPr lang="en-AU"/>
        </a:p>
      </dgm:t>
    </dgm:pt>
    <dgm:pt modelId="{A24E65DA-5B85-4FD3-9D10-A8E94F9755C2}" type="pres">
      <dgm:prSet presAssocID="{68EE1810-0EDA-43FA-9DE1-37902CEE90AC}" presName="sp" presStyleCnt="0"/>
      <dgm:spPr/>
    </dgm:pt>
    <dgm:pt modelId="{70C11B1E-0EB8-422B-8301-CD8A5C262574}" type="pres">
      <dgm:prSet presAssocID="{573DA522-E921-4CE5-AC2A-18C4BE83F746}" presName="arrowAndChildren" presStyleCnt="0"/>
      <dgm:spPr/>
    </dgm:pt>
    <dgm:pt modelId="{F1207744-CE4E-4A0F-9412-19C8BCFDAE41}" type="pres">
      <dgm:prSet presAssocID="{573DA522-E921-4CE5-AC2A-18C4BE83F746}" presName="parentTextArrow" presStyleLbl="node1" presStyleIdx="3" presStyleCnt="4"/>
      <dgm:spPr/>
      <dgm:t>
        <a:bodyPr/>
        <a:lstStyle/>
        <a:p>
          <a:endParaRPr lang="en-AU"/>
        </a:p>
      </dgm:t>
    </dgm:pt>
  </dgm:ptLst>
  <dgm:cxnLst>
    <dgm:cxn modelId="{FF8A7483-AA3C-42B2-BC2B-D706FCFEC505}" type="presOf" srcId="{F62A066C-21D4-45BD-AFFE-32D9FED7FA4E}" destId="{5BA5C847-961E-4AF3-AF5B-29AB5431022D}" srcOrd="0" destOrd="0" presId="urn:microsoft.com/office/officeart/2005/8/layout/process4"/>
    <dgm:cxn modelId="{EF8EA683-948C-4C8F-9BB3-E6A4CEB119A8}" type="presOf" srcId="{22D7C960-39FA-4CBF-B5A3-761F540D0AAF}" destId="{95678DFC-201B-4C48-8356-12DB37D12B1D}" srcOrd="0" destOrd="0" presId="urn:microsoft.com/office/officeart/2005/8/layout/process4"/>
    <dgm:cxn modelId="{2FD6B20A-2032-4282-961D-77F0AD966ED2}" srcId="{22D7C960-39FA-4CBF-B5A3-761F540D0AAF}" destId="{73A5BD8F-47B4-49AF-AD57-5B8CEA3CF46C}" srcOrd="3" destOrd="0" parTransId="{A54DB7D0-B1EF-4B8A-89B9-5B1D947A2ED3}" sibTransId="{BA45A163-EB22-4662-8616-D3992E609084}"/>
    <dgm:cxn modelId="{8BC72194-54FC-4737-A0E2-9664E8970ACD}" type="presOf" srcId="{573DA522-E921-4CE5-AC2A-18C4BE83F746}" destId="{F1207744-CE4E-4A0F-9412-19C8BCFDAE41}" srcOrd="0" destOrd="0" presId="urn:microsoft.com/office/officeart/2005/8/layout/process4"/>
    <dgm:cxn modelId="{F1B963CE-5A38-4CE5-89CB-790A3C74779F}" srcId="{22D7C960-39FA-4CBF-B5A3-761F540D0AAF}" destId="{573DA522-E921-4CE5-AC2A-18C4BE83F746}" srcOrd="0" destOrd="0" parTransId="{B90A868F-6F0E-4371-BCDF-3ADEB156BDC0}" sibTransId="{68EE1810-0EDA-43FA-9DE1-37902CEE90AC}"/>
    <dgm:cxn modelId="{5475EDBC-DBC5-4C43-8180-CA62BFAEF357}" srcId="{22D7C960-39FA-4CBF-B5A3-761F540D0AAF}" destId="{F62A066C-21D4-45BD-AFFE-32D9FED7FA4E}" srcOrd="1" destOrd="0" parTransId="{5DAD2E47-90F1-41F3-BE39-53BDB8C25CE7}" sibTransId="{182E8AB7-BACC-48D8-B430-34680D17396F}"/>
    <dgm:cxn modelId="{FF18101F-6A52-4A3B-9819-C4794757AE7C}" type="presOf" srcId="{0B572DB8-4345-48D3-8A21-4F9057F60F4D}" destId="{306090AC-2837-4338-857D-464054D0F429}" srcOrd="0" destOrd="0" presId="urn:microsoft.com/office/officeart/2005/8/layout/process4"/>
    <dgm:cxn modelId="{D13B08C4-68D6-4309-A4C2-DED4B77966E1}" srcId="{22D7C960-39FA-4CBF-B5A3-761F540D0AAF}" destId="{0B572DB8-4345-48D3-8A21-4F9057F60F4D}" srcOrd="2" destOrd="0" parTransId="{02B10C66-05F2-406F-BBC1-8423F4005A30}" sibTransId="{EF405000-0CF7-4795-8409-2E29396F5098}"/>
    <dgm:cxn modelId="{2A2FB722-CADA-4703-887A-AB671EDC2549}" type="presOf" srcId="{73A5BD8F-47B4-49AF-AD57-5B8CEA3CF46C}" destId="{7A0E1344-4FB6-4BCB-A3E7-95188E439CAC}" srcOrd="0" destOrd="0" presId="urn:microsoft.com/office/officeart/2005/8/layout/process4"/>
    <dgm:cxn modelId="{4E1243AA-D422-4D19-A47D-84D05B6D5856}" type="presParOf" srcId="{95678DFC-201B-4C48-8356-12DB37D12B1D}" destId="{020CF185-B644-406A-AB0D-C361D0C24F54}" srcOrd="0" destOrd="0" presId="urn:microsoft.com/office/officeart/2005/8/layout/process4"/>
    <dgm:cxn modelId="{7B0C1DBA-80F5-42DB-973F-1C066BF7CEB0}" type="presParOf" srcId="{020CF185-B644-406A-AB0D-C361D0C24F54}" destId="{7A0E1344-4FB6-4BCB-A3E7-95188E439CAC}" srcOrd="0" destOrd="0" presId="urn:microsoft.com/office/officeart/2005/8/layout/process4"/>
    <dgm:cxn modelId="{F1757B52-A114-4003-9653-14F30B206323}" type="presParOf" srcId="{95678DFC-201B-4C48-8356-12DB37D12B1D}" destId="{BEF183B1-45E2-4320-987B-E940AF4A0FF8}" srcOrd="1" destOrd="0" presId="urn:microsoft.com/office/officeart/2005/8/layout/process4"/>
    <dgm:cxn modelId="{1D696D8C-C1B8-45A5-813A-5F0DD8505A95}" type="presParOf" srcId="{95678DFC-201B-4C48-8356-12DB37D12B1D}" destId="{193EEA7B-71E4-4686-9E94-6CBE342F8B95}" srcOrd="2" destOrd="0" presId="urn:microsoft.com/office/officeart/2005/8/layout/process4"/>
    <dgm:cxn modelId="{7B2F5033-3CC7-4637-8324-C50C2E248F0F}" type="presParOf" srcId="{193EEA7B-71E4-4686-9E94-6CBE342F8B95}" destId="{306090AC-2837-4338-857D-464054D0F429}" srcOrd="0" destOrd="0" presId="urn:microsoft.com/office/officeart/2005/8/layout/process4"/>
    <dgm:cxn modelId="{2749BDB4-3BA6-4C5A-B58D-ED97E562523E}" type="presParOf" srcId="{95678DFC-201B-4C48-8356-12DB37D12B1D}" destId="{B113D0A6-2C1B-4C9E-85A6-A24DBCDA1252}" srcOrd="3" destOrd="0" presId="urn:microsoft.com/office/officeart/2005/8/layout/process4"/>
    <dgm:cxn modelId="{1899435E-84D8-4DD5-9D29-0BB2EB5F7C9D}" type="presParOf" srcId="{95678DFC-201B-4C48-8356-12DB37D12B1D}" destId="{D2326F6B-54EF-4AB4-A783-B267F9CE43C0}" srcOrd="4" destOrd="0" presId="urn:microsoft.com/office/officeart/2005/8/layout/process4"/>
    <dgm:cxn modelId="{5F5ABB2C-E05D-4192-A3A1-DB938879819F}" type="presParOf" srcId="{D2326F6B-54EF-4AB4-A783-B267F9CE43C0}" destId="{5BA5C847-961E-4AF3-AF5B-29AB5431022D}" srcOrd="0" destOrd="0" presId="urn:microsoft.com/office/officeart/2005/8/layout/process4"/>
    <dgm:cxn modelId="{D2FB7D94-7090-4870-B931-6453E7C9D36C}" type="presParOf" srcId="{95678DFC-201B-4C48-8356-12DB37D12B1D}" destId="{A24E65DA-5B85-4FD3-9D10-A8E94F9755C2}" srcOrd="5" destOrd="0" presId="urn:microsoft.com/office/officeart/2005/8/layout/process4"/>
    <dgm:cxn modelId="{D063D95B-9CCC-41D8-A870-04DB239A615C}" type="presParOf" srcId="{95678DFC-201B-4C48-8356-12DB37D12B1D}" destId="{70C11B1E-0EB8-422B-8301-CD8A5C262574}" srcOrd="6" destOrd="0" presId="urn:microsoft.com/office/officeart/2005/8/layout/process4"/>
    <dgm:cxn modelId="{02E01BC5-5A6E-41AA-B550-55420122ABE5}" type="presParOf" srcId="{70C11B1E-0EB8-422B-8301-CD8A5C262574}" destId="{F1207744-CE4E-4A0F-9412-19C8BCFDAE41}" srcOrd="0" destOrd="0" presId="urn:microsoft.com/office/officeart/2005/8/layout/process4"/>
  </dgm:cxnLst>
  <dgm:bg/>
  <dgm:whole/>
  <dgm:extLst>
    <a:ext uri="http://schemas.microsoft.com/office/drawing/2008/diagram">
      <dsp:dataModelExt xmlns:dsp="http://schemas.microsoft.com/office/drawing/2008/diagram" relId="rId19"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7A0E1344-4FB6-4BCB-A3E7-95188E439CAC}">
      <dsp:nvSpPr>
        <dsp:cNvPr id="0" name=""/>
        <dsp:cNvSpPr/>
      </dsp:nvSpPr>
      <dsp:spPr>
        <a:xfrm>
          <a:off x="0" y="4017078"/>
          <a:ext cx="3657599" cy="878838"/>
        </a:xfrm>
        <a:prstGeom prst="rect">
          <a:avLst/>
        </a:prstGeom>
        <a:solidFill>
          <a:schemeClr val="accent5">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71120" tIns="71120" rIns="71120" bIns="71120" numCol="1" spcCol="1270" anchor="ctr" anchorCtr="0">
          <a:noAutofit/>
        </a:bodyPr>
        <a:lstStyle/>
        <a:p>
          <a:pPr lvl="0" algn="ctr" defTabSz="444500">
            <a:lnSpc>
              <a:spcPct val="90000"/>
            </a:lnSpc>
            <a:spcBef>
              <a:spcPct val="0"/>
            </a:spcBef>
            <a:spcAft>
              <a:spcPct val="35000"/>
            </a:spcAft>
          </a:pPr>
          <a:r>
            <a:rPr lang="en-AU" sz="1000" kern="1200"/>
            <a:t>Responsibility for monitoring, evaluation, compliance and enforcement of the supply of Appendix M goods by pharmacists will predominantly reside with </a:t>
          </a:r>
          <a:r>
            <a:rPr lang="en-AU" sz="1000" b="1" i="1" kern="1200"/>
            <a:t>State and Territory Regulators and the Pharmacy Board</a:t>
          </a:r>
          <a:r>
            <a:rPr lang="en-AU" sz="1000" kern="1200"/>
            <a:t>, as is the case with other regulated medicines.</a:t>
          </a:r>
        </a:p>
      </dsp:txBody>
      <dsp:txXfrm>
        <a:off x="0" y="4017078"/>
        <a:ext cx="3657599" cy="878838"/>
      </dsp:txXfrm>
    </dsp:sp>
    <dsp:sp modelId="{306090AC-2837-4338-857D-464054D0F429}">
      <dsp:nvSpPr>
        <dsp:cNvPr id="0" name=""/>
        <dsp:cNvSpPr/>
      </dsp:nvSpPr>
      <dsp:spPr>
        <a:xfrm rot="10800000">
          <a:off x="0" y="2678607"/>
          <a:ext cx="3657599" cy="1351653"/>
        </a:xfrm>
        <a:prstGeom prst="upArrowCallout">
          <a:avLst/>
        </a:prstGeom>
        <a:solidFill>
          <a:schemeClr val="accent5">
            <a:hueOff val="3116989"/>
            <a:satOff val="-3751"/>
            <a:lumOff val="14118"/>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71120" tIns="71120" rIns="71120" bIns="71120" numCol="1" spcCol="1270" anchor="ctr" anchorCtr="0">
          <a:noAutofit/>
        </a:bodyPr>
        <a:lstStyle/>
        <a:p>
          <a:pPr lvl="0" algn="ctr" defTabSz="444500">
            <a:lnSpc>
              <a:spcPct val="90000"/>
            </a:lnSpc>
            <a:spcBef>
              <a:spcPct val="0"/>
            </a:spcBef>
            <a:spcAft>
              <a:spcPct val="35000"/>
            </a:spcAft>
          </a:pPr>
          <a:r>
            <a:rPr lang="en-AU" sz="1000" kern="1200"/>
            <a:t>The </a:t>
          </a:r>
          <a:r>
            <a:rPr lang="en-AU" sz="1000" b="1" i="1" kern="1200"/>
            <a:t>Application to Amend the Poisons Standard </a:t>
          </a:r>
          <a:r>
            <a:rPr lang="en-AU" sz="1000" kern="1200"/>
            <a:t>will provide  guidance to applicants on information required to support their application for Appendix M inclusion</a:t>
          </a:r>
        </a:p>
      </dsp:txBody>
      <dsp:txXfrm rot="10800000">
        <a:off x="0" y="2678607"/>
        <a:ext cx="3657599" cy="878264"/>
      </dsp:txXfrm>
    </dsp:sp>
    <dsp:sp modelId="{5BA5C847-961E-4AF3-AF5B-29AB5431022D}">
      <dsp:nvSpPr>
        <dsp:cNvPr id="0" name=""/>
        <dsp:cNvSpPr/>
      </dsp:nvSpPr>
      <dsp:spPr>
        <a:xfrm rot="10800000">
          <a:off x="0" y="1340136"/>
          <a:ext cx="3657599" cy="1351653"/>
        </a:xfrm>
        <a:prstGeom prst="upArrowCallout">
          <a:avLst/>
        </a:prstGeom>
        <a:solidFill>
          <a:schemeClr val="accent5">
            <a:hueOff val="6233977"/>
            <a:satOff val="-7501"/>
            <a:lumOff val="28236"/>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71120" tIns="71120" rIns="71120" bIns="71120" numCol="1" spcCol="1270" anchor="ctr" anchorCtr="0">
          <a:noAutofit/>
        </a:bodyPr>
        <a:lstStyle/>
        <a:p>
          <a:pPr lvl="0" algn="ctr" defTabSz="444500">
            <a:lnSpc>
              <a:spcPct val="90000"/>
            </a:lnSpc>
            <a:spcBef>
              <a:spcPct val="0"/>
            </a:spcBef>
            <a:spcAft>
              <a:spcPct val="35000"/>
            </a:spcAft>
          </a:pPr>
          <a:r>
            <a:rPr lang="en-AU" sz="1000" kern="1200"/>
            <a:t>Criteria for Appendix M (ie applicable interventions/additional requirements) will be detailed in the </a:t>
          </a:r>
          <a:r>
            <a:rPr lang="en-AU" sz="1000" b="1" i="1" kern="1200"/>
            <a:t>Scheduling Handbook</a:t>
          </a:r>
          <a:endParaRPr lang="en-AU" sz="1000" kern="1200"/>
        </a:p>
      </dsp:txBody>
      <dsp:txXfrm rot="10800000">
        <a:off x="0" y="1340136"/>
        <a:ext cx="3657599" cy="878264"/>
      </dsp:txXfrm>
    </dsp:sp>
    <dsp:sp modelId="{F1207744-CE4E-4A0F-9412-19C8BCFDAE41}">
      <dsp:nvSpPr>
        <dsp:cNvPr id="0" name=""/>
        <dsp:cNvSpPr/>
      </dsp:nvSpPr>
      <dsp:spPr>
        <a:xfrm rot="10800000">
          <a:off x="0" y="1665"/>
          <a:ext cx="3657599" cy="1351653"/>
        </a:xfrm>
        <a:prstGeom prst="upArrowCallout">
          <a:avLst/>
        </a:prstGeom>
        <a:solidFill>
          <a:schemeClr val="accent5">
            <a:hueOff val="9350966"/>
            <a:satOff val="-11252"/>
            <a:lumOff val="42354"/>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71120" tIns="71120" rIns="71120" bIns="71120" numCol="1" spcCol="1270" anchor="ctr" anchorCtr="0">
          <a:noAutofit/>
        </a:bodyPr>
        <a:lstStyle/>
        <a:p>
          <a:pPr lvl="0" algn="ctr" defTabSz="444500">
            <a:lnSpc>
              <a:spcPct val="90000"/>
            </a:lnSpc>
            <a:spcBef>
              <a:spcPct val="0"/>
            </a:spcBef>
            <a:spcAft>
              <a:spcPct val="35000"/>
            </a:spcAft>
          </a:pPr>
          <a:r>
            <a:rPr lang="en-AU" sz="1000" i="0" kern="1200"/>
            <a:t>The ability of the Delegate to require additional controls or supply requirements for certain Schedule 3 substances under </a:t>
          </a:r>
          <a:r>
            <a:rPr lang="en-AU" sz="1000" kern="1200"/>
            <a:t>Appendix M is noted in the </a:t>
          </a:r>
          <a:r>
            <a:rPr lang="en-AU" sz="1000" b="1" i="1" kern="1200"/>
            <a:t>Scheduling Policy Framework</a:t>
          </a:r>
        </a:p>
      </dsp:txBody>
      <dsp:txXfrm rot="10800000">
        <a:off x="0" y="1665"/>
        <a:ext cx="3657599" cy="878264"/>
      </dsp:txXfrm>
    </dsp:sp>
  </dsp:spTree>
</dsp:drawing>
</file>

<file path=word/diagrams/layout1.xml><?xml version="1.0" encoding="utf-8"?>
<dgm:layoutDef xmlns:dgm="http://schemas.openxmlformats.org/drawingml/2006/diagram" xmlns:a="http://schemas.openxmlformats.org/drawingml/2006/main" uniqueId="urn:microsoft.com/office/officeart/2005/8/layout/process4">
  <dgm:title val=""/>
  <dgm:desc val=""/>
  <dgm:catLst>
    <dgm:cat type="process" pri="16000"/>
    <dgm:cat type="list" pri="20000"/>
  </dgm:catLst>
  <dgm:sampData>
    <dgm:dataModel>
      <dgm:ptLst>
        <dgm:pt modelId="0" type="doc"/>
        <dgm:pt modelId="1">
          <dgm:prSet phldr="1"/>
        </dgm:pt>
        <dgm:pt modelId="11">
          <dgm:prSet phldr="1"/>
        </dgm:pt>
        <dgm:pt modelId="12">
          <dgm:prSet phldr="1"/>
        </dgm:pt>
        <dgm:pt modelId="2">
          <dgm:prSet phldr="1"/>
        </dgm:pt>
        <dgm:pt modelId="21">
          <dgm:prSet phldr="1"/>
        </dgm:pt>
        <dgm:pt modelId="22">
          <dgm:prSet phldr="1"/>
        </dgm:pt>
        <dgm:pt modelId="3">
          <dgm:prSet phldr="1"/>
        </dgm:pt>
        <dgm:pt modelId="31">
          <dgm:prSet phldr="1"/>
        </dgm:pt>
        <dgm:pt modelId="32">
          <dgm:prSet phldr="1"/>
        </dgm:pt>
      </dgm:ptLst>
      <dgm:cxnLst>
        <dgm:cxn modelId="4" srcId="0" destId="1" srcOrd="0" destOrd="0"/>
        <dgm:cxn modelId="5" srcId="0" destId="2" srcOrd="1" destOrd="0"/>
        <dgm:cxn modelId="6" srcId="0" destId="3" srcOrd="2" destOrd="0"/>
        <dgm:cxn modelId="13" srcId="1" destId="11" srcOrd="0" destOrd="0"/>
        <dgm:cxn modelId="14" srcId="1" destId="12" srcOrd="1" destOrd="0"/>
        <dgm:cxn modelId="23" srcId="2" destId="21" srcOrd="0" destOrd="0"/>
        <dgm:cxn modelId="24" srcId="2" destId="22" srcOrd="1" destOrd="0"/>
        <dgm:cxn modelId="33" srcId="3" destId="31" srcOrd="0" destOrd="0"/>
        <dgm:cxn modelId="34" srcId="3" destId="32" srcOrd="1" destOrd="0"/>
      </dgm:cxnLst>
      <dgm:bg/>
      <dgm:whole/>
    </dgm:dataModel>
  </dgm:sampData>
  <dgm:styleData>
    <dgm:dataModel>
      <dgm:ptLst>
        <dgm:pt modelId="0" type="doc"/>
        <dgm:pt modelId="1"/>
        <dgm:pt modelId="11"/>
        <dgm:pt modelId="2"/>
        <dgm:pt modelId="21"/>
      </dgm:ptLst>
      <dgm:cxnLst>
        <dgm:cxn modelId="4" srcId="0" destId="1" srcOrd="0" destOrd="0"/>
        <dgm:cxn modelId="5" srcId="0" destId="2" srcOrd="1" destOrd="0"/>
        <dgm:cxn modelId="13" srcId="1" destId="11" srcOrd="0" destOrd="0"/>
        <dgm:cxn modelId="23" srcId="2" destId="21" srcOrd="0" destOrd="0"/>
      </dgm:cxnLst>
      <dgm:bg/>
      <dgm:whole/>
    </dgm:dataModel>
  </dgm:styleData>
  <dgm:clrData>
    <dgm:dataModel>
      <dgm:ptLst>
        <dgm:pt modelId="0" type="doc"/>
        <dgm:pt modelId="1"/>
        <dgm:pt modelId="11"/>
        <dgm:pt modelId="2"/>
        <dgm:pt modelId="21"/>
        <dgm:pt modelId="3"/>
        <dgm:pt modelId="31"/>
        <dgm:pt modelId="4"/>
        <dgm:pt modelId="41"/>
      </dgm:ptLst>
      <dgm:cxnLst>
        <dgm:cxn modelId="5" srcId="0" destId="1" srcOrd="0" destOrd="0"/>
        <dgm:cxn modelId="6" srcId="0" destId="2" srcOrd="1" destOrd="0"/>
        <dgm:cxn modelId="7" srcId="0" destId="3" srcOrd="2" destOrd="0"/>
        <dgm:cxn modelId="8" srcId="0" destId="4" srcOrd="3" destOrd="0"/>
        <dgm:cxn modelId="13" srcId="1" destId="11" srcOrd="0" destOrd="0"/>
        <dgm:cxn modelId="23" srcId="2" destId="21" srcOrd="0" destOrd="0"/>
        <dgm:cxn modelId="33" srcId="3" destId="31" srcOrd="0" destOrd="0"/>
        <dgm:cxn modelId="43" srcId="4" destId="41" srcOrd="0" destOrd="0"/>
      </dgm:cxnLst>
      <dgm:bg/>
      <dgm:whole/>
    </dgm:dataModel>
  </dgm:clrData>
  <dgm:layoutNode name="Name0">
    <dgm:varLst>
      <dgm:dir/>
      <dgm:animLvl val="lvl"/>
      <dgm:resizeHandles val="exact"/>
    </dgm:varLst>
    <dgm:alg type="lin">
      <dgm:param type="linDir" val="fromB"/>
    </dgm:alg>
    <dgm:shape xmlns:r="http://schemas.openxmlformats.org/officeDocument/2006/relationships" r:blip="">
      <dgm:adjLst/>
    </dgm:shape>
    <dgm:presOf/>
    <dgm:constrLst>
      <dgm:constr type="h" for="ch" forName="boxAndChildren" refType="h"/>
      <dgm:constr type="h" for="ch" forName="arrowAndChildren" refType="h" refFor="ch" refForName="boxAndChildren" op="equ" fact="1.538"/>
      <dgm:constr type="w" for="ch" forName="arrowAndChildren" refType="w"/>
      <dgm:constr type="w" for="ch" forName="boxAndChildren" refType="w"/>
      <dgm:constr type="h" for="ch" forName="sp" refType="h" fact="-0.015"/>
      <dgm:constr type="primFontSz" for="des" forName="parentTextBox" val="65"/>
      <dgm:constr type="primFontSz" for="des" forName="parentTextArrow" refType="primFontSz" refFor="des" refForName="parentTextBox" op="equ"/>
      <dgm:constr type="primFontSz" for="des" forName="childTextArrow" val="65"/>
      <dgm:constr type="primFontSz" for="des" forName="childTextBox" refType="primFontSz" refFor="des" refForName="childTextArrow" op="equ"/>
    </dgm:constrLst>
    <dgm:ruleLst/>
    <dgm:forEach name="Name1" axis="ch" ptType="node" st="-1" step="-1">
      <dgm:choose name="Name2">
        <dgm:if name="Name3" axis="self" ptType="node" func="revPos" op="equ" val="1">
          <dgm:layoutNode name="boxAndChildren">
            <dgm:alg type="composite"/>
            <dgm:shape xmlns:r="http://schemas.openxmlformats.org/officeDocument/2006/relationships" r:blip="">
              <dgm:adjLst/>
            </dgm:shape>
            <dgm:presOf/>
            <dgm:choose name="Name4">
              <dgm:if name="Name5" axis="ch" ptType="node" func="cnt" op="gte" val="1">
                <dgm:constrLst>
                  <dgm:constr type="w" for="ch" forName="parentTextBox" refType="w"/>
                  <dgm:constr type="h" for="ch" forName="parentTextBox" refType="h" fact="0.54"/>
                  <dgm:constr type="t" for="ch" forName="parentTextBox"/>
                  <dgm:constr type="w" for="ch" forName="entireBox" refType="w"/>
                  <dgm:constr type="h" for="ch" forName="entireBox" refType="h"/>
                  <dgm:constr type="w" for="ch" forName="descendantBox" refType="w"/>
                  <dgm:constr type="b" for="ch" forName="descendantBox" refType="h" fact="0.98"/>
                  <dgm:constr type="h" for="ch" forName="descendantBox" refType="h" fact="0.46"/>
                </dgm:constrLst>
              </dgm:if>
              <dgm:else name="Name6">
                <dgm:constrLst>
                  <dgm:constr type="w" for="ch" forName="parentTextBox" refType="w"/>
                  <dgm:constr type="h" for="ch" forName="parentTextBox" refType="h"/>
                </dgm:constrLst>
              </dgm:else>
            </dgm:choose>
            <dgm:ruleLst/>
            <dgm:layoutNode name="parentTextBox">
              <dgm:alg type="tx"/>
              <dgm:choose name="Name7">
                <dgm:if name="Name8" axis="ch" ptType="node" func="cnt" op="gte" val="1">
                  <dgm:shape xmlns:r="http://schemas.openxmlformats.org/officeDocument/2006/relationships" type="rect" r:blip="" zOrderOff="1" hideGeom="1">
                    <dgm:adjLst/>
                  </dgm:shape>
                </dgm:if>
                <dgm:else name="Name9">
                  <dgm:shape xmlns:r="http://schemas.openxmlformats.org/officeDocument/2006/relationships" type="rect" r:blip="">
                    <dgm:adjLst/>
                  </dgm:shape>
                </dgm:else>
              </dgm:choose>
              <dgm:presOf axis="self"/>
              <dgm:constrLst/>
              <dgm:ruleLst>
                <dgm:rule type="primFontSz" val="5" fact="NaN" max="NaN"/>
              </dgm:ruleLst>
            </dgm:layoutNode>
            <dgm:choose name="Name10">
              <dgm:if name="Name11" axis="ch" ptType="node" func="cnt" op="gte" val="1">
                <dgm:layoutNode name="entireBox">
                  <dgm:alg type="sp"/>
                  <dgm:shape xmlns:r="http://schemas.openxmlformats.org/officeDocument/2006/relationships" type="rect" r:blip="">
                    <dgm:adjLst/>
                  </dgm:shape>
                  <dgm:presOf axis="self"/>
                  <dgm:constrLst/>
                  <dgm:ruleLst/>
                </dgm:layoutNode>
                <dgm:layoutNode name="descendantBox" styleLbl="fgAccFollowNode1">
                  <dgm:choose name="Name12">
                    <dgm:if name="Name13" func="var" arg="dir" op="equ" val="norm">
                      <dgm:alg type="lin"/>
                    </dgm:if>
                    <dgm:else name="Name14">
                      <dgm:alg type="lin">
                        <dgm:param type="linDir" val="fromR"/>
                      </dgm:alg>
                    </dgm:else>
                  </dgm:choose>
                  <dgm:shape xmlns:r="http://schemas.openxmlformats.org/officeDocument/2006/relationships" r:blip="">
                    <dgm:adjLst/>
                  </dgm:shape>
                  <dgm:presOf/>
                  <dgm:constrLst>
                    <dgm:constr type="w" for="ch" forName="childTextBox" refType="w"/>
                    <dgm:constr type="h" for="ch" forName="childTextBox" refType="h"/>
                  </dgm:constrLst>
                  <dgm:ruleLst/>
                  <dgm:forEach name="Name15" axis="ch" ptType="node">
                    <dgm:layoutNode name="childTextBox" styleLbl="fgAccFollowNode1">
                      <dgm:varLst>
                        <dgm:bulletEnabled val="1"/>
                      </dgm:varLst>
                      <dgm:alg type="tx"/>
                      <dgm:shape xmlns:r="http://schemas.openxmlformats.org/officeDocument/2006/relationships" type="rect" r:blip="">
                        <dgm:adjLst/>
                      </dgm:shape>
                      <dgm:presOf axis="desOrSelf" ptType="node"/>
                      <dgm:constrLst>
                        <dgm:constr type="tMarg" refType="primFontSz" fact="0.1"/>
                        <dgm:constr type="bMarg" refType="primFontSz" fact="0.1"/>
                      </dgm:constrLst>
                      <dgm:ruleLst>
                        <dgm:rule type="primFontSz" val="5" fact="NaN" max="NaN"/>
                      </dgm:ruleLst>
                    </dgm:layoutNode>
                  </dgm:forEach>
                </dgm:layoutNode>
              </dgm:if>
              <dgm:else name="Name16"/>
            </dgm:choose>
          </dgm:layoutNode>
        </dgm:if>
        <dgm:else name="Name17">
          <dgm:layoutNode name="arrowAndChildren">
            <dgm:alg type="composite"/>
            <dgm:shape xmlns:r="http://schemas.openxmlformats.org/officeDocument/2006/relationships" r:blip="">
              <dgm:adjLst/>
            </dgm:shape>
            <dgm:presOf/>
            <dgm:choose name="Name18">
              <dgm:if name="Name19" axis="ch" ptType="node" func="cnt" op="gte" val="1">
                <dgm:constrLst>
                  <dgm:constr type="w" for="ch" forName="parentTextArrow" refType="w"/>
                  <dgm:constr type="t" for="ch" forName="parentTextArrow"/>
                  <dgm:constr type="h" for="ch" forName="parentTextArrow" refType="h" fact="0.351"/>
                  <dgm:constr type="w" for="ch" forName="arrow" refType="w"/>
                  <dgm:constr type="h" for="ch" forName="arrow" refType="h"/>
                  <dgm:constr type="w" for="ch" forName="descendantArrow" refType="w"/>
                  <dgm:constr type="b" for="ch" forName="descendantArrow" refType="h" fact="0.65"/>
                  <dgm:constr type="h" for="ch" forName="descendantArrow" refType="h" fact="0.299"/>
                </dgm:constrLst>
              </dgm:if>
              <dgm:else name="Name20">
                <dgm:constrLst>
                  <dgm:constr type="w" for="ch" forName="parentTextArrow" refType="w"/>
                  <dgm:constr type="h" for="ch" forName="parentTextArrow" refType="h"/>
                </dgm:constrLst>
              </dgm:else>
            </dgm:choose>
            <dgm:ruleLst/>
            <dgm:layoutNode name="parentTextArrow">
              <dgm:alg type="tx"/>
              <dgm:choose name="Name21">
                <dgm:if name="Name22" axis="ch" ptType="node" func="cnt" op="gte" val="1">
                  <dgm:shape xmlns:r="http://schemas.openxmlformats.org/officeDocument/2006/relationships" type="rect" r:blip="" zOrderOff="1" hideGeom="1">
                    <dgm:adjLst/>
                  </dgm:shape>
                </dgm:if>
                <dgm:else name="Name23">
                  <dgm:shape xmlns:r="http://schemas.openxmlformats.org/officeDocument/2006/relationships" rot="180" type="upArrowCallout" r:blip="">
                    <dgm:adjLst/>
                  </dgm:shape>
                </dgm:else>
              </dgm:choose>
              <dgm:presOf axis="self"/>
              <dgm:constrLst/>
              <dgm:ruleLst>
                <dgm:rule type="primFontSz" val="5" fact="NaN" max="NaN"/>
              </dgm:ruleLst>
            </dgm:layoutNode>
            <dgm:choose name="Name24">
              <dgm:if name="Name25" axis="ch" ptType="node" func="cnt" op="gte" val="1">
                <dgm:layoutNode name="arrow">
                  <dgm:alg type="sp"/>
                  <dgm:shape xmlns:r="http://schemas.openxmlformats.org/officeDocument/2006/relationships" rot="180" type="upArrowCallout" r:blip="">
                    <dgm:adjLst/>
                  </dgm:shape>
                  <dgm:presOf axis="self"/>
                  <dgm:constrLst/>
                  <dgm:ruleLst/>
                </dgm:layoutNode>
                <dgm:layoutNode name="descendantArrow">
                  <dgm:choose name="Name26">
                    <dgm:if name="Name27" func="var" arg="dir" op="equ" val="norm">
                      <dgm:alg type="lin"/>
                    </dgm:if>
                    <dgm:else name="Name28">
                      <dgm:alg type="lin">
                        <dgm:param type="linDir" val="fromR"/>
                      </dgm:alg>
                    </dgm:else>
                  </dgm:choose>
                  <dgm:shape xmlns:r="http://schemas.openxmlformats.org/officeDocument/2006/relationships" r:blip="">
                    <dgm:adjLst/>
                  </dgm:shape>
                  <dgm:presOf/>
                  <dgm:constrLst>
                    <dgm:constr type="w" for="ch" forName="childTextArrow" refType="w"/>
                    <dgm:constr type="h" for="ch" forName="childTextArrow" refType="h"/>
                  </dgm:constrLst>
                  <dgm:ruleLst/>
                  <dgm:forEach name="Name29" axis="ch" ptType="node">
                    <dgm:layoutNode name="childTextArrow" styleLbl="fgAccFollowNode1">
                      <dgm:varLst>
                        <dgm:bulletEnabled val="1"/>
                      </dgm:varLst>
                      <dgm:alg type="tx"/>
                      <dgm:shape xmlns:r="http://schemas.openxmlformats.org/officeDocument/2006/relationships" type="rect" r:blip="">
                        <dgm:adjLst/>
                      </dgm:shape>
                      <dgm:presOf axis="desOrSelf" ptType="node"/>
                      <dgm:constrLst>
                        <dgm:constr type="tMarg" refType="primFontSz" fact="0.1"/>
                        <dgm:constr type="bMarg" refType="primFontSz" fact="0.1"/>
                      </dgm:constrLst>
                      <dgm:ruleLst>
                        <dgm:rule type="primFontSz" val="5" fact="NaN" max="NaN"/>
                      </dgm:ruleLst>
                    </dgm:layoutNode>
                  </dgm:forEach>
                </dgm:layoutNode>
              </dgm:if>
              <dgm:else name="Name30"/>
            </dgm:choose>
          </dgm:layoutNode>
        </dgm:else>
      </dgm:choose>
      <dgm:forEach name="Name31" axis="precedSib" ptType="sibTrans" st="-1" cnt="1">
        <dgm:layoutNode name="sp">
          <dgm:alg type="sp"/>
          <dgm:shape xmlns:r="http://schemas.openxmlformats.org/officeDocument/2006/relationships" r:blip="">
            <dgm:adjLst/>
          </dgm:shape>
          <dgm:presOf axis="self"/>
          <dgm:constrLst/>
          <dgm:ruleLst/>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TGA">
  <a:themeElements>
    <a:clrScheme name="TGA Theme">
      <a:dk1>
        <a:srgbClr val="002C47"/>
      </a:dk1>
      <a:lt1>
        <a:srgbClr val="FFFFFF"/>
      </a:lt1>
      <a:dk2>
        <a:srgbClr val="002C47"/>
      </a:dk2>
      <a:lt2>
        <a:srgbClr val="FFFFFF"/>
      </a:lt2>
      <a:accent1>
        <a:srgbClr val="006EA8"/>
      </a:accent1>
      <a:accent2>
        <a:srgbClr val="A5ABB2"/>
      </a:accent2>
      <a:accent3>
        <a:srgbClr val="016665"/>
      </a:accent3>
      <a:accent4>
        <a:srgbClr val="B3C95F"/>
      </a:accent4>
      <a:accent5>
        <a:srgbClr val="274520"/>
      </a:accent5>
      <a:accent6>
        <a:srgbClr val="9A86B7"/>
      </a:accent6>
      <a:hlink>
        <a:srgbClr val="0000FF"/>
      </a:hlink>
      <a:folHlink>
        <a:srgbClr val="800080"/>
      </a:folHlink>
    </a:clrScheme>
    <a:fontScheme name="TGA Fonts">
      <a:majorFont>
        <a:latin typeface="Arial"/>
        <a:ea typeface=""/>
        <a:cs typeface=""/>
      </a:majorFont>
      <a:minorFont>
        <a:latin typeface="Cambria"/>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10669DB-1C87-4565-B97C-20D2BEBA96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Consultation paper.dotx</Template>
  <TotalTime>121</TotalTime>
  <Pages>16</Pages>
  <Words>5333</Words>
  <Characters>30400</Characters>
  <Application>Microsoft Office Word</Application>
  <DocSecurity>0</DocSecurity>
  <Lines>253</Lines>
  <Paragraphs>71</Paragraphs>
  <ScaleCrop>false</ScaleCrop>
  <HeadingPairs>
    <vt:vector size="2" baseType="variant">
      <vt:variant>
        <vt:lpstr>Title</vt:lpstr>
      </vt:variant>
      <vt:variant>
        <vt:i4>1</vt:i4>
      </vt:variant>
    </vt:vector>
  </HeadingPairs>
  <TitlesOfParts>
    <vt:vector size="1" baseType="lpstr">
      <vt:lpstr>Consultation Paper: Substances proposed to be added to Appendix H of the Poisons Standard</vt:lpstr>
    </vt:vector>
  </TitlesOfParts>
  <Company>TGA</Company>
  <LinksUpToDate>false</LinksUpToDate>
  <CharactersWithSpaces>35662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Consultation: Proposed criteria for Appendix M of the Poisons Standard to support rescheduling of substances from Schedule 4 (Prescription only) to Schedule 3 (Pharmacist only)</dc:title>
  <dc:subject>poisons standard</dc:subject>
  <dc:creator>Therapeutic Goods Administration</dc:creator>
  <cp:keywords>consultation paper</cp:keywords>
  <cp:lastPrinted>2019-02-19T23:55:00Z</cp:lastPrinted>
  <dcterms:created xsi:type="dcterms:W3CDTF">2019-02-20T04:50:00Z</dcterms:created>
  <dcterms:modified xsi:type="dcterms:W3CDTF">2019-02-25T01:15:00Z</dcterms:modified>
  <cp:category>consultation</cp:category>
</cp:coreProperties>
</file>