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6EA59E4B" w14:textId="77777777" w:rsidTr="00ED0C8B">
        <w:tc>
          <w:tcPr>
            <w:tcW w:w="8720" w:type="dxa"/>
          </w:tcPr>
          <w:p w14:paraId="3084B878" w14:textId="4494EE3A" w:rsidR="001D480A" w:rsidRPr="009401F6" w:rsidRDefault="00207FDD" w:rsidP="00237CB7">
            <w:pPr>
              <w:pStyle w:val="Title"/>
            </w:pPr>
            <w:r>
              <w:t>Consultation: Proposed amendmen</w:t>
            </w:r>
            <w:r w:rsidR="00F730CE">
              <w:t>ts to the Poisons Standard –</w:t>
            </w:r>
            <w:r w:rsidR="00C806D7">
              <w:t xml:space="preserve"> </w:t>
            </w:r>
            <w:r w:rsidR="00237CB7">
              <w:t>J</w:t>
            </w:r>
            <w:r w:rsidR="00F730CE">
              <w:t>oint ACMS</w:t>
            </w:r>
            <w:r w:rsidR="00C806D7">
              <w:t>-</w:t>
            </w:r>
            <w:r w:rsidR="00F730CE">
              <w:t>ACCS meeting, June 2021</w:t>
            </w:r>
          </w:p>
        </w:tc>
      </w:tr>
      <w:tr w:rsidR="00ED0C8B" w:rsidRPr="009401F6" w14:paraId="14361E1D" w14:textId="77777777" w:rsidTr="00ED0C8B">
        <w:trPr>
          <w:trHeight w:val="1387"/>
        </w:trPr>
        <w:tc>
          <w:tcPr>
            <w:tcW w:w="8720" w:type="dxa"/>
          </w:tcPr>
          <w:p w14:paraId="62B6A71E" w14:textId="5B86D706" w:rsidR="001D480A" w:rsidRPr="009401F6" w:rsidRDefault="00F730CE" w:rsidP="00ED0C8B">
            <w:pPr>
              <w:pStyle w:val="Subtitle"/>
              <w:ind w:left="0"/>
              <w:rPr>
                <w:lang w:eastAsia="en-AU"/>
              </w:rPr>
            </w:pPr>
            <w:r>
              <w:rPr>
                <w:lang w:eastAsia="en-AU"/>
              </w:rPr>
              <w:t>2</w:t>
            </w:r>
            <w:r w:rsidR="008925A8">
              <w:rPr>
                <w:lang w:eastAsia="en-AU"/>
              </w:rPr>
              <w:t>7</w:t>
            </w:r>
            <w:r>
              <w:rPr>
                <w:lang w:eastAsia="en-AU"/>
              </w:rPr>
              <w:t xml:space="preserve"> April 2021</w:t>
            </w:r>
          </w:p>
        </w:tc>
      </w:tr>
      <w:tr w:rsidR="00ED0C8B" w:rsidRPr="009401F6" w14:paraId="30D49EC8" w14:textId="77777777" w:rsidTr="00ED0C8B">
        <w:tc>
          <w:tcPr>
            <w:tcW w:w="8720" w:type="dxa"/>
          </w:tcPr>
          <w:p w14:paraId="7B2E0DCE" w14:textId="44B235A3" w:rsidR="00ED0C8B" w:rsidRPr="009401F6" w:rsidRDefault="00ED0C8B" w:rsidP="00EB182C">
            <w:pPr>
              <w:pStyle w:val="Date"/>
              <w:rPr>
                <w:lang w:eastAsia="en-AU"/>
              </w:rPr>
            </w:pPr>
          </w:p>
        </w:tc>
      </w:tr>
    </w:tbl>
    <w:p w14:paraId="67DC3DBD" w14:textId="77777777" w:rsidR="00BA6FF1" w:rsidRPr="009401F6" w:rsidRDefault="00BA6FF1" w:rsidP="007C7B5B">
      <w:pPr>
        <w:rPr>
          <w:lang w:eastAsia="en-AU"/>
        </w:rPr>
      </w:pPr>
    </w:p>
    <w:p w14:paraId="073968C2"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40749FEF" w14:textId="77777777" w:rsidR="00BA6FF1" w:rsidRPr="005D4EA1" w:rsidRDefault="00BA6FF1" w:rsidP="00FE1941">
      <w:pPr>
        <w:pStyle w:val="LegalSubheading"/>
        <w:pageBreakBefore/>
      </w:pPr>
      <w:r w:rsidRPr="00691723">
        <w:lastRenderedPageBreak/>
        <w:t>Copyright</w:t>
      </w:r>
    </w:p>
    <w:p w14:paraId="55287C46" w14:textId="77777777" w:rsidR="00611B57" w:rsidRDefault="00EA453A" w:rsidP="00FE1941">
      <w:pPr>
        <w:pStyle w:val="LegalCopy"/>
        <w:spacing w:after="0"/>
      </w:pPr>
      <w:r w:rsidRPr="009401F6">
        <w:t>© Commonwealth of Australia 20</w:t>
      </w:r>
      <w:r w:rsidR="00D433BD">
        <w:t>21</w:t>
      </w:r>
      <w:r w:rsidRPr="009401F6">
        <w:br/>
      </w:r>
      <w:proofErr w:type="gramStart"/>
      <w:r w:rsidRPr="009401F6">
        <w:t>This</w:t>
      </w:r>
      <w:proofErr w:type="gramEnd"/>
      <w:r w:rsidRPr="009401F6">
        <w:t xml:space="preserve"> work is copyright. </w:t>
      </w:r>
      <w:proofErr w:type="gramStart"/>
      <w:r w:rsidRPr="009401F6">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9401F6">
        <w:t xml:space="preserve">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9401F6">
        <w:t>sent</w:t>
      </w:r>
      <w:proofErr w:type="gramEnd"/>
      <w:r w:rsidRPr="009401F6">
        <w:t xml:space="preserve">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0D346B37" w14:textId="77777777" w:rsidR="008D2B09" w:rsidRPr="009401F6" w:rsidRDefault="008D2B09" w:rsidP="00611B57">
      <w:pPr>
        <w:pStyle w:val="LegalSubheading"/>
      </w:pPr>
      <w:r w:rsidRPr="009401F6">
        <w:t>Confidentiality</w:t>
      </w:r>
    </w:p>
    <w:p w14:paraId="2F01D208" w14:textId="77777777" w:rsidR="00F8365F" w:rsidRPr="00EB182C" w:rsidRDefault="008D2B09" w:rsidP="003204DD">
      <w:pPr>
        <w:pStyle w:val="LegalCopy"/>
      </w:pPr>
      <w:r w:rsidRPr="00EB182C">
        <w:rPr>
          <w:lang w:eastAsia="en-AU"/>
        </w:rPr>
        <w:t xml:space="preserve">All submissions received </w:t>
      </w:r>
      <w:proofErr w:type="gramStart"/>
      <w:r w:rsidRPr="00EB182C">
        <w:rPr>
          <w:lang w:eastAsia="en-AU"/>
        </w:rPr>
        <w:t>will be placed</w:t>
      </w:r>
      <w:proofErr w:type="gramEnd"/>
      <w:r w:rsidRPr="00EB182C">
        <w:rPr>
          <w:lang w:eastAsia="en-AU"/>
        </w:rPr>
        <w:t xml:space="preserve"> on the TGA’s Internet site, unless marked confidential. Any confidential</w:t>
      </w:r>
      <w:r w:rsidR="00907ACE" w:rsidRPr="00EB182C">
        <w:rPr>
          <w:lang w:eastAsia="en-AU"/>
        </w:rPr>
        <w:t xml:space="preserve"> </w:t>
      </w:r>
      <w:r w:rsidRPr="00EB182C">
        <w:rPr>
          <w:lang w:eastAsia="en-AU"/>
        </w:rPr>
        <w:t xml:space="preserve">material contained within your submission </w:t>
      </w:r>
      <w:proofErr w:type="gramStart"/>
      <w:r w:rsidRPr="00EB182C">
        <w:rPr>
          <w:lang w:eastAsia="en-AU"/>
        </w:rPr>
        <w:t>should be provided</w:t>
      </w:r>
      <w:proofErr w:type="gramEnd"/>
      <w:r w:rsidRPr="00EB182C">
        <w:rPr>
          <w:lang w:eastAsia="en-AU"/>
        </w:rPr>
        <w:t xml:space="preserve">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 xml:space="preserve">For submission made by individuals, all personal details, other than your name, </w:t>
      </w:r>
      <w:proofErr w:type="gramStart"/>
      <w:r w:rsidRPr="00EB182C">
        <w:rPr>
          <w:lang w:eastAsia="en-AU"/>
        </w:rPr>
        <w:t>will be removed</w:t>
      </w:r>
      <w:proofErr w:type="gramEnd"/>
      <w:r w:rsidRPr="00EB182C">
        <w:rPr>
          <w:lang w:eastAsia="en-AU"/>
        </w:rPr>
        <w:t xml:space="preserve">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 xml:space="preserve">In addition, a list of parties making submissions </w:t>
      </w:r>
      <w:proofErr w:type="gramStart"/>
      <w:r w:rsidRPr="00EB182C">
        <w:rPr>
          <w:lang w:eastAsia="en-AU"/>
        </w:rPr>
        <w:t>will be published</w:t>
      </w:r>
      <w:proofErr w:type="gramEnd"/>
      <w:r w:rsidRPr="00EB182C">
        <w:rPr>
          <w:lang w:eastAsia="en-AU"/>
        </w:rPr>
        <w:t>. If you do not wish to be identified with your</w:t>
      </w:r>
      <w:r w:rsidR="00611B57" w:rsidRPr="00EB182C">
        <w:rPr>
          <w:lang w:eastAsia="en-AU"/>
        </w:rPr>
        <w:t xml:space="preserve"> </w:t>
      </w:r>
      <w:proofErr w:type="gramStart"/>
      <w:r w:rsidRPr="00EB182C">
        <w:rPr>
          <w:lang w:eastAsia="en-AU"/>
        </w:rPr>
        <w:t>submission</w:t>
      </w:r>
      <w:proofErr w:type="gramEnd"/>
      <w:r w:rsidRPr="00EB182C">
        <w:rPr>
          <w:lang w:eastAsia="en-AU"/>
        </w:rPr>
        <w:t xml:space="preserve">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73E34775" w14:textId="77777777" w:rsidR="00B92C72" w:rsidRPr="009401F6" w:rsidRDefault="00B92C72" w:rsidP="00B92C72">
          <w:pPr>
            <w:pStyle w:val="NonTOCheading2"/>
          </w:pPr>
          <w:r w:rsidRPr="009401F6">
            <w:t>Contents</w:t>
          </w:r>
        </w:p>
        <w:p w14:paraId="06B41F6C" w14:textId="4BFD11DF" w:rsidR="00C806D7" w:rsidRDefault="006C626D">
          <w:pPr>
            <w:pStyle w:val="TOC1"/>
            <w:tabs>
              <w:tab w:val="left" w:pos="425"/>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69382388" w:history="1">
            <w:r w:rsidR="00C806D7" w:rsidRPr="00F734C1">
              <w:rPr>
                <w:rStyle w:val="Hyperlink"/>
                <w:noProof/>
              </w:rPr>
              <w:t>3</w:t>
            </w:r>
            <w:r w:rsidR="00C806D7">
              <w:rPr>
                <w:rFonts w:asciiTheme="minorHAnsi" w:eastAsiaTheme="minorEastAsia" w:hAnsiTheme="minorHAnsi" w:cstheme="minorBidi"/>
                <w:b w:val="0"/>
                <w:noProof/>
                <w:sz w:val="22"/>
                <w:szCs w:val="22"/>
                <w:lang w:eastAsia="en-AU"/>
              </w:rPr>
              <w:tab/>
            </w:r>
            <w:r w:rsidR="00C806D7" w:rsidRPr="00F734C1">
              <w:rPr>
                <w:rStyle w:val="Hyperlink"/>
                <w:noProof/>
              </w:rPr>
              <w:t>Proposed amendments referred for scheduling advice to the Joint ACMS-ACCS #28</w:t>
            </w:r>
            <w:r w:rsidR="00C806D7">
              <w:rPr>
                <w:noProof/>
                <w:webHidden/>
              </w:rPr>
              <w:tab/>
            </w:r>
            <w:r w:rsidR="00C806D7">
              <w:rPr>
                <w:noProof/>
                <w:webHidden/>
              </w:rPr>
              <w:fldChar w:fldCharType="begin"/>
            </w:r>
            <w:r w:rsidR="00C806D7">
              <w:rPr>
                <w:noProof/>
                <w:webHidden/>
              </w:rPr>
              <w:instrText xml:space="preserve"> PAGEREF _Toc69382388 \h </w:instrText>
            </w:r>
            <w:r w:rsidR="00C806D7">
              <w:rPr>
                <w:noProof/>
                <w:webHidden/>
              </w:rPr>
            </w:r>
            <w:r w:rsidR="00C806D7">
              <w:rPr>
                <w:noProof/>
                <w:webHidden/>
              </w:rPr>
              <w:fldChar w:fldCharType="separate"/>
            </w:r>
            <w:r w:rsidR="00C806D7">
              <w:rPr>
                <w:noProof/>
                <w:webHidden/>
              </w:rPr>
              <w:t>4</w:t>
            </w:r>
            <w:r w:rsidR="00C806D7">
              <w:rPr>
                <w:noProof/>
                <w:webHidden/>
              </w:rPr>
              <w:fldChar w:fldCharType="end"/>
            </w:r>
          </w:hyperlink>
        </w:p>
        <w:p w14:paraId="472633B9" w14:textId="635C20CD" w:rsidR="00C806D7" w:rsidRDefault="00D52562">
          <w:pPr>
            <w:pStyle w:val="TOC2"/>
            <w:tabs>
              <w:tab w:val="left" w:pos="1276"/>
            </w:tabs>
            <w:rPr>
              <w:rFonts w:asciiTheme="minorHAnsi" w:eastAsiaTheme="minorEastAsia" w:hAnsiTheme="minorHAnsi" w:cstheme="minorBidi"/>
              <w:b w:val="0"/>
              <w:noProof/>
              <w:sz w:val="22"/>
              <w:szCs w:val="22"/>
              <w:lang w:eastAsia="en-AU"/>
            </w:rPr>
          </w:pPr>
          <w:hyperlink w:anchor="_Toc69382389" w:history="1">
            <w:r w:rsidR="00C806D7" w:rsidRPr="00F734C1">
              <w:rPr>
                <w:rStyle w:val="Hyperlink"/>
                <w:noProof/>
              </w:rPr>
              <w:t>3.3</w:t>
            </w:r>
            <w:r w:rsidR="00C806D7">
              <w:rPr>
                <w:rFonts w:asciiTheme="minorHAnsi" w:eastAsiaTheme="minorEastAsia" w:hAnsiTheme="minorHAnsi" w:cstheme="minorBidi"/>
                <w:b w:val="0"/>
                <w:noProof/>
                <w:sz w:val="22"/>
                <w:szCs w:val="22"/>
                <w:lang w:eastAsia="en-AU"/>
              </w:rPr>
              <w:tab/>
            </w:r>
            <w:r w:rsidR="00C806D7" w:rsidRPr="00F734C1">
              <w:rPr>
                <w:rStyle w:val="Hyperlink"/>
                <w:noProof/>
              </w:rPr>
              <w:t>Sodium nitrite</w:t>
            </w:r>
            <w:r w:rsidR="00C806D7">
              <w:rPr>
                <w:noProof/>
                <w:webHidden/>
              </w:rPr>
              <w:tab/>
            </w:r>
            <w:r w:rsidR="00C806D7">
              <w:rPr>
                <w:noProof/>
                <w:webHidden/>
              </w:rPr>
              <w:fldChar w:fldCharType="begin"/>
            </w:r>
            <w:r w:rsidR="00C806D7">
              <w:rPr>
                <w:noProof/>
                <w:webHidden/>
              </w:rPr>
              <w:instrText xml:space="preserve"> PAGEREF _Toc69382389 \h </w:instrText>
            </w:r>
            <w:r w:rsidR="00C806D7">
              <w:rPr>
                <w:noProof/>
                <w:webHidden/>
              </w:rPr>
            </w:r>
            <w:r w:rsidR="00C806D7">
              <w:rPr>
                <w:noProof/>
                <w:webHidden/>
              </w:rPr>
              <w:fldChar w:fldCharType="separate"/>
            </w:r>
            <w:r w:rsidR="00C806D7">
              <w:rPr>
                <w:noProof/>
                <w:webHidden/>
              </w:rPr>
              <w:t>4</w:t>
            </w:r>
            <w:r w:rsidR="00C806D7">
              <w:rPr>
                <w:noProof/>
                <w:webHidden/>
              </w:rPr>
              <w:fldChar w:fldCharType="end"/>
            </w:r>
          </w:hyperlink>
        </w:p>
        <w:p w14:paraId="1F9B109B" w14:textId="7E9979D3" w:rsidR="00C806D7" w:rsidRDefault="00D52562">
          <w:pPr>
            <w:pStyle w:val="TOC3"/>
            <w:rPr>
              <w:rFonts w:asciiTheme="minorHAnsi" w:eastAsiaTheme="minorEastAsia" w:hAnsiTheme="minorHAnsi" w:cstheme="minorBidi"/>
              <w:b w:val="0"/>
              <w:noProof/>
              <w:szCs w:val="22"/>
              <w:lang w:eastAsia="en-AU"/>
            </w:rPr>
          </w:pPr>
          <w:hyperlink w:anchor="_Toc69382390" w:history="1">
            <w:r w:rsidR="00C806D7" w:rsidRPr="00F734C1">
              <w:rPr>
                <w:rStyle w:val="Hyperlink"/>
                <w:noProof/>
              </w:rPr>
              <w:t>Support services and information sources</w:t>
            </w:r>
            <w:r w:rsidR="00C806D7">
              <w:rPr>
                <w:noProof/>
                <w:webHidden/>
              </w:rPr>
              <w:tab/>
            </w:r>
            <w:r w:rsidR="00C806D7">
              <w:rPr>
                <w:noProof/>
                <w:webHidden/>
              </w:rPr>
              <w:fldChar w:fldCharType="begin"/>
            </w:r>
            <w:r w:rsidR="00C806D7">
              <w:rPr>
                <w:noProof/>
                <w:webHidden/>
              </w:rPr>
              <w:instrText xml:space="preserve"> PAGEREF _Toc69382390 \h </w:instrText>
            </w:r>
            <w:r w:rsidR="00C806D7">
              <w:rPr>
                <w:noProof/>
                <w:webHidden/>
              </w:rPr>
            </w:r>
            <w:r w:rsidR="00C806D7">
              <w:rPr>
                <w:noProof/>
                <w:webHidden/>
              </w:rPr>
              <w:fldChar w:fldCharType="separate"/>
            </w:r>
            <w:r w:rsidR="00C806D7">
              <w:rPr>
                <w:noProof/>
                <w:webHidden/>
              </w:rPr>
              <w:t>4</w:t>
            </w:r>
            <w:r w:rsidR="00C806D7">
              <w:rPr>
                <w:noProof/>
                <w:webHidden/>
              </w:rPr>
              <w:fldChar w:fldCharType="end"/>
            </w:r>
          </w:hyperlink>
        </w:p>
        <w:p w14:paraId="1AD8E054" w14:textId="01F37231" w:rsidR="00C806D7" w:rsidRDefault="00D52562">
          <w:pPr>
            <w:pStyle w:val="TOC3"/>
            <w:rPr>
              <w:rFonts w:asciiTheme="minorHAnsi" w:eastAsiaTheme="minorEastAsia" w:hAnsiTheme="minorHAnsi" w:cstheme="minorBidi"/>
              <w:b w:val="0"/>
              <w:noProof/>
              <w:szCs w:val="22"/>
              <w:lang w:eastAsia="en-AU"/>
            </w:rPr>
          </w:pPr>
          <w:hyperlink w:anchor="_Toc69382391" w:history="1">
            <w:r w:rsidR="00C806D7" w:rsidRPr="00F734C1">
              <w:rPr>
                <w:rStyle w:val="Hyperlink"/>
                <w:noProof/>
              </w:rPr>
              <w:t>Alternative names</w:t>
            </w:r>
            <w:r w:rsidR="00C806D7">
              <w:rPr>
                <w:noProof/>
                <w:webHidden/>
              </w:rPr>
              <w:tab/>
            </w:r>
            <w:r w:rsidR="00C806D7">
              <w:rPr>
                <w:noProof/>
                <w:webHidden/>
              </w:rPr>
              <w:fldChar w:fldCharType="begin"/>
            </w:r>
            <w:r w:rsidR="00C806D7">
              <w:rPr>
                <w:noProof/>
                <w:webHidden/>
              </w:rPr>
              <w:instrText xml:space="preserve"> PAGEREF _Toc69382391 \h </w:instrText>
            </w:r>
            <w:r w:rsidR="00C806D7">
              <w:rPr>
                <w:noProof/>
                <w:webHidden/>
              </w:rPr>
            </w:r>
            <w:r w:rsidR="00C806D7">
              <w:rPr>
                <w:noProof/>
                <w:webHidden/>
              </w:rPr>
              <w:fldChar w:fldCharType="separate"/>
            </w:r>
            <w:r w:rsidR="00C806D7">
              <w:rPr>
                <w:noProof/>
                <w:webHidden/>
              </w:rPr>
              <w:t>4</w:t>
            </w:r>
            <w:r w:rsidR="00C806D7">
              <w:rPr>
                <w:noProof/>
                <w:webHidden/>
              </w:rPr>
              <w:fldChar w:fldCharType="end"/>
            </w:r>
          </w:hyperlink>
        </w:p>
        <w:p w14:paraId="0D22BE13" w14:textId="09F37EC9" w:rsidR="00C806D7" w:rsidRDefault="00D52562">
          <w:pPr>
            <w:pStyle w:val="TOC3"/>
            <w:rPr>
              <w:rFonts w:asciiTheme="minorHAnsi" w:eastAsiaTheme="minorEastAsia" w:hAnsiTheme="minorHAnsi" w:cstheme="minorBidi"/>
              <w:b w:val="0"/>
              <w:noProof/>
              <w:szCs w:val="22"/>
              <w:lang w:eastAsia="en-AU"/>
            </w:rPr>
          </w:pPr>
          <w:hyperlink w:anchor="_Toc69382392" w:history="1">
            <w:r w:rsidR="00C806D7" w:rsidRPr="00F734C1">
              <w:rPr>
                <w:rStyle w:val="Hyperlink"/>
                <w:noProof/>
              </w:rPr>
              <w:t>CAS Number:</w:t>
            </w:r>
            <w:r w:rsidR="00C806D7">
              <w:rPr>
                <w:noProof/>
                <w:webHidden/>
              </w:rPr>
              <w:tab/>
            </w:r>
            <w:r w:rsidR="00C806D7">
              <w:rPr>
                <w:noProof/>
                <w:webHidden/>
              </w:rPr>
              <w:fldChar w:fldCharType="begin"/>
            </w:r>
            <w:r w:rsidR="00C806D7">
              <w:rPr>
                <w:noProof/>
                <w:webHidden/>
              </w:rPr>
              <w:instrText xml:space="preserve"> PAGEREF _Toc69382392 \h </w:instrText>
            </w:r>
            <w:r w:rsidR="00C806D7">
              <w:rPr>
                <w:noProof/>
                <w:webHidden/>
              </w:rPr>
            </w:r>
            <w:r w:rsidR="00C806D7">
              <w:rPr>
                <w:noProof/>
                <w:webHidden/>
              </w:rPr>
              <w:fldChar w:fldCharType="separate"/>
            </w:r>
            <w:r w:rsidR="00C806D7">
              <w:rPr>
                <w:noProof/>
                <w:webHidden/>
              </w:rPr>
              <w:t>4</w:t>
            </w:r>
            <w:r w:rsidR="00C806D7">
              <w:rPr>
                <w:noProof/>
                <w:webHidden/>
              </w:rPr>
              <w:fldChar w:fldCharType="end"/>
            </w:r>
          </w:hyperlink>
        </w:p>
        <w:p w14:paraId="08E2A44A" w14:textId="40F49B18" w:rsidR="00C806D7" w:rsidRDefault="00D52562">
          <w:pPr>
            <w:pStyle w:val="TOC3"/>
            <w:rPr>
              <w:rFonts w:asciiTheme="minorHAnsi" w:eastAsiaTheme="minorEastAsia" w:hAnsiTheme="minorHAnsi" w:cstheme="minorBidi"/>
              <w:b w:val="0"/>
              <w:noProof/>
              <w:szCs w:val="22"/>
              <w:lang w:eastAsia="en-AU"/>
            </w:rPr>
          </w:pPr>
          <w:hyperlink w:anchor="_Toc69382393" w:history="1">
            <w:r w:rsidR="00C806D7" w:rsidRPr="00F734C1">
              <w:rPr>
                <w:rStyle w:val="Hyperlink"/>
                <w:noProof/>
              </w:rPr>
              <w:t>Applicant</w:t>
            </w:r>
            <w:r w:rsidR="00C806D7">
              <w:rPr>
                <w:noProof/>
                <w:webHidden/>
              </w:rPr>
              <w:tab/>
            </w:r>
            <w:r w:rsidR="00C806D7">
              <w:rPr>
                <w:noProof/>
                <w:webHidden/>
              </w:rPr>
              <w:fldChar w:fldCharType="begin"/>
            </w:r>
            <w:r w:rsidR="00C806D7">
              <w:rPr>
                <w:noProof/>
                <w:webHidden/>
              </w:rPr>
              <w:instrText xml:space="preserve"> PAGEREF _Toc69382393 \h </w:instrText>
            </w:r>
            <w:r w:rsidR="00C806D7">
              <w:rPr>
                <w:noProof/>
                <w:webHidden/>
              </w:rPr>
            </w:r>
            <w:r w:rsidR="00C806D7">
              <w:rPr>
                <w:noProof/>
                <w:webHidden/>
              </w:rPr>
              <w:fldChar w:fldCharType="separate"/>
            </w:r>
            <w:r w:rsidR="00C806D7">
              <w:rPr>
                <w:noProof/>
                <w:webHidden/>
              </w:rPr>
              <w:t>4</w:t>
            </w:r>
            <w:r w:rsidR="00C806D7">
              <w:rPr>
                <w:noProof/>
                <w:webHidden/>
              </w:rPr>
              <w:fldChar w:fldCharType="end"/>
            </w:r>
          </w:hyperlink>
        </w:p>
        <w:p w14:paraId="79C565FF" w14:textId="04675EB6" w:rsidR="00C806D7" w:rsidRDefault="00D52562">
          <w:pPr>
            <w:pStyle w:val="TOC3"/>
            <w:rPr>
              <w:rFonts w:asciiTheme="minorHAnsi" w:eastAsiaTheme="minorEastAsia" w:hAnsiTheme="minorHAnsi" w:cstheme="minorBidi"/>
              <w:b w:val="0"/>
              <w:noProof/>
              <w:szCs w:val="22"/>
              <w:lang w:eastAsia="en-AU"/>
            </w:rPr>
          </w:pPr>
          <w:hyperlink w:anchor="_Toc69382394" w:history="1">
            <w:r w:rsidR="00C806D7" w:rsidRPr="00F734C1">
              <w:rPr>
                <w:rStyle w:val="Hyperlink"/>
                <w:noProof/>
              </w:rPr>
              <w:t>Current scheduling</w:t>
            </w:r>
            <w:r w:rsidR="00C806D7">
              <w:rPr>
                <w:noProof/>
                <w:webHidden/>
              </w:rPr>
              <w:tab/>
            </w:r>
            <w:r w:rsidR="00C806D7">
              <w:rPr>
                <w:noProof/>
                <w:webHidden/>
              </w:rPr>
              <w:fldChar w:fldCharType="begin"/>
            </w:r>
            <w:r w:rsidR="00C806D7">
              <w:rPr>
                <w:noProof/>
                <w:webHidden/>
              </w:rPr>
              <w:instrText xml:space="preserve"> PAGEREF _Toc69382394 \h </w:instrText>
            </w:r>
            <w:r w:rsidR="00C806D7">
              <w:rPr>
                <w:noProof/>
                <w:webHidden/>
              </w:rPr>
            </w:r>
            <w:r w:rsidR="00C806D7">
              <w:rPr>
                <w:noProof/>
                <w:webHidden/>
              </w:rPr>
              <w:fldChar w:fldCharType="separate"/>
            </w:r>
            <w:r w:rsidR="00C806D7">
              <w:rPr>
                <w:noProof/>
                <w:webHidden/>
              </w:rPr>
              <w:t>4</w:t>
            </w:r>
            <w:r w:rsidR="00C806D7">
              <w:rPr>
                <w:noProof/>
                <w:webHidden/>
              </w:rPr>
              <w:fldChar w:fldCharType="end"/>
            </w:r>
          </w:hyperlink>
        </w:p>
        <w:p w14:paraId="24E6F3E8" w14:textId="46A41CA8" w:rsidR="00C806D7" w:rsidRDefault="00D52562">
          <w:pPr>
            <w:pStyle w:val="TOC3"/>
            <w:rPr>
              <w:rFonts w:asciiTheme="minorHAnsi" w:eastAsiaTheme="minorEastAsia" w:hAnsiTheme="minorHAnsi" w:cstheme="minorBidi"/>
              <w:b w:val="0"/>
              <w:noProof/>
              <w:szCs w:val="22"/>
              <w:lang w:eastAsia="en-AU"/>
            </w:rPr>
          </w:pPr>
          <w:hyperlink w:anchor="_Toc69382395" w:history="1">
            <w:r w:rsidR="00C806D7" w:rsidRPr="00F734C1">
              <w:rPr>
                <w:rStyle w:val="Hyperlink"/>
                <w:noProof/>
              </w:rPr>
              <w:t xml:space="preserve">Proposed scheduling </w:t>
            </w:r>
            <w:r w:rsidR="00C806D7">
              <w:rPr>
                <w:noProof/>
                <w:webHidden/>
              </w:rPr>
              <w:tab/>
            </w:r>
            <w:r w:rsidR="00C806D7">
              <w:rPr>
                <w:noProof/>
                <w:webHidden/>
              </w:rPr>
              <w:fldChar w:fldCharType="begin"/>
            </w:r>
            <w:r w:rsidR="00C806D7">
              <w:rPr>
                <w:noProof/>
                <w:webHidden/>
              </w:rPr>
              <w:instrText xml:space="preserve"> PAGEREF _Toc69382395 \h </w:instrText>
            </w:r>
            <w:r w:rsidR="00C806D7">
              <w:rPr>
                <w:noProof/>
                <w:webHidden/>
              </w:rPr>
            </w:r>
            <w:r w:rsidR="00C806D7">
              <w:rPr>
                <w:noProof/>
                <w:webHidden/>
              </w:rPr>
              <w:fldChar w:fldCharType="separate"/>
            </w:r>
            <w:r w:rsidR="00C806D7">
              <w:rPr>
                <w:noProof/>
                <w:webHidden/>
              </w:rPr>
              <w:t>6</w:t>
            </w:r>
            <w:r w:rsidR="00C806D7">
              <w:rPr>
                <w:noProof/>
                <w:webHidden/>
              </w:rPr>
              <w:fldChar w:fldCharType="end"/>
            </w:r>
          </w:hyperlink>
        </w:p>
        <w:p w14:paraId="4B27BFF5" w14:textId="0159FD84" w:rsidR="00C806D7" w:rsidRDefault="00D52562">
          <w:pPr>
            <w:pStyle w:val="TOC3"/>
            <w:rPr>
              <w:rFonts w:asciiTheme="minorHAnsi" w:eastAsiaTheme="minorEastAsia" w:hAnsiTheme="minorHAnsi" w:cstheme="minorBidi"/>
              <w:b w:val="0"/>
              <w:noProof/>
              <w:szCs w:val="22"/>
              <w:lang w:eastAsia="en-AU"/>
            </w:rPr>
          </w:pPr>
          <w:hyperlink w:anchor="_Toc69382396" w:history="1">
            <w:r w:rsidR="00C806D7" w:rsidRPr="00F734C1">
              <w:rPr>
                <w:rStyle w:val="Hyperlink"/>
                <w:noProof/>
              </w:rPr>
              <w:t>Key uses / expected use</w:t>
            </w:r>
            <w:r w:rsidR="00C806D7">
              <w:rPr>
                <w:noProof/>
                <w:webHidden/>
              </w:rPr>
              <w:tab/>
            </w:r>
            <w:r w:rsidR="00C806D7">
              <w:rPr>
                <w:noProof/>
                <w:webHidden/>
              </w:rPr>
              <w:fldChar w:fldCharType="begin"/>
            </w:r>
            <w:r w:rsidR="00C806D7">
              <w:rPr>
                <w:noProof/>
                <w:webHidden/>
              </w:rPr>
              <w:instrText xml:space="preserve"> PAGEREF _Toc69382396 \h </w:instrText>
            </w:r>
            <w:r w:rsidR="00C806D7">
              <w:rPr>
                <w:noProof/>
                <w:webHidden/>
              </w:rPr>
            </w:r>
            <w:r w:rsidR="00C806D7">
              <w:rPr>
                <w:noProof/>
                <w:webHidden/>
              </w:rPr>
              <w:fldChar w:fldCharType="separate"/>
            </w:r>
            <w:r w:rsidR="00C806D7">
              <w:rPr>
                <w:noProof/>
                <w:webHidden/>
              </w:rPr>
              <w:t>7</w:t>
            </w:r>
            <w:r w:rsidR="00C806D7">
              <w:rPr>
                <w:noProof/>
                <w:webHidden/>
              </w:rPr>
              <w:fldChar w:fldCharType="end"/>
            </w:r>
          </w:hyperlink>
        </w:p>
        <w:p w14:paraId="4EFBE814" w14:textId="47CAC365" w:rsidR="00C806D7" w:rsidRDefault="00D52562">
          <w:pPr>
            <w:pStyle w:val="TOC3"/>
            <w:rPr>
              <w:rFonts w:asciiTheme="minorHAnsi" w:eastAsiaTheme="minorEastAsia" w:hAnsiTheme="minorHAnsi" w:cstheme="minorBidi"/>
              <w:b w:val="0"/>
              <w:noProof/>
              <w:szCs w:val="22"/>
              <w:lang w:eastAsia="en-AU"/>
            </w:rPr>
          </w:pPr>
          <w:hyperlink w:anchor="_Toc69382397" w:history="1">
            <w:r w:rsidR="00C806D7" w:rsidRPr="00F734C1">
              <w:rPr>
                <w:rStyle w:val="Hyperlink"/>
                <w:noProof/>
              </w:rPr>
              <w:t>Reasons for proposal</w:t>
            </w:r>
            <w:r w:rsidR="00C806D7">
              <w:rPr>
                <w:noProof/>
                <w:webHidden/>
              </w:rPr>
              <w:tab/>
            </w:r>
            <w:r w:rsidR="00C806D7">
              <w:rPr>
                <w:noProof/>
                <w:webHidden/>
              </w:rPr>
              <w:fldChar w:fldCharType="begin"/>
            </w:r>
            <w:r w:rsidR="00C806D7">
              <w:rPr>
                <w:noProof/>
                <w:webHidden/>
              </w:rPr>
              <w:instrText xml:space="preserve"> PAGEREF _Toc69382397 \h </w:instrText>
            </w:r>
            <w:r w:rsidR="00C806D7">
              <w:rPr>
                <w:noProof/>
                <w:webHidden/>
              </w:rPr>
            </w:r>
            <w:r w:rsidR="00C806D7">
              <w:rPr>
                <w:noProof/>
                <w:webHidden/>
              </w:rPr>
              <w:fldChar w:fldCharType="separate"/>
            </w:r>
            <w:r w:rsidR="00C806D7">
              <w:rPr>
                <w:noProof/>
                <w:webHidden/>
              </w:rPr>
              <w:t>7</w:t>
            </w:r>
            <w:r w:rsidR="00C806D7">
              <w:rPr>
                <w:noProof/>
                <w:webHidden/>
              </w:rPr>
              <w:fldChar w:fldCharType="end"/>
            </w:r>
          </w:hyperlink>
        </w:p>
        <w:p w14:paraId="31032B72" w14:textId="7DDF8721" w:rsidR="00C806D7" w:rsidRDefault="00D52562">
          <w:pPr>
            <w:pStyle w:val="TOC3"/>
            <w:rPr>
              <w:rFonts w:asciiTheme="minorHAnsi" w:eastAsiaTheme="minorEastAsia" w:hAnsiTheme="minorHAnsi" w:cstheme="minorBidi"/>
              <w:b w:val="0"/>
              <w:noProof/>
              <w:szCs w:val="22"/>
              <w:lang w:eastAsia="en-AU"/>
            </w:rPr>
          </w:pPr>
          <w:hyperlink w:anchor="_Toc69382398" w:history="1">
            <w:r w:rsidR="00C806D7" w:rsidRPr="00F734C1">
              <w:rPr>
                <w:rStyle w:val="Hyperlink"/>
                <w:noProof/>
              </w:rPr>
              <w:t>Australian regulations</w:t>
            </w:r>
            <w:r w:rsidR="00C806D7">
              <w:rPr>
                <w:noProof/>
                <w:webHidden/>
              </w:rPr>
              <w:tab/>
            </w:r>
            <w:r w:rsidR="00C806D7">
              <w:rPr>
                <w:noProof/>
                <w:webHidden/>
              </w:rPr>
              <w:fldChar w:fldCharType="begin"/>
            </w:r>
            <w:r w:rsidR="00C806D7">
              <w:rPr>
                <w:noProof/>
                <w:webHidden/>
              </w:rPr>
              <w:instrText xml:space="preserve"> PAGEREF _Toc69382398 \h </w:instrText>
            </w:r>
            <w:r w:rsidR="00C806D7">
              <w:rPr>
                <w:noProof/>
                <w:webHidden/>
              </w:rPr>
            </w:r>
            <w:r w:rsidR="00C806D7">
              <w:rPr>
                <w:noProof/>
                <w:webHidden/>
              </w:rPr>
              <w:fldChar w:fldCharType="separate"/>
            </w:r>
            <w:r w:rsidR="00C806D7">
              <w:rPr>
                <w:noProof/>
                <w:webHidden/>
              </w:rPr>
              <w:t>8</w:t>
            </w:r>
            <w:r w:rsidR="00C806D7">
              <w:rPr>
                <w:noProof/>
                <w:webHidden/>
              </w:rPr>
              <w:fldChar w:fldCharType="end"/>
            </w:r>
          </w:hyperlink>
        </w:p>
        <w:p w14:paraId="61A688A2" w14:textId="72B20551" w:rsidR="00C806D7" w:rsidRDefault="00D52562">
          <w:pPr>
            <w:pStyle w:val="TOC3"/>
            <w:rPr>
              <w:rFonts w:asciiTheme="minorHAnsi" w:eastAsiaTheme="minorEastAsia" w:hAnsiTheme="minorHAnsi" w:cstheme="minorBidi"/>
              <w:b w:val="0"/>
              <w:noProof/>
              <w:szCs w:val="22"/>
              <w:lang w:eastAsia="en-AU"/>
            </w:rPr>
          </w:pPr>
          <w:hyperlink w:anchor="_Toc69382399" w:history="1">
            <w:r w:rsidR="00C806D7" w:rsidRPr="00F734C1">
              <w:rPr>
                <w:rStyle w:val="Hyperlink"/>
                <w:noProof/>
              </w:rPr>
              <w:t>International regulations</w:t>
            </w:r>
            <w:r w:rsidR="00C806D7">
              <w:rPr>
                <w:noProof/>
                <w:webHidden/>
              </w:rPr>
              <w:tab/>
            </w:r>
            <w:r w:rsidR="00C806D7">
              <w:rPr>
                <w:noProof/>
                <w:webHidden/>
              </w:rPr>
              <w:fldChar w:fldCharType="begin"/>
            </w:r>
            <w:r w:rsidR="00C806D7">
              <w:rPr>
                <w:noProof/>
                <w:webHidden/>
              </w:rPr>
              <w:instrText xml:space="preserve"> PAGEREF _Toc69382399 \h </w:instrText>
            </w:r>
            <w:r w:rsidR="00C806D7">
              <w:rPr>
                <w:noProof/>
                <w:webHidden/>
              </w:rPr>
            </w:r>
            <w:r w:rsidR="00C806D7">
              <w:rPr>
                <w:noProof/>
                <w:webHidden/>
              </w:rPr>
              <w:fldChar w:fldCharType="separate"/>
            </w:r>
            <w:r w:rsidR="00C806D7">
              <w:rPr>
                <w:noProof/>
                <w:webHidden/>
              </w:rPr>
              <w:t>9</w:t>
            </w:r>
            <w:r w:rsidR="00C806D7">
              <w:rPr>
                <w:noProof/>
                <w:webHidden/>
              </w:rPr>
              <w:fldChar w:fldCharType="end"/>
            </w:r>
          </w:hyperlink>
        </w:p>
        <w:p w14:paraId="4CD48EFC" w14:textId="407FF547" w:rsidR="00C806D7" w:rsidRDefault="00D52562">
          <w:pPr>
            <w:pStyle w:val="TOC1"/>
            <w:tabs>
              <w:tab w:val="left" w:pos="425"/>
            </w:tabs>
            <w:rPr>
              <w:rFonts w:asciiTheme="minorHAnsi" w:eastAsiaTheme="minorEastAsia" w:hAnsiTheme="minorHAnsi" w:cstheme="minorBidi"/>
              <w:b w:val="0"/>
              <w:noProof/>
              <w:sz w:val="22"/>
              <w:szCs w:val="22"/>
              <w:lang w:eastAsia="en-AU"/>
            </w:rPr>
          </w:pPr>
          <w:hyperlink w:anchor="_Toc69382400" w:history="1">
            <w:r w:rsidR="00C806D7" w:rsidRPr="00F734C1">
              <w:rPr>
                <w:rStyle w:val="Hyperlink"/>
                <w:noProof/>
              </w:rPr>
              <w:t>4</w:t>
            </w:r>
            <w:r w:rsidR="00C806D7">
              <w:rPr>
                <w:rFonts w:asciiTheme="minorHAnsi" w:eastAsiaTheme="minorEastAsia" w:hAnsiTheme="minorHAnsi" w:cstheme="minorBidi"/>
                <w:b w:val="0"/>
                <w:noProof/>
                <w:sz w:val="22"/>
                <w:szCs w:val="22"/>
                <w:lang w:eastAsia="en-AU"/>
              </w:rPr>
              <w:tab/>
            </w:r>
            <w:r w:rsidR="00C806D7" w:rsidRPr="00F734C1">
              <w:rPr>
                <w:rStyle w:val="Hyperlink"/>
                <w:noProof/>
              </w:rPr>
              <w:t>How to respond</w:t>
            </w:r>
            <w:r w:rsidR="00C806D7">
              <w:rPr>
                <w:noProof/>
                <w:webHidden/>
              </w:rPr>
              <w:tab/>
            </w:r>
            <w:r w:rsidR="00C806D7">
              <w:rPr>
                <w:noProof/>
                <w:webHidden/>
              </w:rPr>
              <w:fldChar w:fldCharType="begin"/>
            </w:r>
            <w:r w:rsidR="00C806D7">
              <w:rPr>
                <w:noProof/>
                <w:webHidden/>
              </w:rPr>
              <w:instrText xml:space="preserve"> PAGEREF _Toc69382400 \h </w:instrText>
            </w:r>
            <w:r w:rsidR="00C806D7">
              <w:rPr>
                <w:noProof/>
                <w:webHidden/>
              </w:rPr>
            </w:r>
            <w:r w:rsidR="00C806D7">
              <w:rPr>
                <w:noProof/>
                <w:webHidden/>
              </w:rPr>
              <w:fldChar w:fldCharType="separate"/>
            </w:r>
            <w:r w:rsidR="00C806D7">
              <w:rPr>
                <w:noProof/>
                <w:webHidden/>
              </w:rPr>
              <w:t>9</w:t>
            </w:r>
            <w:r w:rsidR="00C806D7">
              <w:rPr>
                <w:noProof/>
                <w:webHidden/>
              </w:rPr>
              <w:fldChar w:fldCharType="end"/>
            </w:r>
          </w:hyperlink>
        </w:p>
        <w:p w14:paraId="117E351D" w14:textId="23EFEEEA" w:rsidR="00C806D7" w:rsidRDefault="00D52562">
          <w:pPr>
            <w:pStyle w:val="TOC1"/>
            <w:tabs>
              <w:tab w:val="left" w:pos="425"/>
            </w:tabs>
            <w:rPr>
              <w:rFonts w:asciiTheme="minorHAnsi" w:eastAsiaTheme="minorEastAsia" w:hAnsiTheme="minorHAnsi" w:cstheme="minorBidi"/>
              <w:b w:val="0"/>
              <w:noProof/>
              <w:sz w:val="22"/>
              <w:szCs w:val="22"/>
              <w:lang w:eastAsia="en-AU"/>
            </w:rPr>
          </w:pPr>
          <w:hyperlink w:anchor="_Toc69382401" w:history="1">
            <w:r w:rsidR="00C806D7" w:rsidRPr="00F734C1">
              <w:rPr>
                <w:rStyle w:val="Hyperlink"/>
                <w:noProof/>
              </w:rPr>
              <w:t>5</w:t>
            </w:r>
            <w:r w:rsidR="00C806D7">
              <w:rPr>
                <w:rFonts w:asciiTheme="minorHAnsi" w:eastAsiaTheme="minorEastAsia" w:hAnsiTheme="minorHAnsi" w:cstheme="minorBidi"/>
                <w:b w:val="0"/>
                <w:noProof/>
                <w:sz w:val="22"/>
                <w:szCs w:val="22"/>
                <w:lang w:eastAsia="en-AU"/>
              </w:rPr>
              <w:tab/>
            </w:r>
            <w:r w:rsidR="00C806D7" w:rsidRPr="00F734C1">
              <w:rPr>
                <w:rStyle w:val="Hyperlink"/>
                <w:noProof/>
              </w:rPr>
              <w:t>What will happen</w:t>
            </w:r>
            <w:r w:rsidR="00C806D7">
              <w:rPr>
                <w:noProof/>
                <w:webHidden/>
              </w:rPr>
              <w:tab/>
            </w:r>
            <w:r w:rsidR="00C806D7">
              <w:rPr>
                <w:noProof/>
                <w:webHidden/>
              </w:rPr>
              <w:fldChar w:fldCharType="begin"/>
            </w:r>
            <w:r w:rsidR="00C806D7">
              <w:rPr>
                <w:noProof/>
                <w:webHidden/>
              </w:rPr>
              <w:instrText xml:space="preserve"> PAGEREF _Toc69382401 \h </w:instrText>
            </w:r>
            <w:r w:rsidR="00C806D7">
              <w:rPr>
                <w:noProof/>
                <w:webHidden/>
              </w:rPr>
            </w:r>
            <w:r w:rsidR="00C806D7">
              <w:rPr>
                <w:noProof/>
                <w:webHidden/>
              </w:rPr>
              <w:fldChar w:fldCharType="separate"/>
            </w:r>
            <w:r w:rsidR="00C806D7">
              <w:rPr>
                <w:noProof/>
                <w:webHidden/>
              </w:rPr>
              <w:t>10</w:t>
            </w:r>
            <w:r w:rsidR="00C806D7">
              <w:rPr>
                <w:noProof/>
                <w:webHidden/>
              </w:rPr>
              <w:fldChar w:fldCharType="end"/>
            </w:r>
          </w:hyperlink>
        </w:p>
        <w:p w14:paraId="31C84BAA" w14:textId="496EB125" w:rsidR="00C806D7" w:rsidRDefault="00D52562">
          <w:pPr>
            <w:pStyle w:val="TOC1"/>
            <w:tabs>
              <w:tab w:val="left" w:pos="425"/>
            </w:tabs>
            <w:rPr>
              <w:rFonts w:asciiTheme="minorHAnsi" w:eastAsiaTheme="minorEastAsia" w:hAnsiTheme="minorHAnsi" w:cstheme="minorBidi"/>
              <w:b w:val="0"/>
              <w:noProof/>
              <w:sz w:val="22"/>
              <w:szCs w:val="22"/>
              <w:lang w:eastAsia="en-AU"/>
            </w:rPr>
          </w:pPr>
          <w:hyperlink w:anchor="_Toc69382402" w:history="1">
            <w:r w:rsidR="00C806D7" w:rsidRPr="00F734C1">
              <w:rPr>
                <w:rStyle w:val="Hyperlink"/>
                <w:noProof/>
              </w:rPr>
              <w:t>6</w:t>
            </w:r>
            <w:r w:rsidR="00C806D7">
              <w:rPr>
                <w:rFonts w:asciiTheme="minorHAnsi" w:eastAsiaTheme="minorEastAsia" w:hAnsiTheme="minorHAnsi" w:cstheme="minorBidi"/>
                <w:b w:val="0"/>
                <w:noProof/>
                <w:sz w:val="22"/>
                <w:szCs w:val="22"/>
                <w:lang w:eastAsia="en-AU"/>
              </w:rPr>
              <w:tab/>
            </w:r>
            <w:r w:rsidR="00C806D7" w:rsidRPr="00F734C1">
              <w:rPr>
                <w:rStyle w:val="Hyperlink"/>
                <w:noProof/>
              </w:rPr>
              <w:t>Enquiries</w:t>
            </w:r>
            <w:r w:rsidR="00C806D7">
              <w:rPr>
                <w:noProof/>
                <w:webHidden/>
              </w:rPr>
              <w:tab/>
            </w:r>
            <w:r w:rsidR="00C806D7">
              <w:rPr>
                <w:noProof/>
                <w:webHidden/>
              </w:rPr>
              <w:fldChar w:fldCharType="begin"/>
            </w:r>
            <w:r w:rsidR="00C806D7">
              <w:rPr>
                <w:noProof/>
                <w:webHidden/>
              </w:rPr>
              <w:instrText xml:space="preserve"> PAGEREF _Toc69382402 \h </w:instrText>
            </w:r>
            <w:r w:rsidR="00C806D7">
              <w:rPr>
                <w:noProof/>
                <w:webHidden/>
              </w:rPr>
            </w:r>
            <w:r w:rsidR="00C806D7">
              <w:rPr>
                <w:noProof/>
                <w:webHidden/>
              </w:rPr>
              <w:fldChar w:fldCharType="separate"/>
            </w:r>
            <w:r w:rsidR="00C806D7">
              <w:rPr>
                <w:noProof/>
                <w:webHidden/>
              </w:rPr>
              <w:t>10</w:t>
            </w:r>
            <w:r w:rsidR="00C806D7">
              <w:rPr>
                <w:noProof/>
                <w:webHidden/>
              </w:rPr>
              <w:fldChar w:fldCharType="end"/>
            </w:r>
          </w:hyperlink>
        </w:p>
        <w:p w14:paraId="7CBED58D" w14:textId="34857FC3" w:rsidR="00B92C72" w:rsidRPr="009401F6" w:rsidRDefault="006C626D" w:rsidP="0023397F">
          <w:r w:rsidRPr="009401F6">
            <w:fldChar w:fldCharType="end"/>
          </w:r>
        </w:p>
      </w:sdtContent>
    </w:sdt>
    <w:p w14:paraId="30413B40" w14:textId="79997A0B" w:rsidR="003C02CB" w:rsidRDefault="003C02CB" w:rsidP="002835ED">
      <w:pPr>
        <w:pStyle w:val="Heading2"/>
        <w:ind w:left="431" w:hanging="431"/>
      </w:pPr>
      <w:bookmarkStart w:id="1" w:name="_Toc69382388"/>
      <w:bookmarkEnd w:id="0"/>
      <w:r>
        <w:lastRenderedPageBreak/>
        <w:t>Proposed amendments referred for scheduling advice to the Joint ACMS-ACCS #</w:t>
      </w:r>
      <w:r w:rsidR="00CB0B54" w:rsidRPr="00CB0B54">
        <w:t>28</w:t>
      </w:r>
      <w:bookmarkEnd w:id="1"/>
    </w:p>
    <w:p w14:paraId="0DF72905" w14:textId="099FFAB2" w:rsidR="000A4B2F" w:rsidRDefault="00366DD7" w:rsidP="004E14BD">
      <w:pPr>
        <w:pStyle w:val="Heading3"/>
        <w:numPr>
          <w:ilvl w:val="1"/>
          <w:numId w:val="32"/>
        </w:numPr>
      </w:pPr>
      <w:bookmarkStart w:id="2" w:name="_Toc69382389"/>
      <w:r>
        <w:t>S</w:t>
      </w:r>
      <w:r w:rsidR="000A4B2F" w:rsidRPr="000A4B2F">
        <w:t>odium nitrite</w:t>
      </w:r>
      <w:bookmarkEnd w:id="2"/>
    </w:p>
    <w:p w14:paraId="74C82B42" w14:textId="0BBF4AC4" w:rsidR="00B63EEB" w:rsidRDefault="00B63EEB" w:rsidP="00B63EEB">
      <w:r>
        <w:t>The Department of Health (the ‘Department’) recognises that e</w:t>
      </w:r>
      <w:r w:rsidR="004D089C">
        <w:t>ach of the numbers reported</w:t>
      </w:r>
      <w:r>
        <w:t xml:space="preserve"> represents an individual. The Department acknowledges the devastating effects associated with acts of self-harm on individuals, their families, friends and communities.</w:t>
      </w:r>
      <w:r w:rsidR="00851756">
        <w:t xml:space="preserve"> A list of support services and </w:t>
      </w:r>
      <w:r w:rsidR="000800C1">
        <w:t xml:space="preserve">information sources </w:t>
      </w:r>
      <w:proofErr w:type="gramStart"/>
      <w:r w:rsidR="000800C1">
        <w:t>is provided</w:t>
      </w:r>
      <w:proofErr w:type="gramEnd"/>
      <w:r w:rsidR="000800C1">
        <w:t xml:space="preserve"> below.</w:t>
      </w:r>
    </w:p>
    <w:p w14:paraId="3E307AF0" w14:textId="3ACCF3D2" w:rsidR="00B63EEB" w:rsidRDefault="00B63EEB" w:rsidP="00B63EEB">
      <w:r>
        <w:t xml:space="preserve">The information below contains details of </w:t>
      </w:r>
      <w:r w:rsidRPr="00A423EC">
        <w:t>self-poisoning</w:t>
      </w:r>
      <w:r>
        <w:t>s</w:t>
      </w:r>
      <w:r w:rsidRPr="00A423EC">
        <w:t xml:space="preserve"> </w:t>
      </w:r>
      <w:r>
        <w:t xml:space="preserve">some people may find distressing. </w:t>
      </w:r>
      <w:r w:rsidRPr="00EB2CA1">
        <w:t>If you</w:t>
      </w:r>
      <w:r>
        <w:t xml:space="preserve"> or someone you know</w:t>
      </w:r>
      <w:r w:rsidRPr="00EB2CA1">
        <w:t xml:space="preserve"> </w:t>
      </w:r>
      <w:r>
        <w:t xml:space="preserve">is in </w:t>
      </w:r>
      <w:r w:rsidRPr="00EB2CA1">
        <w:t>need</w:t>
      </w:r>
      <w:r w:rsidR="00BB1013">
        <w:t xml:space="preserve"> of</w:t>
      </w:r>
      <w:r w:rsidRPr="00EB2CA1">
        <w:t xml:space="preserve"> additional </w:t>
      </w:r>
      <w:proofErr w:type="gramStart"/>
      <w:r w:rsidRPr="00EB2CA1">
        <w:t>support,</w:t>
      </w:r>
      <w:proofErr w:type="gramEnd"/>
      <w:r w:rsidRPr="00EB2CA1">
        <w:t xml:space="preserve"> please contact any of the belo</w:t>
      </w:r>
      <w:r>
        <w:t>w crisis support helplines:</w:t>
      </w:r>
    </w:p>
    <w:p w14:paraId="2A9C2E58" w14:textId="5BEE0E04" w:rsidR="000800C1" w:rsidRDefault="000800C1" w:rsidP="00E120E3">
      <w:pPr>
        <w:pStyle w:val="Heading4"/>
      </w:pPr>
      <w:bookmarkStart w:id="3" w:name="_Toc69382390"/>
      <w:r>
        <w:t xml:space="preserve">Support services and </w:t>
      </w:r>
      <w:r w:rsidR="00E120E3">
        <w:t>information sources</w:t>
      </w:r>
      <w:bookmarkEnd w:id="3"/>
    </w:p>
    <w:p w14:paraId="64E91BAE" w14:textId="6B07F057" w:rsidR="00B63EEB" w:rsidRPr="00472F0B" w:rsidRDefault="00B63EEB" w:rsidP="00B63EEB">
      <w:pPr>
        <w:rPr>
          <w:b/>
        </w:rPr>
      </w:pPr>
      <w:r w:rsidRPr="00472F0B">
        <w:rPr>
          <w:b/>
        </w:rPr>
        <w:t>Adult</w:t>
      </w:r>
    </w:p>
    <w:p w14:paraId="5DD7E1E3" w14:textId="77777777" w:rsidR="00B63EEB" w:rsidRDefault="00D52562" w:rsidP="00B63EEB">
      <w:pPr>
        <w:pStyle w:val="ListBullet"/>
        <w:numPr>
          <w:ilvl w:val="0"/>
          <w:numId w:val="1"/>
        </w:numPr>
      </w:pPr>
      <w:hyperlink r:id="rId13" w:history="1">
        <w:r w:rsidR="00B63EEB" w:rsidRPr="00A423EC">
          <w:rPr>
            <w:rStyle w:val="Hyperlink"/>
          </w:rPr>
          <w:t>Lifeline</w:t>
        </w:r>
      </w:hyperlink>
      <w:r w:rsidR="00B63EEB">
        <w:t>: 13 11 14</w:t>
      </w:r>
    </w:p>
    <w:p w14:paraId="3E01AF16" w14:textId="77777777" w:rsidR="00B63EEB" w:rsidRDefault="00D52562" w:rsidP="00B63EEB">
      <w:pPr>
        <w:pStyle w:val="ListBullet"/>
        <w:numPr>
          <w:ilvl w:val="0"/>
          <w:numId w:val="1"/>
        </w:numPr>
      </w:pPr>
      <w:hyperlink r:id="rId14" w:history="1">
        <w:r w:rsidR="00B63EEB" w:rsidRPr="00472F0B">
          <w:rPr>
            <w:rStyle w:val="Hyperlink"/>
          </w:rPr>
          <w:t>Suicide Call Back Service</w:t>
        </w:r>
      </w:hyperlink>
      <w:r w:rsidR="00B63EEB">
        <w:t>: 1300 659 467</w:t>
      </w:r>
    </w:p>
    <w:p w14:paraId="61A6AEDD" w14:textId="77777777" w:rsidR="00B63EEB" w:rsidRDefault="00D52562" w:rsidP="00B63EEB">
      <w:pPr>
        <w:pStyle w:val="ListBullet"/>
        <w:numPr>
          <w:ilvl w:val="0"/>
          <w:numId w:val="1"/>
        </w:numPr>
      </w:pPr>
      <w:hyperlink r:id="rId15" w:history="1">
        <w:r w:rsidR="00B63EEB" w:rsidRPr="00A423EC">
          <w:rPr>
            <w:rStyle w:val="Hyperlink"/>
          </w:rPr>
          <w:t>Beyond Blue</w:t>
        </w:r>
      </w:hyperlink>
      <w:r w:rsidR="00B63EEB">
        <w:t>: 1800 512 348</w:t>
      </w:r>
    </w:p>
    <w:p w14:paraId="528F4640" w14:textId="77777777" w:rsidR="00B63EEB" w:rsidRDefault="00D52562" w:rsidP="00B63EEB">
      <w:pPr>
        <w:pStyle w:val="ListBullet"/>
        <w:numPr>
          <w:ilvl w:val="0"/>
          <w:numId w:val="1"/>
        </w:numPr>
      </w:pPr>
      <w:hyperlink r:id="rId16" w:history="1">
        <w:proofErr w:type="spellStart"/>
        <w:r w:rsidR="00B63EEB" w:rsidRPr="00A423EC">
          <w:rPr>
            <w:rStyle w:val="Hyperlink"/>
          </w:rPr>
          <w:t>MensLine</w:t>
        </w:r>
        <w:proofErr w:type="spellEnd"/>
        <w:r w:rsidR="00B63EEB" w:rsidRPr="00A423EC">
          <w:rPr>
            <w:rStyle w:val="Hyperlink"/>
          </w:rPr>
          <w:t xml:space="preserve"> Australia</w:t>
        </w:r>
      </w:hyperlink>
      <w:r w:rsidR="00B63EEB">
        <w:t>: 1300 789 978</w:t>
      </w:r>
    </w:p>
    <w:p w14:paraId="5D86E9A7" w14:textId="77777777" w:rsidR="00B63EEB" w:rsidRDefault="00B63EEB" w:rsidP="00B63EEB">
      <w:pPr>
        <w:pStyle w:val="ListBullet"/>
        <w:numPr>
          <w:ilvl w:val="0"/>
          <w:numId w:val="0"/>
        </w:numPr>
        <w:rPr>
          <w:b/>
        </w:rPr>
      </w:pPr>
      <w:r w:rsidRPr="00472F0B">
        <w:rPr>
          <w:b/>
        </w:rPr>
        <w:t>Youth</w:t>
      </w:r>
    </w:p>
    <w:p w14:paraId="1BBE94CB" w14:textId="77777777" w:rsidR="00B63EEB" w:rsidRDefault="00D52562" w:rsidP="00B63EEB">
      <w:pPr>
        <w:pStyle w:val="ListBullet"/>
        <w:numPr>
          <w:ilvl w:val="0"/>
          <w:numId w:val="1"/>
        </w:numPr>
      </w:pPr>
      <w:hyperlink r:id="rId17" w:history="1">
        <w:r w:rsidR="00B63EEB" w:rsidRPr="00472F0B">
          <w:rPr>
            <w:rStyle w:val="Hyperlink"/>
          </w:rPr>
          <w:t>Kids Helpline</w:t>
        </w:r>
      </w:hyperlink>
      <w:r w:rsidR="00B63EEB">
        <w:t xml:space="preserve"> (</w:t>
      </w:r>
      <w:r w:rsidR="00B63EEB" w:rsidRPr="00134C40">
        <w:t>5-25 years</w:t>
      </w:r>
      <w:r w:rsidR="00B63EEB">
        <w:t>): 1800 551 800</w:t>
      </w:r>
    </w:p>
    <w:p w14:paraId="795F0383" w14:textId="156A43DC" w:rsidR="00B63EEB" w:rsidRDefault="00D52562" w:rsidP="00B63EEB">
      <w:pPr>
        <w:pStyle w:val="ListBullet"/>
        <w:numPr>
          <w:ilvl w:val="0"/>
          <w:numId w:val="1"/>
        </w:numPr>
      </w:pPr>
      <w:hyperlink r:id="rId18" w:history="1">
        <w:r w:rsidR="00B63EEB" w:rsidRPr="00472F0B">
          <w:rPr>
            <w:rStyle w:val="Hyperlink"/>
          </w:rPr>
          <w:t>Headspace</w:t>
        </w:r>
      </w:hyperlink>
      <w:r w:rsidR="00B63EEB">
        <w:t>: 1800 650 890</w:t>
      </w:r>
    </w:p>
    <w:p w14:paraId="4FB4B85A" w14:textId="77777777" w:rsidR="004D089C" w:rsidRPr="004D089C" w:rsidRDefault="00D52562" w:rsidP="00B63EEB">
      <w:pPr>
        <w:pStyle w:val="ListBullet"/>
        <w:numPr>
          <w:ilvl w:val="0"/>
          <w:numId w:val="1"/>
        </w:numPr>
        <w:rPr>
          <w:rStyle w:val="Hyperlink"/>
          <w:color w:val="auto"/>
          <w:u w:val="none"/>
        </w:rPr>
      </w:pPr>
      <w:hyperlink r:id="rId19" w:history="1">
        <w:proofErr w:type="spellStart"/>
        <w:r w:rsidR="00B63EEB" w:rsidRPr="00472F0B">
          <w:rPr>
            <w:rStyle w:val="Hyperlink"/>
          </w:rPr>
          <w:t>ReachOut</w:t>
        </w:r>
        <w:proofErr w:type="spellEnd"/>
      </w:hyperlink>
    </w:p>
    <w:p w14:paraId="5AFE2F44" w14:textId="676BE739" w:rsidR="006456FC" w:rsidRDefault="006456FC" w:rsidP="006456FC">
      <w:pPr>
        <w:pStyle w:val="Heading4"/>
      </w:pPr>
      <w:r>
        <w:t>Proposal</w:t>
      </w:r>
    </w:p>
    <w:p w14:paraId="4D16BBA4" w14:textId="2B0B158C" w:rsidR="00B63EEB" w:rsidRPr="00D550FB" w:rsidRDefault="006456FC" w:rsidP="00BC03AF">
      <w:pPr>
        <w:pStyle w:val="Normal-hanging"/>
        <w:ind w:left="0" w:firstLine="0"/>
        <w:rPr>
          <w:rFonts w:ascii="Cambria" w:hAnsi="Cambria"/>
        </w:rPr>
      </w:pPr>
      <w:proofErr w:type="gramStart"/>
      <w:r w:rsidRPr="004D089C">
        <w:rPr>
          <w:rFonts w:ascii="Cambria" w:hAnsi="Cambria"/>
        </w:rPr>
        <w:t xml:space="preserve">The </w:t>
      </w:r>
      <w:r w:rsidR="00115F8B" w:rsidRPr="00A51C8F">
        <w:t>Delegate of the Secretary of the Commonwealth Department of Health</w:t>
      </w:r>
      <w:r w:rsidR="00115F8B">
        <w:t xml:space="preserve"> (the Delegate)</w:t>
      </w:r>
      <w:r w:rsidRPr="004D089C">
        <w:rPr>
          <w:rFonts w:ascii="Cambria" w:hAnsi="Cambria"/>
        </w:rPr>
        <w:t xml:space="preserve"> proposes</w:t>
      </w:r>
      <w:r>
        <w:rPr>
          <w:rFonts w:ascii="Cambria" w:hAnsi="Cambria"/>
        </w:rPr>
        <w:t xml:space="preserve"> to </w:t>
      </w:r>
      <w:r w:rsidRPr="004D089C">
        <w:rPr>
          <w:rFonts w:ascii="Cambria" w:hAnsi="Cambria"/>
        </w:rPr>
        <w:t xml:space="preserve">create a new Schedule 10 entry for sodium nitrite for products containing concentrations above 15% of sodium nitrite; delete the </w:t>
      </w:r>
      <w:r w:rsidR="00710804">
        <w:rPr>
          <w:rFonts w:ascii="Cambria" w:hAnsi="Cambria"/>
        </w:rPr>
        <w:t>S</w:t>
      </w:r>
      <w:r w:rsidRPr="004D089C">
        <w:rPr>
          <w:rFonts w:ascii="Cambria" w:hAnsi="Cambria"/>
        </w:rPr>
        <w:t>chedule 7 entry; and amend the Schedule 6 entry to allow for concentrations of up to 15%, other than when it is excluded</w:t>
      </w:r>
      <w:r w:rsidR="00D550FB">
        <w:rPr>
          <w:rFonts w:ascii="Cambria" w:hAnsi="Cambria"/>
        </w:rPr>
        <w:t xml:space="preserve"> from these entries</w:t>
      </w:r>
      <w:r w:rsidRPr="004D089C">
        <w:rPr>
          <w:rFonts w:ascii="Cambria" w:hAnsi="Cambria"/>
        </w:rPr>
        <w:t>.</w:t>
      </w:r>
      <w:proofErr w:type="gramEnd"/>
      <w:r w:rsidRPr="004D089C">
        <w:rPr>
          <w:rFonts w:ascii="Cambria" w:hAnsi="Cambria"/>
        </w:rPr>
        <w:t xml:space="preserve"> </w:t>
      </w:r>
      <w:r w:rsidR="00D550FB">
        <w:rPr>
          <w:rFonts w:ascii="Cambria" w:hAnsi="Cambria"/>
        </w:rPr>
        <w:t>Sodium nitrite is also in Schedule 2 and some concentrations and uses are unscheduled.</w:t>
      </w:r>
    </w:p>
    <w:p w14:paraId="7D57B341" w14:textId="77777777" w:rsidR="00851756" w:rsidRDefault="00851756" w:rsidP="00851756">
      <w:pPr>
        <w:pStyle w:val="Heading4"/>
      </w:pPr>
      <w:bookmarkStart w:id="4" w:name="_Toc69382391"/>
      <w:r>
        <w:t>Alternative names</w:t>
      </w:r>
      <w:bookmarkEnd w:id="4"/>
    </w:p>
    <w:p w14:paraId="2884D141" w14:textId="77777777" w:rsidR="00851756" w:rsidRDefault="00851756" w:rsidP="00851756">
      <w:pPr>
        <w:rPr>
          <w:shd w:val="clear" w:color="auto" w:fill="FFFFFF"/>
        </w:rPr>
      </w:pPr>
      <w:r>
        <w:t>NaNO</w:t>
      </w:r>
      <w:r>
        <w:rPr>
          <w:vertAlign w:val="subscript"/>
        </w:rPr>
        <w:t xml:space="preserve">2; </w:t>
      </w:r>
      <w:r>
        <w:t xml:space="preserve">Nitrous acid; Sodium salt; </w:t>
      </w:r>
      <w:proofErr w:type="spellStart"/>
      <w:r>
        <w:t>Sodiumnitrite</w:t>
      </w:r>
      <w:proofErr w:type="spellEnd"/>
      <w:r>
        <w:t xml:space="preserve">; </w:t>
      </w:r>
      <w:proofErr w:type="spellStart"/>
      <w:r>
        <w:rPr>
          <w:shd w:val="clear" w:color="auto" w:fill="FFFFFF"/>
        </w:rPr>
        <w:t>Erinitrit</w:t>
      </w:r>
      <w:proofErr w:type="spellEnd"/>
    </w:p>
    <w:p w14:paraId="7C295093" w14:textId="28E4C6AA" w:rsidR="00B63EEB" w:rsidRDefault="00B63EEB" w:rsidP="00B63EEB">
      <w:pPr>
        <w:pStyle w:val="Heading4"/>
      </w:pPr>
      <w:bookmarkStart w:id="5" w:name="_Toc69382392"/>
      <w:r>
        <w:t>CAS Number:</w:t>
      </w:r>
      <w:bookmarkEnd w:id="5"/>
      <w:r>
        <w:t xml:space="preserve"> </w:t>
      </w:r>
    </w:p>
    <w:p w14:paraId="58051AFA" w14:textId="77777777" w:rsidR="00B63EEB" w:rsidRDefault="00B63EEB" w:rsidP="00B63EEB">
      <w:pPr>
        <w:pStyle w:val="Normal-hanging"/>
      </w:pPr>
      <w:r w:rsidRPr="000A4B2F">
        <w:t>7632-00-0</w:t>
      </w:r>
    </w:p>
    <w:p w14:paraId="76E83787" w14:textId="77777777" w:rsidR="00B63EEB" w:rsidRDefault="00B63EEB" w:rsidP="00B63EEB">
      <w:pPr>
        <w:pStyle w:val="Heading4"/>
      </w:pPr>
      <w:bookmarkStart w:id="6" w:name="_Toc69382393"/>
      <w:r>
        <w:t>Applicant</w:t>
      </w:r>
      <w:bookmarkEnd w:id="6"/>
    </w:p>
    <w:p w14:paraId="45A733B3" w14:textId="77777777" w:rsidR="00B63EEB" w:rsidRDefault="00B63EEB" w:rsidP="00B63EEB">
      <w:r w:rsidRPr="00054B78">
        <w:t>Delegate of the Secretary of the Commonwealth Department of Health</w:t>
      </w:r>
    </w:p>
    <w:p w14:paraId="3A772508" w14:textId="77777777" w:rsidR="00B63EEB" w:rsidRDefault="00B63EEB" w:rsidP="00B63EEB">
      <w:pPr>
        <w:pStyle w:val="Heading4"/>
      </w:pPr>
      <w:bookmarkStart w:id="7" w:name="_Toc69382394"/>
      <w:r>
        <w:lastRenderedPageBreak/>
        <w:t>Current scheduling</w:t>
      </w:r>
      <w:bookmarkEnd w:id="7"/>
    </w:p>
    <w:p w14:paraId="07D476EE" w14:textId="77777777" w:rsidR="00B63EEB" w:rsidRPr="000A4B2F" w:rsidRDefault="00B63EEB" w:rsidP="00B63EEB">
      <w:r>
        <w:t xml:space="preserve">Sodium nitrite </w:t>
      </w:r>
      <w:proofErr w:type="gramStart"/>
      <w:r>
        <w:t>is currently listed</w:t>
      </w:r>
      <w:proofErr w:type="gramEnd"/>
      <w:r>
        <w:t xml:space="preserve"> in Schedule 2, Schedule 5, Schedule 6, Schedule 7, Appendix E, Part 2 and Appendix F, Part 3 of the Poisons Standard as follows:</w:t>
      </w:r>
    </w:p>
    <w:p w14:paraId="7CE345D3" w14:textId="77777777" w:rsidR="00B63EEB" w:rsidRPr="00121066" w:rsidRDefault="00B63EEB" w:rsidP="00B63EEB">
      <w:pPr>
        <w:rPr>
          <w:b/>
        </w:rPr>
      </w:pPr>
      <w:r w:rsidRPr="00121066">
        <w:rPr>
          <w:b/>
          <w:shd w:val="clear" w:color="auto" w:fill="FFFFFF"/>
        </w:rPr>
        <w:t>Schedule 7</w:t>
      </w:r>
    </w:p>
    <w:p w14:paraId="35FAA6CA" w14:textId="77777777" w:rsidR="00B63EEB" w:rsidRPr="0035132F" w:rsidRDefault="00B63EEB" w:rsidP="00B63EEB">
      <w:pPr>
        <w:rPr>
          <w:shd w:val="clear" w:color="auto" w:fill="FFFFFF"/>
        </w:rPr>
      </w:pPr>
      <w:r w:rsidRPr="00225E51">
        <w:rPr>
          <w:lang w:eastAsia="en-AU"/>
        </w:rPr>
        <w:t>SODIUM NITRITE </w:t>
      </w:r>
      <w:r w:rsidRPr="00121066">
        <w:rPr>
          <w:b/>
          <w:bCs/>
          <w:lang w:eastAsia="en-AU"/>
        </w:rPr>
        <w:t>except</w:t>
      </w:r>
      <w:r w:rsidRPr="00225E51">
        <w:rPr>
          <w:lang w:eastAsia="en-AU"/>
        </w:rPr>
        <w:t>:</w:t>
      </w:r>
    </w:p>
    <w:p w14:paraId="6BDD6607" w14:textId="77777777" w:rsidR="00B63EEB" w:rsidRPr="00225E51" w:rsidRDefault="00B63EEB" w:rsidP="00B63EEB">
      <w:pPr>
        <w:pStyle w:val="ListBulleta"/>
        <w:rPr>
          <w:lang w:eastAsia="en-AU"/>
        </w:rPr>
      </w:pPr>
      <w:r w:rsidRPr="00225E51">
        <w:rPr>
          <w:lang w:eastAsia="en-AU"/>
        </w:rPr>
        <w:t>when included in Schedule 2, 5 or 6;</w:t>
      </w:r>
    </w:p>
    <w:p w14:paraId="27A001CC" w14:textId="77777777" w:rsidR="00B63EEB" w:rsidRPr="00225E51" w:rsidRDefault="00B63EEB" w:rsidP="00B63EEB">
      <w:pPr>
        <w:pStyle w:val="ListBulleta"/>
        <w:rPr>
          <w:lang w:eastAsia="en-AU"/>
        </w:rPr>
      </w:pPr>
      <w:r w:rsidRPr="00225E51">
        <w:rPr>
          <w:lang w:eastAsia="en-AU"/>
        </w:rPr>
        <w:t>in preparations containing 0.5 per cent or less of sodium nitrite;</w:t>
      </w:r>
    </w:p>
    <w:p w14:paraId="4071AE46" w14:textId="77777777" w:rsidR="00B63EEB" w:rsidRPr="00225E51" w:rsidRDefault="00B63EEB" w:rsidP="00B63EEB">
      <w:pPr>
        <w:pStyle w:val="ListBulleta"/>
        <w:rPr>
          <w:lang w:eastAsia="en-AU"/>
        </w:rPr>
      </w:pPr>
      <w:r w:rsidRPr="00225E51">
        <w:rPr>
          <w:lang w:eastAsia="en-AU"/>
        </w:rPr>
        <w:t>when present as an excipient in preparations for therapeutic use; or</w:t>
      </w:r>
    </w:p>
    <w:p w14:paraId="643791FD" w14:textId="77777777" w:rsidR="00B63EEB" w:rsidRPr="00121066" w:rsidRDefault="00B63EEB" w:rsidP="00B63EEB">
      <w:pPr>
        <w:pStyle w:val="ListBulleta"/>
        <w:rPr>
          <w:lang w:eastAsia="en-AU"/>
        </w:rPr>
      </w:pPr>
      <w:proofErr w:type="gramStart"/>
      <w:r w:rsidRPr="00225E51">
        <w:rPr>
          <w:lang w:eastAsia="en-AU"/>
        </w:rPr>
        <w:t>in</w:t>
      </w:r>
      <w:proofErr w:type="gramEnd"/>
      <w:r w:rsidRPr="00225E51">
        <w:rPr>
          <w:lang w:eastAsia="en-AU"/>
        </w:rPr>
        <w:t xml:space="preserve"> aerosols containing 2 per cent or less of sodium nitrite.</w:t>
      </w:r>
    </w:p>
    <w:p w14:paraId="42E87997" w14:textId="77777777" w:rsidR="00B63EEB" w:rsidRPr="00121066" w:rsidRDefault="00B63EEB" w:rsidP="00B63EEB">
      <w:pPr>
        <w:rPr>
          <w:b/>
        </w:rPr>
      </w:pPr>
      <w:r w:rsidRPr="00121066">
        <w:rPr>
          <w:b/>
          <w:shd w:val="clear" w:color="auto" w:fill="FFFFFF"/>
        </w:rPr>
        <w:t>Schedule 6</w:t>
      </w:r>
    </w:p>
    <w:p w14:paraId="6B8D7829" w14:textId="77777777" w:rsidR="00B63EEB" w:rsidRPr="00225E51" w:rsidRDefault="00B63EEB" w:rsidP="00B63EEB">
      <w:pPr>
        <w:rPr>
          <w:lang w:eastAsia="en-AU"/>
        </w:rPr>
      </w:pPr>
      <w:r w:rsidRPr="00225E51">
        <w:rPr>
          <w:lang w:eastAsia="en-AU"/>
        </w:rPr>
        <w:t>SODIUM NITRITE in preparations containing 40 per cent or less of sodium nitrite </w:t>
      </w:r>
      <w:r w:rsidRPr="00225E51">
        <w:rPr>
          <w:b/>
          <w:bCs/>
          <w:lang w:eastAsia="en-AU"/>
        </w:rPr>
        <w:t>except</w:t>
      </w:r>
      <w:r w:rsidRPr="00225E51">
        <w:rPr>
          <w:lang w:eastAsia="en-AU"/>
        </w:rPr>
        <w:t>:</w:t>
      </w:r>
    </w:p>
    <w:p w14:paraId="2D47A2B9" w14:textId="77777777" w:rsidR="00B63EEB" w:rsidRPr="00225E51" w:rsidRDefault="00B63EEB" w:rsidP="00B63EEB">
      <w:pPr>
        <w:pStyle w:val="ListBulleta"/>
        <w:numPr>
          <w:ilvl w:val="0"/>
          <w:numId w:val="24"/>
        </w:numPr>
        <w:rPr>
          <w:lang w:eastAsia="en-AU"/>
        </w:rPr>
      </w:pPr>
      <w:r w:rsidRPr="00225E51">
        <w:rPr>
          <w:lang w:eastAsia="en-AU"/>
        </w:rPr>
        <w:t>when included in Schedule 2 or 5;</w:t>
      </w:r>
    </w:p>
    <w:p w14:paraId="303A675A" w14:textId="77777777" w:rsidR="00B63EEB" w:rsidRPr="00225E51" w:rsidRDefault="00B63EEB" w:rsidP="00B63EEB">
      <w:pPr>
        <w:pStyle w:val="ListBulleta"/>
        <w:rPr>
          <w:lang w:eastAsia="en-AU"/>
        </w:rPr>
      </w:pPr>
      <w:r w:rsidRPr="00225E51">
        <w:rPr>
          <w:lang w:eastAsia="en-AU"/>
        </w:rPr>
        <w:t>in preparations containing 0.5 per cent or less of sodium nitrite;</w:t>
      </w:r>
    </w:p>
    <w:p w14:paraId="4B9BC0DC" w14:textId="77777777" w:rsidR="00B63EEB" w:rsidRPr="00225E51" w:rsidRDefault="00B63EEB" w:rsidP="00B63EEB">
      <w:pPr>
        <w:pStyle w:val="ListBulleta"/>
        <w:rPr>
          <w:lang w:eastAsia="en-AU"/>
        </w:rPr>
      </w:pPr>
      <w:r w:rsidRPr="00225E51">
        <w:rPr>
          <w:lang w:eastAsia="en-AU"/>
        </w:rPr>
        <w:t>when present as an excipient in preparations for therapeutic use; or</w:t>
      </w:r>
    </w:p>
    <w:p w14:paraId="3142979B" w14:textId="77777777" w:rsidR="00B63EEB" w:rsidRPr="0035132F" w:rsidRDefault="00B63EEB" w:rsidP="00B63EEB">
      <w:pPr>
        <w:pStyle w:val="ListBulleta"/>
        <w:rPr>
          <w:lang w:eastAsia="en-AU"/>
        </w:rPr>
      </w:pPr>
      <w:proofErr w:type="gramStart"/>
      <w:r w:rsidRPr="00225E51">
        <w:rPr>
          <w:lang w:eastAsia="en-AU"/>
        </w:rPr>
        <w:t>in</w:t>
      </w:r>
      <w:proofErr w:type="gramEnd"/>
      <w:r w:rsidRPr="00225E51">
        <w:rPr>
          <w:lang w:eastAsia="en-AU"/>
        </w:rPr>
        <w:t xml:space="preserve"> aerosols containing 2 per cent or less of sodium nitrite.</w:t>
      </w:r>
    </w:p>
    <w:p w14:paraId="62BEED6C" w14:textId="77777777" w:rsidR="00B63EEB" w:rsidRPr="00121066" w:rsidRDefault="00B63EEB" w:rsidP="00B63EEB">
      <w:pPr>
        <w:rPr>
          <w:b/>
        </w:rPr>
      </w:pPr>
      <w:r w:rsidRPr="00121066">
        <w:rPr>
          <w:b/>
          <w:shd w:val="clear" w:color="auto" w:fill="FFFFFF"/>
        </w:rPr>
        <w:t>Schedule 5</w:t>
      </w:r>
    </w:p>
    <w:p w14:paraId="51A73973" w14:textId="77777777" w:rsidR="00B63EEB" w:rsidRPr="00225E51" w:rsidRDefault="00B63EEB" w:rsidP="00B63EEB">
      <w:pPr>
        <w:rPr>
          <w:rFonts w:eastAsia="Times New Roman"/>
          <w:lang w:eastAsia="en-AU"/>
        </w:rPr>
      </w:pPr>
      <w:r w:rsidRPr="00225E51">
        <w:rPr>
          <w:rFonts w:eastAsia="Times New Roman"/>
          <w:lang w:eastAsia="en-AU"/>
        </w:rPr>
        <w:t>SODIUM NITRITE in preparations containing 1 per cent or less of sodium nitrite </w:t>
      </w:r>
      <w:r w:rsidRPr="00121066">
        <w:rPr>
          <w:rFonts w:eastAsia="Times New Roman"/>
          <w:b/>
          <w:bCs/>
          <w:lang w:eastAsia="en-AU"/>
        </w:rPr>
        <w:t>except</w:t>
      </w:r>
      <w:r w:rsidRPr="00225E51">
        <w:rPr>
          <w:rFonts w:eastAsia="Times New Roman"/>
          <w:lang w:eastAsia="en-AU"/>
        </w:rPr>
        <w:t>:</w:t>
      </w:r>
    </w:p>
    <w:p w14:paraId="1753DC3A" w14:textId="77777777" w:rsidR="00B63EEB" w:rsidRPr="00225E51" w:rsidRDefault="00B63EEB" w:rsidP="00B63EEB">
      <w:pPr>
        <w:pStyle w:val="ListBulleta"/>
        <w:numPr>
          <w:ilvl w:val="0"/>
          <w:numId w:val="29"/>
        </w:numPr>
        <w:rPr>
          <w:lang w:eastAsia="en-AU"/>
        </w:rPr>
      </w:pPr>
      <w:r w:rsidRPr="00225E51">
        <w:rPr>
          <w:lang w:eastAsia="en-AU"/>
        </w:rPr>
        <w:t>in preparations containing 0.5 per cent or less of sodium nitrite;</w:t>
      </w:r>
    </w:p>
    <w:p w14:paraId="073462AF" w14:textId="77777777" w:rsidR="00B63EEB" w:rsidRPr="00225E51" w:rsidRDefault="00B63EEB" w:rsidP="00B63EEB">
      <w:pPr>
        <w:pStyle w:val="ListBulleta"/>
        <w:rPr>
          <w:lang w:eastAsia="en-AU"/>
        </w:rPr>
      </w:pPr>
      <w:r w:rsidRPr="00225E51">
        <w:rPr>
          <w:lang w:eastAsia="en-AU"/>
        </w:rPr>
        <w:t>when present as an excipient in preparations for therapeutic use; or</w:t>
      </w:r>
    </w:p>
    <w:p w14:paraId="7FBA7D3B" w14:textId="77777777" w:rsidR="00B63EEB" w:rsidRPr="00CC67EC" w:rsidRDefault="00B63EEB" w:rsidP="00B63EEB">
      <w:pPr>
        <w:pStyle w:val="ListBulleta"/>
        <w:rPr>
          <w:lang w:eastAsia="en-AU"/>
        </w:rPr>
      </w:pPr>
      <w:proofErr w:type="gramStart"/>
      <w:r w:rsidRPr="00225E51">
        <w:rPr>
          <w:lang w:eastAsia="en-AU"/>
        </w:rPr>
        <w:t>in</w:t>
      </w:r>
      <w:proofErr w:type="gramEnd"/>
      <w:r w:rsidRPr="00225E51">
        <w:rPr>
          <w:lang w:eastAsia="en-AU"/>
        </w:rPr>
        <w:t xml:space="preserve"> aerosols.</w:t>
      </w:r>
    </w:p>
    <w:p w14:paraId="30634056" w14:textId="77777777" w:rsidR="00B63EEB" w:rsidRPr="00121066" w:rsidRDefault="00B63EEB" w:rsidP="00B63EEB">
      <w:pPr>
        <w:rPr>
          <w:b/>
          <w:shd w:val="clear" w:color="auto" w:fill="FFFFFF"/>
        </w:rPr>
      </w:pPr>
      <w:r w:rsidRPr="00121066">
        <w:rPr>
          <w:b/>
          <w:shd w:val="clear" w:color="auto" w:fill="FFFFFF"/>
        </w:rPr>
        <w:t>Schedule 2</w:t>
      </w:r>
    </w:p>
    <w:p w14:paraId="6AA7FF7A" w14:textId="77777777" w:rsidR="00B63EEB" w:rsidRDefault="00B63EEB" w:rsidP="00B63EEB">
      <w:pPr>
        <w:rPr>
          <w:shd w:val="clear" w:color="auto" w:fill="FFFFFF"/>
        </w:rPr>
      </w:pPr>
      <w:r>
        <w:rPr>
          <w:shd w:val="clear" w:color="auto" w:fill="FFFFFF"/>
        </w:rPr>
        <w:t>SODIUM NITRITE for therapeutic use (excluding when present as an excipient).</w:t>
      </w:r>
    </w:p>
    <w:p w14:paraId="4A00DC29" w14:textId="77777777" w:rsidR="00B63EEB" w:rsidRPr="00684F6E" w:rsidRDefault="00B63EEB" w:rsidP="00B63EEB">
      <w:pPr>
        <w:keepNext/>
        <w:keepLines/>
        <w:rPr>
          <w:b/>
          <w:shd w:val="clear" w:color="auto" w:fill="FFFFFF"/>
        </w:rPr>
      </w:pPr>
      <w:r w:rsidRPr="00684F6E">
        <w:rPr>
          <w:b/>
          <w:shd w:val="clear" w:color="auto" w:fill="FFFFFF"/>
        </w:rPr>
        <w:lastRenderedPageBreak/>
        <w:t>Appendix E, Part 2</w:t>
      </w:r>
    </w:p>
    <w:tbl>
      <w:tblPr>
        <w:tblStyle w:val="TableTGAblue"/>
        <w:tblW w:w="0" w:type="auto"/>
        <w:tblInd w:w="-10" w:type="dxa"/>
        <w:tblLook w:val="04A0" w:firstRow="1" w:lastRow="0" w:firstColumn="1" w:lastColumn="0" w:noHBand="0" w:noVBand="1"/>
      </w:tblPr>
      <w:tblGrid>
        <w:gridCol w:w="3261"/>
        <w:gridCol w:w="5244"/>
      </w:tblGrid>
      <w:tr w:rsidR="00B63EEB" w:rsidRPr="006112EA" w14:paraId="43884BA6" w14:textId="77777777" w:rsidTr="00B63E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E0AFFDE" w14:textId="77777777" w:rsidR="00B63EEB" w:rsidRPr="006112EA" w:rsidRDefault="00B63EEB" w:rsidP="00B63EEB">
            <w:pPr>
              <w:pStyle w:val="ListBullet"/>
              <w:keepLines/>
              <w:numPr>
                <w:ilvl w:val="0"/>
                <w:numId w:val="0"/>
              </w:numPr>
              <w:rPr>
                <w:sz w:val="20"/>
                <w:szCs w:val="20"/>
              </w:rPr>
            </w:pPr>
            <w:r>
              <w:rPr>
                <w:sz w:val="20"/>
                <w:szCs w:val="20"/>
              </w:rPr>
              <w:t>POISON</w:t>
            </w:r>
          </w:p>
        </w:tc>
        <w:tc>
          <w:tcPr>
            <w:tcW w:w="5244" w:type="dxa"/>
          </w:tcPr>
          <w:p w14:paraId="27069B80" w14:textId="77777777" w:rsidR="00B63EEB" w:rsidRPr="006112EA" w:rsidRDefault="00B63EEB" w:rsidP="00B63EEB">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STANDARD STATEMENTS</w:t>
            </w:r>
          </w:p>
        </w:tc>
      </w:tr>
      <w:tr w:rsidR="00B63EEB" w:rsidRPr="006112EA" w14:paraId="3A4708AB" w14:textId="77777777" w:rsidTr="00B63EEB">
        <w:tc>
          <w:tcPr>
            <w:cnfStyle w:val="001000000000" w:firstRow="0" w:lastRow="0" w:firstColumn="1" w:lastColumn="0" w:oddVBand="0" w:evenVBand="0" w:oddHBand="0" w:evenHBand="0" w:firstRowFirstColumn="0" w:firstRowLastColumn="0" w:lastRowFirstColumn="0" w:lastRowLastColumn="0"/>
            <w:tcW w:w="3261" w:type="dxa"/>
          </w:tcPr>
          <w:p w14:paraId="5ECB0A73" w14:textId="77777777" w:rsidR="00B63EEB" w:rsidRPr="006112EA" w:rsidRDefault="00B63EEB" w:rsidP="00B63EEB">
            <w:pPr>
              <w:keepNext/>
              <w:keepLines/>
              <w:rPr>
                <w:sz w:val="20"/>
                <w:szCs w:val="20"/>
              </w:rPr>
            </w:pPr>
            <w:r w:rsidRPr="00684F6E">
              <w:rPr>
                <w:sz w:val="20"/>
                <w:szCs w:val="20"/>
              </w:rPr>
              <w:t>SODIUM NITRITE</w:t>
            </w:r>
          </w:p>
        </w:tc>
        <w:tc>
          <w:tcPr>
            <w:tcW w:w="5244" w:type="dxa"/>
          </w:tcPr>
          <w:p w14:paraId="2E5CD43E" w14:textId="77777777" w:rsidR="00B63EEB" w:rsidRPr="006112EA" w:rsidRDefault="00B63EEB" w:rsidP="00B63EEB">
            <w:pPr>
              <w:keepNext/>
              <w:keepLines/>
              <w:cnfStyle w:val="000000000000" w:firstRow="0" w:lastRow="0" w:firstColumn="0" w:lastColumn="0" w:oddVBand="0" w:evenVBand="0" w:oddHBand="0" w:evenHBand="0" w:firstRowFirstColumn="0" w:firstRowLastColumn="0" w:lastRowFirstColumn="0" w:lastRowLastColumn="0"/>
              <w:rPr>
                <w:sz w:val="20"/>
                <w:szCs w:val="20"/>
              </w:rPr>
            </w:pPr>
          </w:p>
        </w:tc>
      </w:tr>
      <w:tr w:rsidR="00B63EEB" w:rsidRPr="006112EA" w14:paraId="7E1E11AD" w14:textId="77777777" w:rsidTr="00B63EEB">
        <w:tc>
          <w:tcPr>
            <w:cnfStyle w:val="001000000000" w:firstRow="0" w:lastRow="0" w:firstColumn="1" w:lastColumn="0" w:oddVBand="0" w:evenVBand="0" w:oddHBand="0" w:evenHBand="0" w:firstRowFirstColumn="0" w:firstRowLastColumn="0" w:lastRowFirstColumn="0" w:lastRowLastColumn="0"/>
            <w:tcW w:w="3261" w:type="dxa"/>
          </w:tcPr>
          <w:p w14:paraId="52246029" w14:textId="77777777" w:rsidR="00B63EEB" w:rsidRPr="00684F6E" w:rsidRDefault="00B63EEB" w:rsidP="00B63EEB">
            <w:pPr>
              <w:pStyle w:val="ListParagraph"/>
              <w:keepNext/>
              <w:keepLines/>
              <w:numPr>
                <w:ilvl w:val="0"/>
                <w:numId w:val="26"/>
              </w:numPr>
              <w:ind w:left="315"/>
              <w:rPr>
                <w:sz w:val="20"/>
              </w:rPr>
            </w:pPr>
            <w:r w:rsidRPr="00684F6E">
              <w:rPr>
                <w:sz w:val="20"/>
              </w:rPr>
              <w:t>when included in Schedule 7</w:t>
            </w:r>
          </w:p>
        </w:tc>
        <w:tc>
          <w:tcPr>
            <w:tcW w:w="5244" w:type="dxa"/>
          </w:tcPr>
          <w:p w14:paraId="5889EF24" w14:textId="77777777" w:rsidR="00B63EEB" w:rsidRPr="00684F6E" w:rsidRDefault="00B63EEB" w:rsidP="00B63EEB">
            <w:pPr>
              <w:keepNext/>
              <w:keepLines/>
              <w:cnfStyle w:val="000000000000" w:firstRow="0" w:lastRow="0" w:firstColumn="0" w:lastColumn="0" w:oddVBand="0" w:evenVBand="0" w:oddHBand="0" w:evenHBand="0" w:firstRowFirstColumn="0" w:firstRowLastColumn="0" w:lastRowFirstColumn="0" w:lastRowLastColumn="0"/>
              <w:rPr>
                <w:sz w:val="20"/>
              </w:rPr>
            </w:pPr>
            <w:r w:rsidRPr="00684F6E">
              <w:rPr>
                <w:b/>
                <w:sz w:val="20"/>
              </w:rPr>
              <w:t>A</w:t>
            </w:r>
            <w:r w:rsidRPr="00684F6E">
              <w:rPr>
                <w:sz w:val="20"/>
              </w:rPr>
              <w:t xml:space="preserve"> (For advice, contact a Poisons Information Centre (e.g. phone Australia 13 11 26; New Zealand 0800 764 766) or a doctor (at once)).</w:t>
            </w:r>
          </w:p>
          <w:p w14:paraId="3EA827A6" w14:textId="77777777" w:rsidR="00B63EEB" w:rsidRPr="00684F6E" w:rsidRDefault="00B63EEB" w:rsidP="00B63EEB">
            <w:pPr>
              <w:keepNext/>
              <w:keepLines/>
              <w:cnfStyle w:val="000000000000" w:firstRow="0" w:lastRow="0" w:firstColumn="0" w:lastColumn="0" w:oddVBand="0" w:evenVBand="0" w:oddHBand="0" w:evenHBand="0" w:firstRowFirstColumn="0" w:firstRowLastColumn="0" w:lastRowFirstColumn="0" w:lastRowLastColumn="0"/>
              <w:rPr>
                <w:sz w:val="20"/>
              </w:rPr>
            </w:pPr>
            <w:r w:rsidRPr="00684F6E">
              <w:rPr>
                <w:b/>
                <w:sz w:val="20"/>
              </w:rPr>
              <w:t xml:space="preserve">G1 </w:t>
            </w:r>
            <w:r w:rsidRPr="00684F6E">
              <w:rPr>
                <w:sz w:val="20"/>
              </w:rPr>
              <w:t xml:space="preserve">(Urgent hospital treatment is likely to </w:t>
            </w:r>
            <w:proofErr w:type="gramStart"/>
            <w:r w:rsidRPr="00684F6E">
              <w:rPr>
                <w:sz w:val="20"/>
              </w:rPr>
              <w:t>be needed</w:t>
            </w:r>
            <w:proofErr w:type="gramEnd"/>
            <w:r w:rsidRPr="00684F6E">
              <w:rPr>
                <w:sz w:val="20"/>
              </w:rPr>
              <w:t>.)</w:t>
            </w:r>
          </w:p>
          <w:p w14:paraId="5405D08A" w14:textId="77777777" w:rsidR="00B63EEB" w:rsidRDefault="00B63EEB" w:rsidP="00B63EEB">
            <w:pPr>
              <w:keepNext/>
              <w:keepLines/>
              <w:cnfStyle w:val="000000000000" w:firstRow="0" w:lastRow="0" w:firstColumn="0" w:lastColumn="0" w:oddVBand="0" w:evenVBand="0" w:oddHBand="0" w:evenHBand="0" w:firstRowFirstColumn="0" w:firstRowLastColumn="0" w:lastRowFirstColumn="0" w:lastRowLastColumn="0"/>
              <w:rPr>
                <w:sz w:val="20"/>
              </w:rPr>
            </w:pPr>
            <w:r w:rsidRPr="00684F6E">
              <w:rPr>
                <w:b/>
                <w:sz w:val="20"/>
              </w:rPr>
              <w:t>G3</w:t>
            </w:r>
            <w:r w:rsidRPr="00684F6E">
              <w:rPr>
                <w:sz w:val="20"/>
              </w:rPr>
              <w:t xml:space="preserve"> (If swallowed, do NOT induce vomiting.)</w:t>
            </w:r>
          </w:p>
        </w:tc>
      </w:tr>
      <w:tr w:rsidR="00B63EEB" w:rsidRPr="006112EA" w14:paraId="35F138C5" w14:textId="77777777" w:rsidTr="00B63EEB">
        <w:tc>
          <w:tcPr>
            <w:cnfStyle w:val="001000000000" w:firstRow="0" w:lastRow="0" w:firstColumn="1" w:lastColumn="0" w:oddVBand="0" w:evenVBand="0" w:oddHBand="0" w:evenHBand="0" w:firstRowFirstColumn="0" w:firstRowLastColumn="0" w:lastRowFirstColumn="0" w:lastRowLastColumn="0"/>
            <w:tcW w:w="3261" w:type="dxa"/>
          </w:tcPr>
          <w:p w14:paraId="629907FE" w14:textId="77777777" w:rsidR="00B63EEB" w:rsidRPr="00684F6E" w:rsidRDefault="00B63EEB" w:rsidP="00B63EEB">
            <w:pPr>
              <w:pStyle w:val="ListParagraph"/>
              <w:keepNext/>
              <w:keepLines/>
              <w:numPr>
                <w:ilvl w:val="0"/>
                <w:numId w:val="26"/>
              </w:numPr>
              <w:ind w:left="315"/>
              <w:rPr>
                <w:sz w:val="20"/>
              </w:rPr>
            </w:pPr>
            <w:r>
              <w:rPr>
                <w:rFonts w:eastAsia="Times New Roman"/>
                <w:lang w:eastAsia="en-AU"/>
              </w:rPr>
              <w:t xml:space="preserve">when included in </w:t>
            </w:r>
            <w:r w:rsidRPr="00684F6E">
              <w:rPr>
                <w:rFonts w:eastAsia="Times New Roman"/>
                <w:lang w:eastAsia="en-AU"/>
              </w:rPr>
              <w:t>Schedule 5 or 6</w:t>
            </w:r>
          </w:p>
        </w:tc>
        <w:tc>
          <w:tcPr>
            <w:tcW w:w="5244" w:type="dxa"/>
          </w:tcPr>
          <w:p w14:paraId="23D475B7" w14:textId="77777777" w:rsidR="00B63EEB" w:rsidRPr="00684F6E" w:rsidRDefault="00B63EEB" w:rsidP="00B63EEB">
            <w:pPr>
              <w:keepNext/>
              <w:keepLines/>
              <w:cnfStyle w:val="000000000000" w:firstRow="0" w:lastRow="0" w:firstColumn="0" w:lastColumn="0" w:oddVBand="0" w:evenVBand="0" w:oddHBand="0" w:evenHBand="0" w:firstRowFirstColumn="0" w:firstRowLastColumn="0" w:lastRowFirstColumn="0" w:lastRowLastColumn="0"/>
              <w:rPr>
                <w:sz w:val="20"/>
              </w:rPr>
            </w:pPr>
            <w:r w:rsidRPr="00684F6E">
              <w:rPr>
                <w:b/>
                <w:sz w:val="20"/>
              </w:rPr>
              <w:t xml:space="preserve">A </w:t>
            </w:r>
            <w:r w:rsidRPr="00684F6E">
              <w:rPr>
                <w:sz w:val="20"/>
              </w:rPr>
              <w:t>(For advice, contact a Poisons Information Centre (e.g. phone Australia 13 11 26; New Zealand 0800 764 766) or a doctor (at once)).</w:t>
            </w:r>
          </w:p>
          <w:p w14:paraId="28B4AA2D" w14:textId="77777777" w:rsidR="00B63EEB" w:rsidRDefault="00B63EEB" w:rsidP="00B63EEB">
            <w:pPr>
              <w:keepNext/>
              <w:keepLines/>
              <w:cnfStyle w:val="000000000000" w:firstRow="0" w:lastRow="0" w:firstColumn="0" w:lastColumn="0" w:oddVBand="0" w:evenVBand="0" w:oddHBand="0" w:evenHBand="0" w:firstRowFirstColumn="0" w:firstRowLastColumn="0" w:lastRowFirstColumn="0" w:lastRowLastColumn="0"/>
              <w:rPr>
                <w:sz w:val="20"/>
              </w:rPr>
            </w:pPr>
            <w:r w:rsidRPr="00684F6E">
              <w:rPr>
                <w:b/>
                <w:sz w:val="20"/>
              </w:rPr>
              <w:t xml:space="preserve">G3 </w:t>
            </w:r>
            <w:r w:rsidRPr="00684F6E">
              <w:rPr>
                <w:sz w:val="20"/>
              </w:rPr>
              <w:t>(If swallowed, do NOT induce vomiting.)</w:t>
            </w:r>
          </w:p>
        </w:tc>
      </w:tr>
    </w:tbl>
    <w:p w14:paraId="021BAECB" w14:textId="77777777" w:rsidR="00B63EEB" w:rsidRPr="00684F6E" w:rsidRDefault="00B63EEB" w:rsidP="00B63EEB">
      <w:pPr>
        <w:keepNext/>
        <w:keepLines/>
        <w:rPr>
          <w:b/>
          <w:shd w:val="clear" w:color="auto" w:fill="FFFFFF"/>
        </w:rPr>
      </w:pPr>
      <w:r w:rsidRPr="00684F6E">
        <w:rPr>
          <w:b/>
          <w:shd w:val="clear" w:color="auto" w:fill="FFFFFF"/>
        </w:rPr>
        <w:t>Appendix F, Part 3</w:t>
      </w:r>
    </w:p>
    <w:tbl>
      <w:tblPr>
        <w:tblStyle w:val="TableTGAblue"/>
        <w:tblW w:w="0" w:type="auto"/>
        <w:tblInd w:w="-10" w:type="dxa"/>
        <w:tblLook w:val="04A0" w:firstRow="1" w:lastRow="0" w:firstColumn="1" w:lastColumn="0" w:noHBand="0" w:noVBand="1"/>
      </w:tblPr>
      <w:tblGrid>
        <w:gridCol w:w="3261"/>
        <w:gridCol w:w="5244"/>
      </w:tblGrid>
      <w:tr w:rsidR="00B63EEB" w:rsidRPr="006112EA" w14:paraId="17712065" w14:textId="77777777" w:rsidTr="00B63E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B0D5153" w14:textId="77777777" w:rsidR="00B63EEB" w:rsidRPr="006112EA" w:rsidRDefault="00B63EEB" w:rsidP="00B63EEB">
            <w:pPr>
              <w:pStyle w:val="ListBullet"/>
              <w:keepLines/>
              <w:numPr>
                <w:ilvl w:val="0"/>
                <w:numId w:val="0"/>
              </w:numPr>
              <w:rPr>
                <w:sz w:val="20"/>
                <w:szCs w:val="20"/>
              </w:rPr>
            </w:pPr>
            <w:r>
              <w:rPr>
                <w:sz w:val="20"/>
                <w:szCs w:val="20"/>
              </w:rPr>
              <w:t>POISON</w:t>
            </w:r>
          </w:p>
        </w:tc>
        <w:tc>
          <w:tcPr>
            <w:tcW w:w="5244" w:type="dxa"/>
          </w:tcPr>
          <w:p w14:paraId="48F5C41B" w14:textId="77777777" w:rsidR="00B63EEB" w:rsidRPr="006112EA" w:rsidRDefault="00B63EEB" w:rsidP="00B63EEB">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WARNING STATEMENTS</w:t>
            </w:r>
          </w:p>
        </w:tc>
      </w:tr>
      <w:tr w:rsidR="00B63EEB" w:rsidRPr="006112EA" w14:paraId="3C129E18" w14:textId="77777777" w:rsidTr="00B63EEB">
        <w:tc>
          <w:tcPr>
            <w:cnfStyle w:val="001000000000" w:firstRow="0" w:lastRow="0" w:firstColumn="1" w:lastColumn="0" w:oddVBand="0" w:evenVBand="0" w:oddHBand="0" w:evenHBand="0" w:firstRowFirstColumn="0" w:firstRowLastColumn="0" w:lastRowFirstColumn="0" w:lastRowLastColumn="0"/>
            <w:tcW w:w="3261" w:type="dxa"/>
          </w:tcPr>
          <w:p w14:paraId="69F47B56" w14:textId="77777777" w:rsidR="00B63EEB" w:rsidRPr="006112EA" w:rsidRDefault="00B63EEB" w:rsidP="00B63EEB">
            <w:pPr>
              <w:keepNext/>
              <w:keepLines/>
              <w:rPr>
                <w:sz w:val="20"/>
                <w:szCs w:val="20"/>
              </w:rPr>
            </w:pPr>
            <w:r w:rsidRPr="00684F6E">
              <w:rPr>
                <w:sz w:val="20"/>
                <w:szCs w:val="20"/>
              </w:rPr>
              <w:t>SODIUM NITRITE in pickling or curing salts.</w:t>
            </w:r>
          </w:p>
        </w:tc>
        <w:tc>
          <w:tcPr>
            <w:tcW w:w="5244" w:type="dxa"/>
          </w:tcPr>
          <w:p w14:paraId="632C785E" w14:textId="77777777" w:rsidR="00B63EEB" w:rsidRPr="006112EA" w:rsidRDefault="00B63EEB" w:rsidP="00B63EEB">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684F6E">
              <w:rPr>
                <w:b/>
                <w:sz w:val="20"/>
                <w:szCs w:val="20"/>
              </w:rPr>
              <w:t>94</w:t>
            </w:r>
            <w:r w:rsidRPr="00684F6E">
              <w:rPr>
                <w:sz w:val="20"/>
                <w:szCs w:val="20"/>
              </w:rPr>
              <w:t xml:space="preserve"> (WARNING – Contains nitrite. Substitution for table or cooking salt may be dangerous, particularly for young children.)</w:t>
            </w:r>
          </w:p>
        </w:tc>
      </w:tr>
    </w:tbl>
    <w:p w14:paraId="3147C06F" w14:textId="77777777" w:rsidR="00B63EEB" w:rsidRDefault="00B63EEB" w:rsidP="00B63EEB">
      <w:pPr>
        <w:spacing w:before="0" w:after="0"/>
        <w:rPr>
          <w:b/>
          <w:shd w:val="clear" w:color="auto" w:fill="FFFFFF"/>
        </w:rPr>
      </w:pPr>
    </w:p>
    <w:p w14:paraId="2A9A6431" w14:textId="77777777" w:rsidR="00A917A0" w:rsidRDefault="00B63EEB" w:rsidP="00B63EEB">
      <w:pPr>
        <w:spacing w:before="0" w:after="0"/>
        <w:rPr>
          <w:b/>
          <w:shd w:val="clear" w:color="auto" w:fill="FFFFFF"/>
        </w:rPr>
      </w:pPr>
      <w:r w:rsidRPr="00054B78">
        <w:rPr>
          <w:b/>
          <w:shd w:val="clear" w:color="auto" w:fill="FFFFFF"/>
        </w:rPr>
        <w:t>Index</w:t>
      </w:r>
    </w:p>
    <w:p w14:paraId="35353BD2" w14:textId="77777777" w:rsidR="00A917A0" w:rsidRDefault="00A917A0" w:rsidP="00B63EEB">
      <w:pPr>
        <w:spacing w:before="0" w:after="0"/>
        <w:rPr>
          <w:b/>
          <w:shd w:val="clear" w:color="auto" w:fill="FFFFFF"/>
        </w:rPr>
      </w:pPr>
    </w:p>
    <w:p w14:paraId="55C845AC" w14:textId="77777777" w:rsidR="00A917A0" w:rsidRDefault="00A917A0" w:rsidP="00B63EEB">
      <w:pPr>
        <w:spacing w:before="0" w:after="0"/>
        <w:rPr>
          <w:b/>
          <w:shd w:val="clear" w:color="auto" w:fill="FFFFFF"/>
        </w:rPr>
      </w:pPr>
      <w:r>
        <w:rPr>
          <w:b/>
          <w:shd w:val="clear" w:color="auto" w:fill="FFFFFF"/>
        </w:rPr>
        <w:t>SODIUM NITRITE</w:t>
      </w:r>
    </w:p>
    <w:p w14:paraId="28AE2144" w14:textId="4F9D04A6" w:rsidR="00B63EEB" w:rsidRDefault="00B63EEB" w:rsidP="00B63EEB">
      <w:pPr>
        <w:spacing w:before="0" w:after="0"/>
        <w:rPr>
          <w:szCs w:val="22"/>
        </w:rPr>
      </w:pPr>
      <w:r w:rsidRPr="00054B78">
        <w:rPr>
          <w:b/>
          <w:shd w:val="clear" w:color="auto" w:fill="FFFFFF"/>
        </w:rPr>
        <w:t xml:space="preserve"> </w:t>
      </w:r>
      <w:r>
        <w:rPr>
          <w:b/>
          <w:shd w:val="clear" w:color="auto" w:fill="FFFFFF"/>
        </w:rPr>
        <w:br/>
      </w:r>
      <w:r>
        <w:rPr>
          <w:szCs w:val="22"/>
        </w:rPr>
        <w:t xml:space="preserve">Schedule 7 </w:t>
      </w:r>
    </w:p>
    <w:p w14:paraId="3B3EF75C" w14:textId="77777777" w:rsidR="00B63EEB" w:rsidRDefault="00B63EEB" w:rsidP="00B63EEB">
      <w:pPr>
        <w:spacing w:before="0" w:after="0"/>
        <w:rPr>
          <w:szCs w:val="22"/>
        </w:rPr>
      </w:pPr>
      <w:r>
        <w:rPr>
          <w:szCs w:val="22"/>
        </w:rPr>
        <w:t xml:space="preserve">Schedule 6 </w:t>
      </w:r>
    </w:p>
    <w:p w14:paraId="79A44D19" w14:textId="77777777" w:rsidR="00B63EEB" w:rsidRDefault="00B63EEB" w:rsidP="00B63EEB">
      <w:pPr>
        <w:spacing w:before="0" w:after="0"/>
        <w:rPr>
          <w:szCs w:val="22"/>
        </w:rPr>
      </w:pPr>
      <w:r>
        <w:rPr>
          <w:szCs w:val="22"/>
        </w:rPr>
        <w:t xml:space="preserve">Schedule 5 </w:t>
      </w:r>
    </w:p>
    <w:p w14:paraId="2F2EBFA1" w14:textId="77777777" w:rsidR="00B63EEB" w:rsidRDefault="00B63EEB" w:rsidP="00B63EEB">
      <w:pPr>
        <w:spacing w:before="0" w:after="0"/>
        <w:rPr>
          <w:szCs w:val="22"/>
        </w:rPr>
      </w:pPr>
      <w:r>
        <w:rPr>
          <w:szCs w:val="22"/>
        </w:rPr>
        <w:t xml:space="preserve">Schedule 2 </w:t>
      </w:r>
    </w:p>
    <w:p w14:paraId="2F7A4D98" w14:textId="77777777" w:rsidR="00B63EEB" w:rsidRDefault="00B63EEB" w:rsidP="00B63EEB">
      <w:pPr>
        <w:spacing w:before="0" w:after="0"/>
        <w:rPr>
          <w:szCs w:val="22"/>
        </w:rPr>
      </w:pPr>
      <w:r>
        <w:rPr>
          <w:szCs w:val="22"/>
        </w:rPr>
        <w:t xml:space="preserve">Appendix E, Part 2 </w:t>
      </w:r>
    </w:p>
    <w:p w14:paraId="01FF8C5A" w14:textId="77777777" w:rsidR="00B63EEB" w:rsidRPr="00054B78" w:rsidRDefault="00B63EEB" w:rsidP="00B63EEB">
      <w:pPr>
        <w:spacing w:before="0" w:after="0"/>
        <w:rPr>
          <w:b/>
          <w:shd w:val="clear" w:color="auto" w:fill="FFFFFF"/>
        </w:rPr>
      </w:pPr>
      <w:r>
        <w:rPr>
          <w:szCs w:val="22"/>
        </w:rPr>
        <w:t>Appendix F, Part 3</w:t>
      </w:r>
    </w:p>
    <w:p w14:paraId="43B7FACA" w14:textId="77777777" w:rsidR="00B63EEB" w:rsidRDefault="00B63EEB" w:rsidP="00B63EEB">
      <w:pPr>
        <w:pStyle w:val="Heading4"/>
      </w:pPr>
      <w:bookmarkStart w:id="8" w:name="_Toc69382395"/>
      <w:r>
        <w:t xml:space="preserve">Proposed scheduling </w:t>
      </w:r>
      <w:bookmarkEnd w:id="8"/>
    </w:p>
    <w:p w14:paraId="041CE3AB" w14:textId="77777777" w:rsidR="00B63EEB" w:rsidRDefault="00B63EEB" w:rsidP="00B63EEB">
      <w:r w:rsidRPr="00826100">
        <w:t xml:space="preserve">It </w:t>
      </w:r>
      <w:proofErr w:type="gramStart"/>
      <w:r w:rsidRPr="00826100">
        <w:t>has been proposed</w:t>
      </w:r>
      <w:proofErr w:type="gramEnd"/>
      <w:r w:rsidRPr="00826100">
        <w:t xml:space="preserve"> to amend the Poisons Standard as follows:</w:t>
      </w:r>
    </w:p>
    <w:p w14:paraId="169B26EA" w14:textId="08B3E136" w:rsidR="00BC6C5B" w:rsidRDefault="00BC6C5B" w:rsidP="00D550FB">
      <w:pPr>
        <w:pStyle w:val="ListBulleta"/>
        <w:numPr>
          <w:ilvl w:val="0"/>
          <w:numId w:val="0"/>
        </w:numPr>
        <w:ind w:firstLine="720"/>
        <w:rPr>
          <w:b/>
          <w:shd w:val="clear" w:color="auto" w:fill="FFFFFF"/>
        </w:rPr>
      </w:pPr>
      <w:r w:rsidRPr="00D550FB">
        <w:rPr>
          <w:b/>
          <w:shd w:val="clear" w:color="auto" w:fill="FFFFFF"/>
        </w:rPr>
        <w:t>Schedule 10 – New Entry</w:t>
      </w:r>
    </w:p>
    <w:p w14:paraId="77D37AE7" w14:textId="6FBBD45D" w:rsidR="006456FC" w:rsidRPr="00D550FB" w:rsidRDefault="006456FC" w:rsidP="00D550FB">
      <w:pPr>
        <w:pStyle w:val="ListBulleta"/>
        <w:numPr>
          <w:ilvl w:val="0"/>
          <w:numId w:val="0"/>
        </w:numPr>
        <w:ind w:firstLine="720"/>
        <w:rPr>
          <w:color w:val="FF0000"/>
          <w:shd w:val="clear" w:color="auto" w:fill="FFFFFF"/>
        </w:rPr>
      </w:pPr>
      <w:r w:rsidRPr="006456FC">
        <w:rPr>
          <w:color w:val="FF0000"/>
          <w:shd w:val="clear" w:color="auto" w:fill="FFFFFF"/>
        </w:rPr>
        <w:t xml:space="preserve">SODIUM NITRITE </w:t>
      </w:r>
      <w:r w:rsidRPr="00D550FB">
        <w:rPr>
          <w:b/>
          <w:color w:val="FF0000"/>
          <w:shd w:val="clear" w:color="auto" w:fill="FFFFFF"/>
        </w:rPr>
        <w:t>except</w:t>
      </w:r>
      <w:r w:rsidRPr="006456FC">
        <w:rPr>
          <w:color w:val="FF0000"/>
          <w:shd w:val="clear" w:color="auto" w:fill="FFFFFF"/>
        </w:rPr>
        <w:t>:</w:t>
      </w:r>
    </w:p>
    <w:p w14:paraId="5930AC68" w14:textId="6038B4B0" w:rsidR="00BC6C5B" w:rsidRPr="006456FC" w:rsidRDefault="001624E2" w:rsidP="00BC6C5B">
      <w:pPr>
        <w:pStyle w:val="ListBulleta"/>
        <w:numPr>
          <w:ilvl w:val="0"/>
          <w:numId w:val="31"/>
        </w:numPr>
        <w:rPr>
          <w:color w:val="FF0000"/>
        </w:rPr>
      </w:pPr>
      <w:r w:rsidRPr="006456FC">
        <w:rPr>
          <w:color w:val="FF0000"/>
        </w:rPr>
        <w:t>when included in Schedule 2, 5 or</w:t>
      </w:r>
      <w:r w:rsidR="00BC6C5B" w:rsidRPr="006456FC">
        <w:rPr>
          <w:color w:val="FF0000"/>
        </w:rPr>
        <w:t xml:space="preserve"> 6; </w:t>
      </w:r>
    </w:p>
    <w:p w14:paraId="3B5303F9" w14:textId="77777777" w:rsidR="00BC6C5B" w:rsidRPr="006456FC" w:rsidRDefault="00BC6C5B" w:rsidP="00BC6C5B">
      <w:pPr>
        <w:pStyle w:val="ListBulleta"/>
        <w:rPr>
          <w:color w:val="FF0000"/>
        </w:rPr>
      </w:pPr>
      <w:r w:rsidRPr="006456FC">
        <w:rPr>
          <w:color w:val="FF0000"/>
        </w:rPr>
        <w:t xml:space="preserve">in preparations containing 0.5 per cent or less of sodium nitrite; </w:t>
      </w:r>
    </w:p>
    <w:p w14:paraId="7ACC3A66" w14:textId="77777777" w:rsidR="00BC6C5B" w:rsidRPr="006456FC" w:rsidRDefault="00BC6C5B" w:rsidP="00BC6C5B">
      <w:pPr>
        <w:pStyle w:val="ListBulleta"/>
        <w:rPr>
          <w:color w:val="FF0000"/>
        </w:rPr>
      </w:pPr>
      <w:r w:rsidRPr="006456FC">
        <w:rPr>
          <w:color w:val="FF0000"/>
        </w:rPr>
        <w:t xml:space="preserve">when present as an excipient in preparations for therapeutic use; or </w:t>
      </w:r>
    </w:p>
    <w:p w14:paraId="223B2702" w14:textId="708BD504" w:rsidR="00B63EEB" w:rsidRDefault="00BC6C5B" w:rsidP="00C806D7">
      <w:pPr>
        <w:pStyle w:val="ListBulleta"/>
        <w:rPr>
          <w:lang w:eastAsia="en-AU"/>
        </w:rPr>
      </w:pPr>
      <w:proofErr w:type="gramStart"/>
      <w:r w:rsidRPr="006456FC">
        <w:rPr>
          <w:color w:val="FF0000"/>
        </w:rPr>
        <w:t>in</w:t>
      </w:r>
      <w:proofErr w:type="gramEnd"/>
      <w:r w:rsidRPr="006456FC">
        <w:rPr>
          <w:color w:val="FF0000"/>
        </w:rPr>
        <w:t xml:space="preserve"> aerosols containing 2 per cent or less of sodium nitrite.</w:t>
      </w:r>
    </w:p>
    <w:p w14:paraId="7E3D2CD7" w14:textId="7C5F0BA8" w:rsidR="001624E2" w:rsidRPr="007B465C" w:rsidRDefault="001624E2" w:rsidP="00D550FB">
      <w:pPr>
        <w:ind w:firstLine="720"/>
        <w:rPr>
          <w:b/>
          <w:color w:val="FF0000"/>
        </w:rPr>
      </w:pPr>
      <w:r w:rsidRPr="007B465C">
        <w:rPr>
          <w:b/>
          <w:color w:val="FF0000"/>
          <w:shd w:val="clear" w:color="auto" w:fill="FFFFFF"/>
        </w:rPr>
        <w:lastRenderedPageBreak/>
        <w:t>Schedule 7</w:t>
      </w:r>
      <w:r w:rsidR="006456FC" w:rsidRPr="007B465C">
        <w:rPr>
          <w:b/>
          <w:color w:val="FF0000"/>
          <w:shd w:val="clear" w:color="auto" w:fill="FFFFFF"/>
        </w:rPr>
        <w:t xml:space="preserve"> – Delete Entry</w:t>
      </w:r>
    </w:p>
    <w:p w14:paraId="0BEE3057" w14:textId="5BDDC6C4" w:rsidR="001624E2" w:rsidRPr="00A917A0" w:rsidRDefault="001624E2" w:rsidP="00D550FB">
      <w:pPr>
        <w:ind w:firstLine="720"/>
        <w:rPr>
          <w:strike/>
          <w:color w:val="FF0000"/>
          <w:shd w:val="clear" w:color="auto" w:fill="FFFFFF"/>
        </w:rPr>
      </w:pPr>
      <w:r w:rsidRPr="00A917A0">
        <w:rPr>
          <w:strike/>
          <w:color w:val="FF0000"/>
          <w:lang w:eastAsia="en-AU"/>
        </w:rPr>
        <w:t xml:space="preserve">SODIUM NITRITE </w:t>
      </w:r>
      <w:r w:rsidRPr="00A917A0">
        <w:rPr>
          <w:b/>
          <w:bCs/>
          <w:strike/>
          <w:color w:val="FF0000"/>
          <w:lang w:eastAsia="en-AU"/>
        </w:rPr>
        <w:t>except</w:t>
      </w:r>
      <w:r w:rsidRPr="00A917A0">
        <w:rPr>
          <w:strike/>
          <w:color w:val="FF0000"/>
          <w:lang w:eastAsia="en-AU"/>
        </w:rPr>
        <w:t>:</w:t>
      </w:r>
    </w:p>
    <w:p w14:paraId="4BC13360" w14:textId="77777777" w:rsidR="001624E2" w:rsidRPr="00A917A0" w:rsidRDefault="001624E2" w:rsidP="001624E2">
      <w:pPr>
        <w:pStyle w:val="ListBulleta"/>
        <w:numPr>
          <w:ilvl w:val="0"/>
          <w:numId w:val="30"/>
        </w:numPr>
        <w:rPr>
          <w:strike/>
          <w:color w:val="FF0000"/>
          <w:lang w:eastAsia="en-AU"/>
        </w:rPr>
      </w:pPr>
      <w:r w:rsidRPr="00A917A0">
        <w:rPr>
          <w:strike/>
          <w:color w:val="FF0000"/>
          <w:lang w:eastAsia="en-AU"/>
        </w:rPr>
        <w:t>when included in Schedule 2, 5 or 6;</w:t>
      </w:r>
    </w:p>
    <w:p w14:paraId="4DDCC570" w14:textId="77777777" w:rsidR="001624E2" w:rsidRPr="00A917A0" w:rsidRDefault="001624E2" w:rsidP="001624E2">
      <w:pPr>
        <w:pStyle w:val="ListBulleta"/>
        <w:rPr>
          <w:strike/>
          <w:color w:val="FF0000"/>
          <w:lang w:eastAsia="en-AU"/>
        </w:rPr>
      </w:pPr>
      <w:r w:rsidRPr="00A917A0">
        <w:rPr>
          <w:strike/>
          <w:color w:val="FF0000"/>
          <w:lang w:eastAsia="en-AU"/>
        </w:rPr>
        <w:t>in preparations containing 0.5 per cent or less of sodium nitrite;</w:t>
      </w:r>
    </w:p>
    <w:p w14:paraId="7E7FB070" w14:textId="661F235E" w:rsidR="00C806D7" w:rsidRPr="00A917A0" w:rsidRDefault="001624E2" w:rsidP="001624E2">
      <w:pPr>
        <w:pStyle w:val="ListBulleta"/>
        <w:rPr>
          <w:strike/>
          <w:color w:val="FF0000"/>
          <w:lang w:eastAsia="en-AU"/>
        </w:rPr>
      </w:pPr>
      <w:r w:rsidRPr="00A917A0">
        <w:rPr>
          <w:strike/>
          <w:color w:val="FF0000"/>
          <w:lang w:eastAsia="en-AU"/>
        </w:rPr>
        <w:t>when present as an excipient in preparations for therapeutic use; or</w:t>
      </w:r>
    </w:p>
    <w:p w14:paraId="1FAD6177" w14:textId="77777777" w:rsidR="001624E2" w:rsidRPr="00D550FB" w:rsidRDefault="001624E2" w:rsidP="00531CE9">
      <w:pPr>
        <w:pStyle w:val="ListBulleta"/>
        <w:rPr>
          <w:color w:val="FF0000"/>
          <w:lang w:eastAsia="en-AU"/>
        </w:rPr>
      </w:pPr>
      <w:proofErr w:type="gramStart"/>
      <w:r w:rsidRPr="00A917A0">
        <w:rPr>
          <w:strike/>
          <w:color w:val="FF0000"/>
          <w:lang w:eastAsia="en-AU"/>
        </w:rPr>
        <w:t>in</w:t>
      </w:r>
      <w:proofErr w:type="gramEnd"/>
      <w:r w:rsidRPr="00A917A0">
        <w:rPr>
          <w:strike/>
          <w:color w:val="FF0000"/>
          <w:lang w:eastAsia="en-AU"/>
        </w:rPr>
        <w:t xml:space="preserve"> aerosols containing 2 per cent or less of sodium nitrite.</w:t>
      </w:r>
    </w:p>
    <w:p w14:paraId="40009540" w14:textId="695291B9" w:rsidR="00BC6C5B" w:rsidRPr="00121066" w:rsidRDefault="00BC6C5B" w:rsidP="00D550FB">
      <w:pPr>
        <w:ind w:firstLine="720"/>
        <w:rPr>
          <w:b/>
        </w:rPr>
      </w:pPr>
      <w:r w:rsidRPr="00121066">
        <w:rPr>
          <w:b/>
          <w:shd w:val="clear" w:color="auto" w:fill="FFFFFF"/>
        </w:rPr>
        <w:t xml:space="preserve">Schedule </w:t>
      </w:r>
      <w:proofErr w:type="gramStart"/>
      <w:r w:rsidRPr="00121066">
        <w:rPr>
          <w:b/>
          <w:shd w:val="clear" w:color="auto" w:fill="FFFFFF"/>
        </w:rPr>
        <w:t>6</w:t>
      </w:r>
      <w:proofErr w:type="gramEnd"/>
      <w:r>
        <w:rPr>
          <w:b/>
          <w:shd w:val="clear" w:color="auto" w:fill="FFFFFF"/>
        </w:rPr>
        <w:t xml:space="preserve"> – Amend Entry</w:t>
      </w:r>
    </w:p>
    <w:p w14:paraId="75914381" w14:textId="77777777" w:rsidR="001624E2" w:rsidRDefault="00BC6C5B" w:rsidP="00D550FB">
      <w:pPr>
        <w:ind w:left="720"/>
        <w:rPr>
          <w:lang w:eastAsia="en-AU"/>
        </w:rPr>
      </w:pPr>
      <w:r w:rsidRPr="00225E51">
        <w:rPr>
          <w:lang w:eastAsia="en-AU"/>
        </w:rPr>
        <w:t xml:space="preserve">SODIUM NITRITE in preparations containing </w:t>
      </w:r>
      <w:r w:rsidRPr="00D550FB">
        <w:rPr>
          <w:strike/>
          <w:lang w:eastAsia="en-AU"/>
        </w:rPr>
        <w:t xml:space="preserve">40 </w:t>
      </w:r>
      <w:r w:rsidRPr="00366DD7">
        <w:rPr>
          <w:color w:val="FF0000"/>
          <w:lang w:eastAsia="en-AU"/>
        </w:rPr>
        <w:t xml:space="preserve">15 </w:t>
      </w:r>
      <w:r w:rsidRPr="00225E51">
        <w:rPr>
          <w:lang w:eastAsia="en-AU"/>
        </w:rPr>
        <w:t>per cent or less of sodium nitrite </w:t>
      </w:r>
      <w:r w:rsidRPr="00225E51">
        <w:rPr>
          <w:b/>
          <w:bCs/>
          <w:lang w:eastAsia="en-AU"/>
        </w:rPr>
        <w:t>except</w:t>
      </w:r>
      <w:r w:rsidRPr="00225E51">
        <w:rPr>
          <w:lang w:eastAsia="en-AU"/>
        </w:rPr>
        <w:t>:</w:t>
      </w:r>
    </w:p>
    <w:p w14:paraId="1F5F5A72" w14:textId="7825EFCD" w:rsidR="00BC6C5B" w:rsidRPr="00225E51" w:rsidRDefault="00BC6C5B" w:rsidP="00531CE9">
      <w:pPr>
        <w:pStyle w:val="ListBulleta"/>
        <w:numPr>
          <w:ilvl w:val="0"/>
          <w:numId w:val="33"/>
        </w:numPr>
        <w:rPr>
          <w:lang w:eastAsia="en-AU"/>
        </w:rPr>
      </w:pPr>
      <w:r w:rsidRPr="00225E51">
        <w:rPr>
          <w:lang w:eastAsia="en-AU"/>
        </w:rPr>
        <w:t>when included in Schedule 2 or 5;</w:t>
      </w:r>
    </w:p>
    <w:p w14:paraId="281D8695" w14:textId="77777777" w:rsidR="00BC6C5B" w:rsidRPr="00225E51" w:rsidRDefault="00BC6C5B" w:rsidP="00BC6C5B">
      <w:pPr>
        <w:pStyle w:val="ListBulleta"/>
        <w:rPr>
          <w:lang w:eastAsia="en-AU"/>
        </w:rPr>
      </w:pPr>
      <w:r w:rsidRPr="00225E51">
        <w:rPr>
          <w:lang w:eastAsia="en-AU"/>
        </w:rPr>
        <w:t>in preparations containing 0.5 per cent or less of sodium nitrite;</w:t>
      </w:r>
    </w:p>
    <w:p w14:paraId="772DB082" w14:textId="77777777" w:rsidR="00C806D7" w:rsidRDefault="00BC6C5B">
      <w:pPr>
        <w:pStyle w:val="ListBulleta"/>
        <w:rPr>
          <w:lang w:eastAsia="en-AU"/>
        </w:rPr>
      </w:pPr>
      <w:r w:rsidRPr="00225E51">
        <w:rPr>
          <w:lang w:eastAsia="en-AU"/>
        </w:rPr>
        <w:t>when present as an excipient in preparations for therapeutic use; or</w:t>
      </w:r>
    </w:p>
    <w:p w14:paraId="4D14D4A2" w14:textId="2327DBFF" w:rsidR="007B465C" w:rsidRDefault="00BC6C5B" w:rsidP="007B465C">
      <w:pPr>
        <w:pStyle w:val="ListBulleta"/>
        <w:rPr>
          <w:lang w:eastAsia="en-AU"/>
        </w:rPr>
      </w:pPr>
      <w:proofErr w:type="gramStart"/>
      <w:r w:rsidRPr="00225E51">
        <w:rPr>
          <w:lang w:eastAsia="en-AU"/>
        </w:rPr>
        <w:t>in</w:t>
      </w:r>
      <w:proofErr w:type="gramEnd"/>
      <w:r w:rsidRPr="00225E51">
        <w:rPr>
          <w:lang w:eastAsia="en-AU"/>
        </w:rPr>
        <w:t xml:space="preserve"> aerosols containing 2 per cent or less of sodium nitrite.</w:t>
      </w:r>
    </w:p>
    <w:p w14:paraId="1999CB4E" w14:textId="0A585319" w:rsidR="007B465C" w:rsidRPr="00684F6E" w:rsidRDefault="007B465C" w:rsidP="007B465C">
      <w:pPr>
        <w:keepNext/>
        <w:keepLines/>
        <w:rPr>
          <w:b/>
          <w:shd w:val="clear" w:color="auto" w:fill="FFFFFF"/>
        </w:rPr>
      </w:pPr>
      <w:r w:rsidRPr="00684F6E">
        <w:rPr>
          <w:b/>
          <w:shd w:val="clear" w:color="auto" w:fill="FFFFFF"/>
        </w:rPr>
        <w:t>Appendix E, Part 2</w:t>
      </w:r>
      <w:r>
        <w:rPr>
          <w:b/>
          <w:shd w:val="clear" w:color="auto" w:fill="FFFFFF"/>
        </w:rPr>
        <w:t xml:space="preserve"> – Amend Entry</w:t>
      </w:r>
    </w:p>
    <w:tbl>
      <w:tblPr>
        <w:tblStyle w:val="TableTGAblue"/>
        <w:tblW w:w="0" w:type="auto"/>
        <w:tblInd w:w="-10" w:type="dxa"/>
        <w:tblLook w:val="04A0" w:firstRow="1" w:lastRow="0" w:firstColumn="1" w:lastColumn="0" w:noHBand="0" w:noVBand="1"/>
      </w:tblPr>
      <w:tblGrid>
        <w:gridCol w:w="3261"/>
        <w:gridCol w:w="5244"/>
      </w:tblGrid>
      <w:tr w:rsidR="007B465C" w:rsidRPr="006112EA" w14:paraId="619A1ACF" w14:textId="77777777" w:rsidTr="009E5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C1941E8" w14:textId="77777777" w:rsidR="007B465C" w:rsidRPr="006112EA" w:rsidRDefault="007B465C" w:rsidP="009E53D7">
            <w:pPr>
              <w:pStyle w:val="ListBullet"/>
              <w:keepLines/>
              <w:numPr>
                <w:ilvl w:val="0"/>
                <w:numId w:val="0"/>
              </w:numPr>
              <w:rPr>
                <w:sz w:val="20"/>
                <w:szCs w:val="20"/>
              </w:rPr>
            </w:pPr>
            <w:r>
              <w:rPr>
                <w:sz w:val="20"/>
                <w:szCs w:val="20"/>
              </w:rPr>
              <w:t>POISON</w:t>
            </w:r>
          </w:p>
        </w:tc>
        <w:tc>
          <w:tcPr>
            <w:tcW w:w="5244" w:type="dxa"/>
          </w:tcPr>
          <w:p w14:paraId="30024191" w14:textId="77777777" w:rsidR="007B465C" w:rsidRPr="006112EA" w:rsidRDefault="007B465C" w:rsidP="009E53D7">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STANDARD STATEMENTS</w:t>
            </w:r>
          </w:p>
        </w:tc>
      </w:tr>
      <w:tr w:rsidR="007B465C" w:rsidRPr="006112EA" w14:paraId="4D5865E4" w14:textId="77777777" w:rsidTr="009E53D7">
        <w:tc>
          <w:tcPr>
            <w:cnfStyle w:val="001000000000" w:firstRow="0" w:lastRow="0" w:firstColumn="1" w:lastColumn="0" w:oddVBand="0" w:evenVBand="0" w:oddHBand="0" w:evenHBand="0" w:firstRowFirstColumn="0" w:firstRowLastColumn="0" w:lastRowFirstColumn="0" w:lastRowLastColumn="0"/>
            <w:tcW w:w="3261" w:type="dxa"/>
          </w:tcPr>
          <w:p w14:paraId="70036DCF" w14:textId="77777777" w:rsidR="007B465C" w:rsidRPr="006112EA" w:rsidRDefault="007B465C" w:rsidP="009E53D7">
            <w:pPr>
              <w:keepNext/>
              <w:keepLines/>
              <w:rPr>
                <w:sz w:val="20"/>
                <w:szCs w:val="20"/>
              </w:rPr>
            </w:pPr>
            <w:r w:rsidRPr="00684F6E">
              <w:rPr>
                <w:sz w:val="20"/>
                <w:szCs w:val="20"/>
              </w:rPr>
              <w:t>SODIUM NITRITE</w:t>
            </w:r>
          </w:p>
        </w:tc>
        <w:tc>
          <w:tcPr>
            <w:tcW w:w="5244" w:type="dxa"/>
          </w:tcPr>
          <w:p w14:paraId="4E988CA5" w14:textId="77777777" w:rsidR="007B465C" w:rsidRPr="006112EA" w:rsidRDefault="007B465C" w:rsidP="009E53D7">
            <w:pPr>
              <w:keepNext/>
              <w:keepLines/>
              <w:cnfStyle w:val="000000000000" w:firstRow="0" w:lastRow="0" w:firstColumn="0" w:lastColumn="0" w:oddVBand="0" w:evenVBand="0" w:oddHBand="0" w:evenHBand="0" w:firstRowFirstColumn="0" w:firstRowLastColumn="0" w:lastRowFirstColumn="0" w:lastRowLastColumn="0"/>
              <w:rPr>
                <w:sz w:val="20"/>
                <w:szCs w:val="20"/>
              </w:rPr>
            </w:pPr>
          </w:p>
        </w:tc>
      </w:tr>
      <w:tr w:rsidR="007B465C" w:rsidRPr="006112EA" w14:paraId="5787D182" w14:textId="77777777" w:rsidTr="009E53D7">
        <w:tc>
          <w:tcPr>
            <w:cnfStyle w:val="001000000000" w:firstRow="0" w:lastRow="0" w:firstColumn="1" w:lastColumn="0" w:oddVBand="0" w:evenVBand="0" w:oddHBand="0" w:evenHBand="0" w:firstRowFirstColumn="0" w:firstRowLastColumn="0" w:lastRowFirstColumn="0" w:lastRowLastColumn="0"/>
            <w:tcW w:w="3261" w:type="dxa"/>
          </w:tcPr>
          <w:p w14:paraId="5349AE66" w14:textId="77777777" w:rsidR="007B465C" w:rsidRPr="00A917A0" w:rsidRDefault="007B465C" w:rsidP="009E53D7">
            <w:pPr>
              <w:pStyle w:val="ListParagraph"/>
              <w:keepNext/>
              <w:keepLines/>
              <w:numPr>
                <w:ilvl w:val="0"/>
                <w:numId w:val="26"/>
              </w:numPr>
              <w:ind w:left="315"/>
              <w:rPr>
                <w:strike/>
                <w:color w:val="FF0000"/>
                <w:sz w:val="20"/>
              </w:rPr>
            </w:pPr>
            <w:r w:rsidRPr="00A917A0">
              <w:rPr>
                <w:strike/>
                <w:color w:val="FF0000"/>
                <w:sz w:val="20"/>
              </w:rPr>
              <w:t>when included in Schedule 7</w:t>
            </w:r>
          </w:p>
        </w:tc>
        <w:tc>
          <w:tcPr>
            <w:tcW w:w="5244" w:type="dxa"/>
          </w:tcPr>
          <w:p w14:paraId="4CB45F56" w14:textId="77777777" w:rsidR="007B465C" w:rsidRPr="00A917A0" w:rsidRDefault="007B465C" w:rsidP="009E53D7">
            <w:pPr>
              <w:keepNext/>
              <w:keepLines/>
              <w:cnfStyle w:val="000000000000" w:firstRow="0" w:lastRow="0" w:firstColumn="0" w:lastColumn="0" w:oddVBand="0" w:evenVBand="0" w:oddHBand="0" w:evenHBand="0" w:firstRowFirstColumn="0" w:firstRowLastColumn="0" w:lastRowFirstColumn="0" w:lastRowLastColumn="0"/>
              <w:rPr>
                <w:strike/>
                <w:color w:val="FF0000"/>
                <w:sz w:val="20"/>
              </w:rPr>
            </w:pPr>
            <w:r w:rsidRPr="00A917A0">
              <w:rPr>
                <w:b/>
                <w:strike/>
                <w:color w:val="FF0000"/>
                <w:sz w:val="20"/>
              </w:rPr>
              <w:t>A</w:t>
            </w:r>
            <w:r w:rsidRPr="00A917A0">
              <w:rPr>
                <w:strike/>
                <w:color w:val="FF0000"/>
                <w:sz w:val="20"/>
              </w:rPr>
              <w:t xml:space="preserve"> (For advice, contact a Poisons Information Centre (e.g. phone Australia 13 11 26; New Zealand 0800 764 766) or a doctor (at once)).</w:t>
            </w:r>
          </w:p>
          <w:p w14:paraId="3EBA4FBE" w14:textId="77777777" w:rsidR="007B465C" w:rsidRPr="00A917A0" w:rsidRDefault="007B465C" w:rsidP="009E53D7">
            <w:pPr>
              <w:keepNext/>
              <w:keepLines/>
              <w:cnfStyle w:val="000000000000" w:firstRow="0" w:lastRow="0" w:firstColumn="0" w:lastColumn="0" w:oddVBand="0" w:evenVBand="0" w:oddHBand="0" w:evenHBand="0" w:firstRowFirstColumn="0" w:firstRowLastColumn="0" w:lastRowFirstColumn="0" w:lastRowLastColumn="0"/>
              <w:rPr>
                <w:strike/>
                <w:color w:val="FF0000"/>
                <w:sz w:val="20"/>
              </w:rPr>
            </w:pPr>
            <w:r w:rsidRPr="00A917A0">
              <w:rPr>
                <w:b/>
                <w:strike/>
                <w:color w:val="FF0000"/>
                <w:sz w:val="20"/>
              </w:rPr>
              <w:t xml:space="preserve">G1 </w:t>
            </w:r>
            <w:r w:rsidRPr="00A917A0">
              <w:rPr>
                <w:strike/>
                <w:color w:val="FF0000"/>
                <w:sz w:val="20"/>
              </w:rPr>
              <w:t xml:space="preserve">(Urgent hospital treatment is likely to </w:t>
            </w:r>
            <w:proofErr w:type="gramStart"/>
            <w:r w:rsidRPr="00A917A0">
              <w:rPr>
                <w:strike/>
                <w:color w:val="FF0000"/>
                <w:sz w:val="20"/>
              </w:rPr>
              <w:t>be needed</w:t>
            </w:r>
            <w:proofErr w:type="gramEnd"/>
            <w:r w:rsidRPr="00A917A0">
              <w:rPr>
                <w:strike/>
                <w:color w:val="FF0000"/>
                <w:sz w:val="20"/>
              </w:rPr>
              <w:t>.)</w:t>
            </w:r>
          </w:p>
          <w:p w14:paraId="0C91FC46" w14:textId="77777777" w:rsidR="007B465C" w:rsidRPr="00A917A0" w:rsidRDefault="007B465C" w:rsidP="009E53D7">
            <w:pPr>
              <w:keepNext/>
              <w:keepLines/>
              <w:cnfStyle w:val="000000000000" w:firstRow="0" w:lastRow="0" w:firstColumn="0" w:lastColumn="0" w:oddVBand="0" w:evenVBand="0" w:oddHBand="0" w:evenHBand="0" w:firstRowFirstColumn="0" w:firstRowLastColumn="0" w:lastRowFirstColumn="0" w:lastRowLastColumn="0"/>
              <w:rPr>
                <w:color w:val="FF0000"/>
                <w:sz w:val="20"/>
              </w:rPr>
            </w:pPr>
            <w:r w:rsidRPr="00A917A0">
              <w:rPr>
                <w:b/>
                <w:strike/>
                <w:color w:val="FF0000"/>
                <w:sz w:val="20"/>
              </w:rPr>
              <w:t>G3</w:t>
            </w:r>
            <w:r w:rsidRPr="00A917A0">
              <w:rPr>
                <w:strike/>
                <w:color w:val="FF0000"/>
                <w:sz w:val="20"/>
              </w:rPr>
              <w:t xml:space="preserve"> (If swallowed, do NOT induce vomiting.)</w:t>
            </w:r>
          </w:p>
        </w:tc>
      </w:tr>
      <w:tr w:rsidR="007B465C" w:rsidRPr="006112EA" w14:paraId="22EE3A94" w14:textId="77777777" w:rsidTr="009E53D7">
        <w:tc>
          <w:tcPr>
            <w:cnfStyle w:val="001000000000" w:firstRow="0" w:lastRow="0" w:firstColumn="1" w:lastColumn="0" w:oddVBand="0" w:evenVBand="0" w:oddHBand="0" w:evenHBand="0" w:firstRowFirstColumn="0" w:firstRowLastColumn="0" w:lastRowFirstColumn="0" w:lastRowLastColumn="0"/>
            <w:tcW w:w="3261" w:type="dxa"/>
          </w:tcPr>
          <w:p w14:paraId="107D5E64" w14:textId="77777777" w:rsidR="007B465C" w:rsidRPr="00684F6E" w:rsidRDefault="007B465C" w:rsidP="009E53D7">
            <w:pPr>
              <w:pStyle w:val="ListParagraph"/>
              <w:keepNext/>
              <w:keepLines/>
              <w:numPr>
                <w:ilvl w:val="0"/>
                <w:numId w:val="26"/>
              </w:numPr>
              <w:ind w:left="315"/>
              <w:rPr>
                <w:sz w:val="20"/>
              </w:rPr>
            </w:pPr>
            <w:r>
              <w:rPr>
                <w:rFonts w:eastAsia="Times New Roman"/>
                <w:lang w:eastAsia="en-AU"/>
              </w:rPr>
              <w:t xml:space="preserve">when included in </w:t>
            </w:r>
            <w:r w:rsidRPr="00684F6E">
              <w:rPr>
                <w:rFonts w:eastAsia="Times New Roman"/>
                <w:lang w:eastAsia="en-AU"/>
              </w:rPr>
              <w:t>Schedule 5 or 6</w:t>
            </w:r>
          </w:p>
        </w:tc>
        <w:tc>
          <w:tcPr>
            <w:tcW w:w="5244" w:type="dxa"/>
          </w:tcPr>
          <w:p w14:paraId="349AE6F7" w14:textId="77777777" w:rsidR="007B465C" w:rsidRPr="00684F6E" w:rsidRDefault="007B465C" w:rsidP="009E53D7">
            <w:pPr>
              <w:keepNext/>
              <w:keepLines/>
              <w:cnfStyle w:val="000000000000" w:firstRow="0" w:lastRow="0" w:firstColumn="0" w:lastColumn="0" w:oddVBand="0" w:evenVBand="0" w:oddHBand="0" w:evenHBand="0" w:firstRowFirstColumn="0" w:firstRowLastColumn="0" w:lastRowFirstColumn="0" w:lastRowLastColumn="0"/>
              <w:rPr>
                <w:sz w:val="20"/>
              </w:rPr>
            </w:pPr>
            <w:r w:rsidRPr="00684F6E">
              <w:rPr>
                <w:b/>
                <w:sz w:val="20"/>
              </w:rPr>
              <w:t xml:space="preserve">A </w:t>
            </w:r>
            <w:r w:rsidRPr="00684F6E">
              <w:rPr>
                <w:sz w:val="20"/>
              </w:rPr>
              <w:t>(For advice, contact a Poisons Information Centre (e.g. phone Australia 13 11 26; New Zealand 0800 764 766) or a doctor (at once)).</w:t>
            </w:r>
          </w:p>
          <w:p w14:paraId="359B53E5" w14:textId="77777777" w:rsidR="007B465C" w:rsidRDefault="007B465C" w:rsidP="009E53D7">
            <w:pPr>
              <w:keepNext/>
              <w:keepLines/>
              <w:cnfStyle w:val="000000000000" w:firstRow="0" w:lastRow="0" w:firstColumn="0" w:lastColumn="0" w:oddVBand="0" w:evenVBand="0" w:oddHBand="0" w:evenHBand="0" w:firstRowFirstColumn="0" w:firstRowLastColumn="0" w:lastRowFirstColumn="0" w:lastRowLastColumn="0"/>
              <w:rPr>
                <w:sz w:val="20"/>
              </w:rPr>
            </w:pPr>
            <w:r w:rsidRPr="00684F6E">
              <w:rPr>
                <w:b/>
                <w:sz w:val="20"/>
              </w:rPr>
              <w:t xml:space="preserve">G3 </w:t>
            </w:r>
            <w:r w:rsidRPr="00684F6E">
              <w:rPr>
                <w:sz w:val="20"/>
              </w:rPr>
              <w:t>(If swallowed, do NOT induce vomiting.)</w:t>
            </w:r>
          </w:p>
        </w:tc>
      </w:tr>
    </w:tbl>
    <w:p w14:paraId="1CB78717" w14:textId="77777777" w:rsidR="00B63EEB" w:rsidRDefault="00B63EEB" w:rsidP="00B63EEB">
      <w:pPr>
        <w:pStyle w:val="Heading4"/>
      </w:pPr>
      <w:bookmarkStart w:id="9" w:name="_Toc69382396"/>
      <w:r>
        <w:t>Key uses / expected use</w:t>
      </w:r>
      <w:bookmarkEnd w:id="9"/>
    </w:p>
    <w:p w14:paraId="47C63AB9" w14:textId="77777777" w:rsidR="00B63EEB" w:rsidRDefault="00B63EEB" w:rsidP="00B63EEB">
      <w:r>
        <w:t>I</w:t>
      </w:r>
      <w:r w:rsidRPr="00576FF4">
        <w:t xml:space="preserve">ndustrial use, </w:t>
      </w:r>
      <w:r>
        <w:t>m</w:t>
      </w:r>
      <w:r w:rsidRPr="00576FF4">
        <w:t xml:space="preserve">edicines, </w:t>
      </w:r>
      <w:r>
        <w:t>food industry</w:t>
      </w:r>
      <w:r w:rsidRPr="00576FF4">
        <w:t>, pesticide formulations, agriculture</w:t>
      </w:r>
    </w:p>
    <w:p w14:paraId="1AC79BFB" w14:textId="06BC8A11" w:rsidR="00B63EEB" w:rsidRDefault="00BC03AF" w:rsidP="00B63EEB">
      <w:pPr>
        <w:pStyle w:val="Heading4"/>
      </w:pPr>
      <w:bookmarkStart w:id="10" w:name="_Toc69382397"/>
      <w:r>
        <w:t>Summary of applicant’s r</w:t>
      </w:r>
      <w:r w:rsidR="00B63EEB">
        <w:t>easons for proposal</w:t>
      </w:r>
      <w:bookmarkEnd w:id="10"/>
    </w:p>
    <w:p w14:paraId="479EC8CB" w14:textId="3E53A4CA" w:rsidR="00D550FB" w:rsidRDefault="00D550FB" w:rsidP="00B63EEB">
      <w:pPr>
        <w:pStyle w:val="ListBullet"/>
        <w:numPr>
          <w:ilvl w:val="0"/>
          <w:numId w:val="1"/>
        </w:numPr>
      </w:pPr>
      <w:r w:rsidRPr="004D089C">
        <w:t xml:space="preserve">The impetus for this proposal </w:t>
      </w:r>
      <w:proofErr w:type="gramStart"/>
      <w:r w:rsidRPr="004D089C">
        <w:t>is reported</w:t>
      </w:r>
      <w:proofErr w:type="gramEnd"/>
      <w:r w:rsidRPr="004D089C">
        <w:t xml:space="preserve"> misuse and concern associated with the increased use of sodium nitrite in deliberate, self-poisoning causing death.</w:t>
      </w:r>
    </w:p>
    <w:p w14:paraId="021AF288" w14:textId="3C41E945" w:rsidR="00B63EEB" w:rsidRDefault="00B63EEB" w:rsidP="00B63EEB">
      <w:pPr>
        <w:pStyle w:val="ListBullet"/>
        <w:numPr>
          <w:ilvl w:val="0"/>
          <w:numId w:val="1"/>
        </w:numPr>
      </w:pPr>
      <w:r>
        <w:t>The proposal seeks to impose additional restrictions on the availability of s</w:t>
      </w:r>
      <w:r w:rsidRPr="00826100">
        <w:t>odium nitrite</w:t>
      </w:r>
      <w:r>
        <w:t xml:space="preserve"> to minimise access for individuals </w:t>
      </w:r>
      <w:r w:rsidR="00C72AF3">
        <w:t xml:space="preserve">who may </w:t>
      </w:r>
      <w:r>
        <w:t xml:space="preserve">misuse the substance while </w:t>
      </w:r>
      <w:r w:rsidRPr="00A93DB7">
        <w:t xml:space="preserve">ensuring </w:t>
      </w:r>
      <w:r>
        <w:t>continuing access for industry stakeholders.</w:t>
      </w:r>
    </w:p>
    <w:p w14:paraId="5ED6EC4C" w14:textId="77777777" w:rsidR="00B63EEB" w:rsidRDefault="00B63EEB" w:rsidP="00B63EEB">
      <w:pPr>
        <w:pStyle w:val="ListBullet"/>
        <w:numPr>
          <w:ilvl w:val="0"/>
          <w:numId w:val="1"/>
        </w:numPr>
      </w:pPr>
      <w:r>
        <w:lastRenderedPageBreak/>
        <w:t xml:space="preserve">Sodium nitrite </w:t>
      </w:r>
      <w:r w:rsidRPr="00E36C80">
        <w:t>is considered an essential nitrite salt for industry purposes, used as a precursor to organic compounds, such as pharmaceuticals, dyes, and pesticides, and most commonly as a food</w:t>
      </w:r>
      <w:r>
        <w:t xml:space="preserve"> additive used for curing meats. It </w:t>
      </w:r>
      <w:proofErr w:type="gramStart"/>
      <w:r>
        <w:t>is used</w:t>
      </w:r>
      <w:proofErr w:type="gramEnd"/>
      <w:r>
        <w:t xml:space="preserve"> as a medicine,</w:t>
      </w:r>
      <w:r w:rsidRPr="00E36C80">
        <w:t xml:space="preserve"> t</w:t>
      </w:r>
      <w:r>
        <w:t xml:space="preserve">ogether with sodium thiosulfate, </w:t>
      </w:r>
      <w:r w:rsidRPr="00E36C80">
        <w:t>for treatment of cyanide poisoning</w:t>
      </w:r>
      <w:r>
        <w:t>.</w:t>
      </w:r>
    </w:p>
    <w:p w14:paraId="763415D8" w14:textId="77777777" w:rsidR="00B63EEB" w:rsidRDefault="00B63EEB" w:rsidP="00B63EEB">
      <w:pPr>
        <w:pStyle w:val="ListBullet"/>
        <w:numPr>
          <w:ilvl w:val="0"/>
          <w:numId w:val="1"/>
        </w:numPr>
      </w:pPr>
      <w:r>
        <w:t>Sodium nitrite induces</w:t>
      </w:r>
      <w:r w:rsidRPr="0063467E">
        <w:t xml:space="preserve"> </w:t>
      </w:r>
      <w:proofErr w:type="spellStart"/>
      <w:proofErr w:type="gramStart"/>
      <w:r w:rsidRPr="0063467E">
        <w:t>meth</w:t>
      </w:r>
      <w:r>
        <w:t>aemoglobinaemia</w:t>
      </w:r>
      <w:proofErr w:type="spellEnd"/>
      <w:r>
        <w:t xml:space="preserve"> causing</w:t>
      </w:r>
      <w:proofErr w:type="gramEnd"/>
      <w:r>
        <w:t xml:space="preserve"> </w:t>
      </w:r>
      <w:r w:rsidRPr="0063467E">
        <w:t>death.</w:t>
      </w:r>
      <w:r>
        <w:t xml:space="preserve"> </w:t>
      </w:r>
      <w:r w:rsidRPr="007F795E">
        <w:t xml:space="preserve">While sodium nitrite and sodium nitrate are different chemicals, both may result in toxicity by causing </w:t>
      </w:r>
      <w:proofErr w:type="spellStart"/>
      <w:r w:rsidRPr="0063467E">
        <w:t>methaemoglobinaemia</w:t>
      </w:r>
      <w:proofErr w:type="spellEnd"/>
      <w:r w:rsidRPr="007F795E">
        <w:t>. It</w:t>
      </w:r>
      <w:r>
        <w:t xml:space="preserve"> noted that </w:t>
      </w:r>
      <w:proofErr w:type="gramStart"/>
      <w:r>
        <w:t>it</w:t>
      </w:r>
      <w:r w:rsidRPr="007F795E">
        <w:t xml:space="preserve"> is possible the similarity in the terms ‘sodium nitrite’ and ‘sodium nitrate’ may</w:t>
      </w:r>
      <w:proofErr w:type="gramEnd"/>
      <w:r w:rsidRPr="007F795E">
        <w:t xml:space="preserve"> result in reporting of the incorrect substance. </w:t>
      </w:r>
    </w:p>
    <w:p w14:paraId="47370870" w14:textId="6EABF39A" w:rsidR="00B63EEB" w:rsidRDefault="00B63EEB" w:rsidP="00B63EEB">
      <w:pPr>
        <w:pStyle w:val="ListBullet"/>
        <w:numPr>
          <w:ilvl w:val="0"/>
          <w:numId w:val="1"/>
        </w:numPr>
      </w:pPr>
      <w:r>
        <w:t xml:space="preserve">According to </w:t>
      </w:r>
      <w:hyperlink r:id="rId20" w:history="1">
        <w:r w:rsidRPr="00B67FEC">
          <w:rPr>
            <w:rStyle w:val="Hyperlink"/>
          </w:rPr>
          <w:t xml:space="preserve">National Coronial Information System (NCIS) report on </w:t>
        </w:r>
        <w:r w:rsidR="00787D30" w:rsidRPr="00B67FEC">
          <w:rPr>
            <w:rStyle w:val="Hyperlink"/>
          </w:rPr>
          <w:t>s</w:t>
        </w:r>
        <w:r w:rsidRPr="00B67FEC">
          <w:rPr>
            <w:rStyle w:val="Hyperlink"/>
          </w:rPr>
          <w:t>odium nitrite and sodium nitrate-related deaths in Australia 2009–2018</w:t>
        </w:r>
      </w:hyperlink>
      <w:r>
        <w:t xml:space="preserve">, there has been a </w:t>
      </w:r>
      <w:r w:rsidRPr="000802AE">
        <w:t>substantial increase in sodium nitrite related deaths as of 2017</w:t>
      </w:r>
      <w:r>
        <w:t xml:space="preserve">. </w:t>
      </w:r>
      <w:r w:rsidRPr="000802AE">
        <w:t xml:space="preserve">The report identified 17 deaths </w:t>
      </w:r>
      <w:r w:rsidR="000B343B">
        <w:t xml:space="preserve">(4 cases in 2017 and 13 cases in 2018) </w:t>
      </w:r>
      <w:r w:rsidRPr="000802AE">
        <w:t xml:space="preserve">where sodium nitrite or sodium nitrate </w:t>
      </w:r>
      <w:r w:rsidR="000B343B">
        <w:t>were</w:t>
      </w:r>
      <w:r w:rsidR="000B343B" w:rsidRPr="000802AE">
        <w:t xml:space="preserve"> </w:t>
      </w:r>
      <w:r w:rsidRPr="000802AE">
        <w:t>involved in the death, with no cases recorded from 2009</w:t>
      </w:r>
      <w:r>
        <w:t xml:space="preserve"> – 2016. </w:t>
      </w:r>
    </w:p>
    <w:p w14:paraId="254B8C07" w14:textId="377B96E5" w:rsidR="00B63EEB" w:rsidRDefault="00B63EEB" w:rsidP="00B63EEB">
      <w:pPr>
        <w:pStyle w:val="ListBullet"/>
        <w:numPr>
          <w:ilvl w:val="0"/>
          <w:numId w:val="1"/>
        </w:numPr>
      </w:pPr>
      <w:r>
        <w:t>The</w:t>
      </w:r>
      <w:r w:rsidRPr="009E31A4">
        <w:t xml:space="preserve"> </w:t>
      </w:r>
      <w:r>
        <w:t>Therapeutic Goods Administration</w:t>
      </w:r>
      <w:r w:rsidR="000B343B">
        <w:t xml:space="preserve"> (TGA)</w:t>
      </w:r>
      <w:r>
        <w:t xml:space="preserve"> has received direct reports from various State and Territory Departments on an increa</w:t>
      </w:r>
      <w:r w:rsidR="00787D30">
        <w:t>se in sodium nitrite-related</w:t>
      </w:r>
      <w:r>
        <w:t xml:space="preserve"> deaths.</w:t>
      </w:r>
    </w:p>
    <w:p w14:paraId="5E47AC20" w14:textId="0E92A735" w:rsidR="00B63EEB" w:rsidRPr="00AB60EB" w:rsidRDefault="00B63EEB" w:rsidP="00B63EEB">
      <w:pPr>
        <w:pStyle w:val="ListBullet"/>
        <w:numPr>
          <w:ilvl w:val="0"/>
          <w:numId w:val="0"/>
        </w:numPr>
        <w:rPr>
          <w:b/>
        </w:rPr>
      </w:pPr>
      <w:r w:rsidRPr="00AB60EB">
        <w:rPr>
          <w:b/>
        </w:rPr>
        <w:t xml:space="preserve">The </w:t>
      </w:r>
      <w:r w:rsidR="00A71E6A">
        <w:rPr>
          <w:b/>
        </w:rPr>
        <w:t>D</w:t>
      </w:r>
      <w:r w:rsidRPr="00AB60EB">
        <w:rPr>
          <w:b/>
        </w:rPr>
        <w:t xml:space="preserve">elegate seeks </w:t>
      </w:r>
      <w:r w:rsidR="00531CE9">
        <w:rPr>
          <w:b/>
        </w:rPr>
        <w:t xml:space="preserve">particular </w:t>
      </w:r>
      <w:r w:rsidRPr="00AB60EB">
        <w:rPr>
          <w:b/>
        </w:rPr>
        <w:t xml:space="preserve">public comment on the following matters: </w:t>
      </w:r>
    </w:p>
    <w:p w14:paraId="3D63A82E" w14:textId="77777777" w:rsidR="00531CE9" w:rsidRPr="00390FE4" w:rsidRDefault="00531CE9" w:rsidP="00531CE9">
      <w:pPr>
        <w:pStyle w:val="ListBullet"/>
        <w:numPr>
          <w:ilvl w:val="0"/>
          <w:numId w:val="1"/>
        </w:numPr>
      </w:pPr>
      <w:r>
        <w:t>S</w:t>
      </w:r>
      <w:r w:rsidRPr="00EB2CA1">
        <w:t>odium nitrite is widely used in</w:t>
      </w:r>
      <w:r>
        <w:t xml:space="preserve"> various</w:t>
      </w:r>
      <w:r w:rsidRPr="00EB2CA1">
        <w:t xml:space="preserve"> industr</w:t>
      </w:r>
      <w:r>
        <w:t>ies. T</w:t>
      </w:r>
      <w:r w:rsidRPr="00EB2CA1">
        <w:t xml:space="preserve">he </w:t>
      </w:r>
      <w:r>
        <w:t>D</w:t>
      </w:r>
      <w:r w:rsidRPr="00EB2CA1">
        <w:t>elegate is seeking public comment on the rescheduling proposal, particularly in regards to any possible unintended consequences to</w:t>
      </w:r>
      <w:r>
        <w:t xml:space="preserve"> it use in the Australian market</w:t>
      </w:r>
      <w:r w:rsidRPr="00EB2CA1">
        <w:t xml:space="preserve">, if the </w:t>
      </w:r>
      <w:r>
        <w:t xml:space="preserve">proposed amendments </w:t>
      </w:r>
      <w:proofErr w:type="gramStart"/>
      <w:r>
        <w:t xml:space="preserve">are </w:t>
      </w:r>
      <w:r w:rsidRPr="00EB2CA1">
        <w:t>made</w:t>
      </w:r>
      <w:proofErr w:type="gramEnd"/>
      <w:r w:rsidRPr="00EB2CA1">
        <w:t xml:space="preserve"> final.</w:t>
      </w:r>
    </w:p>
    <w:p w14:paraId="7EA341AE" w14:textId="79BCE0D1" w:rsidR="00B63EEB" w:rsidRDefault="00B63EEB" w:rsidP="00B63EEB">
      <w:pPr>
        <w:pStyle w:val="ListBullet"/>
        <w:numPr>
          <w:ilvl w:val="0"/>
          <w:numId w:val="1"/>
        </w:numPr>
      </w:pPr>
      <w:r>
        <w:t xml:space="preserve">There appears to be a lack of warning statements and </w:t>
      </w:r>
      <w:proofErr w:type="gramStart"/>
      <w:r w:rsidRPr="002321FA">
        <w:t>child-proof</w:t>
      </w:r>
      <w:proofErr w:type="gramEnd"/>
      <w:r w:rsidRPr="002321FA">
        <w:t xml:space="preserve"> packaging</w:t>
      </w:r>
      <w:r>
        <w:t xml:space="preserve">, particularly in sodium nitrite products accessed via pathways other than those approved by the relevant regulators. </w:t>
      </w:r>
      <w:r w:rsidR="00EE6C5E">
        <w:t xml:space="preserve">The Delegate is seeking public comment on the adequacy of </w:t>
      </w:r>
      <w:r w:rsidR="00401021">
        <w:t xml:space="preserve">the </w:t>
      </w:r>
      <w:r w:rsidR="00EE6C5E">
        <w:t>current labelling and supply of products containing</w:t>
      </w:r>
      <w:r w:rsidR="00401021">
        <w:t xml:space="preserve"> sodium nitrite.</w:t>
      </w:r>
    </w:p>
    <w:p w14:paraId="581BAC4B" w14:textId="2A770770" w:rsidR="00B63EEB" w:rsidRDefault="00787D30" w:rsidP="00B63EEB">
      <w:pPr>
        <w:pStyle w:val="ListBullet"/>
        <w:numPr>
          <w:ilvl w:val="0"/>
          <w:numId w:val="1"/>
        </w:numPr>
      </w:pPr>
      <w:r>
        <w:t>There appears to be a</w:t>
      </w:r>
      <w:r w:rsidR="00B63EEB">
        <w:t xml:space="preserve"> need for </w:t>
      </w:r>
      <w:r w:rsidR="00401021">
        <w:t xml:space="preserve">greater </w:t>
      </w:r>
      <w:r w:rsidR="00B63EEB">
        <w:t>u</w:t>
      </w:r>
      <w:r w:rsidR="00B63EEB" w:rsidRPr="0063467E">
        <w:t>nifo</w:t>
      </w:r>
      <w:r w:rsidR="00B63EEB">
        <w:t>rm handling</w:t>
      </w:r>
      <w:r w:rsidR="00401021">
        <w:t xml:space="preserve"> of products containing high concentrations of sodium nitrite. This includes </w:t>
      </w:r>
      <w:r w:rsidR="00892C8F">
        <w:t xml:space="preserve">the </w:t>
      </w:r>
      <w:r w:rsidR="00086721">
        <w:t>storage, supply and record keeping requirements</w:t>
      </w:r>
      <w:r w:rsidR="00B63EEB">
        <w:t xml:space="preserve"> </w:t>
      </w:r>
      <w:r w:rsidR="00401021">
        <w:t>stipulated</w:t>
      </w:r>
      <w:r>
        <w:t xml:space="preserve"> </w:t>
      </w:r>
      <w:r w:rsidR="00F64042">
        <w:t xml:space="preserve">in </w:t>
      </w:r>
      <w:r w:rsidR="00401021">
        <w:t xml:space="preserve">each </w:t>
      </w:r>
      <w:r w:rsidR="00A71E6A">
        <w:t>s</w:t>
      </w:r>
      <w:r w:rsidR="00F64042">
        <w:t xml:space="preserve">tate and </w:t>
      </w:r>
      <w:r w:rsidR="00A71E6A">
        <w:t>t</w:t>
      </w:r>
      <w:r w:rsidR="00F64042">
        <w:t>erritor</w:t>
      </w:r>
      <w:r w:rsidR="00401021">
        <w:t>y</w:t>
      </w:r>
      <w:r w:rsidR="00F64042">
        <w:t xml:space="preserve">. </w:t>
      </w:r>
      <w:r w:rsidR="00401021">
        <w:t xml:space="preserve">The Delegate is seeking public comment on </w:t>
      </w:r>
      <w:r w:rsidR="004B498A">
        <w:t xml:space="preserve">the </w:t>
      </w:r>
      <w:r w:rsidR="00401021">
        <w:t>adequacy of the current handling</w:t>
      </w:r>
      <w:r w:rsidR="004B498A">
        <w:t xml:space="preserve"> of</w:t>
      </w:r>
      <w:r w:rsidR="00401021">
        <w:t xml:space="preserve"> products containing sodium nitrite, and </w:t>
      </w:r>
      <w:r w:rsidR="004B498A">
        <w:t xml:space="preserve">if there are additional measures that could be implemented to limit </w:t>
      </w:r>
      <w:r w:rsidR="00893161">
        <w:t xml:space="preserve">self-poisoning to the substance by the </w:t>
      </w:r>
      <w:r w:rsidR="004B498A">
        <w:t>public.</w:t>
      </w:r>
    </w:p>
    <w:p w14:paraId="1FEB11F8" w14:textId="77777777" w:rsidR="00D35500" w:rsidRDefault="00D35500" w:rsidP="00D35500">
      <w:pPr>
        <w:pStyle w:val="Heading4"/>
      </w:pPr>
      <w:bookmarkStart w:id="11" w:name="_Toc69382398"/>
      <w:r>
        <w:t>Australian regulations</w:t>
      </w:r>
      <w:bookmarkEnd w:id="11"/>
    </w:p>
    <w:p w14:paraId="181D2998" w14:textId="77777777" w:rsidR="00D35500" w:rsidRDefault="00D35500" w:rsidP="00D35500">
      <w:pPr>
        <w:pStyle w:val="ListBullet"/>
      </w:pPr>
      <w:r>
        <w:t xml:space="preserve">According to the </w:t>
      </w:r>
      <w:hyperlink r:id="rId21"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1"/>
      </w:r>
      <w:r>
        <w:t xml:space="preserve"> sodium nitrite is:</w:t>
      </w:r>
    </w:p>
    <w:p w14:paraId="31D15F2C" w14:textId="77777777" w:rsidR="00D35500" w:rsidRDefault="00D35500" w:rsidP="00D35500">
      <w:pPr>
        <w:pStyle w:val="ListBullet2"/>
      </w:pPr>
      <w:r>
        <w:t>available for use as an Active Ingredient in: Biologicals, Export Only, Over the Counter, Prescription Medicines;</w:t>
      </w:r>
    </w:p>
    <w:p w14:paraId="483CE23E" w14:textId="77777777" w:rsidR="00D35500" w:rsidRDefault="00D35500" w:rsidP="00D35500">
      <w:pPr>
        <w:pStyle w:val="ListBullet2"/>
      </w:pPr>
      <w:r>
        <w:t>available for use as an Excipient Ingredient in: Biologicals, Devices, Export Only, Over the Counter, Prescription Medicines;</w:t>
      </w:r>
    </w:p>
    <w:p w14:paraId="62C03465" w14:textId="77777777" w:rsidR="00D35500" w:rsidRDefault="00D35500" w:rsidP="00D35500">
      <w:pPr>
        <w:pStyle w:val="ListBullet2"/>
      </w:pPr>
      <w:proofErr w:type="gramStart"/>
      <w:r>
        <w:t>not</w:t>
      </w:r>
      <w:proofErr w:type="gramEnd"/>
      <w:r>
        <w:t xml:space="preserve"> available as an Equivalent Ingredient in any application.</w:t>
      </w:r>
    </w:p>
    <w:p w14:paraId="02A6F8A9" w14:textId="77777777" w:rsidR="00D35500" w:rsidRPr="00B84FC6" w:rsidRDefault="00D35500" w:rsidP="00D35500">
      <w:pPr>
        <w:pStyle w:val="ListBullet"/>
      </w:pPr>
      <w:r>
        <w:t xml:space="preserve">As of </w:t>
      </w:r>
      <w:r w:rsidRPr="00932696">
        <w:t>April 2021</w:t>
      </w:r>
      <w:r>
        <w:t>, t</w:t>
      </w:r>
      <w:r w:rsidRPr="00881DFE">
        <w:t xml:space="preserve">here </w:t>
      </w:r>
      <w:r>
        <w:t>were</w:t>
      </w:r>
      <w:r w:rsidRPr="00881DFE">
        <w:t xml:space="preserve"> </w:t>
      </w:r>
      <w:r w:rsidRPr="00AC6714">
        <w:t>13</w:t>
      </w:r>
      <w:r>
        <w:t xml:space="preserve"> medicine</w:t>
      </w:r>
      <w:r w:rsidRPr="00881DFE">
        <w:t xml:space="preserve">s currently active on the </w:t>
      </w:r>
      <w:hyperlink r:id="rId22" w:history="1">
        <w:r w:rsidRPr="00293CCA">
          <w:rPr>
            <w:rStyle w:val="Hyperlink"/>
          </w:rPr>
          <w:t>Australian Register of Therapeutic Goods (ARTG)</w:t>
        </w:r>
      </w:hyperlink>
      <w:r>
        <w:rPr>
          <w:rStyle w:val="FootnoteReference"/>
        </w:rPr>
        <w:footnoteReference w:id="2"/>
      </w:r>
      <w:r>
        <w:t xml:space="preserve"> that contain</w:t>
      </w:r>
      <w:r w:rsidRPr="00881DFE">
        <w:t xml:space="preserve"> </w:t>
      </w:r>
      <w:r>
        <w:t>sodium nitrite as an active ingredient</w:t>
      </w:r>
      <w:r w:rsidRPr="00881DFE">
        <w:t>.</w:t>
      </w:r>
      <w:r>
        <w:t xml:space="preserve"> These include </w:t>
      </w:r>
      <w:proofErr w:type="gramStart"/>
      <w:r w:rsidRPr="00AC6714">
        <w:t>3</w:t>
      </w:r>
      <w:proofErr w:type="gramEnd"/>
      <w:r w:rsidRPr="00AC6714">
        <w:t xml:space="preserve"> prescription medicines, 3</w:t>
      </w:r>
      <w:r>
        <w:t xml:space="preserve"> non-prescription medicines, 1 medicine for export only, and 6 devices.</w:t>
      </w:r>
    </w:p>
    <w:p w14:paraId="5A9E296F" w14:textId="77777777" w:rsidR="00D35500" w:rsidRDefault="00D35500" w:rsidP="00D35500">
      <w:pPr>
        <w:pStyle w:val="ListBullet"/>
      </w:pPr>
      <w:r w:rsidRPr="00AC6714">
        <w:lastRenderedPageBreak/>
        <w:t xml:space="preserve">Sodium nitrite </w:t>
      </w:r>
      <w:proofErr w:type="gramStart"/>
      <w:r w:rsidRPr="009C55D5">
        <w:t>is not permitted</w:t>
      </w:r>
      <w:proofErr w:type="gramEnd"/>
      <w:r w:rsidRPr="009C55D5">
        <w:t xml:space="preserve"> to be included in listed medicines </w:t>
      </w:r>
      <w:r>
        <w:t xml:space="preserve">as it is not included in the </w:t>
      </w:r>
      <w:hyperlink r:id="rId23" w:history="1">
        <w:r w:rsidRPr="00824CAC">
          <w:rPr>
            <w:rStyle w:val="Hyperlink"/>
          </w:rPr>
          <w:t>Therapeutic Goods (Permissible Ingredients) Determination</w:t>
        </w:r>
      </w:hyperlink>
      <w:r>
        <w:rPr>
          <w:rStyle w:val="FootnoteReference"/>
        </w:rPr>
        <w:footnoteReference w:id="3"/>
      </w:r>
      <w:r w:rsidRPr="009C55D5">
        <w:t xml:space="preserve"> No.</w:t>
      </w:r>
      <w:r w:rsidRPr="00AC6714">
        <w:t>1 of 2021</w:t>
      </w:r>
      <w:r w:rsidRPr="009C55D5">
        <w:t xml:space="preserve">. </w:t>
      </w:r>
    </w:p>
    <w:p w14:paraId="00A87075" w14:textId="77777777" w:rsidR="00D35500" w:rsidRDefault="00D35500" w:rsidP="00D35500">
      <w:pPr>
        <w:pStyle w:val="ListBullet"/>
        <w:keepNext/>
        <w:keepLines/>
      </w:pPr>
      <w:r>
        <w:t xml:space="preserve">Sodium nitrite is not included in the </w:t>
      </w:r>
      <w:hyperlink r:id="rId24"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4"/>
      </w:r>
      <w:r w:rsidRPr="00AC6714">
        <w:rPr>
          <w:rStyle w:val="Hyperlink"/>
        </w:rPr>
        <w:t>.</w:t>
      </w:r>
    </w:p>
    <w:p w14:paraId="58EED68D" w14:textId="77777777" w:rsidR="00D35500" w:rsidRDefault="00D35500" w:rsidP="00D35500">
      <w:pPr>
        <w:pStyle w:val="ListBullet"/>
      </w:pPr>
      <w:r>
        <w:t xml:space="preserve">There are no </w:t>
      </w:r>
      <w:r w:rsidRPr="00A30084">
        <w:t xml:space="preserve">warning statements pertaining </w:t>
      </w:r>
      <w:r>
        <w:t xml:space="preserve">to sodium nitrite in the </w:t>
      </w:r>
      <w:hyperlink r:id="rId25" w:history="1">
        <w:r w:rsidRPr="00AB7BF5">
          <w:rPr>
            <w:rStyle w:val="Hyperlink"/>
          </w:rPr>
          <w:t>Therapeutic Goods (Medicines Advisory Statements) Specification 2019</w:t>
        </w:r>
      </w:hyperlink>
      <w:r>
        <w:rPr>
          <w:rStyle w:val="FootnoteReference"/>
        </w:rPr>
        <w:footnoteReference w:id="5"/>
      </w:r>
    </w:p>
    <w:p w14:paraId="5DA9B2D8" w14:textId="77777777" w:rsidR="00D35500" w:rsidRPr="009C55D5" w:rsidRDefault="00D35500" w:rsidP="00D35500">
      <w:pPr>
        <w:pStyle w:val="ListBullet"/>
      </w:pPr>
      <w:r>
        <w:t xml:space="preserve">As of </w:t>
      </w:r>
      <w:r w:rsidRPr="00932696">
        <w:t>April 2021</w:t>
      </w:r>
      <w:r>
        <w:t>, there were</w:t>
      </w:r>
      <w:r w:rsidRPr="009C55D5">
        <w:t xml:space="preserve"> </w:t>
      </w:r>
      <w:proofErr w:type="gramStart"/>
      <w:r>
        <w:t>3</w:t>
      </w:r>
      <w:proofErr w:type="gramEnd"/>
      <w:r w:rsidRPr="009C55D5">
        <w:t xml:space="preserve"> reports of adverse events for products containing </w:t>
      </w:r>
      <w:r>
        <w:t xml:space="preserve">sodium nitrite </w:t>
      </w:r>
      <w:r w:rsidRPr="009C55D5">
        <w:t>as an active ingredient</w:t>
      </w:r>
      <w:r>
        <w:t xml:space="preserve"> on the </w:t>
      </w:r>
      <w:hyperlink r:id="rId26" w:history="1">
        <w:r w:rsidRPr="00F0449C">
          <w:rPr>
            <w:rStyle w:val="Hyperlink"/>
          </w:rPr>
          <w:t>Database of Adverse Event Notifications (DAEN)</w:t>
        </w:r>
      </w:hyperlink>
      <w:r w:rsidRPr="00254E0B">
        <w:t>,</w:t>
      </w:r>
      <w:r w:rsidRPr="00F0449C">
        <w:rPr>
          <w:rStyle w:val="FootnoteReference"/>
        </w:rPr>
        <w:footnoteReference w:id="6"/>
      </w:r>
      <w:r w:rsidRPr="009C55D5">
        <w:t xml:space="preserve"> with </w:t>
      </w:r>
      <w:r>
        <w:t>one report</w:t>
      </w:r>
      <w:r w:rsidRPr="009C55D5">
        <w:t xml:space="preserve"> where </w:t>
      </w:r>
      <w:r>
        <w:t>sodium nitrite</w:t>
      </w:r>
      <w:r w:rsidRPr="009C55D5">
        <w:t xml:space="preserve"> was the single suspected medicine. There were </w:t>
      </w:r>
      <w:r w:rsidRPr="00932696">
        <w:t>no</w:t>
      </w:r>
      <w:r w:rsidRPr="009C55D5">
        <w:t xml:space="preserve"> reports of deaths associated with </w:t>
      </w:r>
      <w:r>
        <w:t>sodium nitrite</w:t>
      </w:r>
      <w:r w:rsidRPr="009C55D5">
        <w:t xml:space="preserve"> use</w:t>
      </w:r>
      <w:r w:rsidRPr="008B3F6E">
        <w:t>.</w:t>
      </w:r>
    </w:p>
    <w:p w14:paraId="523EE2AE" w14:textId="77777777" w:rsidR="00D35500" w:rsidRDefault="00D35500" w:rsidP="00D35500">
      <w:pPr>
        <w:pStyle w:val="ListBullet"/>
      </w:pPr>
      <w:r>
        <w:t xml:space="preserve">As of </w:t>
      </w:r>
      <w:r w:rsidRPr="00932696">
        <w:t>April 2021</w:t>
      </w:r>
      <w:r>
        <w:t>, t</w:t>
      </w:r>
      <w:r w:rsidRPr="00F0449C">
        <w:t xml:space="preserve">here </w:t>
      </w:r>
      <w:r>
        <w:t>was</w:t>
      </w:r>
      <w:r w:rsidRPr="00F0449C">
        <w:t xml:space="preserve"> </w:t>
      </w:r>
      <w:proofErr w:type="gramStart"/>
      <w:r>
        <w:t>1</w:t>
      </w:r>
      <w:proofErr w:type="gramEnd"/>
      <w:r>
        <w:t xml:space="preserve"> registered product</w:t>
      </w:r>
      <w:r w:rsidRPr="00F0449C">
        <w:t xml:space="preserve"> containing </w:t>
      </w:r>
      <w:r>
        <w:t>sodium nitrite</w:t>
      </w:r>
      <w:r w:rsidRPr="00F0449C">
        <w:t xml:space="preserve"> listed on the </w:t>
      </w:r>
      <w:hyperlink r:id="rId27"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F0449C">
        <w:t>.</w:t>
      </w:r>
      <w:r>
        <w:rPr>
          <w:rStyle w:val="FootnoteReference"/>
        </w:rPr>
        <w:footnoteReference w:id="7"/>
      </w:r>
    </w:p>
    <w:p w14:paraId="518B21B9" w14:textId="77777777" w:rsidR="00D35500" w:rsidRDefault="00D35500" w:rsidP="00D35500">
      <w:pPr>
        <w:pStyle w:val="ListBullet2"/>
      </w:pPr>
      <w:r>
        <w:t>A Schedule 6 vertebrate poison for control of feral pigs containing 10% sodium nitrite</w:t>
      </w:r>
    </w:p>
    <w:p w14:paraId="5DCFF028" w14:textId="7694EE5C" w:rsidR="00D35500" w:rsidRPr="00D35500" w:rsidRDefault="00D35500" w:rsidP="00D35500">
      <w:pPr>
        <w:pStyle w:val="ListBullet"/>
        <w:rPr>
          <w:color w:val="0000FF"/>
          <w:u w:val="single"/>
        </w:rPr>
      </w:pPr>
      <w:r>
        <w:t xml:space="preserve">In </w:t>
      </w:r>
      <w:proofErr w:type="gramStart"/>
      <w:r>
        <w:t>2010-2020</w:t>
      </w:r>
      <w:proofErr w:type="gramEnd"/>
      <w:r>
        <w:t xml:space="preserve"> no adverse experiences were recorded for sodium nitrite in the </w:t>
      </w:r>
      <w:hyperlink r:id="rId28" w:history="1">
        <w:r w:rsidRPr="006B6023">
          <w:rPr>
            <w:rStyle w:val="Hyperlink"/>
          </w:rPr>
          <w:t>A</w:t>
        </w:r>
        <w:r>
          <w:rPr>
            <w:rStyle w:val="Hyperlink"/>
          </w:rPr>
          <w:t>PVMA A</w:t>
        </w:r>
        <w:r w:rsidRPr="006B6023">
          <w:rPr>
            <w:rStyle w:val="Hyperlink"/>
          </w:rPr>
          <w:t>dverse Experience Reporting Program</w:t>
        </w:r>
      </w:hyperlink>
      <w:r>
        <w:rPr>
          <w:rStyle w:val="Hyperlink"/>
        </w:rPr>
        <w:t xml:space="preserve"> database (AERP)</w:t>
      </w:r>
      <w:r>
        <w:rPr>
          <w:rStyle w:val="FootnoteReference"/>
        </w:rPr>
        <w:footnoteReference w:id="8"/>
      </w:r>
      <w:r w:rsidRPr="00A917A0">
        <w:rPr>
          <w:rStyle w:val="Hyperlink"/>
          <w:color w:val="auto"/>
          <w:u w:val="none"/>
        </w:rPr>
        <w:t>.</w:t>
      </w:r>
    </w:p>
    <w:p w14:paraId="0D3D0F0B" w14:textId="77777777" w:rsidR="00D35500" w:rsidRPr="00CB687C" w:rsidRDefault="00D35500" w:rsidP="00D35500">
      <w:pPr>
        <w:pStyle w:val="Heading4"/>
      </w:pPr>
      <w:bookmarkStart w:id="12" w:name="_Toc63261296"/>
      <w:bookmarkStart w:id="13" w:name="_Toc69382399"/>
      <w:r>
        <w:t>International regulations</w:t>
      </w:r>
      <w:bookmarkEnd w:id="12"/>
      <w:bookmarkEnd w:id="13"/>
    </w:p>
    <w:p w14:paraId="7A76CAAC" w14:textId="77777777" w:rsidR="00D35500" w:rsidRDefault="00D35500" w:rsidP="00D35500">
      <w:pPr>
        <w:pStyle w:val="ListBullet"/>
      </w:pPr>
      <w:r>
        <w:t xml:space="preserve">Sodium nitrite is a prescription only medicine in Canada. According to the </w:t>
      </w:r>
      <w:hyperlink r:id="rId29" w:history="1">
        <w:r w:rsidRPr="008E0AB1">
          <w:rPr>
            <w:rStyle w:val="Hyperlink"/>
          </w:rPr>
          <w:t>Health Canada Drug Product Database</w:t>
        </w:r>
      </w:hyperlink>
      <w:r>
        <w:rPr>
          <w:rStyle w:val="FootnoteReference"/>
        </w:rPr>
        <w:footnoteReference w:id="9"/>
      </w:r>
      <w:r>
        <w:t>, there is one registered product containing sodium nitrite, a dormant intravenous injection (30 mg/mL sodium nitrite) for use as an antidote.</w:t>
      </w:r>
    </w:p>
    <w:p w14:paraId="3A4A12BC" w14:textId="77777777" w:rsidR="00D35500" w:rsidRDefault="00D35500" w:rsidP="00D35500">
      <w:pPr>
        <w:pStyle w:val="ListBullet"/>
      </w:pPr>
      <w:r>
        <w:t xml:space="preserve">The </w:t>
      </w:r>
      <w:hyperlink r:id="rId30" w:history="1">
        <w:r w:rsidRPr="008E0AB1">
          <w:rPr>
            <w:rStyle w:val="Hyperlink"/>
          </w:rPr>
          <w:t>European Commission database of cosmetic substances and ingredients</w:t>
        </w:r>
      </w:hyperlink>
      <w:r>
        <w:rPr>
          <w:rStyle w:val="FootnoteReference"/>
        </w:rPr>
        <w:footnoteReference w:id="10"/>
      </w:r>
      <w:r>
        <w:t xml:space="preserve"> lists sodium nitrite as an anticorrosive and rust inhibitor.</w:t>
      </w:r>
    </w:p>
    <w:p w14:paraId="46BD7FA7" w14:textId="77777777" w:rsidR="00D35500" w:rsidRDefault="00D35500" w:rsidP="00D35500">
      <w:pPr>
        <w:pStyle w:val="ListBullet"/>
      </w:pPr>
      <w:r>
        <w:t xml:space="preserve">The </w:t>
      </w:r>
      <w:hyperlink r:id="rId31" w:history="1">
        <w:r w:rsidRPr="007D5C46">
          <w:rPr>
            <w:rStyle w:val="Hyperlink"/>
          </w:rPr>
          <w:t>Health Products Regulation Authority of Ireland</w:t>
        </w:r>
      </w:hyperlink>
      <w:r>
        <w:rPr>
          <w:rStyle w:val="FootnoteReference"/>
        </w:rPr>
        <w:footnoteReference w:id="11"/>
      </w:r>
      <w:r>
        <w:t xml:space="preserve"> regulates sodium nitrite as a prescription only medicine in solutions for injection. No medicines containing sodium nitrite as an active ingredient </w:t>
      </w:r>
      <w:proofErr w:type="gramStart"/>
      <w:r>
        <w:t>are currently marketed</w:t>
      </w:r>
      <w:proofErr w:type="gramEnd"/>
      <w:r>
        <w:t xml:space="preserve"> in Ireland.</w:t>
      </w:r>
    </w:p>
    <w:p w14:paraId="6ED6FCD6" w14:textId="77777777" w:rsidR="00D35500" w:rsidRDefault="00D35500" w:rsidP="00D35500">
      <w:pPr>
        <w:pStyle w:val="ListBullet"/>
      </w:pPr>
      <w:r>
        <w:t xml:space="preserve">Sodium nitrite is included in the </w:t>
      </w:r>
      <w:hyperlink r:id="rId32" w:history="1">
        <w:r w:rsidRPr="007F114F">
          <w:rPr>
            <w:rStyle w:val="Hyperlink"/>
          </w:rPr>
          <w:t>New Zealand Inventory of Chemicals (</w:t>
        </w:r>
        <w:proofErr w:type="spellStart"/>
        <w:r w:rsidRPr="007F114F">
          <w:rPr>
            <w:rStyle w:val="Hyperlink"/>
          </w:rPr>
          <w:t>NZIoC</w:t>
        </w:r>
        <w:proofErr w:type="spellEnd"/>
        <w:r w:rsidRPr="007F114F">
          <w:rPr>
            <w:rStyle w:val="Hyperlink"/>
          </w:rPr>
          <w:t>)</w:t>
        </w:r>
      </w:hyperlink>
      <w:r>
        <w:rPr>
          <w:rStyle w:val="FootnoteReference"/>
        </w:rPr>
        <w:footnoteReference w:id="12"/>
      </w:r>
      <w:r>
        <w:t xml:space="preserve"> as “nitrous acid, sodium salt”.</w:t>
      </w:r>
    </w:p>
    <w:p w14:paraId="48AE8F69" w14:textId="77777777" w:rsidR="00D35500" w:rsidRDefault="00D35500" w:rsidP="00D35500">
      <w:pPr>
        <w:pStyle w:val="ListBullet"/>
      </w:pPr>
      <w:r>
        <w:lastRenderedPageBreak/>
        <w:t xml:space="preserve">The </w:t>
      </w:r>
      <w:hyperlink r:id="rId33" w:history="1">
        <w:r w:rsidRPr="00F06A6D">
          <w:rPr>
            <w:rStyle w:val="Hyperlink"/>
          </w:rPr>
          <w:t>United States Food and Drug Administration Approved Drug Products Database</w:t>
        </w:r>
      </w:hyperlink>
      <w:r w:rsidRPr="00A52E61">
        <w:rPr>
          <w:rStyle w:val="FootnoteReference"/>
        </w:rPr>
        <w:footnoteReference w:id="13"/>
      </w:r>
      <w:r>
        <w:t xml:space="preserve"> approve use of sodium nitrite as a prescription medicine.</w:t>
      </w:r>
    </w:p>
    <w:p w14:paraId="6BC077BF" w14:textId="77777777" w:rsidR="00D35500" w:rsidRPr="00B41AEF" w:rsidRDefault="00D35500" w:rsidP="00D35500">
      <w:pPr>
        <w:pStyle w:val="ListBullet"/>
      </w:pPr>
      <w:r>
        <w:t xml:space="preserve">According to the </w:t>
      </w:r>
      <w:hyperlink r:id="rId34" w:history="1">
        <w:r w:rsidRPr="00F06A6D">
          <w:rPr>
            <w:rStyle w:val="Hyperlink"/>
          </w:rPr>
          <w:t>New Zealand Medicines and Medical Devices Safety Authority (</w:t>
        </w:r>
        <w:proofErr w:type="spellStart"/>
        <w:r w:rsidRPr="00F06A6D">
          <w:rPr>
            <w:rStyle w:val="Hyperlink"/>
          </w:rPr>
          <w:t>Medsafe</w:t>
        </w:r>
        <w:proofErr w:type="spellEnd"/>
        <w:r w:rsidRPr="00F06A6D">
          <w:rPr>
            <w:rStyle w:val="Hyperlink"/>
          </w:rPr>
          <w:t>)</w:t>
        </w:r>
      </w:hyperlink>
      <w:r w:rsidRPr="00A52E61">
        <w:rPr>
          <w:rStyle w:val="FootnoteReference"/>
        </w:rPr>
        <w:footnoteReference w:id="14"/>
      </w:r>
      <w:r>
        <w:t xml:space="preserve"> sodium nitrite is available as follows: </w:t>
      </w:r>
    </w:p>
    <w:tbl>
      <w:tblPr>
        <w:tblStyle w:val="TableTGAblue"/>
        <w:tblW w:w="5000" w:type="pct"/>
        <w:tblInd w:w="357" w:type="dxa"/>
        <w:tblLook w:val="04A0" w:firstRow="1" w:lastRow="0" w:firstColumn="1" w:lastColumn="0" w:noHBand="0" w:noVBand="1"/>
      </w:tblPr>
      <w:tblGrid>
        <w:gridCol w:w="1694"/>
        <w:gridCol w:w="5385"/>
        <w:gridCol w:w="1971"/>
      </w:tblGrid>
      <w:tr w:rsidR="00D35500" w14:paraId="58A00990" w14:textId="77777777" w:rsidTr="00B63E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pct"/>
          </w:tcPr>
          <w:p w14:paraId="51BEDAF7" w14:textId="77777777" w:rsidR="00D35500" w:rsidRPr="00702170" w:rsidRDefault="00D35500" w:rsidP="00B63EEB">
            <w:pPr>
              <w:pStyle w:val="ListBullet"/>
              <w:numPr>
                <w:ilvl w:val="0"/>
                <w:numId w:val="0"/>
              </w:numPr>
            </w:pPr>
            <w:r>
              <w:t>Ingredient</w:t>
            </w:r>
          </w:p>
        </w:tc>
        <w:tc>
          <w:tcPr>
            <w:tcW w:w="2975" w:type="pct"/>
          </w:tcPr>
          <w:p w14:paraId="21E303E2" w14:textId="77777777" w:rsidR="00D35500" w:rsidRPr="00702170" w:rsidRDefault="00D35500" w:rsidP="00B63EEB">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rsidRPr="00702170">
              <w:t>Conditions</w:t>
            </w:r>
          </w:p>
        </w:tc>
        <w:tc>
          <w:tcPr>
            <w:tcW w:w="1089" w:type="pct"/>
          </w:tcPr>
          <w:p w14:paraId="1D18B9E3" w14:textId="77777777" w:rsidR="00D35500" w:rsidRPr="00702170" w:rsidRDefault="00D35500" w:rsidP="00B63EEB">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Classification</w:t>
            </w:r>
          </w:p>
        </w:tc>
      </w:tr>
      <w:tr w:rsidR="00D35500" w14:paraId="65DB1568" w14:textId="77777777" w:rsidTr="00B63EEB">
        <w:tc>
          <w:tcPr>
            <w:cnfStyle w:val="001000000000" w:firstRow="0" w:lastRow="0" w:firstColumn="1" w:lastColumn="0" w:oddVBand="0" w:evenVBand="0" w:oddHBand="0" w:evenHBand="0" w:firstRowFirstColumn="0" w:firstRowLastColumn="0" w:lastRowFirstColumn="0" w:lastRowLastColumn="0"/>
            <w:tcW w:w="936" w:type="pct"/>
          </w:tcPr>
          <w:p w14:paraId="0E9BB9D3" w14:textId="77777777" w:rsidR="00D35500" w:rsidRPr="00702170" w:rsidRDefault="00D35500" w:rsidP="00B63EEB">
            <w:pPr>
              <w:pStyle w:val="ListBullet"/>
              <w:numPr>
                <w:ilvl w:val="0"/>
                <w:numId w:val="0"/>
              </w:numPr>
            </w:pPr>
            <w:r>
              <w:t>Sodium nitrite</w:t>
            </w:r>
          </w:p>
        </w:tc>
        <w:tc>
          <w:tcPr>
            <w:tcW w:w="2975" w:type="pct"/>
          </w:tcPr>
          <w:p w14:paraId="07348555" w14:textId="77777777" w:rsidR="00D35500" w:rsidRPr="00702170" w:rsidRDefault="00D35500" w:rsidP="00B63EEB">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702170">
              <w:rPr>
                <w:b/>
                <w:bCs/>
              </w:rPr>
              <w:t>except</w:t>
            </w:r>
            <w:r w:rsidRPr="00702170">
              <w:t xml:space="preserve"> </w:t>
            </w:r>
            <w:r>
              <w:t>for use as an excipient</w:t>
            </w:r>
          </w:p>
        </w:tc>
        <w:tc>
          <w:tcPr>
            <w:tcW w:w="1089" w:type="pct"/>
          </w:tcPr>
          <w:p w14:paraId="04EBD1C5" w14:textId="77777777" w:rsidR="00D35500" w:rsidRPr="00702170" w:rsidRDefault="00D35500" w:rsidP="00B63EEB">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Pharmacy Only</w:t>
            </w:r>
          </w:p>
        </w:tc>
      </w:tr>
      <w:tr w:rsidR="00D35500" w14:paraId="03F206C4" w14:textId="77777777" w:rsidTr="00B63EEB">
        <w:tc>
          <w:tcPr>
            <w:cnfStyle w:val="001000000000" w:firstRow="0" w:lastRow="0" w:firstColumn="1" w:lastColumn="0" w:oddVBand="0" w:evenVBand="0" w:oddHBand="0" w:evenHBand="0" w:firstRowFirstColumn="0" w:firstRowLastColumn="0" w:lastRowFirstColumn="0" w:lastRowLastColumn="0"/>
            <w:tcW w:w="936" w:type="pct"/>
          </w:tcPr>
          <w:p w14:paraId="20D12261" w14:textId="77777777" w:rsidR="00D35500" w:rsidRPr="00702170" w:rsidRDefault="00D35500" w:rsidP="00B63EEB">
            <w:pPr>
              <w:pStyle w:val="ListBullet"/>
              <w:numPr>
                <w:ilvl w:val="0"/>
                <w:numId w:val="0"/>
              </w:numPr>
            </w:pPr>
            <w:r>
              <w:t>Sodium nitrite</w:t>
            </w:r>
          </w:p>
        </w:tc>
        <w:tc>
          <w:tcPr>
            <w:tcW w:w="2975" w:type="pct"/>
          </w:tcPr>
          <w:p w14:paraId="1220B6C9" w14:textId="77777777" w:rsidR="00D35500" w:rsidRPr="00702170" w:rsidRDefault="00D35500" w:rsidP="00B63EEB">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for use as an excipient</w:t>
            </w:r>
          </w:p>
        </w:tc>
        <w:tc>
          <w:tcPr>
            <w:tcW w:w="1089" w:type="pct"/>
          </w:tcPr>
          <w:p w14:paraId="0C1104CE" w14:textId="77777777" w:rsidR="00D35500" w:rsidRPr="00702170" w:rsidRDefault="00D35500" w:rsidP="00B63EEB">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General Sale</w:t>
            </w:r>
          </w:p>
        </w:tc>
      </w:tr>
    </w:tbl>
    <w:p w14:paraId="6DEC83FB" w14:textId="77777777" w:rsidR="003C02CB" w:rsidRDefault="003C02CB" w:rsidP="003C02CB">
      <w:pPr>
        <w:pStyle w:val="Heading2"/>
        <w:pageBreakBefore w:val="0"/>
      </w:pPr>
      <w:bookmarkStart w:id="14" w:name="_How_to_respond"/>
      <w:bookmarkStart w:id="15" w:name="_Toc69382400"/>
      <w:bookmarkEnd w:id="14"/>
      <w:r>
        <w:t>How to respond</w:t>
      </w:r>
      <w:bookmarkEnd w:id="15"/>
    </w:p>
    <w:p w14:paraId="5C0264B1" w14:textId="2D8CFA1C" w:rsidR="003C02CB" w:rsidRDefault="00237CB7" w:rsidP="00A917A0">
      <w:r w:rsidRPr="00237CB7">
        <w:t xml:space="preserve">Submissions must be provided by the closing date of </w:t>
      </w:r>
      <w:r>
        <w:rPr>
          <w:b/>
        </w:rPr>
        <w:t>2</w:t>
      </w:r>
      <w:r w:rsidR="00D52562">
        <w:rPr>
          <w:b/>
        </w:rPr>
        <w:t>7</w:t>
      </w:r>
      <w:bookmarkStart w:id="16" w:name="_GoBack"/>
      <w:bookmarkEnd w:id="16"/>
      <w:r>
        <w:rPr>
          <w:b/>
        </w:rPr>
        <w:t xml:space="preserve"> May 2021</w:t>
      </w:r>
      <w:r w:rsidRPr="00237CB7">
        <w:t xml:space="preserve"> through our </w:t>
      </w:r>
      <w:hyperlink r:id="rId35" w:history="1">
        <w:r w:rsidRPr="004967AD">
          <w:rPr>
            <w:rStyle w:val="Hyperlink"/>
          </w:rPr>
          <w:t>consultation hub</w:t>
        </w:r>
      </w:hyperlink>
      <w:r w:rsidRPr="00237CB7">
        <w:t xml:space="preserve">. Any submission about any of the proposals to amend the Poisons Standard </w:t>
      </w:r>
      <w:proofErr w:type="gramStart"/>
      <w:r w:rsidRPr="00237CB7">
        <w:t>will be considered</w:t>
      </w:r>
      <w:proofErr w:type="gramEnd"/>
      <w:r w:rsidRPr="00237CB7">
        <w:t xml:space="preserve"> at the next </w:t>
      </w:r>
      <w:r w:rsidR="004967AD">
        <w:t xml:space="preserve">joint </w:t>
      </w:r>
      <w:r w:rsidRPr="00237CB7">
        <w:t>meeting of the </w:t>
      </w:r>
      <w:hyperlink r:id="rId36" w:history="1">
        <w:r w:rsidRPr="00237CB7">
          <w:rPr>
            <w:rStyle w:val="Hyperlink"/>
          </w:rPr>
          <w:t>Advisory Committee on Medicines Scheduling (ACMS)</w:t>
        </w:r>
      </w:hyperlink>
      <w:r w:rsidR="004967AD">
        <w:t xml:space="preserve"> and</w:t>
      </w:r>
      <w:r w:rsidRPr="00237CB7">
        <w:t> </w:t>
      </w:r>
      <w:hyperlink r:id="rId37" w:history="1">
        <w:r w:rsidRPr="00237CB7">
          <w:rPr>
            <w:rStyle w:val="Hyperlink"/>
          </w:rPr>
          <w:t>Advisory Committee on Chemicals Scheduling (ACCS)</w:t>
        </w:r>
      </w:hyperlink>
      <w:r w:rsidR="004967AD">
        <w:t>.</w:t>
      </w:r>
    </w:p>
    <w:p w14:paraId="62DDB87C" w14:textId="77777777" w:rsidR="003C02CB" w:rsidRDefault="003C02CB" w:rsidP="003C02CB">
      <w:pPr>
        <w:pStyle w:val="Heading2"/>
        <w:pageBreakBefore w:val="0"/>
      </w:pPr>
      <w:bookmarkStart w:id="17" w:name="_Toc69382401"/>
      <w:r>
        <w:t>What will happen</w:t>
      </w:r>
      <w:bookmarkEnd w:id="17"/>
    </w:p>
    <w:p w14:paraId="6EFB533F" w14:textId="77777777" w:rsidR="003C02CB" w:rsidRDefault="003C02CB" w:rsidP="003C02CB">
      <w:r>
        <w:t xml:space="preserve">All public submissions </w:t>
      </w:r>
      <w:proofErr w:type="gramStart"/>
      <w:r>
        <w:t xml:space="preserve">will be published on the TGA website at </w:t>
      </w:r>
      <w:hyperlink r:id="rId38" w:history="1">
        <w:r w:rsidRPr="00E25E60">
          <w:rPr>
            <w:rStyle w:val="Hyperlink"/>
          </w:rPr>
          <w:t>Public submissions on scheduling matters</w:t>
        </w:r>
      </w:hyperlink>
      <w:r>
        <w:t xml:space="preserve">, unless marked confidential or indicated otherwise in the submission coversheet (see </w:t>
      </w:r>
      <w:hyperlink w:anchor="privacy" w:history="1">
        <w:r w:rsidRPr="00E25E60">
          <w:rPr>
            <w:rStyle w:val="Hyperlink"/>
          </w:rPr>
          <w:t>Privacy information</w:t>
        </w:r>
      </w:hyperlink>
      <w:r>
        <w:t>)</w:t>
      </w:r>
      <w:proofErr w:type="gramEnd"/>
      <w:r>
        <w:t>.</w:t>
      </w:r>
    </w:p>
    <w:p w14:paraId="3AB58ECC" w14:textId="0B6F350F" w:rsidR="003C02CB" w:rsidRDefault="003C02CB" w:rsidP="003C02CB">
      <w:r>
        <w:t xml:space="preserve">Following consideration of public submissions received before the closing date and advice from the expert advisory committee/s, decisions on the proposed amendments </w:t>
      </w:r>
      <w:proofErr w:type="gramStart"/>
      <w:r>
        <w:t>will be published</w:t>
      </w:r>
      <w:proofErr w:type="gramEnd"/>
      <w:r>
        <w:t xml:space="preserve"> as interim decisions on the TGA website: </w:t>
      </w:r>
      <w:hyperlink r:id="rId39" w:history="1">
        <w:r w:rsidRPr="00E25E60">
          <w:rPr>
            <w:rStyle w:val="Hyperlink"/>
          </w:rPr>
          <w:t xml:space="preserve">Scheduling delegate's </w:t>
        </w:r>
        <w:r w:rsidRPr="00DB6580">
          <w:rPr>
            <w:rStyle w:val="Hyperlink"/>
          </w:rPr>
          <w:t>interim decisions</w:t>
        </w:r>
        <w:r w:rsidRPr="00E25E60">
          <w:rPr>
            <w:rStyle w:val="Hyperlink"/>
          </w:rPr>
          <w:t xml:space="preserve"> &amp; invitations for further comment</w:t>
        </w:r>
      </w:hyperlink>
      <w:r>
        <w:t xml:space="preserve"> </w:t>
      </w:r>
      <w:r w:rsidR="007B465C">
        <w:t>i</w:t>
      </w:r>
      <w:r>
        <w:t xml:space="preserve">n </w:t>
      </w:r>
      <w:r w:rsidR="00237CB7" w:rsidRPr="00A917A0">
        <w:rPr>
          <w:b/>
        </w:rPr>
        <w:t>September</w:t>
      </w:r>
      <w:r w:rsidRPr="00A917A0">
        <w:rPr>
          <w:b/>
        </w:rPr>
        <w:t xml:space="preserve"> 20</w:t>
      </w:r>
      <w:r w:rsidR="00237CB7" w:rsidRPr="00A917A0">
        <w:rPr>
          <w:b/>
        </w:rPr>
        <w:t>21</w:t>
      </w:r>
      <w:r>
        <w:t>.</w:t>
      </w:r>
    </w:p>
    <w:p w14:paraId="111C610A" w14:textId="77777777" w:rsidR="003C02CB" w:rsidRDefault="003C02CB" w:rsidP="003C02CB">
      <w:pPr>
        <w:pStyle w:val="Heading2"/>
        <w:pageBreakBefore w:val="0"/>
      </w:pPr>
      <w:bookmarkStart w:id="18" w:name="_Toc69382402"/>
      <w:r>
        <w:t>Enquiries</w:t>
      </w:r>
      <w:bookmarkEnd w:id="18"/>
    </w:p>
    <w:p w14:paraId="08C36D44" w14:textId="1DF64F5E" w:rsidR="003C02CB" w:rsidRDefault="003C02CB" w:rsidP="003C02CB">
      <w:r>
        <w:t xml:space="preserve">Any questions relating to submissions </w:t>
      </w:r>
      <w:proofErr w:type="gramStart"/>
      <w:r>
        <w:t>should be directed</w:t>
      </w:r>
      <w:proofErr w:type="gramEnd"/>
      <w:r>
        <w:t xml:space="preserve"> by email to </w:t>
      </w:r>
      <w:hyperlink r:id="rId40" w:history="1">
        <w:r w:rsidRPr="00E35E45">
          <w:rPr>
            <w:rStyle w:val="Hyperlink"/>
          </w:rPr>
          <w:t>medicines.scheduling@health.gov.au</w:t>
        </w:r>
      </w:hyperlink>
      <w:r w:rsidR="00237CB7">
        <w:t>.</w:t>
      </w:r>
    </w:p>
    <w:p w14:paraId="079A1640" w14:textId="77777777" w:rsidR="00BA6FF1" w:rsidRDefault="00BA6FF1" w:rsidP="00F8404D">
      <w:r>
        <w:br w:type="page"/>
      </w:r>
    </w:p>
    <w:p w14:paraId="3D544DBF" w14:textId="77777777" w:rsidR="003E3D34" w:rsidRPr="009401F6" w:rsidRDefault="003E3D34" w:rsidP="00F8404D">
      <w:pPr>
        <w:sectPr w:rsidR="003E3D34" w:rsidRPr="009401F6" w:rsidSect="0074066C">
          <w:headerReference w:type="default" r:id="rId41"/>
          <w:footerReference w:type="default" r:id="rId42"/>
          <w:headerReference w:type="first" r:id="rId43"/>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14:paraId="77E6AF96" w14:textId="77777777" w:rsidTr="003C02CB">
        <w:trPr>
          <w:trHeight w:hRule="exact" w:val="565"/>
          <w:jc w:val="center"/>
        </w:trPr>
        <w:tc>
          <w:tcPr>
            <w:tcW w:w="9145" w:type="dxa"/>
          </w:tcPr>
          <w:p w14:paraId="66377093" w14:textId="77777777" w:rsidR="00F8404D" w:rsidRPr="009401F6" w:rsidRDefault="00F8404D" w:rsidP="003C02CB">
            <w:pPr>
              <w:pStyle w:val="TGASignoff"/>
            </w:pPr>
            <w:r w:rsidRPr="009401F6">
              <w:lastRenderedPageBreak/>
              <w:t>Therapeutic Goods Administration</w:t>
            </w:r>
          </w:p>
        </w:tc>
      </w:tr>
      <w:tr w:rsidR="00F8404D" w:rsidRPr="009401F6" w14:paraId="497BF6A6" w14:textId="77777777" w:rsidTr="003C02CB">
        <w:trPr>
          <w:trHeight w:val="963"/>
          <w:jc w:val="center"/>
        </w:trPr>
        <w:tc>
          <w:tcPr>
            <w:tcW w:w="9145" w:type="dxa"/>
            <w:tcMar>
              <w:top w:w="28" w:type="dxa"/>
            </w:tcMar>
          </w:tcPr>
          <w:p w14:paraId="67EAF4D1" w14:textId="77777777" w:rsidR="00F8404D" w:rsidRPr="009401F6" w:rsidRDefault="00F8404D" w:rsidP="003C02CB">
            <w:pPr>
              <w:pStyle w:val="Address"/>
              <w:jc w:val="center"/>
            </w:pPr>
            <w:r w:rsidRPr="009401F6">
              <w:t>PO Box 100 Woden ACT 2606 Australia</w:t>
            </w:r>
          </w:p>
          <w:p w14:paraId="3BBEE259" w14:textId="77777777" w:rsidR="00F8404D" w:rsidRPr="009401F6" w:rsidRDefault="00F8404D" w:rsidP="003C02CB">
            <w:pPr>
              <w:pStyle w:val="Address"/>
              <w:jc w:val="center"/>
            </w:pPr>
            <w:r w:rsidRPr="009401F6">
              <w:t xml:space="preserve">Email: </w:t>
            </w:r>
            <w:hyperlink r:id="rId44"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14:paraId="24FE43CE" w14:textId="77777777" w:rsidR="00F8404D" w:rsidRPr="009401F6" w:rsidRDefault="00D52562" w:rsidP="003C02CB">
            <w:pPr>
              <w:pStyle w:val="Address"/>
              <w:spacing w:line="260" w:lineRule="atLeast"/>
              <w:jc w:val="center"/>
              <w:rPr>
                <w:rStyle w:val="Hyperlink"/>
                <w:b/>
              </w:rPr>
            </w:pPr>
            <w:hyperlink r:id="rId45" w:history="1">
              <w:r w:rsidR="009401F6" w:rsidRPr="009401F6">
                <w:rPr>
                  <w:rStyle w:val="Hyperlink"/>
                  <w:b/>
                </w:rPr>
                <w:t>https://www.tga.gov.au</w:t>
              </w:r>
            </w:hyperlink>
          </w:p>
        </w:tc>
      </w:tr>
      <w:tr w:rsidR="00F8404D" w:rsidRPr="009401F6" w14:paraId="53046D39" w14:textId="77777777" w:rsidTr="003C02CB">
        <w:trPr>
          <w:trHeight w:val="251"/>
          <w:jc w:val="center"/>
        </w:trPr>
        <w:tc>
          <w:tcPr>
            <w:tcW w:w="9145" w:type="dxa"/>
            <w:tcMar>
              <w:top w:w="28" w:type="dxa"/>
            </w:tcMar>
          </w:tcPr>
          <w:p w14:paraId="33B21CB7" w14:textId="77777777" w:rsidR="00F8404D" w:rsidRPr="009401F6" w:rsidRDefault="00F8404D" w:rsidP="003C02CB">
            <w:pPr>
              <w:pStyle w:val="Address"/>
              <w:jc w:val="center"/>
            </w:pPr>
            <w:r w:rsidRPr="009401F6">
              <w:t>Reference/Publication #</w:t>
            </w:r>
          </w:p>
        </w:tc>
      </w:tr>
    </w:tbl>
    <w:p w14:paraId="6BDF0E41" w14:textId="77777777" w:rsidR="0084580B" w:rsidRPr="009401F6" w:rsidRDefault="0084580B" w:rsidP="00F8404D">
      <w:pPr>
        <w:pStyle w:val="Footer"/>
      </w:pPr>
    </w:p>
    <w:sectPr w:rsidR="0084580B" w:rsidRPr="009401F6" w:rsidSect="00F8404D">
      <w:headerReference w:type="first" r:id="rId46"/>
      <w:footerReference w:type="first" r:id="rId47"/>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DAFC5" w14:textId="77777777" w:rsidR="00EE6C5E" w:rsidRDefault="00EE6C5E" w:rsidP="00C40A36">
      <w:pPr>
        <w:spacing w:after="0"/>
      </w:pPr>
      <w:r>
        <w:separator/>
      </w:r>
    </w:p>
    <w:p w14:paraId="428D1C97" w14:textId="77777777" w:rsidR="00EE6C5E" w:rsidRDefault="00EE6C5E"/>
  </w:endnote>
  <w:endnote w:type="continuationSeparator" w:id="0">
    <w:p w14:paraId="0DEE48B8" w14:textId="77777777" w:rsidR="00EE6C5E" w:rsidRDefault="00EE6C5E" w:rsidP="00C40A36">
      <w:pPr>
        <w:spacing w:after="0"/>
      </w:pPr>
      <w:r>
        <w:continuationSeparator/>
      </w:r>
    </w:p>
    <w:p w14:paraId="09686D93" w14:textId="77777777" w:rsidR="00EE6C5E" w:rsidRDefault="00EE6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0F41B" w14:textId="77777777" w:rsidR="00EE6C5E" w:rsidRDefault="00EE6C5E"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EE6C5E" w:rsidRPr="00257138" w14:paraId="2ED96BC6" w14:textId="77777777" w:rsidTr="00A3654F">
      <w:trPr>
        <w:trHeight w:val="423"/>
      </w:trPr>
      <w:tc>
        <w:tcPr>
          <w:tcW w:w="4360" w:type="dxa"/>
          <w:tcBorders>
            <w:top w:val="single" w:sz="4" w:space="0" w:color="auto"/>
          </w:tcBorders>
        </w:tcPr>
        <w:p w14:paraId="3DD17199" w14:textId="77777777" w:rsidR="00EE6C5E" w:rsidRDefault="00EE6C5E" w:rsidP="008D4740">
          <w:pPr>
            <w:pStyle w:val="Footer"/>
          </w:pPr>
        </w:p>
        <w:p w14:paraId="26FFC07E" w14:textId="77777777" w:rsidR="00EE6C5E" w:rsidRPr="00257138" w:rsidRDefault="00EE6C5E"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3C88674F" w14:textId="77777777" w:rsidR="00EE6C5E" w:rsidRDefault="00EE6C5E" w:rsidP="008D4740">
              <w:pPr>
                <w:pStyle w:val="Footer"/>
                <w:jc w:val="right"/>
              </w:pPr>
            </w:p>
            <w:p w14:paraId="57F00AC1" w14:textId="74EA3E6D" w:rsidR="00EE6C5E" w:rsidRPr="00257138" w:rsidRDefault="00EE6C5E"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D52562">
                <w:fldChar w:fldCharType="begin"/>
              </w:r>
              <w:r w:rsidR="00D52562">
                <w:instrText xml:space="preserve"> NUMPAGES  </w:instrText>
              </w:r>
              <w:r w:rsidR="00D52562">
                <w:fldChar w:fldCharType="separate"/>
              </w:r>
              <w:r>
                <w:rPr>
                  <w:noProof/>
                </w:rPr>
                <w:t>31</w:t>
              </w:r>
              <w:r w:rsidR="00D52562">
                <w:rPr>
                  <w:noProof/>
                </w:rPr>
                <w:fldChar w:fldCharType="end"/>
              </w:r>
            </w:p>
          </w:sdtContent>
        </w:sdt>
      </w:tc>
    </w:tr>
    <w:tr w:rsidR="00EE6C5E" w:rsidRPr="00257138" w14:paraId="5FF2DDB5" w14:textId="77777777" w:rsidTr="00A3654F">
      <w:trPr>
        <w:trHeight w:val="263"/>
      </w:trPr>
      <w:tc>
        <w:tcPr>
          <w:tcW w:w="4360" w:type="dxa"/>
        </w:tcPr>
        <w:p w14:paraId="660866B7" w14:textId="77777777" w:rsidR="00EE6C5E" w:rsidRPr="00257138" w:rsidRDefault="00EE6C5E" w:rsidP="008D4740">
          <w:pPr>
            <w:pStyle w:val="Footer"/>
          </w:pPr>
          <w:r w:rsidRPr="00257138">
            <w:t xml:space="preserve">V1.0 </w:t>
          </w:r>
          <w:r>
            <w:t>Month</w:t>
          </w:r>
          <w:r w:rsidRPr="00257138">
            <w:t xml:space="preserve"> 201</w:t>
          </w:r>
          <w:r>
            <w:t>2</w:t>
          </w:r>
        </w:p>
      </w:tc>
      <w:tc>
        <w:tcPr>
          <w:tcW w:w="4360" w:type="dxa"/>
        </w:tcPr>
        <w:p w14:paraId="6B5967E0" w14:textId="77777777" w:rsidR="00EE6C5E" w:rsidRPr="00257138" w:rsidRDefault="00EE6C5E" w:rsidP="008D4740">
          <w:pPr>
            <w:pStyle w:val="Footer"/>
            <w:jc w:val="right"/>
          </w:pPr>
        </w:p>
      </w:tc>
    </w:tr>
  </w:tbl>
  <w:p w14:paraId="033040CC" w14:textId="77777777" w:rsidR="00EE6C5E" w:rsidRPr="00826007" w:rsidRDefault="00EE6C5E"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C9C01" w14:textId="77777777" w:rsidR="00EE6C5E" w:rsidRDefault="00EE6C5E"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93"/>
    </w:tblGrid>
    <w:tr w:rsidR="00EE6C5E" w:rsidRPr="00257138" w14:paraId="11EF2070" w14:textId="77777777" w:rsidTr="00D433BD">
      <w:trPr>
        <w:trHeight w:val="423"/>
      </w:trPr>
      <w:tc>
        <w:tcPr>
          <w:tcW w:w="7479" w:type="dxa"/>
        </w:tcPr>
        <w:p w14:paraId="668E2FA3" w14:textId="16D59CA5" w:rsidR="00EE6C5E" w:rsidRPr="00257138" w:rsidRDefault="00EE6C5E" w:rsidP="00BC6C5B">
          <w:pPr>
            <w:pStyle w:val="Footer"/>
            <w:spacing w:before="120" w:after="120"/>
          </w:pPr>
          <w:r>
            <w:t>Consultation: Proposed amendments to the Poisons Standard – Joint ACMS-ACCS meeting, June 2021</w:t>
          </w:r>
        </w:p>
      </w:tc>
      <w:tc>
        <w:tcPr>
          <w:tcW w:w="1593" w:type="dxa"/>
        </w:tcPr>
        <w:sdt>
          <w:sdtPr>
            <w:id w:val="3702141"/>
            <w:docPartObj>
              <w:docPartGallery w:val="Page Numbers (Top of Page)"/>
              <w:docPartUnique/>
            </w:docPartObj>
          </w:sdtPr>
          <w:sdtEndPr/>
          <w:sdtContent>
            <w:p w14:paraId="77C66A76" w14:textId="74ED98C5" w:rsidR="00EE6C5E" w:rsidRPr="00257138" w:rsidRDefault="00EE6C5E" w:rsidP="00EE1482">
              <w:pPr>
                <w:pStyle w:val="Footer"/>
                <w:spacing w:before="120" w:after="120"/>
                <w:jc w:val="right"/>
              </w:pPr>
              <w:r w:rsidRPr="00257138">
                <w:t xml:space="preserve">Page </w:t>
              </w:r>
              <w:r>
                <w:fldChar w:fldCharType="begin"/>
              </w:r>
              <w:r>
                <w:instrText xml:space="preserve"> PAGE </w:instrText>
              </w:r>
              <w:r>
                <w:fldChar w:fldCharType="separate"/>
              </w:r>
              <w:r w:rsidR="00D52562">
                <w:rPr>
                  <w:noProof/>
                </w:rPr>
                <w:t>10</w:t>
              </w:r>
              <w:r>
                <w:rPr>
                  <w:noProof/>
                </w:rPr>
                <w:fldChar w:fldCharType="end"/>
              </w:r>
              <w:r w:rsidRPr="00257138">
                <w:t xml:space="preserve"> of </w:t>
              </w:r>
              <w:r w:rsidR="00D52562">
                <w:fldChar w:fldCharType="begin"/>
              </w:r>
              <w:r w:rsidR="00D52562">
                <w:instrText xml:space="preserve"> NUMPAGES  </w:instrText>
              </w:r>
              <w:r w:rsidR="00D52562">
                <w:fldChar w:fldCharType="separate"/>
              </w:r>
              <w:r w:rsidR="00D52562">
                <w:rPr>
                  <w:noProof/>
                </w:rPr>
                <w:t>11</w:t>
              </w:r>
              <w:r w:rsidR="00D52562">
                <w:rPr>
                  <w:noProof/>
                </w:rPr>
                <w:fldChar w:fldCharType="end"/>
              </w:r>
            </w:p>
          </w:sdtContent>
        </w:sdt>
      </w:tc>
    </w:tr>
  </w:tbl>
  <w:p w14:paraId="1DBC2E00" w14:textId="77777777" w:rsidR="00EE6C5E" w:rsidRPr="00826007" w:rsidRDefault="00EE6C5E"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2368C" w14:textId="77777777" w:rsidR="00EE6C5E" w:rsidRPr="00F8404D" w:rsidRDefault="00EE6C5E"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47177" w14:textId="77777777" w:rsidR="00EE6C5E" w:rsidRDefault="00EE6C5E" w:rsidP="00FE1941">
      <w:pPr>
        <w:spacing w:after="0"/>
      </w:pPr>
      <w:r>
        <w:separator/>
      </w:r>
    </w:p>
  </w:footnote>
  <w:footnote w:type="continuationSeparator" w:id="0">
    <w:p w14:paraId="0238C5D0" w14:textId="77777777" w:rsidR="00EE6C5E" w:rsidRDefault="00EE6C5E" w:rsidP="00C40A36">
      <w:pPr>
        <w:spacing w:after="0"/>
      </w:pPr>
      <w:r>
        <w:continuationSeparator/>
      </w:r>
    </w:p>
    <w:p w14:paraId="57096D44" w14:textId="77777777" w:rsidR="00EE6C5E" w:rsidRDefault="00EE6C5E"/>
  </w:footnote>
  <w:footnote w:id="1">
    <w:p w14:paraId="78DB0D07" w14:textId="77777777" w:rsidR="00EE6C5E" w:rsidRDefault="00EE6C5E" w:rsidP="00D35500">
      <w:pPr>
        <w:pStyle w:val="FootnoteText"/>
      </w:pPr>
      <w:r>
        <w:rPr>
          <w:rStyle w:val="FootnoteReference"/>
        </w:rPr>
        <w:footnoteRef/>
      </w:r>
      <w:r>
        <w:t xml:space="preserve"> </w:t>
      </w:r>
      <w:r w:rsidRPr="00C81411">
        <w:t>TGA Ingredient Database</w:t>
      </w:r>
      <w:r>
        <w:t xml:space="preserve"> </w:t>
      </w:r>
      <w:hyperlink r:id="rId1" w:history="1">
        <w:r w:rsidRPr="00C81411">
          <w:rPr>
            <w:rStyle w:val="Hyperlink"/>
            <w:color w:val="002C47" w:themeColor="text2"/>
          </w:rPr>
          <w:t>https://www.ebs.tga.gov.au/</w:t>
        </w:r>
      </w:hyperlink>
    </w:p>
  </w:footnote>
  <w:footnote w:id="2">
    <w:p w14:paraId="068FBC75" w14:textId="77777777" w:rsidR="00EE6C5E" w:rsidRDefault="00EE6C5E" w:rsidP="00D35500">
      <w:pPr>
        <w:pStyle w:val="FootnoteText"/>
      </w:pPr>
      <w:r>
        <w:rPr>
          <w:rStyle w:val="FootnoteReference"/>
        </w:rPr>
        <w:footnoteRef/>
      </w:r>
      <w:r>
        <w:t xml:space="preserve"> ARTG database </w:t>
      </w:r>
      <w:hyperlink r:id="rId2" w:history="1">
        <w:r w:rsidRPr="00025BAA">
          <w:rPr>
            <w:rStyle w:val="Hyperlink"/>
          </w:rPr>
          <w:t>https://www.tga.gov.au/artg</w:t>
        </w:r>
      </w:hyperlink>
      <w:r>
        <w:t xml:space="preserve"> </w:t>
      </w:r>
    </w:p>
  </w:footnote>
  <w:footnote w:id="3">
    <w:p w14:paraId="533D922B" w14:textId="77777777" w:rsidR="00EE6C5E" w:rsidRDefault="00EE6C5E" w:rsidP="00D35500">
      <w:pPr>
        <w:pStyle w:val="FootnoteText"/>
      </w:pPr>
      <w:r>
        <w:rPr>
          <w:rStyle w:val="FootnoteReference"/>
        </w:rPr>
        <w:footnoteRef/>
      </w:r>
      <w:r>
        <w:t xml:space="preserve"> </w:t>
      </w:r>
      <w:r w:rsidRPr="007F3638">
        <w:t>Therapeutic Goods (Permissible Ingredients) Determination</w:t>
      </w:r>
      <w:r>
        <w:t xml:space="preserve"> </w:t>
      </w:r>
      <w:hyperlink r:id="rId3" w:history="1">
        <w:r w:rsidRPr="00C51833">
          <w:rPr>
            <w:rStyle w:val="Hyperlink"/>
          </w:rPr>
          <w:t>https://www.legislation.gov.au/Search/Therapeutic%20Goods%20$LB$Permissible%20Ingredients$RB$%20Determination</w:t>
        </w:r>
      </w:hyperlink>
      <w:r>
        <w:t xml:space="preserve"> </w:t>
      </w:r>
    </w:p>
  </w:footnote>
  <w:footnote w:id="4">
    <w:p w14:paraId="7C1D6844" w14:textId="77777777" w:rsidR="00EE6C5E" w:rsidRPr="002F1C5C" w:rsidRDefault="00EE6C5E" w:rsidP="00D35500">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4" w:history="1">
        <w:r w:rsidRPr="00E974A4">
          <w:rPr>
            <w:rStyle w:val="Hyperlink"/>
            <w:szCs w:val="16"/>
          </w:rPr>
          <w:t>https://www.tga.gov.au/prescribing-medicines-pregnancy-database</w:t>
        </w:r>
      </w:hyperlink>
      <w:r>
        <w:rPr>
          <w:szCs w:val="16"/>
        </w:rPr>
        <w:t xml:space="preserve"> </w:t>
      </w:r>
    </w:p>
  </w:footnote>
  <w:footnote w:id="5">
    <w:p w14:paraId="0F35E115" w14:textId="77777777" w:rsidR="00EE6C5E" w:rsidRDefault="00EE6C5E" w:rsidP="00D35500">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5" w:history="1">
        <w:r w:rsidRPr="00FC5165">
          <w:rPr>
            <w:rStyle w:val="Hyperlink"/>
          </w:rPr>
          <w:t>https://www.legislation.gov.au/Details/F2019L00213</w:t>
        </w:r>
      </w:hyperlink>
      <w:r>
        <w:t xml:space="preserve"> </w:t>
      </w:r>
    </w:p>
  </w:footnote>
  <w:footnote w:id="6">
    <w:p w14:paraId="21089728" w14:textId="77777777" w:rsidR="00EE6C5E" w:rsidRDefault="00EE6C5E" w:rsidP="00D35500">
      <w:pPr>
        <w:pStyle w:val="FootnoteText"/>
      </w:pPr>
      <w:r>
        <w:rPr>
          <w:rStyle w:val="FootnoteReference"/>
        </w:rPr>
        <w:footnoteRef/>
      </w:r>
      <w:r>
        <w:t xml:space="preserve"> </w:t>
      </w:r>
      <w:r w:rsidRPr="00C81411">
        <w:t>Database of Adverse Event Notifications (DAEN)</w:t>
      </w:r>
      <w:r>
        <w:t xml:space="preserve">  </w:t>
      </w:r>
      <w:hyperlink r:id="rId6" w:history="1">
        <w:r w:rsidRPr="007C3A78">
          <w:rPr>
            <w:rStyle w:val="Hyperlink"/>
          </w:rPr>
          <w:t>https://apps.tga.gov.au/Prod/daen/daen-entry.aspx</w:t>
        </w:r>
      </w:hyperlink>
      <w:r>
        <w:t xml:space="preserve"> </w:t>
      </w:r>
    </w:p>
  </w:footnote>
  <w:footnote w:id="7">
    <w:p w14:paraId="619B99AB" w14:textId="77777777" w:rsidR="00EE6C5E" w:rsidRDefault="00EE6C5E" w:rsidP="00D35500">
      <w:pPr>
        <w:pStyle w:val="FootnoteText"/>
      </w:pPr>
      <w:r>
        <w:rPr>
          <w:rStyle w:val="FootnoteReference"/>
        </w:rPr>
        <w:footnoteRef/>
      </w:r>
      <w:r>
        <w:t xml:space="preserve"> </w:t>
      </w:r>
      <w:r w:rsidRPr="00F53A0E">
        <w:t>Public Chemical Registration Information System Search (</w:t>
      </w:r>
      <w:proofErr w:type="spellStart"/>
      <w:r w:rsidRPr="00F53A0E">
        <w:t>PubCRIS</w:t>
      </w:r>
      <w:proofErr w:type="spellEnd"/>
      <w:r w:rsidRPr="00F53A0E">
        <w:t>)</w:t>
      </w:r>
      <w:r>
        <w:t xml:space="preserve"> </w:t>
      </w:r>
      <w:hyperlink r:id="rId7" w:history="1">
        <w:r w:rsidRPr="007C3A78">
          <w:rPr>
            <w:rStyle w:val="Hyperlink"/>
          </w:rPr>
          <w:t>https://portal.apvma.gov.au/pubcris</w:t>
        </w:r>
      </w:hyperlink>
      <w:r>
        <w:t xml:space="preserve"> </w:t>
      </w:r>
    </w:p>
  </w:footnote>
  <w:footnote w:id="8">
    <w:p w14:paraId="2963218B" w14:textId="77777777" w:rsidR="00EE6C5E" w:rsidRDefault="00EE6C5E" w:rsidP="00D35500">
      <w:pPr>
        <w:pStyle w:val="FootnoteText"/>
      </w:pPr>
      <w:r>
        <w:rPr>
          <w:rStyle w:val="FootnoteReference"/>
        </w:rPr>
        <w:footnoteRef/>
      </w:r>
      <w:r>
        <w:t xml:space="preserve"> </w:t>
      </w:r>
      <w:r w:rsidRPr="00361C74">
        <w:t>APVMA Adverse Experience Reporting Program</w:t>
      </w:r>
      <w:r w:rsidRPr="00C5469F">
        <w:rPr>
          <w:rStyle w:val="Hyperlink"/>
        </w:rPr>
        <w:t xml:space="preserve"> database (AERP)</w:t>
      </w:r>
      <w:r w:rsidRPr="00C5469F">
        <w:t xml:space="preserve"> </w:t>
      </w:r>
      <w:hyperlink r:id="rId8" w:history="1">
        <w:r w:rsidRPr="00417A9C">
          <w:rPr>
            <w:rStyle w:val="Hyperlink"/>
          </w:rPr>
          <w:t>https://apvma.gov.au/node/10946</w:t>
        </w:r>
      </w:hyperlink>
      <w:r>
        <w:t xml:space="preserve"> </w:t>
      </w:r>
    </w:p>
  </w:footnote>
  <w:footnote w:id="9">
    <w:p w14:paraId="5B0AA4F7" w14:textId="77777777" w:rsidR="00EE6C5E" w:rsidRDefault="00EE6C5E" w:rsidP="00D35500">
      <w:pPr>
        <w:pStyle w:val="FootnoteText"/>
      </w:pPr>
      <w:r>
        <w:rPr>
          <w:rStyle w:val="FootnoteReference"/>
        </w:rPr>
        <w:footnoteRef/>
      </w:r>
      <w:r>
        <w:t xml:space="preserve"> </w:t>
      </w:r>
      <w:r w:rsidRPr="008E0AB1">
        <w:t>Canadian (Health Canada) Drug Product Database</w:t>
      </w:r>
      <w:r>
        <w:t xml:space="preserve">: </w:t>
      </w:r>
      <w:hyperlink r:id="rId9" w:history="1">
        <w:r w:rsidRPr="008E0AB1">
          <w:rPr>
            <w:rStyle w:val="Hyperlink"/>
          </w:rPr>
          <w:t>health-products.canada.ca/</w:t>
        </w:r>
        <w:proofErr w:type="spellStart"/>
        <w:r w:rsidRPr="008E0AB1">
          <w:rPr>
            <w:rStyle w:val="Hyperlink"/>
          </w:rPr>
          <w:t>dpd-bdpp</w:t>
        </w:r>
        <w:proofErr w:type="spellEnd"/>
        <w:r w:rsidRPr="008E0AB1">
          <w:rPr>
            <w:rStyle w:val="Hyperlink"/>
          </w:rPr>
          <w:t>/index-</w:t>
        </w:r>
        <w:proofErr w:type="spellStart"/>
        <w:r w:rsidRPr="008E0AB1">
          <w:rPr>
            <w:rStyle w:val="Hyperlink"/>
          </w:rPr>
          <w:t>eng.jsp</w:t>
        </w:r>
        <w:proofErr w:type="spellEnd"/>
      </w:hyperlink>
    </w:p>
  </w:footnote>
  <w:footnote w:id="10">
    <w:p w14:paraId="42677EE8" w14:textId="4F8955E1" w:rsidR="00EE6C5E" w:rsidRDefault="00EE6C5E" w:rsidP="00D35500">
      <w:pPr>
        <w:pStyle w:val="FootnoteText"/>
      </w:pPr>
      <w:r>
        <w:rPr>
          <w:rStyle w:val="FootnoteReference"/>
        </w:rPr>
        <w:footnoteRef/>
      </w:r>
      <w:r>
        <w:t xml:space="preserve"> European </w:t>
      </w:r>
      <w:r w:rsidR="00531CE9">
        <w:t>Commission</w:t>
      </w:r>
      <w:r>
        <w:t xml:space="preserve"> database for information on cosmetic substances and ingredients: </w:t>
      </w:r>
      <w:hyperlink r:id="rId10" w:history="1">
        <w:r w:rsidRPr="007D5C46">
          <w:rPr>
            <w:rStyle w:val="Hyperlink"/>
          </w:rPr>
          <w:t>ec.europa.eu/growth/tools-databases/</w:t>
        </w:r>
        <w:proofErr w:type="spellStart"/>
        <w:r w:rsidRPr="007D5C46">
          <w:rPr>
            <w:rStyle w:val="Hyperlink"/>
          </w:rPr>
          <w:t>cosing</w:t>
        </w:r>
        <w:proofErr w:type="spellEnd"/>
        <w:r w:rsidRPr="007D5C46">
          <w:rPr>
            <w:rStyle w:val="Hyperlink"/>
          </w:rPr>
          <w:t>/</w:t>
        </w:r>
      </w:hyperlink>
    </w:p>
  </w:footnote>
  <w:footnote w:id="11">
    <w:p w14:paraId="177C68B2" w14:textId="77777777" w:rsidR="00EE6C5E" w:rsidRDefault="00EE6C5E" w:rsidP="00D35500">
      <w:pPr>
        <w:pStyle w:val="FootnoteText"/>
      </w:pPr>
      <w:r>
        <w:rPr>
          <w:rStyle w:val="FootnoteReference"/>
        </w:rPr>
        <w:footnoteRef/>
      </w:r>
      <w:r>
        <w:t xml:space="preserve"> Health Products Regulatory Authority: </w:t>
      </w:r>
      <w:hyperlink r:id="rId11" w:history="1">
        <w:r w:rsidRPr="007D5C46">
          <w:rPr>
            <w:rStyle w:val="Hyperlink"/>
          </w:rPr>
          <w:t>www.hpra.ie/</w:t>
        </w:r>
      </w:hyperlink>
    </w:p>
  </w:footnote>
  <w:footnote w:id="12">
    <w:p w14:paraId="1AC9230C" w14:textId="77777777" w:rsidR="00EE6C5E" w:rsidRDefault="00EE6C5E" w:rsidP="00D35500">
      <w:pPr>
        <w:pStyle w:val="FootnoteText"/>
      </w:pPr>
      <w:r>
        <w:rPr>
          <w:rStyle w:val="FootnoteReference"/>
        </w:rPr>
        <w:footnoteRef/>
      </w:r>
      <w:r>
        <w:t xml:space="preserve"> New Zealand Inventory of Chemicals: </w:t>
      </w:r>
      <w:hyperlink r:id="rId12" w:history="1">
        <w:r w:rsidRPr="007F114F">
          <w:rPr>
            <w:rStyle w:val="Hyperlink"/>
          </w:rPr>
          <w:t>www.epa.govt.nz/database-search/new-zealand-inventory-of-chemicals-nzioc/</w:t>
        </w:r>
      </w:hyperlink>
    </w:p>
  </w:footnote>
  <w:footnote w:id="13">
    <w:p w14:paraId="3152478C" w14:textId="77777777" w:rsidR="00EE6C5E" w:rsidRDefault="00EE6C5E" w:rsidP="00D35500">
      <w:pPr>
        <w:pStyle w:val="FootnoteText"/>
      </w:pPr>
      <w:r>
        <w:rPr>
          <w:rStyle w:val="FootnoteReference"/>
        </w:rPr>
        <w:footnoteRef/>
      </w:r>
      <w:r>
        <w:t xml:space="preserve"> Food and Drugs Administration Approved Drugs Database: </w:t>
      </w:r>
      <w:hyperlink r:id="rId13" w:history="1">
        <w:r w:rsidRPr="007E5A33">
          <w:rPr>
            <w:rStyle w:val="Hyperlink"/>
          </w:rPr>
          <w:t>https://www.accessdata.fda.gov/scripts/cder/daf/</w:t>
        </w:r>
      </w:hyperlink>
    </w:p>
  </w:footnote>
  <w:footnote w:id="14">
    <w:p w14:paraId="3C8F8493" w14:textId="77777777" w:rsidR="00EE6C5E" w:rsidRDefault="00EE6C5E" w:rsidP="00D35500">
      <w:pPr>
        <w:pStyle w:val="FootnoteText"/>
      </w:pPr>
      <w:r>
        <w:rPr>
          <w:rStyle w:val="FootnoteReference"/>
        </w:rPr>
        <w:footnoteRef/>
      </w:r>
      <w:r>
        <w:t xml:space="preserve"> </w:t>
      </w:r>
      <w:proofErr w:type="spellStart"/>
      <w:r>
        <w:t>Medsafe</w:t>
      </w:r>
      <w:proofErr w:type="spellEnd"/>
      <w:r>
        <w:t xml:space="preserve"> Medicine Classification Database: </w:t>
      </w:r>
      <w:hyperlink r:id="rId14" w:history="1">
        <w:r w:rsidRPr="007E5A33">
          <w:rPr>
            <w:rStyle w:val="Hyperlink"/>
          </w:rPr>
          <w:t>https://www.medsafe.govt.nz/profs/class/classintro.asp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39259" w14:textId="77777777" w:rsidR="00EE6C5E" w:rsidRPr="00920FF4" w:rsidRDefault="00EE6C5E"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120D8" w14:textId="77777777" w:rsidR="00EE6C5E" w:rsidRPr="00E32326" w:rsidRDefault="00EE6C5E" w:rsidP="00F202AB">
    <w:r w:rsidRPr="00F3255D">
      <w:rPr>
        <w:noProof/>
        <w:lang w:eastAsia="en-AU"/>
      </w:rPr>
      <w:drawing>
        <wp:anchor distT="0" distB="0" distL="114300" distR="114300" simplePos="0" relativeHeight="251659264" behindDoc="0" locked="0" layoutInCell="1" allowOverlap="1" wp14:anchorId="2AC3292E" wp14:editId="1C0F873B">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EE6C5E" w:rsidRPr="00FF7B50" w14:paraId="68E41C3B" w14:textId="77777777" w:rsidTr="003C02CB">
      <w:trPr>
        <w:trHeight w:hRule="exact" w:val="8845"/>
      </w:trPr>
      <w:tc>
        <w:tcPr>
          <w:tcW w:w="11964" w:type="dxa"/>
        </w:tcPr>
        <w:p w14:paraId="4E45DAB4" w14:textId="77777777" w:rsidR="00EE6C5E" w:rsidRPr="00FF7B50" w:rsidRDefault="00D52562" w:rsidP="00AE0320">
          <w:pPr>
            <w:pStyle w:val="Header"/>
            <w:ind w:left="-57"/>
            <w:jc w:val="left"/>
            <w:rPr>
              <w:noProof/>
              <w:lang w:eastAsia="en-AU"/>
            </w:rPr>
          </w:pPr>
          <w:sdt>
            <w:sdtPr>
              <w:rPr>
                <w:noProof/>
                <w:lang w:eastAsia="en-AU"/>
              </w:rPr>
              <w:id w:val="3702145"/>
              <w:showingPlcHdr/>
              <w:picture/>
            </w:sdtPr>
            <w:sdtEndPr/>
            <w:sdtContent>
              <w:r w:rsidR="00EE6C5E" w:rsidRPr="00FF7B50">
                <w:rPr>
                  <w:noProof/>
                  <w:lang w:eastAsia="en-AU"/>
                </w:rPr>
                <w:drawing>
                  <wp:inline distT="0" distB="0" distL="0" distR="0" wp14:anchorId="1AC39AC8" wp14:editId="5D15B4E9">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121BF268" w14:textId="77777777" w:rsidR="00EE6C5E" w:rsidRPr="00E32326" w:rsidRDefault="00EE6C5E" w:rsidP="00F202AB">
    <w:r>
      <w:rPr>
        <w:noProof/>
        <w:lang w:eastAsia="en-AU"/>
      </w:rPr>
      <w:drawing>
        <wp:anchor distT="0" distB="0" distL="114300" distR="114300" simplePos="0" relativeHeight="251657216" behindDoc="0" locked="0" layoutInCell="0" allowOverlap="1" wp14:anchorId="24CA28B6" wp14:editId="7A888E54">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85CE7" w14:textId="77777777" w:rsidR="00EE6C5E" w:rsidRPr="00920FF4" w:rsidRDefault="00EE6C5E"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E1DD3" w14:textId="77777777" w:rsidR="00EE6C5E" w:rsidRPr="00920FF4" w:rsidRDefault="00EE6C5E"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46CCF" w14:textId="77777777" w:rsidR="00EE6C5E" w:rsidRPr="009401F6" w:rsidRDefault="00EE6C5E" w:rsidP="0047772E"/>
  <w:p w14:paraId="26CF139F" w14:textId="77777777" w:rsidR="00EE6C5E" w:rsidRPr="002B0C2E" w:rsidRDefault="00EE6C5E"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17349" w:hanging="425"/>
      </w:pPr>
      <w:rPr>
        <w:rFonts w:ascii="Cambria" w:hAnsi="Cambria" w:hint="default"/>
      </w:rPr>
    </w:lvl>
    <w:lvl w:ilvl="1">
      <w:start w:val="1"/>
      <w:numFmt w:val="lowerLetter"/>
      <w:pStyle w:val="Numberbullet2"/>
      <w:lvlText w:val="%2."/>
      <w:lvlJc w:val="left"/>
      <w:pPr>
        <w:ind w:left="17775" w:hanging="426"/>
      </w:pPr>
      <w:rPr>
        <w:rFonts w:hint="default"/>
      </w:rPr>
    </w:lvl>
    <w:lvl w:ilvl="2">
      <w:start w:val="1"/>
      <w:numFmt w:val="lowerRoman"/>
      <w:lvlText w:val="%3."/>
      <w:lvlJc w:val="left"/>
      <w:pPr>
        <w:ind w:left="18200" w:hanging="425"/>
      </w:pPr>
      <w:rPr>
        <w:rFonts w:hint="default"/>
      </w:rPr>
    </w:lvl>
    <w:lvl w:ilvl="3">
      <w:start w:val="1"/>
      <w:numFmt w:val="none"/>
      <w:lvlText w:val=""/>
      <w:lvlJc w:val="left"/>
      <w:pPr>
        <w:ind w:left="18200" w:hanging="425"/>
      </w:pPr>
      <w:rPr>
        <w:rFonts w:hint="default"/>
      </w:rPr>
    </w:lvl>
    <w:lvl w:ilvl="4">
      <w:start w:val="1"/>
      <w:numFmt w:val="none"/>
      <w:lvlText w:val=""/>
      <w:lvlJc w:val="left"/>
      <w:pPr>
        <w:ind w:left="18200" w:hanging="425"/>
      </w:pPr>
      <w:rPr>
        <w:rFonts w:hint="default"/>
      </w:rPr>
    </w:lvl>
    <w:lvl w:ilvl="5">
      <w:start w:val="1"/>
      <w:numFmt w:val="none"/>
      <w:lvlText w:val=""/>
      <w:lvlJc w:val="left"/>
      <w:pPr>
        <w:ind w:left="18200" w:hanging="425"/>
      </w:pPr>
      <w:rPr>
        <w:rFonts w:hint="default"/>
      </w:rPr>
    </w:lvl>
    <w:lvl w:ilvl="6">
      <w:start w:val="1"/>
      <w:numFmt w:val="none"/>
      <w:lvlText w:val="%7"/>
      <w:lvlJc w:val="left"/>
      <w:pPr>
        <w:ind w:left="18200" w:hanging="425"/>
      </w:pPr>
      <w:rPr>
        <w:rFonts w:hint="default"/>
      </w:rPr>
    </w:lvl>
    <w:lvl w:ilvl="7">
      <w:start w:val="1"/>
      <w:numFmt w:val="none"/>
      <w:lvlText w:val=""/>
      <w:lvlJc w:val="left"/>
      <w:pPr>
        <w:ind w:left="18200" w:hanging="425"/>
      </w:pPr>
      <w:rPr>
        <w:rFonts w:hint="default"/>
      </w:rPr>
    </w:lvl>
    <w:lvl w:ilvl="8">
      <w:start w:val="1"/>
      <w:numFmt w:val="none"/>
      <w:lvlText w:val=""/>
      <w:lvlJc w:val="left"/>
      <w:pPr>
        <w:ind w:left="18200" w:hanging="425"/>
      </w:pPr>
      <w:rPr>
        <w:rFonts w:hint="default"/>
      </w:rPr>
    </w:lvl>
  </w:abstractNum>
  <w:abstractNum w:abstractNumId="1" w15:restartNumberingAfterBreak="0">
    <w:nsid w:val="11A81D8D"/>
    <w:multiLevelType w:val="hybridMultilevel"/>
    <w:tmpl w:val="CCD0BBDA"/>
    <w:lvl w:ilvl="0" w:tplc="AFD05C3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8F13E9"/>
    <w:multiLevelType w:val="multilevel"/>
    <w:tmpl w:val="81A8AF6C"/>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1A3A4615"/>
    <w:multiLevelType w:val="hybridMultilevel"/>
    <w:tmpl w:val="1D4A0D70"/>
    <w:lvl w:ilvl="0" w:tplc="EE3AC95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1CEF3ACD"/>
    <w:multiLevelType w:val="multilevel"/>
    <w:tmpl w:val="B9021288"/>
    <w:lvl w:ilvl="0">
      <w:start w:val="3"/>
      <w:numFmt w:val="decimal"/>
      <w:pStyle w:val="Heading2"/>
      <w:lvlText w:val="%1"/>
      <w:lvlJc w:val="left"/>
      <w:pPr>
        <w:ind w:left="432" w:hanging="432"/>
      </w:pPr>
      <w:rPr>
        <w:rFonts w:hint="default"/>
      </w:rPr>
    </w:lvl>
    <w:lvl w:ilvl="1">
      <w:start w:val="1"/>
      <w:numFmt w:val="decimal"/>
      <w:pStyle w:val="Heading3"/>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0EB1BE1"/>
    <w:multiLevelType w:val="hybridMultilevel"/>
    <w:tmpl w:val="8DFA1B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4B2F84"/>
    <w:multiLevelType w:val="hybridMultilevel"/>
    <w:tmpl w:val="1AF4487A"/>
    <w:lvl w:ilvl="0" w:tplc="0D6EA63A">
      <w:start w:val="1"/>
      <w:numFmt w:val="lowerLetter"/>
      <w:lvlText w:val="%1)"/>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2E924211"/>
    <w:multiLevelType w:val="hybridMultilevel"/>
    <w:tmpl w:val="FDD44EA6"/>
    <w:lvl w:ilvl="0" w:tplc="C80C3108">
      <w:start w:val="1"/>
      <w:numFmt w:val="lowerLetter"/>
      <w:pStyle w:val="ListBulleta"/>
      <w:lvlText w:val="%1)"/>
      <w:lvlJc w:val="left"/>
      <w:pPr>
        <w:ind w:left="1146" w:hanging="360"/>
      </w:pPr>
      <w:rPr>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9"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38611B7E"/>
    <w:multiLevelType w:val="hybridMultilevel"/>
    <w:tmpl w:val="7B3C354E"/>
    <w:lvl w:ilvl="0" w:tplc="0D6EA63A">
      <w:start w:val="1"/>
      <w:numFmt w:val="lowerLetter"/>
      <w:lvlText w:val="%1)"/>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44AE0ED5"/>
    <w:multiLevelType w:val="hybridMultilevel"/>
    <w:tmpl w:val="69880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CB1466"/>
    <w:multiLevelType w:val="hybridMultilevel"/>
    <w:tmpl w:val="FB4896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125856"/>
    <w:multiLevelType w:val="hybridMultilevel"/>
    <w:tmpl w:val="2566217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488087E"/>
    <w:multiLevelType w:val="hybridMultilevel"/>
    <w:tmpl w:val="8AC66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652609"/>
    <w:multiLevelType w:val="hybridMultilevel"/>
    <w:tmpl w:val="9A1A78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5527DE"/>
    <w:multiLevelType w:val="hybridMultilevel"/>
    <w:tmpl w:val="5E9C0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901B9B"/>
    <w:multiLevelType w:val="hybridMultilevel"/>
    <w:tmpl w:val="5B52E68E"/>
    <w:lvl w:ilvl="0" w:tplc="6772DBF2">
      <w:start w:val="68"/>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
    <w:lvlOverride w:ilvl="0">
      <w:lvl w:ilvl="0">
        <w:start w:val="4"/>
        <w:numFmt w:val="bullet"/>
        <w:pStyle w:val="ListBullet"/>
        <w:lvlText w:val="•"/>
        <w:lvlJc w:val="left"/>
        <w:pPr>
          <w:ind w:left="360" w:hanging="360"/>
        </w:pPr>
        <w:rPr>
          <w:rFonts w:ascii="Arial" w:eastAsia="Cambria" w:hAnsi="Arial" w:hint="default"/>
          <w:color w:val="auto"/>
        </w:rPr>
      </w:lvl>
    </w:lvlOverride>
  </w:num>
  <w:num w:numId="4">
    <w:abstractNumId w:val="0"/>
  </w:num>
  <w:num w:numId="5">
    <w:abstractNumId w:val="9"/>
  </w:num>
  <w:num w:numId="6">
    <w:abstractNumId w:val="17"/>
  </w:num>
  <w:num w:numId="7">
    <w:abstractNumId w:val="1"/>
  </w:num>
  <w:num w:numId="8">
    <w:abstractNumId w:val="15"/>
  </w:num>
  <w:num w:numId="9">
    <w:abstractNumId w:val="13"/>
  </w:num>
  <w:num w:numId="10">
    <w:abstractNumId w:val="6"/>
  </w:num>
  <w:num w:numId="11">
    <w:abstractNumId w:val="12"/>
  </w:num>
  <w:num w:numId="12">
    <w:abstractNumId w:val="16"/>
  </w:num>
  <w:num w:numId="13">
    <w:abstractNumId w:val="11"/>
  </w:num>
  <w:num w:numId="14">
    <w:abstractNumId w:val="5"/>
  </w:num>
  <w:num w:numId="15">
    <w:abstractNumId w:val="8"/>
  </w:num>
  <w:num w:numId="16">
    <w:abstractNumId w:val="4"/>
  </w:num>
  <w:num w:numId="17">
    <w:abstractNumId w:val="18"/>
  </w:num>
  <w:num w:numId="18">
    <w:abstractNumId w:val="2"/>
    <w:lvlOverride w:ilvl="0">
      <w:lvl w:ilvl="0">
        <w:start w:val="1"/>
        <w:numFmt w:val="bullet"/>
        <w:pStyle w:val="ListBullet"/>
        <w:lvlText w:val=""/>
        <w:lvlJc w:val="left"/>
        <w:pPr>
          <w:ind w:left="360" w:hanging="360"/>
        </w:pPr>
        <w:rPr>
          <w:rFonts w:ascii="Symbol" w:hAnsi="Symbol" w:hint="default"/>
          <w:color w:val="auto"/>
        </w:rPr>
      </w:lvl>
    </w:lvlOverride>
  </w:num>
  <w:num w:numId="19">
    <w:abstractNumId w:val="10"/>
    <w:lvlOverride w:ilvl="0">
      <w:startOverride w:val="1"/>
    </w:lvlOverride>
  </w:num>
  <w:num w:numId="20">
    <w:abstractNumId w:val="10"/>
  </w:num>
  <w:num w:numId="21">
    <w:abstractNumId w:val="7"/>
  </w:num>
  <w:num w:numId="22">
    <w:abstractNumId w:val="2"/>
    <w:lvlOverride w:ilvl="0">
      <w:lvl w:ilvl="0">
        <w:start w:val="1"/>
        <w:numFmt w:val="bullet"/>
        <w:pStyle w:val="ListBullet"/>
        <w:lvlText w:val="•"/>
        <w:lvlJc w:val="left"/>
        <w:pPr>
          <w:ind w:left="360" w:hanging="360"/>
        </w:pPr>
        <w:rPr>
          <w:rFonts w:ascii="Arial" w:hAnsi="Arial" w:hint="default"/>
        </w:rPr>
      </w:lvl>
    </w:lvlOverride>
    <w:lvlOverride w:ilvl="1">
      <w:lvl w:ilvl="1" w:tentative="1">
        <w:start w:val="1"/>
        <w:numFmt w:val="bullet"/>
        <w:pStyle w:val="List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3">
    <w:abstractNumId w:val="3"/>
  </w:num>
  <w:num w:numId="24">
    <w:abstractNumId w:val="8"/>
    <w:lvlOverride w:ilvl="0">
      <w:startOverride w:val="1"/>
    </w:lvlOverride>
  </w:num>
  <w:num w:numId="25">
    <w:abstractNumId w:val="8"/>
    <w:lvlOverride w:ilvl="0">
      <w:startOverride w:val="1"/>
    </w:lvlOverride>
  </w:num>
  <w:num w:numId="26">
    <w:abstractNumId w:val="14"/>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35"/>
    <w:rsid w:val="00002031"/>
    <w:rsid w:val="000029AF"/>
    <w:rsid w:val="00004734"/>
    <w:rsid w:val="00006B22"/>
    <w:rsid w:val="0001276A"/>
    <w:rsid w:val="0002026C"/>
    <w:rsid w:val="000246AE"/>
    <w:rsid w:val="00025C67"/>
    <w:rsid w:val="0003306D"/>
    <w:rsid w:val="000344D7"/>
    <w:rsid w:val="000356CE"/>
    <w:rsid w:val="00040C56"/>
    <w:rsid w:val="00054B78"/>
    <w:rsid w:val="00055129"/>
    <w:rsid w:val="000554B4"/>
    <w:rsid w:val="0005559E"/>
    <w:rsid w:val="00061E51"/>
    <w:rsid w:val="00063028"/>
    <w:rsid w:val="00066638"/>
    <w:rsid w:val="00071199"/>
    <w:rsid w:val="00077775"/>
    <w:rsid w:val="000800C1"/>
    <w:rsid w:val="000802AE"/>
    <w:rsid w:val="00083EC2"/>
    <w:rsid w:val="00086721"/>
    <w:rsid w:val="00090471"/>
    <w:rsid w:val="000958DF"/>
    <w:rsid w:val="00095D56"/>
    <w:rsid w:val="0009662B"/>
    <w:rsid w:val="000A0965"/>
    <w:rsid w:val="000A09AA"/>
    <w:rsid w:val="000A4B2F"/>
    <w:rsid w:val="000B0A5D"/>
    <w:rsid w:val="000B343B"/>
    <w:rsid w:val="000B3532"/>
    <w:rsid w:val="000B3A75"/>
    <w:rsid w:val="000B7084"/>
    <w:rsid w:val="000C1C08"/>
    <w:rsid w:val="000C5A31"/>
    <w:rsid w:val="000D391B"/>
    <w:rsid w:val="000D3D6D"/>
    <w:rsid w:val="000D4FC7"/>
    <w:rsid w:val="000E2258"/>
    <w:rsid w:val="000E4228"/>
    <w:rsid w:val="000F031A"/>
    <w:rsid w:val="000F4869"/>
    <w:rsid w:val="000F5B42"/>
    <w:rsid w:val="000F6B0B"/>
    <w:rsid w:val="000F6E6F"/>
    <w:rsid w:val="000F789C"/>
    <w:rsid w:val="001003F2"/>
    <w:rsid w:val="0010601F"/>
    <w:rsid w:val="001066EB"/>
    <w:rsid w:val="00107378"/>
    <w:rsid w:val="00110EA5"/>
    <w:rsid w:val="001119DF"/>
    <w:rsid w:val="00115240"/>
    <w:rsid w:val="00115F8B"/>
    <w:rsid w:val="00121066"/>
    <w:rsid w:val="00125091"/>
    <w:rsid w:val="00125318"/>
    <w:rsid w:val="00126758"/>
    <w:rsid w:val="001305A2"/>
    <w:rsid w:val="0013202A"/>
    <w:rsid w:val="00132294"/>
    <w:rsid w:val="00133238"/>
    <w:rsid w:val="00140FE3"/>
    <w:rsid w:val="0014197B"/>
    <w:rsid w:val="00142547"/>
    <w:rsid w:val="001447CD"/>
    <w:rsid w:val="001516B1"/>
    <w:rsid w:val="001525B4"/>
    <w:rsid w:val="00156316"/>
    <w:rsid w:val="00160006"/>
    <w:rsid w:val="001610DD"/>
    <w:rsid w:val="00162083"/>
    <w:rsid w:val="001624E2"/>
    <w:rsid w:val="00165389"/>
    <w:rsid w:val="00170CED"/>
    <w:rsid w:val="0017693F"/>
    <w:rsid w:val="0018110E"/>
    <w:rsid w:val="00181684"/>
    <w:rsid w:val="001843C6"/>
    <w:rsid w:val="001850E0"/>
    <w:rsid w:val="0018693C"/>
    <w:rsid w:val="00186D37"/>
    <w:rsid w:val="0019255A"/>
    <w:rsid w:val="001935C3"/>
    <w:rsid w:val="001A4704"/>
    <w:rsid w:val="001A525F"/>
    <w:rsid w:val="001A5E54"/>
    <w:rsid w:val="001A69AB"/>
    <w:rsid w:val="001A6FC9"/>
    <w:rsid w:val="001B09F9"/>
    <w:rsid w:val="001B6448"/>
    <w:rsid w:val="001C12AF"/>
    <w:rsid w:val="001D06F4"/>
    <w:rsid w:val="001D480A"/>
    <w:rsid w:val="001D5449"/>
    <w:rsid w:val="001D58AF"/>
    <w:rsid w:val="001D6B75"/>
    <w:rsid w:val="001E00C7"/>
    <w:rsid w:val="001E07CF"/>
    <w:rsid w:val="001E59F1"/>
    <w:rsid w:val="001F49EB"/>
    <w:rsid w:val="001F4A2F"/>
    <w:rsid w:val="001F6CBA"/>
    <w:rsid w:val="001F78B9"/>
    <w:rsid w:val="00201D4E"/>
    <w:rsid w:val="00204049"/>
    <w:rsid w:val="00204F19"/>
    <w:rsid w:val="002059C5"/>
    <w:rsid w:val="00207515"/>
    <w:rsid w:val="00207FDD"/>
    <w:rsid w:val="00211C7B"/>
    <w:rsid w:val="00220B8A"/>
    <w:rsid w:val="002232C2"/>
    <w:rsid w:val="002257F3"/>
    <w:rsid w:val="00225D65"/>
    <w:rsid w:val="002261EB"/>
    <w:rsid w:val="002302EC"/>
    <w:rsid w:val="002303B0"/>
    <w:rsid w:val="002314E8"/>
    <w:rsid w:val="002317F6"/>
    <w:rsid w:val="00232B6A"/>
    <w:rsid w:val="00233456"/>
    <w:rsid w:val="0023397F"/>
    <w:rsid w:val="002339A5"/>
    <w:rsid w:val="00234889"/>
    <w:rsid w:val="00237CB7"/>
    <w:rsid w:val="002452E7"/>
    <w:rsid w:val="00245F98"/>
    <w:rsid w:val="00246194"/>
    <w:rsid w:val="002538AE"/>
    <w:rsid w:val="002541E7"/>
    <w:rsid w:val="00257138"/>
    <w:rsid w:val="00257848"/>
    <w:rsid w:val="00260B72"/>
    <w:rsid w:val="002619FF"/>
    <w:rsid w:val="002662F8"/>
    <w:rsid w:val="0027084A"/>
    <w:rsid w:val="00271109"/>
    <w:rsid w:val="00277EF5"/>
    <w:rsid w:val="0028082E"/>
    <w:rsid w:val="002835ED"/>
    <w:rsid w:val="00286434"/>
    <w:rsid w:val="00286C59"/>
    <w:rsid w:val="002942D1"/>
    <w:rsid w:val="0029763B"/>
    <w:rsid w:val="002A0556"/>
    <w:rsid w:val="002A6A60"/>
    <w:rsid w:val="002A6EE1"/>
    <w:rsid w:val="002B0C2E"/>
    <w:rsid w:val="002B1638"/>
    <w:rsid w:val="002B706C"/>
    <w:rsid w:val="002B7851"/>
    <w:rsid w:val="002C1070"/>
    <w:rsid w:val="002C1D7D"/>
    <w:rsid w:val="002C2511"/>
    <w:rsid w:val="002D1EDF"/>
    <w:rsid w:val="002E4C9A"/>
    <w:rsid w:val="002F11F8"/>
    <w:rsid w:val="002F3F56"/>
    <w:rsid w:val="002F44B5"/>
    <w:rsid w:val="002F4F94"/>
    <w:rsid w:val="00303C95"/>
    <w:rsid w:val="00311AC0"/>
    <w:rsid w:val="003129CE"/>
    <w:rsid w:val="003204DD"/>
    <w:rsid w:val="00322261"/>
    <w:rsid w:val="003269F2"/>
    <w:rsid w:val="00331DBB"/>
    <w:rsid w:val="0033257F"/>
    <w:rsid w:val="00332680"/>
    <w:rsid w:val="00332B94"/>
    <w:rsid w:val="00336E65"/>
    <w:rsid w:val="003474F4"/>
    <w:rsid w:val="003521E8"/>
    <w:rsid w:val="003621E8"/>
    <w:rsid w:val="00362F3A"/>
    <w:rsid w:val="00365DDD"/>
    <w:rsid w:val="003664BF"/>
    <w:rsid w:val="00366DD7"/>
    <w:rsid w:val="003728F3"/>
    <w:rsid w:val="00390900"/>
    <w:rsid w:val="0039620B"/>
    <w:rsid w:val="003A13F0"/>
    <w:rsid w:val="003A2631"/>
    <w:rsid w:val="003A3323"/>
    <w:rsid w:val="003A35BD"/>
    <w:rsid w:val="003A62A6"/>
    <w:rsid w:val="003B00C5"/>
    <w:rsid w:val="003B09FD"/>
    <w:rsid w:val="003B38F6"/>
    <w:rsid w:val="003B443E"/>
    <w:rsid w:val="003B5800"/>
    <w:rsid w:val="003B7E39"/>
    <w:rsid w:val="003C02CB"/>
    <w:rsid w:val="003C18DC"/>
    <w:rsid w:val="003C2255"/>
    <w:rsid w:val="003C30DC"/>
    <w:rsid w:val="003C58DC"/>
    <w:rsid w:val="003C7461"/>
    <w:rsid w:val="003D0CD9"/>
    <w:rsid w:val="003D261F"/>
    <w:rsid w:val="003E1B09"/>
    <w:rsid w:val="003E3208"/>
    <w:rsid w:val="003E3D34"/>
    <w:rsid w:val="003E4FCC"/>
    <w:rsid w:val="003E7EAA"/>
    <w:rsid w:val="003F0B04"/>
    <w:rsid w:val="003F6F7D"/>
    <w:rsid w:val="00401021"/>
    <w:rsid w:val="0040134E"/>
    <w:rsid w:val="004034EB"/>
    <w:rsid w:val="00410839"/>
    <w:rsid w:val="00414410"/>
    <w:rsid w:val="0041452B"/>
    <w:rsid w:val="004169A8"/>
    <w:rsid w:val="00420815"/>
    <w:rsid w:val="00430686"/>
    <w:rsid w:val="004352F8"/>
    <w:rsid w:val="00440A2D"/>
    <w:rsid w:val="00440CEE"/>
    <w:rsid w:val="004414E4"/>
    <w:rsid w:val="00455A6F"/>
    <w:rsid w:val="004564A7"/>
    <w:rsid w:val="004617BF"/>
    <w:rsid w:val="004634F1"/>
    <w:rsid w:val="00465E72"/>
    <w:rsid w:val="00465E90"/>
    <w:rsid w:val="00476743"/>
    <w:rsid w:val="0047772E"/>
    <w:rsid w:val="00477BB1"/>
    <w:rsid w:val="004923FF"/>
    <w:rsid w:val="00494E60"/>
    <w:rsid w:val="004967AD"/>
    <w:rsid w:val="00496BAC"/>
    <w:rsid w:val="004A3F2D"/>
    <w:rsid w:val="004A401F"/>
    <w:rsid w:val="004B28E6"/>
    <w:rsid w:val="004B498A"/>
    <w:rsid w:val="004B4CB5"/>
    <w:rsid w:val="004B4FF4"/>
    <w:rsid w:val="004B5A6B"/>
    <w:rsid w:val="004B744F"/>
    <w:rsid w:val="004B772D"/>
    <w:rsid w:val="004B7B76"/>
    <w:rsid w:val="004C0070"/>
    <w:rsid w:val="004C2E29"/>
    <w:rsid w:val="004C40C4"/>
    <w:rsid w:val="004C4AD6"/>
    <w:rsid w:val="004D089C"/>
    <w:rsid w:val="004D3B35"/>
    <w:rsid w:val="004D51A6"/>
    <w:rsid w:val="004E14BD"/>
    <w:rsid w:val="004E20C8"/>
    <w:rsid w:val="004E6267"/>
    <w:rsid w:val="004F0F38"/>
    <w:rsid w:val="004F1A46"/>
    <w:rsid w:val="004F32F6"/>
    <w:rsid w:val="004F4D12"/>
    <w:rsid w:val="00500087"/>
    <w:rsid w:val="00501921"/>
    <w:rsid w:val="005059CD"/>
    <w:rsid w:val="00507A51"/>
    <w:rsid w:val="00511904"/>
    <w:rsid w:val="00512DE9"/>
    <w:rsid w:val="00522A0C"/>
    <w:rsid w:val="005234E9"/>
    <w:rsid w:val="00530354"/>
    <w:rsid w:val="00531B11"/>
    <w:rsid w:val="00531CE9"/>
    <w:rsid w:val="005413CD"/>
    <w:rsid w:val="005434C6"/>
    <w:rsid w:val="00543B39"/>
    <w:rsid w:val="00544D11"/>
    <w:rsid w:val="0054583D"/>
    <w:rsid w:val="005477E7"/>
    <w:rsid w:val="00550096"/>
    <w:rsid w:val="00552571"/>
    <w:rsid w:val="0055532D"/>
    <w:rsid w:val="00557F9D"/>
    <w:rsid w:val="00557FF9"/>
    <w:rsid w:val="00576378"/>
    <w:rsid w:val="00576FF4"/>
    <w:rsid w:val="00577279"/>
    <w:rsid w:val="00577E38"/>
    <w:rsid w:val="00582848"/>
    <w:rsid w:val="00585322"/>
    <w:rsid w:val="00591EB2"/>
    <w:rsid w:val="00593AD1"/>
    <w:rsid w:val="00594D03"/>
    <w:rsid w:val="0059669D"/>
    <w:rsid w:val="00597877"/>
    <w:rsid w:val="005A07E4"/>
    <w:rsid w:val="005A1131"/>
    <w:rsid w:val="005A61CE"/>
    <w:rsid w:val="005C4CFA"/>
    <w:rsid w:val="005C5570"/>
    <w:rsid w:val="005C79A4"/>
    <w:rsid w:val="005D135B"/>
    <w:rsid w:val="005D49B8"/>
    <w:rsid w:val="005D4EA1"/>
    <w:rsid w:val="005D5442"/>
    <w:rsid w:val="005E6592"/>
    <w:rsid w:val="0060254C"/>
    <w:rsid w:val="00604A31"/>
    <w:rsid w:val="00611B57"/>
    <w:rsid w:val="006134AE"/>
    <w:rsid w:val="00617EAC"/>
    <w:rsid w:val="00620D2B"/>
    <w:rsid w:val="006239CD"/>
    <w:rsid w:val="00625FB9"/>
    <w:rsid w:val="006334B1"/>
    <w:rsid w:val="00634FF6"/>
    <w:rsid w:val="00635A08"/>
    <w:rsid w:val="00640190"/>
    <w:rsid w:val="006405A9"/>
    <w:rsid w:val="00640FC3"/>
    <w:rsid w:val="00642020"/>
    <w:rsid w:val="00643964"/>
    <w:rsid w:val="006454FF"/>
    <w:rsid w:val="006456FC"/>
    <w:rsid w:val="0064634E"/>
    <w:rsid w:val="0064747C"/>
    <w:rsid w:val="00651C87"/>
    <w:rsid w:val="0065337B"/>
    <w:rsid w:val="00653FBF"/>
    <w:rsid w:val="0065419D"/>
    <w:rsid w:val="00655FA2"/>
    <w:rsid w:val="006604D8"/>
    <w:rsid w:val="00664A5B"/>
    <w:rsid w:val="00665F8C"/>
    <w:rsid w:val="00667942"/>
    <w:rsid w:val="00667B4F"/>
    <w:rsid w:val="00670996"/>
    <w:rsid w:val="00680C08"/>
    <w:rsid w:val="00685AA6"/>
    <w:rsid w:val="0068741A"/>
    <w:rsid w:val="00691723"/>
    <w:rsid w:val="006931B1"/>
    <w:rsid w:val="00693CDB"/>
    <w:rsid w:val="006948A8"/>
    <w:rsid w:val="006978FC"/>
    <w:rsid w:val="006A15C0"/>
    <w:rsid w:val="006A4975"/>
    <w:rsid w:val="006A4C59"/>
    <w:rsid w:val="006B188D"/>
    <w:rsid w:val="006B25C7"/>
    <w:rsid w:val="006C1F3B"/>
    <w:rsid w:val="006C3E2A"/>
    <w:rsid w:val="006C4815"/>
    <w:rsid w:val="006C5893"/>
    <w:rsid w:val="006C626D"/>
    <w:rsid w:val="006C642F"/>
    <w:rsid w:val="006C6EDB"/>
    <w:rsid w:val="006C758F"/>
    <w:rsid w:val="006D039E"/>
    <w:rsid w:val="006D03E5"/>
    <w:rsid w:val="006D0C3B"/>
    <w:rsid w:val="006D1DCB"/>
    <w:rsid w:val="006D22F9"/>
    <w:rsid w:val="006D5A11"/>
    <w:rsid w:val="006D5D3E"/>
    <w:rsid w:val="006E08B3"/>
    <w:rsid w:val="006E0C60"/>
    <w:rsid w:val="006E5AB4"/>
    <w:rsid w:val="006F14A5"/>
    <w:rsid w:val="006F25FE"/>
    <w:rsid w:val="006F572E"/>
    <w:rsid w:val="007046D6"/>
    <w:rsid w:val="00705DB0"/>
    <w:rsid w:val="00706AFE"/>
    <w:rsid w:val="00710804"/>
    <w:rsid w:val="00713D09"/>
    <w:rsid w:val="0071612C"/>
    <w:rsid w:val="0072056C"/>
    <w:rsid w:val="00725A8B"/>
    <w:rsid w:val="0073064B"/>
    <w:rsid w:val="0074066C"/>
    <w:rsid w:val="00742004"/>
    <w:rsid w:val="0074253D"/>
    <w:rsid w:val="0074429B"/>
    <w:rsid w:val="007477D6"/>
    <w:rsid w:val="007477F8"/>
    <w:rsid w:val="00747F63"/>
    <w:rsid w:val="007615BC"/>
    <w:rsid w:val="00762F05"/>
    <w:rsid w:val="00763336"/>
    <w:rsid w:val="00764EB9"/>
    <w:rsid w:val="007652FF"/>
    <w:rsid w:val="00765383"/>
    <w:rsid w:val="00766F39"/>
    <w:rsid w:val="00771329"/>
    <w:rsid w:val="00773EF7"/>
    <w:rsid w:val="00774E1D"/>
    <w:rsid w:val="0077675A"/>
    <w:rsid w:val="00780355"/>
    <w:rsid w:val="00785721"/>
    <w:rsid w:val="00787170"/>
    <w:rsid w:val="00787D30"/>
    <w:rsid w:val="00793A59"/>
    <w:rsid w:val="007A2162"/>
    <w:rsid w:val="007A654C"/>
    <w:rsid w:val="007B302B"/>
    <w:rsid w:val="007B43ED"/>
    <w:rsid w:val="007B465C"/>
    <w:rsid w:val="007B479F"/>
    <w:rsid w:val="007B4BF9"/>
    <w:rsid w:val="007C0F3D"/>
    <w:rsid w:val="007C1AF7"/>
    <w:rsid w:val="007C7A6D"/>
    <w:rsid w:val="007C7B5B"/>
    <w:rsid w:val="007E1661"/>
    <w:rsid w:val="007E4E71"/>
    <w:rsid w:val="007E62A9"/>
    <w:rsid w:val="007E7BF8"/>
    <w:rsid w:val="007F2FF0"/>
    <w:rsid w:val="008035EE"/>
    <w:rsid w:val="008048BB"/>
    <w:rsid w:val="00810598"/>
    <w:rsid w:val="00811166"/>
    <w:rsid w:val="00814492"/>
    <w:rsid w:val="00821776"/>
    <w:rsid w:val="00826007"/>
    <w:rsid w:val="00826100"/>
    <w:rsid w:val="00827777"/>
    <w:rsid w:val="008321F5"/>
    <w:rsid w:val="00832369"/>
    <w:rsid w:val="00834660"/>
    <w:rsid w:val="00834C8E"/>
    <w:rsid w:val="00836BC2"/>
    <w:rsid w:val="0084156C"/>
    <w:rsid w:val="0084580B"/>
    <w:rsid w:val="00845BCA"/>
    <w:rsid w:val="00851756"/>
    <w:rsid w:val="00853189"/>
    <w:rsid w:val="00853C8F"/>
    <w:rsid w:val="0085451D"/>
    <w:rsid w:val="00854F57"/>
    <w:rsid w:val="0085641B"/>
    <w:rsid w:val="00857136"/>
    <w:rsid w:val="00864511"/>
    <w:rsid w:val="00870B12"/>
    <w:rsid w:val="008752CE"/>
    <w:rsid w:val="008821AA"/>
    <w:rsid w:val="00885548"/>
    <w:rsid w:val="008855B8"/>
    <w:rsid w:val="00885F24"/>
    <w:rsid w:val="008925A8"/>
    <w:rsid w:val="00892C8F"/>
    <w:rsid w:val="00893161"/>
    <w:rsid w:val="008932F3"/>
    <w:rsid w:val="008959D5"/>
    <w:rsid w:val="00896018"/>
    <w:rsid w:val="008A07FF"/>
    <w:rsid w:val="008A2B9D"/>
    <w:rsid w:val="008A4E36"/>
    <w:rsid w:val="008A5E0B"/>
    <w:rsid w:val="008A5E18"/>
    <w:rsid w:val="008A6D59"/>
    <w:rsid w:val="008B2D31"/>
    <w:rsid w:val="008B2D4F"/>
    <w:rsid w:val="008B4B03"/>
    <w:rsid w:val="008B596F"/>
    <w:rsid w:val="008C159F"/>
    <w:rsid w:val="008C1623"/>
    <w:rsid w:val="008C51A9"/>
    <w:rsid w:val="008C56D9"/>
    <w:rsid w:val="008D161D"/>
    <w:rsid w:val="008D2B09"/>
    <w:rsid w:val="008D4674"/>
    <w:rsid w:val="008D4740"/>
    <w:rsid w:val="008D703A"/>
    <w:rsid w:val="008E1FFC"/>
    <w:rsid w:val="008E285D"/>
    <w:rsid w:val="008E7B83"/>
    <w:rsid w:val="008E7CBC"/>
    <w:rsid w:val="008F1CCC"/>
    <w:rsid w:val="008F2967"/>
    <w:rsid w:val="008F407A"/>
    <w:rsid w:val="008F5BF3"/>
    <w:rsid w:val="0090354E"/>
    <w:rsid w:val="00907ACE"/>
    <w:rsid w:val="00913318"/>
    <w:rsid w:val="00915CC5"/>
    <w:rsid w:val="00920330"/>
    <w:rsid w:val="00920FF4"/>
    <w:rsid w:val="009219D7"/>
    <w:rsid w:val="00921FD4"/>
    <w:rsid w:val="00922830"/>
    <w:rsid w:val="00922D53"/>
    <w:rsid w:val="00923B70"/>
    <w:rsid w:val="00925DC5"/>
    <w:rsid w:val="0092600B"/>
    <w:rsid w:val="00930237"/>
    <w:rsid w:val="00934397"/>
    <w:rsid w:val="009401F6"/>
    <w:rsid w:val="00940F44"/>
    <w:rsid w:val="00941988"/>
    <w:rsid w:val="00952562"/>
    <w:rsid w:val="00953BDE"/>
    <w:rsid w:val="00955BFE"/>
    <w:rsid w:val="0095792A"/>
    <w:rsid w:val="00963C08"/>
    <w:rsid w:val="00973DCF"/>
    <w:rsid w:val="00977E45"/>
    <w:rsid w:val="00991135"/>
    <w:rsid w:val="00992BEF"/>
    <w:rsid w:val="00997420"/>
    <w:rsid w:val="009A09AA"/>
    <w:rsid w:val="009A09C1"/>
    <w:rsid w:val="009A474D"/>
    <w:rsid w:val="009A4CED"/>
    <w:rsid w:val="009B15F1"/>
    <w:rsid w:val="009B1D12"/>
    <w:rsid w:val="009B416B"/>
    <w:rsid w:val="009B5713"/>
    <w:rsid w:val="009C4BD5"/>
    <w:rsid w:val="009D1F2D"/>
    <w:rsid w:val="009D2E04"/>
    <w:rsid w:val="009D416F"/>
    <w:rsid w:val="009D7B65"/>
    <w:rsid w:val="009D7B77"/>
    <w:rsid w:val="009E0BB0"/>
    <w:rsid w:val="009E31A4"/>
    <w:rsid w:val="009E3FBB"/>
    <w:rsid w:val="009E5BD4"/>
    <w:rsid w:val="009E71F4"/>
    <w:rsid w:val="009F018D"/>
    <w:rsid w:val="009F1ACF"/>
    <w:rsid w:val="009F2211"/>
    <w:rsid w:val="009F49C1"/>
    <w:rsid w:val="009F7D61"/>
    <w:rsid w:val="00A052B5"/>
    <w:rsid w:val="00A1235B"/>
    <w:rsid w:val="00A13E05"/>
    <w:rsid w:val="00A14DF7"/>
    <w:rsid w:val="00A14F77"/>
    <w:rsid w:val="00A23DEB"/>
    <w:rsid w:val="00A23F3C"/>
    <w:rsid w:val="00A26FAA"/>
    <w:rsid w:val="00A3246D"/>
    <w:rsid w:val="00A34C1C"/>
    <w:rsid w:val="00A3654F"/>
    <w:rsid w:val="00A36949"/>
    <w:rsid w:val="00A36FA7"/>
    <w:rsid w:val="00A475B7"/>
    <w:rsid w:val="00A47AF7"/>
    <w:rsid w:val="00A47C3E"/>
    <w:rsid w:val="00A50226"/>
    <w:rsid w:val="00A539AC"/>
    <w:rsid w:val="00A56488"/>
    <w:rsid w:val="00A5676B"/>
    <w:rsid w:val="00A60BAD"/>
    <w:rsid w:val="00A61BA0"/>
    <w:rsid w:val="00A64387"/>
    <w:rsid w:val="00A71E6A"/>
    <w:rsid w:val="00A736F3"/>
    <w:rsid w:val="00A73A8D"/>
    <w:rsid w:val="00A8290F"/>
    <w:rsid w:val="00A84503"/>
    <w:rsid w:val="00A85B04"/>
    <w:rsid w:val="00A87334"/>
    <w:rsid w:val="00A917A0"/>
    <w:rsid w:val="00A93DB7"/>
    <w:rsid w:val="00A93EE0"/>
    <w:rsid w:val="00AA20F3"/>
    <w:rsid w:val="00AB6F47"/>
    <w:rsid w:val="00AC2B40"/>
    <w:rsid w:val="00AC2BB2"/>
    <w:rsid w:val="00AC2C3C"/>
    <w:rsid w:val="00AC3BD9"/>
    <w:rsid w:val="00AC62E7"/>
    <w:rsid w:val="00AC7EB0"/>
    <w:rsid w:val="00AD082A"/>
    <w:rsid w:val="00AE0320"/>
    <w:rsid w:val="00AE65EB"/>
    <w:rsid w:val="00AF1D94"/>
    <w:rsid w:val="00AF60C5"/>
    <w:rsid w:val="00AF641B"/>
    <w:rsid w:val="00B009C6"/>
    <w:rsid w:val="00B01548"/>
    <w:rsid w:val="00B21D29"/>
    <w:rsid w:val="00B21FC5"/>
    <w:rsid w:val="00B21FEE"/>
    <w:rsid w:val="00B25034"/>
    <w:rsid w:val="00B31089"/>
    <w:rsid w:val="00B33002"/>
    <w:rsid w:val="00B33863"/>
    <w:rsid w:val="00B368F4"/>
    <w:rsid w:val="00B37D17"/>
    <w:rsid w:val="00B40C62"/>
    <w:rsid w:val="00B4175E"/>
    <w:rsid w:val="00B510E1"/>
    <w:rsid w:val="00B53302"/>
    <w:rsid w:val="00B54C25"/>
    <w:rsid w:val="00B600DA"/>
    <w:rsid w:val="00B6256E"/>
    <w:rsid w:val="00B63EEB"/>
    <w:rsid w:val="00B64F68"/>
    <w:rsid w:val="00B67FEC"/>
    <w:rsid w:val="00B73EF1"/>
    <w:rsid w:val="00B74823"/>
    <w:rsid w:val="00B75A74"/>
    <w:rsid w:val="00B76B91"/>
    <w:rsid w:val="00B76D94"/>
    <w:rsid w:val="00B8089C"/>
    <w:rsid w:val="00B80EFA"/>
    <w:rsid w:val="00B81579"/>
    <w:rsid w:val="00B92C72"/>
    <w:rsid w:val="00BA1F55"/>
    <w:rsid w:val="00BA6FF1"/>
    <w:rsid w:val="00BB01FB"/>
    <w:rsid w:val="00BB0909"/>
    <w:rsid w:val="00BB1013"/>
    <w:rsid w:val="00BB29EA"/>
    <w:rsid w:val="00BB6529"/>
    <w:rsid w:val="00BC03AF"/>
    <w:rsid w:val="00BC1CAB"/>
    <w:rsid w:val="00BC622A"/>
    <w:rsid w:val="00BC6C5B"/>
    <w:rsid w:val="00BD1D38"/>
    <w:rsid w:val="00BD6F36"/>
    <w:rsid w:val="00BD6F8A"/>
    <w:rsid w:val="00BE0A78"/>
    <w:rsid w:val="00BE79F0"/>
    <w:rsid w:val="00BF046D"/>
    <w:rsid w:val="00BF5D04"/>
    <w:rsid w:val="00C076CE"/>
    <w:rsid w:val="00C13563"/>
    <w:rsid w:val="00C1405E"/>
    <w:rsid w:val="00C15409"/>
    <w:rsid w:val="00C204D2"/>
    <w:rsid w:val="00C24250"/>
    <w:rsid w:val="00C339C6"/>
    <w:rsid w:val="00C404A6"/>
    <w:rsid w:val="00C40A36"/>
    <w:rsid w:val="00C44419"/>
    <w:rsid w:val="00C45E7B"/>
    <w:rsid w:val="00C471B1"/>
    <w:rsid w:val="00C52BEE"/>
    <w:rsid w:val="00C534D8"/>
    <w:rsid w:val="00C6316B"/>
    <w:rsid w:val="00C634A9"/>
    <w:rsid w:val="00C72AF3"/>
    <w:rsid w:val="00C73D6C"/>
    <w:rsid w:val="00C772FF"/>
    <w:rsid w:val="00C77BC8"/>
    <w:rsid w:val="00C801AF"/>
    <w:rsid w:val="00C80256"/>
    <w:rsid w:val="00C806D7"/>
    <w:rsid w:val="00C918C4"/>
    <w:rsid w:val="00C94993"/>
    <w:rsid w:val="00C949CB"/>
    <w:rsid w:val="00CA5463"/>
    <w:rsid w:val="00CA77CC"/>
    <w:rsid w:val="00CB0B54"/>
    <w:rsid w:val="00CB6BC0"/>
    <w:rsid w:val="00CC1B7C"/>
    <w:rsid w:val="00CC727F"/>
    <w:rsid w:val="00CD2699"/>
    <w:rsid w:val="00CD3468"/>
    <w:rsid w:val="00CD3CD5"/>
    <w:rsid w:val="00CD7871"/>
    <w:rsid w:val="00CE1E23"/>
    <w:rsid w:val="00CE2E2D"/>
    <w:rsid w:val="00CE5BB0"/>
    <w:rsid w:val="00CF15C3"/>
    <w:rsid w:val="00CF2B6F"/>
    <w:rsid w:val="00CF3409"/>
    <w:rsid w:val="00D017ED"/>
    <w:rsid w:val="00D07FED"/>
    <w:rsid w:val="00D153B1"/>
    <w:rsid w:val="00D224FE"/>
    <w:rsid w:val="00D229BA"/>
    <w:rsid w:val="00D26B84"/>
    <w:rsid w:val="00D26D35"/>
    <w:rsid w:val="00D30EE7"/>
    <w:rsid w:val="00D35500"/>
    <w:rsid w:val="00D41755"/>
    <w:rsid w:val="00D433BD"/>
    <w:rsid w:val="00D4720E"/>
    <w:rsid w:val="00D5001C"/>
    <w:rsid w:val="00D52562"/>
    <w:rsid w:val="00D52A8B"/>
    <w:rsid w:val="00D550FB"/>
    <w:rsid w:val="00D5616E"/>
    <w:rsid w:val="00D5635D"/>
    <w:rsid w:val="00D56B08"/>
    <w:rsid w:val="00D634FE"/>
    <w:rsid w:val="00D6493E"/>
    <w:rsid w:val="00D66AFF"/>
    <w:rsid w:val="00D71D7E"/>
    <w:rsid w:val="00D74639"/>
    <w:rsid w:val="00D8047D"/>
    <w:rsid w:val="00D81C28"/>
    <w:rsid w:val="00D85AC0"/>
    <w:rsid w:val="00D873A3"/>
    <w:rsid w:val="00D87D0C"/>
    <w:rsid w:val="00D92AC0"/>
    <w:rsid w:val="00D94801"/>
    <w:rsid w:val="00D96C63"/>
    <w:rsid w:val="00DA1124"/>
    <w:rsid w:val="00DA1DEF"/>
    <w:rsid w:val="00DA2B8F"/>
    <w:rsid w:val="00DA3043"/>
    <w:rsid w:val="00DB2920"/>
    <w:rsid w:val="00DB6F22"/>
    <w:rsid w:val="00DC74CD"/>
    <w:rsid w:val="00DD4C9F"/>
    <w:rsid w:val="00DD5496"/>
    <w:rsid w:val="00DD75A3"/>
    <w:rsid w:val="00DD7A91"/>
    <w:rsid w:val="00DE02AE"/>
    <w:rsid w:val="00DE6A0C"/>
    <w:rsid w:val="00DE6C04"/>
    <w:rsid w:val="00DE75AC"/>
    <w:rsid w:val="00DF1D7F"/>
    <w:rsid w:val="00E02472"/>
    <w:rsid w:val="00E02FB4"/>
    <w:rsid w:val="00E120E3"/>
    <w:rsid w:val="00E1340C"/>
    <w:rsid w:val="00E20571"/>
    <w:rsid w:val="00E21651"/>
    <w:rsid w:val="00E235F7"/>
    <w:rsid w:val="00E239D4"/>
    <w:rsid w:val="00E25B60"/>
    <w:rsid w:val="00E32070"/>
    <w:rsid w:val="00E32326"/>
    <w:rsid w:val="00E33CB6"/>
    <w:rsid w:val="00E346DC"/>
    <w:rsid w:val="00E36C80"/>
    <w:rsid w:val="00E40B22"/>
    <w:rsid w:val="00E43463"/>
    <w:rsid w:val="00E4588F"/>
    <w:rsid w:val="00E46DA3"/>
    <w:rsid w:val="00E51164"/>
    <w:rsid w:val="00E54042"/>
    <w:rsid w:val="00E55725"/>
    <w:rsid w:val="00E5699E"/>
    <w:rsid w:val="00E615F8"/>
    <w:rsid w:val="00E65CAA"/>
    <w:rsid w:val="00E8120B"/>
    <w:rsid w:val="00E873D1"/>
    <w:rsid w:val="00EA16DE"/>
    <w:rsid w:val="00EA4009"/>
    <w:rsid w:val="00EA406B"/>
    <w:rsid w:val="00EA453A"/>
    <w:rsid w:val="00EB0798"/>
    <w:rsid w:val="00EB182C"/>
    <w:rsid w:val="00EB19F8"/>
    <w:rsid w:val="00EB40AD"/>
    <w:rsid w:val="00EB586E"/>
    <w:rsid w:val="00EB5FC8"/>
    <w:rsid w:val="00EB6F5B"/>
    <w:rsid w:val="00EC1271"/>
    <w:rsid w:val="00EC2A18"/>
    <w:rsid w:val="00EC67E5"/>
    <w:rsid w:val="00ED0C8B"/>
    <w:rsid w:val="00ED5A41"/>
    <w:rsid w:val="00ED7C5D"/>
    <w:rsid w:val="00EE1184"/>
    <w:rsid w:val="00EE1482"/>
    <w:rsid w:val="00EE1824"/>
    <w:rsid w:val="00EE1C29"/>
    <w:rsid w:val="00EE255A"/>
    <w:rsid w:val="00EE6C5E"/>
    <w:rsid w:val="00EE6EDD"/>
    <w:rsid w:val="00EF0EAB"/>
    <w:rsid w:val="00EF2296"/>
    <w:rsid w:val="00EF400B"/>
    <w:rsid w:val="00EF47F3"/>
    <w:rsid w:val="00EF578B"/>
    <w:rsid w:val="00F033EC"/>
    <w:rsid w:val="00F04F68"/>
    <w:rsid w:val="00F0627D"/>
    <w:rsid w:val="00F07609"/>
    <w:rsid w:val="00F07C5A"/>
    <w:rsid w:val="00F11A17"/>
    <w:rsid w:val="00F12670"/>
    <w:rsid w:val="00F14B27"/>
    <w:rsid w:val="00F16DE9"/>
    <w:rsid w:val="00F202AB"/>
    <w:rsid w:val="00F3148D"/>
    <w:rsid w:val="00F3255D"/>
    <w:rsid w:val="00F35298"/>
    <w:rsid w:val="00F35299"/>
    <w:rsid w:val="00F3529E"/>
    <w:rsid w:val="00F36C32"/>
    <w:rsid w:val="00F372DC"/>
    <w:rsid w:val="00F40F73"/>
    <w:rsid w:val="00F412B8"/>
    <w:rsid w:val="00F4305F"/>
    <w:rsid w:val="00F44B0D"/>
    <w:rsid w:val="00F4663D"/>
    <w:rsid w:val="00F467A6"/>
    <w:rsid w:val="00F47E37"/>
    <w:rsid w:val="00F52545"/>
    <w:rsid w:val="00F54A41"/>
    <w:rsid w:val="00F560BB"/>
    <w:rsid w:val="00F623FD"/>
    <w:rsid w:val="00F63C0D"/>
    <w:rsid w:val="00F64042"/>
    <w:rsid w:val="00F640B6"/>
    <w:rsid w:val="00F67B16"/>
    <w:rsid w:val="00F67BBC"/>
    <w:rsid w:val="00F7049F"/>
    <w:rsid w:val="00F724AB"/>
    <w:rsid w:val="00F72C5E"/>
    <w:rsid w:val="00F72EE8"/>
    <w:rsid w:val="00F730CE"/>
    <w:rsid w:val="00F739D1"/>
    <w:rsid w:val="00F80E40"/>
    <w:rsid w:val="00F8365F"/>
    <w:rsid w:val="00F8404D"/>
    <w:rsid w:val="00F87B87"/>
    <w:rsid w:val="00FA2D0F"/>
    <w:rsid w:val="00FA2EF0"/>
    <w:rsid w:val="00FA4D6D"/>
    <w:rsid w:val="00FA5B82"/>
    <w:rsid w:val="00FA639E"/>
    <w:rsid w:val="00FA6A3D"/>
    <w:rsid w:val="00FB59CE"/>
    <w:rsid w:val="00FC03C8"/>
    <w:rsid w:val="00FC25E4"/>
    <w:rsid w:val="00FC260C"/>
    <w:rsid w:val="00FC4EF7"/>
    <w:rsid w:val="00FC62BC"/>
    <w:rsid w:val="00FC6B18"/>
    <w:rsid w:val="00FD170D"/>
    <w:rsid w:val="00FE1941"/>
    <w:rsid w:val="00FE1DEE"/>
    <w:rsid w:val="00FE5909"/>
    <w:rsid w:val="00FF1DE1"/>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14747D4"/>
  <w15:docId w15:val="{68D64852-22D2-4B89-8202-FE97CA80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2C1070"/>
    <w:pPr>
      <w:keepNext/>
      <w:keepLines/>
      <w:pageBreakBefore/>
      <w:numPr>
        <w:numId w:val="14"/>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numPr>
        <w:ilvl w:val="1"/>
        <w:numId w:val="14"/>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numPr>
        <w:ilvl w:val="5"/>
        <w:numId w:val="14"/>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numPr>
        <w:ilvl w:val="6"/>
        <w:numId w:val="14"/>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3C02CB"/>
    <w:pPr>
      <w:keepNext/>
      <w:keepLines/>
      <w:numPr>
        <w:ilvl w:val="7"/>
        <w:numId w:val="14"/>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3C02CB"/>
    <w:pPr>
      <w:keepNext/>
      <w:keepLines/>
      <w:numPr>
        <w:ilvl w:val="8"/>
        <w:numId w:val="14"/>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2C1070"/>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3"/>
      </w:numPr>
    </w:pPr>
  </w:style>
  <w:style w:type="paragraph" w:styleId="ListBullet2">
    <w:name w:val="List Bullet 2"/>
    <w:basedOn w:val="Normal"/>
    <w:uiPriority w:val="2"/>
    <w:qFormat/>
    <w:rsid w:val="004B5A6B"/>
    <w:pPr>
      <w:numPr>
        <w:ilvl w:val="1"/>
        <w:numId w:val="3"/>
      </w:numPr>
      <w:ind w:left="850" w:hanging="425"/>
    </w:pPr>
  </w:style>
  <w:style w:type="paragraph" w:styleId="ListBullet3">
    <w:name w:val="List Bullet 3"/>
    <w:basedOn w:val="Normal"/>
    <w:uiPriority w:val="2"/>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4"/>
      </w:numPr>
    </w:pPr>
  </w:style>
  <w:style w:type="paragraph" w:customStyle="1" w:styleId="Numberbullet2">
    <w:name w:val="Number bullet 2"/>
    <w:basedOn w:val="ListBullet2"/>
    <w:qFormat/>
    <w:rsid w:val="00EE1482"/>
    <w:pPr>
      <w:numPr>
        <w:numId w:val="4"/>
      </w:numPr>
    </w:pPr>
  </w:style>
  <w:style w:type="paragraph" w:customStyle="1" w:styleId="Numberbullet3">
    <w:name w:val="Number bullet 3"/>
    <w:basedOn w:val="Normal"/>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4"/>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854F57"/>
    <w:pPr>
      <w:ind w:left="720"/>
      <w:contextualSpacing/>
    </w:pPr>
  </w:style>
  <w:style w:type="character" w:customStyle="1" w:styleId="Heading8Char">
    <w:name w:val="Heading 8 Char"/>
    <w:basedOn w:val="DefaultParagraphFont"/>
    <w:link w:val="Heading8"/>
    <w:uiPriority w:val="9"/>
    <w:semiHidden/>
    <w:rsid w:val="003C02CB"/>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3C02CB"/>
    <w:rPr>
      <w:rFonts w:asciiTheme="majorHAnsi" w:eastAsiaTheme="majorEastAsia" w:hAnsiTheme="majorHAnsi" w:cstheme="majorBidi"/>
      <w:i/>
      <w:iCs/>
      <w:color w:val="0070B5" w:themeColor="text1" w:themeTint="BF"/>
      <w:lang w:eastAsia="en-US"/>
    </w:rPr>
  </w:style>
  <w:style w:type="table" w:styleId="LightList-Accent1">
    <w:name w:val="Light List Accent 1"/>
    <w:basedOn w:val="TableNormal"/>
    <w:uiPriority w:val="61"/>
    <w:rsid w:val="003C02CB"/>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3C02CB"/>
    <w:pPr>
      <w:spacing w:after="100"/>
      <w:ind w:left="1760"/>
    </w:pPr>
  </w:style>
  <w:style w:type="paragraph" w:customStyle="1" w:styleId="TableTitle0">
    <w:name w:val="Table Title"/>
    <w:basedOn w:val="Normal"/>
    <w:next w:val="Normal"/>
    <w:qFormat/>
    <w:rsid w:val="003C02CB"/>
    <w:pPr>
      <w:spacing w:before="180"/>
    </w:pPr>
    <w:rPr>
      <w:b/>
    </w:rPr>
  </w:style>
  <w:style w:type="character" w:styleId="Strong">
    <w:name w:val="Strong"/>
    <w:basedOn w:val="DefaultParagraphFont"/>
    <w:uiPriority w:val="22"/>
    <w:qFormat/>
    <w:rsid w:val="003C02CB"/>
    <w:rPr>
      <w:b/>
      <w:bCs/>
    </w:rPr>
  </w:style>
  <w:style w:type="paragraph" w:customStyle="1" w:styleId="Default">
    <w:name w:val="Default"/>
    <w:rsid w:val="003C02CB"/>
    <w:pPr>
      <w:autoSpaceDE w:val="0"/>
      <w:autoSpaceDN w:val="0"/>
      <w:adjustRightInd w:val="0"/>
    </w:pPr>
    <w:rPr>
      <w:rFonts w:ascii="Times New Roman" w:hAnsi="Times New Roman"/>
      <w:color w:val="000000"/>
      <w:sz w:val="24"/>
      <w:szCs w:val="24"/>
    </w:rPr>
  </w:style>
  <w:style w:type="character" w:customStyle="1" w:styleId="fontstyle01">
    <w:name w:val="fontstyle01"/>
    <w:basedOn w:val="DefaultParagraphFont"/>
    <w:rsid w:val="003C02CB"/>
    <w:rPr>
      <w:rFonts w:ascii="Cambria" w:hAnsi="Cambria" w:hint="default"/>
      <w:b w:val="0"/>
      <w:bCs w:val="0"/>
      <w:i w:val="0"/>
      <w:iCs w:val="0"/>
      <w:color w:val="000000"/>
      <w:sz w:val="22"/>
      <w:szCs w:val="22"/>
    </w:rPr>
  </w:style>
  <w:style w:type="character" w:customStyle="1" w:styleId="fontstyle21">
    <w:name w:val="fontstyle21"/>
    <w:basedOn w:val="DefaultParagraphFont"/>
    <w:rsid w:val="003C02CB"/>
    <w:rPr>
      <w:rFonts w:ascii="Cambria-Bold" w:hAnsi="Cambria-Bold" w:hint="default"/>
      <w:b/>
      <w:bCs/>
      <w:i w:val="0"/>
      <w:iCs w:val="0"/>
      <w:color w:val="000000"/>
      <w:sz w:val="22"/>
      <w:szCs w:val="22"/>
    </w:rPr>
  </w:style>
  <w:style w:type="paragraph" w:styleId="Revision">
    <w:name w:val="Revision"/>
    <w:hidden/>
    <w:uiPriority w:val="99"/>
    <w:semiHidden/>
    <w:rsid w:val="003C02CB"/>
    <w:rPr>
      <w:sz w:val="22"/>
      <w:lang w:eastAsia="en-US"/>
    </w:rPr>
  </w:style>
  <w:style w:type="paragraph" w:customStyle="1" w:styleId="ListBulleta">
    <w:name w:val="List Bullet a)"/>
    <w:basedOn w:val="ListBullet"/>
    <w:uiPriority w:val="1"/>
    <w:qFormat/>
    <w:rsid w:val="003C02CB"/>
    <w:pPr>
      <w:numPr>
        <w:numId w:val="15"/>
      </w:numPr>
    </w:pPr>
  </w:style>
  <w:style w:type="paragraph" w:customStyle="1" w:styleId="ListBulleti">
    <w:name w:val="List Bullet i)"/>
    <w:basedOn w:val="ListBullet"/>
    <w:uiPriority w:val="1"/>
    <w:qFormat/>
    <w:rsid w:val="003C02CB"/>
    <w:pPr>
      <w:numPr>
        <w:numId w:val="16"/>
      </w:numPr>
    </w:pPr>
  </w:style>
  <w:style w:type="character" w:customStyle="1" w:styleId="Style1">
    <w:name w:val="Style1"/>
    <w:basedOn w:val="DefaultParagraphFont"/>
    <w:uiPriority w:val="1"/>
    <w:rsid w:val="003C02CB"/>
    <w:rPr>
      <w:rFonts w:ascii="Cambria" w:hAnsi="Cambria"/>
      <w:sz w:val="22"/>
    </w:rPr>
  </w:style>
  <w:style w:type="paragraph" w:styleId="NormalWeb">
    <w:name w:val="Normal (Web)"/>
    <w:basedOn w:val="Normal"/>
    <w:uiPriority w:val="99"/>
    <w:semiHidden/>
    <w:unhideWhenUsed/>
    <w:rsid w:val="003C02CB"/>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ormal-hanging">
    <w:name w:val="Normal - hanging"/>
    <w:basedOn w:val="Normal"/>
    <w:next w:val="Normal"/>
    <w:qFormat/>
    <w:rsid w:val="00D87D0C"/>
    <w:pPr>
      <w:spacing w:before="0" w:after="0"/>
      <w:ind w:left="397" w:hanging="397"/>
    </w:pPr>
    <w:rPr>
      <w:rFonts w:ascii="Times New Roman" w:hAnsi="Times New Roman"/>
    </w:rPr>
  </w:style>
  <w:style w:type="character" w:styleId="Emphasis">
    <w:name w:val="Emphasis"/>
    <w:basedOn w:val="DefaultParagraphFont"/>
    <w:uiPriority w:val="20"/>
    <w:qFormat/>
    <w:rsid w:val="00DD5496"/>
    <w:rPr>
      <w:i/>
      <w:iCs/>
    </w:rPr>
  </w:style>
  <w:style w:type="paragraph" w:customStyle="1" w:styleId="tabletext">
    <w:name w:val="tabletext"/>
    <w:basedOn w:val="Normal"/>
    <w:rsid w:val="00EC2A1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umberbullet20">
    <w:name w:val="numberbullet2"/>
    <w:basedOn w:val="Normal"/>
    <w:rsid w:val="008F5BF3"/>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lement-invisible">
    <w:name w:val="element-invisible"/>
    <w:basedOn w:val="DefaultParagraphFont"/>
    <w:rsid w:val="00D56B08"/>
  </w:style>
  <w:style w:type="character" w:customStyle="1" w:styleId="help-block">
    <w:name w:val="help-block"/>
    <w:basedOn w:val="DefaultParagraphFont"/>
    <w:rsid w:val="0049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467611">
      <w:bodyDiv w:val="1"/>
      <w:marLeft w:val="0"/>
      <w:marRight w:val="0"/>
      <w:marTop w:val="0"/>
      <w:marBottom w:val="0"/>
      <w:divBdr>
        <w:top w:val="none" w:sz="0" w:space="0" w:color="auto"/>
        <w:left w:val="none" w:sz="0" w:space="0" w:color="auto"/>
        <w:bottom w:val="none" w:sz="0" w:space="0" w:color="auto"/>
        <w:right w:val="none" w:sz="0" w:space="0" w:color="auto"/>
      </w:divBdr>
    </w:div>
    <w:div w:id="425154727">
      <w:bodyDiv w:val="1"/>
      <w:marLeft w:val="0"/>
      <w:marRight w:val="0"/>
      <w:marTop w:val="0"/>
      <w:marBottom w:val="0"/>
      <w:divBdr>
        <w:top w:val="none" w:sz="0" w:space="0" w:color="auto"/>
        <w:left w:val="none" w:sz="0" w:space="0" w:color="auto"/>
        <w:bottom w:val="none" w:sz="0" w:space="0" w:color="auto"/>
        <w:right w:val="none" w:sz="0" w:space="0" w:color="auto"/>
      </w:divBdr>
    </w:div>
    <w:div w:id="478544604">
      <w:bodyDiv w:val="1"/>
      <w:marLeft w:val="0"/>
      <w:marRight w:val="0"/>
      <w:marTop w:val="0"/>
      <w:marBottom w:val="0"/>
      <w:divBdr>
        <w:top w:val="none" w:sz="0" w:space="0" w:color="auto"/>
        <w:left w:val="none" w:sz="0" w:space="0" w:color="auto"/>
        <w:bottom w:val="none" w:sz="0" w:space="0" w:color="auto"/>
        <w:right w:val="none" w:sz="0" w:space="0" w:color="auto"/>
      </w:divBdr>
    </w:div>
    <w:div w:id="503982957">
      <w:bodyDiv w:val="1"/>
      <w:marLeft w:val="0"/>
      <w:marRight w:val="0"/>
      <w:marTop w:val="0"/>
      <w:marBottom w:val="0"/>
      <w:divBdr>
        <w:top w:val="none" w:sz="0" w:space="0" w:color="auto"/>
        <w:left w:val="none" w:sz="0" w:space="0" w:color="auto"/>
        <w:bottom w:val="none" w:sz="0" w:space="0" w:color="auto"/>
        <w:right w:val="none" w:sz="0" w:space="0" w:color="auto"/>
      </w:divBdr>
    </w:div>
    <w:div w:id="508494547">
      <w:bodyDiv w:val="1"/>
      <w:marLeft w:val="0"/>
      <w:marRight w:val="0"/>
      <w:marTop w:val="0"/>
      <w:marBottom w:val="0"/>
      <w:divBdr>
        <w:top w:val="none" w:sz="0" w:space="0" w:color="auto"/>
        <w:left w:val="none" w:sz="0" w:space="0" w:color="auto"/>
        <w:bottom w:val="none" w:sz="0" w:space="0" w:color="auto"/>
        <w:right w:val="none" w:sz="0" w:space="0" w:color="auto"/>
      </w:divBdr>
    </w:div>
    <w:div w:id="569735614">
      <w:bodyDiv w:val="1"/>
      <w:marLeft w:val="0"/>
      <w:marRight w:val="0"/>
      <w:marTop w:val="0"/>
      <w:marBottom w:val="0"/>
      <w:divBdr>
        <w:top w:val="none" w:sz="0" w:space="0" w:color="auto"/>
        <w:left w:val="none" w:sz="0" w:space="0" w:color="auto"/>
        <w:bottom w:val="none" w:sz="0" w:space="0" w:color="auto"/>
        <w:right w:val="none" w:sz="0" w:space="0" w:color="auto"/>
      </w:divBdr>
    </w:div>
    <w:div w:id="899294138">
      <w:bodyDiv w:val="1"/>
      <w:marLeft w:val="0"/>
      <w:marRight w:val="0"/>
      <w:marTop w:val="0"/>
      <w:marBottom w:val="0"/>
      <w:divBdr>
        <w:top w:val="none" w:sz="0" w:space="0" w:color="auto"/>
        <w:left w:val="none" w:sz="0" w:space="0" w:color="auto"/>
        <w:bottom w:val="none" w:sz="0" w:space="0" w:color="auto"/>
        <w:right w:val="none" w:sz="0" w:space="0" w:color="auto"/>
      </w:divBdr>
    </w:div>
    <w:div w:id="1219589460">
      <w:bodyDiv w:val="1"/>
      <w:marLeft w:val="0"/>
      <w:marRight w:val="0"/>
      <w:marTop w:val="0"/>
      <w:marBottom w:val="0"/>
      <w:divBdr>
        <w:top w:val="none" w:sz="0" w:space="0" w:color="auto"/>
        <w:left w:val="none" w:sz="0" w:space="0" w:color="auto"/>
        <w:bottom w:val="none" w:sz="0" w:space="0" w:color="auto"/>
        <w:right w:val="none" w:sz="0" w:space="0" w:color="auto"/>
      </w:divBdr>
    </w:div>
    <w:div w:id="1325547591">
      <w:bodyDiv w:val="1"/>
      <w:marLeft w:val="0"/>
      <w:marRight w:val="0"/>
      <w:marTop w:val="0"/>
      <w:marBottom w:val="0"/>
      <w:divBdr>
        <w:top w:val="none" w:sz="0" w:space="0" w:color="auto"/>
        <w:left w:val="none" w:sz="0" w:space="0" w:color="auto"/>
        <w:bottom w:val="none" w:sz="0" w:space="0" w:color="auto"/>
        <w:right w:val="none" w:sz="0" w:space="0" w:color="auto"/>
      </w:divBdr>
    </w:div>
    <w:div w:id="1415274828">
      <w:bodyDiv w:val="1"/>
      <w:marLeft w:val="0"/>
      <w:marRight w:val="0"/>
      <w:marTop w:val="0"/>
      <w:marBottom w:val="0"/>
      <w:divBdr>
        <w:top w:val="none" w:sz="0" w:space="0" w:color="auto"/>
        <w:left w:val="none" w:sz="0" w:space="0" w:color="auto"/>
        <w:bottom w:val="none" w:sz="0" w:space="0" w:color="auto"/>
        <w:right w:val="none" w:sz="0" w:space="0" w:color="auto"/>
      </w:divBdr>
    </w:div>
    <w:div w:id="1726487943">
      <w:bodyDiv w:val="1"/>
      <w:marLeft w:val="0"/>
      <w:marRight w:val="0"/>
      <w:marTop w:val="0"/>
      <w:marBottom w:val="0"/>
      <w:divBdr>
        <w:top w:val="none" w:sz="0" w:space="0" w:color="auto"/>
        <w:left w:val="none" w:sz="0" w:space="0" w:color="auto"/>
        <w:bottom w:val="none" w:sz="0" w:space="0" w:color="auto"/>
        <w:right w:val="none" w:sz="0" w:space="0" w:color="auto"/>
      </w:divBdr>
    </w:div>
    <w:div w:id="187500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ifeline.org.au/" TargetMode="External"/><Relationship Id="rId18" Type="http://schemas.openxmlformats.org/officeDocument/2006/relationships/hyperlink" Target="https://headspace.org.au/" TargetMode="External"/><Relationship Id="rId26" Type="http://schemas.openxmlformats.org/officeDocument/2006/relationships/hyperlink" Target="https://apps.tga.gov.au/Prod/daen/daen-entry.aspx" TargetMode="External"/><Relationship Id="rId39" Type="http://schemas.openxmlformats.org/officeDocument/2006/relationships/hyperlink" Target="https://www.tga.gov.au/scheduling-delegates-interim-decisions-invitations-further-comment" TargetMode="External"/><Relationship Id="rId3" Type="http://schemas.openxmlformats.org/officeDocument/2006/relationships/styles" Target="styles.xml"/><Relationship Id="rId21" Type="http://schemas.openxmlformats.org/officeDocument/2006/relationships/hyperlink" Target="https://www.ebs.tga.gov.au/" TargetMode="External"/><Relationship Id="rId34" Type="http://schemas.openxmlformats.org/officeDocument/2006/relationships/hyperlink" Target="https://www.medsafe.govt.nz/profs/class/classintro.asp" TargetMode="External"/><Relationship Id="rId42" Type="http://schemas.openxmlformats.org/officeDocument/2006/relationships/footer" Target="footer3.xml"/><Relationship Id="rId47"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kidshelpline.com.au/" TargetMode="External"/><Relationship Id="rId25" Type="http://schemas.openxmlformats.org/officeDocument/2006/relationships/hyperlink" Target="https://www.legislation.gov.au/Details/F2019L00213" TargetMode="External"/><Relationship Id="rId33" Type="http://schemas.openxmlformats.org/officeDocument/2006/relationships/hyperlink" Target="https://www.accessdata.fda.gov/scripts/cder/daf/" TargetMode="External"/><Relationship Id="rId38" Type="http://schemas.openxmlformats.org/officeDocument/2006/relationships/hyperlink" Target="https://www.tga.gov.au/public-submissions-scheduling-matters"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mensline.org.au/" TargetMode="External"/><Relationship Id="rId20" Type="http://schemas.openxmlformats.org/officeDocument/2006/relationships/hyperlink" Target="https://www.tga.gov.au/sites/default/files/ncis-sodium-nitrite-sodium-nitrate-related-deaths-australia-2009-2018.pdf" TargetMode="External"/><Relationship Id="rId29" Type="http://schemas.openxmlformats.org/officeDocument/2006/relationships/hyperlink" Target="https://health-products.canada.ca/dpd-bdpp/index-eng.js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prescribing-medicines-pregnancy-database" TargetMode="External"/><Relationship Id="rId32" Type="http://schemas.openxmlformats.org/officeDocument/2006/relationships/hyperlink" Target="https://www.epa.govt.nz/database-search/new-zealand-inventory-of-chemicals-nzioc/view/1724" TargetMode="External"/><Relationship Id="rId37" Type="http://schemas.openxmlformats.org/officeDocument/2006/relationships/hyperlink" Target="https://www.tga.gov.au/committee/advisory-committee-chemicals-scheduling-accs" TargetMode="External"/><Relationship Id="rId40" Type="http://schemas.openxmlformats.org/officeDocument/2006/relationships/hyperlink" Target="mailto:medicines.scheduling@health.gov.au" TargetMode="External"/><Relationship Id="rId45"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hyperlink" Target="https://www.beyondblue.org.au/get-support/online-forums" TargetMode="External"/><Relationship Id="rId23" Type="http://schemas.openxmlformats.org/officeDocument/2006/relationships/hyperlink" Target="https://www.legislation.gov.au/Search/Therapeutic%20Goods%20$LB$Permissible%20Ingredients$RB$%20Determination" TargetMode="External"/><Relationship Id="rId28" Type="http://schemas.openxmlformats.org/officeDocument/2006/relationships/hyperlink" Target="https://apvma.gov.au/node/10946" TargetMode="External"/><Relationship Id="rId36" Type="http://schemas.openxmlformats.org/officeDocument/2006/relationships/hyperlink" Target="https://www.tga.gov.au/committee/advisory-committee-medicines-scheduling-acms"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au.reachout.com/" TargetMode="External"/><Relationship Id="rId31" Type="http://schemas.openxmlformats.org/officeDocument/2006/relationships/hyperlink" Target="https://www.hpra.ie/homepage/medicines/medicines-information/find-a-medicine/results?query=SODIUM+NITRITE&amp;field=ACTIVESUBSTANCES" TargetMode="External"/><Relationship Id="rId44"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uicidecallbackservice.org.au/" TargetMode="External"/><Relationship Id="rId22" Type="http://schemas.openxmlformats.org/officeDocument/2006/relationships/hyperlink" Target="https://www.tga.gov.au/artg" TargetMode="External"/><Relationship Id="rId27" Type="http://schemas.openxmlformats.org/officeDocument/2006/relationships/hyperlink" Target="https://portal.apvma.gov.au/pubcris" TargetMode="External"/><Relationship Id="rId30" Type="http://schemas.openxmlformats.org/officeDocument/2006/relationships/hyperlink" Target="https://ec.europa.eu/growth/tools-databases/cosing/" TargetMode="External"/><Relationship Id="rId35" Type="http://schemas.openxmlformats.org/officeDocument/2006/relationships/hyperlink" Target="https://consultations.health.gov.au/tga/june_2021_joint_sodium_nitrite" TargetMode="Externa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apvma.gov.au/node/10946" TargetMode="External"/><Relationship Id="rId13" Type="http://schemas.openxmlformats.org/officeDocument/2006/relationships/hyperlink" Target="https://www.accessdata.fda.gov/scripts/cder/daf/" TargetMode="External"/><Relationship Id="rId3" Type="http://schemas.openxmlformats.org/officeDocument/2006/relationships/hyperlink" Target="https://www.legislation.gov.au/Search/Therapeutic%20Goods%20$LB$Permissible%20Ingredients$RB$%20Determination" TargetMode="External"/><Relationship Id="rId7" Type="http://schemas.openxmlformats.org/officeDocument/2006/relationships/hyperlink" Target="https://portal.apvma.gov.au/pubcris" TargetMode="External"/><Relationship Id="rId12" Type="http://schemas.openxmlformats.org/officeDocument/2006/relationships/hyperlink" Target="www.epa.govt.nz/database-search/new-zealand-inventory-of-chemicals-nzioc/" TargetMode="External"/><Relationship Id="rId2" Type="http://schemas.openxmlformats.org/officeDocument/2006/relationships/hyperlink" Target="https://www.tga.gov.au/artg" TargetMode="External"/><Relationship Id="rId1" Type="http://schemas.openxmlformats.org/officeDocument/2006/relationships/hyperlink" Target="https://www.ebs.tga.gov.au/" TargetMode="External"/><Relationship Id="rId6" Type="http://schemas.openxmlformats.org/officeDocument/2006/relationships/hyperlink" Target="https://apps.tga.gov.au/Prod/daen/daen-entry.aspx" TargetMode="External"/><Relationship Id="rId11" Type="http://schemas.openxmlformats.org/officeDocument/2006/relationships/hyperlink" Target="www.hpra.ie/" TargetMode="External"/><Relationship Id="rId5" Type="http://schemas.openxmlformats.org/officeDocument/2006/relationships/hyperlink" Target="https://www.legislation.gov.au/Details/F2019L00213" TargetMode="External"/><Relationship Id="rId10" Type="http://schemas.openxmlformats.org/officeDocument/2006/relationships/hyperlink" Target="ec.europa.eu/growth/tools-databases/cosing/" TargetMode="External"/><Relationship Id="rId4" Type="http://schemas.openxmlformats.org/officeDocument/2006/relationships/hyperlink" Target="https://www.tga.gov.au/prescribing-medicines-pregnancy-database" TargetMode="External"/><Relationship Id="rId9" Type="http://schemas.openxmlformats.org/officeDocument/2006/relationships/hyperlink" Target="https://health-products.canada.ca/dpd-bdpp/index-eng.jsp" TargetMode="External"/><Relationship Id="rId14" Type="http://schemas.openxmlformats.org/officeDocument/2006/relationships/hyperlink" Target="https://www.medsafe.govt.nz/profs/class/classintro.asp"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33E6D-0B98-4CC6-982C-F60A5A269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424</TotalTime>
  <Pages>11</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Consultation: Proposed amendments to the Poisons Standard – Joint ACMS-ACCS meeting, June 2021</vt:lpstr>
    </vt:vector>
  </TitlesOfParts>
  <Company>TGA</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amendments to the Poisons Standard – Joint ACMS-ACCS meeting, June 2021</dc:title>
  <dc:subject>scheduling</dc:subject>
  <dc:creator>Therapeutic Goods Administration</dc:creator>
  <cp:lastPrinted>2010-12-20T22:59:00Z</cp:lastPrinted>
  <dcterms:created xsi:type="dcterms:W3CDTF">2021-04-12T03:18:00Z</dcterms:created>
  <dcterms:modified xsi:type="dcterms:W3CDTF">2021-05-05T02:03:00Z</dcterms:modified>
</cp:coreProperties>
</file>