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13E91711" w:rsidR="001D480A" w:rsidRPr="009401F6" w:rsidRDefault="00207FDD" w:rsidP="004E1DED">
            <w:pPr>
              <w:pStyle w:val="Title"/>
            </w:pPr>
            <w:bookmarkStart w:id="0" w:name="_GoBack"/>
            <w:r>
              <w:t xml:space="preserve">Consultation: Proposed amendments to the Poisons Standard – </w:t>
            </w:r>
            <w:r w:rsidR="004E1DED">
              <w:t>Joint ACMS-ACC</w:t>
            </w:r>
            <w:r>
              <w:t xml:space="preserve">S meetings, </w:t>
            </w:r>
            <w:r w:rsidR="004E1DED">
              <w:t>June 2021</w:t>
            </w:r>
            <w:bookmarkEnd w:id="0"/>
          </w:p>
        </w:tc>
      </w:tr>
      <w:tr w:rsidR="00ED0C8B" w:rsidRPr="009401F6" w14:paraId="14361E1D" w14:textId="77777777" w:rsidTr="00ED0C8B">
        <w:trPr>
          <w:trHeight w:val="1387"/>
        </w:trPr>
        <w:tc>
          <w:tcPr>
            <w:tcW w:w="8720" w:type="dxa"/>
          </w:tcPr>
          <w:p w14:paraId="62B6A71E" w14:textId="465A7427" w:rsidR="001D480A" w:rsidRPr="009401F6" w:rsidRDefault="003E1D49" w:rsidP="004E1DED">
            <w:pPr>
              <w:pStyle w:val="Subtitle"/>
              <w:ind w:left="0"/>
              <w:rPr>
                <w:lang w:eastAsia="en-AU"/>
              </w:rPr>
            </w:pPr>
            <w:r>
              <w:rPr>
                <w:lang w:eastAsia="en-AU"/>
              </w:rPr>
              <w:t>29</w:t>
            </w:r>
            <w:r w:rsidR="00197D17">
              <w:rPr>
                <w:lang w:eastAsia="en-AU"/>
              </w:rPr>
              <w:t xml:space="preserve"> </w:t>
            </w:r>
            <w:r w:rsidR="004E1DED">
              <w:rPr>
                <w:lang w:eastAsia="en-AU"/>
              </w:rPr>
              <w:t>April 2021</w:t>
            </w:r>
          </w:p>
        </w:tc>
      </w:tr>
      <w:tr w:rsidR="00ED0C8B" w:rsidRPr="009401F6" w14:paraId="30D49EC8" w14:textId="77777777" w:rsidTr="00ED0C8B">
        <w:tc>
          <w:tcPr>
            <w:tcW w:w="8720" w:type="dxa"/>
          </w:tcPr>
          <w:p w14:paraId="7B2E0DCE" w14:textId="50386282" w:rsidR="00ED0C8B" w:rsidRPr="009401F6" w:rsidRDefault="00ED0C8B" w:rsidP="004E3101">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7FE82DC4" w14:textId="4517FBFD" w:rsidR="004E1DED"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9305070" w:history="1">
            <w:r w:rsidR="004E1DED" w:rsidRPr="006974CF">
              <w:rPr>
                <w:rStyle w:val="Hyperlink"/>
                <w:noProof/>
              </w:rPr>
              <w:t>1</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Intentionally blank</w:t>
            </w:r>
            <w:r w:rsidR="004E1DED">
              <w:rPr>
                <w:noProof/>
                <w:webHidden/>
              </w:rPr>
              <w:tab/>
            </w:r>
            <w:r w:rsidR="004E1DED">
              <w:rPr>
                <w:noProof/>
                <w:webHidden/>
              </w:rPr>
              <w:fldChar w:fldCharType="begin"/>
            </w:r>
            <w:r w:rsidR="004E1DED">
              <w:rPr>
                <w:noProof/>
                <w:webHidden/>
              </w:rPr>
              <w:instrText xml:space="preserve"> PAGEREF _Toc69305070 \h </w:instrText>
            </w:r>
            <w:r w:rsidR="004E1DED">
              <w:rPr>
                <w:noProof/>
                <w:webHidden/>
              </w:rPr>
            </w:r>
            <w:r w:rsidR="004E1DED">
              <w:rPr>
                <w:noProof/>
                <w:webHidden/>
              </w:rPr>
              <w:fldChar w:fldCharType="separate"/>
            </w:r>
            <w:r w:rsidR="004E1DED">
              <w:rPr>
                <w:noProof/>
                <w:webHidden/>
              </w:rPr>
              <w:t>5</w:t>
            </w:r>
            <w:r w:rsidR="004E1DED">
              <w:rPr>
                <w:noProof/>
                <w:webHidden/>
              </w:rPr>
              <w:fldChar w:fldCharType="end"/>
            </w:r>
          </w:hyperlink>
        </w:p>
        <w:p w14:paraId="0930AD3F" w14:textId="78673BD2" w:rsidR="004E1DED" w:rsidRDefault="00B812BB">
          <w:pPr>
            <w:pStyle w:val="TOC1"/>
            <w:tabs>
              <w:tab w:val="left" w:pos="425"/>
            </w:tabs>
            <w:rPr>
              <w:rFonts w:asciiTheme="minorHAnsi" w:eastAsiaTheme="minorEastAsia" w:hAnsiTheme="minorHAnsi" w:cstheme="minorBidi"/>
              <w:b w:val="0"/>
              <w:noProof/>
              <w:sz w:val="22"/>
              <w:szCs w:val="22"/>
              <w:lang w:eastAsia="en-AU"/>
            </w:rPr>
          </w:pPr>
          <w:hyperlink w:anchor="_Toc69305071" w:history="1">
            <w:r w:rsidR="004E1DED" w:rsidRPr="006974CF">
              <w:rPr>
                <w:rStyle w:val="Hyperlink"/>
                <w:noProof/>
              </w:rPr>
              <w:t>2</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Proposed amendments referred for scheduling advice to the Joint ACMS-ACCS #28</w:t>
            </w:r>
            <w:r w:rsidR="004E1DED">
              <w:rPr>
                <w:noProof/>
                <w:webHidden/>
              </w:rPr>
              <w:tab/>
            </w:r>
            <w:r w:rsidR="004E1DED">
              <w:rPr>
                <w:noProof/>
                <w:webHidden/>
              </w:rPr>
              <w:fldChar w:fldCharType="begin"/>
            </w:r>
            <w:r w:rsidR="004E1DED">
              <w:rPr>
                <w:noProof/>
                <w:webHidden/>
              </w:rPr>
              <w:instrText xml:space="preserve"> PAGEREF _Toc69305071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2B72F2E0" w14:textId="4D5C8E46" w:rsidR="004E1DED" w:rsidRDefault="00B812BB">
          <w:pPr>
            <w:pStyle w:val="TOC2"/>
            <w:tabs>
              <w:tab w:val="left" w:pos="1276"/>
            </w:tabs>
            <w:rPr>
              <w:rFonts w:asciiTheme="minorHAnsi" w:eastAsiaTheme="minorEastAsia" w:hAnsiTheme="minorHAnsi" w:cstheme="minorBidi"/>
              <w:b w:val="0"/>
              <w:noProof/>
              <w:sz w:val="22"/>
              <w:szCs w:val="22"/>
              <w:lang w:eastAsia="en-AU"/>
            </w:rPr>
          </w:pPr>
          <w:hyperlink w:anchor="_Toc69305072" w:history="1">
            <w:r w:rsidR="004E1DED" w:rsidRPr="006974CF">
              <w:rPr>
                <w:rStyle w:val="Hyperlink"/>
                <w:noProof/>
              </w:rPr>
              <w:t>2.1</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Ethanol</w:t>
            </w:r>
            <w:r w:rsidR="004E1DED">
              <w:rPr>
                <w:noProof/>
                <w:webHidden/>
              </w:rPr>
              <w:tab/>
            </w:r>
            <w:r w:rsidR="004E1DED">
              <w:rPr>
                <w:noProof/>
                <w:webHidden/>
              </w:rPr>
              <w:fldChar w:fldCharType="begin"/>
            </w:r>
            <w:r w:rsidR="004E1DED">
              <w:rPr>
                <w:noProof/>
                <w:webHidden/>
              </w:rPr>
              <w:instrText xml:space="preserve"> PAGEREF _Toc69305072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73DC3C8F" w14:textId="14E66ABA" w:rsidR="004E1DED" w:rsidRDefault="00B812BB">
          <w:pPr>
            <w:pStyle w:val="TOC3"/>
            <w:rPr>
              <w:rFonts w:asciiTheme="minorHAnsi" w:eastAsiaTheme="minorEastAsia" w:hAnsiTheme="minorHAnsi" w:cstheme="minorBidi"/>
              <w:b w:val="0"/>
              <w:noProof/>
              <w:szCs w:val="22"/>
              <w:lang w:eastAsia="en-AU"/>
            </w:rPr>
          </w:pPr>
          <w:hyperlink w:anchor="_Toc69305073" w:history="1">
            <w:r w:rsidR="004E1DED" w:rsidRPr="006974CF">
              <w:rPr>
                <w:rStyle w:val="Hyperlink"/>
                <w:noProof/>
              </w:rPr>
              <w:t>Proposal</w:t>
            </w:r>
            <w:r w:rsidR="004E1DED">
              <w:rPr>
                <w:noProof/>
                <w:webHidden/>
              </w:rPr>
              <w:tab/>
            </w:r>
            <w:r w:rsidR="004E1DED">
              <w:rPr>
                <w:noProof/>
                <w:webHidden/>
              </w:rPr>
              <w:fldChar w:fldCharType="begin"/>
            </w:r>
            <w:r w:rsidR="004E1DED">
              <w:rPr>
                <w:noProof/>
                <w:webHidden/>
              </w:rPr>
              <w:instrText xml:space="preserve"> PAGEREF _Toc69305073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630C3B33" w14:textId="7140F5A5" w:rsidR="004E1DED" w:rsidRDefault="00B812BB">
          <w:pPr>
            <w:pStyle w:val="TOC3"/>
            <w:rPr>
              <w:rFonts w:asciiTheme="minorHAnsi" w:eastAsiaTheme="minorEastAsia" w:hAnsiTheme="minorHAnsi" w:cstheme="minorBidi"/>
              <w:b w:val="0"/>
              <w:noProof/>
              <w:szCs w:val="22"/>
              <w:lang w:eastAsia="en-AU"/>
            </w:rPr>
          </w:pPr>
          <w:hyperlink w:anchor="_Toc69305074" w:history="1">
            <w:r w:rsidR="004E1DED" w:rsidRPr="006974CF">
              <w:rPr>
                <w:rStyle w:val="Hyperlink"/>
                <w:noProof/>
              </w:rPr>
              <w:t>CAS Number</w:t>
            </w:r>
            <w:r w:rsidR="004E1DED">
              <w:rPr>
                <w:noProof/>
                <w:webHidden/>
              </w:rPr>
              <w:tab/>
            </w:r>
            <w:r w:rsidR="004E1DED">
              <w:rPr>
                <w:noProof/>
                <w:webHidden/>
              </w:rPr>
              <w:fldChar w:fldCharType="begin"/>
            </w:r>
            <w:r w:rsidR="004E1DED">
              <w:rPr>
                <w:noProof/>
                <w:webHidden/>
              </w:rPr>
              <w:instrText xml:space="preserve"> PAGEREF _Toc69305074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6747FA1A" w14:textId="02629B90" w:rsidR="004E1DED" w:rsidRDefault="00B812BB">
          <w:pPr>
            <w:pStyle w:val="TOC3"/>
            <w:rPr>
              <w:rFonts w:asciiTheme="minorHAnsi" w:eastAsiaTheme="minorEastAsia" w:hAnsiTheme="minorHAnsi" w:cstheme="minorBidi"/>
              <w:b w:val="0"/>
              <w:noProof/>
              <w:szCs w:val="22"/>
              <w:lang w:eastAsia="en-AU"/>
            </w:rPr>
          </w:pPr>
          <w:hyperlink w:anchor="_Toc69305075" w:history="1">
            <w:r w:rsidR="004E1DED" w:rsidRPr="006974CF">
              <w:rPr>
                <w:rStyle w:val="Hyperlink"/>
                <w:noProof/>
              </w:rPr>
              <w:t>Alternative names</w:t>
            </w:r>
            <w:r w:rsidR="004E1DED">
              <w:rPr>
                <w:noProof/>
                <w:webHidden/>
              </w:rPr>
              <w:tab/>
            </w:r>
            <w:r w:rsidR="004E1DED">
              <w:rPr>
                <w:noProof/>
                <w:webHidden/>
              </w:rPr>
              <w:fldChar w:fldCharType="begin"/>
            </w:r>
            <w:r w:rsidR="004E1DED">
              <w:rPr>
                <w:noProof/>
                <w:webHidden/>
              </w:rPr>
              <w:instrText xml:space="preserve"> PAGEREF _Toc69305075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4F52AAD6" w14:textId="04DCC7BA" w:rsidR="004E1DED" w:rsidRDefault="00B812BB">
          <w:pPr>
            <w:pStyle w:val="TOC3"/>
            <w:rPr>
              <w:rFonts w:asciiTheme="minorHAnsi" w:eastAsiaTheme="minorEastAsia" w:hAnsiTheme="minorHAnsi" w:cstheme="minorBidi"/>
              <w:b w:val="0"/>
              <w:noProof/>
              <w:szCs w:val="22"/>
              <w:lang w:eastAsia="en-AU"/>
            </w:rPr>
          </w:pPr>
          <w:hyperlink w:anchor="_Toc69305076" w:history="1">
            <w:r w:rsidR="004E1DED" w:rsidRPr="006974CF">
              <w:rPr>
                <w:rStyle w:val="Hyperlink"/>
                <w:noProof/>
              </w:rPr>
              <w:t>Applicant</w:t>
            </w:r>
            <w:r w:rsidR="004E1DED">
              <w:rPr>
                <w:noProof/>
                <w:webHidden/>
              </w:rPr>
              <w:tab/>
            </w:r>
            <w:r w:rsidR="004E1DED">
              <w:rPr>
                <w:noProof/>
                <w:webHidden/>
              </w:rPr>
              <w:fldChar w:fldCharType="begin"/>
            </w:r>
            <w:r w:rsidR="004E1DED">
              <w:rPr>
                <w:noProof/>
                <w:webHidden/>
              </w:rPr>
              <w:instrText xml:space="preserve"> PAGEREF _Toc69305076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3170A318" w14:textId="5ABFB785" w:rsidR="004E1DED" w:rsidRDefault="00B812BB">
          <w:pPr>
            <w:pStyle w:val="TOC3"/>
            <w:rPr>
              <w:rFonts w:asciiTheme="minorHAnsi" w:eastAsiaTheme="minorEastAsia" w:hAnsiTheme="minorHAnsi" w:cstheme="minorBidi"/>
              <w:b w:val="0"/>
              <w:noProof/>
              <w:szCs w:val="22"/>
              <w:lang w:eastAsia="en-AU"/>
            </w:rPr>
          </w:pPr>
          <w:hyperlink w:anchor="_Toc69305077" w:history="1">
            <w:r w:rsidR="004E1DED" w:rsidRPr="006974CF">
              <w:rPr>
                <w:rStyle w:val="Hyperlink"/>
                <w:noProof/>
              </w:rPr>
              <w:t>Current scheduling</w:t>
            </w:r>
            <w:r w:rsidR="004E1DED">
              <w:rPr>
                <w:noProof/>
                <w:webHidden/>
              </w:rPr>
              <w:tab/>
            </w:r>
            <w:r w:rsidR="004E1DED">
              <w:rPr>
                <w:noProof/>
                <w:webHidden/>
              </w:rPr>
              <w:fldChar w:fldCharType="begin"/>
            </w:r>
            <w:r w:rsidR="004E1DED">
              <w:rPr>
                <w:noProof/>
                <w:webHidden/>
              </w:rPr>
              <w:instrText xml:space="preserve"> PAGEREF _Toc69305077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492D90E8" w14:textId="14B522AB" w:rsidR="004E1DED" w:rsidRDefault="00B812BB">
          <w:pPr>
            <w:pStyle w:val="TOC3"/>
            <w:rPr>
              <w:rFonts w:asciiTheme="minorHAnsi" w:eastAsiaTheme="minorEastAsia" w:hAnsiTheme="minorHAnsi" w:cstheme="minorBidi"/>
              <w:b w:val="0"/>
              <w:noProof/>
              <w:szCs w:val="22"/>
              <w:lang w:eastAsia="en-AU"/>
            </w:rPr>
          </w:pPr>
          <w:hyperlink w:anchor="_Toc69305078" w:history="1">
            <w:r w:rsidR="004E1DED" w:rsidRPr="006974CF">
              <w:rPr>
                <w:rStyle w:val="Hyperlink"/>
                <w:noProof/>
              </w:rPr>
              <w:t>Proposed scheduling</w:t>
            </w:r>
            <w:r w:rsidR="004E1DED">
              <w:rPr>
                <w:noProof/>
                <w:webHidden/>
              </w:rPr>
              <w:tab/>
            </w:r>
            <w:r w:rsidR="004E1DED">
              <w:rPr>
                <w:noProof/>
                <w:webHidden/>
              </w:rPr>
              <w:fldChar w:fldCharType="begin"/>
            </w:r>
            <w:r w:rsidR="004E1DED">
              <w:rPr>
                <w:noProof/>
                <w:webHidden/>
              </w:rPr>
              <w:instrText xml:space="preserve"> PAGEREF _Toc69305078 \h </w:instrText>
            </w:r>
            <w:r w:rsidR="004E1DED">
              <w:rPr>
                <w:noProof/>
                <w:webHidden/>
              </w:rPr>
            </w:r>
            <w:r w:rsidR="004E1DED">
              <w:rPr>
                <w:noProof/>
                <w:webHidden/>
              </w:rPr>
              <w:fldChar w:fldCharType="separate"/>
            </w:r>
            <w:r w:rsidR="004E1DED">
              <w:rPr>
                <w:noProof/>
                <w:webHidden/>
              </w:rPr>
              <w:t>6</w:t>
            </w:r>
            <w:r w:rsidR="004E1DED">
              <w:rPr>
                <w:noProof/>
                <w:webHidden/>
              </w:rPr>
              <w:fldChar w:fldCharType="end"/>
            </w:r>
          </w:hyperlink>
        </w:p>
        <w:p w14:paraId="741CEF2B" w14:textId="29FF3F5B" w:rsidR="004E1DED" w:rsidRDefault="00B812BB">
          <w:pPr>
            <w:pStyle w:val="TOC3"/>
            <w:rPr>
              <w:rFonts w:asciiTheme="minorHAnsi" w:eastAsiaTheme="minorEastAsia" w:hAnsiTheme="minorHAnsi" w:cstheme="minorBidi"/>
              <w:b w:val="0"/>
              <w:noProof/>
              <w:szCs w:val="22"/>
              <w:lang w:eastAsia="en-AU"/>
            </w:rPr>
          </w:pPr>
          <w:hyperlink w:anchor="_Toc69305079" w:history="1">
            <w:r w:rsidR="004E1DED" w:rsidRPr="006974CF">
              <w:rPr>
                <w:rStyle w:val="Hyperlink"/>
                <w:noProof/>
              </w:rPr>
              <w:t>Key uses / expected use</w:t>
            </w:r>
            <w:r w:rsidR="004E1DED">
              <w:rPr>
                <w:noProof/>
                <w:webHidden/>
              </w:rPr>
              <w:tab/>
            </w:r>
            <w:r w:rsidR="004E1DED">
              <w:rPr>
                <w:noProof/>
                <w:webHidden/>
              </w:rPr>
              <w:fldChar w:fldCharType="begin"/>
            </w:r>
            <w:r w:rsidR="004E1DED">
              <w:rPr>
                <w:noProof/>
                <w:webHidden/>
              </w:rPr>
              <w:instrText xml:space="preserve"> PAGEREF _Toc69305079 \h </w:instrText>
            </w:r>
            <w:r w:rsidR="004E1DED">
              <w:rPr>
                <w:noProof/>
                <w:webHidden/>
              </w:rPr>
            </w:r>
            <w:r w:rsidR="004E1DED">
              <w:rPr>
                <w:noProof/>
                <w:webHidden/>
              </w:rPr>
              <w:fldChar w:fldCharType="separate"/>
            </w:r>
            <w:r w:rsidR="004E1DED">
              <w:rPr>
                <w:noProof/>
                <w:webHidden/>
              </w:rPr>
              <w:t>7</w:t>
            </w:r>
            <w:r w:rsidR="004E1DED">
              <w:rPr>
                <w:noProof/>
                <w:webHidden/>
              </w:rPr>
              <w:fldChar w:fldCharType="end"/>
            </w:r>
          </w:hyperlink>
        </w:p>
        <w:p w14:paraId="15102B20" w14:textId="11112B48" w:rsidR="004E1DED" w:rsidRDefault="00B812BB">
          <w:pPr>
            <w:pStyle w:val="TOC3"/>
            <w:rPr>
              <w:rFonts w:asciiTheme="minorHAnsi" w:eastAsiaTheme="minorEastAsia" w:hAnsiTheme="minorHAnsi" w:cstheme="minorBidi"/>
              <w:b w:val="0"/>
              <w:noProof/>
              <w:szCs w:val="22"/>
              <w:lang w:eastAsia="en-AU"/>
            </w:rPr>
          </w:pPr>
          <w:hyperlink w:anchor="_Toc69305080" w:history="1">
            <w:r w:rsidR="004E1DED" w:rsidRPr="006974CF">
              <w:rPr>
                <w:rStyle w:val="Hyperlink"/>
                <w:noProof/>
              </w:rPr>
              <w:t>Reasons for proposal</w:t>
            </w:r>
            <w:r w:rsidR="004E1DED">
              <w:rPr>
                <w:noProof/>
                <w:webHidden/>
              </w:rPr>
              <w:tab/>
            </w:r>
            <w:r w:rsidR="004E1DED">
              <w:rPr>
                <w:noProof/>
                <w:webHidden/>
              </w:rPr>
              <w:fldChar w:fldCharType="begin"/>
            </w:r>
            <w:r w:rsidR="004E1DED">
              <w:rPr>
                <w:noProof/>
                <w:webHidden/>
              </w:rPr>
              <w:instrText xml:space="preserve"> PAGEREF _Toc69305080 \h </w:instrText>
            </w:r>
            <w:r w:rsidR="004E1DED">
              <w:rPr>
                <w:noProof/>
                <w:webHidden/>
              </w:rPr>
            </w:r>
            <w:r w:rsidR="004E1DED">
              <w:rPr>
                <w:noProof/>
                <w:webHidden/>
              </w:rPr>
              <w:fldChar w:fldCharType="separate"/>
            </w:r>
            <w:r w:rsidR="004E1DED">
              <w:rPr>
                <w:noProof/>
                <w:webHidden/>
              </w:rPr>
              <w:t>7</w:t>
            </w:r>
            <w:r w:rsidR="004E1DED">
              <w:rPr>
                <w:noProof/>
                <w:webHidden/>
              </w:rPr>
              <w:fldChar w:fldCharType="end"/>
            </w:r>
          </w:hyperlink>
        </w:p>
        <w:p w14:paraId="285330AF" w14:textId="71C44EDE" w:rsidR="004E1DED" w:rsidRDefault="00B812BB">
          <w:pPr>
            <w:pStyle w:val="TOC3"/>
            <w:rPr>
              <w:rFonts w:asciiTheme="minorHAnsi" w:eastAsiaTheme="minorEastAsia" w:hAnsiTheme="minorHAnsi" w:cstheme="minorBidi"/>
              <w:b w:val="0"/>
              <w:noProof/>
              <w:szCs w:val="22"/>
              <w:lang w:eastAsia="en-AU"/>
            </w:rPr>
          </w:pPr>
          <w:hyperlink w:anchor="_Toc69305081" w:history="1">
            <w:r w:rsidR="004E1DED" w:rsidRPr="006974CF">
              <w:rPr>
                <w:rStyle w:val="Hyperlink"/>
                <w:noProof/>
              </w:rPr>
              <w:t>Australian regulations</w:t>
            </w:r>
            <w:r w:rsidR="004E1DED">
              <w:rPr>
                <w:noProof/>
                <w:webHidden/>
              </w:rPr>
              <w:tab/>
            </w:r>
            <w:r w:rsidR="004E1DED">
              <w:rPr>
                <w:noProof/>
                <w:webHidden/>
              </w:rPr>
              <w:fldChar w:fldCharType="begin"/>
            </w:r>
            <w:r w:rsidR="004E1DED">
              <w:rPr>
                <w:noProof/>
                <w:webHidden/>
              </w:rPr>
              <w:instrText xml:space="preserve"> PAGEREF _Toc69305081 \h </w:instrText>
            </w:r>
            <w:r w:rsidR="004E1DED">
              <w:rPr>
                <w:noProof/>
                <w:webHidden/>
              </w:rPr>
            </w:r>
            <w:r w:rsidR="004E1DED">
              <w:rPr>
                <w:noProof/>
                <w:webHidden/>
              </w:rPr>
              <w:fldChar w:fldCharType="separate"/>
            </w:r>
            <w:r w:rsidR="004E1DED">
              <w:rPr>
                <w:noProof/>
                <w:webHidden/>
              </w:rPr>
              <w:t>8</w:t>
            </w:r>
            <w:r w:rsidR="004E1DED">
              <w:rPr>
                <w:noProof/>
                <w:webHidden/>
              </w:rPr>
              <w:fldChar w:fldCharType="end"/>
            </w:r>
          </w:hyperlink>
        </w:p>
        <w:p w14:paraId="1A7F7D0C" w14:textId="4AD9C49F" w:rsidR="004E1DED" w:rsidRDefault="00B812BB">
          <w:pPr>
            <w:pStyle w:val="TOC3"/>
            <w:rPr>
              <w:rFonts w:asciiTheme="minorHAnsi" w:eastAsiaTheme="minorEastAsia" w:hAnsiTheme="minorHAnsi" w:cstheme="minorBidi"/>
              <w:b w:val="0"/>
              <w:noProof/>
              <w:szCs w:val="22"/>
              <w:lang w:eastAsia="en-AU"/>
            </w:rPr>
          </w:pPr>
          <w:hyperlink w:anchor="_Toc69305082" w:history="1">
            <w:r w:rsidR="004E1DED" w:rsidRPr="006974CF">
              <w:rPr>
                <w:rStyle w:val="Hyperlink"/>
                <w:noProof/>
              </w:rPr>
              <w:t>International regulations</w:t>
            </w:r>
            <w:r w:rsidR="004E1DED">
              <w:rPr>
                <w:noProof/>
                <w:webHidden/>
              </w:rPr>
              <w:tab/>
            </w:r>
            <w:r w:rsidR="004E1DED">
              <w:rPr>
                <w:noProof/>
                <w:webHidden/>
              </w:rPr>
              <w:fldChar w:fldCharType="begin"/>
            </w:r>
            <w:r w:rsidR="004E1DED">
              <w:rPr>
                <w:noProof/>
                <w:webHidden/>
              </w:rPr>
              <w:instrText xml:space="preserve"> PAGEREF _Toc69305082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27ECF62D" w14:textId="083A76AD" w:rsidR="004E1DED" w:rsidRDefault="00B812BB">
          <w:pPr>
            <w:pStyle w:val="TOC2"/>
            <w:tabs>
              <w:tab w:val="left" w:pos="1276"/>
            </w:tabs>
            <w:rPr>
              <w:rFonts w:asciiTheme="minorHAnsi" w:eastAsiaTheme="minorEastAsia" w:hAnsiTheme="minorHAnsi" w:cstheme="minorBidi"/>
              <w:b w:val="0"/>
              <w:noProof/>
              <w:sz w:val="22"/>
              <w:szCs w:val="22"/>
              <w:lang w:eastAsia="en-AU"/>
            </w:rPr>
          </w:pPr>
          <w:hyperlink w:anchor="_Toc69305083" w:history="1">
            <w:r w:rsidR="004E1DED" w:rsidRPr="006974CF">
              <w:rPr>
                <w:rStyle w:val="Hyperlink"/>
                <w:noProof/>
              </w:rPr>
              <w:t>2.2</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Isopropanol</w:t>
            </w:r>
            <w:r w:rsidR="004E1DED">
              <w:rPr>
                <w:noProof/>
                <w:webHidden/>
              </w:rPr>
              <w:tab/>
            </w:r>
            <w:r w:rsidR="004E1DED">
              <w:rPr>
                <w:noProof/>
                <w:webHidden/>
              </w:rPr>
              <w:fldChar w:fldCharType="begin"/>
            </w:r>
            <w:r w:rsidR="004E1DED">
              <w:rPr>
                <w:noProof/>
                <w:webHidden/>
              </w:rPr>
              <w:instrText xml:space="preserve"> PAGEREF _Toc69305083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48ACD465" w14:textId="4EFFC9FC" w:rsidR="004E1DED" w:rsidRDefault="00B812BB">
          <w:pPr>
            <w:pStyle w:val="TOC3"/>
            <w:rPr>
              <w:rFonts w:asciiTheme="minorHAnsi" w:eastAsiaTheme="minorEastAsia" w:hAnsiTheme="minorHAnsi" w:cstheme="minorBidi"/>
              <w:b w:val="0"/>
              <w:noProof/>
              <w:szCs w:val="22"/>
              <w:lang w:eastAsia="en-AU"/>
            </w:rPr>
          </w:pPr>
          <w:hyperlink w:anchor="_Toc69305084" w:history="1">
            <w:r w:rsidR="004E1DED" w:rsidRPr="006974CF">
              <w:rPr>
                <w:rStyle w:val="Hyperlink"/>
                <w:noProof/>
              </w:rPr>
              <w:t>Proposal</w:t>
            </w:r>
            <w:r w:rsidR="004E1DED">
              <w:rPr>
                <w:noProof/>
                <w:webHidden/>
              </w:rPr>
              <w:tab/>
            </w:r>
            <w:r w:rsidR="004E1DED">
              <w:rPr>
                <w:noProof/>
                <w:webHidden/>
              </w:rPr>
              <w:fldChar w:fldCharType="begin"/>
            </w:r>
            <w:r w:rsidR="004E1DED">
              <w:rPr>
                <w:noProof/>
                <w:webHidden/>
              </w:rPr>
              <w:instrText xml:space="preserve"> PAGEREF _Toc69305084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295CFB70" w14:textId="195A24F2" w:rsidR="004E1DED" w:rsidRDefault="00B812BB">
          <w:pPr>
            <w:pStyle w:val="TOC3"/>
            <w:rPr>
              <w:rFonts w:asciiTheme="minorHAnsi" w:eastAsiaTheme="minorEastAsia" w:hAnsiTheme="minorHAnsi" w:cstheme="minorBidi"/>
              <w:b w:val="0"/>
              <w:noProof/>
              <w:szCs w:val="22"/>
              <w:lang w:eastAsia="en-AU"/>
            </w:rPr>
          </w:pPr>
          <w:hyperlink w:anchor="_Toc69305085" w:history="1">
            <w:r w:rsidR="004E1DED" w:rsidRPr="006974CF">
              <w:rPr>
                <w:rStyle w:val="Hyperlink"/>
                <w:noProof/>
              </w:rPr>
              <w:t>CAS Number</w:t>
            </w:r>
            <w:r w:rsidR="004E1DED">
              <w:rPr>
                <w:noProof/>
                <w:webHidden/>
              </w:rPr>
              <w:tab/>
            </w:r>
            <w:r w:rsidR="004E1DED">
              <w:rPr>
                <w:noProof/>
                <w:webHidden/>
              </w:rPr>
              <w:fldChar w:fldCharType="begin"/>
            </w:r>
            <w:r w:rsidR="004E1DED">
              <w:rPr>
                <w:noProof/>
                <w:webHidden/>
              </w:rPr>
              <w:instrText xml:space="preserve"> PAGEREF _Toc69305085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6F26BBDF" w14:textId="1D092C98" w:rsidR="004E1DED" w:rsidRDefault="00B812BB">
          <w:pPr>
            <w:pStyle w:val="TOC3"/>
            <w:rPr>
              <w:rFonts w:asciiTheme="minorHAnsi" w:eastAsiaTheme="minorEastAsia" w:hAnsiTheme="minorHAnsi" w:cstheme="minorBidi"/>
              <w:b w:val="0"/>
              <w:noProof/>
              <w:szCs w:val="22"/>
              <w:lang w:eastAsia="en-AU"/>
            </w:rPr>
          </w:pPr>
          <w:hyperlink w:anchor="_Toc69305086" w:history="1">
            <w:r w:rsidR="004E1DED" w:rsidRPr="006974CF">
              <w:rPr>
                <w:rStyle w:val="Hyperlink"/>
                <w:noProof/>
              </w:rPr>
              <w:t>Alternative names</w:t>
            </w:r>
            <w:r w:rsidR="004E1DED">
              <w:rPr>
                <w:noProof/>
                <w:webHidden/>
              </w:rPr>
              <w:tab/>
            </w:r>
            <w:r w:rsidR="004E1DED">
              <w:rPr>
                <w:noProof/>
                <w:webHidden/>
              </w:rPr>
              <w:fldChar w:fldCharType="begin"/>
            </w:r>
            <w:r w:rsidR="004E1DED">
              <w:rPr>
                <w:noProof/>
                <w:webHidden/>
              </w:rPr>
              <w:instrText xml:space="preserve"> PAGEREF _Toc69305086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3C023F17" w14:textId="5D537E85" w:rsidR="004E1DED" w:rsidRDefault="00B812BB">
          <w:pPr>
            <w:pStyle w:val="TOC3"/>
            <w:rPr>
              <w:rFonts w:asciiTheme="minorHAnsi" w:eastAsiaTheme="minorEastAsia" w:hAnsiTheme="minorHAnsi" w:cstheme="minorBidi"/>
              <w:b w:val="0"/>
              <w:noProof/>
              <w:szCs w:val="22"/>
              <w:lang w:eastAsia="en-AU"/>
            </w:rPr>
          </w:pPr>
          <w:hyperlink w:anchor="_Toc69305087" w:history="1">
            <w:r w:rsidR="004E1DED" w:rsidRPr="006974CF">
              <w:rPr>
                <w:rStyle w:val="Hyperlink"/>
                <w:noProof/>
              </w:rPr>
              <w:t>Applicant</w:t>
            </w:r>
            <w:r w:rsidR="004E1DED">
              <w:rPr>
                <w:noProof/>
                <w:webHidden/>
              </w:rPr>
              <w:tab/>
            </w:r>
            <w:r w:rsidR="004E1DED">
              <w:rPr>
                <w:noProof/>
                <w:webHidden/>
              </w:rPr>
              <w:fldChar w:fldCharType="begin"/>
            </w:r>
            <w:r w:rsidR="004E1DED">
              <w:rPr>
                <w:noProof/>
                <w:webHidden/>
              </w:rPr>
              <w:instrText xml:space="preserve"> PAGEREF _Toc69305087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3D3B308B" w14:textId="47E86D9F" w:rsidR="004E1DED" w:rsidRDefault="00B812BB">
          <w:pPr>
            <w:pStyle w:val="TOC3"/>
            <w:rPr>
              <w:rFonts w:asciiTheme="minorHAnsi" w:eastAsiaTheme="minorEastAsia" w:hAnsiTheme="minorHAnsi" w:cstheme="minorBidi"/>
              <w:b w:val="0"/>
              <w:noProof/>
              <w:szCs w:val="22"/>
              <w:lang w:eastAsia="en-AU"/>
            </w:rPr>
          </w:pPr>
          <w:hyperlink w:anchor="_Toc69305088" w:history="1">
            <w:r w:rsidR="004E1DED" w:rsidRPr="006974CF">
              <w:rPr>
                <w:rStyle w:val="Hyperlink"/>
                <w:noProof/>
              </w:rPr>
              <w:t>Current scheduling</w:t>
            </w:r>
            <w:r w:rsidR="004E1DED">
              <w:rPr>
                <w:noProof/>
                <w:webHidden/>
              </w:rPr>
              <w:tab/>
            </w:r>
            <w:r w:rsidR="004E1DED">
              <w:rPr>
                <w:noProof/>
                <w:webHidden/>
              </w:rPr>
              <w:fldChar w:fldCharType="begin"/>
            </w:r>
            <w:r w:rsidR="004E1DED">
              <w:rPr>
                <w:noProof/>
                <w:webHidden/>
              </w:rPr>
              <w:instrText xml:space="preserve"> PAGEREF _Toc69305088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22C22083" w14:textId="01402A3A" w:rsidR="004E1DED" w:rsidRDefault="00B812BB">
          <w:pPr>
            <w:pStyle w:val="TOC3"/>
            <w:rPr>
              <w:rFonts w:asciiTheme="minorHAnsi" w:eastAsiaTheme="minorEastAsia" w:hAnsiTheme="minorHAnsi" w:cstheme="minorBidi"/>
              <w:b w:val="0"/>
              <w:noProof/>
              <w:szCs w:val="22"/>
              <w:lang w:eastAsia="en-AU"/>
            </w:rPr>
          </w:pPr>
          <w:hyperlink w:anchor="_Toc69305089" w:history="1">
            <w:r w:rsidR="004E1DED" w:rsidRPr="006974CF">
              <w:rPr>
                <w:rStyle w:val="Hyperlink"/>
                <w:noProof/>
              </w:rPr>
              <w:t>Proposed scheduling</w:t>
            </w:r>
            <w:r w:rsidR="004E1DED">
              <w:rPr>
                <w:noProof/>
                <w:webHidden/>
              </w:rPr>
              <w:tab/>
            </w:r>
            <w:r w:rsidR="004E1DED">
              <w:rPr>
                <w:noProof/>
                <w:webHidden/>
              </w:rPr>
              <w:fldChar w:fldCharType="begin"/>
            </w:r>
            <w:r w:rsidR="004E1DED">
              <w:rPr>
                <w:noProof/>
                <w:webHidden/>
              </w:rPr>
              <w:instrText xml:space="preserve"> PAGEREF _Toc69305089 \h </w:instrText>
            </w:r>
            <w:r w:rsidR="004E1DED">
              <w:rPr>
                <w:noProof/>
                <w:webHidden/>
              </w:rPr>
            </w:r>
            <w:r w:rsidR="004E1DED">
              <w:rPr>
                <w:noProof/>
                <w:webHidden/>
              </w:rPr>
              <w:fldChar w:fldCharType="separate"/>
            </w:r>
            <w:r w:rsidR="004E1DED">
              <w:rPr>
                <w:noProof/>
                <w:webHidden/>
              </w:rPr>
              <w:t>11</w:t>
            </w:r>
            <w:r w:rsidR="004E1DED">
              <w:rPr>
                <w:noProof/>
                <w:webHidden/>
              </w:rPr>
              <w:fldChar w:fldCharType="end"/>
            </w:r>
          </w:hyperlink>
        </w:p>
        <w:p w14:paraId="0C65F72B" w14:textId="21F30B3D" w:rsidR="004E1DED" w:rsidRDefault="00B812BB">
          <w:pPr>
            <w:pStyle w:val="TOC3"/>
            <w:rPr>
              <w:rFonts w:asciiTheme="minorHAnsi" w:eastAsiaTheme="minorEastAsia" w:hAnsiTheme="minorHAnsi" w:cstheme="minorBidi"/>
              <w:b w:val="0"/>
              <w:noProof/>
              <w:szCs w:val="22"/>
              <w:lang w:eastAsia="en-AU"/>
            </w:rPr>
          </w:pPr>
          <w:hyperlink w:anchor="_Toc69305090" w:history="1">
            <w:r w:rsidR="004E1DED" w:rsidRPr="006974CF">
              <w:rPr>
                <w:rStyle w:val="Hyperlink"/>
                <w:noProof/>
              </w:rPr>
              <w:t>Key uses/expected use</w:t>
            </w:r>
            <w:r w:rsidR="004E1DED">
              <w:rPr>
                <w:noProof/>
                <w:webHidden/>
              </w:rPr>
              <w:tab/>
            </w:r>
            <w:r w:rsidR="004E1DED">
              <w:rPr>
                <w:noProof/>
                <w:webHidden/>
              </w:rPr>
              <w:fldChar w:fldCharType="begin"/>
            </w:r>
            <w:r w:rsidR="004E1DED">
              <w:rPr>
                <w:noProof/>
                <w:webHidden/>
              </w:rPr>
              <w:instrText xml:space="preserve"> PAGEREF _Toc69305090 \h </w:instrText>
            </w:r>
            <w:r w:rsidR="004E1DED">
              <w:rPr>
                <w:noProof/>
                <w:webHidden/>
              </w:rPr>
            </w:r>
            <w:r w:rsidR="004E1DED">
              <w:rPr>
                <w:noProof/>
                <w:webHidden/>
              </w:rPr>
              <w:fldChar w:fldCharType="separate"/>
            </w:r>
            <w:r w:rsidR="004E1DED">
              <w:rPr>
                <w:noProof/>
                <w:webHidden/>
              </w:rPr>
              <w:t>12</w:t>
            </w:r>
            <w:r w:rsidR="004E1DED">
              <w:rPr>
                <w:noProof/>
                <w:webHidden/>
              </w:rPr>
              <w:fldChar w:fldCharType="end"/>
            </w:r>
          </w:hyperlink>
        </w:p>
        <w:p w14:paraId="3EC7DB3A" w14:textId="6E25FF2A" w:rsidR="004E1DED" w:rsidRDefault="00B812BB">
          <w:pPr>
            <w:pStyle w:val="TOC3"/>
            <w:rPr>
              <w:rFonts w:asciiTheme="minorHAnsi" w:eastAsiaTheme="minorEastAsia" w:hAnsiTheme="minorHAnsi" w:cstheme="minorBidi"/>
              <w:b w:val="0"/>
              <w:noProof/>
              <w:szCs w:val="22"/>
              <w:lang w:eastAsia="en-AU"/>
            </w:rPr>
          </w:pPr>
          <w:hyperlink w:anchor="_Toc69305091" w:history="1">
            <w:r w:rsidR="004E1DED" w:rsidRPr="006974CF">
              <w:rPr>
                <w:rStyle w:val="Hyperlink"/>
                <w:noProof/>
              </w:rPr>
              <w:t>Reasons for the proposal</w:t>
            </w:r>
            <w:r w:rsidR="004E1DED">
              <w:rPr>
                <w:noProof/>
                <w:webHidden/>
              </w:rPr>
              <w:tab/>
            </w:r>
            <w:r w:rsidR="004E1DED">
              <w:rPr>
                <w:noProof/>
                <w:webHidden/>
              </w:rPr>
              <w:fldChar w:fldCharType="begin"/>
            </w:r>
            <w:r w:rsidR="004E1DED">
              <w:rPr>
                <w:noProof/>
                <w:webHidden/>
              </w:rPr>
              <w:instrText xml:space="preserve"> PAGEREF _Toc69305091 \h </w:instrText>
            </w:r>
            <w:r w:rsidR="004E1DED">
              <w:rPr>
                <w:noProof/>
                <w:webHidden/>
              </w:rPr>
            </w:r>
            <w:r w:rsidR="004E1DED">
              <w:rPr>
                <w:noProof/>
                <w:webHidden/>
              </w:rPr>
              <w:fldChar w:fldCharType="separate"/>
            </w:r>
            <w:r w:rsidR="004E1DED">
              <w:rPr>
                <w:noProof/>
                <w:webHidden/>
              </w:rPr>
              <w:t>12</w:t>
            </w:r>
            <w:r w:rsidR="004E1DED">
              <w:rPr>
                <w:noProof/>
                <w:webHidden/>
              </w:rPr>
              <w:fldChar w:fldCharType="end"/>
            </w:r>
          </w:hyperlink>
        </w:p>
        <w:p w14:paraId="1432192A" w14:textId="796D485D" w:rsidR="004E1DED" w:rsidRDefault="00B812BB">
          <w:pPr>
            <w:pStyle w:val="TOC3"/>
            <w:rPr>
              <w:rFonts w:asciiTheme="minorHAnsi" w:eastAsiaTheme="minorEastAsia" w:hAnsiTheme="minorHAnsi" w:cstheme="minorBidi"/>
              <w:b w:val="0"/>
              <w:noProof/>
              <w:szCs w:val="22"/>
              <w:lang w:eastAsia="en-AU"/>
            </w:rPr>
          </w:pPr>
          <w:hyperlink w:anchor="_Toc69305092" w:history="1">
            <w:r w:rsidR="004E1DED" w:rsidRPr="006974CF">
              <w:rPr>
                <w:rStyle w:val="Hyperlink"/>
                <w:noProof/>
              </w:rPr>
              <w:t>Australian regulations</w:t>
            </w:r>
            <w:r w:rsidR="004E1DED">
              <w:rPr>
                <w:noProof/>
                <w:webHidden/>
              </w:rPr>
              <w:tab/>
            </w:r>
            <w:r w:rsidR="004E1DED">
              <w:rPr>
                <w:noProof/>
                <w:webHidden/>
              </w:rPr>
              <w:fldChar w:fldCharType="begin"/>
            </w:r>
            <w:r w:rsidR="004E1DED">
              <w:rPr>
                <w:noProof/>
                <w:webHidden/>
              </w:rPr>
              <w:instrText xml:space="preserve"> PAGEREF _Toc69305092 \h </w:instrText>
            </w:r>
            <w:r w:rsidR="004E1DED">
              <w:rPr>
                <w:noProof/>
                <w:webHidden/>
              </w:rPr>
            </w:r>
            <w:r w:rsidR="004E1DED">
              <w:rPr>
                <w:noProof/>
                <w:webHidden/>
              </w:rPr>
              <w:fldChar w:fldCharType="separate"/>
            </w:r>
            <w:r w:rsidR="004E1DED">
              <w:rPr>
                <w:noProof/>
                <w:webHidden/>
              </w:rPr>
              <w:t>13</w:t>
            </w:r>
            <w:r w:rsidR="004E1DED">
              <w:rPr>
                <w:noProof/>
                <w:webHidden/>
              </w:rPr>
              <w:fldChar w:fldCharType="end"/>
            </w:r>
          </w:hyperlink>
        </w:p>
        <w:p w14:paraId="60FC129C" w14:textId="7102BED6" w:rsidR="004E1DED" w:rsidRDefault="00B812BB">
          <w:pPr>
            <w:pStyle w:val="TOC3"/>
            <w:rPr>
              <w:rFonts w:asciiTheme="minorHAnsi" w:eastAsiaTheme="minorEastAsia" w:hAnsiTheme="minorHAnsi" w:cstheme="minorBidi"/>
              <w:b w:val="0"/>
              <w:noProof/>
              <w:szCs w:val="22"/>
              <w:lang w:eastAsia="en-AU"/>
            </w:rPr>
          </w:pPr>
          <w:hyperlink w:anchor="_Toc69305093" w:history="1">
            <w:r w:rsidR="004E1DED" w:rsidRPr="006974CF">
              <w:rPr>
                <w:rStyle w:val="Hyperlink"/>
                <w:noProof/>
              </w:rPr>
              <w:t>International regulations</w:t>
            </w:r>
            <w:r w:rsidR="004E1DED">
              <w:rPr>
                <w:noProof/>
                <w:webHidden/>
              </w:rPr>
              <w:tab/>
            </w:r>
            <w:r w:rsidR="004E1DED">
              <w:rPr>
                <w:noProof/>
                <w:webHidden/>
              </w:rPr>
              <w:fldChar w:fldCharType="begin"/>
            </w:r>
            <w:r w:rsidR="004E1DED">
              <w:rPr>
                <w:noProof/>
                <w:webHidden/>
              </w:rPr>
              <w:instrText xml:space="preserve"> PAGEREF _Toc69305093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4162C6E9" w14:textId="20A2024F" w:rsidR="004E1DED" w:rsidRDefault="00B812BB">
          <w:pPr>
            <w:pStyle w:val="TOC2"/>
            <w:tabs>
              <w:tab w:val="left" w:pos="1276"/>
            </w:tabs>
            <w:rPr>
              <w:rFonts w:asciiTheme="minorHAnsi" w:eastAsiaTheme="minorEastAsia" w:hAnsiTheme="minorHAnsi" w:cstheme="minorBidi"/>
              <w:b w:val="0"/>
              <w:noProof/>
              <w:sz w:val="22"/>
              <w:szCs w:val="22"/>
              <w:lang w:eastAsia="en-AU"/>
            </w:rPr>
          </w:pPr>
          <w:hyperlink w:anchor="_Toc69305094" w:history="1">
            <w:r w:rsidR="004E1DED" w:rsidRPr="006974CF">
              <w:rPr>
                <w:rStyle w:val="Hyperlink"/>
                <w:noProof/>
              </w:rPr>
              <w:t>2.3</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Methanol</w:t>
            </w:r>
            <w:r w:rsidR="004E1DED">
              <w:rPr>
                <w:noProof/>
                <w:webHidden/>
              </w:rPr>
              <w:tab/>
            </w:r>
            <w:r w:rsidR="004E1DED">
              <w:rPr>
                <w:noProof/>
                <w:webHidden/>
              </w:rPr>
              <w:fldChar w:fldCharType="begin"/>
            </w:r>
            <w:r w:rsidR="004E1DED">
              <w:rPr>
                <w:noProof/>
                <w:webHidden/>
              </w:rPr>
              <w:instrText xml:space="preserve"> PAGEREF _Toc69305094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0575A321" w14:textId="27782D42" w:rsidR="004E1DED" w:rsidRDefault="00B812BB">
          <w:pPr>
            <w:pStyle w:val="TOC3"/>
            <w:rPr>
              <w:rFonts w:asciiTheme="minorHAnsi" w:eastAsiaTheme="minorEastAsia" w:hAnsiTheme="minorHAnsi" w:cstheme="minorBidi"/>
              <w:b w:val="0"/>
              <w:noProof/>
              <w:szCs w:val="22"/>
              <w:lang w:eastAsia="en-AU"/>
            </w:rPr>
          </w:pPr>
          <w:hyperlink w:anchor="_Toc69305095" w:history="1">
            <w:r w:rsidR="004E1DED" w:rsidRPr="006974CF">
              <w:rPr>
                <w:rStyle w:val="Hyperlink"/>
                <w:noProof/>
              </w:rPr>
              <w:t>Proposal</w:t>
            </w:r>
            <w:r w:rsidR="004E1DED">
              <w:rPr>
                <w:noProof/>
                <w:webHidden/>
              </w:rPr>
              <w:tab/>
            </w:r>
            <w:r w:rsidR="004E1DED">
              <w:rPr>
                <w:noProof/>
                <w:webHidden/>
              </w:rPr>
              <w:fldChar w:fldCharType="begin"/>
            </w:r>
            <w:r w:rsidR="004E1DED">
              <w:rPr>
                <w:noProof/>
                <w:webHidden/>
              </w:rPr>
              <w:instrText xml:space="preserve"> PAGEREF _Toc69305095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0CFFCB3C" w14:textId="769F942A" w:rsidR="004E1DED" w:rsidRDefault="00B812BB">
          <w:pPr>
            <w:pStyle w:val="TOC3"/>
            <w:rPr>
              <w:rFonts w:asciiTheme="minorHAnsi" w:eastAsiaTheme="minorEastAsia" w:hAnsiTheme="minorHAnsi" w:cstheme="minorBidi"/>
              <w:b w:val="0"/>
              <w:noProof/>
              <w:szCs w:val="22"/>
              <w:lang w:eastAsia="en-AU"/>
            </w:rPr>
          </w:pPr>
          <w:hyperlink w:anchor="_Toc69305096" w:history="1">
            <w:r w:rsidR="004E1DED" w:rsidRPr="006974CF">
              <w:rPr>
                <w:rStyle w:val="Hyperlink"/>
                <w:noProof/>
              </w:rPr>
              <w:t>CAS Number:</w:t>
            </w:r>
            <w:r w:rsidR="004E1DED">
              <w:rPr>
                <w:noProof/>
                <w:webHidden/>
              </w:rPr>
              <w:tab/>
            </w:r>
            <w:r w:rsidR="004E1DED">
              <w:rPr>
                <w:noProof/>
                <w:webHidden/>
              </w:rPr>
              <w:fldChar w:fldCharType="begin"/>
            </w:r>
            <w:r w:rsidR="004E1DED">
              <w:rPr>
                <w:noProof/>
                <w:webHidden/>
              </w:rPr>
              <w:instrText xml:space="preserve"> PAGEREF _Toc69305096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4C2470A6" w14:textId="37854A23" w:rsidR="004E1DED" w:rsidRDefault="00B812BB">
          <w:pPr>
            <w:pStyle w:val="TOC3"/>
            <w:rPr>
              <w:rFonts w:asciiTheme="minorHAnsi" w:eastAsiaTheme="minorEastAsia" w:hAnsiTheme="minorHAnsi" w:cstheme="minorBidi"/>
              <w:b w:val="0"/>
              <w:noProof/>
              <w:szCs w:val="22"/>
              <w:lang w:eastAsia="en-AU"/>
            </w:rPr>
          </w:pPr>
          <w:hyperlink w:anchor="_Toc69305097" w:history="1">
            <w:r w:rsidR="004E1DED" w:rsidRPr="006974CF">
              <w:rPr>
                <w:rStyle w:val="Hyperlink"/>
                <w:noProof/>
              </w:rPr>
              <w:t>Alternative names</w:t>
            </w:r>
            <w:r w:rsidR="004E1DED">
              <w:rPr>
                <w:noProof/>
                <w:webHidden/>
              </w:rPr>
              <w:tab/>
            </w:r>
            <w:r w:rsidR="004E1DED">
              <w:rPr>
                <w:noProof/>
                <w:webHidden/>
              </w:rPr>
              <w:fldChar w:fldCharType="begin"/>
            </w:r>
            <w:r w:rsidR="004E1DED">
              <w:rPr>
                <w:noProof/>
                <w:webHidden/>
              </w:rPr>
              <w:instrText xml:space="preserve"> PAGEREF _Toc69305097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2D025E75" w14:textId="01509CEB" w:rsidR="004E1DED" w:rsidRDefault="00B812BB">
          <w:pPr>
            <w:pStyle w:val="TOC3"/>
            <w:rPr>
              <w:rFonts w:asciiTheme="minorHAnsi" w:eastAsiaTheme="minorEastAsia" w:hAnsiTheme="minorHAnsi" w:cstheme="minorBidi"/>
              <w:b w:val="0"/>
              <w:noProof/>
              <w:szCs w:val="22"/>
              <w:lang w:eastAsia="en-AU"/>
            </w:rPr>
          </w:pPr>
          <w:hyperlink w:anchor="_Toc69305098" w:history="1">
            <w:r w:rsidR="004E1DED" w:rsidRPr="006974CF">
              <w:rPr>
                <w:rStyle w:val="Hyperlink"/>
                <w:noProof/>
              </w:rPr>
              <w:t>Applicant</w:t>
            </w:r>
            <w:r w:rsidR="004E1DED">
              <w:rPr>
                <w:noProof/>
                <w:webHidden/>
              </w:rPr>
              <w:tab/>
            </w:r>
            <w:r w:rsidR="004E1DED">
              <w:rPr>
                <w:noProof/>
                <w:webHidden/>
              </w:rPr>
              <w:fldChar w:fldCharType="begin"/>
            </w:r>
            <w:r w:rsidR="004E1DED">
              <w:rPr>
                <w:noProof/>
                <w:webHidden/>
              </w:rPr>
              <w:instrText xml:space="preserve"> PAGEREF _Toc69305098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4EEE734A" w14:textId="62AEFAC7" w:rsidR="004E1DED" w:rsidRDefault="00B812BB">
          <w:pPr>
            <w:pStyle w:val="TOC3"/>
            <w:rPr>
              <w:rFonts w:asciiTheme="minorHAnsi" w:eastAsiaTheme="minorEastAsia" w:hAnsiTheme="minorHAnsi" w:cstheme="minorBidi"/>
              <w:b w:val="0"/>
              <w:noProof/>
              <w:szCs w:val="22"/>
              <w:lang w:eastAsia="en-AU"/>
            </w:rPr>
          </w:pPr>
          <w:hyperlink w:anchor="_Toc69305099" w:history="1">
            <w:r w:rsidR="004E1DED" w:rsidRPr="006974CF">
              <w:rPr>
                <w:rStyle w:val="Hyperlink"/>
                <w:noProof/>
              </w:rPr>
              <w:t>Current scheduling</w:t>
            </w:r>
            <w:r w:rsidR="004E1DED">
              <w:rPr>
                <w:noProof/>
                <w:webHidden/>
              </w:rPr>
              <w:tab/>
            </w:r>
            <w:r w:rsidR="004E1DED">
              <w:rPr>
                <w:noProof/>
                <w:webHidden/>
              </w:rPr>
              <w:fldChar w:fldCharType="begin"/>
            </w:r>
            <w:r w:rsidR="004E1DED">
              <w:rPr>
                <w:noProof/>
                <w:webHidden/>
              </w:rPr>
              <w:instrText xml:space="preserve"> PAGEREF _Toc69305099 \h </w:instrText>
            </w:r>
            <w:r w:rsidR="004E1DED">
              <w:rPr>
                <w:noProof/>
                <w:webHidden/>
              </w:rPr>
            </w:r>
            <w:r w:rsidR="004E1DED">
              <w:rPr>
                <w:noProof/>
                <w:webHidden/>
              </w:rPr>
              <w:fldChar w:fldCharType="separate"/>
            </w:r>
            <w:r w:rsidR="004E1DED">
              <w:rPr>
                <w:noProof/>
                <w:webHidden/>
              </w:rPr>
              <w:t>14</w:t>
            </w:r>
            <w:r w:rsidR="004E1DED">
              <w:rPr>
                <w:noProof/>
                <w:webHidden/>
              </w:rPr>
              <w:fldChar w:fldCharType="end"/>
            </w:r>
          </w:hyperlink>
        </w:p>
        <w:p w14:paraId="2CC9ADFC" w14:textId="16204077" w:rsidR="004E1DED" w:rsidRDefault="00B812BB">
          <w:pPr>
            <w:pStyle w:val="TOC3"/>
            <w:rPr>
              <w:rFonts w:asciiTheme="minorHAnsi" w:eastAsiaTheme="minorEastAsia" w:hAnsiTheme="minorHAnsi" w:cstheme="minorBidi"/>
              <w:b w:val="0"/>
              <w:noProof/>
              <w:szCs w:val="22"/>
              <w:lang w:eastAsia="en-AU"/>
            </w:rPr>
          </w:pPr>
          <w:hyperlink w:anchor="_Toc69305100" w:history="1">
            <w:r w:rsidR="004E1DED" w:rsidRPr="006974CF">
              <w:rPr>
                <w:rStyle w:val="Hyperlink"/>
                <w:noProof/>
              </w:rPr>
              <w:t>Proposed scheduling</w:t>
            </w:r>
            <w:r w:rsidR="004E1DED">
              <w:rPr>
                <w:noProof/>
                <w:webHidden/>
              </w:rPr>
              <w:tab/>
            </w:r>
            <w:r w:rsidR="004E1DED">
              <w:rPr>
                <w:noProof/>
                <w:webHidden/>
              </w:rPr>
              <w:fldChar w:fldCharType="begin"/>
            </w:r>
            <w:r w:rsidR="004E1DED">
              <w:rPr>
                <w:noProof/>
                <w:webHidden/>
              </w:rPr>
              <w:instrText xml:space="preserve"> PAGEREF _Toc69305100 \h </w:instrText>
            </w:r>
            <w:r w:rsidR="004E1DED">
              <w:rPr>
                <w:noProof/>
                <w:webHidden/>
              </w:rPr>
            </w:r>
            <w:r w:rsidR="004E1DED">
              <w:rPr>
                <w:noProof/>
                <w:webHidden/>
              </w:rPr>
              <w:fldChar w:fldCharType="separate"/>
            </w:r>
            <w:r w:rsidR="004E1DED">
              <w:rPr>
                <w:noProof/>
                <w:webHidden/>
              </w:rPr>
              <w:t>15</w:t>
            </w:r>
            <w:r w:rsidR="004E1DED">
              <w:rPr>
                <w:noProof/>
                <w:webHidden/>
              </w:rPr>
              <w:fldChar w:fldCharType="end"/>
            </w:r>
          </w:hyperlink>
        </w:p>
        <w:p w14:paraId="502456B1" w14:textId="4FFC8DF5" w:rsidR="004E1DED" w:rsidRDefault="00B812BB">
          <w:pPr>
            <w:pStyle w:val="TOC3"/>
            <w:rPr>
              <w:rFonts w:asciiTheme="minorHAnsi" w:eastAsiaTheme="minorEastAsia" w:hAnsiTheme="minorHAnsi" w:cstheme="minorBidi"/>
              <w:b w:val="0"/>
              <w:noProof/>
              <w:szCs w:val="22"/>
              <w:lang w:eastAsia="en-AU"/>
            </w:rPr>
          </w:pPr>
          <w:hyperlink w:anchor="_Toc69305101" w:history="1">
            <w:r w:rsidR="004E1DED" w:rsidRPr="006974CF">
              <w:rPr>
                <w:rStyle w:val="Hyperlink"/>
                <w:noProof/>
              </w:rPr>
              <w:t>Key uses / expected use</w:t>
            </w:r>
            <w:r w:rsidR="004E1DED">
              <w:rPr>
                <w:noProof/>
                <w:webHidden/>
              </w:rPr>
              <w:tab/>
            </w:r>
            <w:r w:rsidR="004E1DED">
              <w:rPr>
                <w:noProof/>
                <w:webHidden/>
              </w:rPr>
              <w:fldChar w:fldCharType="begin"/>
            </w:r>
            <w:r w:rsidR="004E1DED">
              <w:rPr>
                <w:noProof/>
                <w:webHidden/>
              </w:rPr>
              <w:instrText xml:space="preserve"> PAGEREF _Toc69305101 \h </w:instrText>
            </w:r>
            <w:r w:rsidR="004E1DED">
              <w:rPr>
                <w:noProof/>
                <w:webHidden/>
              </w:rPr>
            </w:r>
            <w:r w:rsidR="004E1DED">
              <w:rPr>
                <w:noProof/>
                <w:webHidden/>
              </w:rPr>
              <w:fldChar w:fldCharType="separate"/>
            </w:r>
            <w:r w:rsidR="004E1DED">
              <w:rPr>
                <w:noProof/>
                <w:webHidden/>
              </w:rPr>
              <w:t>16</w:t>
            </w:r>
            <w:r w:rsidR="004E1DED">
              <w:rPr>
                <w:noProof/>
                <w:webHidden/>
              </w:rPr>
              <w:fldChar w:fldCharType="end"/>
            </w:r>
          </w:hyperlink>
        </w:p>
        <w:p w14:paraId="1D1E9C58" w14:textId="6FFF7233" w:rsidR="004E1DED" w:rsidRDefault="00B812BB">
          <w:pPr>
            <w:pStyle w:val="TOC3"/>
            <w:rPr>
              <w:rFonts w:asciiTheme="minorHAnsi" w:eastAsiaTheme="minorEastAsia" w:hAnsiTheme="minorHAnsi" w:cstheme="minorBidi"/>
              <w:b w:val="0"/>
              <w:noProof/>
              <w:szCs w:val="22"/>
              <w:lang w:eastAsia="en-AU"/>
            </w:rPr>
          </w:pPr>
          <w:hyperlink w:anchor="_Toc69305102" w:history="1">
            <w:r w:rsidR="004E1DED" w:rsidRPr="006974CF">
              <w:rPr>
                <w:rStyle w:val="Hyperlink"/>
                <w:noProof/>
              </w:rPr>
              <w:t>Reasons for proposal</w:t>
            </w:r>
            <w:r w:rsidR="004E1DED">
              <w:rPr>
                <w:noProof/>
                <w:webHidden/>
              </w:rPr>
              <w:tab/>
            </w:r>
            <w:r w:rsidR="004E1DED">
              <w:rPr>
                <w:noProof/>
                <w:webHidden/>
              </w:rPr>
              <w:fldChar w:fldCharType="begin"/>
            </w:r>
            <w:r w:rsidR="004E1DED">
              <w:rPr>
                <w:noProof/>
                <w:webHidden/>
              </w:rPr>
              <w:instrText xml:space="preserve"> PAGEREF _Toc69305102 \h </w:instrText>
            </w:r>
            <w:r w:rsidR="004E1DED">
              <w:rPr>
                <w:noProof/>
                <w:webHidden/>
              </w:rPr>
            </w:r>
            <w:r w:rsidR="004E1DED">
              <w:rPr>
                <w:noProof/>
                <w:webHidden/>
              </w:rPr>
              <w:fldChar w:fldCharType="separate"/>
            </w:r>
            <w:r w:rsidR="004E1DED">
              <w:rPr>
                <w:noProof/>
                <w:webHidden/>
              </w:rPr>
              <w:t>16</w:t>
            </w:r>
            <w:r w:rsidR="004E1DED">
              <w:rPr>
                <w:noProof/>
                <w:webHidden/>
              </w:rPr>
              <w:fldChar w:fldCharType="end"/>
            </w:r>
          </w:hyperlink>
        </w:p>
        <w:p w14:paraId="3A609FDB" w14:textId="512B69BC" w:rsidR="004E1DED" w:rsidRDefault="00B812BB">
          <w:pPr>
            <w:pStyle w:val="TOC3"/>
            <w:rPr>
              <w:rFonts w:asciiTheme="minorHAnsi" w:eastAsiaTheme="minorEastAsia" w:hAnsiTheme="minorHAnsi" w:cstheme="minorBidi"/>
              <w:b w:val="0"/>
              <w:noProof/>
              <w:szCs w:val="22"/>
              <w:lang w:eastAsia="en-AU"/>
            </w:rPr>
          </w:pPr>
          <w:hyperlink w:anchor="_Toc69305103" w:history="1">
            <w:r w:rsidR="004E1DED" w:rsidRPr="006974CF">
              <w:rPr>
                <w:rStyle w:val="Hyperlink"/>
                <w:noProof/>
              </w:rPr>
              <w:t>Australian regulations</w:t>
            </w:r>
            <w:r w:rsidR="004E1DED">
              <w:rPr>
                <w:noProof/>
                <w:webHidden/>
              </w:rPr>
              <w:tab/>
            </w:r>
            <w:r w:rsidR="004E1DED">
              <w:rPr>
                <w:noProof/>
                <w:webHidden/>
              </w:rPr>
              <w:fldChar w:fldCharType="begin"/>
            </w:r>
            <w:r w:rsidR="004E1DED">
              <w:rPr>
                <w:noProof/>
                <w:webHidden/>
              </w:rPr>
              <w:instrText xml:space="preserve"> PAGEREF _Toc69305103 \h </w:instrText>
            </w:r>
            <w:r w:rsidR="004E1DED">
              <w:rPr>
                <w:noProof/>
                <w:webHidden/>
              </w:rPr>
            </w:r>
            <w:r w:rsidR="004E1DED">
              <w:rPr>
                <w:noProof/>
                <w:webHidden/>
              </w:rPr>
              <w:fldChar w:fldCharType="separate"/>
            </w:r>
            <w:r w:rsidR="004E1DED">
              <w:rPr>
                <w:noProof/>
                <w:webHidden/>
              </w:rPr>
              <w:t>16</w:t>
            </w:r>
            <w:r w:rsidR="004E1DED">
              <w:rPr>
                <w:noProof/>
                <w:webHidden/>
              </w:rPr>
              <w:fldChar w:fldCharType="end"/>
            </w:r>
          </w:hyperlink>
        </w:p>
        <w:p w14:paraId="27E15DC4" w14:textId="1DA688B6" w:rsidR="004E1DED" w:rsidRDefault="00B812BB">
          <w:pPr>
            <w:pStyle w:val="TOC3"/>
            <w:rPr>
              <w:rFonts w:asciiTheme="minorHAnsi" w:eastAsiaTheme="minorEastAsia" w:hAnsiTheme="minorHAnsi" w:cstheme="minorBidi"/>
              <w:b w:val="0"/>
              <w:noProof/>
              <w:szCs w:val="22"/>
              <w:lang w:eastAsia="en-AU"/>
            </w:rPr>
          </w:pPr>
          <w:hyperlink w:anchor="_Toc69305104" w:history="1">
            <w:r w:rsidR="004E1DED" w:rsidRPr="006974CF">
              <w:rPr>
                <w:rStyle w:val="Hyperlink"/>
                <w:noProof/>
              </w:rPr>
              <w:t>International regulations</w:t>
            </w:r>
            <w:r w:rsidR="004E1DED">
              <w:rPr>
                <w:noProof/>
                <w:webHidden/>
              </w:rPr>
              <w:tab/>
            </w:r>
            <w:r w:rsidR="004E1DED">
              <w:rPr>
                <w:noProof/>
                <w:webHidden/>
              </w:rPr>
              <w:fldChar w:fldCharType="begin"/>
            </w:r>
            <w:r w:rsidR="004E1DED">
              <w:rPr>
                <w:noProof/>
                <w:webHidden/>
              </w:rPr>
              <w:instrText xml:space="preserve"> PAGEREF _Toc69305104 \h </w:instrText>
            </w:r>
            <w:r w:rsidR="004E1DED">
              <w:rPr>
                <w:noProof/>
                <w:webHidden/>
              </w:rPr>
            </w:r>
            <w:r w:rsidR="004E1DED">
              <w:rPr>
                <w:noProof/>
                <w:webHidden/>
              </w:rPr>
              <w:fldChar w:fldCharType="separate"/>
            </w:r>
            <w:r w:rsidR="004E1DED">
              <w:rPr>
                <w:noProof/>
                <w:webHidden/>
              </w:rPr>
              <w:t>17</w:t>
            </w:r>
            <w:r w:rsidR="004E1DED">
              <w:rPr>
                <w:noProof/>
                <w:webHidden/>
              </w:rPr>
              <w:fldChar w:fldCharType="end"/>
            </w:r>
          </w:hyperlink>
        </w:p>
        <w:p w14:paraId="0BD6ED71" w14:textId="4D124992" w:rsidR="004E1DED" w:rsidRDefault="00B812BB">
          <w:pPr>
            <w:pStyle w:val="TOC1"/>
            <w:tabs>
              <w:tab w:val="left" w:pos="425"/>
            </w:tabs>
            <w:rPr>
              <w:rFonts w:asciiTheme="minorHAnsi" w:eastAsiaTheme="minorEastAsia" w:hAnsiTheme="minorHAnsi" w:cstheme="minorBidi"/>
              <w:b w:val="0"/>
              <w:noProof/>
              <w:sz w:val="22"/>
              <w:szCs w:val="22"/>
              <w:lang w:eastAsia="en-AU"/>
            </w:rPr>
          </w:pPr>
          <w:hyperlink w:anchor="_Toc69305105" w:history="1">
            <w:r w:rsidR="004E1DED" w:rsidRPr="006974CF">
              <w:rPr>
                <w:rStyle w:val="Hyperlink"/>
                <w:noProof/>
              </w:rPr>
              <w:t>3</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How to respond</w:t>
            </w:r>
            <w:r w:rsidR="004E1DED">
              <w:rPr>
                <w:noProof/>
                <w:webHidden/>
              </w:rPr>
              <w:tab/>
            </w:r>
            <w:r w:rsidR="004E1DED">
              <w:rPr>
                <w:noProof/>
                <w:webHidden/>
              </w:rPr>
              <w:fldChar w:fldCharType="begin"/>
            </w:r>
            <w:r w:rsidR="004E1DED">
              <w:rPr>
                <w:noProof/>
                <w:webHidden/>
              </w:rPr>
              <w:instrText xml:space="preserve"> PAGEREF _Toc69305105 \h </w:instrText>
            </w:r>
            <w:r w:rsidR="004E1DED">
              <w:rPr>
                <w:noProof/>
                <w:webHidden/>
              </w:rPr>
            </w:r>
            <w:r w:rsidR="004E1DED">
              <w:rPr>
                <w:noProof/>
                <w:webHidden/>
              </w:rPr>
              <w:fldChar w:fldCharType="separate"/>
            </w:r>
            <w:r w:rsidR="004E1DED">
              <w:rPr>
                <w:noProof/>
                <w:webHidden/>
              </w:rPr>
              <w:t>17</w:t>
            </w:r>
            <w:r w:rsidR="004E1DED">
              <w:rPr>
                <w:noProof/>
                <w:webHidden/>
              </w:rPr>
              <w:fldChar w:fldCharType="end"/>
            </w:r>
          </w:hyperlink>
        </w:p>
        <w:p w14:paraId="4F5FB53B" w14:textId="4F616A11" w:rsidR="004E1DED" w:rsidRDefault="00B812BB">
          <w:pPr>
            <w:pStyle w:val="TOC1"/>
            <w:tabs>
              <w:tab w:val="left" w:pos="425"/>
            </w:tabs>
            <w:rPr>
              <w:rFonts w:asciiTheme="minorHAnsi" w:eastAsiaTheme="minorEastAsia" w:hAnsiTheme="minorHAnsi" w:cstheme="minorBidi"/>
              <w:b w:val="0"/>
              <w:noProof/>
              <w:sz w:val="22"/>
              <w:szCs w:val="22"/>
              <w:lang w:eastAsia="en-AU"/>
            </w:rPr>
          </w:pPr>
          <w:hyperlink w:anchor="_Toc69305106" w:history="1">
            <w:r w:rsidR="004E1DED" w:rsidRPr="006974CF">
              <w:rPr>
                <w:rStyle w:val="Hyperlink"/>
                <w:noProof/>
              </w:rPr>
              <w:t>4</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What will happen</w:t>
            </w:r>
            <w:r w:rsidR="004E1DED">
              <w:rPr>
                <w:noProof/>
                <w:webHidden/>
              </w:rPr>
              <w:tab/>
            </w:r>
            <w:r w:rsidR="004E1DED">
              <w:rPr>
                <w:noProof/>
                <w:webHidden/>
              </w:rPr>
              <w:fldChar w:fldCharType="begin"/>
            </w:r>
            <w:r w:rsidR="004E1DED">
              <w:rPr>
                <w:noProof/>
                <w:webHidden/>
              </w:rPr>
              <w:instrText xml:space="preserve"> PAGEREF _Toc69305106 \h </w:instrText>
            </w:r>
            <w:r w:rsidR="004E1DED">
              <w:rPr>
                <w:noProof/>
                <w:webHidden/>
              </w:rPr>
            </w:r>
            <w:r w:rsidR="004E1DED">
              <w:rPr>
                <w:noProof/>
                <w:webHidden/>
              </w:rPr>
              <w:fldChar w:fldCharType="separate"/>
            </w:r>
            <w:r w:rsidR="004E1DED">
              <w:rPr>
                <w:noProof/>
                <w:webHidden/>
              </w:rPr>
              <w:t>18</w:t>
            </w:r>
            <w:r w:rsidR="004E1DED">
              <w:rPr>
                <w:noProof/>
                <w:webHidden/>
              </w:rPr>
              <w:fldChar w:fldCharType="end"/>
            </w:r>
          </w:hyperlink>
        </w:p>
        <w:p w14:paraId="25B88695" w14:textId="6384ED42" w:rsidR="004E1DED" w:rsidRDefault="00B812BB">
          <w:pPr>
            <w:pStyle w:val="TOC1"/>
            <w:tabs>
              <w:tab w:val="left" w:pos="425"/>
            </w:tabs>
            <w:rPr>
              <w:rFonts w:asciiTheme="minorHAnsi" w:eastAsiaTheme="minorEastAsia" w:hAnsiTheme="minorHAnsi" w:cstheme="minorBidi"/>
              <w:b w:val="0"/>
              <w:noProof/>
              <w:sz w:val="22"/>
              <w:szCs w:val="22"/>
              <w:lang w:eastAsia="en-AU"/>
            </w:rPr>
          </w:pPr>
          <w:hyperlink w:anchor="_Toc69305107" w:history="1">
            <w:r w:rsidR="004E1DED" w:rsidRPr="006974CF">
              <w:rPr>
                <w:rStyle w:val="Hyperlink"/>
                <w:noProof/>
              </w:rPr>
              <w:t>5</w:t>
            </w:r>
            <w:r w:rsidR="004E1DED">
              <w:rPr>
                <w:rFonts w:asciiTheme="minorHAnsi" w:eastAsiaTheme="minorEastAsia" w:hAnsiTheme="minorHAnsi" w:cstheme="minorBidi"/>
                <w:b w:val="0"/>
                <w:noProof/>
                <w:sz w:val="22"/>
                <w:szCs w:val="22"/>
                <w:lang w:eastAsia="en-AU"/>
              </w:rPr>
              <w:tab/>
            </w:r>
            <w:r w:rsidR="004E1DED" w:rsidRPr="006974CF">
              <w:rPr>
                <w:rStyle w:val="Hyperlink"/>
                <w:noProof/>
              </w:rPr>
              <w:t>Enquiries</w:t>
            </w:r>
            <w:r w:rsidR="004E1DED">
              <w:rPr>
                <w:noProof/>
                <w:webHidden/>
              </w:rPr>
              <w:tab/>
            </w:r>
            <w:r w:rsidR="004E1DED">
              <w:rPr>
                <w:noProof/>
                <w:webHidden/>
              </w:rPr>
              <w:fldChar w:fldCharType="begin"/>
            </w:r>
            <w:r w:rsidR="004E1DED">
              <w:rPr>
                <w:noProof/>
                <w:webHidden/>
              </w:rPr>
              <w:instrText xml:space="preserve"> PAGEREF _Toc69305107 \h </w:instrText>
            </w:r>
            <w:r w:rsidR="004E1DED">
              <w:rPr>
                <w:noProof/>
                <w:webHidden/>
              </w:rPr>
            </w:r>
            <w:r w:rsidR="004E1DED">
              <w:rPr>
                <w:noProof/>
                <w:webHidden/>
              </w:rPr>
              <w:fldChar w:fldCharType="separate"/>
            </w:r>
            <w:r w:rsidR="004E1DED">
              <w:rPr>
                <w:noProof/>
                <w:webHidden/>
              </w:rPr>
              <w:t>18</w:t>
            </w:r>
            <w:r w:rsidR="004E1DED">
              <w:rPr>
                <w:noProof/>
                <w:webHidden/>
              </w:rPr>
              <w:fldChar w:fldCharType="end"/>
            </w:r>
          </w:hyperlink>
        </w:p>
        <w:p w14:paraId="7CBED58D" w14:textId="4CFC236F" w:rsidR="00B92C72" w:rsidRPr="009401F6" w:rsidRDefault="006C626D" w:rsidP="0023397F">
          <w:r w:rsidRPr="009401F6">
            <w:fldChar w:fldCharType="end"/>
          </w:r>
        </w:p>
      </w:sdtContent>
    </w:sdt>
    <w:p w14:paraId="30413B40" w14:textId="4B88F78E" w:rsidR="003C02CB" w:rsidRDefault="004E1DED" w:rsidP="009D1F2D">
      <w:pPr>
        <w:pStyle w:val="Heading2"/>
      </w:pPr>
      <w:bookmarkStart w:id="2" w:name="_Toc69305070"/>
      <w:bookmarkEnd w:id="1"/>
      <w:r>
        <w:lastRenderedPageBreak/>
        <w:t>Intentionally blank</w:t>
      </w:r>
      <w:bookmarkEnd w:id="2"/>
    </w:p>
    <w:p w14:paraId="164A3CDB" w14:textId="77777777" w:rsidR="00312013" w:rsidRDefault="00312013" w:rsidP="00312013">
      <w:pPr>
        <w:pStyle w:val="Heading2"/>
      </w:pPr>
      <w:bookmarkStart w:id="3" w:name="_Toc69305071"/>
      <w:r>
        <w:lastRenderedPageBreak/>
        <w:t>Proposed amendments referred for scheduling advice to the Joint ACMS-ACCS #</w:t>
      </w:r>
      <w:r w:rsidRPr="00CB0B54">
        <w:t>28</w:t>
      </w:r>
      <w:bookmarkEnd w:id="3"/>
    </w:p>
    <w:p w14:paraId="390D6185" w14:textId="77777777" w:rsidR="00312013" w:rsidRDefault="00312013" w:rsidP="00312013">
      <w:pPr>
        <w:pStyle w:val="Heading3"/>
      </w:pPr>
      <w:bookmarkStart w:id="4" w:name="_Toc69303242"/>
      <w:bookmarkStart w:id="5" w:name="_Toc69305072"/>
      <w:r>
        <w:t>Ethanol</w:t>
      </w:r>
      <w:bookmarkEnd w:id="4"/>
      <w:bookmarkEnd w:id="5"/>
    </w:p>
    <w:p w14:paraId="5162FB7D" w14:textId="77777777" w:rsidR="00312013" w:rsidRDefault="00312013" w:rsidP="00312013">
      <w:pPr>
        <w:pStyle w:val="Heading4"/>
      </w:pPr>
      <w:bookmarkStart w:id="6" w:name="_Toc69303243"/>
      <w:bookmarkStart w:id="7" w:name="_Toc69305073"/>
      <w:r>
        <w:t>Proposal</w:t>
      </w:r>
      <w:bookmarkEnd w:id="6"/>
      <w:bookmarkEnd w:id="7"/>
    </w:p>
    <w:p w14:paraId="5D56D1E2" w14:textId="670D945E" w:rsidR="00312013" w:rsidRPr="00BA1F55" w:rsidRDefault="0012715D" w:rsidP="00312013">
      <w:pPr>
        <w:rPr>
          <w:rFonts w:asciiTheme="minorHAnsi" w:hAnsiTheme="minorHAnsi" w:cs="Arial"/>
          <w:szCs w:val="22"/>
          <w:shd w:val="clear" w:color="auto" w:fill="FFFFFF"/>
        </w:rPr>
      </w:pPr>
      <w:r>
        <w:rPr>
          <w:rFonts w:asciiTheme="minorHAnsi" w:hAnsiTheme="minorHAnsi" w:cs="Arial"/>
          <w:szCs w:val="22"/>
          <w:shd w:val="clear" w:color="auto" w:fill="FFFFFF"/>
        </w:rPr>
        <w:t>The applicant proposes a</w:t>
      </w:r>
      <w:r w:rsidR="00312013" w:rsidRPr="00BA1F55">
        <w:rPr>
          <w:rFonts w:asciiTheme="minorHAnsi" w:hAnsiTheme="minorHAnsi" w:cs="Arial"/>
          <w:szCs w:val="22"/>
          <w:shd w:val="clear" w:color="auto" w:fill="FFFFFF"/>
        </w:rPr>
        <w:t xml:space="preserve"> new entry in Schedule 6 for ethanol, when present in hand sanitiser preparations at concentrations </w:t>
      </w:r>
      <w:r w:rsidR="00312013" w:rsidRPr="00BA1F55">
        <w:rPr>
          <w:rFonts w:asciiTheme="minorHAnsi" w:hAnsiTheme="minorHAnsi" w:cs="Arial"/>
          <w:shd w:val="clear" w:color="auto" w:fill="FFFFFF"/>
        </w:rPr>
        <w:t>≥ 50%.</w:t>
      </w:r>
    </w:p>
    <w:p w14:paraId="66BEC562" w14:textId="77777777" w:rsidR="00312013" w:rsidRDefault="00312013" w:rsidP="00312013">
      <w:pPr>
        <w:pStyle w:val="Heading4"/>
      </w:pPr>
      <w:bookmarkStart w:id="8" w:name="_Toc69303244"/>
      <w:bookmarkStart w:id="9" w:name="_Toc69305074"/>
      <w:r>
        <w:t>CAS Number</w:t>
      </w:r>
      <w:bookmarkEnd w:id="8"/>
      <w:bookmarkEnd w:id="9"/>
    </w:p>
    <w:p w14:paraId="3FA72B3A" w14:textId="77777777" w:rsidR="00312013" w:rsidRPr="00BA1F55" w:rsidRDefault="00312013" w:rsidP="00312013">
      <w:pPr>
        <w:rPr>
          <w:rFonts w:asciiTheme="minorHAnsi" w:hAnsiTheme="minorHAnsi"/>
          <w:szCs w:val="22"/>
        </w:rPr>
      </w:pPr>
      <w:r w:rsidRPr="00BA1F55">
        <w:rPr>
          <w:rFonts w:asciiTheme="minorHAnsi" w:hAnsiTheme="minorHAnsi" w:cs="Arial"/>
          <w:szCs w:val="22"/>
          <w:shd w:val="clear" w:color="auto" w:fill="FFFFFF"/>
        </w:rPr>
        <w:t>64-17-5</w:t>
      </w:r>
    </w:p>
    <w:p w14:paraId="0B3215C2" w14:textId="77777777" w:rsidR="00312013" w:rsidRDefault="00312013" w:rsidP="00312013">
      <w:pPr>
        <w:pStyle w:val="Heading4"/>
      </w:pPr>
      <w:bookmarkStart w:id="10" w:name="_Toc69303245"/>
      <w:bookmarkStart w:id="11" w:name="_Toc69305075"/>
      <w:r>
        <w:t>Alternative names</w:t>
      </w:r>
      <w:bookmarkEnd w:id="10"/>
      <w:bookmarkEnd w:id="11"/>
    </w:p>
    <w:p w14:paraId="1B79641C" w14:textId="77777777" w:rsidR="00312013" w:rsidRPr="00BA1F55" w:rsidRDefault="00312013" w:rsidP="00312013">
      <w:pPr>
        <w:rPr>
          <w:rFonts w:asciiTheme="minorHAnsi" w:hAnsiTheme="minorHAnsi"/>
          <w:szCs w:val="22"/>
        </w:rPr>
      </w:pPr>
      <w:r w:rsidRPr="00BA1F55">
        <w:rPr>
          <w:rFonts w:asciiTheme="minorHAnsi" w:hAnsiTheme="minorHAnsi" w:cs="Arial"/>
          <w:szCs w:val="22"/>
          <w:shd w:val="clear" w:color="auto" w:fill="FFFFFF"/>
        </w:rPr>
        <w:t>Ethyl alcohol, absolute alcohol, anhydrous alcohol, dehydrated alcohol, ethyl hydrate, ethyl hydroxide</w:t>
      </w:r>
    </w:p>
    <w:p w14:paraId="1B02353B" w14:textId="77777777" w:rsidR="00312013" w:rsidRDefault="00312013" w:rsidP="00312013">
      <w:pPr>
        <w:pStyle w:val="Heading4"/>
      </w:pPr>
      <w:bookmarkStart w:id="12" w:name="_Toc69303246"/>
      <w:bookmarkStart w:id="13" w:name="_Toc69305076"/>
      <w:r>
        <w:t>Applicant</w:t>
      </w:r>
      <w:bookmarkEnd w:id="12"/>
      <w:bookmarkEnd w:id="13"/>
    </w:p>
    <w:p w14:paraId="3EC0CE9B" w14:textId="77777777" w:rsidR="00312013" w:rsidRPr="00BA1F55" w:rsidRDefault="00312013" w:rsidP="00312013">
      <w:pPr>
        <w:rPr>
          <w:rFonts w:asciiTheme="minorHAnsi" w:hAnsiTheme="minorHAnsi"/>
          <w:b/>
          <w:bCs/>
          <w:i/>
        </w:rPr>
      </w:pPr>
      <w:r w:rsidRPr="00BA1F55">
        <w:rPr>
          <w:rFonts w:asciiTheme="minorHAnsi" w:hAnsiTheme="minorHAnsi"/>
        </w:rPr>
        <w:t>Private applicant</w:t>
      </w:r>
    </w:p>
    <w:p w14:paraId="05C2F6AA" w14:textId="77777777" w:rsidR="00312013" w:rsidRDefault="00312013" w:rsidP="00312013">
      <w:pPr>
        <w:pStyle w:val="Heading4"/>
      </w:pPr>
      <w:bookmarkStart w:id="14" w:name="_Toc69303247"/>
      <w:bookmarkStart w:id="15" w:name="_Toc69305077"/>
      <w:r>
        <w:t>Current scheduling</w:t>
      </w:r>
      <w:bookmarkEnd w:id="14"/>
      <w:bookmarkEnd w:id="15"/>
    </w:p>
    <w:p w14:paraId="237D8FE2" w14:textId="5C5D9575" w:rsidR="00312013" w:rsidRDefault="006B6040" w:rsidP="00312013">
      <w:pPr>
        <w:rPr>
          <w:rFonts w:asciiTheme="minorHAnsi" w:hAnsiTheme="minorHAnsi"/>
        </w:rPr>
      </w:pPr>
      <w:r>
        <w:rPr>
          <w:rFonts w:asciiTheme="minorHAnsi" w:hAnsiTheme="minorHAnsi"/>
        </w:rPr>
        <w:t>Ethyl alcohol (e</w:t>
      </w:r>
      <w:r w:rsidR="00312013">
        <w:rPr>
          <w:rFonts w:asciiTheme="minorHAnsi" w:hAnsiTheme="minorHAnsi"/>
        </w:rPr>
        <w:t>thanol</w:t>
      </w:r>
      <w:r>
        <w:rPr>
          <w:rFonts w:asciiTheme="minorHAnsi" w:hAnsiTheme="minorHAnsi"/>
        </w:rPr>
        <w:t>)</w:t>
      </w:r>
      <w:r w:rsidR="00312013">
        <w:rPr>
          <w:rFonts w:asciiTheme="minorHAnsi" w:hAnsiTheme="minorHAnsi"/>
        </w:rPr>
        <w:t xml:space="preserve"> is currently listed in </w:t>
      </w:r>
      <w:r w:rsidR="00312013" w:rsidRPr="0028082E">
        <w:rPr>
          <w:rFonts w:asciiTheme="minorHAnsi" w:hAnsiTheme="minorHAnsi"/>
        </w:rPr>
        <w:t>Appendix B, Part 3 – Substances considered not to require control by scheduling</w:t>
      </w:r>
      <w:r w:rsidR="00312013">
        <w:rPr>
          <w:rFonts w:asciiTheme="minorHAnsi" w:hAnsiTheme="minorHAnsi"/>
        </w:rPr>
        <w:t>.</w:t>
      </w:r>
    </w:p>
    <w:p w14:paraId="0D3B9721" w14:textId="6BF4CBE6" w:rsidR="00ED363D" w:rsidRPr="00ED363D" w:rsidRDefault="00ED363D" w:rsidP="00ED363D">
      <w:pPr>
        <w:ind w:firstLine="720"/>
        <w:rPr>
          <w:rFonts w:asciiTheme="minorHAnsi" w:hAnsiTheme="minorHAnsi"/>
          <w:b/>
        </w:rPr>
      </w:pPr>
      <w:r w:rsidRPr="00ED363D">
        <w:rPr>
          <w:rFonts w:asciiTheme="minorHAnsi" w:hAnsiTheme="minorHAnsi"/>
          <w:b/>
        </w:rPr>
        <w:t>Appendix B, Part 3</w:t>
      </w:r>
    </w:p>
    <w:tbl>
      <w:tblPr>
        <w:tblStyle w:val="TableTGAblue"/>
        <w:tblW w:w="0" w:type="auto"/>
        <w:tblInd w:w="-10" w:type="dxa"/>
        <w:tblLook w:val="04A0" w:firstRow="1" w:lastRow="0" w:firstColumn="1" w:lastColumn="0" w:noHBand="0" w:noVBand="1"/>
      </w:tblPr>
      <w:tblGrid>
        <w:gridCol w:w="1985"/>
        <w:gridCol w:w="1984"/>
        <w:gridCol w:w="2410"/>
        <w:gridCol w:w="1559"/>
      </w:tblGrid>
      <w:tr w:rsidR="00004E1A" w:rsidRPr="00702170" w14:paraId="2C4F9485" w14:textId="77777777" w:rsidTr="00004E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A050EB4" w14:textId="77777777" w:rsidR="00004E1A" w:rsidRPr="00702170" w:rsidRDefault="00004E1A" w:rsidP="00004E1A">
            <w:r w:rsidRPr="00725E79">
              <w:t>SUBSTANCE</w:t>
            </w:r>
          </w:p>
        </w:tc>
        <w:tc>
          <w:tcPr>
            <w:tcW w:w="1984" w:type="dxa"/>
          </w:tcPr>
          <w:p w14:paraId="6F11E46F" w14:textId="77777777" w:rsidR="00004E1A" w:rsidRPr="00702170" w:rsidRDefault="00004E1A" w:rsidP="00004E1A">
            <w:pPr>
              <w:cnfStyle w:val="100000000000" w:firstRow="1" w:lastRow="0" w:firstColumn="0" w:lastColumn="0" w:oddVBand="0" w:evenVBand="0" w:oddHBand="0" w:evenHBand="0" w:firstRowFirstColumn="0" w:firstRowLastColumn="0" w:lastRowFirstColumn="0" w:lastRowLastColumn="0"/>
            </w:pPr>
            <w:r w:rsidRPr="00004E1A">
              <w:t>DATE OF ENTRY</w:t>
            </w:r>
          </w:p>
        </w:tc>
        <w:tc>
          <w:tcPr>
            <w:tcW w:w="2410" w:type="dxa"/>
          </w:tcPr>
          <w:p w14:paraId="1C755663" w14:textId="77777777" w:rsidR="00004E1A" w:rsidRPr="00933465" w:rsidRDefault="00004E1A" w:rsidP="00004E1A">
            <w:pPr>
              <w:cnfStyle w:val="100000000000" w:firstRow="1" w:lastRow="0" w:firstColumn="0" w:lastColumn="0" w:oddVBand="0" w:evenVBand="0" w:oddHBand="0" w:evenHBand="0" w:firstRowFirstColumn="0" w:firstRowLastColumn="0" w:lastRowFirstColumn="0" w:lastRowLastColumn="0"/>
            </w:pPr>
            <w:r w:rsidRPr="00004E1A">
              <w:t>REASON FOR LISTING</w:t>
            </w:r>
          </w:p>
        </w:tc>
        <w:tc>
          <w:tcPr>
            <w:tcW w:w="1559" w:type="dxa"/>
          </w:tcPr>
          <w:p w14:paraId="5C7FC258" w14:textId="77777777" w:rsidR="00004E1A" w:rsidRPr="00702170" w:rsidRDefault="00004E1A" w:rsidP="00004E1A">
            <w:pPr>
              <w:cnfStyle w:val="100000000000" w:firstRow="1" w:lastRow="0" w:firstColumn="0" w:lastColumn="0" w:oddVBand="0" w:evenVBand="0" w:oddHBand="0" w:evenHBand="0" w:firstRowFirstColumn="0" w:firstRowLastColumn="0" w:lastRowFirstColumn="0" w:lastRowLastColumn="0"/>
            </w:pPr>
            <w:r w:rsidRPr="00004E1A">
              <w:t>AREA OF USE</w:t>
            </w:r>
          </w:p>
        </w:tc>
      </w:tr>
      <w:tr w:rsidR="00004E1A" w:rsidRPr="00F7049F" w14:paraId="7E8B47C6" w14:textId="77777777" w:rsidTr="00004E1A">
        <w:trPr>
          <w:trHeight w:val="620"/>
        </w:trPr>
        <w:tc>
          <w:tcPr>
            <w:cnfStyle w:val="001000000000" w:firstRow="0" w:lastRow="0" w:firstColumn="1" w:lastColumn="0" w:oddVBand="0" w:evenVBand="0" w:oddHBand="0" w:evenHBand="0" w:firstRowFirstColumn="0" w:firstRowLastColumn="0" w:lastRowFirstColumn="0" w:lastRowLastColumn="0"/>
            <w:tcW w:w="1985" w:type="dxa"/>
          </w:tcPr>
          <w:p w14:paraId="04017109" w14:textId="77777777" w:rsidR="00004E1A" w:rsidRPr="00004E1A" w:rsidRDefault="00004E1A" w:rsidP="00004E1A">
            <w:pPr>
              <w:rPr>
                <w:b/>
                <w:color w:val="auto"/>
              </w:rPr>
            </w:pPr>
            <w:r w:rsidRPr="00DF13D9">
              <w:t>ETHYL ALCOHOL</w:t>
            </w:r>
          </w:p>
        </w:tc>
        <w:tc>
          <w:tcPr>
            <w:tcW w:w="1984" w:type="dxa"/>
          </w:tcPr>
          <w:p w14:paraId="465A1B05" w14:textId="77777777" w:rsidR="00004E1A" w:rsidRPr="00004E1A" w:rsidRDefault="00004E1A" w:rsidP="00004E1A">
            <w:pPr>
              <w:cnfStyle w:val="000000000000" w:firstRow="0" w:lastRow="0" w:firstColumn="0" w:lastColumn="0" w:oddVBand="0" w:evenVBand="0" w:oddHBand="0" w:evenHBand="0" w:firstRowFirstColumn="0" w:firstRowLastColumn="0" w:lastRowFirstColumn="0" w:lastRowLastColumn="0"/>
              <w:rPr>
                <w:color w:val="auto"/>
              </w:rPr>
            </w:pPr>
            <w:r w:rsidRPr="00004E1A">
              <w:t>Nov 1974</w:t>
            </w:r>
          </w:p>
        </w:tc>
        <w:tc>
          <w:tcPr>
            <w:tcW w:w="2410" w:type="dxa"/>
          </w:tcPr>
          <w:p w14:paraId="09CB63DD" w14:textId="6C28D04A" w:rsidR="00004E1A" w:rsidRPr="00ED363D" w:rsidRDefault="00ED363D" w:rsidP="00004E1A">
            <w:pPr>
              <w:cnfStyle w:val="000000000000" w:firstRow="0" w:lastRow="0" w:firstColumn="0" w:lastColumn="0" w:oddVBand="0" w:evenVBand="0" w:oddHBand="0" w:evenHBand="0" w:firstRowFirstColumn="0" w:firstRowLastColumn="0" w:lastRowFirstColumn="0" w:lastRowLastColumn="0"/>
            </w:pPr>
            <w:r>
              <w:rPr>
                <w:b/>
              </w:rPr>
              <w:t xml:space="preserve">a </w:t>
            </w:r>
            <w:r>
              <w:t>(Low Toxicity)</w:t>
            </w:r>
          </w:p>
        </w:tc>
        <w:tc>
          <w:tcPr>
            <w:tcW w:w="1559" w:type="dxa"/>
          </w:tcPr>
          <w:p w14:paraId="5AC2CEFB" w14:textId="3320EA82" w:rsidR="00004E1A" w:rsidRPr="00004E1A" w:rsidRDefault="00ED363D" w:rsidP="00004E1A">
            <w:pPr>
              <w:cnfStyle w:val="000000000000" w:firstRow="0" w:lastRow="0" w:firstColumn="0" w:lastColumn="0" w:oddVBand="0" w:evenVBand="0" w:oddHBand="0" w:evenHBand="0" w:firstRowFirstColumn="0" w:firstRowLastColumn="0" w:lastRowFirstColumn="0" w:lastRowLastColumn="0"/>
              <w:rPr>
                <w:color w:val="auto"/>
              </w:rPr>
            </w:pPr>
            <w:r w:rsidRPr="00ED363D">
              <w:rPr>
                <w:b/>
              </w:rPr>
              <w:t xml:space="preserve">7.1 </w:t>
            </w:r>
            <w:r>
              <w:t xml:space="preserve">(Any use) </w:t>
            </w:r>
          </w:p>
        </w:tc>
      </w:tr>
    </w:tbl>
    <w:p w14:paraId="23058674" w14:textId="070D453A" w:rsidR="00312013" w:rsidRPr="00040C56" w:rsidRDefault="00312013" w:rsidP="00ED363D">
      <w:pPr>
        <w:ind w:firstLine="720"/>
        <w:rPr>
          <w:rFonts w:asciiTheme="minorHAnsi" w:hAnsiTheme="minorHAnsi"/>
          <w:b/>
        </w:rPr>
      </w:pPr>
      <w:r w:rsidRPr="00040C56">
        <w:rPr>
          <w:rFonts w:asciiTheme="minorHAnsi" w:hAnsiTheme="minorHAnsi"/>
          <w:b/>
        </w:rPr>
        <w:t>Index</w:t>
      </w:r>
    </w:p>
    <w:p w14:paraId="2603D035" w14:textId="1035D8F8" w:rsidR="00312013" w:rsidRPr="00ED363D" w:rsidRDefault="00312013" w:rsidP="00ED363D">
      <w:pPr>
        <w:ind w:firstLine="720"/>
        <w:rPr>
          <w:rFonts w:asciiTheme="minorHAnsi" w:hAnsiTheme="minorHAnsi"/>
        </w:rPr>
      </w:pPr>
      <w:r w:rsidRPr="00ED363D">
        <w:rPr>
          <w:rFonts w:asciiTheme="minorHAnsi" w:hAnsiTheme="minorHAnsi"/>
        </w:rPr>
        <w:t>ETHYL ALCOHOL</w:t>
      </w:r>
    </w:p>
    <w:p w14:paraId="7CD16EAB" w14:textId="0377BF03" w:rsidR="00ED363D" w:rsidRPr="00ED363D" w:rsidRDefault="00ED363D" w:rsidP="00ED363D">
      <w:pPr>
        <w:ind w:firstLine="720"/>
        <w:rPr>
          <w:rFonts w:asciiTheme="minorHAnsi" w:hAnsiTheme="minorHAnsi"/>
        </w:rPr>
      </w:pPr>
      <w:r w:rsidRPr="00ED363D">
        <w:rPr>
          <w:rFonts w:asciiTheme="minorHAnsi" w:hAnsiTheme="minorHAnsi"/>
        </w:rPr>
        <w:t>Appendix B, Part 3</w:t>
      </w:r>
    </w:p>
    <w:p w14:paraId="5D4C478F" w14:textId="77777777" w:rsidR="00312013" w:rsidRDefault="00312013" w:rsidP="00312013">
      <w:pPr>
        <w:pStyle w:val="Heading4"/>
      </w:pPr>
      <w:bookmarkStart w:id="16" w:name="_Toc69303248"/>
      <w:bookmarkStart w:id="17" w:name="_Toc69305078"/>
      <w:r>
        <w:t>Proposed scheduling</w:t>
      </w:r>
      <w:bookmarkEnd w:id="16"/>
      <w:bookmarkEnd w:id="17"/>
    </w:p>
    <w:p w14:paraId="52621FD3" w14:textId="77777777" w:rsidR="00312013" w:rsidRPr="00A255FC" w:rsidRDefault="00312013" w:rsidP="00312013">
      <w:pPr>
        <w:ind w:left="435"/>
        <w:rPr>
          <w:rFonts w:asciiTheme="minorHAnsi" w:hAnsiTheme="minorHAnsi" w:cstheme="minorHAnsi"/>
        </w:rPr>
      </w:pPr>
      <w:r w:rsidRPr="00A255FC">
        <w:rPr>
          <w:rFonts w:asciiTheme="minorHAnsi" w:hAnsiTheme="minorHAnsi"/>
          <w:b/>
        </w:rPr>
        <w:t>Schedule 6 –</w:t>
      </w:r>
      <w:r>
        <w:rPr>
          <w:rFonts w:asciiTheme="minorHAnsi" w:hAnsiTheme="minorHAnsi"/>
          <w:b/>
        </w:rPr>
        <w:t xml:space="preserve"> New</w:t>
      </w:r>
      <w:r w:rsidRPr="00A255FC">
        <w:rPr>
          <w:rFonts w:asciiTheme="minorHAnsi" w:hAnsiTheme="minorHAnsi"/>
          <w:b/>
        </w:rPr>
        <w:t xml:space="preserve"> Entry </w:t>
      </w:r>
    </w:p>
    <w:p w14:paraId="196BCA8E" w14:textId="77777777" w:rsidR="00312013" w:rsidRPr="004E3101" w:rsidRDefault="00312013" w:rsidP="00312013">
      <w:pPr>
        <w:spacing w:before="0" w:after="0" w:line="240" w:lineRule="auto"/>
        <w:ind w:firstLine="435"/>
        <w:rPr>
          <w:color w:val="00B050"/>
        </w:rPr>
      </w:pPr>
      <w:r w:rsidRPr="004E3101">
        <w:rPr>
          <w:color w:val="00B050"/>
        </w:rPr>
        <w:t xml:space="preserve">ETHANOL when present in hand sanitiser preparations at concentrations </w:t>
      </w:r>
      <w:r w:rsidRPr="004E3101">
        <w:rPr>
          <w:rFonts w:asciiTheme="minorHAnsi" w:hAnsiTheme="minorHAnsi" w:cs="Arial"/>
          <w:color w:val="00B050"/>
          <w:shd w:val="clear" w:color="auto" w:fill="FFFFFF"/>
        </w:rPr>
        <w:t>≥</w:t>
      </w:r>
      <w:r w:rsidRPr="004E3101">
        <w:rPr>
          <w:color w:val="00B050"/>
        </w:rPr>
        <w:t xml:space="preserve"> 50% v/v</w:t>
      </w:r>
    </w:p>
    <w:p w14:paraId="57466873" w14:textId="77777777" w:rsidR="00312013" w:rsidRPr="004E3101" w:rsidRDefault="00312013" w:rsidP="00312013">
      <w:pPr>
        <w:spacing w:before="0" w:after="0" w:line="240" w:lineRule="auto"/>
        <w:ind w:firstLine="435"/>
        <w:rPr>
          <w:color w:val="00B050"/>
        </w:rPr>
      </w:pPr>
      <w:r w:rsidRPr="004E3101">
        <w:rPr>
          <w:color w:val="00B050"/>
        </w:rPr>
        <w:t xml:space="preserve">or when the sum of concentrations of ethanol and isopropanol is 50% or more, </w:t>
      </w:r>
      <w:r w:rsidRPr="004E3101">
        <w:rPr>
          <w:b/>
          <w:color w:val="00B050"/>
        </w:rPr>
        <w:t>except</w:t>
      </w:r>
      <w:r w:rsidRPr="004E3101">
        <w:rPr>
          <w:color w:val="00B050"/>
        </w:rPr>
        <w:t>:</w:t>
      </w:r>
    </w:p>
    <w:p w14:paraId="4321ECD4" w14:textId="77777777" w:rsidR="00312013" w:rsidRPr="004E3101" w:rsidRDefault="00312013" w:rsidP="00312013">
      <w:pPr>
        <w:spacing w:before="0" w:after="0" w:line="240" w:lineRule="auto"/>
        <w:rPr>
          <w:color w:val="00B050"/>
        </w:rPr>
      </w:pPr>
    </w:p>
    <w:p w14:paraId="07874DD2"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(a) when packaged in a container with a restricted flow or metered flow device; or</w:t>
      </w:r>
    </w:p>
    <w:p w14:paraId="6CC12BBB"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49B798D9"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(b) when containing a separate bittering agent denatured according to the Australian Taxation Office Excise (Denatured Spirits) Determination 2016 (no.3) (apart</w:t>
      </w:r>
    </w:p>
    <w:p w14:paraId="236F96AC"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lastRenderedPageBreak/>
        <w:t>from denaturation with methanol, isopropanol, n-propanol or n-hexane); or</w:t>
      </w:r>
    </w:p>
    <w:p w14:paraId="0AF41629"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5102D5EC"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(c) when the kinematic viscosity is within the range of 6,000 - 17,000 mm</w:t>
      </w:r>
      <w:r w:rsidRPr="004E3101">
        <w:rPr>
          <w:rFonts w:asciiTheme="minorHAnsi" w:hAnsiTheme="minorHAnsi" w:cs="Arial"/>
          <w:color w:val="00B050"/>
          <w:szCs w:val="22"/>
          <w:shd w:val="clear" w:color="auto" w:fill="FFFFFF"/>
          <w:vertAlign w:val="superscript"/>
        </w:rPr>
        <w:t>2</w:t>
      </w:r>
      <w:r w:rsidRPr="004E3101">
        <w:rPr>
          <w:rFonts w:asciiTheme="minorHAnsi" w:hAnsiTheme="minorHAnsi" w:cs="Arial"/>
          <w:color w:val="00B050"/>
          <w:szCs w:val="22"/>
          <w:shd w:val="clear" w:color="auto" w:fill="FFFFFF"/>
        </w:rPr>
        <w:t>/s (20°C), and</w:t>
      </w:r>
    </w:p>
    <w:p w14:paraId="74D58CF5"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3F8D851F"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(d) when packaged in a container less than or equal to 2L that is readily distinguishable from a container in which food, wine or other beverage is sold; and</w:t>
      </w:r>
    </w:p>
    <w:p w14:paraId="3338C251"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23835EEA"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 xml:space="preserve">(e) when the immediate container and primary pack are labelled with the following statements and warnings or their equivalent: </w:t>
      </w:r>
    </w:p>
    <w:p w14:paraId="01DD0769"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1771F6CD" w14:textId="77777777" w:rsidR="00312013" w:rsidRPr="004E3101" w:rsidRDefault="00312013" w:rsidP="00312013">
      <w:pPr>
        <w:pStyle w:val="ListParagraph"/>
        <w:numPr>
          <w:ilvl w:val="0"/>
          <w:numId w:val="22"/>
        </w:numPr>
        <w:spacing w:before="0" w:after="0" w:line="240" w:lineRule="auto"/>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 xml:space="preserve">HAND SANITISER </w:t>
      </w:r>
    </w:p>
    <w:p w14:paraId="0A15DE09" w14:textId="77777777" w:rsidR="00312013" w:rsidRPr="004E3101" w:rsidRDefault="00312013" w:rsidP="00312013">
      <w:pPr>
        <w:spacing w:before="0" w:after="0" w:line="240" w:lineRule="auto"/>
        <w:ind w:left="720"/>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Contains XX% v/v ethanol; and</w:t>
      </w:r>
    </w:p>
    <w:p w14:paraId="03F3B54C"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p>
    <w:p w14:paraId="377ED6AA"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(ii) KEEP OUT OF THE REACH OF CHILDREN - use under adult supervision</w:t>
      </w:r>
    </w:p>
    <w:p w14:paraId="17FDF820"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0524983B" w14:textId="77777777" w:rsidR="00312013" w:rsidRPr="004E3101" w:rsidRDefault="00312013" w:rsidP="00312013">
      <w:pPr>
        <w:spacing w:before="0" w:after="0" w:line="240" w:lineRule="auto"/>
        <w:ind w:left="426"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FOR EXTERNAL USE ONLY - DO NOT SWALLOW</w:t>
      </w:r>
    </w:p>
    <w:p w14:paraId="67F0B02D"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17A396A7"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FLAMMABLE - Keep away from heat or flame. Store below 30°C</w:t>
      </w:r>
    </w:p>
    <w:p w14:paraId="79D73225"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4FABBF75"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WARNING - this product contains ingredients which may be injurious to the eye</w:t>
      </w:r>
    </w:p>
    <w:p w14:paraId="0ADCDBD3"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55E9EBD8"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Discontinue use if skin irritation occurs</w:t>
      </w:r>
    </w:p>
    <w:p w14:paraId="0A098E2C" w14:textId="77777777" w:rsidR="00312013" w:rsidRPr="004E3101" w:rsidRDefault="00312013" w:rsidP="00312013">
      <w:pPr>
        <w:spacing w:before="0" w:after="0" w:line="240" w:lineRule="auto"/>
        <w:ind w:left="435"/>
        <w:rPr>
          <w:rFonts w:asciiTheme="minorHAnsi" w:hAnsiTheme="minorHAnsi" w:cs="Arial"/>
          <w:color w:val="00B050"/>
          <w:szCs w:val="22"/>
          <w:shd w:val="clear" w:color="auto" w:fill="FFFFFF"/>
        </w:rPr>
      </w:pPr>
    </w:p>
    <w:p w14:paraId="2B9FD326"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If swallowed, splashed in eyes contact a Poisons Information Centre (e.g. phone</w:t>
      </w:r>
    </w:p>
    <w:p w14:paraId="2D74363E"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Australia 13 11 26; New Zealand 0800 764 766)</w:t>
      </w:r>
    </w:p>
    <w:p w14:paraId="5E51AF67" w14:textId="77777777" w:rsidR="00312013" w:rsidRPr="004E3101" w:rsidRDefault="00312013" w:rsidP="00312013">
      <w:pPr>
        <w:spacing w:before="0" w:after="0" w:line="240" w:lineRule="auto"/>
        <w:ind w:left="435" w:firstLine="285"/>
        <w:rPr>
          <w:rFonts w:asciiTheme="minorHAnsi" w:hAnsiTheme="minorHAnsi" w:cs="Arial"/>
          <w:color w:val="00B050"/>
          <w:szCs w:val="22"/>
          <w:shd w:val="clear" w:color="auto" w:fill="FFFFFF"/>
        </w:rPr>
      </w:pPr>
    </w:p>
    <w:p w14:paraId="7EC2FC2C" w14:textId="77777777" w:rsidR="00312013" w:rsidRPr="004E3101" w:rsidRDefault="00312013" w:rsidP="00312013">
      <w:pPr>
        <w:spacing w:before="0" w:after="0" w:line="240" w:lineRule="auto"/>
        <w:ind w:left="435" w:hanging="9"/>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Written in letters not less than 1.5mm in height</w:t>
      </w:r>
    </w:p>
    <w:p w14:paraId="19512A8F" w14:textId="30FD298E" w:rsidR="00312013" w:rsidRDefault="00312013" w:rsidP="00312013">
      <w:pPr>
        <w:pStyle w:val="Tabletitle"/>
        <w:ind w:left="426"/>
      </w:pPr>
      <w:r>
        <w:t xml:space="preserve">Appendix F, Part </w:t>
      </w:r>
      <w:r w:rsidR="00004E1A">
        <w:t>3</w:t>
      </w:r>
      <w:r>
        <w:t xml:space="preserve"> – New Entr</w:t>
      </w:r>
      <w:r w:rsidR="00004E1A">
        <w:t>y</w:t>
      </w:r>
    </w:p>
    <w:tbl>
      <w:tblPr>
        <w:tblStyle w:val="TableTGAblue"/>
        <w:tblW w:w="0" w:type="auto"/>
        <w:tblInd w:w="416" w:type="dxa"/>
        <w:tblLook w:val="04A0" w:firstRow="1" w:lastRow="0" w:firstColumn="1" w:lastColumn="0" w:noHBand="0" w:noVBand="1"/>
      </w:tblPr>
      <w:tblGrid>
        <w:gridCol w:w="2126"/>
        <w:gridCol w:w="3260"/>
        <w:gridCol w:w="3119"/>
      </w:tblGrid>
      <w:tr w:rsidR="00312013" w14:paraId="4289AC40"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9DA6C1E" w14:textId="77777777" w:rsidR="00312013" w:rsidRPr="00702170" w:rsidRDefault="00312013" w:rsidP="0083193E">
            <w:r w:rsidRPr="00933465">
              <w:t>Poison</w:t>
            </w:r>
          </w:p>
        </w:tc>
        <w:tc>
          <w:tcPr>
            <w:tcW w:w="3260" w:type="dxa"/>
          </w:tcPr>
          <w:p w14:paraId="2B728F45" w14:textId="77777777" w:rsidR="00312013" w:rsidRPr="00702170" w:rsidRDefault="00312013" w:rsidP="0083193E">
            <w:pPr>
              <w:cnfStyle w:val="100000000000" w:firstRow="1" w:lastRow="0" w:firstColumn="0" w:lastColumn="0" w:oddVBand="0" w:evenVBand="0" w:oddHBand="0" w:evenHBand="0" w:firstRowFirstColumn="0" w:firstRowLastColumn="0" w:lastRowFirstColumn="0" w:lastRowLastColumn="0"/>
            </w:pPr>
            <w:r w:rsidRPr="00933465">
              <w:t>Warning Statements</w:t>
            </w:r>
          </w:p>
        </w:tc>
        <w:tc>
          <w:tcPr>
            <w:tcW w:w="3119" w:type="dxa"/>
          </w:tcPr>
          <w:p w14:paraId="64EF11C5" w14:textId="77777777" w:rsidR="00312013" w:rsidRPr="00702170" w:rsidRDefault="00312013" w:rsidP="0083193E">
            <w:pPr>
              <w:cnfStyle w:val="100000000000" w:firstRow="1" w:lastRow="0" w:firstColumn="0" w:lastColumn="0" w:oddVBand="0" w:evenVBand="0" w:oddHBand="0" w:evenHBand="0" w:firstRowFirstColumn="0" w:firstRowLastColumn="0" w:lastRowFirstColumn="0" w:lastRowLastColumn="0"/>
            </w:pPr>
            <w:r w:rsidRPr="00933465">
              <w:t>Safety Direction</w:t>
            </w:r>
            <w:r>
              <w:t>s</w:t>
            </w:r>
          </w:p>
        </w:tc>
      </w:tr>
      <w:tr w:rsidR="00312013" w14:paraId="4C235380" w14:textId="77777777" w:rsidTr="0083193E">
        <w:tc>
          <w:tcPr>
            <w:cnfStyle w:val="001000000000" w:firstRow="0" w:lastRow="0" w:firstColumn="1" w:lastColumn="0" w:oddVBand="0" w:evenVBand="0" w:oddHBand="0" w:evenHBand="0" w:firstRowFirstColumn="0" w:firstRowLastColumn="0" w:lastRowFirstColumn="0" w:lastRowLastColumn="0"/>
            <w:tcW w:w="2126" w:type="dxa"/>
            <w:vMerge w:val="restart"/>
          </w:tcPr>
          <w:p w14:paraId="36A1EC7E" w14:textId="77777777" w:rsidR="00312013" w:rsidRPr="004E3101" w:rsidRDefault="00312013" w:rsidP="0083193E">
            <w:pPr>
              <w:rPr>
                <w:b/>
                <w:color w:val="00B050"/>
              </w:rPr>
            </w:pPr>
            <w:r w:rsidRPr="004E3101">
              <w:rPr>
                <w:color w:val="00B050"/>
              </w:rPr>
              <w:t>ETHANOL</w:t>
            </w:r>
          </w:p>
        </w:tc>
        <w:tc>
          <w:tcPr>
            <w:tcW w:w="3260" w:type="dxa"/>
          </w:tcPr>
          <w:p w14:paraId="7CFA5E0F" w14:textId="7E4D8AFD" w:rsidR="00312013" w:rsidRPr="004E3101" w:rsidRDefault="00ED363D"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8</w:t>
            </w:r>
            <w:r w:rsidR="00312013" w:rsidRPr="004E3101">
              <w:rPr>
                <w:color w:val="00B050"/>
              </w:rPr>
              <w:t xml:space="preserve"> </w:t>
            </w:r>
            <w:r w:rsidRPr="004E3101">
              <w:rPr>
                <w:color w:val="00B050"/>
              </w:rPr>
              <w:t>(</w:t>
            </w:r>
            <w:r w:rsidR="00312013" w:rsidRPr="004E3101">
              <w:rPr>
                <w:color w:val="00B050"/>
              </w:rPr>
              <w:t>WARNING – May be fatal to children</w:t>
            </w:r>
            <w:r w:rsidRPr="004E3101">
              <w:rPr>
                <w:color w:val="00B050"/>
              </w:rPr>
              <w:t>)</w:t>
            </w:r>
          </w:p>
        </w:tc>
        <w:tc>
          <w:tcPr>
            <w:tcW w:w="3119" w:type="dxa"/>
          </w:tcPr>
          <w:p w14:paraId="2BF75FCF" w14:textId="1FF83C86" w:rsidR="00312013" w:rsidRPr="004E3101" w:rsidRDefault="00ED363D"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1</w:t>
            </w:r>
            <w:r w:rsidR="00312013" w:rsidRPr="004E3101">
              <w:rPr>
                <w:color w:val="00B050"/>
              </w:rPr>
              <w:t xml:space="preserve"> </w:t>
            </w:r>
            <w:r w:rsidRPr="004E3101">
              <w:rPr>
                <w:color w:val="00B050"/>
              </w:rPr>
              <w:t>(</w:t>
            </w:r>
            <w:r w:rsidR="00312013" w:rsidRPr="004E3101">
              <w:rPr>
                <w:color w:val="00B050"/>
              </w:rPr>
              <w:t>Avoid contact with eyes</w:t>
            </w:r>
            <w:r w:rsidRPr="004E3101">
              <w:rPr>
                <w:color w:val="00B050"/>
              </w:rPr>
              <w:t>)</w:t>
            </w:r>
          </w:p>
        </w:tc>
      </w:tr>
      <w:tr w:rsidR="00312013" w14:paraId="36064047" w14:textId="77777777" w:rsidTr="0083193E">
        <w:tc>
          <w:tcPr>
            <w:cnfStyle w:val="001000000000" w:firstRow="0" w:lastRow="0" w:firstColumn="1" w:lastColumn="0" w:oddVBand="0" w:evenVBand="0" w:oddHBand="0" w:evenHBand="0" w:firstRowFirstColumn="0" w:firstRowLastColumn="0" w:lastRowFirstColumn="0" w:lastRowLastColumn="0"/>
            <w:tcW w:w="2126" w:type="dxa"/>
            <w:vMerge/>
          </w:tcPr>
          <w:p w14:paraId="02474466" w14:textId="77777777" w:rsidR="00312013" w:rsidRPr="004E3101" w:rsidRDefault="00312013" w:rsidP="0083193E">
            <w:pPr>
              <w:rPr>
                <w:color w:val="00B050"/>
              </w:rPr>
            </w:pPr>
          </w:p>
        </w:tc>
        <w:tc>
          <w:tcPr>
            <w:tcW w:w="3260" w:type="dxa"/>
          </w:tcPr>
          <w:p w14:paraId="0317A9F1" w14:textId="0E23C078" w:rsidR="00312013" w:rsidRPr="004E3101" w:rsidRDefault="00ED363D"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79</w:t>
            </w:r>
            <w:r w:rsidR="00312013" w:rsidRPr="004E3101">
              <w:rPr>
                <w:color w:val="00B050"/>
              </w:rPr>
              <w:t xml:space="preserve"> </w:t>
            </w:r>
            <w:r w:rsidRPr="004E3101">
              <w:rPr>
                <w:color w:val="00B050"/>
              </w:rPr>
              <w:t>(</w:t>
            </w:r>
            <w:r w:rsidR="00312013" w:rsidRPr="004E3101">
              <w:rPr>
                <w:color w:val="00B050"/>
              </w:rPr>
              <w:t>Will irritate eyes</w:t>
            </w:r>
            <w:r w:rsidRPr="004E3101">
              <w:rPr>
                <w:color w:val="00B050"/>
              </w:rPr>
              <w:t>)</w:t>
            </w:r>
          </w:p>
        </w:tc>
        <w:tc>
          <w:tcPr>
            <w:tcW w:w="3119" w:type="dxa"/>
          </w:tcPr>
          <w:p w14:paraId="3DDF2E76" w14:textId="0D55ECAC" w:rsidR="00312013" w:rsidRPr="004E3101" w:rsidRDefault="00ED363D"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23</w:t>
            </w:r>
            <w:r w:rsidR="00312013" w:rsidRPr="004E3101">
              <w:rPr>
                <w:color w:val="00B050"/>
              </w:rPr>
              <w:t xml:space="preserve"> </w:t>
            </w:r>
            <w:r w:rsidRPr="004E3101">
              <w:rPr>
                <w:color w:val="00B050"/>
              </w:rPr>
              <w:t>(</w:t>
            </w:r>
            <w:r w:rsidR="00312013" w:rsidRPr="004E3101">
              <w:rPr>
                <w:color w:val="00B050"/>
              </w:rPr>
              <w:t>Keep away from heat, sparks and naked flames</w:t>
            </w:r>
            <w:r w:rsidRPr="004E3101">
              <w:rPr>
                <w:color w:val="00B050"/>
              </w:rPr>
              <w:t>)</w:t>
            </w:r>
          </w:p>
        </w:tc>
      </w:tr>
    </w:tbl>
    <w:p w14:paraId="28DCA6B5" w14:textId="77777777" w:rsidR="00312013" w:rsidRPr="00040C56" w:rsidRDefault="00312013" w:rsidP="00312013">
      <w:pPr>
        <w:rPr>
          <w:rFonts w:asciiTheme="minorHAnsi" w:hAnsiTheme="minorHAnsi"/>
          <w:b/>
        </w:rPr>
      </w:pPr>
      <w:r>
        <w:rPr>
          <w:rFonts w:asciiTheme="minorHAnsi" w:hAnsiTheme="minorHAnsi"/>
          <w:b/>
        </w:rPr>
        <w:tab/>
      </w:r>
      <w:r w:rsidRPr="00040C56">
        <w:rPr>
          <w:rFonts w:asciiTheme="minorHAnsi" w:hAnsiTheme="minorHAnsi"/>
          <w:b/>
        </w:rPr>
        <w:t>Index</w:t>
      </w:r>
    </w:p>
    <w:p w14:paraId="33F42919" w14:textId="77777777" w:rsidR="00312013" w:rsidRPr="00A3381A" w:rsidRDefault="00312013" w:rsidP="00312013">
      <w:pPr>
        <w:rPr>
          <w:rFonts w:asciiTheme="minorHAnsi" w:hAnsiTheme="minorHAnsi"/>
          <w:color w:val="FF0000"/>
        </w:rPr>
      </w:pPr>
      <w:r>
        <w:rPr>
          <w:rFonts w:asciiTheme="minorHAnsi" w:hAnsiTheme="minorHAnsi"/>
          <w:color w:val="FF0000"/>
        </w:rPr>
        <w:tab/>
      </w:r>
      <w:r w:rsidRPr="004E3101">
        <w:rPr>
          <w:rFonts w:asciiTheme="minorHAnsi" w:hAnsiTheme="minorHAnsi"/>
          <w:color w:val="00B050"/>
        </w:rPr>
        <w:t>ETHANOL</w:t>
      </w:r>
      <w:r w:rsidRPr="004E3101">
        <w:rPr>
          <w:rFonts w:asciiTheme="minorHAnsi" w:hAnsiTheme="minorHAnsi"/>
          <w:color w:val="00B050"/>
        </w:rPr>
        <w:br/>
      </w:r>
      <w:r w:rsidRPr="004E3101">
        <w:rPr>
          <w:rFonts w:asciiTheme="minorHAnsi" w:hAnsiTheme="minorHAnsi"/>
          <w:color w:val="00B050"/>
        </w:rPr>
        <w:tab/>
        <w:t xml:space="preserve">Cross reference: </w:t>
      </w:r>
      <w:r w:rsidRPr="005C4582">
        <w:rPr>
          <w:rFonts w:asciiTheme="minorHAnsi" w:hAnsiTheme="minorHAnsi"/>
        </w:rPr>
        <w:t>ETHYL ALCOHOL</w:t>
      </w:r>
    </w:p>
    <w:p w14:paraId="38D97887" w14:textId="1E4CEBE6" w:rsidR="00312013" w:rsidRPr="00A3381A" w:rsidRDefault="00312013" w:rsidP="00312013">
      <w:pPr>
        <w:rPr>
          <w:rFonts w:asciiTheme="minorHAnsi" w:hAnsiTheme="minorHAnsi"/>
          <w:color w:val="FF0000"/>
        </w:rPr>
      </w:pPr>
      <w:r>
        <w:rPr>
          <w:rFonts w:asciiTheme="minorHAnsi" w:hAnsiTheme="minorHAnsi"/>
          <w:color w:val="FF0000"/>
        </w:rPr>
        <w:tab/>
      </w:r>
      <w:r w:rsidRPr="004E3101">
        <w:rPr>
          <w:rFonts w:asciiTheme="minorHAnsi" w:hAnsiTheme="minorHAnsi"/>
          <w:color w:val="00B050"/>
        </w:rPr>
        <w:t>Schedule 6</w:t>
      </w:r>
      <w:r w:rsidRPr="004E3101">
        <w:rPr>
          <w:rFonts w:asciiTheme="minorHAnsi" w:hAnsiTheme="minorHAnsi"/>
          <w:color w:val="00B050"/>
        </w:rPr>
        <w:br/>
      </w:r>
      <w:r w:rsidRPr="004E3101">
        <w:rPr>
          <w:rFonts w:asciiTheme="minorHAnsi" w:hAnsiTheme="minorHAnsi"/>
          <w:color w:val="00B050"/>
        </w:rPr>
        <w:tab/>
      </w:r>
      <w:r w:rsidRPr="004E3101">
        <w:rPr>
          <w:rFonts w:asciiTheme="minorHAnsi" w:hAnsiTheme="minorHAnsi"/>
          <w:strike/>
          <w:color w:val="00B050"/>
        </w:rPr>
        <w:t>Appendix B, Part 3</w:t>
      </w:r>
      <w:r w:rsidRPr="004E3101">
        <w:rPr>
          <w:rFonts w:asciiTheme="minorHAnsi" w:hAnsiTheme="minorHAnsi"/>
          <w:color w:val="00B050"/>
        </w:rPr>
        <w:br/>
      </w:r>
      <w:r w:rsidRPr="004E3101">
        <w:rPr>
          <w:color w:val="00B050"/>
        </w:rPr>
        <w:tab/>
        <w:t xml:space="preserve">Appendix F, Part </w:t>
      </w:r>
      <w:r w:rsidR="00004E1A" w:rsidRPr="004E3101">
        <w:rPr>
          <w:color w:val="00B050"/>
        </w:rPr>
        <w:t>3</w:t>
      </w:r>
    </w:p>
    <w:p w14:paraId="66EF6D10" w14:textId="7B0CBEB6" w:rsidR="003D6A13" w:rsidRDefault="003D6A13" w:rsidP="003D6A13">
      <w:pPr>
        <w:pStyle w:val="Heading4"/>
      </w:pPr>
      <w:bookmarkStart w:id="18" w:name="_Toc69303249"/>
      <w:bookmarkStart w:id="19" w:name="_Toc69305079"/>
      <w:r>
        <w:lastRenderedPageBreak/>
        <w:t>Proposed addition to Part 1</w:t>
      </w:r>
      <w:r w:rsidR="006D0B24">
        <w:t xml:space="preserve"> (Interpretation) </w:t>
      </w:r>
      <w:r>
        <w:t xml:space="preserve">of the Poisons Standard </w:t>
      </w:r>
    </w:p>
    <w:p w14:paraId="7B38198A" w14:textId="5ED31ECA" w:rsidR="003D6A13" w:rsidRDefault="003D6A13" w:rsidP="003D6A13">
      <w:pPr>
        <w:autoSpaceDE w:val="0"/>
        <w:autoSpaceDN w:val="0"/>
        <w:adjustRightInd w:val="0"/>
        <w:spacing w:before="0" w:after="0" w:line="240" w:lineRule="auto"/>
        <w:rPr>
          <w:rFonts w:asciiTheme="minorHAnsi" w:hAnsiTheme="minorHAnsi" w:cs="CIDFont+F1"/>
          <w:sz w:val="24"/>
          <w:szCs w:val="24"/>
          <w:lang w:eastAsia="en-AU"/>
        </w:rPr>
      </w:pPr>
      <w:r>
        <w:rPr>
          <w:rFonts w:asciiTheme="minorHAnsi" w:hAnsiTheme="minorHAnsi" w:cs="CIDFont+F1"/>
          <w:sz w:val="24"/>
          <w:szCs w:val="24"/>
          <w:lang w:eastAsia="en-AU"/>
        </w:rPr>
        <w:t xml:space="preserve">The </w:t>
      </w:r>
      <w:r w:rsidR="006D0B24">
        <w:rPr>
          <w:rFonts w:asciiTheme="minorHAnsi" w:hAnsiTheme="minorHAnsi" w:cs="CIDFont+F1"/>
          <w:sz w:val="24"/>
          <w:szCs w:val="24"/>
          <w:lang w:eastAsia="en-AU"/>
        </w:rPr>
        <w:t>proposed</w:t>
      </w:r>
      <w:r>
        <w:rPr>
          <w:rFonts w:asciiTheme="minorHAnsi" w:hAnsiTheme="minorHAnsi" w:cs="CIDFont+F1"/>
          <w:sz w:val="24"/>
          <w:szCs w:val="24"/>
          <w:lang w:eastAsia="en-AU"/>
        </w:rPr>
        <w:t xml:space="preserve"> wording for Part1 is based in the </w:t>
      </w:r>
      <w:r w:rsidR="006D0B24">
        <w:rPr>
          <w:rFonts w:asciiTheme="minorHAnsi" w:hAnsiTheme="minorHAnsi" w:cs="CIDFont+F1"/>
          <w:sz w:val="24"/>
          <w:szCs w:val="24"/>
          <w:lang w:eastAsia="en-AU"/>
        </w:rPr>
        <w:t>definition</w:t>
      </w:r>
      <w:r>
        <w:rPr>
          <w:rFonts w:asciiTheme="minorHAnsi" w:hAnsiTheme="minorHAnsi" w:cs="CIDFont+F1"/>
          <w:sz w:val="24"/>
          <w:szCs w:val="24"/>
          <w:lang w:eastAsia="en-AU"/>
        </w:rPr>
        <w:t xml:space="preserve"> of hand sanitiser in the </w:t>
      </w:r>
      <w:hyperlink r:id="rId13" w:history="1">
        <w:r w:rsidRPr="003D6A13">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1"/>
      </w:r>
    </w:p>
    <w:p w14:paraId="5D8D1C52" w14:textId="77777777" w:rsidR="006D0B24" w:rsidRDefault="006D0B24" w:rsidP="003D6A13">
      <w:pPr>
        <w:autoSpaceDE w:val="0"/>
        <w:autoSpaceDN w:val="0"/>
        <w:adjustRightInd w:val="0"/>
        <w:spacing w:before="0" w:after="0" w:line="240" w:lineRule="auto"/>
        <w:rPr>
          <w:rFonts w:asciiTheme="minorHAnsi" w:hAnsiTheme="minorHAnsi" w:cs="CIDFont+F1"/>
          <w:sz w:val="24"/>
          <w:szCs w:val="24"/>
          <w:lang w:eastAsia="en-AU"/>
        </w:rPr>
      </w:pPr>
    </w:p>
    <w:p w14:paraId="293125F9" w14:textId="504BFD33" w:rsidR="003D6A13" w:rsidRPr="004E3101" w:rsidRDefault="00352DD2" w:rsidP="003D6A13">
      <w:pPr>
        <w:autoSpaceDE w:val="0"/>
        <w:autoSpaceDN w:val="0"/>
        <w:adjustRightInd w:val="0"/>
        <w:spacing w:before="0" w:after="0" w:line="240" w:lineRule="auto"/>
        <w:rPr>
          <w:rFonts w:asciiTheme="minorHAnsi" w:hAnsiTheme="minorHAnsi" w:cs="CIDFont+F1"/>
          <w:color w:val="00B050"/>
          <w:sz w:val="24"/>
          <w:szCs w:val="24"/>
          <w:lang w:eastAsia="en-AU"/>
        </w:rPr>
      </w:pPr>
      <w:r w:rsidRPr="004E3101">
        <w:rPr>
          <w:rFonts w:asciiTheme="minorHAnsi" w:hAnsiTheme="minorHAnsi" w:cs="CIDFont+F1"/>
          <w:color w:val="00B050"/>
          <w:sz w:val="24"/>
          <w:szCs w:val="24"/>
          <w:lang w:eastAsia="en-AU"/>
        </w:rPr>
        <w:t>“</w:t>
      </w:r>
      <w:r w:rsidR="003D6A13" w:rsidRPr="004E3101">
        <w:rPr>
          <w:rFonts w:asciiTheme="minorHAnsi" w:hAnsiTheme="minorHAnsi" w:cs="CIDFont+F1"/>
          <w:b/>
          <w:color w:val="00B050"/>
          <w:sz w:val="24"/>
          <w:szCs w:val="24"/>
          <w:lang w:eastAsia="en-AU"/>
        </w:rPr>
        <w:t>Hand sanitiser</w:t>
      </w:r>
      <w:r w:rsidRPr="004E3101">
        <w:rPr>
          <w:rFonts w:asciiTheme="minorHAnsi" w:hAnsiTheme="minorHAnsi" w:cs="CIDFont+F1"/>
          <w:b/>
          <w:color w:val="00B050"/>
          <w:sz w:val="24"/>
          <w:szCs w:val="24"/>
          <w:lang w:eastAsia="en-AU"/>
        </w:rPr>
        <w:t xml:space="preserve"> preparation</w:t>
      </w:r>
      <w:r w:rsidRPr="004E3101">
        <w:rPr>
          <w:rFonts w:asciiTheme="minorHAnsi" w:hAnsiTheme="minorHAnsi" w:cs="CIDFont+F1"/>
          <w:color w:val="00B050"/>
          <w:sz w:val="24"/>
          <w:szCs w:val="24"/>
          <w:lang w:eastAsia="en-AU"/>
        </w:rPr>
        <w:t>”</w:t>
      </w:r>
      <w:r w:rsidR="003D6A13" w:rsidRPr="004E3101">
        <w:rPr>
          <w:rFonts w:asciiTheme="minorHAnsi" w:hAnsiTheme="minorHAnsi" w:cs="CIDFont+F1"/>
          <w:color w:val="00B050"/>
          <w:sz w:val="24"/>
          <w:szCs w:val="24"/>
          <w:lang w:eastAsia="en-AU"/>
        </w:rPr>
        <w:t xml:space="preserve"> </w:t>
      </w:r>
      <w:r w:rsidRPr="004E3101">
        <w:rPr>
          <w:rFonts w:asciiTheme="minorHAnsi" w:hAnsiTheme="minorHAnsi" w:cs="CIDFont+F1"/>
          <w:color w:val="00B050"/>
          <w:sz w:val="24"/>
          <w:szCs w:val="24"/>
          <w:lang w:eastAsia="en-AU"/>
        </w:rPr>
        <w:t>means</w:t>
      </w:r>
      <w:r w:rsidR="003D6A13" w:rsidRPr="004E3101">
        <w:rPr>
          <w:rFonts w:asciiTheme="minorHAnsi" w:hAnsiTheme="minorHAnsi" w:cs="CIDFont+F1"/>
          <w:color w:val="00B050"/>
          <w:sz w:val="24"/>
          <w:szCs w:val="24"/>
          <w:lang w:eastAsia="en-AU"/>
        </w:rPr>
        <w:t xml:space="preserve"> an antimicrobial skin care product:</w:t>
      </w:r>
    </w:p>
    <w:p w14:paraId="266C6733" w14:textId="5B18275B" w:rsidR="003D6A13" w:rsidRPr="004E3101" w:rsidRDefault="003D6A13" w:rsidP="003D6A13">
      <w:pPr>
        <w:pStyle w:val="ListBulleta"/>
        <w:rPr>
          <w:color w:val="00B050"/>
          <w:lang w:eastAsia="en-AU"/>
        </w:rPr>
      </w:pPr>
      <w:r w:rsidRPr="004E3101">
        <w:rPr>
          <w:color w:val="00B050"/>
          <w:lang w:eastAsia="en-AU"/>
        </w:rPr>
        <w:t>that consists of, contains or generates one or more antimicrobial active substances; and</w:t>
      </w:r>
    </w:p>
    <w:p w14:paraId="74D5861D" w14:textId="0A151D21" w:rsidR="003D6A13" w:rsidRPr="004E3101" w:rsidRDefault="003D6A13" w:rsidP="003D6A13">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34B031CF" w14:textId="2C539A72" w:rsidR="003D6A13" w:rsidRPr="004E3101" w:rsidRDefault="003D6A13" w:rsidP="003D6A13">
      <w:pPr>
        <w:pStyle w:val="ListBulleti"/>
        <w:rPr>
          <w:color w:val="00B050"/>
          <w:lang w:eastAsia="en-AU"/>
        </w:rPr>
      </w:pPr>
      <w:r w:rsidRPr="004E3101">
        <w:rPr>
          <w:color w:val="00B050"/>
          <w:lang w:eastAsia="en-AU"/>
        </w:rPr>
        <w:t>for use on hands when soap and water are not available; and</w:t>
      </w:r>
    </w:p>
    <w:p w14:paraId="6673A07F" w14:textId="4D9CA7F2" w:rsidR="003D6A13" w:rsidRPr="004E3101" w:rsidRDefault="003D6A13" w:rsidP="003D6A13">
      <w:pPr>
        <w:pStyle w:val="ListBulleti"/>
        <w:rPr>
          <w:color w:val="00B050"/>
          <w:lang w:eastAsia="en-AU"/>
        </w:rPr>
      </w:pPr>
      <w:r w:rsidRPr="004E3101">
        <w:rPr>
          <w:color w:val="00B050"/>
          <w:lang w:eastAsia="en-AU"/>
        </w:rPr>
        <w:t>applied to the hands without rinsing off; and</w:t>
      </w:r>
    </w:p>
    <w:p w14:paraId="748F3C43" w14:textId="26F4FB41" w:rsidR="003D6A13" w:rsidRPr="004E3101" w:rsidRDefault="003D6A13" w:rsidP="003D6A13">
      <w:pPr>
        <w:pStyle w:val="ListBulleti"/>
        <w:rPr>
          <w:color w:val="00B050"/>
        </w:rPr>
      </w:pPr>
      <w:r w:rsidRPr="004E3101">
        <w:rPr>
          <w:color w:val="00B050"/>
          <w:lang w:eastAsia="en-AU"/>
        </w:rPr>
        <w:t>intended to destroy, deter, render harmless, prevent the action of, or otherwise exert a controlling effect on any microbes on the skin.</w:t>
      </w:r>
    </w:p>
    <w:p w14:paraId="09F1A1B9" w14:textId="07F8F302" w:rsidR="00312013" w:rsidRDefault="00312013" w:rsidP="00312013">
      <w:pPr>
        <w:pStyle w:val="Heading4"/>
      </w:pPr>
      <w:r w:rsidRPr="00C46F90">
        <w:t>Key uses</w:t>
      </w:r>
      <w:r>
        <w:t xml:space="preserve"> </w:t>
      </w:r>
      <w:r w:rsidRPr="00C46F90">
        <w:t>/</w:t>
      </w:r>
      <w:r>
        <w:t xml:space="preserve"> </w:t>
      </w:r>
      <w:r w:rsidRPr="00C46F90">
        <w:t>expected use</w:t>
      </w:r>
      <w:bookmarkEnd w:id="18"/>
      <w:bookmarkEnd w:id="19"/>
    </w:p>
    <w:p w14:paraId="15D5DF0C" w14:textId="21F30C6A" w:rsidR="00312013" w:rsidRPr="00234889" w:rsidRDefault="00312013" w:rsidP="00312013">
      <w:pPr>
        <w:autoSpaceDE w:val="0"/>
        <w:autoSpaceDN w:val="0"/>
        <w:adjustRightInd w:val="0"/>
        <w:spacing w:before="0" w:after="0" w:line="240" w:lineRule="auto"/>
        <w:rPr>
          <w:rFonts w:asciiTheme="minorHAnsi" w:hAnsiTheme="minorHAnsi"/>
          <w:szCs w:val="22"/>
          <w:lang w:eastAsia="en-AU"/>
        </w:rPr>
      </w:pPr>
      <w:r w:rsidRPr="00E32070">
        <w:t xml:space="preserve">Cosmetic, domestic and industrial. </w:t>
      </w:r>
      <w:r w:rsidRPr="00E32070">
        <w:rPr>
          <w:lang w:eastAsia="en-AU"/>
        </w:rPr>
        <w:t>Used in the manufacture of h</w:t>
      </w:r>
      <w:r w:rsidRPr="00E32070">
        <w:rPr>
          <w:rFonts w:asciiTheme="minorHAnsi" w:hAnsiTheme="minorHAnsi" w:cs="CourierHP"/>
          <w:szCs w:val="22"/>
          <w:lang w:eastAsia="en-AU"/>
        </w:rPr>
        <w:t>and sanitisers, which may be classed as therapeutic or cosmetic depending on the claims made by the manufacturer.</w:t>
      </w:r>
      <w:r w:rsidR="00397DDA">
        <w:rPr>
          <w:rFonts w:asciiTheme="minorHAnsi" w:hAnsiTheme="minorHAnsi" w:cs="CourierHP"/>
          <w:szCs w:val="22"/>
          <w:lang w:eastAsia="en-AU"/>
        </w:rPr>
        <w:t xml:space="preserve"> </w:t>
      </w:r>
      <w:r w:rsidR="00397DDA">
        <w:rPr>
          <w:lang w:eastAsia="en-AU"/>
        </w:rPr>
        <w:t>Ethanol is a highly effective biocide and is used not only in domestic consumer products such as cosmetics but is also used in food preservation and as a fuel additive.</w:t>
      </w:r>
    </w:p>
    <w:p w14:paraId="48DA829C" w14:textId="104619AA" w:rsidR="00312013" w:rsidRDefault="006B30DA" w:rsidP="00312013">
      <w:pPr>
        <w:pStyle w:val="Heading4"/>
      </w:pPr>
      <w:bookmarkStart w:id="20" w:name="_Toc69303250"/>
      <w:bookmarkStart w:id="21" w:name="_Toc69305080"/>
      <w:r>
        <w:t>Summary of applicants r</w:t>
      </w:r>
      <w:r w:rsidR="00312013" w:rsidRPr="00B53302">
        <w:t>easons for proposal</w:t>
      </w:r>
      <w:bookmarkEnd w:id="20"/>
      <w:bookmarkEnd w:id="21"/>
    </w:p>
    <w:p w14:paraId="473ACA4E" w14:textId="389BDB71" w:rsidR="00312013" w:rsidRDefault="00312013" w:rsidP="00312013">
      <w:pPr>
        <w:pStyle w:val="ListBullet"/>
        <w:numPr>
          <w:ilvl w:val="0"/>
          <w:numId w:val="19"/>
        </w:numPr>
        <w:rPr>
          <w:lang w:eastAsia="en-AU"/>
        </w:rPr>
      </w:pPr>
      <w:r>
        <w:rPr>
          <w:lang w:eastAsia="en-AU"/>
        </w:rPr>
        <w:t>The increased use of high concentration alcohol-based hand sanitisers (up to 90% concentration) in domestic settings has increased public health risks</w:t>
      </w:r>
      <w:r w:rsidR="00397DDA">
        <w:rPr>
          <w:lang w:eastAsia="en-AU"/>
        </w:rPr>
        <w:t xml:space="preserve"> for accidental and deliberate ingestion</w:t>
      </w:r>
      <w:r>
        <w:rPr>
          <w:lang w:eastAsia="en-AU"/>
        </w:rPr>
        <w:t xml:space="preserve">. </w:t>
      </w:r>
    </w:p>
    <w:p w14:paraId="356FECB3" w14:textId="77777777" w:rsidR="00312013" w:rsidRDefault="00312013" w:rsidP="00312013">
      <w:pPr>
        <w:pStyle w:val="ListBullet"/>
        <w:numPr>
          <w:ilvl w:val="0"/>
          <w:numId w:val="19"/>
        </w:numPr>
        <w:rPr>
          <w:lang w:eastAsia="en-AU"/>
        </w:rPr>
      </w:pPr>
      <w:r>
        <w:rPr>
          <w:lang w:eastAsia="en-AU"/>
        </w:rPr>
        <w:t>Poisons Information Centres (PIC) have identified increases in calls relating to the accidental ingestion of hand sanitiser products, particularly in children under the age of five. There was a &gt;200% increase in poisonings in 2020 compared to the previous year with approximately 70% of these poisonings involving children under 5 years of age. An increase in intentional ingestion was also reported.</w:t>
      </w:r>
    </w:p>
    <w:p w14:paraId="06921A72" w14:textId="7AD51127" w:rsidR="00312013" w:rsidRDefault="00312013" w:rsidP="00312013">
      <w:pPr>
        <w:pStyle w:val="ListBullet"/>
        <w:numPr>
          <w:ilvl w:val="0"/>
          <w:numId w:val="19"/>
        </w:numPr>
        <w:rPr>
          <w:lang w:eastAsia="en-AU"/>
        </w:rPr>
      </w:pPr>
      <w:r>
        <w:rPr>
          <w:lang w:eastAsia="en-AU"/>
        </w:rPr>
        <w:t>PIC have reported intentional ingestion of hand sanitisers, particularly in the those suffering with neurodegenerative conditions such as dementia, and with adolescents and adult persons deliberately misusing hand sanitisers due to their increased availability. Currently there is no requirement to add a denaturant to hand sanitisers containing ethanol.</w:t>
      </w:r>
    </w:p>
    <w:p w14:paraId="3BB6D90C" w14:textId="77777777" w:rsidR="004E3101" w:rsidRDefault="004E3101" w:rsidP="004E3101">
      <w:pPr>
        <w:pStyle w:val="ListBullet"/>
        <w:numPr>
          <w:ilvl w:val="0"/>
          <w:numId w:val="19"/>
        </w:numPr>
        <w:rPr>
          <w:lang w:eastAsia="en-AU"/>
        </w:rPr>
      </w:pPr>
      <w:r>
        <w:rPr>
          <w:lang w:eastAsia="en-AU"/>
        </w:rPr>
        <w:t>It is proposed that ethanol-based hand sanitisers in containers up to 2L are captured in the scheduling proposal. The use of larger volumes is expected to be captured under workplace health and safety legislation as they are unlikely to be used domestically or found available for retail sale in the domestic market.</w:t>
      </w:r>
    </w:p>
    <w:p w14:paraId="737657E6" w14:textId="569FD5F5" w:rsidR="00826C1D" w:rsidRDefault="00826C1D" w:rsidP="003E64F4">
      <w:pPr>
        <w:pStyle w:val="ListBullet"/>
        <w:numPr>
          <w:ilvl w:val="0"/>
          <w:numId w:val="19"/>
        </w:numPr>
        <w:rPr>
          <w:lang w:eastAsia="en-AU"/>
        </w:rPr>
      </w:pPr>
      <w:r w:rsidRPr="00826C1D">
        <w:rPr>
          <w:lang w:eastAsia="en-AU"/>
        </w:rPr>
        <w:t xml:space="preserve">Hand sanitisers have also been identified </w:t>
      </w:r>
      <w:r w:rsidR="00397DDA">
        <w:rPr>
          <w:lang w:eastAsia="en-AU"/>
        </w:rPr>
        <w:t xml:space="preserve">by the applicant </w:t>
      </w:r>
      <w:r w:rsidRPr="00826C1D">
        <w:rPr>
          <w:lang w:eastAsia="en-AU"/>
        </w:rPr>
        <w:t xml:space="preserve">for sale in bottles resembling children’s ‘pop top’ drinks, water bottles and resembling </w:t>
      </w:r>
      <w:r w:rsidR="004E3101">
        <w:rPr>
          <w:lang w:eastAsia="en-AU"/>
        </w:rPr>
        <w:t>alcoholic beverages</w:t>
      </w:r>
      <w:r w:rsidRPr="00826C1D">
        <w:rPr>
          <w:lang w:eastAsia="en-AU"/>
        </w:rPr>
        <w:t xml:space="preserve">. </w:t>
      </w:r>
    </w:p>
    <w:p w14:paraId="22AF52F2" w14:textId="7FCE4D0F" w:rsidR="00826C1D" w:rsidRPr="00826C1D" w:rsidRDefault="00784C39" w:rsidP="003E64F4">
      <w:pPr>
        <w:pStyle w:val="ListBullet"/>
        <w:numPr>
          <w:ilvl w:val="0"/>
          <w:numId w:val="19"/>
        </w:numPr>
        <w:rPr>
          <w:lang w:eastAsia="en-AU"/>
        </w:rPr>
      </w:pPr>
      <w:r>
        <w:rPr>
          <w:lang w:eastAsia="en-AU"/>
        </w:rPr>
        <w:lastRenderedPageBreak/>
        <w:t>The applicant noted that s</w:t>
      </w:r>
      <w:r w:rsidR="00826C1D" w:rsidRPr="00826C1D">
        <w:rPr>
          <w:lang w:eastAsia="en-AU"/>
        </w:rPr>
        <w:t xml:space="preserve">ome </w:t>
      </w:r>
      <w:r w:rsidR="003E64F4">
        <w:rPr>
          <w:lang w:eastAsia="en-AU"/>
        </w:rPr>
        <w:t>hand san</w:t>
      </w:r>
      <w:r w:rsidR="00E2692B">
        <w:rPr>
          <w:lang w:eastAsia="en-AU"/>
        </w:rPr>
        <w:t>i</w:t>
      </w:r>
      <w:r w:rsidR="003E64F4">
        <w:rPr>
          <w:lang w:eastAsia="en-AU"/>
        </w:rPr>
        <w:t xml:space="preserve">tisers </w:t>
      </w:r>
      <w:r w:rsidR="00826C1D" w:rsidRPr="00826C1D">
        <w:rPr>
          <w:lang w:eastAsia="en-AU"/>
        </w:rPr>
        <w:t>were also of a clear liquid consistency</w:t>
      </w:r>
      <w:r w:rsidR="004E3101">
        <w:rPr>
          <w:lang w:eastAsia="en-AU"/>
        </w:rPr>
        <w:t>, similar to the consistency of water,</w:t>
      </w:r>
      <w:r w:rsidR="00826C1D" w:rsidRPr="00826C1D">
        <w:rPr>
          <w:lang w:eastAsia="en-AU"/>
        </w:rPr>
        <w:t xml:space="preserve"> with no flow restriction controls on the containers.</w:t>
      </w:r>
    </w:p>
    <w:p w14:paraId="5B000A77" w14:textId="66B4E3F6" w:rsidR="00826C1D" w:rsidRDefault="00826C1D" w:rsidP="003E64F4">
      <w:pPr>
        <w:pStyle w:val="ListBullet"/>
        <w:numPr>
          <w:ilvl w:val="0"/>
          <w:numId w:val="19"/>
        </w:numPr>
        <w:rPr>
          <w:lang w:eastAsia="en-AU"/>
        </w:rPr>
      </w:pPr>
      <w:r w:rsidRPr="00826C1D">
        <w:rPr>
          <w:lang w:eastAsia="en-AU"/>
        </w:rPr>
        <w:t>Safety information on labels</w:t>
      </w:r>
      <w:r w:rsidR="00397DDA">
        <w:rPr>
          <w:lang w:eastAsia="en-AU"/>
        </w:rPr>
        <w:t xml:space="preserve"> of selected bottles </w:t>
      </w:r>
      <w:r w:rsidRPr="00826C1D">
        <w:rPr>
          <w:lang w:eastAsia="en-AU"/>
        </w:rPr>
        <w:t>were limited and did not include adequate warnings</w:t>
      </w:r>
      <w:r>
        <w:rPr>
          <w:lang w:eastAsia="en-AU"/>
        </w:rPr>
        <w:t xml:space="preserve"> </w:t>
      </w:r>
      <w:r w:rsidRPr="00826C1D">
        <w:rPr>
          <w:lang w:eastAsia="en-AU"/>
        </w:rPr>
        <w:t>regarding the contents or their safe use.</w:t>
      </w:r>
    </w:p>
    <w:p w14:paraId="1A445C64" w14:textId="31796B6D" w:rsidR="003F2222" w:rsidRPr="001D730D" w:rsidRDefault="003F2222" w:rsidP="001D730D">
      <w:pPr>
        <w:pStyle w:val="ListBullet"/>
      </w:pPr>
      <w:r w:rsidRPr="001D730D">
        <w:t xml:space="preserve">There are some gaps in existing regulatory systems for hand sanitisers </w:t>
      </w:r>
      <w:r w:rsidR="001D730D">
        <w:t xml:space="preserve">with the TGA and ACCC, </w:t>
      </w:r>
      <w:r w:rsidRPr="001D730D">
        <w:t>as primarily</w:t>
      </w:r>
      <w:r w:rsidR="001D730D">
        <w:t xml:space="preserve"> </w:t>
      </w:r>
      <w:r w:rsidRPr="001D730D">
        <w:t>evidenced by the increased reporting of poisonings related to use of hand sanitisers in2020.</w:t>
      </w:r>
    </w:p>
    <w:p w14:paraId="4022D60C" w14:textId="29BE3E26" w:rsidR="001D730D" w:rsidRDefault="001D730D" w:rsidP="001D730D">
      <w:pPr>
        <w:pStyle w:val="ListBullet"/>
      </w:pPr>
      <w:r w:rsidRPr="001D730D">
        <w:t>Public health risks relating to access controls to accidently or intentionally consuming the contents have not been addressed.</w:t>
      </w:r>
    </w:p>
    <w:p w14:paraId="23A97433" w14:textId="77777777" w:rsidR="00397DDA" w:rsidRPr="007E62A9" w:rsidRDefault="00397DDA" w:rsidP="00397DDA">
      <w:pPr>
        <w:pStyle w:val="ListBullet"/>
        <w:rPr>
          <w:lang w:eastAsia="en-AU"/>
        </w:rPr>
      </w:pPr>
      <w:r w:rsidRPr="007E62A9">
        <w:rPr>
          <w:lang w:eastAsia="en-AU"/>
        </w:rPr>
        <w:t>Ethanol is a moderate eye irritant in animal studies and is a skin irritant in humans</w:t>
      </w:r>
      <w:r>
        <w:rPr>
          <w:lang w:eastAsia="en-AU"/>
        </w:rPr>
        <w:t xml:space="preserve"> following repeated exposure. </w:t>
      </w:r>
    </w:p>
    <w:p w14:paraId="75CC7B02" w14:textId="77777777" w:rsidR="00312013" w:rsidRDefault="00312013" w:rsidP="00312013">
      <w:pPr>
        <w:pStyle w:val="Heading4"/>
      </w:pPr>
      <w:bookmarkStart w:id="22" w:name="_Toc69303251"/>
      <w:bookmarkStart w:id="23" w:name="_Toc69305081"/>
      <w:r>
        <w:t>Australian regulations</w:t>
      </w:r>
      <w:bookmarkEnd w:id="22"/>
      <w:bookmarkEnd w:id="23"/>
    </w:p>
    <w:p w14:paraId="4097E9B9" w14:textId="12B8AB29" w:rsidR="00312013" w:rsidRDefault="00312013" w:rsidP="00312013">
      <w:pPr>
        <w:pStyle w:val="ListBullet"/>
        <w:numPr>
          <w:ilvl w:val="0"/>
          <w:numId w:val="19"/>
        </w:numPr>
      </w:pPr>
      <w:r w:rsidRPr="005C4582">
        <w:t>According</w:t>
      </w:r>
      <w:r>
        <w:t xml:space="preserve"> to the </w:t>
      </w:r>
      <w:hyperlink r:id="rId14" w:history="1">
        <w:r w:rsidR="00E2692B" w:rsidRPr="00C66C5E">
          <w:rPr>
            <w:rStyle w:val="Hyperlink"/>
          </w:rPr>
          <w:t xml:space="preserve">TGA </w:t>
        </w:r>
        <w:r w:rsidR="00E2692B">
          <w:rPr>
            <w:rStyle w:val="Hyperlink"/>
          </w:rPr>
          <w:t xml:space="preserve">Ingredient </w:t>
        </w:r>
        <w:r w:rsidR="00E2692B" w:rsidRPr="00C66C5E">
          <w:rPr>
            <w:rStyle w:val="Hyperlink"/>
          </w:rPr>
          <w:t>Database</w:t>
        </w:r>
      </w:hyperlink>
      <w:r w:rsidR="00E2692B">
        <w:rPr>
          <w:rStyle w:val="FootnoteReference"/>
        </w:rPr>
        <w:footnoteReference w:id="2"/>
      </w:r>
      <w:r>
        <w:t>, ethanol is:</w:t>
      </w:r>
    </w:p>
    <w:p w14:paraId="1EEE2A90" w14:textId="6B47EF3E" w:rsidR="00312013" w:rsidRDefault="00312013" w:rsidP="00312013">
      <w:pPr>
        <w:pStyle w:val="ListBullet2"/>
        <w:numPr>
          <w:ilvl w:val="1"/>
          <w:numId w:val="19"/>
        </w:numPr>
        <w:ind w:left="850" w:hanging="425"/>
      </w:pPr>
      <w:r>
        <w:t>available for use as an Active Ingredient in Biologicals, Export Only, Listed Medicines, Over the Counter and Prescription Medicines</w:t>
      </w:r>
    </w:p>
    <w:p w14:paraId="31E38D50" w14:textId="21E4D6F3" w:rsidR="00312013" w:rsidRDefault="00312013" w:rsidP="00312013">
      <w:pPr>
        <w:pStyle w:val="ListBullet2"/>
        <w:numPr>
          <w:ilvl w:val="1"/>
          <w:numId w:val="19"/>
        </w:numPr>
        <w:ind w:left="850" w:hanging="425"/>
      </w:pPr>
      <w:r>
        <w:t>not available as a Homoeopathic Ingredient in Listed Medicines</w:t>
      </w:r>
    </w:p>
    <w:p w14:paraId="01B0F5FB" w14:textId="4292EC45" w:rsidR="00312013" w:rsidRDefault="00312013" w:rsidP="00312013">
      <w:pPr>
        <w:pStyle w:val="ListBullet2"/>
        <w:numPr>
          <w:ilvl w:val="1"/>
          <w:numId w:val="19"/>
        </w:numPr>
        <w:ind w:left="850" w:hanging="425"/>
      </w:pPr>
      <w:r>
        <w:t>available for use as an Excipient Ingredient in Biologicals, Devices, Export Only, Listed Medicines, Over the Counter and Prescription Medicines</w:t>
      </w:r>
    </w:p>
    <w:p w14:paraId="7CD94F55" w14:textId="77777777" w:rsidR="00312013" w:rsidRDefault="00312013" w:rsidP="00312013">
      <w:pPr>
        <w:pStyle w:val="ListBullet2"/>
        <w:numPr>
          <w:ilvl w:val="1"/>
          <w:numId w:val="19"/>
        </w:numPr>
        <w:ind w:left="850" w:hanging="425"/>
      </w:pPr>
      <w:r>
        <w:t>available for use as an Equivalent Ingredient in Listed Medicines.</w:t>
      </w:r>
    </w:p>
    <w:p w14:paraId="37C57614" w14:textId="70DDFED5" w:rsidR="00312013" w:rsidRDefault="00312013" w:rsidP="00312013">
      <w:pPr>
        <w:pStyle w:val="ListBullet"/>
        <w:numPr>
          <w:ilvl w:val="0"/>
          <w:numId w:val="19"/>
        </w:numPr>
      </w:pPr>
      <w:r>
        <w:t xml:space="preserve">As of April </w:t>
      </w:r>
      <w:r w:rsidRPr="005C4582">
        <w:t>2021</w:t>
      </w:r>
      <w:r>
        <w:t xml:space="preserve">, there were 464 approved non-prescription medicines currently active in the </w:t>
      </w:r>
      <w:hyperlink r:id="rId15" w:history="1">
        <w:r w:rsidR="00E2692B" w:rsidRPr="00293CCA">
          <w:rPr>
            <w:rStyle w:val="Hyperlink"/>
          </w:rPr>
          <w:t>Australian Register of Therapeutic Goods (ARTG)</w:t>
        </w:r>
      </w:hyperlink>
      <w:r w:rsidR="00E2692B">
        <w:rPr>
          <w:rStyle w:val="FootnoteReference"/>
        </w:rPr>
        <w:footnoteReference w:id="3"/>
      </w:r>
      <w:r w:rsidRPr="00293E70">
        <w:rPr>
          <w:rStyle w:val="Hyperlink"/>
          <w:u w:val="none"/>
        </w:rPr>
        <w:t xml:space="preserve"> </w:t>
      </w:r>
      <w:r w:rsidRPr="006D5A11">
        <w:t xml:space="preserve">that </w:t>
      </w:r>
      <w:r>
        <w:t>contain ethanol as an ingredient. This included 56 non-prescription medicines that contain ethanol as an active ingredient.</w:t>
      </w:r>
      <w:r w:rsidR="00C4626A">
        <w:t xml:space="preserve"> </w:t>
      </w:r>
      <w:r w:rsidR="003405C7">
        <w:t>These are predominantly include hand sanitisers, disinfectants and mouthwashes.</w:t>
      </w:r>
    </w:p>
    <w:p w14:paraId="2D4FB3F6" w14:textId="70F0E540" w:rsidR="00312013" w:rsidRPr="00F16DE9" w:rsidRDefault="00312013" w:rsidP="00312013">
      <w:pPr>
        <w:pStyle w:val="ListBullet"/>
        <w:numPr>
          <w:ilvl w:val="0"/>
          <w:numId w:val="19"/>
        </w:numPr>
      </w:pPr>
      <w:r w:rsidRPr="005C4582">
        <w:t>According</w:t>
      </w:r>
      <w:r w:rsidRPr="00A26FAA">
        <w:t xml:space="preserve"> to the </w:t>
      </w:r>
      <w:hyperlink r:id="rId16" w:history="1">
        <w:r w:rsidR="00E2692B" w:rsidRPr="00824CAC">
          <w:rPr>
            <w:rStyle w:val="Hyperlink"/>
          </w:rPr>
          <w:t>Therapeutic Goods (Permissible Ingredients) Determination</w:t>
        </w:r>
      </w:hyperlink>
      <w:r w:rsidR="00E2692B">
        <w:rPr>
          <w:rStyle w:val="FootnoteReference"/>
        </w:rPr>
        <w:footnoteReference w:id="4"/>
      </w:r>
      <w:r w:rsidRPr="00A26FAA">
        <w:t xml:space="preserve"> No.1 of 202</w:t>
      </w:r>
      <w:r>
        <w:t>1</w:t>
      </w:r>
      <w:r w:rsidRPr="00A26FAA">
        <w:t xml:space="preserve">, </w:t>
      </w:r>
      <w:r>
        <w:t>ethanol is</w:t>
      </w:r>
      <w:r w:rsidRPr="00A26FAA">
        <w:t xml:space="preserve"> </w:t>
      </w:r>
      <w:r>
        <w:t xml:space="preserve">permitted to be used in listed medicines as follows: </w:t>
      </w:r>
    </w:p>
    <w:tbl>
      <w:tblPr>
        <w:tblStyle w:val="TableTGAblue"/>
        <w:tblW w:w="0" w:type="auto"/>
        <w:tblInd w:w="360" w:type="dxa"/>
        <w:tblLook w:val="04A0" w:firstRow="1" w:lastRow="0" w:firstColumn="1" w:lastColumn="0" w:noHBand="0" w:noVBand="1"/>
      </w:tblPr>
      <w:tblGrid>
        <w:gridCol w:w="706"/>
        <w:gridCol w:w="1901"/>
        <w:gridCol w:w="992"/>
        <w:gridCol w:w="5091"/>
      </w:tblGrid>
      <w:tr w:rsidR="00312013" w:rsidRPr="00A26FAA" w14:paraId="493352EE"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65B79DE9" w14:textId="77777777" w:rsidR="00312013" w:rsidRPr="00A26FAA" w:rsidRDefault="00312013" w:rsidP="0083193E">
            <w:pPr>
              <w:pStyle w:val="ListBullet"/>
              <w:keepLines/>
              <w:numPr>
                <w:ilvl w:val="0"/>
                <w:numId w:val="0"/>
              </w:numPr>
              <w:rPr>
                <w:sz w:val="20"/>
                <w:szCs w:val="20"/>
              </w:rPr>
            </w:pPr>
            <w:r w:rsidRPr="00A26FAA">
              <w:rPr>
                <w:sz w:val="20"/>
                <w:szCs w:val="20"/>
              </w:rPr>
              <w:lastRenderedPageBreak/>
              <w:t>Item</w:t>
            </w:r>
          </w:p>
        </w:tc>
        <w:tc>
          <w:tcPr>
            <w:tcW w:w="1901" w:type="dxa"/>
          </w:tcPr>
          <w:p w14:paraId="5031E0AA" w14:textId="77777777" w:rsidR="00312013" w:rsidRPr="00A26FA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Ingredient name</w:t>
            </w:r>
          </w:p>
        </w:tc>
        <w:tc>
          <w:tcPr>
            <w:tcW w:w="992" w:type="dxa"/>
          </w:tcPr>
          <w:p w14:paraId="2484BE9D" w14:textId="77777777" w:rsidR="00312013" w:rsidRPr="00A26FA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Purpose</w:t>
            </w:r>
          </w:p>
        </w:tc>
        <w:tc>
          <w:tcPr>
            <w:tcW w:w="5091" w:type="dxa"/>
          </w:tcPr>
          <w:p w14:paraId="1391533F" w14:textId="77777777" w:rsidR="00312013" w:rsidRPr="00A26FA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Specific requirements</w:t>
            </w:r>
          </w:p>
        </w:tc>
      </w:tr>
      <w:tr w:rsidR="00312013" w:rsidRPr="00A26FAA" w14:paraId="4025B562" w14:textId="77777777" w:rsidTr="0083193E">
        <w:tc>
          <w:tcPr>
            <w:cnfStyle w:val="001000000000" w:firstRow="0" w:lastRow="0" w:firstColumn="1" w:lastColumn="0" w:oddVBand="0" w:evenVBand="0" w:oddHBand="0" w:evenHBand="0" w:firstRowFirstColumn="0" w:firstRowLastColumn="0" w:lastRowFirstColumn="0" w:lastRowLastColumn="0"/>
            <w:tcW w:w="706" w:type="dxa"/>
          </w:tcPr>
          <w:p w14:paraId="51015365" w14:textId="77777777" w:rsidR="00312013" w:rsidRPr="00A26FAA" w:rsidRDefault="00312013" w:rsidP="0083193E">
            <w:pPr>
              <w:keepNext/>
              <w:keepLines/>
              <w:rPr>
                <w:rFonts w:asciiTheme="minorHAnsi" w:hAnsiTheme="minorHAnsi"/>
                <w:sz w:val="20"/>
                <w:szCs w:val="20"/>
              </w:rPr>
            </w:pPr>
            <w:r>
              <w:rPr>
                <w:sz w:val="20"/>
                <w:szCs w:val="20"/>
                <w:shd w:val="clear" w:color="auto" w:fill="FFFFFF"/>
              </w:rPr>
              <w:t>2048</w:t>
            </w:r>
          </w:p>
        </w:tc>
        <w:tc>
          <w:tcPr>
            <w:tcW w:w="1901" w:type="dxa"/>
          </w:tcPr>
          <w:p w14:paraId="3AE928DA" w14:textId="77777777" w:rsidR="00312013" w:rsidRPr="00A26FAA" w:rsidRDefault="00312013" w:rsidP="0083193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ETHANOL</w:t>
            </w:r>
          </w:p>
        </w:tc>
        <w:tc>
          <w:tcPr>
            <w:tcW w:w="992" w:type="dxa"/>
          </w:tcPr>
          <w:p w14:paraId="1DD100E6" w14:textId="77777777" w:rsidR="00312013" w:rsidRPr="00A26FAA" w:rsidRDefault="00312013" w:rsidP="0083193E">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A, </w:t>
            </w:r>
            <w:r w:rsidRPr="00A26FAA">
              <w:rPr>
                <w:rFonts w:asciiTheme="minorHAnsi" w:hAnsiTheme="minorHAnsi"/>
                <w:sz w:val="20"/>
                <w:szCs w:val="20"/>
              </w:rPr>
              <w:t>E</w:t>
            </w:r>
          </w:p>
        </w:tc>
        <w:tc>
          <w:tcPr>
            <w:tcW w:w="5091" w:type="dxa"/>
          </w:tcPr>
          <w:p w14:paraId="761C38E4" w14:textId="77777777" w:rsidR="00312013" w:rsidRPr="00EC2A18" w:rsidRDefault="00312013" w:rsidP="0083193E">
            <w:pPr>
              <w:pStyle w:val="tabletext"/>
              <w:spacing w:before="9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When used as an active ingredient, c</w:t>
            </w:r>
            <w:r w:rsidRPr="00EC2A18">
              <w:rPr>
                <w:rFonts w:asciiTheme="minorHAnsi" w:hAnsiTheme="minorHAnsi"/>
                <w:sz w:val="22"/>
                <w:szCs w:val="22"/>
              </w:rPr>
              <w:t>an only be supplied as an uncompounded medicine substance packed for retail sale and must comply with an uncompounded substance monograph of the British Pharmacopoeia, as in force or existing from time to time.</w:t>
            </w:r>
          </w:p>
          <w:p w14:paraId="33BF6BA7" w14:textId="77777777" w:rsidR="00312013" w:rsidRDefault="00312013" w:rsidP="0083193E">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191C400" w14:textId="77777777" w:rsidR="00312013" w:rsidRPr="00EC2A18" w:rsidRDefault="00312013" w:rsidP="0083193E">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EC2A18">
              <w:rPr>
                <w:rFonts w:asciiTheme="minorHAnsi" w:hAnsiTheme="minorHAnsi"/>
                <w:sz w:val="22"/>
                <w:szCs w:val="22"/>
              </w:rPr>
              <w:t>When the concentration of ethanol from all ingredients in the medicine is more than 3%, the medicine requires the following warning statement on the medicine label:</w:t>
            </w:r>
          </w:p>
          <w:p w14:paraId="60192823" w14:textId="77777777" w:rsidR="00312013" w:rsidRPr="00A26FAA" w:rsidRDefault="00312013" w:rsidP="0083193E">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C2A18">
              <w:rPr>
                <w:rFonts w:asciiTheme="minorHAnsi" w:hAnsiTheme="minorHAnsi"/>
                <w:sz w:val="22"/>
                <w:szCs w:val="22"/>
              </w:rPr>
              <w:t>- (ETHAN) 'Contains ethanol or contains alcohol'.</w:t>
            </w:r>
          </w:p>
        </w:tc>
      </w:tr>
      <w:tr w:rsidR="00312013" w:rsidRPr="00A26FAA" w14:paraId="0E4166C0" w14:textId="77777777" w:rsidTr="0083193E">
        <w:tc>
          <w:tcPr>
            <w:cnfStyle w:val="001000000000" w:firstRow="0" w:lastRow="0" w:firstColumn="1" w:lastColumn="0" w:oddVBand="0" w:evenVBand="0" w:oddHBand="0" w:evenHBand="0" w:firstRowFirstColumn="0" w:firstRowLastColumn="0" w:lastRowFirstColumn="0" w:lastRowLastColumn="0"/>
            <w:tcW w:w="8690" w:type="dxa"/>
            <w:gridSpan w:val="4"/>
          </w:tcPr>
          <w:p w14:paraId="01AC554F" w14:textId="77777777" w:rsidR="00312013" w:rsidRPr="005C4582" w:rsidRDefault="00312013" w:rsidP="0083193E">
            <w:pPr>
              <w:spacing w:before="0" w:after="0"/>
              <w:rPr>
                <w:sz w:val="16"/>
                <w:szCs w:val="16"/>
              </w:rPr>
            </w:pPr>
            <w:r w:rsidRPr="005C4582">
              <w:rPr>
                <w:b/>
                <w:sz w:val="16"/>
                <w:szCs w:val="16"/>
              </w:rPr>
              <w:t>A</w:t>
            </w:r>
            <w:r w:rsidRPr="005C4582">
              <w:rPr>
                <w:sz w:val="16"/>
                <w:szCs w:val="16"/>
              </w:rPr>
              <w:t xml:space="preserve"> – active ingredient for a medicine has the same meaning as in the Regulations</w:t>
            </w:r>
          </w:p>
          <w:p w14:paraId="4B516FF8" w14:textId="77777777" w:rsidR="00312013" w:rsidRPr="00EC2A18" w:rsidRDefault="00312013" w:rsidP="0083193E">
            <w:pPr>
              <w:spacing w:before="0" w:after="0"/>
            </w:pPr>
            <w:r w:rsidRPr="005C4582">
              <w:rPr>
                <w:b/>
                <w:sz w:val="16"/>
                <w:szCs w:val="16"/>
              </w:rPr>
              <w:t>E</w:t>
            </w:r>
            <w:r w:rsidRPr="005C4582">
              <w:rPr>
                <w:sz w:val="16"/>
                <w:szCs w:val="16"/>
              </w:rPr>
              <w:t xml:space="preserve"> – excipient for a medicine meaning an ingredient that is not an active ingredient or a homoeopathic preparation ingredient</w:t>
            </w:r>
          </w:p>
        </w:tc>
      </w:tr>
    </w:tbl>
    <w:p w14:paraId="7E0F7C35" w14:textId="2D9C857D" w:rsidR="00312013" w:rsidRDefault="00312013" w:rsidP="00312013">
      <w:pPr>
        <w:pStyle w:val="ListBullet"/>
        <w:numPr>
          <w:ilvl w:val="0"/>
          <w:numId w:val="19"/>
        </w:numPr>
      </w:pPr>
      <w:r w:rsidRPr="005C4582">
        <w:t>The</w:t>
      </w:r>
      <w:r w:rsidRPr="00D67128">
        <w:rPr>
          <w:lang w:eastAsia="en-AU"/>
        </w:rPr>
        <w:t xml:space="preserve"> </w:t>
      </w:r>
      <w:hyperlink r:id="rId17" w:history="1">
        <w:r w:rsidRPr="00D67128">
          <w:rPr>
            <w:rStyle w:val="Hyperlink"/>
            <w:rFonts w:asciiTheme="minorHAnsi" w:hAnsiTheme="minorHAnsi" w:cs="CIDFont+F3"/>
            <w:i/>
            <w:szCs w:val="22"/>
            <w:lang w:eastAsia="en-AU"/>
          </w:rPr>
          <w:t>Therapeutic Goods (Excluded Goods Hand Sanitisers) Determination 2020</w:t>
        </w:r>
      </w:hyperlink>
      <w:r>
        <w:rPr>
          <w:lang w:eastAsia="en-AU"/>
        </w:rPr>
        <w:t xml:space="preserve"> (the determination) i</w:t>
      </w:r>
      <w:r w:rsidRPr="00D67128">
        <w:rPr>
          <w:lang w:eastAsia="en-AU"/>
        </w:rPr>
        <w:t>ncludes exclusions when presented for supply in a particular way.</w:t>
      </w:r>
      <w:r>
        <w:rPr>
          <w:lang w:eastAsia="en-AU"/>
        </w:rPr>
        <w:t xml:space="preserve"> Schedule 1 of the determination outlines the formulation requirements and specifies the ingredients. </w:t>
      </w:r>
    </w:p>
    <w:p w14:paraId="68B9E14D" w14:textId="480FB99E" w:rsidR="000E70A2" w:rsidRPr="00D67128" w:rsidRDefault="000E70A2" w:rsidP="00312013">
      <w:pPr>
        <w:pStyle w:val="ListBullet"/>
        <w:numPr>
          <w:ilvl w:val="0"/>
          <w:numId w:val="19"/>
        </w:numPr>
      </w:pPr>
      <w:r>
        <w:rPr>
          <w:lang w:eastAsia="en-AU"/>
        </w:rPr>
        <w:t>The determination also specifies the labelling requirem</w:t>
      </w:r>
      <w:r w:rsidR="00952D88">
        <w:rPr>
          <w:lang w:eastAsia="en-AU"/>
        </w:rPr>
        <w:t>e</w:t>
      </w:r>
      <w:r>
        <w:rPr>
          <w:lang w:eastAsia="en-AU"/>
        </w:rPr>
        <w:t>nts, including a statement that the product “</w:t>
      </w:r>
      <w:r w:rsidRPr="000E70A2">
        <w:rPr>
          <w:i/>
          <w:lang w:eastAsia="en-AU"/>
        </w:rPr>
        <w:t>must not be presented for supply in any way that is likely to result in the goods being mistaken for or confused with food or beverages</w:t>
      </w:r>
      <w:r>
        <w:rPr>
          <w:lang w:eastAsia="en-AU"/>
        </w:rPr>
        <w:t>”.</w:t>
      </w:r>
    </w:p>
    <w:p w14:paraId="331D00C1" w14:textId="77777777" w:rsidR="00312013" w:rsidRPr="00D67128" w:rsidRDefault="00312013" w:rsidP="00312013">
      <w:pPr>
        <w:pStyle w:val="ListBullet"/>
        <w:numPr>
          <w:ilvl w:val="0"/>
          <w:numId w:val="0"/>
        </w:numPr>
        <w:ind w:left="360"/>
        <w:rPr>
          <w:rFonts w:asciiTheme="minorHAnsi" w:hAnsiTheme="minorHAnsi"/>
          <w:szCs w:val="22"/>
        </w:rPr>
      </w:pPr>
      <w:r>
        <w:rPr>
          <w:rFonts w:asciiTheme="minorHAnsi" w:hAnsiTheme="minorHAnsi" w:cs="CIDFont+F3"/>
          <w:szCs w:val="22"/>
          <w:lang w:eastAsia="en-AU"/>
        </w:rPr>
        <w:t>Schedule 2, part 1 of the determination outlines the requirements for labels as follows:</w:t>
      </w:r>
    </w:p>
    <w:p w14:paraId="7AB2BD8F" w14:textId="77777777" w:rsidR="00312013" w:rsidRPr="00D67128" w:rsidRDefault="00312013" w:rsidP="00312013">
      <w:pPr>
        <w:pStyle w:val="ListBullet"/>
        <w:numPr>
          <w:ilvl w:val="0"/>
          <w:numId w:val="0"/>
        </w:numPr>
        <w:shd w:val="clear" w:color="auto" w:fill="FFFFFF"/>
        <w:spacing w:before="280" w:after="280" w:line="240" w:lineRule="auto"/>
        <w:rPr>
          <w:rFonts w:ascii="Arial" w:eastAsia="Times New Roman" w:hAnsi="Arial" w:cs="Arial"/>
          <w:sz w:val="19"/>
          <w:szCs w:val="19"/>
          <w:lang w:val="en-US" w:eastAsia="en-AU"/>
        </w:rPr>
      </w:pPr>
      <w:bookmarkStart w:id="24" w:name="_Toc36546378"/>
      <w:r w:rsidRPr="00D67128">
        <w:rPr>
          <w:rFonts w:ascii="Arial" w:eastAsia="Times New Roman" w:hAnsi="Arial" w:cs="Arial"/>
          <w:b/>
          <w:bCs/>
          <w:sz w:val="24"/>
          <w:szCs w:val="24"/>
          <w:lang w:eastAsia="en-AU"/>
        </w:rPr>
        <w:t>1  Front label</w:t>
      </w:r>
      <w:bookmarkEnd w:id="24"/>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tblGrid>
      <w:tr w:rsidR="00312013" w:rsidRPr="00D67128" w14:paraId="5DA194D8" w14:textId="77777777" w:rsidTr="0083193E">
        <w:trPr>
          <w:trHeight w:val="2280"/>
        </w:trPr>
        <w:tc>
          <w:tcPr>
            <w:tcW w:w="6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1F01CC"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b/>
                <w:bCs/>
                <w:sz w:val="28"/>
                <w:szCs w:val="28"/>
                <w:lang w:eastAsia="en-AU"/>
              </w:rPr>
              <w:t>Ethanol hand sanitiser 80%</w:t>
            </w:r>
          </w:p>
          <w:p w14:paraId="5E94C9D9"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sz w:val="20"/>
                <w:lang w:eastAsia="en-AU"/>
              </w:rPr>
              <w:t>Hand rub [optional text: suitable for use in medical and health services]</w:t>
            </w:r>
          </w:p>
          <w:p w14:paraId="0D106267"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b/>
                <w:bCs/>
                <w:sz w:val="20"/>
                <w:lang w:eastAsia="en-AU"/>
              </w:rPr>
              <w:t>DO NOT DRINK</w:t>
            </w:r>
          </w:p>
          <w:p w14:paraId="489BB15B"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sz w:val="20"/>
                <w:lang w:eastAsia="en-AU"/>
              </w:rPr>
              <w:t>[Insert volume of the product in mLs]</w:t>
            </w:r>
          </w:p>
          <w:p w14:paraId="17EFC2C8"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sz w:val="20"/>
                <w:lang w:eastAsia="en-AU"/>
              </w:rPr>
              <w:t>[Insert name of the manufacturer or supplier]</w:t>
            </w:r>
          </w:p>
          <w:p w14:paraId="64103A83" w14:textId="77777777" w:rsidR="00312013" w:rsidRPr="00D67128" w:rsidRDefault="00312013" w:rsidP="0083193E">
            <w:pPr>
              <w:spacing w:before="100" w:beforeAutospacing="1" w:after="100" w:afterAutospacing="1" w:line="240" w:lineRule="auto"/>
              <w:rPr>
                <w:rFonts w:ascii="Arial" w:eastAsia="Times New Roman" w:hAnsi="Arial" w:cs="Arial"/>
                <w:sz w:val="19"/>
                <w:szCs w:val="19"/>
                <w:lang w:eastAsia="en-AU"/>
              </w:rPr>
            </w:pPr>
            <w:r w:rsidRPr="00D67128">
              <w:rPr>
                <w:rFonts w:ascii="Arial" w:eastAsia="Times New Roman" w:hAnsi="Arial" w:cs="Arial"/>
                <w:sz w:val="20"/>
                <w:lang w:eastAsia="en-AU"/>
              </w:rPr>
              <w:t>[Insert contact details of the manufacturer or supplier]</w:t>
            </w:r>
          </w:p>
        </w:tc>
      </w:tr>
    </w:tbl>
    <w:p w14:paraId="1AD819D5" w14:textId="77777777" w:rsidR="00312013" w:rsidRPr="00D67128" w:rsidRDefault="00312013" w:rsidP="0025570D">
      <w:pPr>
        <w:pStyle w:val="ListBullet"/>
        <w:keepNext/>
        <w:numPr>
          <w:ilvl w:val="0"/>
          <w:numId w:val="0"/>
        </w:numPr>
        <w:shd w:val="clear" w:color="auto" w:fill="FFFFFF"/>
        <w:spacing w:before="280" w:after="280" w:line="240" w:lineRule="auto"/>
        <w:rPr>
          <w:rFonts w:ascii="Arial" w:eastAsia="Times New Roman" w:hAnsi="Arial" w:cs="Arial"/>
          <w:sz w:val="19"/>
          <w:szCs w:val="19"/>
          <w:lang w:val="en-US" w:eastAsia="en-AU"/>
        </w:rPr>
      </w:pPr>
      <w:bookmarkStart w:id="25" w:name="_Toc36546379"/>
      <w:r w:rsidRPr="00D67128">
        <w:rPr>
          <w:rFonts w:ascii="Arial" w:eastAsia="Times New Roman" w:hAnsi="Arial" w:cs="Arial"/>
          <w:b/>
          <w:bCs/>
          <w:sz w:val="24"/>
          <w:szCs w:val="24"/>
          <w:lang w:eastAsia="en-AU"/>
        </w:rPr>
        <w:lastRenderedPageBreak/>
        <w:t>2  Back label</w:t>
      </w:r>
      <w:bookmarkEnd w:id="25"/>
    </w:p>
    <w:tbl>
      <w:tblPr>
        <w:tblW w:w="680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tblGrid>
      <w:tr w:rsidR="00312013" w:rsidRPr="00D67128" w14:paraId="578AF1AC" w14:textId="77777777" w:rsidTr="0083193E">
        <w:trPr>
          <w:trHeight w:val="5798"/>
        </w:trPr>
        <w:tc>
          <w:tcPr>
            <w:tcW w:w="6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3C16A"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b/>
                <w:bCs/>
                <w:sz w:val="20"/>
                <w:lang w:eastAsia="en-AU"/>
              </w:rPr>
              <w:t>Contains:</w:t>
            </w:r>
          </w:p>
          <w:p w14:paraId="60FFF2D2"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Ethanol 80% v/v, water, glycerol and hydrogen peroxide.</w:t>
            </w:r>
          </w:p>
          <w:p w14:paraId="5613511B"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[Insert name of denaturant used, if applicable]</w:t>
            </w:r>
          </w:p>
          <w:p w14:paraId="3E1B6B73"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b/>
                <w:bCs/>
                <w:sz w:val="20"/>
                <w:lang w:eastAsia="en-AU"/>
              </w:rPr>
              <w:t>Use:</w:t>
            </w:r>
          </w:p>
          <w:p w14:paraId="3CF5F12C"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Antiseptic hand rub when soap and water are not available.</w:t>
            </w:r>
          </w:p>
          <w:p w14:paraId="4231E905"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b/>
                <w:bCs/>
                <w:sz w:val="20"/>
                <w:lang w:eastAsia="en-AU"/>
              </w:rPr>
              <w:t>Directions for use:</w:t>
            </w:r>
          </w:p>
          <w:p w14:paraId="0FC53BF6"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Apply sufficient amount of product on hands to cover all surfaces.</w:t>
            </w:r>
          </w:p>
          <w:p w14:paraId="1C9A095C"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Rub hands together until dry.</w:t>
            </w:r>
          </w:p>
          <w:p w14:paraId="5C65E2B7"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b/>
                <w:bCs/>
                <w:sz w:val="20"/>
                <w:lang w:eastAsia="en-AU"/>
              </w:rPr>
              <w:t>Warnings:</w:t>
            </w:r>
          </w:p>
          <w:p w14:paraId="4BB76D95"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For external use only. Flammable. Keep away from heat or flame.</w:t>
            </w:r>
            <w:r w:rsidRPr="00D67128">
              <w:rPr>
                <w:rFonts w:ascii="Arial" w:eastAsia="Times New Roman" w:hAnsi="Arial" w:cs="Arial"/>
                <w:noProof/>
                <w:sz w:val="19"/>
                <w:szCs w:val="19"/>
                <w:lang w:eastAsia="en-AU"/>
              </w:rPr>
              <w:t xml:space="preserve"> </w:t>
            </w:r>
            <w:r w:rsidRPr="00D67128">
              <w:rPr>
                <w:rFonts w:ascii="Arial" w:eastAsia="Times New Roman" w:hAnsi="Arial" w:cs="Arial"/>
                <w:noProof/>
                <w:sz w:val="19"/>
                <w:szCs w:val="19"/>
                <w:lang w:eastAsia="en-AU"/>
              </w:rPr>
              <w:drawing>
                <wp:inline distT="0" distB="0" distL="0" distR="0" wp14:anchorId="6251CB47" wp14:editId="76F05BB9">
                  <wp:extent cx="622300" cy="622300"/>
                  <wp:effectExtent l="0" t="0" r="6350" b="6350"/>
                  <wp:docPr id="4" name="Picture 4" descr="https://www.legislation.gov.au/Details/F2020C00357/Html/b5480743-1a3a-4d87-a55e-f1b6c1b195e4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lation.gov.au/Details/F2020C00357/Html/b5480743-1a3a-4d87-a55e-f1b6c1b195e4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56F3C492" w14:textId="77777777" w:rsidR="00312013" w:rsidRPr="00D67128" w:rsidRDefault="00312013" w:rsidP="0083193E">
            <w:pPr>
              <w:spacing w:before="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Keep out of eyes, ears and mouth.</w:t>
            </w:r>
            <w:r w:rsidRPr="00D67128">
              <w:rPr>
                <w:rFonts w:ascii="Arial" w:eastAsia="Times New Roman" w:hAnsi="Arial" w:cs="Arial"/>
                <w:noProof/>
                <w:sz w:val="19"/>
                <w:szCs w:val="19"/>
                <w:lang w:eastAsia="en-AU"/>
              </w:rPr>
              <w:t xml:space="preserve"> </w:t>
            </w:r>
          </w:p>
          <w:p w14:paraId="60C8EDE7"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Discontinue use if skin irritation or rash occurs.</w:t>
            </w:r>
          </w:p>
          <w:p w14:paraId="175BA118"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Keep out of reach of children.</w:t>
            </w:r>
          </w:p>
          <w:p w14:paraId="313FD7F5"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Poisons Information Centre 13 11 26.</w:t>
            </w:r>
          </w:p>
          <w:p w14:paraId="794C9B5B"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Store below 30 °C.</w:t>
            </w:r>
          </w:p>
          <w:p w14:paraId="0AF0EB99" w14:textId="77777777" w:rsidR="00312013" w:rsidRPr="00D67128" w:rsidRDefault="00312013" w:rsidP="0083193E">
            <w:pPr>
              <w:spacing w:before="100" w:beforeAutospacing="1" w:after="100" w:afterAutospacing="1" w:line="240" w:lineRule="auto"/>
              <w:ind w:left="30"/>
              <w:rPr>
                <w:rFonts w:ascii="Arial" w:eastAsia="Times New Roman" w:hAnsi="Arial" w:cs="Arial"/>
                <w:sz w:val="19"/>
                <w:szCs w:val="19"/>
                <w:lang w:eastAsia="en-AU"/>
              </w:rPr>
            </w:pPr>
            <w:r w:rsidRPr="00D67128">
              <w:rPr>
                <w:rFonts w:ascii="Arial" w:eastAsia="Times New Roman" w:hAnsi="Arial" w:cs="Arial"/>
                <w:sz w:val="20"/>
                <w:lang w:eastAsia="en-AU"/>
              </w:rPr>
              <w:t>Date of manufacture: [Insert dd mm yyyy]</w:t>
            </w:r>
          </w:p>
        </w:tc>
      </w:tr>
    </w:tbl>
    <w:p w14:paraId="086629F5" w14:textId="7F5D8136" w:rsidR="00312013" w:rsidRPr="003269F2" w:rsidRDefault="00312013" w:rsidP="00312013">
      <w:pPr>
        <w:pStyle w:val="ListBullet"/>
        <w:numPr>
          <w:ilvl w:val="0"/>
          <w:numId w:val="19"/>
        </w:numPr>
      </w:pPr>
      <w:r w:rsidRPr="005C4582">
        <w:t>There</w:t>
      </w:r>
      <w:r w:rsidRPr="003269F2">
        <w:t xml:space="preserve"> are no warning statements pertaining to </w:t>
      </w:r>
      <w:r>
        <w:t>ethanol</w:t>
      </w:r>
      <w:r w:rsidRPr="003269F2">
        <w:t xml:space="preserve"> in the </w:t>
      </w:r>
      <w:hyperlink r:id="rId19" w:history="1">
        <w:r w:rsidR="00E2692B" w:rsidRPr="00824CAC">
          <w:rPr>
            <w:rStyle w:val="Hyperlink"/>
          </w:rPr>
          <w:t>Therapeutic Goods (Permissible Ingredients) Determination</w:t>
        </w:r>
      </w:hyperlink>
      <w:r w:rsidR="00E2692B">
        <w:rPr>
          <w:rStyle w:val="FootnoteReference"/>
        </w:rPr>
        <w:footnoteReference w:id="5"/>
      </w:r>
    </w:p>
    <w:p w14:paraId="526440A5" w14:textId="403D81E3" w:rsidR="00312013" w:rsidRPr="009F1ACF" w:rsidRDefault="00312013" w:rsidP="00312013">
      <w:pPr>
        <w:pStyle w:val="ListBullet"/>
        <w:numPr>
          <w:ilvl w:val="0"/>
          <w:numId w:val="19"/>
        </w:numPr>
      </w:pPr>
      <w:r w:rsidRPr="009F1ACF">
        <w:rPr>
          <w:shd w:val="clear" w:color="auto" w:fill="FFFFFF"/>
        </w:rPr>
        <w:t xml:space="preserve">Since </w:t>
      </w:r>
      <w:r w:rsidRPr="005C4582">
        <w:t>January</w:t>
      </w:r>
      <w:r w:rsidRPr="009F1ACF">
        <w:rPr>
          <w:shd w:val="clear" w:color="auto" w:fill="FFFFFF"/>
        </w:rPr>
        <w:t xml:space="preserve"> 2010, there were 9</w:t>
      </w:r>
      <w:r>
        <w:rPr>
          <w:shd w:val="clear" w:color="auto" w:fill="FFFFFF"/>
        </w:rPr>
        <w:t xml:space="preserve">2 </w:t>
      </w:r>
      <w:r w:rsidRPr="009F1ACF">
        <w:rPr>
          <w:shd w:val="clear" w:color="auto" w:fill="FFFFFF"/>
        </w:rPr>
        <w:t xml:space="preserve">reports of adverse events for products containing ethanol as an active ingredient on the </w:t>
      </w:r>
      <w:hyperlink r:id="rId20" w:history="1">
        <w:r w:rsidR="00E2692B" w:rsidRPr="00F0449C">
          <w:rPr>
            <w:rStyle w:val="Hyperlink"/>
          </w:rPr>
          <w:t>Database of Adverse Event Notifications (DAEN)</w:t>
        </w:r>
      </w:hyperlink>
      <w:r w:rsidR="00E2692B">
        <w:rPr>
          <w:rStyle w:val="FootnoteReference"/>
        </w:rPr>
        <w:footnoteReference w:id="6"/>
      </w:r>
      <w:r>
        <w:rPr>
          <w:shd w:val="clear" w:color="auto" w:fill="FFFFFF"/>
        </w:rPr>
        <w:t>, with 60</w:t>
      </w:r>
      <w:r w:rsidRPr="009F1ACF">
        <w:rPr>
          <w:shd w:val="clear" w:color="auto" w:fill="FFFFFF"/>
        </w:rPr>
        <w:t xml:space="preserve"> reports where ethanol was the single suspected medicine. </w:t>
      </w:r>
    </w:p>
    <w:p w14:paraId="6B10CCF6" w14:textId="1B3C3A2D" w:rsidR="00312013" w:rsidRDefault="00312013" w:rsidP="00312013">
      <w:pPr>
        <w:pStyle w:val="ListBullet"/>
        <w:numPr>
          <w:ilvl w:val="0"/>
          <w:numId w:val="19"/>
        </w:numPr>
      </w:pPr>
      <w:r w:rsidRPr="009F1ACF">
        <w:t xml:space="preserve">As of April 2021, there </w:t>
      </w:r>
      <w:r>
        <w:t>were five</w:t>
      </w:r>
      <w:r w:rsidRPr="009F1ACF">
        <w:t xml:space="preserve"> product</w:t>
      </w:r>
      <w:r>
        <w:t>s</w:t>
      </w:r>
      <w:r w:rsidRPr="009F1ACF">
        <w:t xml:space="preserve"> containing ethanol listed in the APVMA </w:t>
      </w:r>
      <w:hyperlink r:id="rId21" w:history="1">
        <w:r w:rsidRPr="009F1ACF">
          <w:rPr>
            <w:rStyle w:val="Hyperlink"/>
            <w:szCs w:val="22"/>
          </w:rPr>
          <w:t>Public Chemical Registration Information System Search (PubCRIS)</w:t>
        </w:r>
      </w:hyperlink>
      <w:r w:rsidR="00E2692B" w:rsidRPr="00E2692B">
        <w:rPr>
          <w:rStyle w:val="FootnoteReference"/>
        </w:rPr>
        <w:t xml:space="preserve"> </w:t>
      </w:r>
      <w:r w:rsidR="00E2692B">
        <w:rPr>
          <w:rStyle w:val="FootnoteReference"/>
        </w:rPr>
        <w:footnoteReference w:id="7"/>
      </w:r>
      <w:r w:rsidR="00E2692B">
        <w:rPr>
          <w:shd w:val="clear" w:color="auto" w:fill="FFFFFF"/>
        </w:rPr>
        <w:t>,</w:t>
      </w:r>
    </w:p>
    <w:p w14:paraId="7E93DD18" w14:textId="77777777" w:rsidR="00312013" w:rsidRDefault="00312013" w:rsidP="00312013">
      <w:pPr>
        <w:pStyle w:val="ListBullet2"/>
        <w:numPr>
          <w:ilvl w:val="1"/>
          <w:numId w:val="19"/>
        </w:numPr>
        <w:ind w:left="850" w:hanging="425"/>
      </w:pPr>
      <w:r>
        <w:lastRenderedPageBreak/>
        <w:t>Five products are listed as fungicides or insecticides using ethanol as an active ingredient. Two products are Schedule 6 due to the presence of other scheduled ingredients; the remaining three products are unscheduled.</w:t>
      </w:r>
    </w:p>
    <w:p w14:paraId="0995D8EF" w14:textId="35FCDE9A" w:rsidR="00312013" w:rsidRDefault="00312013" w:rsidP="00312013">
      <w:pPr>
        <w:pStyle w:val="ListBullet"/>
        <w:numPr>
          <w:ilvl w:val="0"/>
          <w:numId w:val="19"/>
        </w:numPr>
      </w:pPr>
      <w:r>
        <w:t xml:space="preserve">In 2010-2020 no adverse experiences were recorded for ethanol in the </w:t>
      </w:r>
      <w:hyperlink r:id="rId22" w:history="1">
        <w:r w:rsidRPr="006B6023">
          <w:rPr>
            <w:rStyle w:val="Hyperlink"/>
          </w:rPr>
          <w:t>A</w:t>
        </w:r>
        <w:r>
          <w:rPr>
            <w:rStyle w:val="Hyperlink"/>
          </w:rPr>
          <w:t>PVMA A</w:t>
        </w:r>
        <w:r w:rsidRPr="006B6023">
          <w:rPr>
            <w:rStyle w:val="Hyperlink"/>
          </w:rPr>
          <w:t>dverse Experience Reporting Program</w:t>
        </w:r>
      </w:hyperlink>
      <w:r w:rsidR="002C6C8D">
        <w:rPr>
          <w:rStyle w:val="FootnoteReference"/>
        </w:rPr>
        <w:footnoteReference w:id="8"/>
      </w:r>
      <w:r w:rsidRPr="002C6C8D">
        <w:t xml:space="preserve"> database (AERP).</w:t>
      </w:r>
    </w:p>
    <w:p w14:paraId="40F48CE4" w14:textId="28E32947" w:rsidR="003F2222" w:rsidRPr="001D730D" w:rsidRDefault="003F2222" w:rsidP="00312013">
      <w:pPr>
        <w:pStyle w:val="ListBullet"/>
        <w:numPr>
          <w:ilvl w:val="0"/>
          <w:numId w:val="19"/>
        </w:numPr>
        <w:rPr>
          <w:rFonts w:asciiTheme="minorHAnsi" w:hAnsiTheme="minorHAnsi"/>
          <w:szCs w:val="22"/>
        </w:rPr>
      </w:pPr>
      <w:r w:rsidRPr="00C4626A">
        <w:rPr>
          <w:szCs w:val="22"/>
        </w:rPr>
        <w:t xml:space="preserve">The </w:t>
      </w:r>
      <w:hyperlink r:id="rId23" w:history="1">
        <w:r w:rsidRPr="003D6A13">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9"/>
      </w:r>
      <w:r w:rsidR="00C4626A" w:rsidRPr="001D730D">
        <w:rPr>
          <w:rFonts w:asciiTheme="minorHAnsi" w:hAnsiTheme="minorHAnsi"/>
          <w:bCs/>
          <w:color w:val="000000"/>
          <w:szCs w:val="22"/>
          <w:shd w:val="clear" w:color="auto" w:fill="FFFFFF"/>
        </w:rPr>
        <w:t>lists the following additional requirements for hand sanitisers. It also provides a definition of hand sanitisers.</w:t>
      </w:r>
    </w:p>
    <w:p w14:paraId="471B223B" w14:textId="77777777" w:rsidR="003F2222" w:rsidRPr="003F2222" w:rsidRDefault="003F2222" w:rsidP="00352DD2">
      <w:pPr>
        <w:pStyle w:val="ListBullet"/>
        <w:numPr>
          <w:ilvl w:val="0"/>
          <w:numId w:val="0"/>
        </w:numPr>
        <w:shd w:val="clear" w:color="auto" w:fill="FFFFFF"/>
        <w:spacing w:before="280" w:after="0" w:line="240" w:lineRule="auto"/>
        <w:rPr>
          <w:rFonts w:ascii="Times New Roman" w:eastAsia="Times New Roman" w:hAnsi="Times New Roman"/>
          <w:b/>
          <w:bCs/>
          <w:color w:val="000000"/>
          <w:sz w:val="24"/>
          <w:szCs w:val="24"/>
          <w:lang w:eastAsia="en-AU"/>
        </w:rPr>
      </w:pPr>
      <w:bookmarkStart w:id="26" w:name="_Toc54334830"/>
      <w:r w:rsidRPr="003F2222">
        <w:rPr>
          <w:rFonts w:ascii="Times New Roman" w:eastAsia="Times New Roman" w:hAnsi="Times New Roman"/>
          <w:b/>
          <w:bCs/>
          <w:color w:val="000000"/>
          <w:sz w:val="24"/>
          <w:szCs w:val="24"/>
          <w:lang w:eastAsia="en-AU"/>
        </w:rPr>
        <w:t>Additional requirements for hand sanitisers</w:t>
      </w:r>
      <w:bookmarkEnd w:id="26"/>
    </w:p>
    <w:p w14:paraId="76FD0C18" w14:textId="77777777" w:rsidR="003F2222" w:rsidRPr="004D6B84" w:rsidRDefault="003F2222" w:rsidP="003405C7">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(1)  This section applies to hand sanitiser that contains alcohol as the primary active ingredient.</w:t>
      </w:r>
    </w:p>
    <w:p w14:paraId="64C5ECAD" w14:textId="77777777" w:rsidR="003F2222" w:rsidRPr="006D0B24" w:rsidRDefault="003F2222" w:rsidP="003405C7">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6D0B24">
        <w:rPr>
          <w:rFonts w:ascii="Times New Roman" w:eastAsia="Times New Roman" w:hAnsi="Times New Roman"/>
          <w:color w:val="000000"/>
          <w:sz w:val="18"/>
          <w:szCs w:val="18"/>
          <w:lang w:eastAsia="en-AU"/>
        </w:rPr>
        <w:t>Note:          This instrument does not apply to hand sanitisers that are therapeutic goods within the meaning of the </w:t>
      </w:r>
      <w:r w:rsidRPr="006D0B24">
        <w:rPr>
          <w:rFonts w:ascii="Times New Roman" w:eastAsia="Times New Roman" w:hAnsi="Times New Roman"/>
          <w:i/>
          <w:iCs/>
          <w:color w:val="000000"/>
          <w:sz w:val="18"/>
          <w:szCs w:val="18"/>
          <w:lang w:eastAsia="en-AU"/>
        </w:rPr>
        <w:t>Therapeutic Goods Act 1989</w:t>
      </w:r>
      <w:r w:rsidRPr="006D0B24">
        <w:rPr>
          <w:rFonts w:ascii="Times New Roman" w:eastAsia="Times New Roman" w:hAnsi="Times New Roman"/>
          <w:color w:val="000000"/>
          <w:sz w:val="18"/>
          <w:szCs w:val="18"/>
          <w:lang w:eastAsia="en-AU"/>
        </w:rPr>
        <w:t>, or that are excluded goods for the purposes of that Act under the </w:t>
      </w:r>
      <w:r w:rsidRPr="006D0B24">
        <w:rPr>
          <w:rFonts w:ascii="Times New Roman" w:eastAsia="Times New Roman" w:hAnsi="Times New Roman"/>
          <w:i/>
          <w:iCs/>
          <w:color w:val="000000"/>
          <w:sz w:val="18"/>
          <w:szCs w:val="18"/>
          <w:lang w:eastAsia="en-AU"/>
        </w:rPr>
        <w:t>Therapeutic Goods (Excluded Goods—Hand Sanitisers) Determination 2020</w:t>
      </w:r>
      <w:r w:rsidRPr="006D0B24">
        <w:rPr>
          <w:rFonts w:ascii="Times New Roman" w:eastAsia="Times New Roman" w:hAnsi="Times New Roman"/>
          <w:color w:val="000000"/>
          <w:sz w:val="18"/>
          <w:szCs w:val="18"/>
          <w:lang w:eastAsia="en-AU"/>
        </w:rPr>
        <w:t> (see subsection 5(2) of this instrument).</w:t>
      </w:r>
    </w:p>
    <w:p w14:paraId="1815A1B6" w14:textId="77777777" w:rsidR="003F2222" w:rsidRPr="004D6B84" w:rsidRDefault="003F2222" w:rsidP="003405C7">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6D0B24">
        <w:rPr>
          <w:rFonts w:asciiTheme="minorHAnsi" w:eastAsia="Times New Roman" w:hAnsiTheme="minorHAnsi"/>
          <w:color w:val="000000"/>
          <w:sz w:val="24"/>
          <w:szCs w:val="24"/>
          <w:lang w:eastAsia="en-AU"/>
        </w:rPr>
        <w:t xml:space="preserve">             </w:t>
      </w:r>
      <w:r w:rsidRPr="004D6B84">
        <w:rPr>
          <w:rFonts w:asciiTheme="minorHAnsi" w:eastAsia="Times New Roman" w:hAnsiTheme="minorHAnsi"/>
          <w:color w:val="000000"/>
          <w:szCs w:val="22"/>
          <w:lang w:eastAsia="en-AU"/>
        </w:rPr>
        <w:t>(2)  The amount of alcohol contained in the hand sanitiser must be shown as a percentage (%), by volume per volume (v/v), in a manner that is prominent and clearly legible:</w:t>
      </w:r>
    </w:p>
    <w:p w14:paraId="10E97612"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(a)  in the list of ingredients; or</w:t>
      </w:r>
    </w:p>
    <w:p w14:paraId="676357CB"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(b)  elsewhere on the container.</w:t>
      </w:r>
    </w:p>
    <w:p w14:paraId="692BFCFB" w14:textId="77777777" w:rsidR="003F2222" w:rsidRPr="004D6B84" w:rsidRDefault="003F2222" w:rsidP="003405C7">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(3)  The following warnings must be shown</w:t>
      </w:r>
      <w:r w:rsidRPr="006D0B24">
        <w:rPr>
          <w:rFonts w:asciiTheme="minorHAnsi" w:eastAsia="Times New Roman" w:hAnsiTheme="minorHAnsi"/>
          <w:color w:val="000000"/>
          <w:sz w:val="24"/>
          <w:szCs w:val="24"/>
          <w:lang w:eastAsia="en-AU"/>
        </w:rPr>
        <w:t xml:space="preserve"> on the container (as the words set out </w:t>
      </w:r>
      <w:r w:rsidRPr="004D6B84">
        <w:rPr>
          <w:rFonts w:asciiTheme="minorHAnsi" w:eastAsia="Times New Roman" w:hAnsiTheme="minorHAnsi"/>
          <w:color w:val="000000"/>
          <w:szCs w:val="22"/>
          <w:lang w:eastAsia="en-AU"/>
        </w:rPr>
        <w:t>below, or as other words, or pictograms, that could reasonably be regarded as having the same meaning):</w:t>
      </w:r>
    </w:p>
    <w:p w14:paraId="57951B26"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Keep out of reach of children</w:t>
      </w:r>
      <w:bookmarkStart w:id="27" w:name="BK_S3P6L16C32"/>
      <w:bookmarkEnd w:id="27"/>
    </w:p>
    <w:p w14:paraId="0E3F6536"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For external use only</w:t>
      </w:r>
      <w:bookmarkStart w:id="28" w:name="BK_S3P6L17C24"/>
      <w:bookmarkEnd w:id="28"/>
    </w:p>
    <w:p w14:paraId="311A8B61"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If ingested, seek immediate medical attention</w:t>
      </w:r>
      <w:bookmarkStart w:id="29" w:name="BK_S3P6L18C48"/>
      <w:bookmarkEnd w:id="29"/>
    </w:p>
    <w:p w14:paraId="6261DC02"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Flammable—keep away from fire and heat</w:t>
      </w:r>
      <w:bookmarkStart w:id="30" w:name="BK_S3P6L19C41"/>
      <w:bookmarkEnd w:id="30"/>
    </w:p>
    <w:p w14:paraId="5F421569" w14:textId="77777777" w:rsidR="003F2222" w:rsidRPr="004D6B84" w:rsidRDefault="003F2222" w:rsidP="003405C7">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Discontinue use if skin irritation occurs</w:t>
      </w:r>
      <w:bookmarkStart w:id="31" w:name="BK_S3P6L20C44"/>
      <w:bookmarkEnd w:id="31"/>
    </w:p>
    <w:p w14:paraId="053C5170" w14:textId="77777777" w:rsidR="003F2222" w:rsidRPr="003F2222" w:rsidRDefault="003F2222" w:rsidP="003405C7">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3F2222">
        <w:rPr>
          <w:rFonts w:ascii="Times New Roman" w:eastAsia="Times New Roman" w:hAnsi="Times New Roman"/>
          <w:color w:val="000000"/>
          <w:sz w:val="18"/>
          <w:szCs w:val="18"/>
          <w:lang w:eastAsia="en-AU"/>
        </w:rPr>
        <w:t>Note:          If a supplier makes a claim or representation intended to promote a product, such as “kills 99.99% of germs”, the supplier may be required to give information and/or produce documents to the regulator that could be capable of substantiating or supporting the claim or representation (see section 219 of the Australian Consumer Law).</w:t>
      </w:r>
    </w:p>
    <w:p w14:paraId="54AFFC00" w14:textId="77777777" w:rsidR="00312013" w:rsidRDefault="00312013" w:rsidP="00312013">
      <w:pPr>
        <w:pStyle w:val="Heading4"/>
      </w:pPr>
      <w:bookmarkStart w:id="32" w:name="_Toc69303252"/>
      <w:bookmarkStart w:id="33" w:name="_Toc69305082"/>
      <w:r w:rsidRPr="00B75A74">
        <w:t>International regulations</w:t>
      </w:r>
      <w:bookmarkEnd w:id="32"/>
      <w:bookmarkEnd w:id="33"/>
    </w:p>
    <w:p w14:paraId="7E636829" w14:textId="77777777" w:rsidR="00312013" w:rsidRPr="00A93EE0" w:rsidRDefault="00312013" w:rsidP="00312013">
      <w:r>
        <w:t>As of April 2021:</w:t>
      </w:r>
    </w:p>
    <w:p w14:paraId="469FD6C5" w14:textId="77777777" w:rsidR="00312013" w:rsidRPr="003405C7" w:rsidRDefault="00312013" w:rsidP="00312013">
      <w:pPr>
        <w:pStyle w:val="ListBullet"/>
        <w:numPr>
          <w:ilvl w:val="0"/>
          <w:numId w:val="21"/>
        </w:numPr>
        <w:spacing w:line="240" w:lineRule="auto"/>
        <w:rPr>
          <w:szCs w:val="22"/>
        </w:rPr>
      </w:pPr>
      <w:r>
        <w:t xml:space="preserve">Ethanol is included in the </w:t>
      </w:r>
      <w:hyperlink r:id="rId24" w:history="1">
        <w:r w:rsidRPr="00CC6398">
          <w:rPr>
            <w:rStyle w:val="Hyperlink"/>
          </w:rPr>
          <w:t>WHO Model List of Essential Medicines 2019</w:t>
        </w:r>
      </w:hyperlink>
      <w:r w:rsidRPr="00887D65">
        <w:rPr>
          <w:rStyle w:val="Hyperlink"/>
          <w:color w:val="auto"/>
          <w:u w:val="none"/>
        </w:rPr>
        <w:t xml:space="preserve"> for use in antiseptics </w:t>
      </w:r>
      <w:r w:rsidRPr="003405C7">
        <w:rPr>
          <w:rStyle w:val="Hyperlink"/>
          <w:color w:val="auto"/>
          <w:szCs w:val="22"/>
          <w:u w:val="none"/>
        </w:rPr>
        <w:t>and disinfectants</w:t>
      </w:r>
      <w:r w:rsidRPr="003405C7">
        <w:rPr>
          <w:szCs w:val="22"/>
        </w:rPr>
        <w:t xml:space="preserve">. </w:t>
      </w:r>
    </w:p>
    <w:p w14:paraId="7CFF105D" w14:textId="1ABECC11" w:rsidR="00312013" w:rsidRPr="003405C7" w:rsidRDefault="00312013" w:rsidP="003405C7">
      <w:pPr>
        <w:pStyle w:val="ListBullet"/>
        <w:rPr>
          <w:rStyle w:val="Hyperlink"/>
          <w:szCs w:val="22"/>
        </w:rPr>
      </w:pPr>
      <w:r w:rsidRPr="003405C7">
        <w:t>There are no products containing ethanol in the United States Food and Drug Administration Approved Drug Products Database (</w:t>
      </w:r>
      <w:hyperlink r:id="rId25" w:history="1">
        <w:r w:rsidRPr="003405C7">
          <w:rPr>
            <w:rStyle w:val="Hyperlink"/>
            <w:szCs w:val="22"/>
          </w:rPr>
          <w:t>Drugs@FDA</w:t>
        </w:r>
      </w:hyperlink>
      <w:r w:rsidRPr="003405C7">
        <w:t xml:space="preserve">) or </w:t>
      </w:r>
      <w:hyperlink r:id="rId26" w:history="1">
        <w:r w:rsidRPr="003405C7">
          <w:rPr>
            <w:rStyle w:val="Hyperlink"/>
            <w:szCs w:val="22"/>
          </w:rPr>
          <w:t>European Commission database for information on cosmetic substances and ingredients database</w:t>
        </w:r>
      </w:hyperlink>
      <w:r w:rsidRPr="003405C7">
        <w:rPr>
          <w:rStyle w:val="Hyperlink"/>
          <w:color w:val="auto"/>
          <w:szCs w:val="22"/>
          <w:u w:val="none"/>
        </w:rPr>
        <w:t>.</w:t>
      </w:r>
    </w:p>
    <w:p w14:paraId="24A76F5C" w14:textId="7A0613BF" w:rsidR="003405C7" w:rsidRPr="003405C7" w:rsidRDefault="003405C7" w:rsidP="003405C7">
      <w:pPr>
        <w:pStyle w:val="ListBullet"/>
      </w:pPr>
      <w:r w:rsidRPr="003405C7">
        <w:lastRenderedPageBreak/>
        <w:t xml:space="preserve">The </w:t>
      </w:r>
      <w:hyperlink r:id="rId27" w:history="1">
        <w:r w:rsidRPr="001D730D">
          <w:rPr>
            <w:rStyle w:val="Hyperlink"/>
          </w:rPr>
          <w:t xml:space="preserve">US Food and Drugs Administration </w:t>
        </w:r>
        <w:r w:rsidR="001D730D" w:rsidRPr="001D730D">
          <w:rPr>
            <w:rStyle w:val="Hyperlink"/>
          </w:rPr>
          <w:t>guidance</w:t>
        </w:r>
      </w:hyperlink>
      <w:r w:rsidR="001D730D">
        <w:rPr>
          <w:rStyle w:val="FootnoteReference"/>
        </w:rPr>
        <w:footnoteReference w:id="10"/>
      </w:r>
      <w:r w:rsidR="001D730D">
        <w:t xml:space="preserve"> recommends</w:t>
      </w:r>
      <w:r w:rsidRPr="003405C7">
        <w:t xml:space="preserve"> the addition of a denaturant to prevent accidental and intentional ingestion and have effectively excluded methanol from hand sanitiser products.</w:t>
      </w:r>
      <w:r w:rsidR="001D730D">
        <w:rPr>
          <w:rStyle w:val="FootnoteReference"/>
        </w:rPr>
        <w:footnoteReference w:id="11"/>
      </w:r>
    </w:p>
    <w:p w14:paraId="6023C6F4" w14:textId="77777777" w:rsidR="00312013" w:rsidRPr="003405C7" w:rsidRDefault="00312013" w:rsidP="003405C7">
      <w:pPr>
        <w:pStyle w:val="ListBullet"/>
      </w:pPr>
      <w:r w:rsidRPr="003405C7">
        <w:t xml:space="preserve">There are no products containing ethanol as an active ingredient in the </w:t>
      </w:r>
      <w:hyperlink r:id="rId28" w:history="1">
        <w:r w:rsidRPr="003405C7">
          <w:rPr>
            <w:rStyle w:val="Hyperlink"/>
            <w:szCs w:val="22"/>
          </w:rPr>
          <w:t>Health Products Regulatory Authority of Ireland</w:t>
        </w:r>
      </w:hyperlink>
      <w:r w:rsidRPr="003405C7">
        <w:rPr>
          <w:rStyle w:val="Hyperlink"/>
          <w:szCs w:val="22"/>
          <w:u w:val="none"/>
        </w:rPr>
        <w:t xml:space="preserve"> </w:t>
      </w:r>
      <w:r w:rsidRPr="003405C7">
        <w:t>database.</w:t>
      </w:r>
    </w:p>
    <w:p w14:paraId="5794728E" w14:textId="77777777" w:rsidR="00312013" w:rsidRPr="004F32F6" w:rsidRDefault="00312013" w:rsidP="003405C7">
      <w:pPr>
        <w:pStyle w:val="ListBullet"/>
      </w:pPr>
      <w:r w:rsidRPr="003405C7">
        <w:t xml:space="preserve">According to the </w:t>
      </w:r>
      <w:hyperlink r:id="rId29" w:history="1">
        <w:r w:rsidRPr="003405C7">
          <w:rPr>
            <w:rStyle w:val="Hyperlink"/>
            <w:szCs w:val="22"/>
          </w:rPr>
          <w:t>Canadian (Health Canada) Drug Product Database</w:t>
        </w:r>
      </w:hyperlink>
      <w:r w:rsidRPr="00213ED2">
        <w:rPr>
          <w:rStyle w:val="Hyperlink"/>
          <w:color w:val="auto"/>
          <w:u w:val="none"/>
        </w:rPr>
        <w:t>,</w:t>
      </w:r>
      <w:r>
        <w:rPr>
          <w:rStyle w:val="Hyperlink"/>
          <w:u w:val="none"/>
        </w:rPr>
        <w:t xml:space="preserve"> </w:t>
      </w:r>
      <w:r w:rsidRPr="00FC73DF">
        <w:rPr>
          <w:rStyle w:val="Hyperlink"/>
          <w:color w:val="auto"/>
          <w:u w:val="none"/>
        </w:rPr>
        <w:t>ethanol is available as an active ingredient in over-the-counter disinfectants</w:t>
      </w:r>
      <w:r>
        <w:rPr>
          <w:rStyle w:val="Hyperlink"/>
          <w:color w:val="auto"/>
          <w:u w:val="none"/>
        </w:rPr>
        <w:t xml:space="preserve"> and medicated wipes (including veterinary products), as well as injections for ethical use</w:t>
      </w:r>
      <w:r w:rsidRPr="00FC73DF">
        <w:rPr>
          <w:rStyle w:val="Hyperlink"/>
          <w:color w:val="auto"/>
          <w:u w:val="none"/>
        </w:rPr>
        <w:t>.</w:t>
      </w:r>
    </w:p>
    <w:p w14:paraId="74FB8B59" w14:textId="77777777" w:rsidR="00312013" w:rsidRDefault="00312013" w:rsidP="00312013">
      <w:pPr>
        <w:pStyle w:val="ListBullet"/>
        <w:numPr>
          <w:ilvl w:val="0"/>
          <w:numId w:val="18"/>
        </w:numPr>
      </w:pPr>
      <w:r>
        <w:t xml:space="preserve">Ethanol was first added to the </w:t>
      </w:r>
      <w:hyperlink r:id="rId30" w:tgtFrame="_blank" w:tooltip="link to the NZ EPA website" w:history="1">
        <w:r w:rsidRPr="00571015">
          <w:rPr>
            <w:rStyle w:val="Hyperlink"/>
          </w:rPr>
          <w:t>New Zealand Inventory of Chemicals (NZIoC)</w:t>
        </w:r>
      </w:hyperlink>
      <w:r>
        <w:rPr>
          <w:vertAlign w:val="superscript"/>
        </w:rPr>
        <w:t xml:space="preserve"> </w:t>
      </w:r>
      <w:r>
        <w:t xml:space="preserve">on 1 December 2006. </w:t>
      </w:r>
    </w:p>
    <w:p w14:paraId="711DC665" w14:textId="77777777" w:rsidR="00312013" w:rsidRDefault="00312013" w:rsidP="00312013">
      <w:pPr>
        <w:pStyle w:val="ListBullet"/>
        <w:numPr>
          <w:ilvl w:val="0"/>
          <w:numId w:val="18"/>
        </w:numPr>
      </w:pPr>
      <w:r>
        <w:t xml:space="preserve">Ethanol is not included in the </w:t>
      </w:r>
      <w:hyperlink r:id="rId31" w:tgtFrame="_blank" w:tooltip="link to the Medsafe website" w:history="1">
        <w:r w:rsidRPr="00924083">
          <w:rPr>
            <w:rStyle w:val="Hyperlink"/>
          </w:rPr>
          <w:t>New Zealand Medicines and Medical Devices Safety Authority (MedSafe</w:t>
        </w:r>
      </w:hyperlink>
      <w:r w:rsidRPr="002F4F94">
        <w:t>) classification</w:t>
      </w:r>
      <w:r>
        <w:t xml:space="preserve"> database.</w:t>
      </w:r>
    </w:p>
    <w:p w14:paraId="1E5114A4" w14:textId="77777777" w:rsidR="00312013" w:rsidRDefault="00312013" w:rsidP="00312013">
      <w:pPr>
        <w:pStyle w:val="Heading3"/>
      </w:pPr>
      <w:bookmarkStart w:id="34" w:name="_Toc69303253"/>
      <w:bookmarkStart w:id="35" w:name="_Toc69305083"/>
      <w:r>
        <w:t>Isopropanol</w:t>
      </w:r>
      <w:bookmarkEnd w:id="34"/>
      <w:bookmarkEnd w:id="35"/>
    </w:p>
    <w:p w14:paraId="2791AC79" w14:textId="77777777" w:rsidR="00312013" w:rsidRDefault="00312013" w:rsidP="00312013">
      <w:pPr>
        <w:pStyle w:val="Heading4"/>
      </w:pPr>
      <w:bookmarkStart w:id="36" w:name="_Toc69303254"/>
      <w:bookmarkStart w:id="37" w:name="_Toc69305084"/>
      <w:r>
        <w:t>Proposal</w:t>
      </w:r>
      <w:bookmarkEnd w:id="36"/>
      <w:bookmarkEnd w:id="37"/>
    </w:p>
    <w:p w14:paraId="1A927015" w14:textId="6A8DA0A8" w:rsidR="00312013" w:rsidRPr="004B4FF4" w:rsidRDefault="0012715D" w:rsidP="00312013">
      <w:pPr>
        <w:rPr>
          <w:rFonts w:asciiTheme="minorHAnsi" w:hAnsiTheme="minorHAnsi" w:cs="Arial"/>
          <w:szCs w:val="22"/>
          <w:shd w:val="clear" w:color="auto" w:fill="FFFFFF"/>
        </w:rPr>
      </w:pPr>
      <w:r>
        <w:rPr>
          <w:rFonts w:asciiTheme="minorHAnsi" w:hAnsiTheme="minorHAnsi" w:cs="Arial"/>
          <w:szCs w:val="22"/>
          <w:shd w:val="clear" w:color="auto" w:fill="FFFFFF"/>
        </w:rPr>
        <w:t>The applicant proposes a</w:t>
      </w:r>
      <w:r w:rsidR="00312013" w:rsidRPr="004B4FF4">
        <w:rPr>
          <w:rFonts w:asciiTheme="minorHAnsi" w:hAnsiTheme="minorHAnsi" w:cs="Arial"/>
          <w:szCs w:val="22"/>
          <w:shd w:val="clear" w:color="auto" w:fill="FFFFFF"/>
        </w:rPr>
        <w:t xml:space="preserve"> new entry in Schedule 6 for isopropanol, when present in hand sanitiser preparations at concentrations </w:t>
      </w:r>
      <w:r w:rsidR="00312013" w:rsidRPr="004B4FF4">
        <w:rPr>
          <w:rFonts w:asciiTheme="minorHAnsi" w:hAnsiTheme="minorHAnsi" w:cs="Arial"/>
          <w:shd w:val="clear" w:color="auto" w:fill="FFFFFF"/>
        </w:rPr>
        <w:t>≥ 50%.</w:t>
      </w:r>
    </w:p>
    <w:p w14:paraId="7EE28C19" w14:textId="77777777" w:rsidR="00312013" w:rsidRPr="004B4FF4" w:rsidRDefault="00312013" w:rsidP="00312013">
      <w:pPr>
        <w:pStyle w:val="Heading4"/>
      </w:pPr>
      <w:bookmarkStart w:id="38" w:name="_Toc69303255"/>
      <w:bookmarkStart w:id="39" w:name="_Toc69305085"/>
      <w:r w:rsidRPr="004B4FF4">
        <w:t>CAS Number</w:t>
      </w:r>
      <w:bookmarkEnd w:id="38"/>
      <w:bookmarkEnd w:id="39"/>
    </w:p>
    <w:p w14:paraId="54259D4E" w14:textId="77777777" w:rsidR="00312013" w:rsidRPr="004B4FF4" w:rsidRDefault="00312013" w:rsidP="00312013">
      <w:pPr>
        <w:rPr>
          <w:szCs w:val="22"/>
        </w:rPr>
      </w:pPr>
      <w:r w:rsidRPr="004B4FF4">
        <w:rPr>
          <w:rFonts w:cs="Arial"/>
          <w:szCs w:val="22"/>
          <w:shd w:val="clear" w:color="auto" w:fill="FFFFFF"/>
        </w:rPr>
        <w:t>67-63-0</w:t>
      </w:r>
    </w:p>
    <w:p w14:paraId="4210ADDA" w14:textId="77777777" w:rsidR="00312013" w:rsidRDefault="00312013" w:rsidP="00312013">
      <w:pPr>
        <w:pStyle w:val="Heading4"/>
      </w:pPr>
      <w:bookmarkStart w:id="40" w:name="_Toc69303256"/>
      <w:bookmarkStart w:id="41" w:name="_Toc69305086"/>
      <w:r>
        <w:t>Alternative names</w:t>
      </w:r>
      <w:bookmarkEnd w:id="40"/>
      <w:bookmarkEnd w:id="41"/>
    </w:p>
    <w:p w14:paraId="14EA48FC" w14:textId="77777777" w:rsidR="00312013" w:rsidRPr="00765383" w:rsidRDefault="00312013" w:rsidP="00312013">
      <w:r w:rsidRPr="00FD170D">
        <w:t>2-propanol, isopropyl alcohol</w:t>
      </w:r>
      <w:r>
        <w:t>, propan-2-ol</w:t>
      </w:r>
    </w:p>
    <w:p w14:paraId="7AFE9547" w14:textId="77777777" w:rsidR="00312013" w:rsidRDefault="00312013" w:rsidP="00312013">
      <w:pPr>
        <w:pStyle w:val="Heading4"/>
      </w:pPr>
      <w:bookmarkStart w:id="42" w:name="_Toc69303257"/>
      <w:bookmarkStart w:id="43" w:name="_Toc69305087"/>
      <w:r>
        <w:t>Applicant</w:t>
      </w:r>
      <w:bookmarkEnd w:id="42"/>
      <w:bookmarkEnd w:id="43"/>
    </w:p>
    <w:p w14:paraId="13B1CBAB" w14:textId="77777777" w:rsidR="00312013" w:rsidRPr="00D87D0C" w:rsidRDefault="00312013" w:rsidP="00312013">
      <w:pPr>
        <w:rPr>
          <w:b/>
          <w:bCs/>
          <w:i/>
        </w:rPr>
      </w:pPr>
      <w:r>
        <w:t>Private applicant</w:t>
      </w:r>
    </w:p>
    <w:p w14:paraId="26DF10CD" w14:textId="77777777" w:rsidR="00312013" w:rsidRDefault="00312013" w:rsidP="00312013">
      <w:pPr>
        <w:pStyle w:val="Heading4"/>
      </w:pPr>
      <w:bookmarkStart w:id="44" w:name="_Toc69303258"/>
      <w:bookmarkStart w:id="45" w:name="_Toc69305088"/>
      <w:r>
        <w:t>Current scheduling</w:t>
      </w:r>
      <w:bookmarkEnd w:id="44"/>
      <w:bookmarkEnd w:id="45"/>
    </w:p>
    <w:p w14:paraId="56944C5B" w14:textId="77777777" w:rsidR="00312013" w:rsidRPr="00260B72" w:rsidRDefault="00312013" w:rsidP="00312013">
      <w:r w:rsidRPr="00332B94">
        <w:t>Isopropanol is not specifically scheduled in the current Poisons Standard.</w:t>
      </w:r>
    </w:p>
    <w:p w14:paraId="12422EA1" w14:textId="77777777" w:rsidR="00312013" w:rsidRDefault="00312013" w:rsidP="0025570D">
      <w:pPr>
        <w:pStyle w:val="Heading4"/>
      </w:pPr>
      <w:bookmarkStart w:id="46" w:name="_Toc69303259"/>
      <w:bookmarkStart w:id="47" w:name="_Toc69305089"/>
      <w:r>
        <w:lastRenderedPageBreak/>
        <w:t>Proposed scheduling</w:t>
      </w:r>
      <w:bookmarkEnd w:id="46"/>
      <w:bookmarkEnd w:id="47"/>
    </w:p>
    <w:p w14:paraId="10039BBA" w14:textId="77777777" w:rsidR="00312013" w:rsidRDefault="00312013" w:rsidP="0025570D">
      <w:pPr>
        <w:keepNext/>
        <w:ind w:left="460"/>
        <w:rPr>
          <w:rFonts w:asciiTheme="minorHAnsi" w:hAnsiTheme="minorHAnsi"/>
          <w:b/>
        </w:rPr>
      </w:pPr>
      <w:r w:rsidRPr="009D36CF">
        <w:rPr>
          <w:rFonts w:asciiTheme="minorHAnsi" w:hAnsiTheme="minorHAnsi"/>
          <w:b/>
        </w:rPr>
        <w:t>Schedule 6 –</w:t>
      </w:r>
      <w:r>
        <w:rPr>
          <w:rFonts w:asciiTheme="minorHAnsi" w:hAnsiTheme="minorHAnsi"/>
          <w:b/>
        </w:rPr>
        <w:t xml:space="preserve"> </w:t>
      </w:r>
      <w:r w:rsidRPr="009D36CF">
        <w:rPr>
          <w:rFonts w:asciiTheme="minorHAnsi" w:hAnsiTheme="minorHAnsi"/>
          <w:b/>
        </w:rPr>
        <w:t>New Entry</w:t>
      </w:r>
    </w:p>
    <w:p w14:paraId="7579DBC0"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 xml:space="preserve">ISOPROPANOL when present in hand sanitiser preparations at concentrations </w:t>
      </w:r>
      <w:r w:rsidRPr="004E3101">
        <w:rPr>
          <w:rFonts w:asciiTheme="minorHAnsi" w:hAnsiTheme="minorHAnsi" w:cs="Arial"/>
          <w:color w:val="00B050"/>
          <w:shd w:val="clear" w:color="auto" w:fill="FFFFFF"/>
        </w:rPr>
        <w:t xml:space="preserve">≥ </w:t>
      </w:r>
      <w:r w:rsidRPr="004E3101">
        <w:rPr>
          <w:rFonts w:asciiTheme="minorHAnsi" w:hAnsiTheme="minorHAnsi"/>
          <w:color w:val="00B050"/>
        </w:rPr>
        <w:t>50% v/v or when the sum of concentrations of ethanol and isopropanol is 50% or more, except:</w:t>
      </w:r>
    </w:p>
    <w:p w14:paraId="5EF042E5"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 when packaged in a container with a restricted flow or metered out; or</w:t>
      </w:r>
    </w:p>
    <w:p w14:paraId="424325A1"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(b) when containing a separate bittering agent denatured according to the Australian Taxation Office Excise (Denatured Spirits) Determination 2016 (no.3) (apart from denaturation with methanol, n-propanol or n-hexane); or</w:t>
      </w:r>
    </w:p>
    <w:p w14:paraId="2507748C"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(c) when the kinematic viscosity is within the range of 6,000-17,000 mm</w:t>
      </w:r>
      <w:r w:rsidRPr="004E3101">
        <w:rPr>
          <w:rFonts w:asciiTheme="minorHAnsi" w:hAnsiTheme="minorHAnsi"/>
          <w:color w:val="00B050"/>
          <w:vertAlign w:val="superscript"/>
        </w:rPr>
        <w:t>2</w:t>
      </w:r>
      <w:r w:rsidRPr="004E3101">
        <w:rPr>
          <w:rFonts w:asciiTheme="minorHAnsi" w:hAnsiTheme="minorHAnsi"/>
          <w:color w:val="00B050"/>
        </w:rPr>
        <w:t>/s (</w:t>
      </w:r>
      <w:r w:rsidRPr="004E3101">
        <w:rPr>
          <w:rFonts w:asciiTheme="minorHAnsi" w:hAnsiTheme="minorHAnsi" w:cs="Arial"/>
          <w:color w:val="00B050"/>
          <w:szCs w:val="22"/>
          <w:shd w:val="clear" w:color="auto" w:fill="FFFFFF"/>
        </w:rPr>
        <w:t>20°C</w:t>
      </w:r>
      <w:r w:rsidRPr="004E3101">
        <w:rPr>
          <w:rFonts w:asciiTheme="minorHAnsi" w:hAnsiTheme="minorHAnsi"/>
          <w:color w:val="00B050"/>
        </w:rPr>
        <w:t>), and</w:t>
      </w:r>
    </w:p>
    <w:p w14:paraId="2A0ED748"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(d) when packaged in a container less than or equal to 2L that is readily distinguishable from a container in which food, wine or other beverage is sold; and</w:t>
      </w:r>
    </w:p>
    <w:p w14:paraId="1665B662"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(e) when the immediate container and primary pack are labelled with the following statements and warnings or their equivalent</w:t>
      </w:r>
    </w:p>
    <w:p w14:paraId="57127D2E"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t>(i) HAND SANITISER</w:t>
      </w:r>
    </w:p>
    <w:p w14:paraId="7B5934A9"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t>Contains XX% v/v Isopropanol; and</w:t>
      </w:r>
    </w:p>
    <w:p w14:paraId="28462744" w14:textId="77777777" w:rsidR="00312013" w:rsidRPr="004E3101" w:rsidRDefault="00312013" w:rsidP="00312013">
      <w:pPr>
        <w:ind w:left="460"/>
        <w:rPr>
          <w:rFonts w:asciiTheme="minorHAnsi" w:hAnsiTheme="minorHAnsi" w:cs="Arial"/>
          <w:color w:val="00B050"/>
          <w:szCs w:val="22"/>
          <w:shd w:val="clear" w:color="auto" w:fill="FFFFFF"/>
        </w:rPr>
      </w:pPr>
      <w:r w:rsidRPr="004E3101">
        <w:rPr>
          <w:rFonts w:asciiTheme="minorHAnsi" w:hAnsiTheme="minorHAnsi"/>
          <w:color w:val="00B050"/>
        </w:rPr>
        <w:tab/>
        <w:t xml:space="preserve">(ii) KEEP OUT OF THE REACH OF CHILDREN </w:t>
      </w:r>
      <w:r w:rsidRPr="004E3101">
        <w:rPr>
          <w:rFonts w:asciiTheme="minorHAnsi" w:hAnsiTheme="minorHAnsi" w:cs="Arial"/>
          <w:color w:val="00B050"/>
          <w:szCs w:val="22"/>
          <w:shd w:val="clear" w:color="auto" w:fill="FFFFFF"/>
        </w:rPr>
        <w:t>- use under adult supervision</w:t>
      </w:r>
    </w:p>
    <w:p w14:paraId="265D1686"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t>FOR EXTERNAL USE ONLY DO NOT - SWALLOW:</w:t>
      </w:r>
    </w:p>
    <w:p w14:paraId="5C35DCB5"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t>FLAMMABLE - Keep away from heat or flame. Store below 30°C</w:t>
      </w:r>
    </w:p>
    <w:p w14:paraId="1960F747"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t>WARNING this product contains ingredients which may be injurious to the eye</w:t>
      </w:r>
    </w:p>
    <w:p w14:paraId="37FB2B5F" w14:textId="77777777" w:rsidR="00312013" w:rsidRPr="004E3101" w:rsidRDefault="00312013" w:rsidP="00312013">
      <w:pPr>
        <w:ind w:left="460"/>
        <w:rPr>
          <w:rFonts w:asciiTheme="minorHAnsi" w:hAnsiTheme="minorHAnsi"/>
          <w:color w:val="00B050"/>
        </w:rPr>
      </w:pPr>
      <w:r w:rsidRPr="004E3101">
        <w:rPr>
          <w:rFonts w:asciiTheme="minorHAnsi" w:hAnsiTheme="minorHAnsi"/>
          <w:color w:val="00B050"/>
        </w:rPr>
        <w:tab/>
      </w:r>
      <w:r w:rsidRPr="004E3101">
        <w:rPr>
          <w:rFonts w:asciiTheme="minorHAnsi" w:hAnsiTheme="minorHAnsi" w:cs="Arial"/>
          <w:color w:val="00B050"/>
          <w:szCs w:val="22"/>
          <w:shd w:val="clear" w:color="auto" w:fill="FFFFFF"/>
        </w:rPr>
        <w:t>If swallowed, splashed in eyes contact a Poisons Information Centre (e.g. phone</w:t>
      </w:r>
      <w:r w:rsidRPr="004E3101">
        <w:rPr>
          <w:rFonts w:asciiTheme="minorHAnsi" w:hAnsiTheme="minorHAnsi"/>
          <w:color w:val="00B050"/>
        </w:rPr>
        <w:t xml:space="preserve"> </w:t>
      </w:r>
      <w:r w:rsidRPr="004E3101">
        <w:rPr>
          <w:rFonts w:asciiTheme="minorHAnsi" w:hAnsiTheme="minorHAnsi" w:cs="Arial"/>
          <w:color w:val="00B050"/>
          <w:szCs w:val="22"/>
          <w:shd w:val="clear" w:color="auto" w:fill="FFFFFF"/>
        </w:rPr>
        <w:t xml:space="preserve">Australia </w:t>
      </w:r>
      <w:r w:rsidRPr="004E3101">
        <w:rPr>
          <w:rFonts w:asciiTheme="minorHAnsi" w:hAnsiTheme="minorHAnsi" w:cs="Arial"/>
          <w:color w:val="00B050"/>
          <w:szCs w:val="22"/>
          <w:shd w:val="clear" w:color="auto" w:fill="FFFFFF"/>
        </w:rPr>
        <w:tab/>
        <w:t>13 11 26; New Zealand 0800 764 766)</w:t>
      </w:r>
    </w:p>
    <w:p w14:paraId="39BBA76A" w14:textId="77777777" w:rsidR="00312013" w:rsidRPr="004E3101" w:rsidRDefault="00312013" w:rsidP="00312013">
      <w:pPr>
        <w:spacing w:before="0" w:after="0" w:line="240" w:lineRule="auto"/>
        <w:ind w:left="435" w:hanging="9"/>
        <w:rPr>
          <w:rFonts w:asciiTheme="minorHAnsi" w:hAnsiTheme="minorHAnsi" w:cs="Arial"/>
          <w:color w:val="00B050"/>
          <w:szCs w:val="22"/>
          <w:shd w:val="clear" w:color="auto" w:fill="FFFFFF"/>
        </w:rPr>
      </w:pPr>
      <w:r w:rsidRPr="004E3101">
        <w:rPr>
          <w:rFonts w:asciiTheme="minorHAnsi" w:hAnsiTheme="minorHAnsi" w:cs="Arial"/>
          <w:color w:val="00B050"/>
          <w:szCs w:val="22"/>
          <w:shd w:val="clear" w:color="auto" w:fill="FFFFFF"/>
        </w:rPr>
        <w:t>Written in letters not less than 1.5mm in height.</w:t>
      </w:r>
    </w:p>
    <w:p w14:paraId="6F12676B" w14:textId="618E2ACA" w:rsidR="00312013" w:rsidRPr="004E3101" w:rsidRDefault="00ED363D" w:rsidP="00312013">
      <w:pPr>
        <w:pStyle w:val="Tabletitle"/>
        <w:ind w:left="426"/>
        <w:rPr>
          <w:color w:val="00B050"/>
        </w:rPr>
      </w:pPr>
      <w:r w:rsidRPr="004E3101">
        <w:rPr>
          <w:color w:val="00B050"/>
        </w:rPr>
        <w:t>Appendix F, Part 3 – New Entry</w:t>
      </w:r>
    </w:p>
    <w:tbl>
      <w:tblPr>
        <w:tblStyle w:val="TableTGAblue"/>
        <w:tblW w:w="0" w:type="auto"/>
        <w:tblInd w:w="416" w:type="dxa"/>
        <w:tblLook w:val="04A0" w:firstRow="1" w:lastRow="0" w:firstColumn="1" w:lastColumn="0" w:noHBand="0" w:noVBand="1"/>
      </w:tblPr>
      <w:tblGrid>
        <w:gridCol w:w="2126"/>
        <w:gridCol w:w="3260"/>
        <w:gridCol w:w="3119"/>
      </w:tblGrid>
      <w:tr w:rsidR="004E3101" w:rsidRPr="004E3101" w14:paraId="1A76BE9F"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01672E0" w14:textId="77777777" w:rsidR="00312013" w:rsidRPr="004E3101" w:rsidRDefault="00312013" w:rsidP="0083193E">
            <w:pPr>
              <w:rPr>
                <w:color w:val="00B050"/>
              </w:rPr>
            </w:pPr>
            <w:r w:rsidRPr="004E3101">
              <w:rPr>
                <w:color w:val="00B050"/>
              </w:rPr>
              <w:t>Poison</w:t>
            </w:r>
          </w:p>
        </w:tc>
        <w:tc>
          <w:tcPr>
            <w:tcW w:w="3260" w:type="dxa"/>
          </w:tcPr>
          <w:p w14:paraId="6841D0B7" w14:textId="77777777" w:rsidR="00312013" w:rsidRPr="004E3101" w:rsidRDefault="00312013" w:rsidP="0083193E">
            <w:pPr>
              <w:cnfStyle w:val="100000000000" w:firstRow="1" w:lastRow="0" w:firstColumn="0" w:lastColumn="0" w:oddVBand="0" w:evenVBand="0" w:oddHBand="0" w:evenHBand="0" w:firstRowFirstColumn="0" w:firstRowLastColumn="0" w:lastRowFirstColumn="0" w:lastRowLastColumn="0"/>
              <w:rPr>
                <w:color w:val="00B050"/>
              </w:rPr>
            </w:pPr>
            <w:r w:rsidRPr="004E3101">
              <w:rPr>
                <w:color w:val="00B050"/>
              </w:rPr>
              <w:t>Warning Statements</w:t>
            </w:r>
          </w:p>
        </w:tc>
        <w:tc>
          <w:tcPr>
            <w:tcW w:w="3119" w:type="dxa"/>
          </w:tcPr>
          <w:p w14:paraId="3FF0F86A" w14:textId="77777777" w:rsidR="00312013" w:rsidRPr="004E3101" w:rsidRDefault="00312013" w:rsidP="0083193E">
            <w:pPr>
              <w:cnfStyle w:val="100000000000" w:firstRow="1" w:lastRow="0" w:firstColumn="0" w:lastColumn="0" w:oddVBand="0" w:evenVBand="0" w:oddHBand="0" w:evenHBand="0" w:firstRowFirstColumn="0" w:firstRowLastColumn="0" w:lastRowFirstColumn="0" w:lastRowLastColumn="0"/>
              <w:rPr>
                <w:color w:val="00B050"/>
              </w:rPr>
            </w:pPr>
            <w:r w:rsidRPr="004E3101">
              <w:rPr>
                <w:color w:val="00B050"/>
              </w:rPr>
              <w:t>Safety Directions</w:t>
            </w:r>
          </w:p>
        </w:tc>
      </w:tr>
      <w:tr w:rsidR="004E3101" w:rsidRPr="004E3101" w14:paraId="1833815A" w14:textId="77777777" w:rsidTr="0083193E">
        <w:tc>
          <w:tcPr>
            <w:cnfStyle w:val="001000000000" w:firstRow="0" w:lastRow="0" w:firstColumn="1" w:lastColumn="0" w:oddVBand="0" w:evenVBand="0" w:oddHBand="0" w:evenHBand="0" w:firstRowFirstColumn="0" w:firstRowLastColumn="0" w:lastRowFirstColumn="0" w:lastRowLastColumn="0"/>
            <w:tcW w:w="2126" w:type="dxa"/>
            <w:vMerge w:val="restart"/>
          </w:tcPr>
          <w:p w14:paraId="587B9182" w14:textId="77777777" w:rsidR="00312013" w:rsidRPr="004E3101" w:rsidRDefault="00312013" w:rsidP="0083193E">
            <w:pPr>
              <w:rPr>
                <w:b/>
                <w:color w:val="00B050"/>
              </w:rPr>
            </w:pPr>
            <w:r w:rsidRPr="004E3101">
              <w:rPr>
                <w:color w:val="00B050"/>
              </w:rPr>
              <w:t>ISOPROPYL ALCOHOL</w:t>
            </w:r>
          </w:p>
        </w:tc>
        <w:tc>
          <w:tcPr>
            <w:tcW w:w="3260" w:type="dxa"/>
          </w:tcPr>
          <w:p w14:paraId="178A0777" w14:textId="0263C83E" w:rsidR="00312013" w:rsidRPr="004E3101" w:rsidRDefault="00312013"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8</w:t>
            </w:r>
            <w:r w:rsidR="00ED363D" w:rsidRPr="004E3101">
              <w:rPr>
                <w:color w:val="00B050"/>
              </w:rPr>
              <w:t xml:space="preserve"> (</w:t>
            </w:r>
            <w:r w:rsidRPr="004E3101">
              <w:rPr>
                <w:color w:val="00B050"/>
              </w:rPr>
              <w:t>WARNING – May be fatal to children)</w:t>
            </w:r>
          </w:p>
        </w:tc>
        <w:tc>
          <w:tcPr>
            <w:tcW w:w="3119" w:type="dxa"/>
          </w:tcPr>
          <w:p w14:paraId="254D0E8A" w14:textId="6A011CC9" w:rsidR="00312013" w:rsidRPr="004E3101" w:rsidRDefault="00312013"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1</w:t>
            </w:r>
            <w:r w:rsidR="00ED363D" w:rsidRPr="004E3101">
              <w:rPr>
                <w:color w:val="00B050"/>
              </w:rPr>
              <w:t xml:space="preserve"> (</w:t>
            </w:r>
            <w:r w:rsidRPr="004E3101">
              <w:rPr>
                <w:color w:val="00B050"/>
              </w:rPr>
              <w:t>Avoid contact with eyes</w:t>
            </w:r>
            <w:r w:rsidR="00ED363D" w:rsidRPr="004E3101">
              <w:rPr>
                <w:color w:val="00B050"/>
              </w:rPr>
              <w:t>)</w:t>
            </w:r>
          </w:p>
        </w:tc>
      </w:tr>
      <w:tr w:rsidR="004E3101" w:rsidRPr="004E3101" w14:paraId="56A61707" w14:textId="77777777" w:rsidTr="0083193E">
        <w:tc>
          <w:tcPr>
            <w:cnfStyle w:val="001000000000" w:firstRow="0" w:lastRow="0" w:firstColumn="1" w:lastColumn="0" w:oddVBand="0" w:evenVBand="0" w:oddHBand="0" w:evenHBand="0" w:firstRowFirstColumn="0" w:firstRowLastColumn="0" w:lastRowFirstColumn="0" w:lastRowLastColumn="0"/>
            <w:tcW w:w="2126" w:type="dxa"/>
            <w:vMerge/>
          </w:tcPr>
          <w:p w14:paraId="0AF61C89" w14:textId="77777777" w:rsidR="00312013" w:rsidRPr="004E3101" w:rsidRDefault="00312013" w:rsidP="0083193E">
            <w:pPr>
              <w:rPr>
                <w:color w:val="00B050"/>
              </w:rPr>
            </w:pPr>
          </w:p>
        </w:tc>
        <w:tc>
          <w:tcPr>
            <w:tcW w:w="3260" w:type="dxa"/>
          </w:tcPr>
          <w:p w14:paraId="1EB16826" w14:textId="5BEF3981" w:rsidR="00312013" w:rsidRPr="004E3101" w:rsidRDefault="00312013"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79</w:t>
            </w:r>
            <w:r w:rsidR="00ED363D" w:rsidRPr="004E3101">
              <w:rPr>
                <w:color w:val="00B050"/>
              </w:rPr>
              <w:t xml:space="preserve"> (</w:t>
            </w:r>
            <w:r w:rsidRPr="004E3101">
              <w:rPr>
                <w:color w:val="00B050"/>
              </w:rPr>
              <w:t>Will irritate eyes</w:t>
            </w:r>
            <w:r w:rsidR="00ED363D" w:rsidRPr="004E3101">
              <w:rPr>
                <w:color w:val="00B050"/>
              </w:rPr>
              <w:t>)</w:t>
            </w:r>
          </w:p>
        </w:tc>
        <w:tc>
          <w:tcPr>
            <w:tcW w:w="3119" w:type="dxa"/>
          </w:tcPr>
          <w:p w14:paraId="16F52C02" w14:textId="5B3A48F7" w:rsidR="00312013" w:rsidRPr="004E3101" w:rsidRDefault="00312013" w:rsidP="0083193E">
            <w:pPr>
              <w:cnfStyle w:val="000000000000" w:firstRow="0" w:lastRow="0" w:firstColumn="0" w:lastColumn="0" w:oddVBand="0" w:evenVBand="0" w:oddHBand="0" w:evenHBand="0" w:firstRowFirstColumn="0" w:firstRowLastColumn="0" w:lastRowFirstColumn="0" w:lastRowLastColumn="0"/>
              <w:rPr>
                <w:color w:val="00B050"/>
              </w:rPr>
            </w:pPr>
            <w:r w:rsidRPr="004E3101">
              <w:rPr>
                <w:b/>
                <w:color w:val="00B050"/>
              </w:rPr>
              <w:t>23</w:t>
            </w:r>
            <w:r w:rsidR="00ED363D" w:rsidRPr="004E3101">
              <w:rPr>
                <w:color w:val="00B050"/>
              </w:rPr>
              <w:t xml:space="preserve"> (</w:t>
            </w:r>
            <w:r w:rsidRPr="004E3101">
              <w:rPr>
                <w:color w:val="00B050"/>
              </w:rPr>
              <w:t>Keep away from heat, sparks and naked flames</w:t>
            </w:r>
            <w:r w:rsidR="00ED363D" w:rsidRPr="004E3101">
              <w:rPr>
                <w:color w:val="00B050"/>
              </w:rPr>
              <w:t>)</w:t>
            </w:r>
          </w:p>
        </w:tc>
      </w:tr>
    </w:tbl>
    <w:p w14:paraId="3CCE3A44" w14:textId="77777777" w:rsidR="00312013" w:rsidRPr="00213ED2" w:rsidRDefault="00312013" w:rsidP="00312013">
      <w:pPr>
        <w:ind w:left="426"/>
        <w:rPr>
          <w:b/>
        </w:rPr>
      </w:pPr>
      <w:r w:rsidRPr="00213ED2">
        <w:rPr>
          <w:b/>
        </w:rPr>
        <w:t>Index</w:t>
      </w:r>
    </w:p>
    <w:p w14:paraId="4E9E0A8F" w14:textId="77777777" w:rsidR="00312013" w:rsidRPr="004E3101" w:rsidRDefault="00312013" w:rsidP="00312013">
      <w:pPr>
        <w:ind w:left="426"/>
        <w:rPr>
          <w:b/>
          <w:color w:val="00B050"/>
        </w:rPr>
      </w:pPr>
      <w:r w:rsidRPr="004E3101">
        <w:rPr>
          <w:b/>
          <w:color w:val="00B050"/>
        </w:rPr>
        <w:t>ISOPROPANOL</w:t>
      </w:r>
      <w:r w:rsidRPr="004E3101">
        <w:rPr>
          <w:b/>
          <w:color w:val="00B050"/>
        </w:rPr>
        <w:br/>
      </w:r>
      <w:r w:rsidRPr="004E3101">
        <w:rPr>
          <w:color w:val="00B050"/>
        </w:rPr>
        <w:t>Cross reference: ISOPROPYL ALCOHOL</w:t>
      </w:r>
    </w:p>
    <w:p w14:paraId="2007F135" w14:textId="60BADB87" w:rsidR="00312013" w:rsidRPr="004E3101" w:rsidRDefault="00312013" w:rsidP="00312013">
      <w:pPr>
        <w:ind w:left="426"/>
        <w:rPr>
          <w:color w:val="00B050"/>
        </w:rPr>
      </w:pPr>
      <w:r w:rsidRPr="004E3101">
        <w:rPr>
          <w:color w:val="00B050"/>
        </w:rPr>
        <w:t>Schedule 6</w:t>
      </w:r>
    </w:p>
    <w:p w14:paraId="4A10CDA5" w14:textId="77777777" w:rsidR="00352DD2" w:rsidRDefault="00352DD2" w:rsidP="00352DD2">
      <w:pPr>
        <w:pStyle w:val="Heading4"/>
      </w:pPr>
      <w:r>
        <w:lastRenderedPageBreak/>
        <w:t xml:space="preserve">Proposed addition to Part 1 (Interpretation) of the Poisons Standard </w:t>
      </w:r>
    </w:p>
    <w:p w14:paraId="01AE2151" w14:textId="77777777" w:rsidR="00352DD2" w:rsidRDefault="00352DD2" w:rsidP="00352DD2">
      <w:pPr>
        <w:autoSpaceDE w:val="0"/>
        <w:autoSpaceDN w:val="0"/>
        <w:adjustRightInd w:val="0"/>
        <w:spacing w:before="0" w:after="120" w:line="240" w:lineRule="auto"/>
        <w:rPr>
          <w:rFonts w:asciiTheme="minorHAnsi" w:hAnsiTheme="minorHAnsi" w:cs="CIDFont+F1"/>
          <w:sz w:val="24"/>
          <w:szCs w:val="24"/>
          <w:lang w:eastAsia="en-AU"/>
        </w:rPr>
      </w:pPr>
      <w:r>
        <w:rPr>
          <w:rFonts w:asciiTheme="minorHAnsi" w:hAnsiTheme="minorHAnsi" w:cs="CIDFont+F1"/>
          <w:sz w:val="24"/>
          <w:szCs w:val="24"/>
          <w:lang w:eastAsia="en-AU"/>
        </w:rPr>
        <w:t xml:space="preserve">The proposed wording for Part1 is based in the definition of hand sanitiser in the </w:t>
      </w:r>
      <w:hyperlink r:id="rId32" w:history="1">
        <w:r w:rsidRPr="003D6A13">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12"/>
      </w:r>
    </w:p>
    <w:p w14:paraId="1F8193F4" w14:textId="3591EB52" w:rsidR="00352DD2" w:rsidRPr="004E3101" w:rsidRDefault="00352DD2" w:rsidP="00352DD2">
      <w:pPr>
        <w:autoSpaceDE w:val="0"/>
        <w:autoSpaceDN w:val="0"/>
        <w:adjustRightInd w:val="0"/>
        <w:spacing w:before="0" w:after="0" w:line="240" w:lineRule="auto"/>
        <w:rPr>
          <w:rFonts w:asciiTheme="minorHAnsi" w:hAnsiTheme="minorHAnsi" w:cs="CIDFont+F1"/>
          <w:color w:val="00B050"/>
          <w:sz w:val="24"/>
          <w:szCs w:val="24"/>
          <w:lang w:eastAsia="en-AU"/>
        </w:rPr>
      </w:pPr>
      <w:r w:rsidRPr="004E3101">
        <w:rPr>
          <w:rFonts w:asciiTheme="minorHAnsi" w:hAnsiTheme="minorHAnsi" w:cs="CIDFont+F1"/>
          <w:color w:val="00B050"/>
          <w:sz w:val="24"/>
          <w:szCs w:val="24"/>
          <w:lang w:eastAsia="en-AU"/>
        </w:rPr>
        <w:t>“</w:t>
      </w:r>
      <w:r w:rsidRPr="004E3101">
        <w:rPr>
          <w:rFonts w:asciiTheme="minorHAnsi" w:hAnsiTheme="minorHAnsi" w:cs="CIDFont+F1"/>
          <w:b/>
          <w:color w:val="00B050"/>
          <w:sz w:val="24"/>
          <w:szCs w:val="24"/>
          <w:lang w:eastAsia="en-AU"/>
        </w:rPr>
        <w:t>Hand sanitiser preparation</w:t>
      </w:r>
      <w:r w:rsidRPr="004E3101">
        <w:rPr>
          <w:rFonts w:asciiTheme="minorHAnsi" w:hAnsiTheme="minorHAnsi" w:cs="CIDFont+F1"/>
          <w:color w:val="00B050"/>
          <w:sz w:val="24"/>
          <w:szCs w:val="24"/>
          <w:lang w:eastAsia="en-AU"/>
        </w:rPr>
        <w:t>” means an antimicrobial skin care product:</w:t>
      </w:r>
    </w:p>
    <w:p w14:paraId="4915AA11" w14:textId="77777777" w:rsidR="00352DD2" w:rsidRPr="004E3101" w:rsidRDefault="00352DD2" w:rsidP="00352DD2">
      <w:pPr>
        <w:pStyle w:val="ListBulleta"/>
        <w:numPr>
          <w:ilvl w:val="0"/>
          <w:numId w:val="28"/>
        </w:numPr>
        <w:rPr>
          <w:color w:val="00B050"/>
          <w:lang w:eastAsia="en-AU"/>
        </w:rPr>
      </w:pPr>
      <w:r w:rsidRPr="004E3101">
        <w:rPr>
          <w:color w:val="00B050"/>
          <w:lang w:eastAsia="en-AU"/>
        </w:rPr>
        <w:t>that consists of, contains or generates one or more antimicrobial active substances; and</w:t>
      </w:r>
    </w:p>
    <w:p w14:paraId="5F2A3161" w14:textId="77777777" w:rsidR="00352DD2" w:rsidRPr="004E3101" w:rsidRDefault="00352DD2" w:rsidP="00352DD2">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70B542F5" w14:textId="77777777" w:rsidR="00352DD2" w:rsidRPr="00CE6A46" w:rsidRDefault="00352DD2" w:rsidP="00CE6A46">
      <w:pPr>
        <w:pStyle w:val="ListBulleti"/>
        <w:numPr>
          <w:ilvl w:val="0"/>
          <w:numId w:val="29"/>
        </w:numPr>
        <w:rPr>
          <w:color w:val="00B050"/>
          <w:lang w:eastAsia="en-AU"/>
        </w:rPr>
      </w:pPr>
      <w:r w:rsidRPr="00CE6A46">
        <w:rPr>
          <w:color w:val="00B050"/>
          <w:lang w:eastAsia="en-AU"/>
        </w:rPr>
        <w:t>for use on hands when soap and water are not available; and</w:t>
      </w:r>
    </w:p>
    <w:p w14:paraId="74D6A058" w14:textId="77777777" w:rsidR="00352DD2" w:rsidRPr="004E3101" w:rsidRDefault="00352DD2" w:rsidP="00352DD2">
      <w:pPr>
        <w:pStyle w:val="ListBulleti"/>
        <w:rPr>
          <w:color w:val="00B050"/>
          <w:lang w:eastAsia="en-AU"/>
        </w:rPr>
      </w:pPr>
      <w:r w:rsidRPr="004E3101">
        <w:rPr>
          <w:color w:val="00B050"/>
          <w:lang w:eastAsia="en-AU"/>
        </w:rPr>
        <w:t>applied to the hands without rinsing off; and</w:t>
      </w:r>
    </w:p>
    <w:p w14:paraId="68D24D2C" w14:textId="77777777" w:rsidR="00352DD2" w:rsidRPr="004E3101" w:rsidRDefault="00352DD2" w:rsidP="00352DD2">
      <w:pPr>
        <w:pStyle w:val="ListBulleti"/>
        <w:rPr>
          <w:color w:val="00B050"/>
        </w:rPr>
      </w:pPr>
      <w:r w:rsidRPr="004E3101">
        <w:rPr>
          <w:color w:val="00B050"/>
          <w:lang w:eastAsia="en-AU"/>
        </w:rPr>
        <w:t>intended to destroy, deter, render harmless, prevent the action of, or otherwise exert a controlling effect on any microbes on the skin.</w:t>
      </w:r>
    </w:p>
    <w:p w14:paraId="6BBD4F40" w14:textId="77777777" w:rsidR="00312013" w:rsidRDefault="00312013" w:rsidP="00312013">
      <w:pPr>
        <w:pStyle w:val="Heading4"/>
      </w:pPr>
      <w:bookmarkStart w:id="48" w:name="_Toc69303260"/>
      <w:bookmarkStart w:id="49" w:name="_Toc69305090"/>
      <w:r w:rsidRPr="00C46F90">
        <w:t>Key uses/expected use</w:t>
      </w:r>
      <w:bookmarkEnd w:id="48"/>
      <w:bookmarkEnd w:id="49"/>
    </w:p>
    <w:p w14:paraId="589631A6" w14:textId="77777777" w:rsidR="00312013" w:rsidRPr="00234889" w:rsidRDefault="00312013" w:rsidP="00312013">
      <w:pPr>
        <w:autoSpaceDE w:val="0"/>
        <w:autoSpaceDN w:val="0"/>
        <w:adjustRightInd w:val="0"/>
        <w:spacing w:before="0" w:after="0" w:line="240" w:lineRule="auto"/>
        <w:rPr>
          <w:rFonts w:asciiTheme="minorHAnsi" w:hAnsiTheme="minorHAnsi"/>
          <w:szCs w:val="22"/>
          <w:lang w:eastAsia="en-AU"/>
        </w:rPr>
      </w:pPr>
      <w:r w:rsidRPr="00E32070">
        <w:t xml:space="preserve">Cosmetic, domestic and industrial. </w:t>
      </w:r>
      <w:r w:rsidRPr="00E32070">
        <w:rPr>
          <w:lang w:eastAsia="en-AU"/>
        </w:rPr>
        <w:t>Used in the manufacture of h</w:t>
      </w:r>
      <w:r w:rsidRPr="00E32070">
        <w:rPr>
          <w:rFonts w:asciiTheme="minorHAnsi" w:hAnsiTheme="minorHAnsi" w:cs="CourierHP"/>
          <w:szCs w:val="22"/>
          <w:lang w:eastAsia="en-AU"/>
        </w:rPr>
        <w:t>and sanitisers, which may be classed as therapeutic or cosmetic depending on the claims made by the manufacturer.</w:t>
      </w:r>
    </w:p>
    <w:p w14:paraId="14FBA09F" w14:textId="77777777" w:rsidR="00312013" w:rsidRDefault="00312013" w:rsidP="00312013">
      <w:pPr>
        <w:pStyle w:val="Heading4"/>
      </w:pPr>
      <w:bookmarkStart w:id="50" w:name="_Toc69303261"/>
      <w:bookmarkStart w:id="51" w:name="_Toc69305091"/>
      <w:r>
        <w:t>Reasons for the proposal</w:t>
      </w:r>
      <w:bookmarkEnd w:id="50"/>
      <w:bookmarkEnd w:id="51"/>
      <w:r>
        <w:t xml:space="preserve"> </w:t>
      </w:r>
    </w:p>
    <w:p w14:paraId="144DBC25" w14:textId="77777777" w:rsidR="00312013" w:rsidRPr="006C5893" w:rsidRDefault="00312013" w:rsidP="00312013">
      <w:pPr>
        <w:pStyle w:val="ListBullet"/>
        <w:numPr>
          <w:ilvl w:val="0"/>
          <w:numId w:val="19"/>
        </w:numPr>
      </w:pPr>
      <w:r w:rsidRPr="006C5893">
        <w:t xml:space="preserve">Alcohols, </w:t>
      </w:r>
      <w:r w:rsidRPr="00D062E0">
        <w:t>such</w:t>
      </w:r>
      <w:r w:rsidRPr="006C5893">
        <w:t xml:space="preserve"> as isopropanol, are known to deactivate lipophilic and enveloped</w:t>
      </w:r>
      <w:r>
        <w:t xml:space="preserve"> </w:t>
      </w:r>
      <w:r w:rsidRPr="006C5893">
        <w:t>viruses such as COVID-19. Alcohols are highly effective, cheap biocides used in</w:t>
      </w:r>
      <w:r>
        <w:t xml:space="preserve"> </w:t>
      </w:r>
      <w:r w:rsidRPr="006C5893">
        <w:t>many consumer products for this purpose.</w:t>
      </w:r>
    </w:p>
    <w:p w14:paraId="05379CC1" w14:textId="77777777" w:rsidR="00312013" w:rsidRDefault="00312013" w:rsidP="00312013">
      <w:pPr>
        <w:pStyle w:val="ListBullet"/>
        <w:numPr>
          <w:ilvl w:val="0"/>
          <w:numId w:val="19"/>
        </w:numPr>
      </w:pPr>
      <w:r w:rsidRPr="006C5893">
        <w:t xml:space="preserve">Isopropanol is a </w:t>
      </w:r>
      <w:r w:rsidRPr="00D062E0">
        <w:t>severe</w:t>
      </w:r>
      <w:r w:rsidRPr="006C5893">
        <w:t xml:space="preserve"> eye irritant in animal studies and it is a skin irritant in humans</w:t>
      </w:r>
      <w:r>
        <w:t xml:space="preserve"> </w:t>
      </w:r>
      <w:r w:rsidRPr="006C5893">
        <w:t>following repeated exposure.</w:t>
      </w:r>
    </w:p>
    <w:p w14:paraId="41854C43" w14:textId="309CC1CB" w:rsidR="00312013" w:rsidRDefault="00312013" w:rsidP="00312013">
      <w:pPr>
        <w:pStyle w:val="ListBullet"/>
        <w:numPr>
          <w:ilvl w:val="0"/>
          <w:numId w:val="19"/>
        </w:numPr>
      </w:pPr>
      <w:r w:rsidRPr="0072056C">
        <w:t xml:space="preserve">It is proposed that </w:t>
      </w:r>
      <w:r w:rsidRPr="00D062E0">
        <w:t>isopropanol</w:t>
      </w:r>
      <w:r w:rsidRPr="0072056C">
        <w:t>-based hand sanitisers in containers up to 2L are</w:t>
      </w:r>
      <w:r>
        <w:t xml:space="preserve"> </w:t>
      </w:r>
      <w:r w:rsidRPr="0072056C">
        <w:t>captured in the scheduling proposal. The use of larger volumes is expected to be</w:t>
      </w:r>
      <w:r>
        <w:t xml:space="preserve"> </w:t>
      </w:r>
      <w:r w:rsidRPr="0072056C">
        <w:t>captured under workplace health and safety legislation as they are unlikely to be</w:t>
      </w:r>
      <w:r>
        <w:t xml:space="preserve"> </w:t>
      </w:r>
      <w:r w:rsidRPr="0072056C">
        <w:t>found available for retail sale in the domestic market</w:t>
      </w:r>
      <w:r>
        <w:t>.</w:t>
      </w:r>
    </w:p>
    <w:p w14:paraId="31CB905D" w14:textId="77777777" w:rsidR="00312013" w:rsidRDefault="00312013" w:rsidP="00312013">
      <w:pPr>
        <w:pStyle w:val="ListBullet"/>
        <w:numPr>
          <w:ilvl w:val="0"/>
          <w:numId w:val="19"/>
        </w:numPr>
      </w:pPr>
      <w:r w:rsidRPr="001E00C7">
        <w:t xml:space="preserve">National Poison Information </w:t>
      </w:r>
      <w:r w:rsidRPr="00D062E0">
        <w:t>Centres</w:t>
      </w:r>
      <w:r w:rsidRPr="001E00C7">
        <w:t xml:space="preserve"> have reported intentional ingestion of hand</w:t>
      </w:r>
      <w:r>
        <w:t xml:space="preserve"> </w:t>
      </w:r>
      <w:r w:rsidRPr="001E00C7">
        <w:t>sanitisers, particularly in the those suffering with neurodegenerative conditions such</w:t>
      </w:r>
      <w:r>
        <w:t xml:space="preserve"> </w:t>
      </w:r>
      <w:r w:rsidRPr="001E00C7">
        <w:t>as dementia, and with adolescents and adult persons deliberately misusing hand</w:t>
      </w:r>
      <w:r>
        <w:t xml:space="preserve"> </w:t>
      </w:r>
      <w:r w:rsidRPr="001E00C7">
        <w:t>sanitisers due to their availability. Currently there is no mandated requirements to add</w:t>
      </w:r>
      <w:r>
        <w:t xml:space="preserve"> </w:t>
      </w:r>
      <w:r w:rsidRPr="001E00C7">
        <w:t>a denaturant to hand sanitisers</w:t>
      </w:r>
      <w:r>
        <w:t>.</w:t>
      </w:r>
    </w:p>
    <w:p w14:paraId="696E1A72" w14:textId="77777777" w:rsidR="00312013" w:rsidRPr="00A5676B" w:rsidRDefault="00312013" w:rsidP="00312013">
      <w:pPr>
        <w:pStyle w:val="ListBullet"/>
        <w:numPr>
          <w:ilvl w:val="0"/>
          <w:numId w:val="19"/>
        </w:numPr>
      </w:pPr>
      <w:r w:rsidRPr="00A5676B">
        <w:t>Although these products are not designed for or specifically intended for ingestion,</w:t>
      </w:r>
      <w:r>
        <w:t xml:space="preserve"> </w:t>
      </w:r>
      <w:r w:rsidRPr="00A5676B">
        <w:t>any of the products can be purchased and consumed by an individual who is</w:t>
      </w:r>
      <w:r>
        <w:t xml:space="preserve"> </w:t>
      </w:r>
      <w:r w:rsidRPr="00A5676B">
        <w:t>intentionally seeking to become inebriated. These products are not regulated in the</w:t>
      </w:r>
      <w:r>
        <w:t xml:space="preserve"> </w:t>
      </w:r>
      <w:r w:rsidRPr="00A5676B">
        <w:t>same way alcoholic beverages are and can potentially be purchased by minors.</w:t>
      </w:r>
    </w:p>
    <w:p w14:paraId="3FF97F60" w14:textId="77777777" w:rsidR="00312013" w:rsidRDefault="00312013" w:rsidP="00312013">
      <w:pPr>
        <w:pStyle w:val="ListBullet"/>
        <w:numPr>
          <w:ilvl w:val="0"/>
          <w:numId w:val="19"/>
        </w:numPr>
      </w:pPr>
      <w:r w:rsidRPr="00A5676B">
        <w:t xml:space="preserve">Alcohol abuse is a significant medical and </w:t>
      </w:r>
      <w:r w:rsidRPr="00D062E0">
        <w:t>social</w:t>
      </w:r>
      <w:r w:rsidRPr="00A5676B">
        <w:t xml:space="preserve"> problem. At sufficiently high doses</w:t>
      </w:r>
      <w:r>
        <w:t xml:space="preserve"> </w:t>
      </w:r>
      <w:r w:rsidRPr="00A5676B">
        <w:t>it can cause both short term and long-term toxic health effects in humans.</w:t>
      </w:r>
    </w:p>
    <w:p w14:paraId="6198584B" w14:textId="77777777" w:rsidR="00312013" w:rsidRDefault="00312013" w:rsidP="00312013">
      <w:pPr>
        <w:pStyle w:val="Heading4"/>
      </w:pPr>
      <w:bookmarkStart w:id="52" w:name="_Toc69303262"/>
      <w:bookmarkStart w:id="53" w:name="_Toc69305092"/>
      <w:r>
        <w:lastRenderedPageBreak/>
        <w:t>Australian regulations</w:t>
      </w:r>
      <w:bookmarkEnd w:id="52"/>
      <w:bookmarkEnd w:id="53"/>
    </w:p>
    <w:p w14:paraId="2C802DF5" w14:textId="3EB04BC2" w:rsidR="00312013" w:rsidRDefault="00312013" w:rsidP="00312013">
      <w:pPr>
        <w:pStyle w:val="ListBullet"/>
        <w:numPr>
          <w:ilvl w:val="0"/>
          <w:numId w:val="19"/>
        </w:numPr>
      </w:pPr>
      <w:r>
        <w:t xml:space="preserve">As of April 2021, there were 223 approved non-prescription medicines currently active in the </w:t>
      </w:r>
      <w:hyperlink r:id="rId33" w:history="1">
        <w:r w:rsidRPr="00293CCA">
          <w:rPr>
            <w:rStyle w:val="Hyperlink"/>
          </w:rPr>
          <w:t>Australian Register of Therapeutic Goods (ARTG)</w:t>
        </w:r>
      </w:hyperlink>
      <w:r w:rsidRPr="00A45B5B">
        <w:rPr>
          <w:rStyle w:val="Hyperlink"/>
          <w:u w:val="none"/>
        </w:rPr>
        <w:t xml:space="preserve"> </w:t>
      </w:r>
      <w:r w:rsidRPr="006D5A11">
        <w:t xml:space="preserve">that </w:t>
      </w:r>
      <w:r>
        <w:t>contain isopropanol as an ingredient. This included 20 non-prescription medicines that contain isopropanol as an active ingredient.</w:t>
      </w:r>
      <w:r w:rsidR="00C4626A">
        <w:t xml:space="preserve"> These include a </w:t>
      </w:r>
      <w:r w:rsidR="00397DDA">
        <w:t>range of products such as hand rubs, antiseptic swabs and wipes and disinfectants.</w:t>
      </w:r>
    </w:p>
    <w:p w14:paraId="4C6FDB62" w14:textId="77777777" w:rsidR="00312013" w:rsidRPr="000356CE" w:rsidRDefault="00312013" w:rsidP="00312013">
      <w:pPr>
        <w:pStyle w:val="ListBullet"/>
        <w:numPr>
          <w:ilvl w:val="0"/>
          <w:numId w:val="19"/>
        </w:numPr>
      </w:pPr>
      <w:r w:rsidRPr="00D062E0">
        <w:t>According</w:t>
      </w:r>
      <w:r>
        <w:t xml:space="preserve"> to the </w:t>
      </w:r>
      <w:hyperlink r:id="rId34" w:history="1">
        <w:r w:rsidRPr="00C66C5E">
          <w:rPr>
            <w:rStyle w:val="Hyperlink"/>
          </w:rPr>
          <w:t xml:space="preserve">TGA </w:t>
        </w:r>
        <w:r>
          <w:rPr>
            <w:rStyle w:val="Hyperlink"/>
          </w:rPr>
          <w:t xml:space="preserve">Ingredient </w:t>
        </w:r>
        <w:r w:rsidRPr="00C66C5E">
          <w:rPr>
            <w:rStyle w:val="Hyperlink"/>
          </w:rPr>
          <w:t>Database</w:t>
        </w:r>
      </w:hyperlink>
      <w:r w:rsidRPr="000356CE">
        <w:t>, isopropanol is:</w:t>
      </w:r>
    </w:p>
    <w:p w14:paraId="7A400E19" w14:textId="77777777" w:rsidR="00312013" w:rsidRDefault="00312013" w:rsidP="00312013">
      <w:pPr>
        <w:pStyle w:val="ListBullet2"/>
        <w:numPr>
          <w:ilvl w:val="1"/>
          <w:numId w:val="19"/>
        </w:numPr>
        <w:ind w:left="850" w:hanging="425"/>
      </w:pPr>
      <w:r>
        <w:t>available for use as an Active Ingredient in Biologicals, Over the Counter, and Prescription Medicines.</w:t>
      </w:r>
    </w:p>
    <w:p w14:paraId="0669CA93" w14:textId="77777777" w:rsidR="00312013" w:rsidRDefault="00312013" w:rsidP="00312013">
      <w:pPr>
        <w:pStyle w:val="ListBullet2"/>
        <w:numPr>
          <w:ilvl w:val="1"/>
          <w:numId w:val="19"/>
        </w:numPr>
        <w:ind w:left="850" w:hanging="425"/>
      </w:pPr>
      <w:r>
        <w:t>available for use as an Excipient Ingredient in Biologicals, Devices, Export Only, Listed Medicines, Over the Counter, and Prescription Medicines.</w:t>
      </w:r>
    </w:p>
    <w:p w14:paraId="238D15B0" w14:textId="2C916ABE" w:rsidR="00312013" w:rsidRDefault="00312013" w:rsidP="00312013">
      <w:pPr>
        <w:pStyle w:val="ListBullet2"/>
        <w:numPr>
          <w:ilvl w:val="1"/>
          <w:numId w:val="19"/>
        </w:numPr>
        <w:ind w:left="850" w:hanging="425"/>
      </w:pPr>
      <w:r>
        <w:t>not available as an Equivalent Ingredient in any application.</w:t>
      </w:r>
    </w:p>
    <w:p w14:paraId="73C89C51" w14:textId="4FA68CBB" w:rsidR="000E70A2" w:rsidRDefault="000E70A2" w:rsidP="000E70A2">
      <w:pPr>
        <w:pStyle w:val="ListBullet"/>
        <w:numPr>
          <w:ilvl w:val="0"/>
          <w:numId w:val="19"/>
        </w:numPr>
      </w:pPr>
      <w:r w:rsidRPr="005C4582">
        <w:t>The</w:t>
      </w:r>
      <w:r w:rsidRPr="00D67128">
        <w:rPr>
          <w:lang w:eastAsia="en-AU"/>
        </w:rPr>
        <w:t xml:space="preserve"> </w:t>
      </w:r>
      <w:hyperlink r:id="rId35" w:history="1">
        <w:r w:rsidRPr="00D67128">
          <w:rPr>
            <w:rStyle w:val="Hyperlink"/>
            <w:rFonts w:asciiTheme="minorHAnsi" w:hAnsiTheme="minorHAnsi" w:cs="CIDFont+F3"/>
            <w:i/>
            <w:szCs w:val="22"/>
            <w:lang w:eastAsia="en-AU"/>
          </w:rPr>
          <w:t>Therapeutic Goods (Excluded Goods Hand Sanitisers) Determination 2020</w:t>
        </w:r>
      </w:hyperlink>
      <w:r>
        <w:rPr>
          <w:lang w:eastAsia="en-AU"/>
        </w:rPr>
        <w:t xml:space="preserve"> (the determination) i</w:t>
      </w:r>
      <w:r w:rsidRPr="00D67128">
        <w:rPr>
          <w:lang w:eastAsia="en-AU"/>
        </w:rPr>
        <w:t>ncludes exclusions when presented for supply in a particular way.</w:t>
      </w:r>
      <w:r>
        <w:rPr>
          <w:lang w:eastAsia="en-AU"/>
        </w:rPr>
        <w:t xml:space="preserve"> Schedule 1 of the determination outlines the formulation requirements and specifies the ingredients. </w:t>
      </w:r>
    </w:p>
    <w:p w14:paraId="4371D327" w14:textId="0BBCB5D0" w:rsidR="000E70A2" w:rsidRPr="00D67128" w:rsidRDefault="000E70A2" w:rsidP="000E70A2">
      <w:pPr>
        <w:pStyle w:val="ListBullet"/>
        <w:numPr>
          <w:ilvl w:val="0"/>
          <w:numId w:val="19"/>
        </w:numPr>
      </w:pPr>
      <w:r>
        <w:rPr>
          <w:lang w:eastAsia="en-AU"/>
        </w:rPr>
        <w:t xml:space="preserve">The determination also outlines the labelling requirements and advertising, including a statement that the product should </w:t>
      </w:r>
      <w:r w:rsidRPr="000E70A2">
        <w:rPr>
          <w:i/>
          <w:szCs w:val="22"/>
          <w:lang w:eastAsia="en-AU"/>
        </w:rPr>
        <w:t>“</w:t>
      </w:r>
      <w:r w:rsidRPr="000E70A2">
        <w:rPr>
          <w:rFonts w:ascii="Helvetica Neue" w:hAnsi="Helvetica Neue"/>
          <w:i/>
          <w:szCs w:val="22"/>
        </w:rPr>
        <w:t>not presented for supply in a way that is likely to result in the goods being mistaken for or confused with food or beverages”.</w:t>
      </w:r>
    </w:p>
    <w:p w14:paraId="7221C177" w14:textId="174609FD" w:rsidR="000E70A2" w:rsidRDefault="000E70A2" w:rsidP="000E70A2">
      <w:pPr>
        <w:pStyle w:val="ListBullet"/>
        <w:numPr>
          <w:ilvl w:val="0"/>
          <w:numId w:val="0"/>
        </w:numPr>
        <w:ind w:left="360"/>
        <w:rPr>
          <w:rFonts w:asciiTheme="minorHAnsi" w:hAnsiTheme="minorHAnsi" w:cs="CIDFont+F3"/>
          <w:szCs w:val="22"/>
          <w:lang w:eastAsia="en-AU"/>
        </w:rPr>
      </w:pPr>
      <w:r>
        <w:rPr>
          <w:rFonts w:asciiTheme="minorHAnsi" w:hAnsiTheme="minorHAnsi" w:cs="CIDFont+F3"/>
          <w:szCs w:val="22"/>
          <w:lang w:eastAsia="en-AU"/>
        </w:rPr>
        <w:t>Schedule 2, part 1 of the determination outlines the requirements for labels as follows:</w:t>
      </w:r>
    </w:p>
    <w:p w14:paraId="6BF84778" w14:textId="77777777" w:rsidR="000E70A2" w:rsidRPr="000E70A2" w:rsidRDefault="000E70A2" w:rsidP="000E70A2">
      <w:pPr>
        <w:shd w:val="clear" w:color="auto" w:fill="FFFFFF"/>
        <w:spacing w:before="280" w:after="280" w:line="240" w:lineRule="auto"/>
        <w:rPr>
          <w:rFonts w:ascii="Arial" w:eastAsia="Times New Roman" w:hAnsi="Arial" w:cs="Arial"/>
          <w:sz w:val="19"/>
          <w:szCs w:val="19"/>
          <w:lang w:val="en-US" w:eastAsia="en-AU"/>
        </w:rPr>
      </w:pPr>
      <w:r w:rsidRPr="000E70A2">
        <w:rPr>
          <w:rFonts w:ascii="Arial" w:eastAsia="Times New Roman" w:hAnsi="Arial" w:cs="Arial"/>
          <w:b/>
          <w:bCs/>
          <w:sz w:val="24"/>
          <w:szCs w:val="24"/>
          <w:lang w:eastAsia="en-AU"/>
        </w:rPr>
        <w:t>1  Front label</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tblGrid>
      <w:tr w:rsidR="000E70A2" w:rsidRPr="000E70A2" w14:paraId="207373FC" w14:textId="77777777" w:rsidTr="000E70A2">
        <w:trPr>
          <w:trHeight w:val="2330"/>
        </w:trPr>
        <w:tc>
          <w:tcPr>
            <w:tcW w:w="6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ABB1C"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b/>
                <w:bCs/>
                <w:sz w:val="28"/>
                <w:szCs w:val="28"/>
                <w:lang w:eastAsia="en-AU"/>
              </w:rPr>
              <w:t>Isopropyl alcohol hand sanitiser 75%</w:t>
            </w:r>
          </w:p>
          <w:p w14:paraId="1848E609"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sz w:val="20"/>
                <w:lang w:eastAsia="en-AU"/>
              </w:rPr>
              <w:t>Hand rub [optional text: suitable for use in medical and health services]</w:t>
            </w:r>
          </w:p>
          <w:p w14:paraId="3FAD97F9"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b/>
                <w:bCs/>
                <w:sz w:val="20"/>
                <w:lang w:eastAsia="en-AU"/>
              </w:rPr>
              <w:t>DO NOT DRINK</w:t>
            </w:r>
          </w:p>
          <w:p w14:paraId="01AC07D9"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sz w:val="20"/>
                <w:lang w:eastAsia="en-AU"/>
              </w:rPr>
              <w:t>[Insert volume of the product in mLs]</w:t>
            </w:r>
          </w:p>
          <w:p w14:paraId="3FB5C1E2"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sz w:val="20"/>
                <w:lang w:eastAsia="en-AU"/>
              </w:rPr>
              <w:t>[Insert name of the manufacturer or supplier]</w:t>
            </w:r>
          </w:p>
          <w:p w14:paraId="3ADBE1D5" w14:textId="77777777" w:rsidR="000E70A2" w:rsidRPr="000E70A2" w:rsidRDefault="000E70A2" w:rsidP="000E70A2">
            <w:pPr>
              <w:spacing w:before="100" w:beforeAutospacing="1" w:after="100" w:afterAutospacing="1" w:line="240" w:lineRule="auto"/>
              <w:rPr>
                <w:rFonts w:ascii="Arial" w:eastAsia="Times New Roman" w:hAnsi="Arial" w:cs="Arial"/>
                <w:sz w:val="19"/>
                <w:szCs w:val="19"/>
                <w:lang w:eastAsia="en-AU"/>
              </w:rPr>
            </w:pPr>
            <w:r w:rsidRPr="000E70A2">
              <w:rPr>
                <w:rFonts w:ascii="Arial" w:eastAsia="Times New Roman" w:hAnsi="Arial" w:cs="Arial"/>
                <w:sz w:val="20"/>
                <w:lang w:eastAsia="en-AU"/>
              </w:rPr>
              <w:t>[Insert contact details of the manufacturer or supplier]</w:t>
            </w:r>
          </w:p>
        </w:tc>
      </w:tr>
    </w:tbl>
    <w:p w14:paraId="08354897" w14:textId="77777777" w:rsidR="000E70A2" w:rsidRPr="000E70A2" w:rsidRDefault="000E70A2" w:rsidP="007317DC">
      <w:pPr>
        <w:pageBreakBefore/>
        <w:shd w:val="clear" w:color="auto" w:fill="FFFFFF"/>
        <w:spacing w:before="280" w:after="280" w:line="240" w:lineRule="auto"/>
        <w:rPr>
          <w:rFonts w:ascii="Arial" w:eastAsia="Times New Roman" w:hAnsi="Arial" w:cs="Arial"/>
          <w:sz w:val="19"/>
          <w:szCs w:val="19"/>
          <w:lang w:val="en-US" w:eastAsia="en-AU"/>
        </w:rPr>
      </w:pPr>
      <w:bookmarkStart w:id="54" w:name="_Toc36546382"/>
      <w:r w:rsidRPr="000E70A2">
        <w:rPr>
          <w:rFonts w:ascii="Arial" w:eastAsia="Times New Roman" w:hAnsi="Arial" w:cs="Arial"/>
          <w:b/>
          <w:bCs/>
          <w:sz w:val="24"/>
          <w:szCs w:val="24"/>
          <w:lang w:eastAsia="en-AU"/>
        </w:rPr>
        <w:lastRenderedPageBreak/>
        <w:t>2  Back label</w:t>
      </w:r>
      <w:bookmarkEnd w:id="54"/>
    </w:p>
    <w:tbl>
      <w:tblPr>
        <w:tblW w:w="680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tblGrid>
      <w:tr w:rsidR="000E70A2" w:rsidRPr="000E70A2" w14:paraId="1EBBE3DE" w14:textId="77777777" w:rsidTr="003E732D">
        <w:trPr>
          <w:trHeight w:val="547"/>
        </w:trPr>
        <w:tc>
          <w:tcPr>
            <w:tcW w:w="6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E8B9D"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b/>
                <w:bCs/>
                <w:sz w:val="20"/>
                <w:lang w:eastAsia="en-AU"/>
              </w:rPr>
              <w:t>Contains:</w:t>
            </w:r>
          </w:p>
          <w:p w14:paraId="37AF002B"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Isopropyl alcohol 75% v/v, water, glycerol and hydrogen peroxide.</w:t>
            </w:r>
          </w:p>
          <w:p w14:paraId="4FA64E75"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b/>
                <w:bCs/>
                <w:sz w:val="20"/>
                <w:lang w:eastAsia="en-AU"/>
              </w:rPr>
              <w:t>Use:</w:t>
            </w:r>
          </w:p>
          <w:p w14:paraId="3A1CBA5E"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Antiseptic hand rub when soap and water are not available.</w:t>
            </w:r>
          </w:p>
          <w:p w14:paraId="7B267625"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b/>
                <w:bCs/>
                <w:sz w:val="20"/>
                <w:lang w:eastAsia="en-AU"/>
              </w:rPr>
              <w:t>Directions for use:</w:t>
            </w:r>
          </w:p>
          <w:p w14:paraId="0D8F6D05"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Apply sufficient amount of product on hands to cover all surfaces.</w:t>
            </w:r>
          </w:p>
          <w:p w14:paraId="52560ACB"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Rub hands together until dry.</w:t>
            </w:r>
          </w:p>
          <w:p w14:paraId="49E8ED81"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b/>
                <w:bCs/>
                <w:sz w:val="20"/>
                <w:lang w:eastAsia="en-AU"/>
              </w:rPr>
              <w:t>Warnings:</w:t>
            </w:r>
          </w:p>
          <w:p w14:paraId="07EC4CF3"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For external use only. Flammable. Keep away from heat or flame.</w:t>
            </w:r>
          </w:p>
          <w:p w14:paraId="0F50CD03" w14:textId="00EE2573" w:rsidR="000E70A2" w:rsidRPr="000E70A2" w:rsidRDefault="000E70A2" w:rsidP="000E70A2">
            <w:pPr>
              <w:spacing w:before="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noProof/>
                <w:sz w:val="19"/>
                <w:szCs w:val="19"/>
                <w:lang w:eastAsia="en-AU"/>
              </w:rPr>
              <w:drawing>
                <wp:inline distT="0" distB="0" distL="0" distR="0" wp14:anchorId="4E1259DF" wp14:editId="534B0AE7">
                  <wp:extent cx="622300" cy="622300"/>
                  <wp:effectExtent l="0" t="0" r="6350" b="6350"/>
                  <wp:docPr id="1" name="Picture 1" descr="https://www.legislation.gov.au/Details/F2020C00357/Html/b5480743-1a3a-4d87-a55e-f1b6c1b195e4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lation.gov.au/Details/F2020C00357/Html/b5480743-1a3a-4d87-a55e-f1b6c1b195e4_files/image00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Pr="000E70A2">
              <w:rPr>
                <w:rFonts w:ascii="Arial" w:eastAsia="Times New Roman" w:hAnsi="Arial" w:cs="Arial"/>
                <w:sz w:val="20"/>
                <w:lang w:eastAsia="en-AU"/>
              </w:rPr>
              <w:t>Keep out of eyes, ears and mouth.</w:t>
            </w:r>
          </w:p>
          <w:p w14:paraId="29D5B18D"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Discontinue use if skin irritation or rash occurs.</w:t>
            </w:r>
          </w:p>
          <w:p w14:paraId="06093050"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Keep out of reach of children.</w:t>
            </w:r>
          </w:p>
          <w:p w14:paraId="298F287B"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Poisons Information Centre 13 11 26.</w:t>
            </w:r>
          </w:p>
          <w:p w14:paraId="7410D218"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Store below 30 °C.</w:t>
            </w:r>
          </w:p>
          <w:p w14:paraId="4458D3A3" w14:textId="77777777" w:rsidR="000E70A2" w:rsidRPr="000E70A2" w:rsidRDefault="000E70A2" w:rsidP="000E70A2">
            <w:pPr>
              <w:spacing w:before="100" w:beforeAutospacing="1" w:after="100" w:afterAutospacing="1" w:line="240" w:lineRule="auto"/>
              <w:ind w:left="30"/>
              <w:rPr>
                <w:rFonts w:ascii="Arial" w:eastAsia="Times New Roman" w:hAnsi="Arial" w:cs="Arial"/>
                <w:sz w:val="19"/>
                <w:szCs w:val="19"/>
                <w:lang w:eastAsia="en-AU"/>
              </w:rPr>
            </w:pPr>
            <w:r w:rsidRPr="000E70A2">
              <w:rPr>
                <w:rFonts w:ascii="Arial" w:eastAsia="Times New Roman" w:hAnsi="Arial" w:cs="Arial"/>
                <w:sz w:val="20"/>
                <w:lang w:eastAsia="en-AU"/>
              </w:rPr>
              <w:t>Date of manufacture: [Insert dd mm yyyy]</w:t>
            </w:r>
          </w:p>
        </w:tc>
      </w:tr>
    </w:tbl>
    <w:p w14:paraId="7685C1D3" w14:textId="204A5D7D" w:rsidR="00312013" w:rsidRDefault="00312013" w:rsidP="003E732D">
      <w:pPr>
        <w:pStyle w:val="ListBullet"/>
      </w:pPr>
      <w:r w:rsidRPr="00D062E0">
        <w:t>Isopropanol</w:t>
      </w:r>
      <w:r>
        <w:t xml:space="preserve"> is </w:t>
      </w:r>
      <w:r w:rsidRPr="009C55D5">
        <w:t xml:space="preserve">not permitted to be included in listed medicines </w:t>
      </w:r>
      <w:r>
        <w:t xml:space="preserve">as it is not included in the </w:t>
      </w:r>
      <w:hyperlink r:id="rId37" w:history="1">
        <w:r w:rsidR="003E732D" w:rsidRPr="00824CAC">
          <w:rPr>
            <w:rStyle w:val="Hyperlink"/>
          </w:rPr>
          <w:t>Therapeutic Goods (Permissible Ingredients) Determination</w:t>
        </w:r>
      </w:hyperlink>
      <w:r w:rsidR="003E732D">
        <w:rPr>
          <w:rStyle w:val="FootnoteReference"/>
        </w:rPr>
        <w:footnoteReference w:id="13"/>
      </w:r>
      <w:r w:rsidR="003E732D" w:rsidRPr="009C55D5">
        <w:t xml:space="preserve"> </w:t>
      </w:r>
      <w:r w:rsidRPr="009C55D5">
        <w:t>No</w:t>
      </w:r>
      <w:r w:rsidRPr="00B54CF2">
        <w:t>.1 of 202</w:t>
      </w:r>
      <w:r>
        <w:t>1</w:t>
      </w:r>
      <w:r w:rsidRPr="00B54CF2">
        <w:t>.</w:t>
      </w:r>
      <w:r w:rsidRPr="009C55D5">
        <w:t xml:space="preserve"> </w:t>
      </w:r>
    </w:p>
    <w:p w14:paraId="0469A109" w14:textId="01668A29" w:rsidR="00312013" w:rsidRPr="004E6267" w:rsidRDefault="00312013" w:rsidP="00312013">
      <w:pPr>
        <w:pStyle w:val="ListBullet"/>
        <w:numPr>
          <w:ilvl w:val="0"/>
          <w:numId w:val="19"/>
        </w:numPr>
      </w:pPr>
      <w:r w:rsidRPr="004E6267">
        <w:t xml:space="preserve">The </w:t>
      </w:r>
      <w:hyperlink r:id="rId38" w:history="1">
        <w:r w:rsidR="003E732D" w:rsidRPr="00C81411">
          <w:rPr>
            <w:rStyle w:val="Hyperlink"/>
          </w:rPr>
          <w:t xml:space="preserve">TGA </w:t>
        </w:r>
        <w:r w:rsidR="003E732D">
          <w:rPr>
            <w:rStyle w:val="Hyperlink"/>
          </w:rPr>
          <w:t>p</w:t>
        </w:r>
        <w:r w:rsidR="003E732D" w:rsidRPr="00C81411">
          <w:rPr>
            <w:rStyle w:val="Hyperlink"/>
          </w:rPr>
          <w:t>rescribing medicines in pregnancy database</w:t>
        </w:r>
      </w:hyperlink>
      <w:r w:rsidR="003E732D">
        <w:rPr>
          <w:rStyle w:val="FootnoteReference"/>
        </w:rPr>
        <w:footnoteReference w:id="14"/>
      </w:r>
      <w:r w:rsidRPr="004E6267">
        <w:t xml:space="preserve"> does not specifically identify isopropanol.</w:t>
      </w:r>
    </w:p>
    <w:p w14:paraId="7AF6D77C" w14:textId="77777777" w:rsidR="008A4CFB" w:rsidRDefault="00312013" w:rsidP="008A4CFB">
      <w:pPr>
        <w:pStyle w:val="ListBullet"/>
        <w:numPr>
          <w:ilvl w:val="0"/>
          <w:numId w:val="18"/>
        </w:numPr>
      </w:pPr>
      <w:r>
        <w:t xml:space="preserve">There are no </w:t>
      </w:r>
      <w:r w:rsidRPr="00A30084">
        <w:t xml:space="preserve">warning statements pertaining </w:t>
      </w:r>
      <w:r>
        <w:t xml:space="preserve">to isopropanol in the </w:t>
      </w:r>
      <w:hyperlink r:id="rId39" w:history="1">
        <w:r w:rsidR="008A4CFB" w:rsidRPr="00AB7BF5">
          <w:rPr>
            <w:rStyle w:val="Hyperlink"/>
          </w:rPr>
          <w:t>Therapeutic Goods (Medicines Advisory Statements) Specification 2019</w:t>
        </w:r>
      </w:hyperlink>
      <w:r w:rsidR="008A4CFB">
        <w:rPr>
          <w:rStyle w:val="FootnoteReference"/>
        </w:rPr>
        <w:footnoteReference w:id="15"/>
      </w:r>
    </w:p>
    <w:p w14:paraId="157985D7" w14:textId="71F0179B" w:rsidR="00312013" w:rsidRPr="00F94315" w:rsidRDefault="00312013" w:rsidP="00312013">
      <w:pPr>
        <w:pStyle w:val="ListBullet"/>
        <w:numPr>
          <w:ilvl w:val="0"/>
          <w:numId w:val="19"/>
        </w:numPr>
        <w:rPr>
          <w:rStyle w:val="Hyperlink"/>
        </w:rPr>
      </w:pPr>
      <w:r>
        <w:lastRenderedPageBreak/>
        <w:t>Since January 2010, t</w:t>
      </w:r>
      <w:r w:rsidRPr="009C55D5">
        <w:t>he</w:t>
      </w:r>
      <w:r>
        <w:t xml:space="preserve">re have been 19 reports of adverse events for isopropanol in the </w:t>
      </w:r>
      <w:hyperlink r:id="rId40" w:history="1">
        <w:r w:rsidR="008A4CFB" w:rsidRPr="00F0449C">
          <w:rPr>
            <w:rStyle w:val="Hyperlink"/>
          </w:rPr>
          <w:t>Database of Adverse Event Notifications (DAEN)</w:t>
        </w:r>
      </w:hyperlink>
      <w:r w:rsidR="008A4CFB">
        <w:rPr>
          <w:rStyle w:val="FootnoteReference"/>
        </w:rPr>
        <w:footnoteReference w:id="16"/>
      </w:r>
      <w:r>
        <w:t xml:space="preserve"> In all events isopropanol was the single suspected medicine. No deaths have been recorded that were associated with isopropanol.</w:t>
      </w:r>
    </w:p>
    <w:p w14:paraId="7210402D" w14:textId="3EC2532E" w:rsidR="00312013" w:rsidRDefault="00312013" w:rsidP="00312013">
      <w:pPr>
        <w:pStyle w:val="ListBullet"/>
        <w:numPr>
          <w:ilvl w:val="0"/>
          <w:numId w:val="19"/>
        </w:numPr>
      </w:pPr>
      <w:r>
        <w:t>T</w:t>
      </w:r>
      <w:r w:rsidRPr="00F0449C">
        <w:t>he</w:t>
      </w:r>
      <w:r>
        <w:t xml:space="preserve">re were three </w:t>
      </w:r>
      <w:r w:rsidRPr="00D062E0">
        <w:t>products</w:t>
      </w:r>
      <w:r>
        <w:t xml:space="preserve"> containing isopropanol in the</w:t>
      </w:r>
      <w:r w:rsidRPr="00F0449C">
        <w:t xml:space="preserve"> </w:t>
      </w:r>
      <w:hyperlink r:id="rId41" w:history="1">
        <w:r w:rsidR="008A4CFB" w:rsidRPr="009F1ACF">
          <w:rPr>
            <w:rStyle w:val="Hyperlink"/>
            <w:szCs w:val="22"/>
          </w:rPr>
          <w:t>Public Chemical Registration Information System Search (PubCRIS)</w:t>
        </w:r>
      </w:hyperlink>
      <w:r w:rsidR="008A4CFB" w:rsidRPr="00E2692B">
        <w:rPr>
          <w:rStyle w:val="FootnoteReference"/>
        </w:rPr>
        <w:t xml:space="preserve"> </w:t>
      </w:r>
      <w:r w:rsidR="008A4CFB">
        <w:rPr>
          <w:rStyle w:val="FootnoteReference"/>
        </w:rPr>
        <w:footnoteReference w:id="17"/>
      </w:r>
    </w:p>
    <w:p w14:paraId="747AEB97" w14:textId="2CB6F61E" w:rsidR="00312013" w:rsidRDefault="00312013" w:rsidP="00312013">
      <w:pPr>
        <w:pStyle w:val="ListBullet2"/>
        <w:numPr>
          <w:ilvl w:val="1"/>
          <w:numId w:val="19"/>
        </w:numPr>
        <w:ind w:left="850" w:hanging="425"/>
      </w:pPr>
      <w:r>
        <w:t xml:space="preserve">All three products are unscheduled gels for relief from muscular pain. </w:t>
      </w:r>
    </w:p>
    <w:p w14:paraId="3D752F72" w14:textId="77777777" w:rsidR="00352DD2" w:rsidRPr="001D730D" w:rsidRDefault="00352DD2" w:rsidP="00352DD2">
      <w:pPr>
        <w:pStyle w:val="ListBullet"/>
        <w:numPr>
          <w:ilvl w:val="0"/>
          <w:numId w:val="19"/>
        </w:numPr>
        <w:rPr>
          <w:rFonts w:asciiTheme="minorHAnsi" w:hAnsiTheme="minorHAnsi"/>
          <w:szCs w:val="22"/>
        </w:rPr>
      </w:pPr>
      <w:r w:rsidRPr="00C4626A">
        <w:rPr>
          <w:szCs w:val="22"/>
        </w:rPr>
        <w:t xml:space="preserve">The </w:t>
      </w:r>
      <w:hyperlink r:id="rId42" w:history="1">
        <w:r w:rsidRPr="003D6A13">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18"/>
      </w:r>
      <w:r w:rsidRPr="001D730D">
        <w:rPr>
          <w:rFonts w:asciiTheme="minorHAnsi" w:hAnsiTheme="minorHAnsi"/>
          <w:bCs/>
          <w:color w:val="000000"/>
          <w:szCs w:val="22"/>
          <w:shd w:val="clear" w:color="auto" w:fill="FFFFFF"/>
        </w:rPr>
        <w:t>lists the following additional requirements for hand sanitisers. It also provides a definition of hand sanitisers.</w:t>
      </w:r>
    </w:p>
    <w:p w14:paraId="53AA070C" w14:textId="77777777" w:rsidR="00352DD2" w:rsidRPr="003F2222" w:rsidRDefault="00352DD2" w:rsidP="00352DD2">
      <w:pPr>
        <w:pStyle w:val="ListBullet"/>
        <w:numPr>
          <w:ilvl w:val="0"/>
          <w:numId w:val="0"/>
        </w:numPr>
        <w:shd w:val="clear" w:color="auto" w:fill="FFFFFF"/>
        <w:spacing w:before="280" w:after="0" w:line="240" w:lineRule="auto"/>
        <w:rPr>
          <w:rFonts w:ascii="Times New Roman" w:eastAsia="Times New Roman" w:hAnsi="Times New Roman"/>
          <w:b/>
          <w:bCs/>
          <w:color w:val="000000"/>
          <w:sz w:val="24"/>
          <w:szCs w:val="24"/>
          <w:lang w:eastAsia="en-AU"/>
        </w:rPr>
      </w:pPr>
      <w:r w:rsidRPr="003F2222">
        <w:rPr>
          <w:rFonts w:ascii="Times New Roman" w:eastAsia="Times New Roman" w:hAnsi="Times New Roman"/>
          <w:b/>
          <w:bCs/>
          <w:color w:val="000000"/>
          <w:sz w:val="24"/>
          <w:szCs w:val="24"/>
          <w:lang w:eastAsia="en-AU"/>
        </w:rPr>
        <w:t>Additional requirements for hand sanitisers</w:t>
      </w:r>
    </w:p>
    <w:p w14:paraId="3CDD4102" w14:textId="33E12510" w:rsidR="00352DD2" w:rsidRPr="004D6B84" w:rsidRDefault="00352DD2" w:rsidP="00CE6A46">
      <w:pPr>
        <w:pStyle w:val="ListBullet"/>
        <w:numPr>
          <w:ilvl w:val="0"/>
          <w:numId w:val="0"/>
        </w:numPr>
        <w:shd w:val="clear" w:color="auto" w:fill="FFFFFF"/>
        <w:spacing w:before="180" w:after="0" w:line="240" w:lineRule="auto"/>
        <w:ind w:left="1418" w:hanging="1058"/>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(1)  This section applies to hand sanitiser that contains alcohol as the primary active ingredient.</w:t>
      </w:r>
    </w:p>
    <w:p w14:paraId="0F13C7EA" w14:textId="77777777" w:rsidR="00352DD2" w:rsidRPr="006D0B24" w:rsidRDefault="00352DD2" w:rsidP="00352DD2">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6D0B24">
        <w:rPr>
          <w:rFonts w:ascii="Times New Roman" w:eastAsia="Times New Roman" w:hAnsi="Times New Roman"/>
          <w:color w:val="000000"/>
          <w:sz w:val="18"/>
          <w:szCs w:val="18"/>
          <w:lang w:eastAsia="en-AU"/>
        </w:rPr>
        <w:t>Note:          This instrument does not apply to hand sanitisers that are therapeutic goods within the meaning of the </w:t>
      </w:r>
      <w:r w:rsidRPr="006D0B24">
        <w:rPr>
          <w:rFonts w:ascii="Times New Roman" w:eastAsia="Times New Roman" w:hAnsi="Times New Roman"/>
          <w:i/>
          <w:iCs/>
          <w:color w:val="000000"/>
          <w:sz w:val="18"/>
          <w:szCs w:val="18"/>
          <w:lang w:eastAsia="en-AU"/>
        </w:rPr>
        <w:t>Therapeutic Goods Act 1989</w:t>
      </w:r>
      <w:r w:rsidRPr="006D0B24">
        <w:rPr>
          <w:rFonts w:ascii="Times New Roman" w:eastAsia="Times New Roman" w:hAnsi="Times New Roman"/>
          <w:color w:val="000000"/>
          <w:sz w:val="18"/>
          <w:szCs w:val="18"/>
          <w:lang w:eastAsia="en-AU"/>
        </w:rPr>
        <w:t>, or that are excluded goods for the purposes of that Act under the </w:t>
      </w:r>
      <w:r w:rsidRPr="006D0B24">
        <w:rPr>
          <w:rFonts w:ascii="Times New Roman" w:eastAsia="Times New Roman" w:hAnsi="Times New Roman"/>
          <w:i/>
          <w:iCs/>
          <w:color w:val="000000"/>
          <w:sz w:val="18"/>
          <w:szCs w:val="18"/>
          <w:lang w:eastAsia="en-AU"/>
        </w:rPr>
        <w:t>Therapeutic Goods (Excluded Goods—Hand Sanitisers) Determination 2020</w:t>
      </w:r>
      <w:r w:rsidRPr="006D0B24">
        <w:rPr>
          <w:rFonts w:ascii="Times New Roman" w:eastAsia="Times New Roman" w:hAnsi="Times New Roman"/>
          <w:color w:val="000000"/>
          <w:sz w:val="18"/>
          <w:szCs w:val="18"/>
          <w:lang w:eastAsia="en-AU"/>
        </w:rPr>
        <w:t> (see subsection 5(2) of this instrument).</w:t>
      </w:r>
    </w:p>
    <w:p w14:paraId="04E91BDA" w14:textId="77777777" w:rsidR="00352DD2" w:rsidRPr="004D6B84" w:rsidRDefault="00352DD2" w:rsidP="00CE6A46">
      <w:pPr>
        <w:pStyle w:val="ListBullet"/>
        <w:numPr>
          <w:ilvl w:val="0"/>
          <w:numId w:val="0"/>
        </w:numPr>
        <w:shd w:val="clear" w:color="auto" w:fill="FFFFFF"/>
        <w:spacing w:before="180" w:after="0" w:line="240" w:lineRule="auto"/>
        <w:ind w:left="1418" w:hanging="1058"/>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(2)  The amount of alcohol contained in the hand sanitiser must be shown as a percentage (%), by volume per volume (v/v), in a manner that is prominent and clearly legible:</w:t>
      </w:r>
    </w:p>
    <w:p w14:paraId="7DDE2460"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(a)  in the list of ingredients; or</w:t>
      </w:r>
    </w:p>
    <w:p w14:paraId="4E268131"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(b)  elsewhere on the container.</w:t>
      </w:r>
    </w:p>
    <w:p w14:paraId="36371AA1" w14:textId="77777777" w:rsidR="00352DD2" w:rsidRPr="004D6B84" w:rsidRDefault="00352DD2" w:rsidP="00CE6A46">
      <w:pPr>
        <w:pStyle w:val="ListBullet"/>
        <w:numPr>
          <w:ilvl w:val="0"/>
          <w:numId w:val="0"/>
        </w:numPr>
        <w:shd w:val="clear" w:color="auto" w:fill="FFFFFF"/>
        <w:spacing w:before="180" w:after="0" w:line="240" w:lineRule="auto"/>
        <w:ind w:left="1418" w:hanging="1058"/>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(3)  The following warnings must be shown on the container (as the words set out below, or as other words, or pictograms, that could reasonably be regarded as having the same meaning):</w:t>
      </w:r>
    </w:p>
    <w:p w14:paraId="7B05668E"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Keep out of reach of children</w:t>
      </w:r>
    </w:p>
    <w:p w14:paraId="193C4E26"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For external use only</w:t>
      </w:r>
    </w:p>
    <w:p w14:paraId="398EC552"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If ingested, seek immediate medical attention</w:t>
      </w:r>
    </w:p>
    <w:p w14:paraId="3534B980"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Flammable—keep away from fire and heat</w:t>
      </w:r>
    </w:p>
    <w:p w14:paraId="42BD2DC1"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Discontinue use if skin irritation occurs</w:t>
      </w:r>
    </w:p>
    <w:p w14:paraId="020CAB21" w14:textId="5077FB38" w:rsidR="00352DD2" w:rsidRPr="007317DC" w:rsidRDefault="00352DD2" w:rsidP="007317DC">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3F2222">
        <w:rPr>
          <w:rFonts w:ascii="Times New Roman" w:eastAsia="Times New Roman" w:hAnsi="Times New Roman"/>
          <w:color w:val="000000"/>
          <w:sz w:val="18"/>
          <w:szCs w:val="18"/>
          <w:lang w:eastAsia="en-AU"/>
        </w:rPr>
        <w:t>Note:          If a supplier makes a claim or representation intended to promote a product, such as “kills 99.99% of germs”, the supplier may be required to give information and/or produce documents to the regulator that could be capable of substantiating or supporting the claim or representation (see section 219 of the Australian Consumer Law</w:t>
      </w:r>
      <w:r w:rsidR="007317DC">
        <w:rPr>
          <w:rFonts w:ascii="Times New Roman" w:eastAsia="Times New Roman" w:hAnsi="Times New Roman"/>
          <w:color w:val="000000"/>
          <w:sz w:val="18"/>
          <w:szCs w:val="18"/>
          <w:lang w:eastAsia="en-AU"/>
        </w:rPr>
        <w:t>).</w:t>
      </w:r>
    </w:p>
    <w:p w14:paraId="2AACF9C4" w14:textId="77777777" w:rsidR="00312013" w:rsidRPr="00C61700" w:rsidRDefault="00312013" w:rsidP="007317DC">
      <w:pPr>
        <w:pStyle w:val="Heading4"/>
      </w:pPr>
      <w:bookmarkStart w:id="55" w:name="_Toc69303263"/>
      <w:bookmarkStart w:id="56" w:name="_Toc69305093"/>
      <w:r w:rsidRPr="0002476E">
        <w:lastRenderedPageBreak/>
        <w:t>International regulations</w:t>
      </w:r>
      <w:bookmarkEnd w:id="55"/>
      <w:bookmarkEnd w:id="56"/>
    </w:p>
    <w:p w14:paraId="48F69C0F" w14:textId="77777777" w:rsidR="00312013" w:rsidRPr="00A93EE0" w:rsidRDefault="00312013" w:rsidP="007317DC">
      <w:pPr>
        <w:keepNext/>
      </w:pPr>
      <w:r>
        <w:t>As of April 2021:</w:t>
      </w:r>
    </w:p>
    <w:p w14:paraId="37CDCCB5" w14:textId="5182C150" w:rsidR="00312013" w:rsidRDefault="00312013" w:rsidP="007317DC">
      <w:pPr>
        <w:pStyle w:val="ListBullet"/>
        <w:keepNext/>
        <w:numPr>
          <w:ilvl w:val="0"/>
          <w:numId w:val="21"/>
        </w:numPr>
        <w:spacing w:line="240" w:lineRule="auto"/>
      </w:pPr>
      <w:r>
        <w:t xml:space="preserve">Isopropanol is included in the </w:t>
      </w:r>
      <w:hyperlink r:id="rId43" w:history="1">
        <w:r w:rsidR="00B624B9" w:rsidRPr="00CC6398">
          <w:rPr>
            <w:rStyle w:val="Hyperlink"/>
          </w:rPr>
          <w:t>WHO Model List of Essential Medicines 2019</w:t>
        </w:r>
      </w:hyperlink>
      <w:r w:rsidR="00B624B9">
        <w:rPr>
          <w:rStyle w:val="FootnoteReference"/>
        </w:rPr>
        <w:footnoteReference w:id="19"/>
      </w:r>
    </w:p>
    <w:p w14:paraId="6D330CC0" w14:textId="0530814A" w:rsidR="00312013" w:rsidRPr="00DC74CD" w:rsidRDefault="00312013" w:rsidP="00312013">
      <w:pPr>
        <w:pStyle w:val="ListBullet"/>
        <w:numPr>
          <w:ilvl w:val="0"/>
          <w:numId w:val="21"/>
        </w:numPr>
        <w:rPr>
          <w:color w:val="0000FF"/>
          <w:u w:val="single"/>
        </w:rPr>
      </w:pPr>
      <w:r>
        <w:t xml:space="preserve">The </w:t>
      </w:r>
      <w:r w:rsidRPr="00071199">
        <w:t>United Stat</w:t>
      </w:r>
      <w:r>
        <w:t xml:space="preserve">es Food and Drug Administration (FDA) approve use of isopropanol as an over-the-counter medicine </w:t>
      </w:r>
      <w:r w:rsidRPr="00071199">
        <w:t>(</w:t>
      </w:r>
      <w:hyperlink r:id="rId44" w:history="1">
        <w:r w:rsidRPr="00071199">
          <w:rPr>
            <w:rStyle w:val="Hyperlink"/>
          </w:rPr>
          <w:t>Drugs@FDA</w:t>
        </w:r>
      </w:hyperlink>
      <w:r w:rsidR="00B624B9" w:rsidRPr="00417519">
        <w:rPr>
          <w:rStyle w:val="FootnoteReference"/>
        </w:rPr>
        <w:footnoteReference w:id="20"/>
      </w:r>
      <w:r w:rsidRPr="00071199">
        <w:t>)</w:t>
      </w:r>
      <w:r>
        <w:t>.</w:t>
      </w:r>
    </w:p>
    <w:p w14:paraId="7D51C02A" w14:textId="77777777" w:rsidR="00B624B9" w:rsidRPr="00B624B9" w:rsidRDefault="00312013" w:rsidP="00F42613">
      <w:pPr>
        <w:pStyle w:val="ListBullet"/>
        <w:numPr>
          <w:ilvl w:val="0"/>
          <w:numId w:val="21"/>
        </w:numPr>
        <w:spacing w:line="240" w:lineRule="auto"/>
        <w:rPr>
          <w:rStyle w:val="Hyperlink"/>
          <w:color w:val="auto"/>
          <w:u w:val="none"/>
        </w:rPr>
      </w:pPr>
      <w:r>
        <w:t xml:space="preserve">Isopropanol is included in the </w:t>
      </w:r>
      <w:hyperlink r:id="rId45" w:history="1">
        <w:r w:rsidR="00B624B9" w:rsidRPr="00C81411">
          <w:rPr>
            <w:rStyle w:val="Hyperlink"/>
          </w:rPr>
          <w:t>European Commission database for information on cosmetic substances and ingredients database</w:t>
        </w:r>
      </w:hyperlink>
      <w:r w:rsidR="00B624B9" w:rsidRPr="00417519">
        <w:rPr>
          <w:rStyle w:val="FootnoteReference"/>
        </w:rPr>
        <w:footnoteReference w:id="21"/>
      </w:r>
    </w:p>
    <w:p w14:paraId="09D4EA1F" w14:textId="7391F500" w:rsidR="00312013" w:rsidRPr="00B624B9" w:rsidRDefault="00312013" w:rsidP="00F42613">
      <w:pPr>
        <w:pStyle w:val="ListBullet"/>
        <w:numPr>
          <w:ilvl w:val="0"/>
          <w:numId w:val="21"/>
        </w:numPr>
        <w:spacing w:line="240" w:lineRule="auto"/>
        <w:rPr>
          <w:rStyle w:val="Hyperlink"/>
          <w:color w:val="auto"/>
          <w:u w:val="none"/>
        </w:rPr>
      </w:pPr>
      <w:r>
        <w:t xml:space="preserve">Products containing isopropanol as an active ingredient in the </w:t>
      </w:r>
      <w:hyperlink r:id="rId46" w:history="1">
        <w:r w:rsidR="00B624B9" w:rsidRPr="000B75D5">
          <w:rPr>
            <w:rStyle w:val="Hyperlink"/>
          </w:rPr>
          <w:t>Canadian (Health Canada) Drug Product Database</w:t>
        </w:r>
      </w:hyperlink>
      <w:r w:rsidR="00B624B9" w:rsidRPr="00417519">
        <w:rPr>
          <w:rStyle w:val="FootnoteReference"/>
        </w:rPr>
        <w:footnoteReference w:id="22"/>
      </w:r>
      <w:r w:rsidRPr="00B624B9">
        <w:rPr>
          <w:rStyle w:val="Hyperlink"/>
          <w:u w:val="none"/>
        </w:rPr>
        <w:t xml:space="preserve"> </w:t>
      </w:r>
      <w:r w:rsidRPr="00B624B9">
        <w:rPr>
          <w:rStyle w:val="Hyperlink"/>
          <w:color w:val="auto"/>
          <w:u w:val="none"/>
        </w:rPr>
        <w:t xml:space="preserve">include over-the-counter disinfectants and medicated wipes, including for veterinary use. </w:t>
      </w:r>
    </w:p>
    <w:p w14:paraId="48266FA4" w14:textId="0B08D9B9" w:rsidR="00312013" w:rsidRPr="004F32F6" w:rsidRDefault="00312013" w:rsidP="00312013">
      <w:pPr>
        <w:pStyle w:val="ListBullet"/>
        <w:numPr>
          <w:ilvl w:val="0"/>
          <w:numId w:val="21"/>
        </w:numPr>
        <w:spacing w:line="240" w:lineRule="auto"/>
      </w:pPr>
      <w:r>
        <w:t xml:space="preserve">There are four products containing isopropanol as an active ingredient in the </w:t>
      </w:r>
      <w:hyperlink r:id="rId47" w:history="1">
        <w:r w:rsidR="00B624B9" w:rsidRPr="002150D3">
          <w:rPr>
            <w:rStyle w:val="Hyperlink"/>
          </w:rPr>
          <w:t>Health Products Regulatory Authority of Ireland</w:t>
        </w:r>
      </w:hyperlink>
      <w:r w:rsidR="00B624B9" w:rsidRPr="00417519">
        <w:rPr>
          <w:rStyle w:val="FootnoteReference"/>
        </w:rPr>
        <w:footnoteReference w:id="23"/>
      </w:r>
      <w:r w:rsidRPr="00A45B5B">
        <w:rPr>
          <w:rStyle w:val="Hyperlink"/>
          <w:u w:val="none"/>
        </w:rPr>
        <w:t xml:space="preserve"> </w:t>
      </w:r>
      <w:r w:rsidRPr="004F32F6">
        <w:t>database.</w:t>
      </w:r>
      <w:r>
        <w:t xml:space="preserve"> These are cutaneous solutions</w:t>
      </w:r>
      <w:r w:rsidR="00B624B9">
        <w:t>,</w:t>
      </w:r>
      <w:r>
        <w:t xml:space="preserve"> which may be available as prescription or non-prescription goods. </w:t>
      </w:r>
    </w:p>
    <w:p w14:paraId="0595D241" w14:textId="0F66748F" w:rsidR="00312013" w:rsidRDefault="00312013" w:rsidP="00312013">
      <w:pPr>
        <w:pStyle w:val="ListBullet"/>
        <w:numPr>
          <w:ilvl w:val="0"/>
          <w:numId w:val="18"/>
        </w:numPr>
      </w:pPr>
      <w:r>
        <w:t xml:space="preserve">Isopropanol was first added to the </w:t>
      </w:r>
      <w:hyperlink r:id="rId48" w:tgtFrame="_blank" w:tooltip="link to the NZ EPA website" w:history="1">
        <w:r w:rsidR="00B624B9" w:rsidRPr="00571015">
          <w:rPr>
            <w:rStyle w:val="Hyperlink"/>
          </w:rPr>
          <w:t>New Zealand Inventory of Chemicals (NZIoC)</w:t>
        </w:r>
      </w:hyperlink>
      <w:r w:rsidR="00B624B9" w:rsidRPr="00417519">
        <w:rPr>
          <w:rStyle w:val="FootnoteReference"/>
        </w:rPr>
        <w:footnoteReference w:id="24"/>
      </w:r>
      <w:r w:rsidR="00B624B9">
        <w:rPr>
          <w:vertAlign w:val="superscript"/>
        </w:rPr>
        <w:t xml:space="preserve">  </w:t>
      </w:r>
      <w:r>
        <w:t>on</w:t>
      </w:r>
      <w:r>
        <w:br/>
        <w:t xml:space="preserve">1 December 2006. </w:t>
      </w:r>
    </w:p>
    <w:p w14:paraId="5FAFBBC3" w14:textId="224393A4" w:rsidR="00312013" w:rsidRDefault="00312013" w:rsidP="00312013">
      <w:pPr>
        <w:pStyle w:val="ListBullet"/>
        <w:numPr>
          <w:ilvl w:val="0"/>
          <w:numId w:val="18"/>
        </w:numPr>
      </w:pPr>
      <w:r>
        <w:t xml:space="preserve">Isopropanol is not included in the </w:t>
      </w:r>
      <w:hyperlink r:id="rId49" w:history="1">
        <w:r w:rsidR="00B624B9" w:rsidRPr="000B75D5">
          <w:rPr>
            <w:rStyle w:val="Hyperlink"/>
          </w:rPr>
          <w:t>New Zealand</w:t>
        </w:r>
        <w:r w:rsidR="00B624B9">
          <w:rPr>
            <w:rStyle w:val="Hyperlink"/>
          </w:rPr>
          <w:t xml:space="preserve"> Medicines and Medical Devices Safety Authority</w:t>
        </w:r>
        <w:r w:rsidR="00B624B9" w:rsidRPr="000B75D5">
          <w:rPr>
            <w:rStyle w:val="Hyperlink"/>
          </w:rPr>
          <w:t xml:space="preserve"> </w:t>
        </w:r>
        <w:r w:rsidR="00B624B9">
          <w:rPr>
            <w:rStyle w:val="Hyperlink"/>
          </w:rPr>
          <w:t>(</w:t>
        </w:r>
        <w:r w:rsidR="00B624B9" w:rsidRPr="000B75D5">
          <w:rPr>
            <w:rStyle w:val="Hyperlink"/>
          </w:rPr>
          <w:t>MedSafe</w:t>
        </w:r>
      </w:hyperlink>
      <w:r w:rsidR="00B624B9">
        <w:t>)</w:t>
      </w:r>
      <w:r w:rsidR="00B624B9">
        <w:rPr>
          <w:rStyle w:val="FootnoteReference"/>
        </w:rPr>
        <w:footnoteReference w:id="25"/>
      </w:r>
      <w:r w:rsidR="00B624B9">
        <w:t xml:space="preserve"> </w:t>
      </w:r>
      <w:r w:rsidRPr="002F4F94">
        <w:t>classification</w:t>
      </w:r>
      <w:r>
        <w:t xml:space="preserve"> database.</w:t>
      </w:r>
    </w:p>
    <w:p w14:paraId="73C311DC" w14:textId="77777777" w:rsidR="00312013" w:rsidRDefault="00312013" w:rsidP="00312013">
      <w:pPr>
        <w:pStyle w:val="Heading3"/>
      </w:pPr>
      <w:bookmarkStart w:id="57" w:name="_Toc69303264"/>
      <w:bookmarkStart w:id="58" w:name="_Toc69305094"/>
      <w:r>
        <w:t>Methanol</w:t>
      </w:r>
      <w:bookmarkEnd w:id="57"/>
      <w:bookmarkEnd w:id="58"/>
      <w:r>
        <w:t xml:space="preserve"> </w:t>
      </w:r>
    </w:p>
    <w:p w14:paraId="1D9125F3" w14:textId="77777777" w:rsidR="00312013" w:rsidRDefault="00312013" w:rsidP="00312013">
      <w:pPr>
        <w:pStyle w:val="Heading4"/>
      </w:pPr>
      <w:bookmarkStart w:id="59" w:name="_Toc69303265"/>
      <w:bookmarkStart w:id="60" w:name="_Toc69305095"/>
      <w:r>
        <w:t>Proposal</w:t>
      </w:r>
      <w:bookmarkEnd w:id="59"/>
      <w:bookmarkEnd w:id="60"/>
    </w:p>
    <w:p w14:paraId="6469AD06" w14:textId="51AA73E4" w:rsidR="00312013" w:rsidRPr="000A09AA" w:rsidRDefault="0012715D" w:rsidP="00312013">
      <w:r>
        <w:rPr>
          <w:lang w:eastAsia="en-AU"/>
        </w:rPr>
        <w:t>The applicant proposes a</w:t>
      </w:r>
      <w:r w:rsidR="00312013">
        <w:rPr>
          <w:lang w:eastAsia="en-AU"/>
        </w:rPr>
        <w:t xml:space="preserve"> new schedule entry for methanol in Schedule 10 for hand sanitiser preparations containing more than 2% methanol to mitigate public health risk from accidental or intentional consumption of alcohol-based hand sanitisers.</w:t>
      </w:r>
    </w:p>
    <w:p w14:paraId="451F9F8A" w14:textId="77777777" w:rsidR="00312013" w:rsidRDefault="00312013" w:rsidP="00312013">
      <w:pPr>
        <w:pStyle w:val="Heading4"/>
      </w:pPr>
      <w:bookmarkStart w:id="61" w:name="_Toc69303266"/>
      <w:bookmarkStart w:id="62" w:name="_Toc69305096"/>
      <w:r>
        <w:t>CAS Number:</w:t>
      </w:r>
      <w:bookmarkEnd w:id="61"/>
      <w:bookmarkEnd w:id="62"/>
    </w:p>
    <w:p w14:paraId="69383B3C" w14:textId="77777777" w:rsidR="00312013" w:rsidRDefault="00312013" w:rsidP="00312013">
      <w:r>
        <w:rPr>
          <w:shd w:val="clear" w:color="auto" w:fill="FFFFFF"/>
        </w:rPr>
        <w:t>67-56-1</w:t>
      </w:r>
    </w:p>
    <w:p w14:paraId="2D455F4A" w14:textId="77777777" w:rsidR="00312013" w:rsidRDefault="00312013" w:rsidP="00312013">
      <w:pPr>
        <w:pStyle w:val="Heading4"/>
      </w:pPr>
      <w:bookmarkStart w:id="63" w:name="_Toc69303267"/>
      <w:bookmarkStart w:id="64" w:name="_Toc69305097"/>
      <w:r>
        <w:lastRenderedPageBreak/>
        <w:t>Alternative names</w:t>
      </w:r>
      <w:bookmarkEnd w:id="63"/>
      <w:bookmarkEnd w:id="64"/>
    </w:p>
    <w:p w14:paraId="59656256" w14:textId="77777777" w:rsidR="00312013" w:rsidRPr="00F72C5E" w:rsidRDefault="00312013" w:rsidP="00312013">
      <w:pPr>
        <w:rPr>
          <w:lang w:eastAsia="en-AU"/>
        </w:rPr>
      </w:pPr>
      <w:r w:rsidRPr="00F72C5E">
        <w:rPr>
          <w:lang w:eastAsia="en-AU"/>
        </w:rPr>
        <w:t>Methyl alcohol</w:t>
      </w:r>
      <w:r>
        <w:rPr>
          <w:lang w:eastAsia="en-AU"/>
        </w:rPr>
        <w:t>,</w:t>
      </w:r>
      <w:r w:rsidRPr="00F72C5E">
        <w:rPr>
          <w:lang w:eastAsia="en-AU"/>
        </w:rPr>
        <w:t xml:space="preserve"> </w:t>
      </w:r>
      <w:r>
        <w:rPr>
          <w:lang w:eastAsia="en-AU"/>
        </w:rPr>
        <w:t>carbine,</w:t>
      </w:r>
      <w:r w:rsidRPr="00F72C5E">
        <w:rPr>
          <w:lang w:eastAsia="en-AU"/>
        </w:rPr>
        <w:t xml:space="preserve"> wood spirit</w:t>
      </w:r>
      <w:r>
        <w:rPr>
          <w:lang w:eastAsia="en-AU"/>
        </w:rPr>
        <w:t>,</w:t>
      </w:r>
      <w:r w:rsidRPr="00F72C5E">
        <w:rPr>
          <w:lang w:eastAsia="en-AU"/>
        </w:rPr>
        <w:t xml:space="preserve"> wood alcohol</w:t>
      </w:r>
      <w:r>
        <w:rPr>
          <w:lang w:eastAsia="en-AU"/>
        </w:rPr>
        <w:t>.</w:t>
      </w:r>
    </w:p>
    <w:p w14:paraId="217A6FE2" w14:textId="77777777" w:rsidR="00312013" w:rsidRDefault="00312013" w:rsidP="00312013">
      <w:pPr>
        <w:pStyle w:val="Heading4"/>
      </w:pPr>
      <w:bookmarkStart w:id="65" w:name="_Toc69303268"/>
      <w:bookmarkStart w:id="66" w:name="_Toc69305098"/>
      <w:r>
        <w:t>Applicant</w:t>
      </w:r>
      <w:bookmarkEnd w:id="65"/>
      <w:bookmarkEnd w:id="66"/>
    </w:p>
    <w:p w14:paraId="7123077E" w14:textId="77777777" w:rsidR="00312013" w:rsidRDefault="00312013" w:rsidP="00312013">
      <w:r>
        <w:t>Private applicant.</w:t>
      </w:r>
    </w:p>
    <w:p w14:paraId="67E3572B" w14:textId="77777777" w:rsidR="00312013" w:rsidRDefault="00312013" w:rsidP="00312013">
      <w:pPr>
        <w:pStyle w:val="Heading4"/>
      </w:pPr>
      <w:bookmarkStart w:id="67" w:name="_Toc69303269"/>
      <w:bookmarkStart w:id="68" w:name="_Toc69305099"/>
      <w:r>
        <w:t>Current scheduling</w:t>
      </w:r>
      <w:bookmarkEnd w:id="67"/>
      <w:bookmarkEnd w:id="68"/>
    </w:p>
    <w:p w14:paraId="17940A21" w14:textId="77777777" w:rsidR="00312013" w:rsidRDefault="00312013" w:rsidP="00312013">
      <w:r>
        <w:t xml:space="preserve">Methanol </w:t>
      </w:r>
      <w:r w:rsidRPr="007E1661">
        <w:t>is currently in Schedules 5 and 6</w:t>
      </w:r>
      <w:r>
        <w:t xml:space="preserve">, </w:t>
      </w:r>
      <w:r w:rsidRPr="007E1661">
        <w:t>and Appendix E and F of the Poisons Standard as follows:</w:t>
      </w:r>
    </w:p>
    <w:p w14:paraId="5510817A" w14:textId="77777777" w:rsidR="00312013" w:rsidRPr="00C22A4F" w:rsidRDefault="00312013" w:rsidP="00312013">
      <w:pPr>
        <w:shd w:val="clear" w:color="auto" w:fill="FFFFFF"/>
        <w:spacing w:before="240" w:after="240"/>
        <w:ind w:firstLine="426"/>
        <w:rPr>
          <w:rFonts w:ascii="Times New Roman" w:eastAsia="Times New Roman" w:hAnsi="Times New Roman"/>
          <w:b/>
          <w:color w:val="000000"/>
          <w:szCs w:val="22"/>
          <w:lang w:eastAsia="en-AU"/>
        </w:rPr>
      </w:pPr>
      <w:r w:rsidRPr="00C22A4F">
        <w:rPr>
          <w:rFonts w:ascii="Times New Roman" w:eastAsia="Times New Roman" w:hAnsi="Times New Roman"/>
          <w:b/>
          <w:color w:val="000000"/>
          <w:szCs w:val="22"/>
          <w:lang w:eastAsia="en-AU"/>
        </w:rPr>
        <w:t>Schedule 6</w:t>
      </w:r>
    </w:p>
    <w:p w14:paraId="75440C6B" w14:textId="77777777" w:rsidR="00312013" w:rsidRPr="008F5BF3" w:rsidRDefault="00312013" w:rsidP="00312013">
      <w:pPr>
        <w:ind w:left="426"/>
        <w:rPr>
          <w:lang w:eastAsia="en-AU"/>
        </w:rPr>
      </w:pPr>
      <w:r w:rsidRPr="008F5BF3">
        <w:rPr>
          <w:lang w:eastAsia="en-AU"/>
        </w:rPr>
        <w:t>METHANOL (excluding its derivatives)</w:t>
      </w:r>
      <w:r>
        <w:rPr>
          <w:lang w:eastAsia="en-AU"/>
        </w:rPr>
        <w:t xml:space="preserve"> </w:t>
      </w:r>
      <w:r w:rsidRPr="008F5BF3">
        <w:rPr>
          <w:b/>
          <w:bCs/>
          <w:lang w:eastAsia="en-AU"/>
        </w:rPr>
        <w:t>except</w:t>
      </w:r>
      <w:r w:rsidRPr="008F5BF3">
        <w:rPr>
          <w:lang w:eastAsia="en-AU"/>
        </w:rPr>
        <w:t>:</w:t>
      </w:r>
    </w:p>
    <w:p w14:paraId="4E9D62AD" w14:textId="77777777" w:rsidR="00312013" w:rsidRPr="008F5BF3" w:rsidRDefault="00312013" w:rsidP="00312013">
      <w:pPr>
        <w:ind w:left="426"/>
        <w:rPr>
          <w:lang w:eastAsia="en-AU"/>
        </w:rPr>
      </w:pPr>
      <w:r w:rsidRPr="008F5BF3">
        <w:rPr>
          <w:lang w:eastAsia="en-AU"/>
        </w:rPr>
        <w:t>a)</w:t>
      </w:r>
      <w:r w:rsidRPr="008F5BF3">
        <w:rPr>
          <w:sz w:val="14"/>
          <w:szCs w:val="14"/>
          <w:lang w:eastAsia="en-AU"/>
        </w:rPr>
        <w:t>      </w:t>
      </w:r>
      <w:r w:rsidRPr="008F5BF3">
        <w:rPr>
          <w:lang w:eastAsia="en-AU"/>
        </w:rPr>
        <w:t>when included in Schedule 5; or</w:t>
      </w:r>
    </w:p>
    <w:p w14:paraId="06DF5FCB" w14:textId="77777777" w:rsidR="00312013" w:rsidRDefault="00312013" w:rsidP="00312013">
      <w:pPr>
        <w:ind w:left="426"/>
        <w:rPr>
          <w:lang w:eastAsia="en-AU"/>
        </w:rPr>
      </w:pPr>
      <w:r w:rsidRPr="008F5BF3">
        <w:rPr>
          <w:lang w:eastAsia="en-AU"/>
        </w:rPr>
        <w:t xml:space="preserve">b)    in preparations containing </w:t>
      </w:r>
      <w:r>
        <w:rPr>
          <w:lang w:eastAsia="en-AU"/>
        </w:rPr>
        <w:t>2 per cent or less of methanol.</w:t>
      </w:r>
    </w:p>
    <w:p w14:paraId="426A9329" w14:textId="77777777" w:rsidR="00312013" w:rsidRDefault="00312013" w:rsidP="00312013">
      <w:pPr>
        <w:ind w:left="426"/>
        <w:rPr>
          <w:b/>
        </w:rPr>
      </w:pPr>
      <w:r>
        <w:rPr>
          <w:b/>
        </w:rPr>
        <w:t>Schedule 5</w:t>
      </w:r>
    </w:p>
    <w:p w14:paraId="0D9C7060" w14:textId="77777777" w:rsidR="00312013" w:rsidRDefault="00312013" w:rsidP="00312013">
      <w:pPr>
        <w:shd w:val="clear" w:color="auto" w:fill="FFFFFF"/>
        <w:spacing w:before="0" w:after="120" w:line="240" w:lineRule="auto"/>
        <w:ind w:left="426"/>
        <w:rPr>
          <w:b/>
        </w:rPr>
      </w:pPr>
      <w:r>
        <w:rPr>
          <w:color w:val="000000"/>
          <w:szCs w:val="22"/>
          <w:shd w:val="clear" w:color="auto" w:fill="FFFFFF"/>
        </w:rPr>
        <w:t xml:space="preserve">METHANOL (excluding its derivatives) in preparations containing 10 per cent or less of methanol </w:t>
      </w:r>
      <w:r>
        <w:rPr>
          <w:b/>
          <w:bCs/>
          <w:color w:val="000000"/>
          <w:szCs w:val="22"/>
          <w:shd w:val="clear" w:color="auto" w:fill="FFFFFF"/>
        </w:rPr>
        <w:t>except</w:t>
      </w:r>
      <w:r>
        <w:rPr>
          <w:color w:val="000000"/>
          <w:szCs w:val="22"/>
          <w:shd w:val="clear" w:color="auto" w:fill="FFFFFF"/>
        </w:rPr>
        <w:t xml:space="preserve"> in preparations containing 2 per cent or less of methanol.</w:t>
      </w:r>
    </w:p>
    <w:p w14:paraId="458FDC9B" w14:textId="77777777" w:rsidR="00312013" w:rsidRPr="00C22A4F" w:rsidRDefault="00312013" w:rsidP="00312013">
      <w:pPr>
        <w:shd w:val="clear" w:color="auto" w:fill="FFFFFF"/>
        <w:spacing w:before="0" w:after="120" w:line="240" w:lineRule="auto"/>
        <w:ind w:left="810" w:hanging="360"/>
        <w:rPr>
          <w:rFonts w:ascii="Times New Roman" w:eastAsia="Times New Roman" w:hAnsi="Times New Roman"/>
          <w:color w:val="000000"/>
          <w:szCs w:val="22"/>
          <w:lang w:eastAsia="en-AU"/>
        </w:rPr>
      </w:pPr>
      <w:r w:rsidRPr="00544D11">
        <w:rPr>
          <w:b/>
        </w:rPr>
        <w:t>Index</w:t>
      </w:r>
    </w:p>
    <w:p w14:paraId="3B0EF5F5" w14:textId="77777777" w:rsidR="00312013" w:rsidRPr="00544D11" w:rsidRDefault="00312013" w:rsidP="00312013">
      <w:pPr>
        <w:ind w:firstLine="426"/>
        <w:rPr>
          <w:lang w:eastAsia="en-AU"/>
        </w:rPr>
      </w:pPr>
      <w:r w:rsidRPr="00544D11">
        <w:rPr>
          <w:lang w:eastAsia="en-AU"/>
        </w:rPr>
        <w:t>METHANOL</w:t>
      </w:r>
    </w:p>
    <w:p w14:paraId="47FE9511" w14:textId="77777777" w:rsidR="00312013" w:rsidRDefault="00312013" w:rsidP="00312013">
      <w:pPr>
        <w:spacing w:before="0" w:after="0" w:line="240" w:lineRule="auto"/>
        <w:ind w:left="435"/>
        <w:rPr>
          <w:rFonts w:asciiTheme="minorHAnsi" w:hAnsiTheme="minorHAnsi" w:cstheme="minorHAnsi"/>
        </w:rPr>
      </w:pPr>
      <w:r w:rsidRPr="002B7851">
        <w:rPr>
          <w:rFonts w:asciiTheme="minorHAnsi" w:hAnsiTheme="minorHAnsi" w:cstheme="minorHAnsi"/>
        </w:rPr>
        <w:t>Schedule 6</w:t>
      </w:r>
    </w:p>
    <w:p w14:paraId="0CA97795" w14:textId="77777777" w:rsidR="00312013" w:rsidRPr="00C22A4F" w:rsidRDefault="00312013" w:rsidP="00312013">
      <w:pPr>
        <w:spacing w:before="0" w:after="0" w:line="240" w:lineRule="auto"/>
        <w:ind w:left="435"/>
        <w:rPr>
          <w:rFonts w:asciiTheme="minorHAnsi" w:hAnsiTheme="minorHAnsi" w:cstheme="minorHAnsi"/>
        </w:rPr>
      </w:pPr>
      <w:r w:rsidRPr="002B7851">
        <w:rPr>
          <w:rFonts w:asciiTheme="minorHAnsi" w:hAnsiTheme="minorHAnsi" w:cstheme="minorHAnsi"/>
        </w:rPr>
        <w:t>Schedule 5</w:t>
      </w:r>
      <w:r w:rsidRPr="002B7851">
        <w:rPr>
          <w:rFonts w:asciiTheme="minorHAnsi" w:hAnsiTheme="minorHAnsi" w:cstheme="minorHAnsi"/>
        </w:rPr>
        <w:br/>
        <w:t>Append</w:t>
      </w:r>
      <w:r>
        <w:rPr>
          <w:rFonts w:asciiTheme="minorHAnsi" w:hAnsiTheme="minorHAnsi" w:cstheme="minorHAnsi"/>
        </w:rPr>
        <w:t>ix E, Part 2</w:t>
      </w:r>
      <w:r>
        <w:rPr>
          <w:rFonts w:asciiTheme="minorHAnsi" w:hAnsiTheme="minorHAnsi" w:cstheme="minorHAnsi"/>
        </w:rPr>
        <w:br/>
        <w:t>Appendix F, Part 3</w:t>
      </w:r>
    </w:p>
    <w:p w14:paraId="5C5D50C4" w14:textId="77777777" w:rsidR="00312013" w:rsidRDefault="00312013" w:rsidP="00312013">
      <w:pPr>
        <w:tabs>
          <w:tab w:val="left" w:pos="2992"/>
        </w:tabs>
        <w:ind w:left="426"/>
        <w:rPr>
          <w:b/>
        </w:rPr>
      </w:pPr>
      <w:r>
        <w:rPr>
          <w:b/>
        </w:rPr>
        <w:t>Appendix E,</w:t>
      </w:r>
      <w:r w:rsidRPr="006D5C84">
        <w:rPr>
          <w:b/>
        </w:rPr>
        <w:t xml:space="preserve"> Part </w:t>
      </w:r>
      <w:r>
        <w:rPr>
          <w:b/>
        </w:rPr>
        <w:t xml:space="preserve">2 </w:t>
      </w:r>
    </w:p>
    <w:tbl>
      <w:tblPr>
        <w:tblStyle w:val="TableTGAblue"/>
        <w:tblW w:w="6804" w:type="dxa"/>
        <w:tblInd w:w="416" w:type="dxa"/>
        <w:tblLook w:val="04A0" w:firstRow="1" w:lastRow="0" w:firstColumn="1" w:lastColumn="0" w:noHBand="0" w:noVBand="1"/>
      </w:tblPr>
      <w:tblGrid>
        <w:gridCol w:w="4536"/>
        <w:gridCol w:w="2268"/>
      </w:tblGrid>
      <w:tr w:rsidR="00312013" w:rsidRPr="001E2829" w14:paraId="1920D6F5"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2F04D8B" w14:textId="77777777" w:rsidR="00312013" w:rsidRPr="00702170" w:rsidRDefault="00312013" w:rsidP="0083193E">
            <w:pPr>
              <w:rPr>
                <w:sz w:val="20"/>
                <w:szCs w:val="20"/>
              </w:rPr>
            </w:pPr>
            <w:r w:rsidRPr="00702170">
              <w:rPr>
                <w:sz w:val="20"/>
              </w:rPr>
              <w:t>POISON</w:t>
            </w:r>
          </w:p>
        </w:tc>
        <w:tc>
          <w:tcPr>
            <w:tcW w:w="2268" w:type="dxa"/>
          </w:tcPr>
          <w:p w14:paraId="57DB74E8" w14:textId="77777777" w:rsidR="00312013" w:rsidRPr="00702170" w:rsidRDefault="00312013" w:rsidP="0083193E">
            <w:pPr>
              <w:cnfStyle w:val="100000000000" w:firstRow="1" w:lastRow="0" w:firstColumn="0" w:lastColumn="0" w:oddVBand="0" w:evenVBand="0" w:oddHBand="0" w:evenHBand="0" w:firstRowFirstColumn="0" w:firstRowLastColumn="0" w:lastRowFirstColumn="0" w:lastRowLastColumn="0"/>
              <w:rPr>
                <w:sz w:val="20"/>
                <w:szCs w:val="20"/>
              </w:rPr>
            </w:pPr>
            <w:r>
              <w:rPr>
                <w:sz w:val="20"/>
              </w:rPr>
              <w:t xml:space="preserve">First Aid Instructions </w:t>
            </w:r>
          </w:p>
        </w:tc>
      </w:tr>
      <w:tr w:rsidR="00312013" w:rsidRPr="00465E72" w14:paraId="2C3C3332" w14:textId="77777777" w:rsidTr="0083193E">
        <w:tc>
          <w:tcPr>
            <w:cnfStyle w:val="001000000000" w:firstRow="0" w:lastRow="0" w:firstColumn="1" w:lastColumn="0" w:oddVBand="0" w:evenVBand="0" w:oddHBand="0" w:evenHBand="0" w:firstRowFirstColumn="0" w:firstRowLastColumn="0" w:lastRowFirstColumn="0" w:lastRowLastColumn="0"/>
            <w:tcW w:w="4536" w:type="dxa"/>
          </w:tcPr>
          <w:p w14:paraId="1BE323FD" w14:textId="77777777" w:rsidR="00312013" w:rsidRDefault="00312013" w:rsidP="0083193E">
            <w:pPr>
              <w:rPr>
                <w:sz w:val="20"/>
                <w:szCs w:val="20"/>
              </w:rPr>
            </w:pPr>
            <w:r>
              <w:rPr>
                <w:sz w:val="20"/>
                <w:szCs w:val="20"/>
              </w:rPr>
              <w:t>METHANOL</w:t>
            </w:r>
          </w:p>
          <w:p w14:paraId="73E8501D" w14:textId="77777777" w:rsidR="00312013" w:rsidRPr="00095D56" w:rsidRDefault="00312013" w:rsidP="00312013">
            <w:pPr>
              <w:pStyle w:val="ListBullet"/>
              <w:numPr>
                <w:ilvl w:val="0"/>
                <w:numId w:val="19"/>
              </w:numPr>
              <w:rPr>
                <w:sz w:val="20"/>
                <w:szCs w:val="20"/>
              </w:rPr>
            </w:pPr>
            <w:r w:rsidRPr="00A36949">
              <w:rPr>
                <w:lang w:eastAsia="en-AU"/>
              </w:rPr>
              <w:t>above 10 per cent</w:t>
            </w:r>
          </w:p>
          <w:p w14:paraId="32565302" w14:textId="77777777" w:rsidR="00312013" w:rsidRPr="00465E72" w:rsidRDefault="00312013" w:rsidP="00312013">
            <w:pPr>
              <w:pStyle w:val="ListBullet"/>
              <w:numPr>
                <w:ilvl w:val="0"/>
                <w:numId w:val="19"/>
              </w:numPr>
              <w:rPr>
                <w:sz w:val="20"/>
                <w:szCs w:val="20"/>
              </w:rPr>
            </w:pPr>
            <w:r w:rsidRPr="00A36949">
              <w:rPr>
                <w:lang w:eastAsia="en-AU"/>
              </w:rPr>
              <w:t>10 per cent or less</w:t>
            </w:r>
          </w:p>
        </w:tc>
        <w:tc>
          <w:tcPr>
            <w:tcW w:w="2268" w:type="dxa"/>
          </w:tcPr>
          <w:p w14:paraId="34BB51EA" w14:textId="77777777" w:rsidR="00312013" w:rsidRDefault="00312013" w:rsidP="0083193E">
            <w:pPr>
              <w:cnfStyle w:val="000000000000" w:firstRow="0" w:lastRow="0" w:firstColumn="0" w:lastColumn="0" w:oddVBand="0" w:evenVBand="0" w:oddHBand="0" w:evenHBand="0" w:firstRowFirstColumn="0" w:firstRowLastColumn="0" w:lastRowFirstColumn="0" w:lastRowLastColumn="0"/>
              <w:rPr>
                <w:sz w:val="20"/>
              </w:rPr>
            </w:pPr>
          </w:p>
          <w:p w14:paraId="11423DDA" w14:textId="16722BC9" w:rsidR="00312013" w:rsidRDefault="00312013" w:rsidP="0083193E">
            <w:pPr>
              <w:cnfStyle w:val="000000000000" w:firstRow="0" w:lastRow="0" w:firstColumn="0" w:lastColumn="0" w:oddVBand="0" w:evenVBand="0" w:oddHBand="0" w:evenHBand="0" w:firstRowFirstColumn="0" w:firstRowLastColumn="0" w:lastRowFirstColumn="0" w:lastRowLastColumn="0"/>
              <w:rPr>
                <w:b/>
                <w:sz w:val="20"/>
              </w:rPr>
            </w:pPr>
            <w:r w:rsidRPr="003129CE">
              <w:rPr>
                <w:b/>
                <w:sz w:val="20"/>
              </w:rPr>
              <w:t>A</w:t>
            </w:r>
            <w:r>
              <w:rPr>
                <w:b/>
                <w:sz w:val="20"/>
              </w:rPr>
              <w:t xml:space="preserve">, </w:t>
            </w:r>
            <w:r w:rsidRPr="00C076CE">
              <w:rPr>
                <w:b/>
                <w:sz w:val="20"/>
              </w:rPr>
              <w:t>G</w:t>
            </w:r>
            <w:r w:rsidR="00004E1A">
              <w:rPr>
                <w:b/>
                <w:sz w:val="20"/>
              </w:rPr>
              <w:t>3</w:t>
            </w:r>
            <w:r w:rsidRPr="00C076CE">
              <w:rPr>
                <w:b/>
                <w:sz w:val="20"/>
              </w:rPr>
              <w:t xml:space="preserve"> </w:t>
            </w:r>
          </w:p>
          <w:p w14:paraId="354B7E62" w14:textId="77777777" w:rsidR="00312013" w:rsidRPr="00465E72" w:rsidRDefault="00312013" w:rsidP="0083193E">
            <w:pPr>
              <w:cnfStyle w:val="000000000000" w:firstRow="0" w:lastRow="0" w:firstColumn="0" w:lastColumn="0" w:oddVBand="0" w:evenVBand="0" w:oddHBand="0" w:evenHBand="0" w:firstRowFirstColumn="0" w:firstRowLastColumn="0" w:lastRowFirstColumn="0" w:lastRowLastColumn="0"/>
              <w:rPr>
                <w:sz w:val="20"/>
              </w:rPr>
            </w:pPr>
            <w:r w:rsidRPr="003129CE">
              <w:rPr>
                <w:b/>
                <w:sz w:val="20"/>
              </w:rPr>
              <w:t>A</w:t>
            </w:r>
          </w:p>
        </w:tc>
      </w:tr>
      <w:tr w:rsidR="00312013" w:rsidRPr="00465E72" w14:paraId="3C2BF45D" w14:textId="77777777" w:rsidTr="0083193E">
        <w:tc>
          <w:tcPr>
            <w:cnfStyle w:val="001000000000" w:firstRow="0" w:lastRow="0" w:firstColumn="1" w:lastColumn="0" w:oddVBand="0" w:evenVBand="0" w:oddHBand="0" w:evenHBand="0" w:firstRowFirstColumn="0" w:firstRowLastColumn="0" w:lastRowFirstColumn="0" w:lastRowLastColumn="0"/>
            <w:tcW w:w="6804" w:type="dxa"/>
            <w:gridSpan w:val="2"/>
          </w:tcPr>
          <w:p w14:paraId="1C84C47B" w14:textId="77777777" w:rsidR="00312013" w:rsidRDefault="00312013" w:rsidP="0083193E">
            <w:pPr>
              <w:rPr>
                <w:sz w:val="20"/>
              </w:rPr>
            </w:pPr>
            <w:r w:rsidRPr="003129CE">
              <w:rPr>
                <w:b/>
                <w:sz w:val="20"/>
              </w:rPr>
              <w:t>A</w:t>
            </w:r>
            <w:r>
              <w:rPr>
                <w:sz w:val="20"/>
              </w:rPr>
              <w:t xml:space="preserve"> – </w:t>
            </w:r>
            <w:r w:rsidRPr="00465E72">
              <w:rPr>
                <w:sz w:val="20"/>
              </w:rPr>
              <w:t>For advice, contact a Poisons Information Centre (e.g. phone Australia 13 11 26; New Zealand 0800 764 766) or a doctor (at once)</w:t>
            </w:r>
            <w:r>
              <w:rPr>
                <w:sz w:val="20"/>
              </w:rPr>
              <w:t>.</w:t>
            </w:r>
          </w:p>
          <w:p w14:paraId="2C7268D1" w14:textId="21D9C3C2" w:rsidR="00312013" w:rsidRDefault="00312013" w:rsidP="0083193E">
            <w:pPr>
              <w:rPr>
                <w:sz w:val="20"/>
              </w:rPr>
            </w:pPr>
            <w:r w:rsidRPr="004B28E6">
              <w:rPr>
                <w:b/>
                <w:sz w:val="20"/>
              </w:rPr>
              <w:t>G</w:t>
            </w:r>
            <w:r w:rsidR="00004E1A">
              <w:rPr>
                <w:b/>
                <w:sz w:val="20"/>
              </w:rPr>
              <w:t>3</w:t>
            </w:r>
            <w:r w:rsidRPr="004B28E6">
              <w:rPr>
                <w:b/>
                <w:sz w:val="20"/>
              </w:rPr>
              <w:t xml:space="preserve"> -</w:t>
            </w:r>
            <w:r>
              <w:rPr>
                <w:sz w:val="20"/>
              </w:rPr>
              <w:t xml:space="preserve"> </w:t>
            </w:r>
            <w:r w:rsidRPr="00465E72">
              <w:rPr>
                <w:sz w:val="20"/>
              </w:rPr>
              <w:t>If swallowed, do NOT induce vomiting</w:t>
            </w:r>
            <w:r>
              <w:rPr>
                <w:sz w:val="20"/>
              </w:rPr>
              <w:t xml:space="preserve">. </w:t>
            </w:r>
          </w:p>
        </w:tc>
      </w:tr>
    </w:tbl>
    <w:p w14:paraId="7D4A76D6" w14:textId="77777777" w:rsidR="00312013" w:rsidRDefault="00312013" w:rsidP="007317DC">
      <w:pPr>
        <w:keepNext/>
        <w:ind w:left="425"/>
        <w:rPr>
          <w:b/>
        </w:rPr>
      </w:pPr>
      <w:r>
        <w:rPr>
          <w:b/>
        </w:rPr>
        <w:lastRenderedPageBreak/>
        <w:t>Appendix F,</w:t>
      </w:r>
      <w:r w:rsidRPr="006D5C84">
        <w:rPr>
          <w:b/>
        </w:rPr>
        <w:t xml:space="preserve"> Part </w:t>
      </w:r>
      <w:r>
        <w:rPr>
          <w:b/>
        </w:rPr>
        <w:t>3</w:t>
      </w:r>
    </w:p>
    <w:tbl>
      <w:tblPr>
        <w:tblStyle w:val="TableTGAblue"/>
        <w:tblW w:w="8601" w:type="dxa"/>
        <w:tblInd w:w="416" w:type="dxa"/>
        <w:tblLook w:val="04A0" w:firstRow="1" w:lastRow="0" w:firstColumn="1" w:lastColumn="0" w:noHBand="0" w:noVBand="1"/>
      </w:tblPr>
      <w:tblGrid>
        <w:gridCol w:w="2409"/>
        <w:gridCol w:w="2127"/>
        <w:gridCol w:w="4065"/>
      </w:tblGrid>
      <w:tr w:rsidR="00312013" w:rsidRPr="001E2829" w14:paraId="7DC11299"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2CBDF4E4" w14:textId="77777777" w:rsidR="00312013" w:rsidRPr="00702170" w:rsidRDefault="00312013" w:rsidP="0083193E">
            <w:pPr>
              <w:rPr>
                <w:sz w:val="20"/>
                <w:szCs w:val="20"/>
              </w:rPr>
            </w:pPr>
            <w:r w:rsidRPr="00702170">
              <w:rPr>
                <w:sz w:val="20"/>
              </w:rPr>
              <w:t>P</w:t>
            </w:r>
            <w:r>
              <w:rPr>
                <w:sz w:val="20"/>
              </w:rPr>
              <w:t>oison</w:t>
            </w:r>
          </w:p>
        </w:tc>
        <w:tc>
          <w:tcPr>
            <w:tcW w:w="2127" w:type="dxa"/>
          </w:tcPr>
          <w:p w14:paraId="0E68A021" w14:textId="77777777" w:rsidR="00312013" w:rsidRPr="00702170" w:rsidRDefault="00312013" w:rsidP="0083193E">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Warning Statements</w:t>
            </w:r>
          </w:p>
        </w:tc>
        <w:tc>
          <w:tcPr>
            <w:tcW w:w="4065" w:type="dxa"/>
          </w:tcPr>
          <w:p w14:paraId="5ED3C889" w14:textId="77777777" w:rsidR="00312013" w:rsidRPr="00702170" w:rsidRDefault="00312013" w:rsidP="0083193E">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Safety Directions</w:t>
            </w:r>
          </w:p>
        </w:tc>
      </w:tr>
      <w:tr w:rsidR="00312013" w:rsidRPr="001E2829" w14:paraId="366ADBCE" w14:textId="77777777" w:rsidTr="0083193E">
        <w:tc>
          <w:tcPr>
            <w:cnfStyle w:val="001000000000" w:firstRow="0" w:lastRow="0" w:firstColumn="1" w:lastColumn="0" w:oddVBand="0" w:evenVBand="0" w:oddHBand="0" w:evenHBand="0" w:firstRowFirstColumn="0" w:firstRowLastColumn="0" w:lastRowFirstColumn="0" w:lastRowLastColumn="0"/>
            <w:tcW w:w="2409" w:type="dxa"/>
          </w:tcPr>
          <w:p w14:paraId="4A1633D9" w14:textId="77777777" w:rsidR="00312013" w:rsidRPr="00ED363D" w:rsidRDefault="00312013" w:rsidP="0083193E">
            <w:pPr>
              <w:rPr>
                <w:szCs w:val="22"/>
              </w:rPr>
            </w:pPr>
            <w:r w:rsidRPr="00ED363D">
              <w:rPr>
                <w:szCs w:val="22"/>
              </w:rPr>
              <w:t xml:space="preserve">METHANOL </w:t>
            </w:r>
            <w:r w:rsidRPr="00ED363D">
              <w:rPr>
                <w:b/>
                <w:szCs w:val="22"/>
              </w:rPr>
              <w:t>except</w:t>
            </w:r>
            <w:r w:rsidRPr="00ED363D">
              <w:rPr>
                <w:szCs w:val="22"/>
              </w:rPr>
              <w:t xml:space="preserve"> in methylated spirit</w:t>
            </w:r>
          </w:p>
        </w:tc>
        <w:tc>
          <w:tcPr>
            <w:tcW w:w="2127" w:type="dxa"/>
          </w:tcPr>
          <w:p w14:paraId="50CFD75C" w14:textId="77777777" w:rsidR="00312013" w:rsidRPr="00702170" w:rsidRDefault="00312013" w:rsidP="0083193E">
            <w:pPr>
              <w:cnfStyle w:val="000000000000" w:firstRow="0" w:lastRow="0" w:firstColumn="0" w:lastColumn="0" w:oddVBand="0" w:evenVBand="0" w:oddHBand="0" w:evenHBand="0" w:firstRowFirstColumn="0" w:firstRowLastColumn="0" w:lastRowFirstColumn="0" w:lastRowLastColumn="0"/>
              <w:rPr>
                <w:sz w:val="20"/>
              </w:rPr>
            </w:pPr>
          </w:p>
        </w:tc>
        <w:tc>
          <w:tcPr>
            <w:tcW w:w="4065" w:type="dxa"/>
          </w:tcPr>
          <w:p w14:paraId="5085C1DB" w14:textId="77777777" w:rsidR="00312013" w:rsidRDefault="00312013" w:rsidP="0083193E">
            <w:pPr>
              <w:cnfStyle w:val="000000000000" w:firstRow="0" w:lastRow="0" w:firstColumn="0" w:lastColumn="0" w:oddVBand="0" w:evenVBand="0" w:oddHBand="0" w:evenHBand="0" w:firstRowFirstColumn="0" w:firstRowLastColumn="0" w:lastRowFirstColumn="0" w:lastRowLastColumn="0"/>
              <w:rPr>
                <w:sz w:val="20"/>
              </w:rPr>
            </w:pPr>
            <w:r w:rsidRPr="00C1405E">
              <w:rPr>
                <w:b/>
                <w:sz w:val="20"/>
              </w:rPr>
              <w:t>1</w:t>
            </w:r>
            <w:r>
              <w:rPr>
                <w:sz w:val="20"/>
              </w:rPr>
              <w:t xml:space="preserve"> (</w:t>
            </w:r>
            <w:r>
              <w:t xml:space="preserve">Avoid contact with eyes), </w:t>
            </w:r>
            <w:r w:rsidRPr="00C1405E">
              <w:rPr>
                <w:b/>
              </w:rPr>
              <w:t>4</w:t>
            </w:r>
            <w:r>
              <w:t xml:space="preserve"> (</w:t>
            </w:r>
            <w:r>
              <w:rPr>
                <w:szCs w:val="22"/>
                <w:shd w:val="clear" w:color="auto" w:fill="FFFFFF"/>
              </w:rPr>
              <w:t xml:space="preserve">Avoid contact with skin), </w:t>
            </w:r>
            <w:r w:rsidRPr="00C1405E">
              <w:rPr>
                <w:b/>
                <w:szCs w:val="22"/>
                <w:shd w:val="clear" w:color="auto" w:fill="FFFFFF"/>
              </w:rPr>
              <w:t>8</w:t>
            </w:r>
            <w:r>
              <w:rPr>
                <w:szCs w:val="22"/>
                <w:shd w:val="clear" w:color="auto" w:fill="FFFFFF"/>
              </w:rPr>
              <w:t xml:space="preserve"> (Avoid breathing dust (or) vapour (or) spray mist)</w:t>
            </w:r>
          </w:p>
        </w:tc>
      </w:tr>
    </w:tbl>
    <w:p w14:paraId="3C7F413B" w14:textId="77777777" w:rsidR="00312013" w:rsidRDefault="00312013" w:rsidP="00312013">
      <w:pPr>
        <w:pStyle w:val="Heading4"/>
      </w:pPr>
      <w:bookmarkStart w:id="69" w:name="_Toc69303270"/>
      <w:bookmarkStart w:id="70" w:name="_Toc69305100"/>
      <w:r>
        <w:t>Proposed scheduling</w:t>
      </w:r>
      <w:bookmarkEnd w:id="69"/>
      <w:bookmarkEnd w:id="70"/>
    </w:p>
    <w:p w14:paraId="78F654A3" w14:textId="77777777" w:rsidR="00312013" w:rsidRDefault="00312013" w:rsidP="00312013">
      <w:pPr>
        <w:ind w:left="426"/>
        <w:rPr>
          <w:b/>
          <w:lang w:eastAsia="en-AU"/>
        </w:rPr>
      </w:pPr>
      <w:r w:rsidRPr="00BB01FB">
        <w:rPr>
          <w:b/>
          <w:lang w:eastAsia="en-AU"/>
        </w:rPr>
        <w:t xml:space="preserve">Schedule 10 </w:t>
      </w:r>
      <w:r>
        <w:rPr>
          <w:b/>
          <w:lang w:eastAsia="en-AU"/>
        </w:rPr>
        <w:t xml:space="preserve">- </w:t>
      </w:r>
      <w:r w:rsidRPr="00BB01FB">
        <w:rPr>
          <w:b/>
          <w:lang w:eastAsia="en-AU"/>
        </w:rPr>
        <w:t>New Entry</w:t>
      </w:r>
    </w:p>
    <w:p w14:paraId="1D19FA1C" w14:textId="3C616B09" w:rsidR="00312013" w:rsidRPr="004E3101" w:rsidRDefault="00312013" w:rsidP="00312013">
      <w:pPr>
        <w:ind w:left="426"/>
        <w:rPr>
          <w:color w:val="00B050"/>
          <w:lang w:eastAsia="en-AU"/>
        </w:rPr>
      </w:pPr>
      <w:r w:rsidRPr="004E3101">
        <w:rPr>
          <w:color w:val="00B050"/>
          <w:lang w:eastAsia="en-AU"/>
        </w:rPr>
        <w:t>METHANOL in hand sanitiser preparations containing more than 2% methanol.</w:t>
      </w:r>
    </w:p>
    <w:p w14:paraId="07E608DB" w14:textId="77777777" w:rsidR="00352DD2" w:rsidRDefault="00352DD2" w:rsidP="00352DD2">
      <w:pPr>
        <w:pStyle w:val="Heading4"/>
      </w:pPr>
      <w:r>
        <w:t xml:space="preserve">Proposed addition to Part 1 (Interpretation) of the Poisons Standard </w:t>
      </w:r>
    </w:p>
    <w:p w14:paraId="1EEE74D4" w14:textId="77777777" w:rsidR="00352DD2" w:rsidRDefault="00352DD2" w:rsidP="00352DD2">
      <w:pPr>
        <w:autoSpaceDE w:val="0"/>
        <w:autoSpaceDN w:val="0"/>
        <w:adjustRightInd w:val="0"/>
        <w:spacing w:before="0" w:after="0" w:line="240" w:lineRule="auto"/>
        <w:rPr>
          <w:rFonts w:asciiTheme="minorHAnsi" w:hAnsiTheme="minorHAnsi" w:cs="CIDFont+F1"/>
          <w:sz w:val="24"/>
          <w:szCs w:val="24"/>
          <w:lang w:eastAsia="en-AU"/>
        </w:rPr>
      </w:pPr>
      <w:r>
        <w:rPr>
          <w:rFonts w:asciiTheme="minorHAnsi" w:hAnsiTheme="minorHAnsi" w:cs="CIDFont+F1"/>
          <w:sz w:val="24"/>
          <w:szCs w:val="24"/>
          <w:lang w:eastAsia="en-AU"/>
        </w:rPr>
        <w:t xml:space="preserve">The proposed wording for Part1 is based in the definition of hand sanitiser in the </w:t>
      </w:r>
      <w:hyperlink r:id="rId50" w:history="1">
        <w:r w:rsidRPr="003D6A13">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26"/>
      </w:r>
    </w:p>
    <w:p w14:paraId="3D04B67E" w14:textId="77777777" w:rsidR="00352DD2" w:rsidRDefault="00352DD2" w:rsidP="00352DD2">
      <w:pPr>
        <w:autoSpaceDE w:val="0"/>
        <w:autoSpaceDN w:val="0"/>
        <w:adjustRightInd w:val="0"/>
        <w:spacing w:before="0" w:after="0" w:line="240" w:lineRule="auto"/>
        <w:rPr>
          <w:rFonts w:asciiTheme="minorHAnsi" w:hAnsiTheme="minorHAnsi" w:cs="CIDFont+F1"/>
          <w:sz w:val="24"/>
          <w:szCs w:val="24"/>
          <w:lang w:eastAsia="en-AU"/>
        </w:rPr>
      </w:pPr>
    </w:p>
    <w:p w14:paraId="78D9D291" w14:textId="50AC5322" w:rsidR="00352DD2" w:rsidRPr="004E3101" w:rsidRDefault="00352DD2" w:rsidP="00352DD2">
      <w:pPr>
        <w:autoSpaceDE w:val="0"/>
        <w:autoSpaceDN w:val="0"/>
        <w:adjustRightInd w:val="0"/>
        <w:spacing w:before="0" w:after="0" w:line="240" w:lineRule="auto"/>
        <w:rPr>
          <w:rFonts w:asciiTheme="minorHAnsi" w:hAnsiTheme="minorHAnsi" w:cs="CIDFont+F1"/>
          <w:color w:val="00B050"/>
          <w:sz w:val="24"/>
          <w:szCs w:val="24"/>
          <w:lang w:eastAsia="en-AU"/>
        </w:rPr>
      </w:pPr>
      <w:r w:rsidRPr="004E3101">
        <w:rPr>
          <w:rFonts w:asciiTheme="minorHAnsi" w:hAnsiTheme="minorHAnsi" w:cs="CIDFont+F1"/>
          <w:color w:val="00B050"/>
          <w:sz w:val="24"/>
          <w:szCs w:val="24"/>
          <w:lang w:eastAsia="en-AU"/>
        </w:rPr>
        <w:t>“</w:t>
      </w:r>
      <w:r w:rsidRPr="004E3101">
        <w:rPr>
          <w:rFonts w:asciiTheme="minorHAnsi" w:hAnsiTheme="minorHAnsi" w:cs="CIDFont+F1"/>
          <w:b/>
          <w:color w:val="00B050"/>
          <w:sz w:val="24"/>
          <w:szCs w:val="24"/>
          <w:lang w:eastAsia="en-AU"/>
        </w:rPr>
        <w:t>Hand sanitiser preparation</w:t>
      </w:r>
      <w:r w:rsidRPr="004E3101">
        <w:rPr>
          <w:rFonts w:asciiTheme="minorHAnsi" w:hAnsiTheme="minorHAnsi" w:cs="CIDFont+F1"/>
          <w:color w:val="00B050"/>
          <w:sz w:val="24"/>
          <w:szCs w:val="24"/>
          <w:lang w:eastAsia="en-AU"/>
        </w:rPr>
        <w:t>” means an antimicrobial skin care product:</w:t>
      </w:r>
    </w:p>
    <w:p w14:paraId="576FF9DD" w14:textId="77777777" w:rsidR="00352DD2" w:rsidRPr="004E3101" w:rsidRDefault="00352DD2" w:rsidP="00352DD2">
      <w:pPr>
        <w:pStyle w:val="ListBulleta"/>
        <w:rPr>
          <w:color w:val="00B050"/>
          <w:lang w:eastAsia="en-AU"/>
        </w:rPr>
      </w:pPr>
      <w:r w:rsidRPr="004E3101">
        <w:rPr>
          <w:color w:val="00B050"/>
          <w:lang w:eastAsia="en-AU"/>
        </w:rPr>
        <w:t>that consists of, contains or generates one or more antimicrobial active substances; and</w:t>
      </w:r>
    </w:p>
    <w:p w14:paraId="7DD1706B" w14:textId="77777777" w:rsidR="00352DD2" w:rsidRPr="004E3101" w:rsidRDefault="00352DD2" w:rsidP="00352DD2">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66D2B09B" w14:textId="77777777" w:rsidR="00352DD2" w:rsidRPr="004E3101" w:rsidRDefault="00352DD2" w:rsidP="00352DD2">
      <w:pPr>
        <w:pStyle w:val="ListBulleti"/>
        <w:rPr>
          <w:color w:val="00B050"/>
          <w:lang w:eastAsia="en-AU"/>
        </w:rPr>
      </w:pPr>
      <w:r w:rsidRPr="004E3101">
        <w:rPr>
          <w:color w:val="00B050"/>
          <w:lang w:eastAsia="en-AU"/>
        </w:rPr>
        <w:t>for use on hands when soap and water are not available; and</w:t>
      </w:r>
    </w:p>
    <w:p w14:paraId="3BCE0E57" w14:textId="77777777" w:rsidR="00352DD2" w:rsidRPr="004E3101" w:rsidRDefault="00352DD2" w:rsidP="00352DD2">
      <w:pPr>
        <w:pStyle w:val="ListBulleti"/>
        <w:rPr>
          <w:color w:val="00B050"/>
          <w:lang w:eastAsia="en-AU"/>
        </w:rPr>
      </w:pPr>
      <w:r w:rsidRPr="004E3101">
        <w:rPr>
          <w:color w:val="00B050"/>
          <w:lang w:eastAsia="en-AU"/>
        </w:rPr>
        <w:t>applied to the hands without rinsing off; and</w:t>
      </w:r>
    </w:p>
    <w:p w14:paraId="6B08E5E3" w14:textId="77777777" w:rsidR="00352DD2" w:rsidRPr="004E3101" w:rsidRDefault="00352DD2" w:rsidP="00352DD2">
      <w:pPr>
        <w:pStyle w:val="ListBulleti"/>
        <w:rPr>
          <w:color w:val="00B050"/>
        </w:rPr>
      </w:pPr>
      <w:r w:rsidRPr="004E3101">
        <w:rPr>
          <w:color w:val="00B050"/>
          <w:lang w:eastAsia="en-AU"/>
        </w:rPr>
        <w:t>intended to destroy, deter, render harmless, prevent the action of, or otherwise exert a controlling effect on any microbes on the skin.</w:t>
      </w:r>
    </w:p>
    <w:p w14:paraId="089CD89F" w14:textId="77777777" w:rsidR="00312013" w:rsidRDefault="00312013" w:rsidP="00312013">
      <w:pPr>
        <w:pStyle w:val="Heading4"/>
      </w:pPr>
      <w:bookmarkStart w:id="71" w:name="_Toc69303271"/>
      <w:bookmarkStart w:id="72" w:name="_Toc69305101"/>
      <w:r>
        <w:t>Key uses / expected use</w:t>
      </w:r>
      <w:bookmarkEnd w:id="71"/>
      <w:bookmarkEnd w:id="72"/>
    </w:p>
    <w:p w14:paraId="635B6638" w14:textId="77777777" w:rsidR="003C3431" w:rsidRDefault="00312013" w:rsidP="00312013">
      <w:pPr>
        <w:rPr>
          <w:rFonts w:asciiTheme="minorHAnsi" w:hAnsiTheme="minorHAnsi" w:cs="CourierHP"/>
          <w:szCs w:val="22"/>
          <w:lang w:eastAsia="en-AU"/>
        </w:rPr>
      </w:pPr>
      <w:r w:rsidRPr="006978FC">
        <w:rPr>
          <w:lang w:eastAsia="en-AU"/>
        </w:rPr>
        <w:t>Used in the petrochemical industry</w:t>
      </w:r>
      <w:r>
        <w:rPr>
          <w:lang w:eastAsia="en-AU"/>
        </w:rPr>
        <w:t xml:space="preserve"> and</w:t>
      </w:r>
      <w:r w:rsidRPr="006978FC">
        <w:rPr>
          <w:lang w:eastAsia="en-AU"/>
        </w:rPr>
        <w:t xml:space="preserve"> as a denaturant additive. </w:t>
      </w:r>
      <w:r w:rsidRPr="00F560BB">
        <w:rPr>
          <w:lang w:eastAsia="en-AU"/>
        </w:rPr>
        <w:t>Used in the manufacture of h</w:t>
      </w:r>
      <w:r w:rsidRPr="00F560BB">
        <w:rPr>
          <w:rFonts w:asciiTheme="minorHAnsi" w:hAnsiTheme="minorHAnsi" w:cs="CourierHP"/>
          <w:szCs w:val="22"/>
          <w:lang w:eastAsia="en-AU"/>
        </w:rPr>
        <w:t>and sanitisers, which may be classed as therapeutic or cosmetic depending on the claims made by the manufacturer.</w:t>
      </w:r>
      <w:r w:rsidR="003C3431">
        <w:rPr>
          <w:rFonts w:asciiTheme="minorHAnsi" w:hAnsiTheme="minorHAnsi" w:cs="CourierHP"/>
          <w:szCs w:val="22"/>
          <w:lang w:eastAsia="en-AU"/>
        </w:rPr>
        <w:t xml:space="preserve"> </w:t>
      </w:r>
    </w:p>
    <w:p w14:paraId="042EF414" w14:textId="7980F59C" w:rsidR="00312013" w:rsidRPr="00234889" w:rsidRDefault="003C3431" w:rsidP="00312013">
      <w:pPr>
        <w:rPr>
          <w:rFonts w:asciiTheme="minorHAnsi" w:hAnsiTheme="minorHAnsi"/>
          <w:szCs w:val="22"/>
          <w:lang w:eastAsia="en-AU"/>
        </w:rPr>
      </w:pPr>
      <w:r>
        <w:rPr>
          <w:lang w:eastAsia="en-AU"/>
        </w:rPr>
        <w:t>Methanol is a clear, colourless and volatile liquid with a characteristic odour. It is highly flammable. It is widely used as an industrial solvent; a chemical intermediate; a fuel source for picnic stoves, racing cars and soldering torches; an anti-freeze agent; and an octane booster for gasoline. Methanol mixes readily with water and many organic liquids. Methanol rapidly absorbs water from the air. It mixes readily with most organic liquids.</w:t>
      </w:r>
    </w:p>
    <w:p w14:paraId="18564C1B" w14:textId="77777777" w:rsidR="00312013" w:rsidRDefault="00312013" w:rsidP="00312013">
      <w:pPr>
        <w:pStyle w:val="Heading4"/>
      </w:pPr>
      <w:bookmarkStart w:id="73" w:name="_Toc69303272"/>
      <w:bookmarkStart w:id="74" w:name="_Toc69305102"/>
      <w:r>
        <w:lastRenderedPageBreak/>
        <w:t>Reasons for proposal</w:t>
      </w:r>
      <w:bookmarkEnd w:id="73"/>
      <w:bookmarkEnd w:id="74"/>
    </w:p>
    <w:p w14:paraId="41B25B0F" w14:textId="792A3012" w:rsidR="00312013" w:rsidRDefault="003C3431" w:rsidP="00312013">
      <w:pPr>
        <w:pStyle w:val="ListBullet"/>
        <w:numPr>
          <w:ilvl w:val="0"/>
          <w:numId w:val="19"/>
        </w:numPr>
        <w:rPr>
          <w:lang w:eastAsia="en-AU"/>
        </w:rPr>
      </w:pPr>
      <w:r>
        <w:rPr>
          <w:lang w:eastAsia="en-AU"/>
        </w:rPr>
        <w:t>Methanol, a</w:t>
      </w:r>
      <w:r w:rsidR="00312013">
        <w:rPr>
          <w:lang w:eastAsia="en-AU"/>
        </w:rPr>
        <w:t>s an alcohol</w:t>
      </w:r>
      <w:r>
        <w:rPr>
          <w:lang w:eastAsia="en-AU"/>
        </w:rPr>
        <w:t>,</w:t>
      </w:r>
      <w:r w:rsidR="00312013">
        <w:rPr>
          <w:lang w:eastAsia="en-AU"/>
        </w:rPr>
        <w:t xml:space="preserve"> has the potential to be added intentionally to hand sanitisers as a substitute for ethanol or isopropanol, by use of methanol-denatured ethanol, or inadvertently as a by-product of distillation.</w:t>
      </w:r>
    </w:p>
    <w:p w14:paraId="55E6E084" w14:textId="2D8D1516" w:rsidR="00312013" w:rsidRDefault="00312013" w:rsidP="00312013">
      <w:pPr>
        <w:pStyle w:val="ListBullet"/>
        <w:numPr>
          <w:ilvl w:val="0"/>
          <w:numId w:val="19"/>
        </w:numPr>
        <w:rPr>
          <w:lang w:eastAsia="en-AU"/>
        </w:rPr>
      </w:pPr>
      <w:r>
        <w:rPr>
          <w:lang w:eastAsia="en-AU"/>
        </w:rPr>
        <w:t>Methanol in small quantities can cause irreversible toxic effects</w:t>
      </w:r>
      <w:r w:rsidR="00A14E38">
        <w:rPr>
          <w:lang w:eastAsia="en-AU"/>
        </w:rPr>
        <w:t xml:space="preserve"> in humans</w:t>
      </w:r>
      <w:r>
        <w:rPr>
          <w:lang w:eastAsia="en-AU"/>
        </w:rPr>
        <w:t>. The current Sch</w:t>
      </w:r>
      <w:r w:rsidR="0083193E">
        <w:rPr>
          <w:lang w:eastAsia="en-AU"/>
        </w:rPr>
        <w:t>eduling entries in Schedule 5 (between 2 and</w:t>
      </w:r>
      <w:r>
        <w:rPr>
          <w:lang w:eastAsia="en-AU"/>
        </w:rPr>
        <w:t xml:space="preserve"> 10% concentration) and Schedule 6 greater than 10% concentration) are based on animal toxicological studies which indicate that methanol poses a low risk from all exposure routes. However, humans are more susceptible to toxic effects of methanol than animals.</w:t>
      </w:r>
    </w:p>
    <w:p w14:paraId="15401B92" w14:textId="0E88BFFA" w:rsidR="00312013" w:rsidRPr="00787170" w:rsidRDefault="00312013" w:rsidP="00312013">
      <w:pPr>
        <w:pStyle w:val="ListBullet"/>
        <w:numPr>
          <w:ilvl w:val="0"/>
          <w:numId w:val="19"/>
        </w:numPr>
        <w:rPr>
          <w:lang w:eastAsia="en-AU"/>
        </w:rPr>
      </w:pPr>
      <w:r>
        <w:rPr>
          <w:lang w:eastAsia="en-AU"/>
        </w:rPr>
        <w:t xml:space="preserve">The current Scheduling arrangements allows domestic products such as hand sanitisers to contain methanol which </w:t>
      </w:r>
      <w:r w:rsidR="003C3431">
        <w:rPr>
          <w:lang w:eastAsia="en-AU"/>
        </w:rPr>
        <w:t>poses a public health risk. The</w:t>
      </w:r>
      <w:r>
        <w:rPr>
          <w:lang w:eastAsia="en-AU"/>
        </w:rPr>
        <w:t xml:space="preserve"> application seeks to prevent the addition of methanol to hand sanitiser preparations as a substitute for ethanol or isopropanol or as a denaturant (at high concentration) due to it toxic effects. There have been deaths reported internationally (US, Europe and Mexico) due to ingestion of hand sanitisers containing methanol.</w:t>
      </w:r>
    </w:p>
    <w:p w14:paraId="576E6DEE" w14:textId="77777777" w:rsidR="00312013" w:rsidRDefault="00312013" w:rsidP="00312013">
      <w:pPr>
        <w:pStyle w:val="Heading4"/>
      </w:pPr>
      <w:bookmarkStart w:id="75" w:name="_Toc69303273"/>
      <w:bookmarkStart w:id="76" w:name="_Toc69305103"/>
      <w:r w:rsidRPr="00DC5AE0">
        <w:t xml:space="preserve">Australian </w:t>
      </w:r>
      <w:r>
        <w:t>regulations</w:t>
      </w:r>
      <w:bookmarkEnd w:id="75"/>
      <w:bookmarkEnd w:id="76"/>
      <w:r w:rsidRPr="00DC5AE0">
        <w:t xml:space="preserve"> </w:t>
      </w:r>
    </w:p>
    <w:p w14:paraId="427C1EA6" w14:textId="77777777" w:rsidR="00312013" w:rsidRPr="009939C7" w:rsidRDefault="00312013" w:rsidP="00312013">
      <w:r>
        <w:t xml:space="preserve">As of April 2021: </w:t>
      </w:r>
    </w:p>
    <w:p w14:paraId="2EB0A251" w14:textId="22C04905" w:rsidR="00312013" w:rsidRDefault="00312013" w:rsidP="00312013">
      <w:pPr>
        <w:pStyle w:val="ListBullet"/>
        <w:numPr>
          <w:ilvl w:val="0"/>
          <w:numId w:val="19"/>
        </w:numPr>
      </w:pPr>
      <w:r>
        <w:t xml:space="preserve">There were thirty-eight approved </w:t>
      </w:r>
      <w:r w:rsidRPr="00D218B9">
        <w:t>products</w:t>
      </w:r>
      <w:r>
        <w:t xml:space="preserve"> currently active in the </w:t>
      </w:r>
      <w:hyperlink r:id="rId51" w:history="1">
        <w:r w:rsidR="00F42613" w:rsidRPr="00293CCA">
          <w:rPr>
            <w:rStyle w:val="Hyperlink"/>
          </w:rPr>
          <w:t>Australian Register of Therapeutic Goods (ARTG)</w:t>
        </w:r>
      </w:hyperlink>
      <w:r w:rsidR="00F42613">
        <w:rPr>
          <w:rStyle w:val="FootnoteReference"/>
        </w:rPr>
        <w:footnoteReference w:id="27"/>
      </w:r>
      <w:r w:rsidRPr="00D218B9">
        <w:rPr>
          <w:rStyle w:val="Hyperlink"/>
          <w:u w:val="none"/>
        </w:rPr>
        <w:t xml:space="preserve"> </w:t>
      </w:r>
      <w:r>
        <w:t>containing methanol as an ingredient and no products containing methanol as an active ingredient.</w:t>
      </w:r>
    </w:p>
    <w:p w14:paraId="494FD95D" w14:textId="6051737F" w:rsidR="00312013" w:rsidRPr="004A3F2D" w:rsidRDefault="00312013" w:rsidP="00312013">
      <w:pPr>
        <w:pStyle w:val="ListBullet"/>
        <w:numPr>
          <w:ilvl w:val="0"/>
          <w:numId w:val="19"/>
        </w:numPr>
      </w:pPr>
      <w:r w:rsidRPr="00D218B9">
        <w:t>According</w:t>
      </w:r>
      <w:r>
        <w:t xml:space="preserve"> to the </w:t>
      </w:r>
      <w:hyperlink r:id="rId52" w:history="1">
        <w:r w:rsidR="00F42613" w:rsidRPr="00C66C5E">
          <w:rPr>
            <w:rStyle w:val="Hyperlink"/>
          </w:rPr>
          <w:t xml:space="preserve">TGA </w:t>
        </w:r>
        <w:r w:rsidR="00F42613">
          <w:rPr>
            <w:rStyle w:val="Hyperlink"/>
          </w:rPr>
          <w:t xml:space="preserve">Ingredient </w:t>
        </w:r>
        <w:r w:rsidR="00F42613" w:rsidRPr="00C66C5E">
          <w:rPr>
            <w:rStyle w:val="Hyperlink"/>
          </w:rPr>
          <w:t>Database</w:t>
        </w:r>
      </w:hyperlink>
      <w:r w:rsidR="00F42613">
        <w:rPr>
          <w:rStyle w:val="FootnoteReference"/>
        </w:rPr>
        <w:footnoteReference w:id="28"/>
      </w:r>
      <w:r>
        <w:rPr>
          <w:i/>
          <w:color w:val="002C47" w:themeColor="text2"/>
          <w:sz w:val="20"/>
        </w:rPr>
        <w:t xml:space="preserve"> </w:t>
      </w:r>
      <w:r w:rsidRPr="004A3F2D">
        <w:t>methanol</w:t>
      </w:r>
      <w:r>
        <w:t xml:space="preserve"> is:</w:t>
      </w:r>
    </w:p>
    <w:p w14:paraId="175299C2" w14:textId="77777777" w:rsidR="00312013" w:rsidRDefault="00312013" w:rsidP="00312013">
      <w:pPr>
        <w:pStyle w:val="ListBullet2"/>
        <w:numPr>
          <w:ilvl w:val="1"/>
          <w:numId w:val="19"/>
        </w:numPr>
        <w:ind w:left="850" w:hanging="425"/>
      </w:pPr>
      <w:r>
        <w:t>available for use as an Active Ingredient in Biologicals, Export Only, Over the Counter and Prescription Medicines.</w:t>
      </w:r>
    </w:p>
    <w:p w14:paraId="56E15A34" w14:textId="77777777" w:rsidR="00312013" w:rsidRDefault="00312013" w:rsidP="00312013">
      <w:pPr>
        <w:pStyle w:val="ListBullet2"/>
        <w:numPr>
          <w:ilvl w:val="1"/>
          <w:numId w:val="19"/>
        </w:numPr>
        <w:ind w:left="850" w:hanging="425"/>
      </w:pPr>
      <w:r>
        <w:t>available for use as an Excipient Ingredient in Biologicals, Devices, Export Only, Listed Medicines, Over the Counter and Prescription Medicines.</w:t>
      </w:r>
    </w:p>
    <w:p w14:paraId="1E4E559C" w14:textId="255E2F3E" w:rsidR="00312013" w:rsidRDefault="00312013" w:rsidP="00312013">
      <w:pPr>
        <w:pStyle w:val="ListBullet2"/>
        <w:numPr>
          <w:ilvl w:val="1"/>
          <w:numId w:val="19"/>
        </w:numPr>
        <w:ind w:left="850" w:hanging="425"/>
      </w:pPr>
      <w:r>
        <w:t>available for use as an Equivalent Ingredient in Listed Medicines.</w:t>
      </w:r>
    </w:p>
    <w:p w14:paraId="5F96CD35" w14:textId="29FB2865" w:rsidR="00102760" w:rsidRDefault="00102760" w:rsidP="00102760">
      <w:pPr>
        <w:pStyle w:val="ListBullet"/>
        <w:numPr>
          <w:ilvl w:val="0"/>
          <w:numId w:val="19"/>
        </w:numPr>
      </w:pPr>
      <w:r>
        <w:t>Methanol is not specifically referred to in t</w:t>
      </w:r>
      <w:r w:rsidRPr="005C4582">
        <w:t>he</w:t>
      </w:r>
      <w:r w:rsidRPr="00D67128">
        <w:rPr>
          <w:lang w:eastAsia="en-AU"/>
        </w:rPr>
        <w:t xml:space="preserve"> </w:t>
      </w:r>
      <w:hyperlink r:id="rId53" w:history="1">
        <w:r w:rsidRPr="00D67128">
          <w:rPr>
            <w:rStyle w:val="Hyperlink"/>
            <w:rFonts w:asciiTheme="minorHAnsi" w:hAnsiTheme="minorHAnsi" w:cs="CIDFont+F3"/>
            <w:i/>
            <w:szCs w:val="22"/>
            <w:lang w:eastAsia="en-AU"/>
          </w:rPr>
          <w:t>Therapeutic Goods (Excluded Goods Hand Sanitisers) Determination 2020</w:t>
        </w:r>
      </w:hyperlink>
      <w:r w:rsidR="00F42613" w:rsidRPr="00F42613">
        <w:rPr>
          <w:rStyle w:val="FootnoteReference"/>
        </w:rPr>
        <w:footnoteReference w:id="29"/>
      </w:r>
    </w:p>
    <w:p w14:paraId="3E36F78C" w14:textId="10D10F84" w:rsidR="00312013" w:rsidRDefault="00312013" w:rsidP="00312013">
      <w:pPr>
        <w:pStyle w:val="ListBullet"/>
        <w:numPr>
          <w:ilvl w:val="0"/>
          <w:numId w:val="19"/>
        </w:numPr>
      </w:pPr>
      <w:r>
        <w:t xml:space="preserve">According to the </w:t>
      </w:r>
      <w:hyperlink r:id="rId54" w:history="1">
        <w:r w:rsidR="007D2637" w:rsidRPr="00824CAC">
          <w:rPr>
            <w:rStyle w:val="Hyperlink"/>
          </w:rPr>
          <w:t>Therapeutic Goods (Permissible Ingredients) Determination</w:t>
        </w:r>
      </w:hyperlink>
      <w:r w:rsidR="007D2637">
        <w:rPr>
          <w:rStyle w:val="FootnoteReference"/>
        </w:rPr>
        <w:footnoteReference w:id="30"/>
      </w:r>
      <w:r w:rsidRPr="009C55D5">
        <w:t xml:space="preserve"> No</w:t>
      </w:r>
      <w:r w:rsidRPr="00B54CF2">
        <w:t>.1 of 2020</w:t>
      </w:r>
      <w:r>
        <w:t>, methanol is permitted to be included in listed medicines as follows:</w:t>
      </w:r>
      <w:r w:rsidRPr="009C55D5">
        <w:t xml:space="preserve"> </w:t>
      </w:r>
    </w:p>
    <w:tbl>
      <w:tblPr>
        <w:tblStyle w:val="TableTGAblue"/>
        <w:tblW w:w="0" w:type="auto"/>
        <w:tblInd w:w="360" w:type="dxa"/>
        <w:tblLook w:val="04A0" w:firstRow="1" w:lastRow="0" w:firstColumn="1" w:lastColumn="0" w:noHBand="0" w:noVBand="1"/>
      </w:tblPr>
      <w:tblGrid>
        <w:gridCol w:w="751"/>
        <w:gridCol w:w="1998"/>
        <w:gridCol w:w="1276"/>
        <w:gridCol w:w="4665"/>
      </w:tblGrid>
      <w:tr w:rsidR="00312013" w:rsidRPr="006112EA" w14:paraId="24E12E31" w14:textId="77777777" w:rsidTr="00831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tcPr>
          <w:p w14:paraId="5DC38056" w14:textId="77777777" w:rsidR="00312013" w:rsidRPr="006112EA" w:rsidRDefault="00312013" w:rsidP="0083193E">
            <w:pPr>
              <w:pStyle w:val="ListBullet"/>
              <w:keepLines/>
              <w:numPr>
                <w:ilvl w:val="0"/>
                <w:numId w:val="0"/>
              </w:numPr>
              <w:rPr>
                <w:sz w:val="20"/>
                <w:szCs w:val="20"/>
              </w:rPr>
            </w:pPr>
            <w:r w:rsidRPr="006112EA">
              <w:rPr>
                <w:sz w:val="20"/>
                <w:szCs w:val="20"/>
              </w:rPr>
              <w:lastRenderedPageBreak/>
              <w:t>Item</w:t>
            </w:r>
          </w:p>
        </w:tc>
        <w:tc>
          <w:tcPr>
            <w:tcW w:w="1998" w:type="dxa"/>
          </w:tcPr>
          <w:p w14:paraId="301F5236" w14:textId="77777777" w:rsidR="00312013" w:rsidRPr="006112E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6112EA">
              <w:rPr>
                <w:sz w:val="20"/>
                <w:szCs w:val="20"/>
              </w:rPr>
              <w:t>Ingredient name</w:t>
            </w:r>
          </w:p>
        </w:tc>
        <w:tc>
          <w:tcPr>
            <w:tcW w:w="1276" w:type="dxa"/>
          </w:tcPr>
          <w:p w14:paraId="3CA1BBD5" w14:textId="77777777" w:rsidR="00312013" w:rsidRPr="006112E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6112EA">
              <w:rPr>
                <w:sz w:val="20"/>
                <w:szCs w:val="20"/>
              </w:rPr>
              <w:t>Purpose</w:t>
            </w:r>
          </w:p>
        </w:tc>
        <w:tc>
          <w:tcPr>
            <w:tcW w:w="4665" w:type="dxa"/>
          </w:tcPr>
          <w:p w14:paraId="23AFA888" w14:textId="77777777" w:rsidR="00312013" w:rsidRPr="006112EA" w:rsidRDefault="00312013" w:rsidP="0083193E">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6112EA">
              <w:rPr>
                <w:sz w:val="20"/>
                <w:szCs w:val="20"/>
              </w:rPr>
              <w:t>Specific requirements</w:t>
            </w:r>
          </w:p>
        </w:tc>
      </w:tr>
      <w:tr w:rsidR="00312013" w:rsidRPr="006112EA" w14:paraId="44B047E3" w14:textId="77777777" w:rsidTr="0083193E">
        <w:tc>
          <w:tcPr>
            <w:cnfStyle w:val="001000000000" w:firstRow="0" w:lastRow="0" w:firstColumn="1" w:lastColumn="0" w:oddVBand="0" w:evenVBand="0" w:oddHBand="0" w:evenHBand="0" w:firstRowFirstColumn="0" w:firstRowLastColumn="0" w:lastRowFirstColumn="0" w:lastRowLastColumn="0"/>
            <w:tcW w:w="751" w:type="dxa"/>
          </w:tcPr>
          <w:p w14:paraId="6DB5DDE6" w14:textId="77777777" w:rsidR="00312013" w:rsidRPr="006112EA" w:rsidRDefault="00312013" w:rsidP="0083193E">
            <w:pPr>
              <w:keepNext/>
              <w:keepLines/>
              <w:rPr>
                <w:sz w:val="20"/>
                <w:szCs w:val="20"/>
              </w:rPr>
            </w:pPr>
            <w:r>
              <w:rPr>
                <w:sz w:val="20"/>
                <w:szCs w:val="20"/>
              </w:rPr>
              <w:t>3283</w:t>
            </w:r>
          </w:p>
        </w:tc>
        <w:tc>
          <w:tcPr>
            <w:tcW w:w="1998" w:type="dxa"/>
          </w:tcPr>
          <w:p w14:paraId="750EA10F" w14:textId="77777777" w:rsidR="00312013" w:rsidRPr="006112EA" w:rsidRDefault="00312013" w:rsidP="0083193E">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METHANOL</w:t>
            </w:r>
          </w:p>
        </w:tc>
        <w:tc>
          <w:tcPr>
            <w:tcW w:w="1276" w:type="dxa"/>
          </w:tcPr>
          <w:p w14:paraId="4D45BADA" w14:textId="77777777" w:rsidR="00312013" w:rsidRPr="006112EA" w:rsidRDefault="00312013" w:rsidP="0083193E">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p>
        </w:tc>
        <w:tc>
          <w:tcPr>
            <w:tcW w:w="4665" w:type="dxa"/>
          </w:tcPr>
          <w:p w14:paraId="071E2786" w14:textId="77777777" w:rsidR="00312013" w:rsidRDefault="00312013" w:rsidP="0083193E">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amp;quot" w:hAnsi="&amp;quot"/>
                <w:sz w:val="20"/>
                <w:szCs w:val="20"/>
              </w:rPr>
            </w:pPr>
            <w:r>
              <w:rPr>
                <w:rFonts w:ascii="&amp;quot" w:hAnsi="&amp;quot"/>
                <w:sz w:val="20"/>
                <w:szCs w:val="20"/>
              </w:rPr>
              <w:t xml:space="preserve">The residual solvent limit is 30 mg per recommended daily dose. </w:t>
            </w:r>
          </w:p>
          <w:p w14:paraId="2ADEE97E" w14:textId="77777777" w:rsidR="00312013" w:rsidRPr="006112EA" w:rsidRDefault="00312013" w:rsidP="0083193E">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sz w:val="20"/>
                <w:szCs w:val="20"/>
              </w:rPr>
            </w:pPr>
            <w:r>
              <w:rPr>
                <w:rFonts w:ascii="&amp;quot" w:hAnsi="&amp;quot"/>
                <w:sz w:val="20"/>
                <w:szCs w:val="20"/>
              </w:rPr>
              <w:t>The concentration in the medicine must be no more than 0.3%.</w:t>
            </w:r>
          </w:p>
        </w:tc>
      </w:tr>
      <w:tr w:rsidR="00312013" w:rsidRPr="006112EA" w14:paraId="7B02D139" w14:textId="77777777" w:rsidTr="0083193E">
        <w:tc>
          <w:tcPr>
            <w:cnfStyle w:val="001000000000" w:firstRow="0" w:lastRow="0" w:firstColumn="1" w:lastColumn="0" w:oddVBand="0" w:evenVBand="0" w:oddHBand="0" w:evenHBand="0" w:firstRowFirstColumn="0" w:firstRowLastColumn="0" w:lastRowFirstColumn="0" w:lastRowLastColumn="0"/>
            <w:tcW w:w="8690" w:type="dxa"/>
            <w:gridSpan w:val="4"/>
          </w:tcPr>
          <w:p w14:paraId="39C2A363" w14:textId="77777777" w:rsidR="00312013" w:rsidRPr="00EE1184" w:rsidRDefault="00312013" w:rsidP="0083193E">
            <w:pPr>
              <w:rPr>
                <w:sz w:val="20"/>
                <w:szCs w:val="20"/>
              </w:rPr>
            </w:pPr>
            <w:r w:rsidRPr="00EE1184">
              <w:rPr>
                <w:b/>
                <w:sz w:val="20"/>
                <w:szCs w:val="20"/>
              </w:rPr>
              <w:t xml:space="preserve">E </w:t>
            </w:r>
            <w:r>
              <w:rPr>
                <w:sz w:val="20"/>
                <w:szCs w:val="20"/>
              </w:rPr>
              <w:t xml:space="preserve">- </w:t>
            </w:r>
            <w:r w:rsidRPr="00EE1184">
              <w:rPr>
                <w:sz w:val="20"/>
                <w:szCs w:val="20"/>
              </w:rPr>
              <w:t>excipient for a medicine meaning an ingredient that is not an active ingredient or a homoeopathic preparation ingredient</w:t>
            </w:r>
          </w:p>
        </w:tc>
      </w:tr>
    </w:tbl>
    <w:p w14:paraId="39FCBA41" w14:textId="2C1DBA54" w:rsidR="00312013" w:rsidRPr="00557F9D" w:rsidRDefault="00312013" w:rsidP="00312013">
      <w:pPr>
        <w:pStyle w:val="ListBullet"/>
        <w:keepNext/>
        <w:keepLines/>
        <w:numPr>
          <w:ilvl w:val="0"/>
          <w:numId w:val="20"/>
        </w:numPr>
      </w:pPr>
      <w:r w:rsidRPr="00557F9D">
        <w:t xml:space="preserve">The </w:t>
      </w:r>
      <w:hyperlink r:id="rId55" w:history="1">
        <w:r w:rsidR="00DE4120" w:rsidRPr="00C81411">
          <w:rPr>
            <w:rStyle w:val="Hyperlink"/>
          </w:rPr>
          <w:t xml:space="preserve">TGA </w:t>
        </w:r>
        <w:r w:rsidR="00DE4120">
          <w:rPr>
            <w:rStyle w:val="Hyperlink"/>
          </w:rPr>
          <w:t>p</w:t>
        </w:r>
        <w:r w:rsidR="00DE4120" w:rsidRPr="00C81411">
          <w:rPr>
            <w:rStyle w:val="Hyperlink"/>
          </w:rPr>
          <w:t>rescribing medicines in pregnancy database</w:t>
        </w:r>
      </w:hyperlink>
      <w:r w:rsidR="00DE4120">
        <w:rPr>
          <w:rStyle w:val="FootnoteReference"/>
        </w:rPr>
        <w:footnoteReference w:id="31"/>
      </w:r>
      <w:r w:rsidRPr="00557F9D">
        <w:t xml:space="preserve"> does not specifically identify methanol.</w:t>
      </w:r>
    </w:p>
    <w:p w14:paraId="2F8232F8" w14:textId="37D645B2" w:rsidR="00312013" w:rsidRPr="00372F75" w:rsidRDefault="00312013" w:rsidP="00312013">
      <w:pPr>
        <w:pStyle w:val="ListBullet"/>
        <w:numPr>
          <w:ilvl w:val="0"/>
          <w:numId w:val="20"/>
        </w:numPr>
        <w:rPr>
          <w:rStyle w:val="Hyperlink"/>
        </w:rPr>
      </w:pPr>
      <w:r>
        <w:t xml:space="preserve">There are no </w:t>
      </w:r>
      <w:r w:rsidRPr="00A30084">
        <w:t xml:space="preserve">warning statements pertaining </w:t>
      </w:r>
      <w:r>
        <w:t xml:space="preserve">to methanol in the </w:t>
      </w:r>
      <w:hyperlink r:id="rId56" w:history="1">
        <w:r w:rsidR="00DE4120" w:rsidRPr="00AB7BF5">
          <w:rPr>
            <w:rStyle w:val="Hyperlink"/>
          </w:rPr>
          <w:t>Therapeutic Goods (Medicines Advisory Statements) Specification 2019</w:t>
        </w:r>
      </w:hyperlink>
      <w:r w:rsidR="00DE4120">
        <w:rPr>
          <w:rStyle w:val="FootnoteReference"/>
        </w:rPr>
        <w:footnoteReference w:id="32"/>
      </w:r>
    </w:p>
    <w:p w14:paraId="187E0BBC" w14:textId="77777777" w:rsidR="00DE4120" w:rsidRPr="009C55D5" w:rsidRDefault="00312013" w:rsidP="00DE4120">
      <w:pPr>
        <w:pStyle w:val="ListBullet"/>
        <w:numPr>
          <w:ilvl w:val="0"/>
          <w:numId w:val="18"/>
        </w:numPr>
      </w:pPr>
      <w:r w:rsidRPr="009C55D5">
        <w:t>The</w:t>
      </w:r>
      <w:r>
        <w:t xml:space="preserve">re were no adverse events for methanol in the </w:t>
      </w:r>
      <w:hyperlink r:id="rId57" w:history="1">
        <w:r w:rsidR="00DE4120" w:rsidRPr="00F0449C">
          <w:rPr>
            <w:rStyle w:val="Hyperlink"/>
          </w:rPr>
          <w:t>Database of Adverse Event Notifications (DAEN)</w:t>
        </w:r>
      </w:hyperlink>
      <w:r w:rsidR="00DE4120">
        <w:rPr>
          <w:rStyle w:val="FootnoteReference"/>
        </w:rPr>
        <w:footnoteReference w:id="33"/>
      </w:r>
    </w:p>
    <w:p w14:paraId="221C4511" w14:textId="555E8252" w:rsidR="00312013" w:rsidRDefault="00312013" w:rsidP="00312013">
      <w:pPr>
        <w:pStyle w:val="ListBullet"/>
        <w:numPr>
          <w:ilvl w:val="0"/>
          <w:numId w:val="20"/>
        </w:numPr>
      </w:pPr>
      <w:r>
        <w:t>T</w:t>
      </w:r>
      <w:r w:rsidRPr="00F0449C">
        <w:t>he</w:t>
      </w:r>
      <w:r>
        <w:t>re were thirty products containing methanol in the</w:t>
      </w:r>
      <w:r w:rsidRPr="00F0449C">
        <w:t xml:space="preserve"> </w:t>
      </w:r>
      <w:hyperlink r:id="rId58" w:history="1">
        <w:r w:rsidR="00DE4120" w:rsidRPr="009F1ACF">
          <w:rPr>
            <w:rStyle w:val="Hyperlink"/>
            <w:szCs w:val="22"/>
          </w:rPr>
          <w:t>Public Chemical Registration Information System Search (PubCRIS)</w:t>
        </w:r>
      </w:hyperlink>
      <w:r w:rsidR="00DE4120" w:rsidRPr="00E2692B">
        <w:rPr>
          <w:rStyle w:val="FootnoteReference"/>
        </w:rPr>
        <w:t xml:space="preserve"> </w:t>
      </w:r>
      <w:r w:rsidR="00DE4120">
        <w:rPr>
          <w:rStyle w:val="FootnoteReference"/>
        </w:rPr>
        <w:footnoteReference w:id="34"/>
      </w:r>
    </w:p>
    <w:p w14:paraId="6292A945" w14:textId="77777777" w:rsidR="00352DD2" w:rsidRPr="00352DD2" w:rsidRDefault="00352DD2" w:rsidP="00352DD2">
      <w:pPr>
        <w:pStyle w:val="ListBullet"/>
        <w:numPr>
          <w:ilvl w:val="0"/>
          <w:numId w:val="20"/>
        </w:numPr>
        <w:rPr>
          <w:rFonts w:asciiTheme="minorHAnsi" w:hAnsiTheme="minorHAnsi"/>
          <w:szCs w:val="22"/>
        </w:rPr>
      </w:pPr>
      <w:r w:rsidRPr="00352DD2">
        <w:rPr>
          <w:szCs w:val="22"/>
        </w:rPr>
        <w:t xml:space="preserve">The </w:t>
      </w:r>
      <w:hyperlink r:id="rId59" w:history="1">
        <w:r w:rsidRPr="00352DD2">
          <w:rPr>
            <w:rStyle w:val="Hyperlink"/>
            <w:bCs/>
            <w:i/>
            <w:szCs w:val="22"/>
            <w:shd w:val="clear" w:color="auto" w:fill="FFFFFF"/>
          </w:rPr>
          <w:t>Consumer Goods (Cosmetics) Information Standard 2020</w:t>
        </w:r>
      </w:hyperlink>
      <w:r w:rsidRPr="00C4626A">
        <w:rPr>
          <w:rStyle w:val="FootnoteReference"/>
          <w:bCs/>
          <w:color w:val="000000"/>
          <w:szCs w:val="22"/>
          <w:shd w:val="clear" w:color="auto" w:fill="FFFFFF"/>
        </w:rPr>
        <w:footnoteReference w:id="35"/>
      </w:r>
      <w:r w:rsidRPr="00352DD2">
        <w:rPr>
          <w:rFonts w:asciiTheme="minorHAnsi" w:hAnsiTheme="minorHAnsi"/>
          <w:bCs/>
          <w:color w:val="000000"/>
          <w:szCs w:val="22"/>
          <w:shd w:val="clear" w:color="auto" w:fill="FFFFFF"/>
        </w:rPr>
        <w:t>lists the following additional requirements for hand sanitisers. It also provides a definition of hand sanitisers.</w:t>
      </w:r>
    </w:p>
    <w:p w14:paraId="2F7499A7" w14:textId="77777777" w:rsidR="00352DD2" w:rsidRPr="00352DD2" w:rsidRDefault="00352DD2" w:rsidP="00352DD2">
      <w:pPr>
        <w:pStyle w:val="ListBullet"/>
        <w:numPr>
          <w:ilvl w:val="0"/>
          <w:numId w:val="0"/>
        </w:numPr>
        <w:shd w:val="clear" w:color="auto" w:fill="FFFFFF"/>
        <w:spacing w:before="280" w:after="0" w:line="240" w:lineRule="auto"/>
        <w:rPr>
          <w:rFonts w:ascii="Times New Roman" w:eastAsia="Times New Roman" w:hAnsi="Times New Roman"/>
          <w:b/>
          <w:bCs/>
          <w:color w:val="000000"/>
          <w:sz w:val="24"/>
          <w:szCs w:val="24"/>
          <w:lang w:eastAsia="en-AU"/>
        </w:rPr>
      </w:pPr>
      <w:r w:rsidRPr="00352DD2">
        <w:rPr>
          <w:rFonts w:ascii="Times New Roman" w:eastAsia="Times New Roman" w:hAnsi="Times New Roman"/>
          <w:b/>
          <w:bCs/>
          <w:color w:val="000000"/>
          <w:sz w:val="24"/>
          <w:szCs w:val="24"/>
          <w:lang w:eastAsia="en-AU"/>
        </w:rPr>
        <w:t>Additional requirements for hand sanitisers</w:t>
      </w:r>
    </w:p>
    <w:p w14:paraId="2737707D" w14:textId="77777777" w:rsidR="00352DD2" w:rsidRPr="00352DD2" w:rsidRDefault="00352DD2" w:rsidP="00352DD2">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6D0B24">
        <w:rPr>
          <w:rFonts w:asciiTheme="minorHAnsi" w:eastAsia="Times New Roman" w:hAnsiTheme="minorHAnsi"/>
          <w:color w:val="000000"/>
          <w:sz w:val="24"/>
          <w:szCs w:val="24"/>
          <w:lang w:eastAsia="en-AU"/>
        </w:rPr>
        <w:t xml:space="preserve">             (1)  </w:t>
      </w:r>
      <w:r w:rsidRPr="00352DD2">
        <w:rPr>
          <w:rFonts w:asciiTheme="minorHAnsi" w:eastAsia="Times New Roman" w:hAnsiTheme="minorHAnsi"/>
          <w:color w:val="000000"/>
          <w:szCs w:val="22"/>
          <w:lang w:eastAsia="en-AU"/>
        </w:rPr>
        <w:t>This section applies to hand sanitiser that contains alcohol as the primary active ingredient.</w:t>
      </w:r>
    </w:p>
    <w:p w14:paraId="14E33691" w14:textId="77777777" w:rsidR="00352DD2" w:rsidRPr="006D0B24" w:rsidRDefault="00352DD2" w:rsidP="00352DD2">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6D0B24">
        <w:rPr>
          <w:rFonts w:ascii="Times New Roman" w:eastAsia="Times New Roman" w:hAnsi="Times New Roman"/>
          <w:color w:val="000000"/>
          <w:sz w:val="18"/>
          <w:szCs w:val="18"/>
          <w:lang w:eastAsia="en-AU"/>
        </w:rPr>
        <w:t>Note:          This instrument does not apply to hand sanitisers that are therapeutic goods within the meaning of the </w:t>
      </w:r>
      <w:r w:rsidRPr="006D0B24">
        <w:rPr>
          <w:rFonts w:ascii="Times New Roman" w:eastAsia="Times New Roman" w:hAnsi="Times New Roman"/>
          <w:i/>
          <w:iCs/>
          <w:color w:val="000000"/>
          <w:sz w:val="18"/>
          <w:szCs w:val="18"/>
          <w:lang w:eastAsia="en-AU"/>
        </w:rPr>
        <w:t>Therapeutic Goods Act 1989</w:t>
      </w:r>
      <w:r w:rsidRPr="006D0B24">
        <w:rPr>
          <w:rFonts w:ascii="Times New Roman" w:eastAsia="Times New Roman" w:hAnsi="Times New Roman"/>
          <w:color w:val="000000"/>
          <w:sz w:val="18"/>
          <w:szCs w:val="18"/>
          <w:lang w:eastAsia="en-AU"/>
        </w:rPr>
        <w:t>, or that are excluded goods for the purposes of that Act under the </w:t>
      </w:r>
      <w:r w:rsidRPr="006D0B24">
        <w:rPr>
          <w:rFonts w:ascii="Times New Roman" w:eastAsia="Times New Roman" w:hAnsi="Times New Roman"/>
          <w:i/>
          <w:iCs/>
          <w:color w:val="000000"/>
          <w:sz w:val="18"/>
          <w:szCs w:val="18"/>
          <w:lang w:eastAsia="en-AU"/>
        </w:rPr>
        <w:t>Therapeutic Goods (Excluded Goods—Hand Sanitisers) Determination 2020</w:t>
      </w:r>
      <w:r w:rsidRPr="006D0B24">
        <w:rPr>
          <w:rFonts w:ascii="Times New Roman" w:eastAsia="Times New Roman" w:hAnsi="Times New Roman"/>
          <w:color w:val="000000"/>
          <w:sz w:val="18"/>
          <w:szCs w:val="18"/>
          <w:lang w:eastAsia="en-AU"/>
        </w:rPr>
        <w:t> (see subsection 5(2) of this instrument).</w:t>
      </w:r>
    </w:p>
    <w:p w14:paraId="6BB11344" w14:textId="77777777" w:rsidR="00352DD2" w:rsidRPr="00352DD2" w:rsidRDefault="00352DD2" w:rsidP="00352DD2">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6D0B24">
        <w:rPr>
          <w:rFonts w:asciiTheme="minorHAnsi" w:eastAsia="Times New Roman" w:hAnsiTheme="minorHAnsi"/>
          <w:color w:val="000000"/>
          <w:sz w:val="24"/>
          <w:szCs w:val="24"/>
          <w:lang w:eastAsia="en-AU"/>
        </w:rPr>
        <w:t>             (2</w:t>
      </w:r>
      <w:r w:rsidRPr="00352DD2">
        <w:rPr>
          <w:rFonts w:asciiTheme="minorHAnsi" w:eastAsia="Times New Roman" w:hAnsiTheme="minorHAnsi"/>
          <w:color w:val="000000"/>
          <w:szCs w:val="22"/>
          <w:lang w:eastAsia="en-AU"/>
        </w:rPr>
        <w:t>)  The amount of alcohol contained in the hand sanitiser must be shown as a percentage (%), by volume per volume (v/v), in a manner that is prominent and clearly legible:</w:t>
      </w:r>
    </w:p>
    <w:p w14:paraId="033D198F" w14:textId="77777777" w:rsidR="00352DD2" w:rsidRPr="00352DD2"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352DD2">
        <w:rPr>
          <w:rFonts w:asciiTheme="minorHAnsi" w:eastAsia="Times New Roman" w:hAnsiTheme="minorHAnsi"/>
          <w:color w:val="000000"/>
          <w:szCs w:val="22"/>
          <w:lang w:eastAsia="en-AU"/>
        </w:rPr>
        <w:t>                     (a)  in the list of ingredients; or</w:t>
      </w:r>
    </w:p>
    <w:p w14:paraId="5A0A2E2E" w14:textId="77777777" w:rsidR="00352DD2" w:rsidRPr="00352DD2"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352DD2">
        <w:rPr>
          <w:rFonts w:asciiTheme="minorHAnsi" w:eastAsia="Times New Roman" w:hAnsiTheme="minorHAnsi"/>
          <w:color w:val="000000"/>
          <w:szCs w:val="22"/>
          <w:lang w:eastAsia="en-AU"/>
        </w:rPr>
        <w:t>                     (b)  elsewhere on the container.</w:t>
      </w:r>
    </w:p>
    <w:p w14:paraId="539A937F" w14:textId="77777777" w:rsidR="00352DD2" w:rsidRPr="004D6B84" w:rsidRDefault="00352DD2" w:rsidP="00352DD2">
      <w:pPr>
        <w:pStyle w:val="ListBullet"/>
        <w:numPr>
          <w:ilvl w:val="0"/>
          <w:numId w:val="0"/>
        </w:numPr>
        <w:shd w:val="clear" w:color="auto" w:fill="FFFFFF"/>
        <w:spacing w:before="180" w:after="0" w:line="240" w:lineRule="auto"/>
        <w:ind w:left="360"/>
        <w:rPr>
          <w:rFonts w:asciiTheme="minorHAnsi" w:eastAsia="Times New Roman" w:hAnsiTheme="minorHAnsi"/>
          <w:color w:val="000000"/>
          <w:szCs w:val="22"/>
          <w:lang w:eastAsia="en-AU"/>
        </w:rPr>
      </w:pPr>
      <w:r w:rsidRPr="00352DD2">
        <w:rPr>
          <w:rFonts w:asciiTheme="minorHAnsi" w:eastAsia="Times New Roman" w:hAnsiTheme="minorHAnsi"/>
          <w:color w:val="000000"/>
          <w:szCs w:val="22"/>
          <w:lang w:eastAsia="en-AU"/>
        </w:rPr>
        <w:t>             (3</w:t>
      </w:r>
      <w:r w:rsidRPr="004D6B84">
        <w:rPr>
          <w:rFonts w:asciiTheme="minorHAnsi" w:eastAsia="Times New Roman" w:hAnsiTheme="minorHAnsi"/>
          <w:color w:val="000000"/>
          <w:szCs w:val="22"/>
          <w:lang w:eastAsia="en-AU"/>
        </w:rPr>
        <w:t>)  The following warnings must be shown on the container (as the words set out below, or as other words, or pictograms, that could reasonably be regarded as having the same meaning):</w:t>
      </w:r>
    </w:p>
    <w:p w14:paraId="6C19587C"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Keep out of reach of children</w:t>
      </w:r>
    </w:p>
    <w:p w14:paraId="236475B9"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For external use only</w:t>
      </w:r>
    </w:p>
    <w:p w14:paraId="60050A9A"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If ingested, seek immediate medical attention</w:t>
      </w:r>
    </w:p>
    <w:p w14:paraId="3C74B254"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lastRenderedPageBreak/>
        <w:t>                            Flammable—keep away from fire and heat</w:t>
      </w:r>
    </w:p>
    <w:p w14:paraId="63EA0812" w14:textId="77777777" w:rsidR="00352DD2" w:rsidRPr="004D6B84" w:rsidRDefault="00352DD2" w:rsidP="00352DD2">
      <w:pPr>
        <w:pStyle w:val="ListBullet"/>
        <w:numPr>
          <w:ilvl w:val="0"/>
          <w:numId w:val="0"/>
        </w:numPr>
        <w:shd w:val="clear" w:color="auto" w:fill="FFFFFF"/>
        <w:spacing w:before="40" w:after="0" w:line="240" w:lineRule="auto"/>
        <w:ind w:left="360"/>
        <w:rPr>
          <w:rFonts w:asciiTheme="minorHAnsi" w:eastAsia="Times New Roman" w:hAnsiTheme="minorHAnsi"/>
          <w:color w:val="000000"/>
          <w:szCs w:val="22"/>
          <w:lang w:eastAsia="en-AU"/>
        </w:rPr>
      </w:pPr>
      <w:r w:rsidRPr="004D6B84">
        <w:rPr>
          <w:rFonts w:asciiTheme="minorHAnsi" w:eastAsia="Times New Roman" w:hAnsiTheme="minorHAnsi"/>
          <w:color w:val="000000"/>
          <w:szCs w:val="22"/>
          <w:lang w:eastAsia="en-AU"/>
        </w:rPr>
        <w:t>                            Discontinue use if skin irritation occurs</w:t>
      </w:r>
    </w:p>
    <w:p w14:paraId="2444864A" w14:textId="77777777" w:rsidR="00352DD2" w:rsidRPr="003F2222" w:rsidRDefault="00352DD2" w:rsidP="00352DD2">
      <w:pPr>
        <w:pStyle w:val="ListBullet"/>
        <w:numPr>
          <w:ilvl w:val="0"/>
          <w:numId w:val="0"/>
        </w:numPr>
        <w:shd w:val="clear" w:color="auto" w:fill="FFFFFF"/>
        <w:spacing w:before="122" w:after="0" w:line="240" w:lineRule="auto"/>
        <w:ind w:left="360"/>
        <w:rPr>
          <w:rFonts w:ascii="Times New Roman" w:eastAsia="Times New Roman" w:hAnsi="Times New Roman"/>
          <w:color w:val="000000"/>
          <w:sz w:val="18"/>
          <w:szCs w:val="18"/>
          <w:lang w:eastAsia="en-AU"/>
        </w:rPr>
      </w:pPr>
      <w:r w:rsidRPr="004D6B84">
        <w:rPr>
          <w:rFonts w:asciiTheme="minorHAnsi" w:eastAsia="Times New Roman" w:hAnsiTheme="minorHAnsi"/>
          <w:color w:val="000000"/>
          <w:szCs w:val="22"/>
          <w:lang w:eastAsia="en-AU"/>
        </w:rPr>
        <w:t>Note:          If a supplier makes a claim or representation intended to promote a</w:t>
      </w:r>
      <w:r w:rsidRPr="003F2222">
        <w:rPr>
          <w:rFonts w:ascii="Times New Roman" w:eastAsia="Times New Roman" w:hAnsi="Times New Roman"/>
          <w:color w:val="000000"/>
          <w:sz w:val="18"/>
          <w:szCs w:val="18"/>
          <w:lang w:eastAsia="en-AU"/>
        </w:rPr>
        <w:t xml:space="preserve"> product, such as “kills 99.99% of germs”, the supplier may be required to give information and/or produce documents to the regulator that could be capable of substantiating or supporting the claim or representation (see section 219 of the Australian Consumer Law).</w:t>
      </w:r>
    </w:p>
    <w:p w14:paraId="3192749E" w14:textId="77777777" w:rsidR="00312013" w:rsidRPr="00C61700" w:rsidRDefault="00312013" w:rsidP="00312013">
      <w:pPr>
        <w:pStyle w:val="Heading4"/>
      </w:pPr>
      <w:bookmarkStart w:id="77" w:name="_Toc69303274"/>
      <w:bookmarkStart w:id="78" w:name="_Toc69305104"/>
      <w:r w:rsidRPr="0002476E">
        <w:t>International regulations</w:t>
      </w:r>
      <w:bookmarkEnd w:id="77"/>
      <w:bookmarkEnd w:id="78"/>
    </w:p>
    <w:p w14:paraId="5A90AA43" w14:textId="77777777" w:rsidR="00312013" w:rsidRPr="00A93EE0" w:rsidRDefault="00312013" w:rsidP="00312013">
      <w:r>
        <w:t>As of April 2021:</w:t>
      </w:r>
    </w:p>
    <w:p w14:paraId="7AE0B683" w14:textId="349105A2" w:rsidR="00312013" w:rsidRPr="00362F3A" w:rsidRDefault="00312013" w:rsidP="00312013">
      <w:pPr>
        <w:pStyle w:val="ListBullet"/>
        <w:numPr>
          <w:ilvl w:val="0"/>
          <w:numId w:val="21"/>
        </w:numPr>
        <w:spacing w:line="240" w:lineRule="auto"/>
        <w:rPr>
          <w:color w:val="0000FF"/>
          <w:u w:val="single"/>
        </w:rPr>
      </w:pPr>
      <w:r>
        <w:t xml:space="preserve">Methanol is not included in the </w:t>
      </w:r>
      <w:hyperlink r:id="rId60" w:history="1">
        <w:r w:rsidR="004A3EBE" w:rsidRPr="00CC6398">
          <w:rPr>
            <w:rStyle w:val="Hyperlink"/>
          </w:rPr>
          <w:t>WHO Model List of Essential Medicines 2019</w:t>
        </w:r>
      </w:hyperlink>
      <w:r w:rsidR="004A3EBE">
        <w:rPr>
          <w:rStyle w:val="FootnoteReference"/>
        </w:rPr>
        <w:footnoteReference w:id="36"/>
      </w:r>
    </w:p>
    <w:p w14:paraId="19C6A831" w14:textId="29AD4BA3" w:rsidR="00312013" w:rsidRPr="00362F3A" w:rsidRDefault="00312013" w:rsidP="00312013">
      <w:pPr>
        <w:pStyle w:val="ListBullet"/>
        <w:numPr>
          <w:ilvl w:val="0"/>
          <w:numId w:val="21"/>
        </w:numPr>
        <w:spacing w:line="240" w:lineRule="auto"/>
        <w:rPr>
          <w:color w:val="0000FF"/>
          <w:u w:val="single"/>
        </w:rPr>
      </w:pPr>
      <w:r>
        <w:t>Methanol is not in</w:t>
      </w:r>
      <w:r w:rsidR="004A3EBE">
        <w:t xml:space="preserve"> the</w:t>
      </w:r>
      <w:r>
        <w:t xml:space="preserve"> </w:t>
      </w:r>
      <w:r w:rsidR="004A3EBE" w:rsidRPr="00710082">
        <w:rPr>
          <w:color w:val="0000FF"/>
          <w:u w:val="single"/>
        </w:rPr>
        <w:t>United States Food and Drug Administration Approved Drug Products</w:t>
      </w:r>
      <w:r w:rsidR="004A3EBE" w:rsidRPr="005A27ED">
        <w:t xml:space="preserve"> </w:t>
      </w:r>
      <w:r w:rsidR="004A3EBE">
        <w:t>d</w:t>
      </w:r>
      <w:r w:rsidR="004A3EBE" w:rsidRPr="005A27ED">
        <w:t>atabase (Drugs@FDA)</w:t>
      </w:r>
      <w:r w:rsidR="004A3EBE" w:rsidRPr="00710082">
        <w:rPr>
          <w:rStyle w:val="FootnoteReference"/>
        </w:rPr>
        <w:t xml:space="preserve"> </w:t>
      </w:r>
      <w:r w:rsidR="004A3EBE" w:rsidRPr="00417519">
        <w:rPr>
          <w:rStyle w:val="FootnoteReference"/>
        </w:rPr>
        <w:footnoteReference w:id="37"/>
      </w:r>
    </w:p>
    <w:p w14:paraId="7B4A599D" w14:textId="77777777" w:rsidR="004A3EBE" w:rsidRDefault="00312013" w:rsidP="004A3EBE">
      <w:pPr>
        <w:pStyle w:val="ListBullet"/>
        <w:numPr>
          <w:ilvl w:val="0"/>
          <w:numId w:val="18"/>
        </w:numPr>
        <w:rPr>
          <w:rStyle w:val="Hyperlink"/>
        </w:rPr>
      </w:pPr>
      <w:r>
        <w:t xml:space="preserve">Methanol is included in the </w:t>
      </w:r>
      <w:hyperlink r:id="rId61" w:history="1">
        <w:r w:rsidR="004A3EBE" w:rsidRPr="00C81411">
          <w:rPr>
            <w:rStyle w:val="Hyperlink"/>
          </w:rPr>
          <w:t>European Commission database for information on cosmetic substances and ingredients database</w:t>
        </w:r>
      </w:hyperlink>
      <w:r w:rsidR="004A3EBE" w:rsidRPr="00417519">
        <w:rPr>
          <w:rStyle w:val="FootnoteReference"/>
        </w:rPr>
        <w:footnoteReference w:id="38"/>
      </w:r>
    </w:p>
    <w:p w14:paraId="2D4AB6B4" w14:textId="0C9A6DD0" w:rsidR="00312013" w:rsidRPr="004F32F6" w:rsidRDefault="00312013" w:rsidP="00312013">
      <w:pPr>
        <w:pStyle w:val="ListBullet"/>
        <w:numPr>
          <w:ilvl w:val="0"/>
          <w:numId w:val="21"/>
        </w:numPr>
        <w:spacing w:line="240" w:lineRule="auto"/>
      </w:pPr>
      <w:r>
        <w:t xml:space="preserve">There are no active products containing methanol in the </w:t>
      </w:r>
      <w:hyperlink r:id="rId62" w:history="1">
        <w:r w:rsidR="004A3EBE" w:rsidRPr="000B75D5">
          <w:rPr>
            <w:rStyle w:val="Hyperlink"/>
          </w:rPr>
          <w:t>Canadian (Health Canada) Drug Product Database</w:t>
        </w:r>
      </w:hyperlink>
      <w:r w:rsidR="004A3EBE" w:rsidRPr="00417519">
        <w:rPr>
          <w:rStyle w:val="FootnoteReference"/>
        </w:rPr>
        <w:footnoteReference w:id="39"/>
      </w:r>
      <w:r w:rsidRPr="0073140F">
        <w:rPr>
          <w:rStyle w:val="Hyperlink"/>
          <w:u w:val="none"/>
        </w:rPr>
        <w:t xml:space="preserve"> </w:t>
      </w:r>
      <w:r w:rsidRPr="00FC62BC">
        <w:t xml:space="preserve">and </w:t>
      </w:r>
      <w:hyperlink r:id="rId63" w:history="1">
        <w:r w:rsidR="004A3EBE" w:rsidRPr="002150D3">
          <w:rPr>
            <w:rStyle w:val="Hyperlink"/>
          </w:rPr>
          <w:t>Health Products Regulatory Authority of Ireland</w:t>
        </w:r>
      </w:hyperlink>
      <w:r w:rsidR="004A3EBE" w:rsidRPr="00417519">
        <w:rPr>
          <w:rStyle w:val="FootnoteReference"/>
        </w:rPr>
        <w:footnoteReference w:id="40"/>
      </w:r>
      <w:r w:rsidR="004A3EBE">
        <w:rPr>
          <w:rStyle w:val="Hyperlink"/>
        </w:rPr>
        <w:t xml:space="preserve"> </w:t>
      </w:r>
      <w:r w:rsidRPr="0073140F">
        <w:rPr>
          <w:rStyle w:val="Hyperlink"/>
          <w:u w:val="none"/>
        </w:rPr>
        <w:t xml:space="preserve"> </w:t>
      </w:r>
      <w:r w:rsidRPr="004F32F6">
        <w:t>database.</w:t>
      </w:r>
    </w:p>
    <w:p w14:paraId="264FE2D8" w14:textId="4E638943" w:rsidR="00312013" w:rsidRDefault="00312013" w:rsidP="00312013">
      <w:pPr>
        <w:pStyle w:val="ListBullet"/>
        <w:numPr>
          <w:ilvl w:val="0"/>
          <w:numId w:val="18"/>
        </w:numPr>
      </w:pPr>
      <w:r>
        <w:t xml:space="preserve">Methanol was first added to the </w:t>
      </w:r>
      <w:hyperlink r:id="rId64" w:tgtFrame="_blank" w:tooltip="link to the NZ EPA website" w:history="1">
        <w:r w:rsidR="004A3EBE" w:rsidRPr="00571015">
          <w:rPr>
            <w:rStyle w:val="Hyperlink"/>
          </w:rPr>
          <w:t>New Zealand Inventory of Chemicals (NZIoC)</w:t>
        </w:r>
      </w:hyperlink>
      <w:r w:rsidR="004A3EBE" w:rsidRPr="00417519">
        <w:rPr>
          <w:rStyle w:val="FootnoteReference"/>
        </w:rPr>
        <w:footnoteReference w:id="41"/>
      </w:r>
      <w:r w:rsidR="004A3EBE">
        <w:rPr>
          <w:vertAlign w:val="superscript"/>
        </w:rPr>
        <w:t xml:space="preserve"> </w:t>
      </w:r>
      <w:r>
        <w:t>on</w:t>
      </w:r>
      <w:r>
        <w:br/>
        <w:t xml:space="preserve">1 December 2006. </w:t>
      </w:r>
    </w:p>
    <w:p w14:paraId="61BE4EEF" w14:textId="36A63478" w:rsidR="00312013" w:rsidRDefault="00312013" w:rsidP="00312013">
      <w:pPr>
        <w:pStyle w:val="ListBullet"/>
        <w:numPr>
          <w:ilvl w:val="0"/>
          <w:numId w:val="18"/>
        </w:numPr>
      </w:pPr>
      <w:r>
        <w:t xml:space="preserve">Methanol is not included in the </w:t>
      </w:r>
      <w:hyperlink r:id="rId65" w:history="1">
        <w:r w:rsidR="004A3EBE" w:rsidRPr="000B75D5">
          <w:rPr>
            <w:rStyle w:val="Hyperlink"/>
          </w:rPr>
          <w:t>New Zealand</w:t>
        </w:r>
        <w:r w:rsidR="004A3EBE">
          <w:rPr>
            <w:rStyle w:val="Hyperlink"/>
          </w:rPr>
          <w:t xml:space="preserve"> Medicines and Medical Devices Safety Authority</w:t>
        </w:r>
        <w:r w:rsidR="004A3EBE" w:rsidRPr="000B75D5">
          <w:rPr>
            <w:rStyle w:val="Hyperlink"/>
          </w:rPr>
          <w:t xml:space="preserve"> </w:t>
        </w:r>
        <w:r w:rsidR="004A3EBE">
          <w:rPr>
            <w:rStyle w:val="Hyperlink"/>
          </w:rPr>
          <w:t>(</w:t>
        </w:r>
        <w:r w:rsidR="004A3EBE" w:rsidRPr="000B75D5">
          <w:rPr>
            <w:rStyle w:val="Hyperlink"/>
          </w:rPr>
          <w:t>MedSafe</w:t>
        </w:r>
      </w:hyperlink>
      <w:r w:rsidR="004A3EBE">
        <w:t>)</w:t>
      </w:r>
      <w:r w:rsidR="004A3EBE">
        <w:rPr>
          <w:rStyle w:val="FootnoteReference"/>
        </w:rPr>
        <w:footnoteReference w:id="42"/>
      </w:r>
      <w:r w:rsidRPr="002F4F94">
        <w:t xml:space="preserve"> classification</w:t>
      </w:r>
      <w:r>
        <w:t xml:space="preserve"> database.</w:t>
      </w:r>
    </w:p>
    <w:p w14:paraId="5CE71830" w14:textId="77777777" w:rsidR="00312013" w:rsidRDefault="00312013" w:rsidP="00312013">
      <w:pPr>
        <w:pStyle w:val="Heading2"/>
        <w:pageBreakBefore w:val="0"/>
      </w:pPr>
      <w:bookmarkStart w:id="79" w:name="_Toc69305105"/>
      <w:r>
        <w:t>How to respond</w:t>
      </w:r>
      <w:bookmarkEnd w:id="79"/>
    </w:p>
    <w:p w14:paraId="2897E2D3" w14:textId="0343FEFB" w:rsidR="00312013" w:rsidRDefault="00312013" w:rsidP="00312013">
      <w:pPr>
        <w:pStyle w:val="ListBullet"/>
        <w:numPr>
          <w:ilvl w:val="0"/>
          <w:numId w:val="0"/>
        </w:numPr>
      </w:pPr>
      <w:r>
        <w:t xml:space="preserve">Submissions must be provided by the closing date of </w:t>
      </w:r>
      <w:r w:rsidRPr="00102760">
        <w:rPr>
          <w:b/>
        </w:rPr>
        <w:t>2</w:t>
      </w:r>
      <w:r w:rsidR="001327F2">
        <w:rPr>
          <w:b/>
        </w:rPr>
        <w:t>7</w:t>
      </w:r>
      <w:r w:rsidRPr="00102760">
        <w:rPr>
          <w:b/>
        </w:rPr>
        <w:t xml:space="preserve"> May 2021 </w:t>
      </w:r>
      <w:r w:rsidRPr="00972C2F">
        <w:t>through our </w:t>
      </w:r>
      <w:hyperlink r:id="rId66" w:history="1">
        <w:r w:rsidRPr="003C0BBB">
          <w:rPr>
            <w:rStyle w:val="Hyperlink"/>
          </w:rPr>
          <w:t>consultation hub</w:t>
        </w:r>
      </w:hyperlink>
      <w:r w:rsidRPr="00972C2F">
        <w:t xml:space="preserve">. Any submission about any of the proposals to amend the Poisons Standard will be considered at the next </w:t>
      </w:r>
      <w:r w:rsidR="00186069">
        <w:t xml:space="preserve">joint </w:t>
      </w:r>
      <w:r w:rsidRPr="00972C2F">
        <w:t>meeting of the </w:t>
      </w:r>
      <w:hyperlink r:id="rId67" w:history="1">
        <w:r w:rsidRPr="00972C2F">
          <w:rPr>
            <w:rStyle w:val="Hyperlink"/>
          </w:rPr>
          <w:t>Advisory Committee on Medicines Scheduling (ACMS)</w:t>
        </w:r>
      </w:hyperlink>
      <w:r w:rsidR="00186069">
        <w:t xml:space="preserve"> and</w:t>
      </w:r>
      <w:r w:rsidRPr="00972C2F">
        <w:t> </w:t>
      </w:r>
      <w:hyperlink r:id="rId68" w:history="1">
        <w:r w:rsidRPr="00972C2F">
          <w:rPr>
            <w:rStyle w:val="Hyperlink"/>
          </w:rPr>
          <w:t>Advisory Committee on Chemicals Scheduling (ACCS)</w:t>
        </w:r>
      </w:hyperlink>
      <w:r w:rsidR="00186069">
        <w:t>.</w:t>
      </w:r>
    </w:p>
    <w:p w14:paraId="65E57604" w14:textId="77777777" w:rsidR="00312013" w:rsidRDefault="00312013" w:rsidP="00312013">
      <w:pPr>
        <w:pStyle w:val="Heading2"/>
        <w:pageBreakBefore w:val="0"/>
      </w:pPr>
      <w:bookmarkStart w:id="80" w:name="_How_to_respond"/>
      <w:bookmarkStart w:id="81" w:name="_Toc69303277"/>
      <w:bookmarkStart w:id="82" w:name="_Toc69305106"/>
      <w:bookmarkEnd w:id="80"/>
      <w:r>
        <w:lastRenderedPageBreak/>
        <w:t>What will happen</w:t>
      </w:r>
      <w:bookmarkEnd w:id="81"/>
      <w:bookmarkEnd w:id="82"/>
    </w:p>
    <w:p w14:paraId="2EED6E97" w14:textId="520BCF42" w:rsidR="00312013" w:rsidRDefault="00312013" w:rsidP="00312013">
      <w:r>
        <w:t xml:space="preserve">All public submissions will be published on the TGA website at </w:t>
      </w:r>
      <w:hyperlink r:id="rId69" w:history="1">
        <w:r w:rsidRPr="00E25E60">
          <w:rPr>
            <w:rStyle w:val="Hyperlink"/>
          </w:rPr>
          <w:t>Public submissions on scheduling matters</w:t>
        </w:r>
      </w:hyperlink>
      <w:r>
        <w:t>, unless marked confidential or indicated otherwise</w:t>
      </w:r>
      <w:r w:rsidR="004D6B84">
        <w:t>.</w:t>
      </w:r>
      <w:r>
        <w:t xml:space="preserve"> </w:t>
      </w:r>
    </w:p>
    <w:p w14:paraId="65B86959" w14:textId="77777777" w:rsidR="00312013" w:rsidRDefault="00312013" w:rsidP="00312013">
      <w:r>
        <w:t xml:space="preserve">Following consideration of public submissions received before the closing date and advice from the expert advisory committee/s, decisions on the proposed amendments will be published as interim decisions on the TGA website: </w:t>
      </w:r>
      <w:hyperlink r:id="rId70"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in </w:t>
      </w:r>
      <w:r w:rsidRPr="00F12125">
        <w:rPr>
          <w:b/>
        </w:rPr>
        <w:t>September</w:t>
      </w:r>
      <w:r w:rsidRPr="00F12125">
        <w:t xml:space="preserve"> </w:t>
      </w:r>
      <w:r w:rsidRPr="00F12125">
        <w:rPr>
          <w:b/>
        </w:rPr>
        <w:t>2021</w:t>
      </w:r>
      <w:r>
        <w:t>.</w:t>
      </w:r>
    </w:p>
    <w:p w14:paraId="6EAE7B02" w14:textId="77777777" w:rsidR="00312013" w:rsidRDefault="00312013" w:rsidP="00312013">
      <w:pPr>
        <w:pStyle w:val="Heading2"/>
        <w:pageBreakBefore w:val="0"/>
      </w:pPr>
      <w:bookmarkStart w:id="83" w:name="_Toc69303279"/>
      <w:bookmarkStart w:id="84" w:name="_Toc69305107"/>
      <w:r>
        <w:t>Enquiries</w:t>
      </w:r>
      <w:bookmarkEnd w:id="83"/>
      <w:bookmarkEnd w:id="84"/>
    </w:p>
    <w:p w14:paraId="08C36D44" w14:textId="36B1E959" w:rsidR="003C02CB" w:rsidRDefault="00312013" w:rsidP="00312013">
      <w:r>
        <w:t xml:space="preserve">Any questions relating to submissions should be directed by email to </w:t>
      </w:r>
      <w:hyperlink r:id="rId71" w:history="1">
        <w:r w:rsidRPr="00E35E45">
          <w:rPr>
            <w:rStyle w:val="Hyperlink"/>
          </w:rPr>
          <w:t>medicines.scheduling@health.gov.au</w:t>
        </w:r>
      </w:hyperlink>
      <w:r>
        <w:t>.</w:t>
      </w:r>
    </w:p>
    <w:p w14:paraId="2F94EB36" w14:textId="3584A34B" w:rsidR="001525B4" w:rsidRPr="009401F6" w:rsidRDefault="001525B4" w:rsidP="00D75206">
      <w:pPr>
        <w:pStyle w:val="Heading3"/>
        <w:numPr>
          <w:ilvl w:val="0"/>
          <w:numId w:val="0"/>
        </w:numPr>
        <w:ind w:left="576"/>
      </w:pPr>
    </w:p>
    <w:p w14:paraId="3D544DBF" w14:textId="71B06803" w:rsidR="003E3D34" w:rsidRPr="009401F6" w:rsidRDefault="003E3D34" w:rsidP="00F8404D">
      <w:pPr>
        <w:sectPr w:rsidR="003E3D34" w:rsidRPr="009401F6" w:rsidSect="0074066C">
          <w:headerReference w:type="default" r:id="rId72"/>
          <w:footerReference w:type="default" r:id="rId73"/>
          <w:headerReference w:type="first" r:id="rId74"/>
          <w:type w:val="continuous"/>
          <w:pgSz w:w="11906" w:h="16838" w:code="9"/>
          <w:pgMar w:top="1530" w:right="1418" w:bottom="1361" w:left="1418" w:header="998" w:footer="283" w:gutter="0"/>
          <w:cols w:space="708"/>
          <w:titlePg/>
          <w:docGrid w:linePitch="360"/>
        </w:sectPr>
      </w:pPr>
    </w:p>
    <w:p w14:paraId="6BDF0E41" w14:textId="77777777" w:rsidR="0084580B" w:rsidRPr="009401F6" w:rsidRDefault="0084580B" w:rsidP="007317DC">
      <w:pPr>
        <w:pStyle w:val="Footer"/>
      </w:pPr>
    </w:p>
    <w:sectPr w:rsidR="0084580B" w:rsidRPr="009401F6" w:rsidSect="00F8404D">
      <w:headerReference w:type="first" r:id="rId75"/>
      <w:footerReference w:type="first" r:id="rId76"/>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AFC5" w14:textId="77777777" w:rsidR="0025570D" w:rsidRDefault="0025570D" w:rsidP="00C40A36">
      <w:pPr>
        <w:spacing w:after="0"/>
      </w:pPr>
      <w:r>
        <w:separator/>
      </w:r>
    </w:p>
    <w:p w14:paraId="428D1C97" w14:textId="77777777" w:rsidR="0025570D" w:rsidRDefault="0025570D"/>
  </w:endnote>
  <w:endnote w:type="continuationSeparator" w:id="0">
    <w:p w14:paraId="0DEE48B8" w14:textId="77777777" w:rsidR="0025570D" w:rsidRDefault="0025570D" w:rsidP="00C40A36">
      <w:pPr>
        <w:spacing w:after="0"/>
      </w:pPr>
      <w:r>
        <w:continuationSeparator/>
      </w:r>
    </w:p>
    <w:p w14:paraId="09686D93" w14:textId="77777777" w:rsidR="0025570D" w:rsidRDefault="0025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ourierHP">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41B" w14:textId="77777777" w:rsidR="0025570D" w:rsidRDefault="0025570D"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5570D" w:rsidRPr="00257138" w14:paraId="2ED96BC6" w14:textId="77777777" w:rsidTr="00A3654F">
      <w:trPr>
        <w:trHeight w:val="423"/>
      </w:trPr>
      <w:tc>
        <w:tcPr>
          <w:tcW w:w="4360" w:type="dxa"/>
          <w:tcBorders>
            <w:top w:val="single" w:sz="4" w:space="0" w:color="auto"/>
          </w:tcBorders>
        </w:tcPr>
        <w:p w14:paraId="3DD17199" w14:textId="77777777" w:rsidR="0025570D" w:rsidRDefault="0025570D" w:rsidP="008D4740">
          <w:pPr>
            <w:pStyle w:val="Footer"/>
          </w:pPr>
        </w:p>
        <w:p w14:paraId="26FFC07E" w14:textId="77777777" w:rsidR="0025570D" w:rsidRPr="00257138" w:rsidRDefault="0025570D"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3C88674F" w14:textId="77777777" w:rsidR="0025570D" w:rsidRDefault="0025570D" w:rsidP="008D4740">
              <w:pPr>
                <w:pStyle w:val="Footer"/>
                <w:jc w:val="right"/>
              </w:pPr>
            </w:p>
            <w:p w14:paraId="57F00AC1" w14:textId="65536007" w:rsidR="0025570D" w:rsidRPr="00257138" w:rsidRDefault="0025570D" w:rsidP="008D4740">
              <w:pPr>
                <w:pStyle w:val="Footer"/>
                <w:jc w:val="right"/>
              </w:pPr>
              <w:r w:rsidRPr="00257138">
                <w:t xml:space="preserve">Page </w:t>
              </w:r>
              <w:r>
                <w:fldChar w:fldCharType="begin"/>
              </w:r>
              <w:r>
                <w:instrText xml:space="preserve"> PAGE </w:instrText>
              </w:r>
              <w:r>
                <w:fldChar w:fldCharType="separate"/>
              </w:r>
              <w:r w:rsidR="007317DC">
                <w:rPr>
                  <w:noProof/>
                </w:rPr>
                <w:t>3</w:t>
              </w:r>
              <w:r>
                <w:rPr>
                  <w:noProof/>
                </w:rPr>
                <w:fldChar w:fldCharType="end"/>
              </w:r>
              <w:r w:rsidRPr="00257138">
                <w:t xml:space="preserve"> of </w:t>
              </w:r>
              <w:r w:rsidR="00B812BB">
                <w:fldChar w:fldCharType="begin"/>
              </w:r>
              <w:r w:rsidR="00B812BB">
                <w:instrText xml:space="preserve"> NUMPAGES  </w:instrText>
              </w:r>
              <w:r w:rsidR="00B812BB">
                <w:fldChar w:fldCharType="separate"/>
              </w:r>
              <w:r w:rsidR="007317DC">
                <w:rPr>
                  <w:noProof/>
                </w:rPr>
                <w:t>25</w:t>
              </w:r>
              <w:r w:rsidR="00B812BB">
                <w:rPr>
                  <w:noProof/>
                </w:rPr>
                <w:fldChar w:fldCharType="end"/>
              </w:r>
            </w:p>
          </w:sdtContent>
        </w:sdt>
      </w:tc>
    </w:tr>
    <w:tr w:rsidR="0025570D" w:rsidRPr="00257138" w14:paraId="5FF2DDB5" w14:textId="77777777" w:rsidTr="00A3654F">
      <w:trPr>
        <w:trHeight w:val="263"/>
      </w:trPr>
      <w:tc>
        <w:tcPr>
          <w:tcW w:w="4360" w:type="dxa"/>
        </w:tcPr>
        <w:p w14:paraId="660866B7" w14:textId="77777777" w:rsidR="0025570D" w:rsidRPr="00257138" w:rsidRDefault="0025570D" w:rsidP="008D4740">
          <w:pPr>
            <w:pStyle w:val="Footer"/>
          </w:pPr>
          <w:r w:rsidRPr="00257138">
            <w:t xml:space="preserve">V1.0 </w:t>
          </w:r>
          <w:r>
            <w:t>Month</w:t>
          </w:r>
          <w:r w:rsidRPr="00257138">
            <w:t xml:space="preserve"> 201</w:t>
          </w:r>
          <w:r>
            <w:t>2</w:t>
          </w:r>
        </w:p>
      </w:tc>
      <w:tc>
        <w:tcPr>
          <w:tcW w:w="4360" w:type="dxa"/>
        </w:tcPr>
        <w:p w14:paraId="6B5967E0" w14:textId="77777777" w:rsidR="0025570D" w:rsidRPr="00257138" w:rsidRDefault="0025570D" w:rsidP="008D4740">
          <w:pPr>
            <w:pStyle w:val="Footer"/>
            <w:jc w:val="right"/>
          </w:pPr>
        </w:p>
      </w:tc>
    </w:tr>
  </w:tbl>
  <w:p w14:paraId="033040CC" w14:textId="77777777" w:rsidR="0025570D" w:rsidRPr="00826007" w:rsidRDefault="0025570D"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9C01" w14:textId="77777777" w:rsidR="0025570D" w:rsidRDefault="0025570D"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25570D" w:rsidRPr="00257138" w14:paraId="11EF2070" w14:textId="77777777" w:rsidTr="00D433BD">
      <w:trPr>
        <w:trHeight w:val="423"/>
      </w:trPr>
      <w:tc>
        <w:tcPr>
          <w:tcW w:w="7479" w:type="dxa"/>
        </w:tcPr>
        <w:p w14:paraId="668E2FA3" w14:textId="7E1C5D92" w:rsidR="0025570D" w:rsidRPr="00257138" w:rsidRDefault="0025570D" w:rsidP="004E1DED">
          <w:pPr>
            <w:pStyle w:val="Footer"/>
            <w:spacing w:before="120" w:after="120"/>
          </w:pPr>
          <w:r>
            <w:t xml:space="preserve">Consultation: Proposed amendments to the Poisons Standard – Joint ACMS-ACCS meetings, June 2021 </w:t>
          </w:r>
          <w:r>
            <w:br/>
          </w:r>
          <w:r w:rsidRPr="00257138">
            <w:t xml:space="preserve">V1.0 </w:t>
          </w:r>
          <w:r>
            <w:t>April 2021</w:t>
          </w:r>
        </w:p>
      </w:tc>
      <w:tc>
        <w:tcPr>
          <w:tcW w:w="1593" w:type="dxa"/>
        </w:tcPr>
        <w:sdt>
          <w:sdtPr>
            <w:id w:val="3702141"/>
            <w:docPartObj>
              <w:docPartGallery w:val="Page Numbers (Top of Page)"/>
              <w:docPartUnique/>
            </w:docPartObj>
          </w:sdtPr>
          <w:sdtEndPr/>
          <w:sdtContent>
            <w:p w14:paraId="77C66A76" w14:textId="6621D130" w:rsidR="0025570D" w:rsidRPr="00257138" w:rsidRDefault="0025570D" w:rsidP="00EE1482">
              <w:pPr>
                <w:pStyle w:val="Footer"/>
                <w:spacing w:before="120" w:after="120"/>
                <w:jc w:val="right"/>
              </w:pPr>
              <w:r w:rsidRPr="00257138">
                <w:t xml:space="preserve">Page </w:t>
              </w:r>
              <w:r>
                <w:fldChar w:fldCharType="begin"/>
              </w:r>
              <w:r>
                <w:instrText xml:space="preserve"> PAGE </w:instrText>
              </w:r>
              <w:r>
                <w:fldChar w:fldCharType="separate"/>
              </w:r>
              <w:r w:rsidR="00B812BB">
                <w:rPr>
                  <w:noProof/>
                </w:rPr>
                <w:t>21</w:t>
              </w:r>
              <w:r>
                <w:rPr>
                  <w:noProof/>
                </w:rPr>
                <w:fldChar w:fldCharType="end"/>
              </w:r>
              <w:r w:rsidRPr="00257138">
                <w:t xml:space="preserve"> of </w:t>
              </w:r>
              <w:r w:rsidR="00B812BB">
                <w:fldChar w:fldCharType="begin"/>
              </w:r>
              <w:r w:rsidR="00B812BB">
                <w:instrText xml:space="preserve"> NUMPAGES  </w:instrText>
              </w:r>
              <w:r w:rsidR="00B812BB">
                <w:fldChar w:fldCharType="separate"/>
              </w:r>
              <w:r w:rsidR="00B812BB">
                <w:rPr>
                  <w:noProof/>
                </w:rPr>
                <w:t>25</w:t>
              </w:r>
              <w:r w:rsidR="00B812BB">
                <w:rPr>
                  <w:noProof/>
                </w:rPr>
                <w:fldChar w:fldCharType="end"/>
              </w:r>
            </w:p>
          </w:sdtContent>
        </w:sdt>
      </w:tc>
    </w:tr>
  </w:tbl>
  <w:p w14:paraId="1DBC2E00" w14:textId="77777777" w:rsidR="0025570D" w:rsidRPr="00826007" w:rsidRDefault="0025570D"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368C" w14:textId="77777777" w:rsidR="0025570D" w:rsidRPr="00F8404D" w:rsidRDefault="0025570D"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7177" w14:textId="77777777" w:rsidR="0025570D" w:rsidRDefault="0025570D" w:rsidP="00FE1941">
      <w:pPr>
        <w:spacing w:after="0"/>
      </w:pPr>
      <w:r>
        <w:separator/>
      </w:r>
    </w:p>
  </w:footnote>
  <w:footnote w:type="continuationSeparator" w:id="0">
    <w:p w14:paraId="0238C5D0" w14:textId="77777777" w:rsidR="0025570D" w:rsidRDefault="0025570D" w:rsidP="00C40A36">
      <w:pPr>
        <w:spacing w:after="0"/>
      </w:pPr>
      <w:r>
        <w:continuationSeparator/>
      </w:r>
    </w:p>
    <w:p w14:paraId="57096D44" w14:textId="77777777" w:rsidR="0025570D" w:rsidRDefault="0025570D"/>
  </w:footnote>
  <w:footnote w:id="1">
    <w:p w14:paraId="640E2B9C" w14:textId="77777777" w:rsidR="0025570D" w:rsidRDefault="0025570D" w:rsidP="003D6A13">
      <w:pPr>
        <w:pStyle w:val="FootnoteText"/>
      </w:pPr>
      <w:r>
        <w:rPr>
          <w:rStyle w:val="FootnoteReference"/>
        </w:rPr>
        <w:footnoteRef/>
      </w:r>
      <w:r>
        <w:t xml:space="preserve"> Consumer Goods (Cosmetics) Information Standard 2020 </w:t>
      </w:r>
      <w:hyperlink r:id="rId1" w:history="1">
        <w:r w:rsidRPr="00161D77">
          <w:rPr>
            <w:rStyle w:val="Hyperlink"/>
          </w:rPr>
          <w:t>https://www.legislation.gov.au/Series/F2020L01469</w:t>
        </w:r>
      </w:hyperlink>
    </w:p>
  </w:footnote>
  <w:footnote w:id="2">
    <w:p w14:paraId="518AF20D" w14:textId="77777777" w:rsidR="0025570D" w:rsidRDefault="0025570D" w:rsidP="00E2692B">
      <w:pPr>
        <w:pStyle w:val="FootnoteText"/>
      </w:pPr>
      <w:r>
        <w:rPr>
          <w:rStyle w:val="FootnoteReference"/>
        </w:rPr>
        <w:footnoteRef/>
      </w:r>
      <w:r>
        <w:t xml:space="preserve"> </w:t>
      </w:r>
      <w:r w:rsidRPr="00C81411">
        <w:t>TGA Ingredient Database</w:t>
      </w:r>
      <w:r>
        <w:t xml:space="preserve"> </w:t>
      </w:r>
      <w:hyperlink r:id="rId2" w:history="1">
        <w:r w:rsidRPr="00C81411">
          <w:rPr>
            <w:rStyle w:val="Hyperlink"/>
            <w:color w:val="002C47" w:themeColor="text2"/>
          </w:rPr>
          <w:t>https://www.ebs.tga.gov.au/</w:t>
        </w:r>
      </w:hyperlink>
    </w:p>
  </w:footnote>
  <w:footnote w:id="3">
    <w:p w14:paraId="3BF57A85" w14:textId="77777777" w:rsidR="0025570D" w:rsidRDefault="0025570D" w:rsidP="00E2692B">
      <w:pPr>
        <w:pStyle w:val="FootnoteText"/>
      </w:pPr>
      <w:r>
        <w:rPr>
          <w:rStyle w:val="FootnoteReference"/>
        </w:rPr>
        <w:footnoteRef/>
      </w:r>
      <w:r>
        <w:t xml:space="preserve"> ARTG database </w:t>
      </w:r>
      <w:hyperlink r:id="rId3" w:history="1">
        <w:r w:rsidRPr="00025BAA">
          <w:rPr>
            <w:rStyle w:val="Hyperlink"/>
          </w:rPr>
          <w:t>https://www.tga.gov.au/artg</w:t>
        </w:r>
      </w:hyperlink>
      <w:r>
        <w:t xml:space="preserve"> </w:t>
      </w:r>
    </w:p>
  </w:footnote>
  <w:footnote w:id="4">
    <w:p w14:paraId="6497A8FB" w14:textId="77777777" w:rsidR="0025570D" w:rsidRDefault="0025570D" w:rsidP="00E2692B">
      <w:pPr>
        <w:pStyle w:val="FootnoteText"/>
      </w:pPr>
      <w:r>
        <w:rPr>
          <w:rStyle w:val="FootnoteReference"/>
        </w:rPr>
        <w:footnoteRef/>
      </w:r>
      <w:r>
        <w:t xml:space="preserve"> </w:t>
      </w:r>
      <w:r w:rsidRPr="007F3638">
        <w:t>Therapeutic Goods (Permissible Ingredients) Determination</w:t>
      </w:r>
      <w:r>
        <w:t xml:space="preserve"> </w:t>
      </w:r>
      <w:hyperlink r:id="rId4" w:history="1">
        <w:r w:rsidRPr="00C51833">
          <w:rPr>
            <w:rStyle w:val="Hyperlink"/>
          </w:rPr>
          <w:t>https://www.legislation.gov.au/Search/Therapeutic%20Goods%20$LB$Permissible%20Ingredients$RB$%20Determination</w:t>
        </w:r>
      </w:hyperlink>
      <w:r>
        <w:t xml:space="preserve"> </w:t>
      </w:r>
    </w:p>
  </w:footnote>
  <w:footnote w:id="5">
    <w:p w14:paraId="4132F3FF" w14:textId="77777777" w:rsidR="0025570D" w:rsidRDefault="0025570D" w:rsidP="00E2692B">
      <w:pPr>
        <w:pStyle w:val="FootnoteText"/>
      </w:pPr>
      <w:r>
        <w:rPr>
          <w:rStyle w:val="FootnoteReference"/>
        </w:rPr>
        <w:footnoteRef/>
      </w:r>
      <w:r>
        <w:t xml:space="preserve"> </w:t>
      </w:r>
      <w:r w:rsidRPr="007F3638">
        <w:t>Therapeutic Goods (Permissible Ingredients) Determination</w:t>
      </w:r>
      <w:r>
        <w:t xml:space="preserve"> </w:t>
      </w:r>
      <w:hyperlink r:id="rId5" w:history="1">
        <w:r w:rsidRPr="00C51833">
          <w:rPr>
            <w:rStyle w:val="Hyperlink"/>
          </w:rPr>
          <w:t>https://www.legislation.gov.au/Search/Therapeutic%20Goods%20$LB$Permissible%20Ingredients$RB$%20Determination</w:t>
        </w:r>
      </w:hyperlink>
      <w:r>
        <w:t xml:space="preserve"> </w:t>
      </w:r>
    </w:p>
  </w:footnote>
  <w:footnote w:id="6">
    <w:p w14:paraId="28EFCEB7" w14:textId="452CBEBC" w:rsidR="0025570D" w:rsidRPr="00BB3154" w:rsidRDefault="0025570D" w:rsidP="00E2692B">
      <w:pPr>
        <w:pStyle w:val="FootnoteText"/>
        <w:rPr>
          <w:rStyle w:val="Hyperlink"/>
        </w:rPr>
      </w:pPr>
      <w:r>
        <w:rPr>
          <w:rStyle w:val="FootnoteReference"/>
        </w:rPr>
        <w:footnoteRef/>
      </w:r>
      <w:r>
        <w:t xml:space="preserve"> Database of Adverse Event Notifications – medicines </w:t>
      </w:r>
      <w:hyperlink r:id="rId6" w:history="1">
        <w:r w:rsidRPr="00BB3154">
          <w:rPr>
            <w:rStyle w:val="Hyperlink"/>
          </w:rPr>
          <w:t>https://apps.tga.gov.au/Prod/daen/daen-entry.aspx</w:t>
        </w:r>
      </w:hyperlink>
    </w:p>
  </w:footnote>
  <w:footnote w:id="7">
    <w:p w14:paraId="6AD77F01" w14:textId="31C2B347" w:rsidR="0025570D" w:rsidRDefault="0025570D" w:rsidP="00E2692B">
      <w:pPr>
        <w:pStyle w:val="FootnoteText"/>
      </w:pPr>
      <w:r>
        <w:rPr>
          <w:rStyle w:val="FootnoteReference"/>
        </w:rPr>
        <w:footnoteRef/>
      </w:r>
      <w:r>
        <w:t xml:space="preserve"> Public Chemical Registration Information System Search </w:t>
      </w:r>
      <w:hyperlink r:id="rId7" w:history="1">
        <w:r w:rsidRPr="00E2692B">
          <w:rPr>
            <w:rStyle w:val="Hyperlink"/>
          </w:rPr>
          <w:t>https://portal.apvma.gov.au/pubcris</w:t>
        </w:r>
      </w:hyperlink>
    </w:p>
    <w:p w14:paraId="6830351C" w14:textId="7E68D3B8" w:rsidR="0025570D" w:rsidRPr="00BB3154" w:rsidRDefault="0025570D" w:rsidP="00E2692B">
      <w:pPr>
        <w:pStyle w:val="FootnoteText"/>
        <w:rPr>
          <w:rStyle w:val="Hyperlink"/>
        </w:rPr>
      </w:pPr>
    </w:p>
  </w:footnote>
  <w:footnote w:id="8">
    <w:p w14:paraId="1AAC7813" w14:textId="6270790D" w:rsidR="0025570D" w:rsidRDefault="0025570D" w:rsidP="002C6C8D">
      <w:pPr>
        <w:pStyle w:val="FootnoteText"/>
      </w:pPr>
      <w:r>
        <w:rPr>
          <w:rStyle w:val="FootnoteReference"/>
        </w:rPr>
        <w:footnoteRef/>
      </w:r>
      <w:r>
        <w:t xml:space="preserve"> Adverse Experience Reporting Program annual reports </w:t>
      </w:r>
      <w:hyperlink r:id="rId8" w:history="1">
        <w:r w:rsidRPr="002C6C8D">
          <w:rPr>
            <w:rStyle w:val="Hyperlink"/>
          </w:rPr>
          <w:t>https://apvma.gov.au/node/10946</w:t>
        </w:r>
      </w:hyperlink>
    </w:p>
    <w:p w14:paraId="29405826" w14:textId="58E02397" w:rsidR="0025570D" w:rsidRPr="002C6C8D" w:rsidRDefault="0025570D" w:rsidP="002C6C8D">
      <w:pPr>
        <w:pStyle w:val="FootnoteText"/>
        <w:rPr>
          <w:rStyle w:val="Hyperlink"/>
          <w:color w:val="auto"/>
          <w:u w:val="none"/>
        </w:rPr>
      </w:pPr>
    </w:p>
  </w:footnote>
  <w:footnote w:id="9">
    <w:p w14:paraId="0E12C2BF" w14:textId="1BA7D5D8" w:rsidR="0025570D" w:rsidRDefault="0025570D">
      <w:pPr>
        <w:pStyle w:val="FootnoteText"/>
      </w:pPr>
      <w:r>
        <w:rPr>
          <w:rStyle w:val="FootnoteReference"/>
        </w:rPr>
        <w:footnoteRef/>
      </w:r>
      <w:r>
        <w:t xml:space="preserve"> Consumer Goods (Cosmetics) Information Standard 2020 </w:t>
      </w:r>
      <w:hyperlink r:id="rId9" w:history="1">
        <w:r w:rsidRPr="00161D77">
          <w:rPr>
            <w:rStyle w:val="Hyperlink"/>
          </w:rPr>
          <w:t>https://www.legislation.gov.au/Series/F2020L01469</w:t>
        </w:r>
      </w:hyperlink>
    </w:p>
  </w:footnote>
  <w:footnote w:id="10">
    <w:p w14:paraId="2A8590A4" w14:textId="6A41FD62" w:rsidR="0025570D" w:rsidRDefault="0025570D">
      <w:pPr>
        <w:pStyle w:val="FootnoteText"/>
      </w:pPr>
      <w:r>
        <w:rPr>
          <w:rStyle w:val="FootnoteReference"/>
        </w:rPr>
        <w:footnoteRef/>
      </w:r>
      <w:r>
        <w:t xml:space="preserve"> Policy for Temporary Compounding of Certain Alcohol-Based Hand Sanitizer Products During the Public Health Emergency Immediately in Effect Guidance for Industry </w:t>
      </w:r>
      <w:hyperlink r:id="rId10" w:history="1">
        <w:r w:rsidRPr="00161D77">
          <w:rPr>
            <w:rStyle w:val="Hyperlink"/>
          </w:rPr>
          <w:t>https://www.fda.gov/media/136118/download</w:t>
        </w:r>
      </w:hyperlink>
    </w:p>
  </w:footnote>
  <w:footnote w:id="11">
    <w:p w14:paraId="788489DC" w14:textId="26EF2A90" w:rsidR="0025570D" w:rsidRPr="001D730D" w:rsidRDefault="0025570D" w:rsidP="0025570D">
      <w:pPr>
        <w:pStyle w:val="Heading1"/>
        <w:shd w:val="clear" w:color="auto" w:fill="FFFFFF"/>
        <w:spacing w:before="0" w:after="0"/>
        <w:rPr>
          <w:rFonts w:asciiTheme="minorHAnsi" w:hAnsiTheme="minorHAnsi"/>
          <w:b w:val="0"/>
          <w:color w:val="333333"/>
          <w:sz w:val="20"/>
          <w:szCs w:val="20"/>
          <w:lang w:eastAsia="en-AU"/>
        </w:rPr>
      </w:pPr>
      <w:r w:rsidRPr="001D730D">
        <w:rPr>
          <w:rStyle w:val="FootnoteReference"/>
          <w:rFonts w:ascii="Cambria" w:eastAsia="Cambria" w:hAnsi="Cambria"/>
          <w:b w:val="0"/>
          <w:bCs w:val="0"/>
          <w:sz w:val="20"/>
          <w:szCs w:val="20"/>
        </w:rPr>
        <w:footnoteRef/>
      </w:r>
      <w:r w:rsidRPr="001D730D">
        <w:rPr>
          <w:rStyle w:val="FootnoteReference"/>
          <w:rFonts w:ascii="Cambria" w:eastAsia="Cambria" w:hAnsi="Cambria"/>
          <w:b w:val="0"/>
          <w:bCs w:val="0"/>
          <w:sz w:val="20"/>
          <w:szCs w:val="20"/>
        </w:rPr>
        <w:t xml:space="preserve"> </w:t>
      </w:r>
      <w:r>
        <w:rPr>
          <w:rFonts w:ascii="Cambria" w:eastAsia="Cambria" w:hAnsi="Cambria"/>
          <w:b w:val="0"/>
          <w:bCs w:val="0"/>
          <w:sz w:val="20"/>
          <w:szCs w:val="20"/>
        </w:rPr>
        <w:t xml:space="preserve"> </w:t>
      </w:r>
      <w:r w:rsidRPr="001D730D">
        <w:rPr>
          <w:rFonts w:asciiTheme="minorHAnsi" w:hAnsiTheme="minorHAnsi"/>
          <w:b w:val="0"/>
          <w:color w:val="333333"/>
          <w:sz w:val="20"/>
          <w:szCs w:val="20"/>
        </w:rPr>
        <w:t>Coronavirus (COVID-19) Update: FDA Continues to Ensure Availability of Alcohol-Based Hand Sanitizer During the COVID-19 Pandemic, Addresses Safety Concerns</w:t>
      </w:r>
    </w:p>
    <w:p w14:paraId="230824CD" w14:textId="0FA9ABAB" w:rsidR="0025570D" w:rsidRDefault="0025570D" w:rsidP="001D730D">
      <w:pPr>
        <w:pStyle w:val="FootnoteText"/>
      </w:pPr>
      <w:r>
        <w:t xml:space="preserve"> </w:t>
      </w:r>
      <w:hyperlink r:id="rId11" w:history="1">
        <w:r w:rsidRPr="00161D77">
          <w:rPr>
            <w:rStyle w:val="Hyperlink"/>
          </w:rPr>
          <w:t>https://www.fda.gov/news-events/press-announcements/coronavirus-covid-19-update-fda-continues-ensure-availability-alcohol-based-hand-sanitizer-during</w:t>
        </w:r>
      </w:hyperlink>
    </w:p>
  </w:footnote>
  <w:footnote w:id="12">
    <w:p w14:paraId="66E77EE7" w14:textId="77777777" w:rsidR="0025570D" w:rsidRDefault="0025570D" w:rsidP="00352DD2">
      <w:pPr>
        <w:pStyle w:val="FootnoteText"/>
      </w:pPr>
      <w:r>
        <w:rPr>
          <w:rStyle w:val="FootnoteReference"/>
        </w:rPr>
        <w:footnoteRef/>
      </w:r>
      <w:r>
        <w:t xml:space="preserve"> Consumer Goods (Cosmetics) Information Standard 2020 </w:t>
      </w:r>
      <w:hyperlink r:id="rId12" w:history="1">
        <w:r w:rsidRPr="00161D77">
          <w:rPr>
            <w:rStyle w:val="Hyperlink"/>
          </w:rPr>
          <w:t>https://www.legislation.gov.au/Series/F2020L01469</w:t>
        </w:r>
      </w:hyperlink>
    </w:p>
  </w:footnote>
  <w:footnote w:id="13">
    <w:p w14:paraId="66E79A76" w14:textId="77777777" w:rsidR="0025570D" w:rsidRDefault="0025570D" w:rsidP="003E732D">
      <w:pPr>
        <w:pStyle w:val="FootnoteText"/>
      </w:pPr>
      <w:r>
        <w:rPr>
          <w:rStyle w:val="FootnoteReference"/>
        </w:rPr>
        <w:footnoteRef/>
      </w:r>
      <w:r>
        <w:t xml:space="preserve"> </w:t>
      </w:r>
      <w:r w:rsidRPr="007F3638">
        <w:t>Therapeutic Goods (Permissible Ingredients) Determination</w:t>
      </w:r>
      <w:r>
        <w:t xml:space="preserve"> </w:t>
      </w:r>
      <w:hyperlink r:id="rId13" w:history="1">
        <w:r w:rsidRPr="00C51833">
          <w:rPr>
            <w:rStyle w:val="Hyperlink"/>
          </w:rPr>
          <w:t>https://www.legislation.gov.au/Search/Therapeutic%20Goods%20$LB$Permissible%20Ingredients$RB$%20Determination</w:t>
        </w:r>
      </w:hyperlink>
      <w:r>
        <w:t xml:space="preserve"> </w:t>
      </w:r>
    </w:p>
  </w:footnote>
  <w:footnote w:id="14">
    <w:p w14:paraId="55CF06E2" w14:textId="77777777" w:rsidR="0025570D" w:rsidRPr="002F1C5C" w:rsidRDefault="0025570D" w:rsidP="003E732D">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4" w:history="1">
        <w:r w:rsidRPr="00E974A4">
          <w:rPr>
            <w:rStyle w:val="Hyperlink"/>
            <w:szCs w:val="16"/>
          </w:rPr>
          <w:t>https://www.tga.gov.au/prescribing-medicines-pregnancy-database</w:t>
        </w:r>
      </w:hyperlink>
      <w:r>
        <w:rPr>
          <w:szCs w:val="16"/>
        </w:rPr>
        <w:t xml:space="preserve"> </w:t>
      </w:r>
    </w:p>
  </w:footnote>
  <w:footnote w:id="15">
    <w:p w14:paraId="6AB597BF" w14:textId="77777777" w:rsidR="0025570D" w:rsidRDefault="0025570D" w:rsidP="008A4CFB">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5" w:history="1">
        <w:r w:rsidRPr="00FC5165">
          <w:rPr>
            <w:rStyle w:val="Hyperlink"/>
          </w:rPr>
          <w:t>https://www.legislation.gov.au/Details/F2019L00213</w:t>
        </w:r>
      </w:hyperlink>
      <w:r>
        <w:t xml:space="preserve"> </w:t>
      </w:r>
    </w:p>
  </w:footnote>
  <w:footnote w:id="16">
    <w:p w14:paraId="22C691CE" w14:textId="77777777" w:rsidR="0025570D" w:rsidRDefault="0025570D" w:rsidP="008A4CFB">
      <w:pPr>
        <w:pStyle w:val="FootnoteText"/>
      </w:pPr>
      <w:r>
        <w:rPr>
          <w:rStyle w:val="FootnoteReference"/>
        </w:rPr>
        <w:footnoteRef/>
      </w:r>
      <w:r>
        <w:t xml:space="preserve"> Database of Adverse Event Notifications – medicines</w:t>
      </w:r>
    </w:p>
    <w:p w14:paraId="36D44AB4" w14:textId="77777777" w:rsidR="0025570D" w:rsidRPr="00BB3154" w:rsidRDefault="00B812BB" w:rsidP="008A4CFB">
      <w:pPr>
        <w:pStyle w:val="FootnoteText"/>
        <w:rPr>
          <w:rStyle w:val="Hyperlink"/>
        </w:rPr>
      </w:pPr>
      <w:hyperlink r:id="rId16" w:history="1">
        <w:r w:rsidR="0025570D" w:rsidRPr="00BB3154">
          <w:rPr>
            <w:rStyle w:val="Hyperlink"/>
          </w:rPr>
          <w:t>https://apps.tga.gov.au/Prod/daen/daen-entry.aspx</w:t>
        </w:r>
      </w:hyperlink>
    </w:p>
  </w:footnote>
  <w:footnote w:id="17">
    <w:p w14:paraId="08EC3474" w14:textId="4746769C" w:rsidR="0025570D" w:rsidRPr="00BB3154" w:rsidRDefault="0025570D" w:rsidP="008A4CFB">
      <w:pPr>
        <w:pStyle w:val="FootnoteText"/>
        <w:rPr>
          <w:rStyle w:val="Hyperlink"/>
        </w:rPr>
      </w:pPr>
      <w:r>
        <w:rPr>
          <w:rStyle w:val="FootnoteReference"/>
        </w:rPr>
        <w:footnoteRef/>
      </w:r>
      <w:r>
        <w:t xml:space="preserve"> Public Chemical Registration Information System Search </w:t>
      </w:r>
      <w:hyperlink r:id="rId17" w:history="1">
        <w:r w:rsidRPr="00E2692B">
          <w:rPr>
            <w:rStyle w:val="Hyperlink"/>
          </w:rPr>
          <w:t>https://portal.apvma.gov.au/pubcris</w:t>
        </w:r>
      </w:hyperlink>
    </w:p>
  </w:footnote>
  <w:footnote w:id="18">
    <w:p w14:paraId="5065E7EC" w14:textId="77777777" w:rsidR="0025570D" w:rsidRDefault="0025570D" w:rsidP="00352DD2">
      <w:pPr>
        <w:pStyle w:val="FootnoteText"/>
      </w:pPr>
      <w:r>
        <w:rPr>
          <w:rStyle w:val="FootnoteReference"/>
        </w:rPr>
        <w:footnoteRef/>
      </w:r>
      <w:r>
        <w:t xml:space="preserve"> Consumer Goods (Cosmetics) Information Standard 2020 </w:t>
      </w:r>
      <w:hyperlink r:id="rId18" w:history="1">
        <w:r w:rsidRPr="00161D77">
          <w:rPr>
            <w:rStyle w:val="Hyperlink"/>
          </w:rPr>
          <w:t>https://www.legislation.gov.au/Series/F2020L01469</w:t>
        </w:r>
      </w:hyperlink>
    </w:p>
  </w:footnote>
  <w:footnote w:id="19">
    <w:p w14:paraId="203EF58D" w14:textId="77777777" w:rsidR="0025570D" w:rsidRDefault="0025570D" w:rsidP="00B624B9">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19" w:history="1">
        <w:r w:rsidRPr="00054C51">
          <w:rPr>
            <w:rStyle w:val="Hyperlink"/>
          </w:rPr>
          <w:t>www.who.int/publications/i/item/WHOMVPEMPIAU2019.06</w:t>
        </w:r>
      </w:hyperlink>
    </w:p>
  </w:footnote>
  <w:footnote w:id="20">
    <w:p w14:paraId="30DCA69C" w14:textId="77777777" w:rsidR="0025570D" w:rsidRPr="00710082" w:rsidRDefault="0025570D" w:rsidP="00B624B9">
      <w:pPr>
        <w:pStyle w:val="FootnoteText"/>
        <w:rPr>
          <w:rStyle w:val="Hyperlink"/>
        </w:rPr>
      </w:pPr>
      <w:r>
        <w:rPr>
          <w:rStyle w:val="FootnoteReference"/>
        </w:rPr>
        <w:footnoteRef/>
      </w:r>
      <w:r>
        <w:t xml:space="preserve"> </w:t>
      </w:r>
      <w:r w:rsidRPr="002A4D44">
        <w:t>FDA Approved Drug Products</w:t>
      </w:r>
      <w:r>
        <w:t xml:space="preserve"> Database </w:t>
      </w:r>
      <w:hyperlink r:id="rId20" w:history="1">
        <w:r w:rsidRPr="00FC7DB7">
          <w:rPr>
            <w:rStyle w:val="Hyperlink"/>
          </w:rPr>
          <w:t>https://www.accessdata.fda.gov/scripts/cder/daf/</w:t>
        </w:r>
      </w:hyperlink>
      <w:r>
        <w:t xml:space="preserve">  </w:t>
      </w:r>
    </w:p>
  </w:footnote>
  <w:footnote w:id="21">
    <w:p w14:paraId="62E99F02" w14:textId="77777777" w:rsidR="0025570D" w:rsidRDefault="0025570D" w:rsidP="00B624B9">
      <w:pPr>
        <w:pStyle w:val="FootnoteText"/>
        <w:rPr>
          <w:rStyle w:val="Hyperlink"/>
        </w:rPr>
      </w:pPr>
      <w:r>
        <w:rPr>
          <w:rStyle w:val="FootnoteReference"/>
        </w:rPr>
        <w:footnoteRef/>
      </w:r>
      <w:r>
        <w:t xml:space="preserve"> </w:t>
      </w:r>
      <w:r w:rsidRPr="00622181">
        <w:t>European Commission database for information on cosmetic substances and ingredients database</w:t>
      </w:r>
      <w:r>
        <w:rPr>
          <w:rStyle w:val="Hyperlink"/>
        </w:rPr>
        <w:t xml:space="preserve"> </w:t>
      </w:r>
    </w:p>
    <w:p w14:paraId="3785F9C0" w14:textId="77777777" w:rsidR="0025570D" w:rsidRPr="00622181" w:rsidRDefault="0025570D" w:rsidP="00B624B9">
      <w:pPr>
        <w:pStyle w:val="FootnoteText"/>
        <w:rPr>
          <w:rStyle w:val="Hyperlink"/>
        </w:rPr>
      </w:pPr>
      <w:r w:rsidRPr="00622181">
        <w:rPr>
          <w:rStyle w:val="Hyperlink"/>
        </w:rPr>
        <w:t>https://ec.europa.eu/growth/tools-databases/cosing/</w:t>
      </w:r>
    </w:p>
  </w:footnote>
  <w:footnote w:id="22">
    <w:p w14:paraId="4170FB5C" w14:textId="77777777" w:rsidR="0025570D" w:rsidRDefault="0025570D" w:rsidP="00B624B9">
      <w:pPr>
        <w:pStyle w:val="FootnoteText"/>
      </w:pPr>
      <w:r>
        <w:rPr>
          <w:rStyle w:val="FootnoteReference"/>
        </w:rPr>
        <w:footnoteRef/>
      </w:r>
      <w:r>
        <w:t xml:space="preserve"> </w:t>
      </w:r>
      <w:r w:rsidRPr="00B47755">
        <w:t>Canadian (Health Canada) Drug Product Database</w:t>
      </w:r>
      <w:r>
        <w:t xml:space="preserve"> </w:t>
      </w:r>
      <w:hyperlink r:id="rId21" w:history="1">
        <w:r w:rsidRPr="00FC7DB7">
          <w:rPr>
            <w:rStyle w:val="Hyperlink"/>
          </w:rPr>
          <w:t>https://health-products.canada.ca/dpd-bdpp/index-eng.jsp</w:t>
        </w:r>
      </w:hyperlink>
      <w:r>
        <w:t xml:space="preserve"> </w:t>
      </w:r>
    </w:p>
  </w:footnote>
  <w:footnote w:id="23">
    <w:p w14:paraId="0AFA619C" w14:textId="77777777" w:rsidR="0025570D" w:rsidRDefault="0025570D" w:rsidP="00B624B9">
      <w:pPr>
        <w:pStyle w:val="FootnoteText"/>
      </w:pPr>
      <w:r>
        <w:rPr>
          <w:rStyle w:val="FootnoteReference"/>
        </w:rPr>
        <w:footnoteRef/>
      </w:r>
      <w:r>
        <w:t xml:space="preserve"> Health Products Regulatory Authority (HPRA)</w:t>
      </w:r>
    </w:p>
    <w:p w14:paraId="427F5BA3" w14:textId="77777777" w:rsidR="0025570D" w:rsidRDefault="00B812BB" w:rsidP="00B624B9">
      <w:pPr>
        <w:pStyle w:val="FootnoteText"/>
      </w:pPr>
      <w:hyperlink r:id="rId22" w:history="1">
        <w:r w:rsidR="0025570D" w:rsidRPr="00054C51">
          <w:rPr>
            <w:rStyle w:val="Hyperlink"/>
          </w:rPr>
          <w:t>https://www.hpra.ie/homepage/medicines/medicines-information/find-a-medicine/results?query=&amp;field</w:t>
        </w:r>
      </w:hyperlink>
      <w:r w:rsidR="0025570D" w:rsidRPr="005A27ED">
        <w:t>=</w:t>
      </w:r>
    </w:p>
  </w:footnote>
  <w:footnote w:id="24">
    <w:p w14:paraId="7004881C" w14:textId="77777777" w:rsidR="0025570D" w:rsidRDefault="0025570D" w:rsidP="00B624B9">
      <w:pPr>
        <w:pStyle w:val="FootnoteText"/>
      </w:pPr>
      <w:r>
        <w:rPr>
          <w:rStyle w:val="FootnoteReference"/>
        </w:rPr>
        <w:footnoteRef/>
      </w:r>
      <w:r>
        <w:t xml:space="preserve"> </w:t>
      </w:r>
      <w:r w:rsidRPr="00B47755">
        <w:t>New Zealand Inventory of Chemicals (NZIoC)</w:t>
      </w:r>
    </w:p>
    <w:p w14:paraId="78E6932E" w14:textId="77777777" w:rsidR="0025570D" w:rsidRDefault="00B812BB" w:rsidP="00B624B9">
      <w:pPr>
        <w:pStyle w:val="FootnoteText"/>
      </w:pPr>
      <w:hyperlink r:id="rId23" w:history="1">
        <w:r w:rsidR="0025570D" w:rsidRPr="00054C51">
          <w:rPr>
            <w:rStyle w:val="Hyperlink"/>
          </w:rPr>
          <w:t>https://www.epa.govt.nz/database-search/new-zealand-inventory-of-chemicals-nzioc/DatabaseSearchForm/?SiteDatabaseSearchFilters=36&amp;Keyword=acequinocyl&amp;DatabaseType=NZIOC</w:t>
        </w:r>
      </w:hyperlink>
      <w:r w:rsidR="0025570D">
        <w:rPr>
          <w:rStyle w:val="Hyperlink"/>
        </w:rPr>
        <w:t xml:space="preserve"> </w:t>
      </w:r>
    </w:p>
  </w:footnote>
  <w:footnote w:id="25">
    <w:p w14:paraId="5B10D98E" w14:textId="77777777" w:rsidR="0025570D" w:rsidRDefault="0025570D" w:rsidP="00B624B9">
      <w:pPr>
        <w:pStyle w:val="FootnoteText"/>
      </w:pPr>
      <w:r>
        <w:rPr>
          <w:rStyle w:val="FootnoteReference"/>
        </w:rPr>
        <w:footnoteRef/>
      </w:r>
      <w:r>
        <w:t xml:space="preserve"> </w:t>
      </w:r>
      <w:r w:rsidRPr="00B47755">
        <w:t>New Zealand Medicines and Medical Devices Safety Authority (MedSafe)</w:t>
      </w:r>
      <w:r>
        <w:t xml:space="preserve"> </w:t>
      </w:r>
      <w:hyperlink r:id="rId24" w:history="1">
        <w:r w:rsidRPr="00FC7DB7">
          <w:rPr>
            <w:rStyle w:val="Hyperlink"/>
          </w:rPr>
          <w:t>https://www.medsafe.govt.nz/profs/class/classintro.asp</w:t>
        </w:r>
      </w:hyperlink>
      <w:r>
        <w:t xml:space="preserve">  </w:t>
      </w:r>
    </w:p>
  </w:footnote>
  <w:footnote w:id="26">
    <w:p w14:paraId="4F681DD7" w14:textId="77777777" w:rsidR="0025570D" w:rsidRDefault="0025570D" w:rsidP="00352DD2">
      <w:pPr>
        <w:pStyle w:val="FootnoteText"/>
      </w:pPr>
      <w:r>
        <w:rPr>
          <w:rStyle w:val="FootnoteReference"/>
        </w:rPr>
        <w:footnoteRef/>
      </w:r>
      <w:r>
        <w:t xml:space="preserve"> Consumer Goods (Cosmetics) Information Standard 2020 </w:t>
      </w:r>
      <w:hyperlink r:id="rId25" w:history="1">
        <w:r w:rsidRPr="00161D77">
          <w:rPr>
            <w:rStyle w:val="Hyperlink"/>
          </w:rPr>
          <w:t>https://www.legislation.gov.au/Series/F2020L01469</w:t>
        </w:r>
      </w:hyperlink>
    </w:p>
  </w:footnote>
  <w:footnote w:id="27">
    <w:p w14:paraId="45BE1B35" w14:textId="77777777" w:rsidR="0025570D" w:rsidRDefault="0025570D" w:rsidP="00F42613">
      <w:pPr>
        <w:pStyle w:val="FootnoteText"/>
      </w:pPr>
      <w:r>
        <w:rPr>
          <w:rStyle w:val="FootnoteReference"/>
        </w:rPr>
        <w:footnoteRef/>
      </w:r>
      <w:r>
        <w:t xml:space="preserve"> ARTG database </w:t>
      </w:r>
      <w:hyperlink r:id="rId26" w:history="1">
        <w:r w:rsidRPr="00025BAA">
          <w:rPr>
            <w:rStyle w:val="Hyperlink"/>
          </w:rPr>
          <w:t>https://www.tga.gov.au/artg</w:t>
        </w:r>
      </w:hyperlink>
      <w:r>
        <w:t xml:space="preserve"> </w:t>
      </w:r>
    </w:p>
  </w:footnote>
  <w:footnote w:id="28">
    <w:p w14:paraId="2FC8BB42" w14:textId="77777777" w:rsidR="0025570D" w:rsidRDefault="0025570D" w:rsidP="00F42613">
      <w:pPr>
        <w:pStyle w:val="FootnoteText"/>
      </w:pPr>
      <w:r>
        <w:rPr>
          <w:rStyle w:val="FootnoteReference"/>
        </w:rPr>
        <w:footnoteRef/>
      </w:r>
      <w:r>
        <w:t xml:space="preserve"> </w:t>
      </w:r>
      <w:r w:rsidRPr="00C81411">
        <w:t>TGA Ingredient Database</w:t>
      </w:r>
      <w:r>
        <w:t xml:space="preserve"> </w:t>
      </w:r>
      <w:hyperlink r:id="rId27" w:history="1">
        <w:r w:rsidRPr="00C81411">
          <w:rPr>
            <w:rStyle w:val="Hyperlink"/>
            <w:color w:val="002C47" w:themeColor="text2"/>
          </w:rPr>
          <w:t>https://www.ebs.tga.gov.au/</w:t>
        </w:r>
      </w:hyperlink>
    </w:p>
  </w:footnote>
  <w:footnote w:id="29">
    <w:p w14:paraId="6F5EC22E" w14:textId="18C15B0B" w:rsidR="0025570D" w:rsidRDefault="0025570D" w:rsidP="00F42613">
      <w:pPr>
        <w:pStyle w:val="FootnoteText"/>
      </w:pPr>
      <w:r>
        <w:rPr>
          <w:rStyle w:val="FootnoteReference"/>
        </w:rPr>
        <w:footnoteRef/>
      </w:r>
      <w:r>
        <w:t xml:space="preserve"> Therapeutic Goods (Excluded Goods-Hand Sanitisers) Determinations </w:t>
      </w:r>
      <w:hyperlink r:id="rId28" w:history="1">
        <w:r w:rsidRPr="00F42613">
          <w:rPr>
            <w:rStyle w:val="Hyperlink"/>
          </w:rPr>
          <w:t>https://www.legislation.gov.au/Details/F2020C00357</w:t>
        </w:r>
      </w:hyperlink>
    </w:p>
  </w:footnote>
  <w:footnote w:id="30">
    <w:p w14:paraId="3F4CE3B7" w14:textId="77777777" w:rsidR="0025570D" w:rsidRDefault="0025570D" w:rsidP="007D2637">
      <w:pPr>
        <w:pStyle w:val="FootnoteText"/>
      </w:pPr>
      <w:r>
        <w:rPr>
          <w:rStyle w:val="FootnoteReference"/>
        </w:rPr>
        <w:footnoteRef/>
      </w:r>
      <w:r>
        <w:t xml:space="preserve"> </w:t>
      </w:r>
      <w:r w:rsidRPr="007F3638">
        <w:t>Therapeutic Goods (Permissible Ingredients) Determination</w:t>
      </w:r>
      <w:r>
        <w:t xml:space="preserve"> </w:t>
      </w:r>
      <w:hyperlink r:id="rId29" w:history="1">
        <w:r w:rsidRPr="00C51833">
          <w:rPr>
            <w:rStyle w:val="Hyperlink"/>
          </w:rPr>
          <w:t>https://www.legislation.gov.au/Search/Therapeutic%20Goods%20$LB$Permissible%20Ingredients$RB$%20Determination</w:t>
        </w:r>
      </w:hyperlink>
      <w:r>
        <w:t xml:space="preserve"> </w:t>
      </w:r>
    </w:p>
  </w:footnote>
  <w:footnote w:id="31">
    <w:p w14:paraId="0B81F0E6" w14:textId="77777777" w:rsidR="0025570D" w:rsidRPr="002F1C5C" w:rsidRDefault="0025570D" w:rsidP="00DE4120">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30" w:history="1">
        <w:r w:rsidRPr="00E974A4">
          <w:rPr>
            <w:rStyle w:val="Hyperlink"/>
            <w:szCs w:val="16"/>
          </w:rPr>
          <w:t>https://www.tga.gov.au/prescribing-medicines-pregnancy-database</w:t>
        </w:r>
      </w:hyperlink>
      <w:r>
        <w:rPr>
          <w:szCs w:val="16"/>
        </w:rPr>
        <w:t xml:space="preserve"> </w:t>
      </w:r>
    </w:p>
  </w:footnote>
  <w:footnote w:id="32">
    <w:p w14:paraId="323C9927" w14:textId="77777777" w:rsidR="0025570D" w:rsidRDefault="0025570D" w:rsidP="00DE4120">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31" w:history="1">
        <w:r w:rsidRPr="00FC5165">
          <w:rPr>
            <w:rStyle w:val="Hyperlink"/>
          </w:rPr>
          <w:t>https://www.legislation.gov.au/Details/F2019L00213</w:t>
        </w:r>
      </w:hyperlink>
      <w:r>
        <w:t xml:space="preserve"> </w:t>
      </w:r>
    </w:p>
  </w:footnote>
  <w:footnote w:id="33">
    <w:p w14:paraId="3694ED03" w14:textId="77777777" w:rsidR="0025570D" w:rsidRDefault="0025570D" w:rsidP="00DE4120">
      <w:pPr>
        <w:pStyle w:val="FootnoteText"/>
      </w:pPr>
      <w:r>
        <w:rPr>
          <w:rStyle w:val="FootnoteReference"/>
        </w:rPr>
        <w:footnoteRef/>
      </w:r>
      <w:r>
        <w:t xml:space="preserve"> Database of Adverse Event Notifications – medicines</w:t>
      </w:r>
    </w:p>
    <w:p w14:paraId="0A554B09" w14:textId="77777777" w:rsidR="0025570D" w:rsidRPr="00BB3154" w:rsidRDefault="00B812BB" w:rsidP="00DE4120">
      <w:pPr>
        <w:pStyle w:val="FootnoteText"/>
        <w:rPr>
          <w:rStyle w:val="Hyperlink"/>
        </w:rPr>
      </w:pPr>
      <w:hyperlink r:id="rId32" w:history="1">
        <w:r w:rsidR="0025570D" w:rsidRPr="00BB3154">
          <w:rPr>
            <w:rStyle w:val="Hyperlink"/>
          </w:rPr>
          <w:t>https://apps.tga.gov.au/Prod/daen/daen-entry.aspx</w:t>
        </w:r>
      </w:hyperlink>
    </w:p>
  </w:footnote>
  <w:footnote w:id="34">
    <w:p w14:paraId="22EC6973" w14:textId="77777777" w:rsidR="0025570D" w:rsidRPr="00BB3154" w:rsidRDefault="0025570D" w:rsidP="00DE4120">
      <w:pPr>
        <w:pStyle w:val="FootnoteText"/>
        <w:rPr>
          <w:rStyle w:val="Hyperlink"/>
        </w:rPr>
      </w:pPr>
      <w:r>
        <w:rPr>
          <w:rStyle w:val="FootnoteReference"/>
        </w:rPr>
        <w:footnoteRef/>
      </w:r>
      <w:r>
        <w:t xml:space="preserve"> Public Chemical Registration Information System Search </w:t>
      </w:r>
      <w:hyperlink r:id="rId33" w:history="1">
        <w:r w:rsidRPr="00E2692B">
          <w:rPr>
            <w:rStyle w:val="Hyperlink"/>
          </w:rPr>
          <w:t>https://portal.apvma.gov.au/pubcris</w:t>
        </w:r>
      </w:hyperlink>
    </w:p>
  </w:footnote>
  <w:footnote w:id="35">
    <w:p w14:paraId="73E08000" w14:textId="77777777" w:rsidR="0025570D" w:rsidRDefault="0025570D" w:rsidP="00352DD2">
      <w:pPr>
        <w:pStyle w:val="FootnoteText"/>
      </w:pPr>
      <w:r>
        <w:rPr>
          <w:rStyle w:val="FootnoteReference"/>
        </w:rPr>
        <w:footnoteRef/>
      </w:r>
      <w:r>
        <w:t xml:space="preserve"> Consumer Goods (Cosmetics) Information Standard 2020 </w:t>
      </w:r>
      <w:hyperlink r:id="rId34" w:history="1">
        <w:r w:rsidRPr="00161D77">
          <w:rPr>
            <w:rStyle w:val="Hyperlink"/>
          </w:rPr>
          <w:t>https://www.legislation.gov.au/Series/F2020L01469</w:t>
        </w:r>
      </w:hyperlink>
    </w:p>
  </w:footnote>
  <w:footnote w:id="36">
    <w:p w14:paraId="3A91EADF" w14:textId="77777777" w:rsidR="0025570D" w:rsidRDefault="0025570D" w:rsidP="004A3EBE">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35" w:history="1">
        <w:r w:rsidRPr="00054C51">
          <w:rPr>
            <w:rStyle w:val="Hyperlink"/>
          </w:rPr>
          <w:t>www.who.int/publications/i/item/WHOMVPEMPIAU2019.06</w:t>
        </w:r>
      </w:hyperlink>
    </w:p>
  </w:footnote>
  <w:footnote w:id="37">
    <w:p w14:paraId="34F90783" w14:textId="77777777" w:rsidR="0025570D" w:rsidRPr="00710082" w:rsidRDefault="0025570D" w:rsidP="004A3EBE">
      <w:pPr>
        <w:pStyle w:val="FootnoteText"/>
        <w:rPr>
          <w:rStyle w:val="Hyperlink"/>
        </w:rPr>
      </w:pPr>
      <w:r>
        <w:rPr>
          <w:rStyle w:val="FootnoteReference"/>
        </w:rPr>
        <w:footnoteRef/>
      </w:r>
      <w:r>
        <w:t xml:space="preserve"> </w:t>
      </w:r>
      <w:r w:rsidRPr="002A4D44">
        <w:t>FDA Approved Drug Products</w:t>
      </w:r>
      <w:r>
        <w:t xml:space="preserve"> Database </w:t>
      </w:r>
      <w:hyperlink r:id="rId36" w:history="1">
        <w:r w:rsidRPr="00FC7DB7">
          <w:rPr>
            <w:rStyle w:val="Hyperlink"/>
          </w:rPr>
          <w:t>https://www.accessdata.fda.gov/scripts/cder/daf/</w:t>
        </w:r>
      </w:hyperlink>
      <w:r>
        <w:t xml:space="preserve">  </w:t>
      </w:r>
    </w:p>
  </w:footnote>
  <w:footnote w:id="38">
    <w:p w14:paraId="6E5CE48D" w14:textId="77777777" w:rsidR="0025570D" w:rsidRDefault="0025570D" w:rsidP="004A3EBE">
      <w:pPr>
        <w:pStyle w:val="FootnoteText"/>
        <w:rPr>
          <w:rStyle w:val="Hyperlink"/>
        </w:rPr>
      </w:pPr>
      <w:r>
        <w:rPr>
          <w:rStyle w:val="FootnoteReference"/>
        </w:rPr>
        <w:footnoteRef/>
      </w:r>
      <w:r>
        <w:t xml:space="preserve"> </w:t>
      </w:r>
      <w:r w:rsidRPr="00622181">
        <w:t>European Commission database for information on cosmetic substances and ingredients database</w:t>
      </w:r>
      <w:r>
        <w:rPr>
          <w:rStyle w:val="Hyperlink"/>
        </w:rPr>
        <w:t xml:space="preserve"> </w:t>
      </w:r>
    </w:p>
    <w:p w14:paraId="7CB8F3A0" w14:textId="77777777" w:rsidR="0025570D" w:rsidRPr="00622181" w:rsidRDefault="0025570D" w:rsidP="004A3EBE">
      <w:pPr>
        <w:pStyle w:val="FootnoteText"/>
        <w:rPr>
          <w:rStyle w:val="Hyperlink"/>
        </w:rPr>
      </w:pPr>
      <w:r w:rsidRPr="00622181">
        <w:rPr>
          <w:rStyle w:val="Hyperlink"/>
        </w:rPr>
        <w:t>https://ec.europa.eu/growth/tools-databases/cosing/</w:t>
      </w:r>
    </w:p>
  </w:footnote>
  <w:footnote w:id="39">
    <w:p w14:paraId="58D4EC56" w14:textId="77777777" w:rsidR="0025570D" w:rsidRDefault="0025570D" w:rsidP="004A3EBE">
      <w:pPr>
        <w:pStyle w:val="FootnoteText"/>
      </w:pPr>
      <w:r>
        <w:rPr>
          <w:rStyle w:val="FootnoteReference"/>
        </w:rPr>
        <w:footnoteRef/>
      </w:r>
      <w:r>
        <w:t xml:space="preserve"> </w:t>
      </w:r>
      <w:r w:rsidRPr="00B47755">
        <w:t>Canadian (Health Canada) Drug Product Database</w:t>
      </w:r>
      <w:r>
        <w:t xml:space="preserve"> </w:t>
      </w:r>
      <w:hyperlink r:id="rId37" w:history="1">
        <w:r w:rsidRPr="00FC7DB7">
          <w:rPr>
            <w:rStyle w:val="Hyperlink"/>
          </w:rPr>
          <w:t>https://health-products.canada.ca/dpd-bdpp/index-eng.jsp</w:t>
        </w:r>
      </w:hyperlink>
      <w:r>
        <w:t xml:space="preserve"> </w:t>
      </w:r>
    </w:p>
  </w:footnote>
  <w:footnote w:id="40">
    <w:p w14:paraId="42303B7C" w14:textId="77777777" w:rsidR="0025570D" w:rsidRDefault="0025570D" w:rsidP="004A3EBE">
      <w:pPr>
        <w:pStyle w:val="FootnoteText"/>
      </w:pPr>
      <w:r>
        <w:rPr>
          <w:rStyle w:val="FootnoteReference"/>
        </w:rPr>
        <w:footnoteRef/>
      </w:r>
      <w:r>
        <w:t xml:space="preserve"> Health Products Regulatory Authority (HPRA)</w:t>
      </w:r>
    </w:p>
    <w:p w14:paraId="4F66DE09" w14:textId="77777777" w:rsidR="0025570D" w:rsidRDefault="00B812BB" w:rsidP="004A3EBE">
      <w:pPr>
        <w:pStyle w:val="FootnoteText"/>
      </w:pPr>
      <w:hyperlink r:id="rId38" w:history="1">
        <w:r w:rsidR="0025570D" w:rsidRPr="00054C51">
          <w:rPr>
            <w:rStyle w:val="Hyperlink"/>
          </w:rPr>
          <w:t>https://www.hpra.ie/homepage/medicines/medicines-information/find-a-medicine/results?query=&amp;field</w:t>
        </w:r>
      </w:hyperlink>
      <w:r w:rsidR="0025570D" w:rsidRPr="005A27ED">
        <w:t>=</w:t>
      </w:r>
    </w:p>
  </w:footnote>
  <w:footnote w:id="41">
    <w:p w14:paraId="184CA728" w14:textId="77777777" w:rsidR="0025570D" w:rsidRDefault="0025570D" w:rsidP="004A3EBE">
      <w:pPr>
        <w:pStyle w:val="FootnoteText"/>
      </w:pPr>
      <w:r>
        <w:rPr>
          <w:rStyle w:val="FootnoteReference"/>
        </w:rPr>
        <w:footnoteRef/>
      </w:r>
      <w:r>
        <w:t xml:space="preserve"> </w:t>
      </w:r>
      <w:r w:rsidRPr="00B47755">
        <w:t>New Zealand Inventory of Chemicals (NZIoC)</w:t>
      </w:r>
    </w:p>
    <w:p w14:paraId="4FB56AA5" w14:textId="77777777" w:rsidR="0025570D" w:rsidRDefault="00B812BB" w:rsidP="004A3EBE">
      <w:pPr>
        <w:pStyle w:val="FootnoteText"/>
      </w:pPr>
      <w:hyperlink r:id="rId39" w:history="1">
        <w:r w:rsidR="0025570D" w:rsidRPr="00054C51">
          <w:rPr>
            <w:rStyle w:val="Hyperlink"/>
          </w:rPr>
          <w:t>https://www.epa.govt.nz/database-search/new-zealand-inventory-of-chemicals-nzioc/DatabaseSearchForm/?SiteDatabaseSearchFilters=36&amp;Keyword=acequinocyl&amp;DatabaseType=NZIOC</w:t>
        </w:r>
      </w:hyperlink>
      <w:r w:rsidR="0025570D">
        <w:rPr>
          <w:rStyle w:val="Hyperlink"/>
        </w:rPr>
        <w:t xml:space="preserve"> </w:t>
      </w:r>
    </w:p>
  </w:footnote>
  <w:footnote w:id="42">
    <w:p w14:paraId="2137A787" w14:textId="77777777" w:rsidR="0025570D" w:rsidRDefault="0025570D" w:rsidP="004A3EBE">
      <w:pPr>
        <w:pStyle w:val="FootnoteText"/>
      </w:pPr>
      <w:r>
        <w:rPr>
          <w:rStyle w:val="FootnoteReference"/>
        </w:rPr>
        <w:footnoteRef/>
      </w:r>
      <w:r>
        <w:t xml:space="preserve"> </w:t>
      </w:r>
      <w:r w:rsidRPr="00B47755">
        <w:t>New Zealand Medicines and Medical Devices Safety Authority (MedSafe)</w:t>
      </w:r>
      <w:r>
        <w:t xml:space="preserve"> </w:t>
      </w:r>
      <w:hyperlink r:id="rId40" w:history="1">
        <w:r w:rsidRPr="00FC7DB7">
          <w:rPr>
            <w:rStyle w:val="Hyperlink"/>
          </w:rPr>
          <w:t>https://www.medsafe.govt.nz/profs/class/classintro.asp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9259" w14:textId="77777777" w:rsidR="0025570D" w:rsidRPr="00920FF4" w:rsidRDefault="0025570D"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20D8" w14:textId="77777777" w:rsidR="0025570D" w:rsidRPr="00E32326" w:rsidRDefault="0025570D"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5570D" w:rsidRPr="00FF7B50" w14:paraId="68E41C3B" w14:textId="77777777" w:rsidTr="003C02CB">
      <w:trPr>
        <w:trHeight w:hRule="exact" w:val="8845"/>
      </w:trPr>
      <w:tc>
        <w:tcPr>
          <w:tcW w:w="11964" w:type="dxa"/>
        </w:tcPr>
        <w:p w14:paraId="4E45DAB4" w14:textId="77777777" w:rsidR="0025570D" w:rsidRPr="00FF7B50" w:rsidRDefault="00B812BB" w:rsidP="00AE0320">
          <w:pPr>
            <w:pStyle w:val="Header"/>
            <w:ind w:left="-57"/>
            <w:jc w:val="left"/>
            <w:rPr>
              <w:noProof/>
              <w:lang w:eastAsia="en-AU"/>
            </w:rPr>
          </w:pPr>
          <w:sdt>
            <w:sdtPr>
              <w:rPr>
                <w:noProof/>
                <w:lang w:eastAsia="en-AU"/>
              </w:rPr>
              <w:id w:val="3702145"/>
              <w:showingPlcHdr/>
              <w:picture/>
            </w:sdtPr>
            <w:sdtEndPr/>
            <w:sdtContent>
              <w:r w:rsidR="0025570D"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25570D" w:rsidRPr="00E32326" w:rsidRDefault="0025570D"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5CE7" w14:textId="77777777" w:rsidR="0025570D" w:rsidRPr="00920FF4" w:rsidRDefault="0025570D"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1DD3" w14:textId="77777777" w:rsidR="0025570D" w:rsidRPr="00920FF4" w:rsidRDefault="0025570D"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6CCF" w14:textId="77777777" w:rsidR="0025570D" w:rsidRPr="009401F6" w:rsidRDefault="0025570D" w:rsidP="0047772E"/>
  <w:p w14:paraId="26CF139F" w14:textId="77777777" w:rsidR="0025570D" w:rsidRPr="002B0C2E" w:rsidRDefault="0025570D"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A81D8D"/>
    <w:multiLevelType w:val="hybridMultilevel"/>
    <w:tmpl w:val="CCD0BBDA"/>
    <w:lvl w:ilvl="0" w:tplc="AFD05C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E24F4"/>
    <w:multiLevelType w:val="hybridMultilevel"/>
    <w:tmpl w:val="A96E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8F13E9"/>
    <w:multiLevelType w:val="multilevel"/>
    <w:tmpl w:val="6B28807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3A4615"/>
    <w:multiLevelType w:val="hybridMultilevel"/>
    <w:tmpl w:val="1D4A0D70"/>
    <w:lvl w:ilvl="0" w:tplc="EE3AC95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F2D5113"/>
    <w:multiLevelType w:val="hybridMultilevel"/>
    <w:tmpl w:val="34B436F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C77F98"/>
    <w:multiLevelType w:val="hybridMultilevel"/>
    <w:tmpl w:val="68F88AE4"/>
    <w:lvl w:ilvl="0" w:tplc="D6D8B654">
      <w:numFmt w:val="bullet"/>
      <w:lvlText w:val="-"/>
      <w:lvlJc w:val="left"/>
      <w:pPr>
        <w:ind w:left="1800" w:hanging="360"/>
      </w:pPr>
      <w:rPr>
        <w:rFonts w:ascii="Cambria" w:eastAsia="Cambria" w:hAnsi="Cambria"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B079B4"/>
    <w:multiLevelType w:val="hybridMultilevel"/>
    <w:tmpl w:val="780E126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A37444"/>
    <w:multiLevelType w:val="hybridMultilevel"/>
    <w:tmpl w:val="6212E3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num>
  <w:num w:numId="4">
    <w:abstractNumId w:val="0"/>
  </w:num>
  <w:num w:numId="5">
    <w:abstractNumId w:val="9"/>
  </w:num>
  <w:num w:numId="6">
    <w:abstractNumId w:val="19"/>
  </w:num>
  <w:num w:numId="7">
    <w:abstractNumId w:val="1"/>
  </w:num>
  <w:num w:numId="8">
    <w:abstractNumId w:val="13"/>
  </w:num>
  <w:num w:numId="9">
    <w:abstractNumId w:val="15"/>
  </w:num>
  <w:num w:numId="10">
    <w:abstractNumId w:val="14"/>
  </w:num>
  <w:num w:numId="11">
    <w:abstractNumId w:val="7"/>
  </w:num>
  <w:num w:numId="12">
    <w:abstractNumId w:val="12"/>
  </w:num>
  <w:num w:numId="13">
    <w:abstractNumId w:val="17"/>
  </w:num>
  <w:num w:numId="14">
    <w:abstractNumId w:val="11"/>
  </w:num>
  <w:num w:numId="15">
    <w:abstractNumId w:val="6"/>
  </w:num>
  <w:num w:numId="16">
    <w:abstractNumId w:val="8"/>
  </w:num>
  <w:num w:numId="17">
    <w:abstractNumId w:val="5"/>
  </w:num>
  <w:num w:numId="18">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num>
  <w:num w:numId="19">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0">
    <w:abstractNumId w:val="3"/>
    <w:lvlOverride w:ilvl="0">
      <w:lvl w:ilvl="0">
        <w:start w:val="1"/>
        <w:numFmt w:val="bullet"/>
        <w:pStyle w:val="ListBullet"/>
        <w:lvlText w:val=""/>
        <w:lvlJc w:val="left"/>
        <w:pPr>
          <w:ind w:left="360" w:hanging="360"/>
        </w:pPr>
        <w:rPr>
          <w:rFonts w:ascii="Symbol" w:hAnsi="Symbol" w:hint="default"/>
          <w:color w:val="auto"/>
        </w:rPr>
      </w:lvl>
    </w:lvlOverride>
  </w:num>
  <w:num w:numId="21">
    <w:abstractNumId w:val="3"/>
    <w:lvlOverride w:ilvl="0">
      <w:lvl w:ilvl="0">
        <w:start w:val="1"/>
        <w:numFmt w:val="bullet"/>
        <w:pStyle w:val="ListBullet"/>
        <w:lvlText w:val="•"/>
        <w:lvlJc w:val="left"/>
        <w:pPr>
          <w:ind w:left="360" w:hanging="360"/>
        </w:pPr>
        <w:rPr>
          <w:rFonts w:ascii="Arial" w:hAnsi="Arial" w:hint="default"/>
          <w:color w:val="auto"/>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abstractNumId w:val="4"/>
  </w:num>
  <w:num w:numId="23">
    <w:abstractNumId w:val="3"/>
  </w:num>
  <w:num w:numId="24">
    <w:abstractNumId w:val="2"/>
  </w:num>
  <w:num w:numId="25">
    <w:abstractNumId w:val="16"/>
  </w:num>
  <w:num w:numId="26">
    <w:abstractNumId w:val="10"/>
  </w:num>
  <w:num w:numId="27">
    <w:abstractNumId w:val="18"/>
  </w:num>
  <w:num w:numId="28">
    <w:abstractNumId w:val="8"/>
    <w:lvlOverride w:ilvl="0">
      <w:startOverride w:val="1"/>
    </w:lvlOverride>
  </w:num>
  <w:num w:numId="29">
    <w:abstractNumId w:val="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5"/>
    <w:rsid w:val="00002031"/>
    <w:rsid w:val="00004734"/>
    <w:rsid w:val="00004E1A"/>
    <w:rsid w:val="00006B22"/>
    <w:rsid w:val="0001276A"/>
    <w:rsid w:val="000246AE"/>
    <w:rsid w:val="00025C67"/>
    <w:rsid w:val="0003306D"/>
    <w:rsid w:val="00055129"/>
    <w:rsid w:val="000554B4"/>
    <w:rsid w:val="0005559E"/>
    <w:rsid w:val="00061E51"/>
    <w:rsid w:val="00063028"/>
    <w:rsid w:val="00077775"/>
    <w:rsid w:val="00090471"/>
    <w:rsid w:val="000958DF"/>
    <w:rsid w:val="000A0965"/>
    <w:rsid w:val="000A3608"/>
    <w:rsid w:val="000B0A5D"/>
    <w:rsid w:val="000B3532"/>
    <w:rsid w:val="000B3A75"/>
    <w:rsid w:val="000B7084"/>
    <w:rsid w:val="000C1C08"/>
    <w:rsid w:val="000C5A31"/>
    <w:rsid w:val="000D391B"/>
    <w:rsid w:val="000D3D6D"/>
    <w:rsid w:val="000D4FC7"/>
    <w:rsid w:val="000E70A2"/>
    <w:rsid w:val="000F4869"/>
    <w:rsid w:val="000F5B42"/>
    <w:rsid w:val="000F6E6F"/>
    <w:rsid w:val="001003F2"/>
    <w:rsid w:val="00102760"/>
    <w:rsid w:val="0010601F"/>
    <w:rsid w:val="00107378"/>
    <w:rsid w:val="00110EA5"/>
    <w:rsid w:val="001119DF"/>
    <w:rsid w:val="00115240"/>
    <w:rsid w:val="00125091"/>
    <w:rsid w:val="00125318"/>
    <w:rsid w:val="0012715D"/>
    <w:rsid w:val="001305A2"/>
    <w:rsid w:val="00132294"/>
    <w:rsid w:val="001327F2"/>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069"/>
    <w:rsid w:val="0018693C"/>
    <w:rsid w:val="0019255A"/>
    <w:rsid w:val="00197D17"/>
    <w:rsid w:val="001A525F"/>
    <w:rsid w:val="001A69AB"/>
    <w:rsid w:val="001B09F9"/>
    <w:rsid w:val="001B6448"/>
    <w:rsid w:val="001D480A"/>
    <w:rsid w:val="001D730D"/>
    <w:rsid w:val="001E07CF"/>
    <w:rsid w:val="001E59F1"/>
    <w:rsid w:val="001F49EB"/>
    <w:rsid w:val="001F6CBA"/>
    <w:rsid w:val="001F78B9"/>
    <w:rsid w:val="00201D4E"/>
    <w:rsid w:val="00204F19"/>
    <w:rsid w:val="00207515"/>
    <w:rsid w:val="00207FDD"/>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570D"/>
    <w:rsid w:val="00257138"/>
    <w:rsid w:val="00257848"/>
    <w:rsid w:val="0027084A"/>
    <w:rsid w:val="00271109"/>
    <w:rsid w:val="00277EF5"/>
    <w:rsid w:val="00286434"/>
    <w:rsid w:val="00286C59"/>
    <w:rsid w:val="002942D1"/>
    <w:rsid w:val="002A0556"/>
    <w:rsid w:val="002B0C2E"/>
    <w:rsid w:val="002B1638"/>
    <w:rsid w:val="002B706C"/>
    <w:rsid w:val="002C1070"/>
    <w:rsid w:val="002C1D7D"/>
    <w:rsid w:val="002C2511"/>
    <w:rsid w:val="002C6C8D"/>
    <w:rsid w:val="002D1EDF"/>
    <w:rsid w:val="002E4C9A"/>
    <w:rsid w:val="002F11F8"/>
    <w:rsid w:val="002F3F56"/>
    <w:rsid w:val="002F44B5"/>
    <w:rsid w:val="00311AC0"/>
    <w:rsid w:val="00312013"/>
    <w:rsid w:val="003204DD"/>
    <w:rsid w:val="00331DBB"/>
    <w:rsid w:val="00332680"/>
    <w:rsid w:val="003405C7"/>
    <w:rsid w:val="003521E8"/>
    <w:rsid w:val="00352DD2"/>
    <w:rsid w:val="00365DDD"/>
    <w:rsid w:val="003664BF"/>
    <w:rsid w:val="003728F3"/>
    <w:rsid w:val="00390900"/>
    <w:rsid w:val="00397DDA"/>
    <w:rsid w:val="003A13F0"/>
    <w:rsid w:val="003A35BD"/>
    <w:rsid w:val="003B00C5"/>
    <w:rsid w:val="003B443E"/>
    <w:rsid w:val="003B7E39"/>
    <w:rsid w:val="003C02CB"/>
    <w:rsid w:val="003C0BBB"/>
    <w:rsid w:val="003C30DC"/>
    <w:rsid w:val="003C3431"/>
    <w:rsid w:val="003C58DC"/>
    <w:rsid w:val="003C7461"/>
    <w:rsid w:val="003D0CD9"/>
    <w:rsid w:val="003D6A13"/>
    <w:rsid w:val="003E1D49"/>
    <w:rsid w:val="003E3208"/>
    <w:rsid w:val="003E3D34"/>
    <w:rsid w:val="003E64F4"/>
    <w:rsid w:val="003E732D"/>
    <w:rsid w:val="003E7EAA"/>
    <w:rsid w:val="003F0B04"/>
    <w:rsid w:val="003F2222"/>
    <w:rsid w:val="003F6F7D"/>
    <w:rsid w:val="0040134E"/>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A3EBE"/>
    <w:rsid w:val="004B4CB5"/>
    <w:rsid w:val="004B5A6B"/>
    <w:rsid w:val="004B7B76"/>
    <w:rsid w:val="004C0070"/>
    <w:rsid w:val="004C2E29"/>
    <w:rsid w:val="004D3B35"/>
    <w:rsid w:val="004D51A6"/>
    <w:rsid w:val="004D6B84"/>
    <w:rsid w:val="004E1DED"/>
    <w:rsid w:val="004E3101"/>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19C9"/>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B30DA"/>
    <w:rsid w:val="006B6040"/>
    <w:rsid w:val="006C1F3B"/>
    <w:rsid w:val="006C3E2A"/>
    <w:rsid w:val="006C626D"/>
    <w:rsid w:val="006C642F"/>
    <w:rsid w:val="006C6EDB"/>
    <w:rsid w:val="006D039E"/>
    <w:rsid w:val="006D03E5"/>
    <w:rsid w:val="006D0B24"/>
    <w:rsid w:val="006D0C3B"/>
    <w:rsid w:val="006D5D3E"/>
    <w:rsid w:val="006E08B3"/>
    <w:rsid w:val="006E5AB4"/>
    <w:rsid w:val="006F572E"/>
    <w:rsid w:val="007046D6"/>
    <w:rsid w:val="00705DB0"/>
    <w:rsid w:val="00706AFE"/>
    <w:rsid w:val="00725A8B"/>
    <w:rsid w:val="007317DC"/>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4C39"/>
    <w:rsid w:val="00785721"/>
    <w:rsid w:val="00793A59"/>
    <w:rsid w:val="007A2162"/>
    <w:rsid w:val="007B302B"/>
    <w:rsid w:val="007B43ED"/>
    <w:rsid w:val="007B4BF9"/>
    <w:rsid w:val="007C0F3D"/>
    <w:rsid w:val="007C1AF7"/>
    <w:rsid w:val="007C7A6D"/>
    <w:rsid w:val="007C7B5B"/>
    <w:rsid w:val="007D2637"/>
    <w:rsid w:val="007E7BF8"/>
    <w:rsid w:val="007F2FF0"/>
    <w:rsid w:val="00810598"/>
    <w:rsid w:val="00811166"/>
    <w:rsid w:val="00814492"/>
    <w:rsid w:val="00821776"/>
    <w:rsid w:val="00826007"/>
    <w:rsid w:val="00826C1D"/>
    <w:rsid w:val="0083193E"/>
    <w:rsid w:val="008321F5"/>
    <w:rsid w:val="00832369"/>
    <w:rsid w:val="00834660"/>
    <w:rsid w:val="00834C8E"/>
    <w:rsid w:val="00836BC2"/>
    <w:rsid w:val="0084156C"/>
    <w:rsid w:val="0084580B"/>
    <w:rsid w:val="00845BCA"/>
    <w:rsid w:val="00853C8F"/>
    <w:rsid w:val="00854F57"/>
    <w:rsid w:val="0085641B"/>
    <w:rsid w:val="00857136"/>
    <w:rsid w:val="00870B12"/>
    <w:rsid w:val="008752CE"/>
    <w:rsid w:val="008821AA"/>
    <w:rsid w:val="00883BD3"/>
    <w:rsid w:val="008855B8"/>
    <w:rsid w:val="008932F3"/>
    <w:rsid w:val="00896018"/>
    <w:rsid w:val="008A07FF"/>
    <w:rsid w:val="008A2B9D"/>
    <w:rsid w:val="008A4CFB"/>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266DC"/>
    <w:rsid w:val="00930237"/>
    <w:rsid w:val="00934397"/>
    <w:rsid w:val="009401F6"/>
    <w:rsid w:val="00940F44"/>
    <w:rsid w:val="00941988"/>
    <w:rsid w:val="00952562"/>
    <w:rsid w:val="00952D88"/>
    <w:rsid w:val="00963C08"/>
    <w:rsid w:val="00997420"/>
    <w:rsid w:val="009A09AA"/>
    <w:rsid w:val="009A474D"/>
    <w:rsid w:val="009A4CED"/>
    <w:rsid w:val="009B15F1"/>
    <w:rsid w:val="009B1D12"/>
    <w:rsid w:val="009B416B"/>
    <w:rsid w:val="009C4BD5"/>
    <w:rsid w:val="009D1F2D"/>
    <w:rsid w:val="009D2E04"/>
    <w:rsid w:val="009D7B77"/>
    <w:rsid w:val="009E0BB0"/>
    <w:rsid w:val="009E0FC3"/>
    <w:rsid w:val="009E3FBB"/>
    <w:rsid w:val="009E71F4"/>
    <w:rsid w:val="009F018D"/>
    <w:rsid w:val="009F7D61"/>
    <w:rsid w:val="00A052B5"/>
    <w:rsid w:val="00A1235B"/>
    <w:rsid w:val="00A14DF7"/>
    <w:rsid w:val="00A14E38"/>
    <w:rsid w:val="00A23F3C"/>
    <w:rsid w:val="00A3246D"/>
    <w:rsid w:val="00A3654F"/>
    <w:rsid w:val="00A36FA7"/>
    <w:rsid w:val="00A475B7"/>
    <w:rsid w:val="00A47AF7"/>
    <w:rsid w:val="00A47C3E"/>
    <w:rsid w:val="00A50226"/>
    <w:rsid w:val="00A539AC"/>
    <w:rsid w:val="00A56488"/>
    <w:rsid w:val="00A60BAD"/>
    <w:rsid w:val="00A64387"/>
    <w:rsid w:val="00A657D1"/>
    <w:rsid w:val="00A736F3"/>
    <w:rsid w:val="00A73A8D"/>
    <w:rsid w:val="00A84503"/>
    <w:rsid w:val="00A85B04"/>
    <w:rsid w:val="00A87334"/>
    <w:rsid w:val="00AB6F47"/>
    <w:rsid w:val="00AC2B40"/>
    <w:rsid w:val="00AC2BB2"/>
    <w:rsid w:val="00AC2C3C"/>
    <w:rsid w:val="00AC3BD9"/>
    <w:rsid w:val="00AC62E7"/>
    <w:rsid w:val="00AC7EB0"/>
    <w:rsid w:val="00AD4AA0"/>
    <w:rsid w:val="00AE0320"/>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24B9"/>
    <w:rsid w:val="00B64F68"/>
    <w:rsid w:val="00B76B91"/>
    <w:rsid w:val="00B812BB"/>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626A"/>
    <w:rsid w:val="00C471B1"/>
    <w:rsid w:val="00C52BEE"/>
    <w:rsid w:val="00C6316B"/>
    <w:rsid w:val="00C634A9"/>
    <w:rsid w:val="00C73D6C"/>
    <w:rsid w:val="00C772FF"/>
    <w:rsid w:val="00C77BC8"/>
    <w:rsid w:val="00C801AF"/>
    <w:rsid w:val="00C80256"/>
    <w:rsid w:val="00CA77CC"/>
    <w:rsid w:val="00CB6BC0"/>
    <w:rsid w:val="00CC037F"/>
    <w:rsid w:val="00CC1B7C"/>
    <w:rsid w:val="00CC727F"/>
    <w:rsid w:val="00CD2699"/>
    <w:rsid w:val="00CD7871"/>
    <w:rsid w:val="00CE5BB0"/>
    <w:rsid w:val="00CE6A46"/>
    <w:rsid w:val="00CF15C3"/>
    <w:rsid w:val="00CF2B6F"/>
    <w:rsid w:val="00CF3409"/>
    <w:rsid w:val="00D017ED"/>
    <w:rsid w:val="00D153B1"/>
    <w:rsid w:val="00D224FE"/>
    <w:rsid w:val="00D229BA"/>
    <w:rsid w:val="00D26B84"/>
    <w:rsid w:val="00D26D35"/>
    <w:rsid w:val="00D433BD"/>
    <w:rsid w:val="00D5616E"/>
    <w:rsid w:val="00D634FE"/>
    <w:rsid w:val="00D6493E"/>
    <w:rsid w:val="00D75206"/>
    <w:rsid w:val="00D85AC0"/>
    <w:rsid w:val="00DA1124"/>
    <w:rsid w:val="00DA159B"/>
    <w:rsid w:val="00DA1DEF"/>
    <w:rsid w:val="00DA3043"/>
    <w:rsid w:val="00DD4C9F"/>
    <w:rsid w:val="00DD75A3"/>
    <w:rsid w:val="00DD7A91"/>
    <w:rsid w:val="00DE02AE"/>
    <w:rsid w:val="00DE4120"/>
    <w:rsid w:val="00DE6A0C"/>
    <w:rsid w:val="00DE6C04"/>
    <w:rsid w:val="00DE75AC"/>
    <w:rsid w:val="00DF1D7F"/>
    <w:rsid w:val="00E02FB4"/>
    <w:rsid w:val="00E1340C"/>
    <w:rsid w:val="00E20571"/>
    <w:rsid w:val="00E21651"/>
    <w:rsid w:val="00E235F7"/>
    <w:rsid w:val="00E239D4"/>
    <w:rsid w:val="00E2692B"/>
    <w:rsid w:val="00E32326"/>
    <w:rsid w:val="00E40B22"/>
    <w:rsid w:val="00E4588F"/>
    <w:rsid w:val="00E46DA3"/>
    <w:rsid w:val="00E51164"/>
    <w:rsid w:val="00E72545"/>
    <w:rsid w:val="00E8120B"/>
    <w:rsid w:val="00EA16DE"/>
    <w:rsid w:val="00EA406B"/>
    <w:rsid w:val="00EA453A"/>
    <w:rsid w:val="00EB0798"/>
    <w:rsid w:val="00EB182C"/>
    <w:rsid w:val="00EB19F8"/>
    <w:rsid w:val="00EB40AD"/>
    <w:rsid w:val="00EB586E"/>
    <w:rsid w:val="00EB5FC8"/>
    <w:rsid w:val="00EC1271"/>
    <w:rsid w:val="00ED0664"/>
    <w:rsid w:val="00ED0C8B"/>
    <w:rsid w:val="00ED363D"/>
    <w:rsid w:val="00ED5A41"/>
    <w:rsid w:val="00EE1482"/>
    <w:rsid w:val="00EE255A"/>
    <w:rsid w:val="00EE3547"/>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2613"/>
    <w:rsid w:val="00F4305F"/>
    <w:rsid w:val="00F44B0D"/>
    <w:rsid w:val="00F4663D"/>
    <w:rsid w:val="00F467A6"/>
    <w:rsid w:val="00F471F5"/>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5"/>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5"/>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6"/>
      </w:numPr>
    </w:pPr>
  </w:style>
  <w:style w:type="paragraph" w:customStyle="1" w:styleId="ListBulleti">
    <w:name w:val="List Bullet i)"/>
    <w:basedOn w:val="ListBullet"/>
    <w:uiPriority w:val="1"/>
    <w:qFormat/>
    <w:rsid w:val="003C02CB"/>
    <w:pPr>
      <w:numPr>
        <w:numId w:val="17"/>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
    <w:name w:val="tabletext"/>
    <w:basedOn w:val="Normal"/>
    <w:rsid w:val="0031201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2">
    <w:name w:val="acthead2"/>
    <w:basedOn w:val="Normal"/>
    <w:rsid w:val="000E70A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partno">
    <w:name w:val="charpartno"/>
    <w:basedOn w:val="DefaultParagraphFont"/>
    <w:rsid w:val="000E70A2"/>
  </w:style>
  <w:style w:type="paragraph" w:customStyle="1" w:styleId="notetext">
    <w:name w:val="notetext"/>
    <w:basedOn w:val="Normal"/>
    <w:rsid w:val="000E70A2"/>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0E70A2"/>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3F2222"/>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3F222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lp-block">
    <w:name w:val="help-block"/>
    <w:basedOn w:val="DefaultParagraphFont"/>
    <w:rsid w:val="003C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4726">
      <w:bodyDiv w:val="1"/>
      <w:marLeft w:val="0"/>
      <w:marRight w:val="0"/>
      <w:marTop w:val="0"/>
      <w:marBottom w:val="0"/>
      <w:divBdr>
        <w:top w:val="none" w:sz="0" w:space="0" w:color="auto"/>
        <w:left w:val="none" w:sz="0" w:space="0" w:color="auto"/>
        <w:bottom w:val="none" w:sz="0" w:space="0" w:color="auto"/>
        <w:right w:val="none" w:sz="0" w:space="0" w:color="auto"/>
      </w:divBdr>
    </w:div>
    <w:div w:id="613244258">
      <w:bodyDiv w:val="1"/>
      <w:marLeft w:val="0"/>
      <w:marRight w:val="0"/>
      <w:marTop w:val="0"/>
      <w:marBottom w:val="0"/>
      <w:divBdr>
        <w:top w:val="none" w:sz="0" w:space="0" w:color="auto"/>
        <w:left w:val="none" w:sz="0" w:space="0" w:color="auto"/>
        <w:bottom w:val="none" w:sz="0" w:space="0" w:color="auto"/>
        <w:right w:val="none" w:sz="0" w:space="0" w:color="auto"/>
      </w:divBdr>
      <w:divsChild>
        <w:div w:id="383984863">
          <w:marLeft w:val="0"/>
          <w:marRight w:val="0"/>
          <w:marTop w:val="0"/>
          <w:marBottom w:val="0"/>
          <w:divBdr>
            <w:top w:val="none" w:sz="0" w:space="0" w:color="auto"/>
            <w:left w:val="none" w:sz="0" w:space="0" w:color="auto"/>
            <w:bottom w:val="none" w:sz="0" w:space="0" w:color="auto"/>
            <w:right w:val="none" w:sz="0" w:space="0" w:color="auto"/>
          </w:divBdr>
          <w:divsChild>
            <w:div w:id="1381201502">
              <w:marLeft w:val="0"/>
              <w:marRight w:val="0"/>
              <w:marTop w:val="0"/>
              <w:marBottom w:val="0"/>
              <w:divBdr>
                <w:top w:val="none" w:sz="0" w:space="0" w:color="auto"/>
                <w:left w:val="none" w:sz="0" w:space="0" w:color="auto"/>
                <w:bottom w:val="none" w:sz="0" w:space="0" w:color="auto"/>
                <w:right w:val="none" w:sz="0" w:space="0" w:color="auto"/>
              </w:divBdr>
              <w:divsChild>
                <w:div w:id="1655835034">
                  <w:marLeft w:val="0"/>
                  <w:marRight w:val="0"/>
                  <w:marTop w:val="0"/>
                  <w:marBottom w:val="0"/>
                  <w:divBdr>
                    <w:top w:val="none" w:sz="0" w:space="0" w:color="auto"/>
                    <w:left w:val="none" w:sz="0" w:space="0" w:color="auto"/>
                    <w:bottom w:val="none" w:sz="0" w:space="0" w:color="auto"/>
                    <w:right w:val="none" w:sz="0" w:space="0" w:color="auto"/>
                  </w:divBdr>
                  <w:divsChild>
                    <w:div w:id="1707169984">
                      <w:marLeft w:val="0"/>
                      <w:marRight w:val="0"/>
                      <w:marTop w:val="0"/>
                      <w:marBottom w:val="0"/>
                      <w:divBdr>
                        <w:top w:val="none" w:sz="0" w:space="0" w:color="auto"/>
                        <w:left w:val="none" w:sz="0" w:space="0" w:color="auto"/>
                        <w:bottom w:val="none" w:sz="0" w:space="0" w:color="auto"/>
                        <w:right w:val="none" w:sz="0" w:space="0" w:color="auto"/>
                      </w:divBdr>
                      <w:divsChild>
                        <w:div w:id="1204175115">
                          <w:marLeft w:val="0"/>
                          <w:marRight w:val="0"/>
                          <w:marTop w:val="0"/>
                          <w:marBottom w:val="0"/>
                          <w:divBdr>
                            <w:top w:val="none" w:sz="0" w:space="0" w:color="auto"/>
                            <w:left w:val="none" w:sz="0" w:space="0" w:color="auto"/>
                            <w:bottom w:val="none" w:sz="0" w:space="0" w:color="auto"/>
                            <w:right w:val="none" w:sz="0" w:space="0" w:color="auto"/>
                          </w:divBdr>
                          <w:divsChild>
                            <w:div w:id="1506434653">
                              <w:marLeft w:val="0"/>
                              <w:marRight w:val="0"/>
                              <w:marTop w:val="0"/>
                              <w:marBottom w:val="0"/>
                              <w:divBdr>
                                <w:top w:val="none" w:sz="0" w:space="0" w:color="auto"/>
                                <w:left w:val="none" w:sz="0" w:space="0" w:color="auto"/>
                                <w:bottom w:val="none" w:sz="0" w:space="0" w:color="auto"/>
                                <w:right w:val="none" w:sz="0" w:space="0" w:color="auto"/>
                              </w:divBdr>
                              <w:divsChild>
                                <w:div w:id="2146770972">
                                  <w:marLeft w:val="0"/>
                                  <w:marRight w:val="0"/>
                                  <w:marTop w:val="0"/>
                                  <w:marBottom w:val="0"/>
                                  <w:divBdr>
                                    <w:top w:val="none" w:sz="0" w:space="0" w:color="auto"/>
                                    <w:left w:val="none" w:sz="0" w:space="0" w:color="auto"/>
                                    <w:bottom w:val="none" w:sz="0" w:space="0" w:color="auto"/>
                                    <w:right w:val="none" w:sz="0" w:space="0" w:color="auto"/>
                                  </w:divBdr>
                                  <w:divsChild>
                                    <w:div w:id="501747536">
                                      <w:marLeft w:val="0"/>
                                      <w:marRight w:val="0"/>
                                      <w:marTop w:val="0"/>
                                      <w:marBottom w:val="0"/>
                                      <w:divBdr>
                                        <w:top w:val="none" w:sz="0" w:space="0" w:color="auto"/>
                                        <w:left w:val="none" w:sz="0" w:space="0" w:color="auto"/>
                                        <w:bottom w:val="none" w:sz="0" w:space="0" w:color="auto"/>
                                        <w:right w:val="none" w:sz="0" w:space="0" w:color="auto"/>
                                      </w:divBdr>
                                      <w:divsChild>
                                        <w:div w:id="302121431">
                                          <w:marLeft w:val="0"/>
                                          <w:marRight w:val="0"/>
                                          <w:marTop w:val="0"/>
                                          <w:marBottom w:val="0"/>
                                          <w:divBdr>
                                            <w:top w:val="none" w:sz="0" w:space="0" w:color="auto"/>
                                            <w:left w:val="none" w:sz="0" w:space="0" w:color="auto"/>
                                            <w:bottom w:val="none" w:sz="0" w:space="0" w:color="auto"/>
                                            <w:right w:val="none" w:sz="0" w:space="0" w:color="auto"/>
                                          </w:divBdr>
                                          <w:divsChild>
                                            <w:div w:id="1890847452">
                                              <w:marLeft w:val="0"/>
                                              <w:marRight w:val="0"/>
                                              <w:marTop w:val="0"/>
                                              <w:marBottom w:val="0"/>
                                              <w:divBdr>
                                                <w:top w:val="none" w:sz="0" w:space="0" w:color="auto"/>
                                                <w:left w:val="none" w:sz="0" w:space="0" w:color="auto"/>
                                                <w:bottom w:val="none" w:sz="0" w:space="0" w:color="auto"/>
                                                <w:right w:val="none" w:sz="0" w:space="0" w:color="auto"/>
                                              </w:divBdr>
                                              <w:divsChild>
                                                <w:div w:id="1150831851">
                                                  <w:marLeft w:val="0"/>
                                                  <w:marRight w:val="0"/>
                                                  <w:marTop w:val="0"/>
                                                  <w:marBottom w:val="0"/>
                                                  <w:divBdr>
                                                    <w:top w:val="none" w:sz="0" w:space="0" w:color="auto"/>
                                                    <w:left w:val="none" w:sz="0" w:space="0" w:color="auto"/>
                                                    <w:bottom w:val="none" w:sz="0" w:space="0" w:color="auto"/>
                                                    <w:right w:val="none" w:sz="0" w:space="0" w:color="auto"/>
                                                  </w:divBdr>
                                                  <w:divsChild>
                                                    <w:div w:id="476608409">
                                                      <w:marLeft w:val="0"/>
                                                      <w:marRight w:val="0"/>
                                                      <w:marTop w:val="0"/>
                                                      <w:marBottom w:val="0"/>
                                                      <w:divBdr>
                                                        <w:top w:val="none" w:sz="0" w:space="0" w:color="auto"/>
                                                        <w:left w:val="none" w:sz="0" w:space="0" w:color="auto"/>
                                                        <w:bottom w:val="none" w:sz="0" w:space="0" w:color="auto"/>
                                                        <w:right w:val="none" w:sz="0" w:space="0" w:color="auto"/>
                                                      </w:divBdr>
                                                      <w:divsChild>
                                                        <w:div w:id="1414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816665">
      <w:bodyDiv w:val="1"/>
      <w:marLeft w:val="0"/>
      <w:marRight w:val="0"/>
      <w:marTop w:val="0"/>
      <w:marBottom w:val="0"/>
      <w:divBdr>
        <w:top w:val="none" w:sz="0" w:space="0" w:color="auto"/>
        <w:left w:val="none" w:sz="0" w:space="0" w:color="auto"/>
        <w:bottom w:val="none" w:sz="0" w:space="0" w:color="auto"/>
        <w:right w:val="none" w:sz="0" w:space="0" w:color="auto"/>
      </w:divBdr>
    </w:div>
    <w:div w:id="1060983430">
      <w:bodyDiv w:val="1"/>
      <w:marLeft w:val="0"/>
      <w:marRight w:val="0"/>
      <w:marTop w:val="0"/>
      <w:marBottom w:val="0"/>
      <w:divBdr>
        <w:top w:val="none" w:sz="0" w:space="0" w:color="auto"/>
        <w:left w:val="none" w:sz="0" w:space="0" w:color="auto"/>
        <w:bottom w:val="none" w:sz="0" w:space="0" w:color="auto"/>
        <w:right w:val="none" w:sz="0" w:space="0" w:color="auto"/>
      </w:divBdr>
    </w:div>
    <w:div w:id="1547596484">
      <w:bodyDiv w:val="1"/>
      <w:marLeft w:val="0"/>
      <w:marRight w:val="0"/>
      <w:marTop w:val="0"/>
      <w:marBottom w:val="0"/>
      <w:divBdr>
        <w:top w:val="none" w:sz="0" w:space="0" w:color="auto"/>
        <w:left w:val="none" w:sz="0" w:space="0" w:color="auto"/>
        <w:bottom w:val="none" w:sz="0" w:space="0" w:color="auto"/>
        <w:right w:val="none" w:sz="0" w:space="0" w:color="auto"/>
      </w:divBdr>
    </w:div>
    <w:div w:id="19565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20L01469" TargetMode="External"/><Relationship Id="rId18" Type="http://schemas.openxmlformats.org/officeDocument/2006/relationships/image" Target="media/image4.jpeg"/><Relationship Id="rId26" Type="http://schemas.openxmlformats.org/officeDocument/2006/relationships/hyperlink" Target="https://ec.europa.eu/growth/tools-databases/cosing/" TargetMode="External"/><Relationship Id="rId39" Type="http://schemas.openxmlformats.org/officeDocument/2006/relationships/hyperlink" Target="https://www.legislation.gov.au/Details/F2019L00213" TargetMode="External"/><Relationship Id="rId21" Type="http://schemas.openxmlformats.org/officeDocument/2006/relationships/hyperlink" Target="https://portal.apvma.gov.au/pubcris" TargetMode="External"/><Relationship Id="rId34" Type="http://schemas.openxmlformats.org/officeDocument/2006/relationships/hyperlink" Target="https://www.ebs.tga.gov.au/" TargetMode="External"/><Relationship Id="rId42" Type="http://schemas.openxmlformats.org/officeDocument/2006/relationships/hyperlink" Target="https://www.legislation.gov.au/Series/F2020L01469" TargetMode="External"/><Relationship Id="rId47" Type="http://schemas.openxmlformats.org/officeDocument/2006/relationships/hyperlink" Target="https://www.hpra.ie/homepage/medicines/medicines-information/find-a-medicine/results?query=Metoclopramide+hydrochloride&amp;field=ACTIVESUBSTANCES" TargetMode="External"/><Relationship Id="rId50" Type="http://schemas.openxmlformats.org/officeDocument/2006/relationships/hyperlink" Target="https://www.legislation.gov.au/Series/F2020L01469" TargetMode="External"/><Relationship Id="rId55" Type="http://schemas.openxmlformats.org/officeDocument/2006/relationships/hyperlink" Target="https://www.tga.gov.au/prescribing-medicines-pregnancy-database" TargetMode="External"/><Relationship Id="rId63" Type="http://schemas.openxmlformats.org/officeDocument/2006/relationships/hyperlink" Target="https://www.hpra.ie/homepage/medicines/medicines-information/find-a-medicine/results?query=Metoclopramide+hydrochloride&amp;field=ACTIVESUBSTANCES" TargetMode="External"/><Relationship Id="rId68" Type="http://schemas.openxmlformats.org/officeDocument/2006/relationships/hyperlink" Target="https://www.tga.gov.au/committee/advisory-committee-chemicals-scheduling-accs"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mailto:medicines.scheduling@health.gov.au" TargetMode="External"/><Relationship Id="rId2" Type="http://schemas.openxmlformats.org/officeDocument/2006/relationships/numbering" Target="numbering.xml"/><Relationship Id="rId16" Type="http://schemas.openxmlformats.org/officeDocument/2006/relationships/hyperlink" Target="https://www.legislation.gov.au/Search/Therapeutic%20Goods%20$LB$Permissible%20Ingredients$RB$%20Determination" TargetMode="External"/><Relationship Id="rId29" Type="http://schemas.openxmlformats.org/officeDocument/2006/relationships/hyperlink" Target="https://health-products.canada.ca/dpd-bdpp/index-eng.jsp" TargetMode="External"/><Relationship Id="rId11" Type="http://schemas.openxmlformats.org/officeDocument/2006/relationships/footer" Target="footer2.xml"/><Relationship Id="rId24" Type="http://schemas.openxmlformats.org/officeDocument/2006/relationships/hyperlink" Target="https://www.who.int/publications/i/item/WHOMVPEMPIAU2019.06" TargetMode="External"/><Relationship Id="rId32" Type="http://schemas.openxmlformats.org/officeDocument/2006/relationships/hyperlink" Target="https://www.legislation.gov.au/Series/F2020L01469" TargetMode="External"/><Relationship Id="rId37" Type="http://schemas.openxmlformats.org/officeDocument/2006/relationships/hyperlink" Target="https://www.legislation.gov.au/Search/Therapeutic%20Goods%20$LB$Permissible%20Ingredients$RB$%20Determination" TargetMode="External"/><Relationship Id="rId40" Type="http://schemas.openxmlformats.org/officeDocument/2006/relationships/hyperlink" Target="https://apps.tga.gov.au/Prod/daen/daen-entry.aspx" TargetMode="External"/><Relationship Id="rId45" Type="http://schemas.openxmlformats.org/officeDocument/2006/relationships/hyperlink" Target="https://ec.europa.eu/growth/tools-databases/cosing/" TargetMode="External"/><Relationship Id="rId53" Type="http://schemas.openxmlformats.org/officeDocument/2006/relationships/hyperlink" Target="https://www.legislation.gov.au/Details/F2020C00357" TargetMode="External"/><Relationship Id="rId58" Type="http://schemas.openxmlformats.org/officeDocument/2006/relationships/hyperlink" Target="https://portal.apvma.gov.au/pubcris" TargetMode="External"/><Relationship Id="rId66" Type="http://schemas.openxmlformats.org/officeDocument/2006/relationships/hyperlink" Target="https://consultations.health.gov.au/tga/june_2021_joint" TargetMode="External"/><Relationship Id="rId7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artg" TargetMode="External"/><Relationship Id="rId23" Type="http://schemas.openxmlformats.org/officeDocument/2006/relationships/hyperlink" Target="https://www.legislation.gov.au/Series/F2020L01469" TargetMode="External"/><Relationship Id="rId28" Type="http://schemas.openxmlformats.org/officeDocument/2006/relationships/hyperlink" Target="https://www.hpra.ie" TargetMode="External"/><Relationship Id="rId36" Type="http://schemas.openxmlformats.org/officeDocument/2006/relationships/image" Target="media/image5.jpeg"/><Relationship Id="rId49" Type="http://schemas.openxmlformats.org/officeDocument/2006/relationships/hyperlink" Target="https://www.medsafe.govt.nz/profs/class/classintro.asp" TargetMode="External"/><Relationship Id="rId57" Type="http://schemas.openxmlformats.org/officeDocument/2006/relationships/hyperlink" Target="https://apps.tga.gov.au/Prod/daen/daen-entry.aspx" TargetMode="External"/><Relationship Id="rId61" Type="http://schemas.openxmlformats.org/officeDocument/2006/relationships/hyperlink" Target="https://ec.europa.eu/growth/tools-databases/cosing/" TargetMode="External"/><Relationship Id="rId10" Type="http://schemas.openxmlformats.org/officeDocument/2006/relationships/header" Target="header2.xml"/><Relationship Id="rId19" Type="http://schemas.openxmlformats.org/officeDocument/2006/relationships/hyperlink" Target="https://www.legislation.gov.au/Search/Therapeutic%20Goods%20$LB$Permissible%20Ingredients$RB$%20Determination" TargetMode="External"/><Relationship Id="rId31" Type="http://schemas.openxmlformats.org/officeDocument/2006/relationships/hyperlink" Target="https://www.medsafe.govt.nz/profs/class/classintro.asp" TargetMode="External"/><Relationship Id="rId44" Type="http://schemas.openxmlformats.org/officeDocument/2006/relationships/hyperlink" Target="https://www.accessdata.fda.gov/scripts/cder/daf/" TargetMode="External"/><Relationship Id="rId52" Type="http://schemas.openxmlformats.org/officeDocument/2006/relationships/hyperlink" Target="https://www.ebs.tga.gov.au/" TargetMode="External"/><Relationship Id="rId60" Type="http://schemas.openxmlformats.org/officeDocument/2006/relationships/hyperlink" Target="https://www.who.int/publications/i/item/WHOMVPEMPIAU2019.06" TargetMode="External"/><Relationship Id="rId65" Type="http://schemas.openxmlformats.org/officeDocument/2006/relationships/hyperlink" Target="https://www.medsafe.govt.nz/profs/class/classintro.asp" TargetMode="External"/><Relationship Id="rId73" Type="http://schemas.openxmlformats.org/officeDocument/2006/relationships/footer" Target="footer3.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s.tga.gov.au/" TargetMode="External"/><Relationship Id="rId22" Type="http://schemas.openxmlformats.org/officeDocument/2006/relationships/hyperlink" Target="https://apvma.gov.au/node/10946" TargetMode="External"/><Relationship Id="rId27" Type="http://schemas.openxmlformats.org/officeDocument/2006/relationships/hyperlink" Target="https://www.fda.gov/media/136118/download" TargetMode="External"/><Relationship Id="rId30" Type="http://schemas.openxmlformats.org/officeDocument/2006/relationships/hyperlink" Target="https://www.epa.govt.nz/database-search/new-zealand-inventory-of-chemicals-nzioc/DatabaseSearchForm/?SiteDatabaseSearchFilters=36&amp;Keyword=acequinocyl&amp;DatabaseType=NZIOC" TargetMode="External"/><Relationship Id="rId35" Type="http://schemas.openxmlformats.org/officeDocument/2006/relationships/hyperlink" Target="https://www.legislation.gov.au/Details/F2020C00357" TargetMode="External"/><Relationship Id="rId43" Type="http://schemas.openxmlformats.org/officeDocument/2006/relationships/hyperlink" Target="https://www.who.int/publications/i/item/WHOMVPEMPIAU2019.06" TargetMode="External"/><Relationship Id="rId48" Type="http://schemas.openxmlformats.org/officeDocument/2006/relationships/hyperlink" Target="https://www.epa.govt.nz/database-search/new-zealand-inventory-of-chemicals-nzioc/DatabaseSearchForm/?SiteDatabaseSearchFilters=36&amp;Keyword=acequinocyl&amp;DatabaseType=NZIOC" TargetMode="External"/><Relationship Id="rId56" Type="http://schemas.openxmlformats.org/officeDocument/2006/relationships/hyperlink" Target="https://www.legislation.gov.au/Details/F2019L00213" TargetMode="External"/><Relationship Id="rId64" Type="http://schemas.openxmlformats.org/officeDocument/2006/relationships/hyperlink" Target="https://www.epa.govt.nz/database-search/new-zealand-inventory-of-chemicals-nzioc/DatabaseSearchForm/?SiteDatabaseSearchFilters=36&amp;Keyword=acequinocyl&amp;DatabaseType=NZIOC" TargetMode="External"/><Relationship Id="rId69" Type="http://schemas.openxmlformats.org/officeDocument/2006/relationships/hyperlink" Target="https://www.tga.gov.au/public-submissions-scheduling-matters"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tga.gov.au/artg"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0C00357" TargetMode="External"/><Relationship Id="rId25" Type="http://schemas.openxmlformats.org/officeDocument/2006/relationships/hyperlink" Target="https://www.accessdata.fda.gov/scripts/cder/daf/" TargetMode="External"/><Relationship Id="rId33" Type="http://schemas.openxmlformats.org/officeDocument/2006/relationships/hyperlink" Target="https://www.tga.gov.au/artg" TargetMode="External"/><Relationship Id="rId38" Type="http://schemas.openxmlformats.org/officeDocument/2006/relationships/hyperlink" Target="https://www.tga.gov.au/prescribing-medicines-pregnancy-database" TargetMode="External"/><Relationship Id="rId46" Type="http://schemas.openxmlformats.org/officeDocument/2006/relationships/hyperlink" Target="https://health-products.canada.ca/dpd-bdpp/index-eng.jsp" TargetMode="External"/><Relationship Id="rId59" Type="http://schemas.openxmlformats.org/officeDocument/2006/relationships/hyperlink" Target="https://www.legislation.gov.au/Series/F2020L01469" TargetMode="External"/><Relationship Id="rId67" Type="http://schemas.openxmlformats.org/officeDocument/2006/relationships/hyperlink" Target="https://www.tga.gov.au/committee/advisory-committee-medicines-scheduling-acms" TargetMode="External"/><Relationship Id="rId20" Type="http://schemas.openxmlformats.org/officeDocument/2006/relationships/hyperlink" Target="https://apps.tga.gov.au/Prod/daen/daen-entry.aspx" TargetMode="External"/><Relationship Id="rId41" Type="http://schemas.openxmlformats.org/officeDocument/2006/relationships/hyperlink" Target="https://portal.apvma.gov.au/pubcris" TargetMode="External"/><Relationship Id="rId54" Type="http://schemas.openxmlformats.org/officeDocument/2006/relationships/hyperlink" Target="https://www.legislation.gov.au/Search/Therapeutic%20Goods%20$LB$Permissible%20Ingredients$RB$%20Determination" TargetMode="External"/><Relationship Id="rId62" Type="http://schemas.openxmlformats.org/officeDocument/2006/relationships/hyperlink" Target="https://health-products.canada.ca/dpd-bdpp/index-eng.jsp" TargetMode="External"/><Relationship Id="rId70" Type="http://schemas.openxmlformats.org/officeDocument/2006/relationships/hyperlink" Target="https://www.tga.gov.au/scheduling-delegates-interim-decisions-invitations-further-comment"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pvma.gov.au/node/10946" TargetMode="External"/><Relationship Id="rId13" Type="http://schemas.openxmlformats.org/officeDocument/2006/relationships/hyperlink" Target="https://www.legislation.gov.au/Search/Therapeutic%20Goods%20$LB$Permissible%20Ingredients$RB$%20Determination" TargetMode="External"/><Relationship Id="rId18" Type="http://schemas.openxmlformats.org/officeDocument/2006/relationships/hyperlink" Target="https://www.legislation.gov.au/Series/F2020L01469" TargetMode="External"/><Relationship Id="rId26" Type="http://schemas.openxmlformats.org/officeDocument/2006/relationships/hyperlink" Target="https://www.tga.gov.au/artg" TargetMode="External"/><Relationship Id="rId39" Type="http://schemas.openxmlformats.org/officeDocument/2006/relationships/hyperlink" Target="https://www.epa.govt.nz/database-search/new-zealand-inventory-of-chemicals-nzioc/DatabaseSearchForm/?SiteDatabaseSearchFilters=36&amp;Keyword=acequinocyl&amp;DatabaseType=NZIOC" TargetMode="External"/><Relationship Id="rId3" Type="http://schemas.openxmlformats.org/officeDocument/2006/relationships/hyperlink" Target="https://www.tga.gov.au/artg" TargetMode="External"/><Relationship Id="rId21" Type="http://schemas.openxmlformats.org/officeDocument/2006/relationships/hyperlink" Target="https://health-products.canada.ca/dpd-bdpp/index-eng.jsp" TargetMode="External"/><Relationship Id="rId34" Type="http://schemas.openxmlformats.org/officeDocument/2006/relationships/hyperlink" Target="https://www.legislation.gov.au/Series/F2020L01469" TargetMode="External"/><Relationship Id="rId7" Type="http://schemas.openxmlformats.org/officeDocument/2006/relationships/hyperlink" Target="https://portal.apvma.gov.au/pubcris" TargetMode="External"/><Relationship Id="rId12" Type="http://schemas.openxmlformats.org/officeDocument/2006/relationships/hyperlink" Target="https://www.legislation.gov.au/Series/F2020L01469" TargetMode="External"/><Relationship Id="rId17" Type="http://schemas.openxmlformats.org/officeDocument/2006/relationships/hyperlink" Target="https://portal.apvma.gov.au/pubcris" TargetMode="External"/><Relationship Id="rId25" Type="http://schemas.openxmlformats.org/officeDocument/2006/relationships/hyperlink" Target="https://www.legislation.gov.au/Series/F2020L01469" TargetMode="External"/><Relationship Id="rId33" Type="http://schemas.openxmlformats.org/officeDocument/2006/relationships/hyperlink" Target="https://portal.apvma.gov.au/pubcris" TargetMode="External"/><Relationship Id="rId38" Type="http://schemas.openxmlformats.org/officeDocument/2006/relationships/hyperlink" Target="https://www.hpra.ie/homepage/medicines/medicines-information/find-a-medicine/results?query=&amp;field" TargetMode="External"/><Relationship Id="rId2" Type="http://schemas.openxmlformats.org/officeDocument/2006/relationships/hyperlink" Target="https://www.ebs.tga.gov.au/" TargetMode="External"/><Relationship Id="rId16" Type="http://schemas.openxmlformats.org/officeDocument/2006/relationships/hyperlink" Target="https://apps.tga.gov.au/Prod/daen/daen-entry.aspx" TargetMode="External"/><Relationship Id="rId20" Type="http://schemas.openxmlformats.org/officeDocument/2006/relationships/hyperlink" Target="https://www.accessdata.fda.gov/scripts/cder/daf/" TargetMode="External"/><Relationship Id="rId29" Type="http://schemas.openxmlformats.org/officeDocument/2006/relationships/hyperlink" Target="https://www.legislation.gov.au/Search/Therapeutic%20Goods%20$LB$Permissible%20Ingredients$RB$%20Determination" TargetMode="External"/><Relationship Id="rId1" Type="http://schemas.openxmlformats.org/officeDocument/2006/relationships/hyperlink" Target="https://www.legislation.gov.au/Series/F2020L01469" TargetMode="External"/><Relationship Id="rId6" Type="http://schemas.openxmlformats.org/officeDocument/2006/relationships/hyperlink" Target="https://apps.tga.gov.au/Prod/daen/daen-entry.aspx" TargetMode="External"/><Relationship Id="rId11" Type="http://schemas.openxmlformats.org/officeDocument/2006/relationships/hyperlink" Target="https://www.fda.gov/news-events/press-announcements/coronavirus-covid-19-update-fda-continues-ensure-availability-alcohol-based-hand-sanitizer-during" TargetMode="External"/><Relationship Id="rId24" Type="http://schemas.openxmlformats.org/officeDocument/2006/relationships/hyperlink" Target="https://www.medsafe.govt.nz/profs/class/classintro.asp" TargetMode="External"/><Relationship Id="rId32" Type="http://schemas.openxmlformats.org/officeDocument/2006/relationships/hyperlink" Target="https://apps.tga.gov.au/Prod/daen/daen-entry.aspx" TargetMode="External"/><Relationship Id="rId37" Type="http://schemas.openxmlformats.org/officeDocument/2006/relationships/hyperlink" Target="https://health-products.canada.ca/dpd-bdpp/index-eng.jsp" TargetMode="External"/><Relationship Id="rId40" Type="http://schemas.openxmlformats.org/officeDocument/2006/relationships/hyperlink" Target="https://www.medsafe.govt.nz/profs/class/classintro.asp" TargetMode="External"/><Relationship Id="rId5" Type="http://schemas.openxmlformats.org/officeDocument/2006/relationships/hyperlink" Target="https://www.legislation.gov.au/Search/Therapeutic%20Goods%20$LB$Permissible%20Ingredients$RB$%20Determination" TargetMode="External"/><Relationship Id="rId15" Type="http://schemas.openxmlformats.org/officeDocument/2006/relationships/hyperlink" Target="https://www.legislation.gov.au/Details/F2019L00213" TargetMode="External"/><Relationship Id="rId23" Type="http://schemas.openxmlformats.org/officeDocument/2006/relationships/hyperlink" Target="https://www.epa.govt.nz/database-search/new-zealand-inventory-of-chemicals-nzioc/DatabaseSearchForm/?SiteDatabaseSearchFilters=36&amp;Keyword=acequinocyl&amp;DatabaseType=NZIOC" TargetMode="External"/><Relationship Id="rId28" Type="http://schemas.openxmlformats.org/officeDocument/2006/relationships/hyperlink" Target="https://www.legislation.gov.au/Details/F2020C00357" TargetMode="External"/><Relationship Id="rId36" Type="http://schemas.openxmlformats.org/officeDocument/2006/relationships/hyperlink" Target="https://www.accessdata.fda.gov/scripts/cder/daf/" TargetMode="External"/><Relationship Id="rId10" Type="http://schemas.openxmlformats.org/officeDocument/2006/relationships/hyperlink" Target="https://www.fda.gov/media/136118/download" TargetMode="External"/><Relationship Id="rId19" Type="http://schemas.openxmlformats.org/officeDocument/2006/relationships/hyperlink" Target="http://www.who.int/publications/i/item/WHOMVPEMPIAU2019.06" TargetMode="External"/><Relationship Id="rId31" Type="http://schemas.openxmlformats.org/officeDocument/2006/relationships/hyperlink" Target="https://www.legislation.gov.au/Details/F2019L00213" TargetMode="External"/><Relationship Id="rId4" Type="http://schemas.openxmlformats.org/officeDocument/2006/relationships/hyperlink" Target="https://www.legislation.gov.au/Search/Therapeutic%20Goods%20$LB$Permissible%20Ingredients$RB$%20Determination" TargetMode="External"/><Relationship Id="rId9" Type="http://schemas.openxmlformats.org/officeDocument/2006/relationships/hyperlink" Target="https://www.legislation.gov.au/Series/F2020L01469" TargetMode="External"/><Relationship Id="rId14" Type="http://schemas.openxmlformats.org/officeDocument/2006/relationships/hyperlink" Target="https://www.tga.gov.au/prescribing-medicines-pregnancy-database" TargetMode="External"/><Relationship Id="rId22" Type="http://schemas.openxmlformats.org/officeDocument/2006/relationships/hyperlink" Target="https://www.hpra.ie/homepage/medicines/medicines-information/find-a-medicine/results?query=&amp;field" TargetMode="External"/><Relationship Id="rId27" Type="http://schemas.openxmlformats.org/officeDocument/2006/relationships/hyperlink" Target="https://www.ebs.tga.gov.au/" TargetMode="External"/><Relationship Id="rId30" Type="http://schemas.openxmlformats.org/officeDocument/2006/relationships/hyperlink" Target="https://www.tga.gov.au/prescribing-medicines-pregnancy-database" TargetMode="External"/><Relationship Id="rId35" Type="http://schemas.openxmlformats.org/officeDocument/2006/relationships/hyperlink" Target="http://www.who.int/publications/i/item/WHOMVPEMPIAU2019.06"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6542-63FA-41A1-898A-BE721A34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5782</TotalTime>
  <Pages>25</Pages>
  <Words>6485</Words>
  <Characters>35863</Characters>
  <Application>Microsoft Office Word</Application>
  <DocSecurity>0</DocSecurity>
  <Lines>853</Lines>
  <Paragraphs>604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Joint ACMS-ACCS meetings, June 2021</dc:title>
  <dc:subject>scheduling</dc:subject>
  <dc:creator>Therapeutic Goods Administration</dc:creator>
  <cp:lastModifiedBy>SHEPPARD, Fran</cp:lastModifiedBy>
  <cp:revision>40</cp:revision>
  <cp:lastPrinted>2010-12-20T22:59:00Z</cp:lastPrinted>
  <dcterms:created xsi:type="dcterms:W3CDTF">2021-04-14T05:36:00Z</dcterms:created>
  <dcterms:modified xsi:type="dcterms:W3CDTF">2021-04-29T01:01:00Z</dcterms:modified>
</cp:coreProperties>
</file>