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79442D">
        <w:tc>
          <w:tcPr>
            <w:tcW w:w="8720" w:type="dxa"/>
          </w:tcPr>
          <w:p w14:paraId="158C7559" w14:textId="503079F9" w:rsidR="0025660C" w:rsidRPr="00077548" w:rsidRDefault="003639D9" w:rsidP="0079442D">
            <w:pPr>
              <w:pStyle w:val="Title"/>
            </w:pPr>
            <w:bookmarkStart w:id="0" w:name="_GoBack"/>
            <w:bookmarkEnd w:id="0"/>
            <w:r>
              <w:t xml:space="preserve">Consultation: Proposed amendments </w:t>
            </w:r>
            <w:r w:rsidR="002860D6">
              <w:t xml:space="preserve">to the Poisons Standard – </w:t>
            </w:r>
            <w:r w:rsidR="00F22B52">
              <w:t>ACMS, ACCS and Joint ACMS/ACCS Meetings</w:t>
            </w:r>
            <w:r>
              <w:t xml:space="preserve">, </w:t>
            </w:r>
            <w:r w:rsidR="003713CA">
              <w:t>March</w:t>
            </w:r>
            <w:r>
              <w:t xml:space="preserve"> 20</w:t>
            </w:r>
            <w:r w:rsidR="003713CA">
              <w:t>21</w:t>
            </w:r>
          </w:p>
        </w:tc>
      </w:tr>
      <w:tr w:rsidR="0025660C" w14:paraId="3393FE2A" w14:textId="77777777" w:rsidTr="0079442D">
        <w:trPr>
          <w:trHeight w:val="810"/>
        </w:trPr>
        <w:tc>
          <w:tcPr>
            <w:tcW w:w="8720" w:type="dxa"/>
          </w:tcPr>
          <w:p w14:paraId="38D3E20E" w14:textId="2B1E1280" w:rsidR="0025660C" w:rsidRPr="00077548" w:rsidRDefault="007D71BC" w:rsidP="0079442D">
            <w:pPr>
              <w:pStyle w:val="Subtitle"/>
              <w:tabs>
                <w:tab w:val="left" w:pos="5310"/>
              </w:tabs>
              <w:ind w:left="0"/>
            </w:pPr>
            <w:r>
              <w:t>24</w:t>
            </w:r>
            <w:r w:rsidR="006C3B34">
              <w:t xml:space="preserve"> December 2020</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77777777" w:rsidR="007907BF" w:rsidRDefault="007907BF" w:rsidP="007907BF">
      <w:pPr>
        <w:pStyle w:val="LegalCopy"/>
      </w:pPr>
      <w:r w:rsidRPr="009401F6">
        <w:t>© Commonwealth of Australia 20</w:t>
      </w:r>
      <w:r>
        <w:t>20</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tab/>
      </w:r>
    </w:p>
    <w:bookmarkStart w:id="1" w:name="_Toc323740418" w:displacedByCustomXml="next"/>
    <w:bookmarkStart w:id="2" w:name="_Toc328388475" w:displacedByCustomXml="next"/>
    <w:bookmarkStart w:id="3" w:name="_Toc323740419" w:displacedByCustomXml="next"/>
    <w:sdt>
      <w:sdtPr>
        <w:rPr>
          <w:rFonts w:ascii="Arial" w:hAnsi="Arial"/>
          <w:b/>
        </w:rPr>
        <w:id w:val="21514559"/>
        <w:docPartObj>
          <w:docPartGallery w:val="Table of Contents"/>
          <w:docPartUnique/>
        </w:docPartObj>
      </w:sdtPr>
      <w:sdtEndPr/>
      <w:sdtContent>
        <w:p w14:paraId="1602092B" w14:textId="77777777" w:rsidR="00013CCE" w:rsidRDefault="0025660C">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7EB98202" w14:textId="75E1634A" w:rsidR="00896C03"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59540945" w:history="1">
            <w:r w:rsidR="00896C03" w:rsidRPr="00100049">
              <w:rPr>
                <w:rStyle w:val="Hyperlink"/>
                <w:noProof/>
              </w:rPr>
              <w:t>1</w:t>
            </w:r>
            <w:r w:rsidR="00896C03">
              <w:rPr>
                <w:rFonts w:asciiTheme="minorHAnsi" w:eastAsiaTheme="minorEastAsia" w:hAnsiTheme="minorHAnsi" w:cstheme="minorBidi"/>
                <w:noProof/>
                <w:szCs w:val="22"/>
                <w:lang w:eastAsia="en-AU"/>
              </w:rPr>
              <w:tab/>
            </w:r>
            <w:r w:rsidR="00896C03" w:rsidRPr="00100049">
              <w:rPr>
                <w:rStyle w:val="Hyperlink"/>
                <w:noProof/>
              </w:rPr>
              <w:t>Proposed amendments referred for scheduling advice to ACMS #33</w:t>
            </w:r>
            <w:r w:rsidR="00896C03">
              <w:rPr>
                <w:noProof/>
                <w:webHidden/>
              </w:rPr>
              <w:tab/>
            </w:r>
            <w:r w:rsidR="00896C03">
              <w:rPr>
                <w:noProof/>
                <w:webHidden/>
              </w:rPr>
              <w:fldChar w:fldCharType="begin"/>
            </w:r>
            <w:r w:rsidR="00896C03">
              <w:rPr>
                <w:noProof/>
                <w:webHidden/>
              </w:rPr>
              <w:instrText xml:space="preserve"> PAGEREF _Toc59540945 \h </w:instrText>
            </w:r>
            <w:r w:rsidR="00896C03">
              <w:rPr>
                <w:noProof/>
                <w:webHidden/>
              </w:rPr>
            </w:r>
            <w:r w:rsidR="00896C03">
              <w:rPr>
                <w:noProof/>
                <w:webHidden/>
              </w:rPr>
              <w:fldChar w:fldCharType="separate"/>
            </w:r>
            <w:r w:rsidR="00406E1E">
              <w:rPr>
                <w:noProof/>
                <w:webHidden/>
              </w:rPr>
              <w:t>4</w:t>
            </w:r>
            <w:r w:rsidR="00896C03">
              <w:rPr>
                <w:noProof/>
                <w:webHidden/>
              </w:rPr>
              <w:fldChar w:fldCharType="end"/>
            </w:r>
          </w:hyperlink>
        </w:p>
        <w:p w14:paraId="2DBD8CDA" w14:textId="13FD83CF"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46" w:history="1">
            <w:r w:rsidR="00896C03" w:rsidRPr="00100049">
              <w:rPr>
                <w:rStyle w:val="Hyperlink"/>
                <w:noProof/>
              </w:rPr>
              <w:t>1.1</w:t>
            </w:r>
            <w:r w:rsidR="00896C03">
              <w:rPr>
                <w:rFonts w:asciiTheme="minorHAnsi" w:eastAsiaTheme="minorEastAsia" w:hAnsiTheme="minorHAnsi" w:cstheme="minorBidi"/>
                <w:noProof/>
                <w:sz w:val="22"/>
                <w:szCs w:val="22"/>
                <w:lang w:eastAsia="en-AU"/>
              </w:rPr>
              <w:tab/>
            </w:r>
            <w:r w:rsidR="00896C03" w:rsidRPr="00100049">
              <w:rPr>
                <w:rStyle w:val="Hyperlink"/>
                <w:noProof/>
              </w:rPr>
              <w:t>Metoclopramide</w:t>
            </w:r>
            <w:r w:rsidR="00896C03">
              <w:rPr>
                <w:noProof/>
                <w:webHidden/>
              </w:rPr>
              <w:tab/>
            </w:r>
            <w:r w:rsidR="00896C03">
              <w:rPr>
                <w:noProof/>
                <w:webHidden/>
              </w:rPr>
              <w:fldChar w:fldCharType="begin"/>
            </w:r>
            <w:r w:rsidR="00896C03">
              <w:rPr>
                <w:noProof/>
                <w:webHidden/>
              </w:rPr>
              <w:instrText xml:space="preserve"> PAGEREF _Toc59540946 \h </w:instrText>
            </w:r>
            <w:r w:rsidR="00896C03">
              <w:rPr>
                <w:noProof/>
                <w:webHidden/>
              </w:rPr>
            </w:r>
            <w:r w:rsidR="00896C03">
              <w:rPr>
                <w:noProof/>
                <w:webHidden/>
              </w:rPr>
              <w:fldChar w:fldCharType="separate"/>
            </w:r>
            <w:r w:rsidR="00406E1E">
              <w:rPr>
                <w:noProof/>
                <w:webHidden/>
              </w:rPr>
              <w:t>4</w:t>
            </w:r>
            <w:r w:rsidR="00896C03">
              <w:rPr>
                <w:noProof/>
                <w:webHidden/>
              </w:rPr>
              <w:fldChar w:fldCharType="end"/>
            </w:r>
          </w:hyperlink>
        </w:p>
        <w:p w14:paraId="5BD14011" w14:textId="36BB594F"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47" w:history="1">
            <w:r w:rsidR="00896C03" w:rsidRPr="00100049">
              <w:rPr>
                <w:rStyle w:val="Hyperlink"/>
                <w:noProof/>
              </w:rPr>
              <w:t>1.2</w:t>
            </w:r>
            <w:r w:rsidR="00896C03">
              <w:rPr>
                <w:rFonts w:asciiTheme="minorHAnsi" w:eastAsiaTheme="minorEastAsia" w:hAnsiTheme="minorHAnsi" w:cstheme="minorBidi"/>
                <w:noProof/>
                <w:sz w:val="22"/>
                <w:szCs w:val="22"/>
                <w:lang w:eastAsia="en-AU"/>
              </w:rPr>
              <w:tab/>
            </w:r>
            <w:r w:rsidR="00896C03" w:rsidRPr="00100049">
              <w:rPr>
                <w:rStyle w:val="Hyperlink"/>
                <w:noProof/>
              </w:rPr>
              <w:t>Chloramphenicol</w:t>
            </w:r>
            <w:r w:rsidR="00896C03">
              <w:rPr>
                <w:noProof/>
                <w:webHidden/>
              </w:rPr>
              <w:tab/>
            </w:r>
            <w:r w:rsidR="00896C03">
              <w:rPr>
                <w:noProof/>
                <w:webHidden/>
              </w:rPr>
              <w:fldChar w:fldCharType="begin"/>
            </w:r>
            <w:r w:rsidR="00896C03">
              <w:rPr>
                <w:noProof/>
                <w:webHidden/>
              </w:rPr>
              <w:instrText xml:space="preserve"> PAGEREF _Toc59540947 \h </w:instrText>
            </w:r>
            <w:r w:rsidR="00896C03">
              <w:rPr>
                <w:noProof/>
                <w:webHidden/>
              </w:rPr>
            </w:r>
            <w:r w:rsidR="00896C03">
              <w:rPr>
                <w:noProof/>
                <w:webHidden/>
              </w:rPr>
              <w:fldChar w:fldCharType="separate"/>
            </w:r>
            <w:r w:rsidR="00406E1E">
              <w:rPr>
                <w:noProof/>
                <w:webHidden/>
              </w:rPr>
              <w:t>8</w:t>
            </w:r>
            <w:r w:rsidR="00896C03">
              <w:rPr>
                <w:noProof/>
                <w:webHidden/>
              </w:rPr>
              <w:fldChar w:fldCharType="end"/>
            </w:r>
          </w:hyperlink>
        </w:p>
        <w:p w14:paraId="0593A0D9" w14:textId="15B8B225"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48" w:history="1">
            <w:r w:rsidR="00896C03" w:rsidRPr="00100049">
              <w:rPr>
                <w:rStyle w:val="Hyperlink"/>
                <w:noProof/>
              </w:rPr>
              <w:t>1.3</w:t>
            </w:r>
            <w:r w:rsidR="00896C03">
              <w:rPr>
                <w:rFonts w:asciiTheme="minorHAnsi" w:eastAsiaTheme="minorEastAsia" w:hAnsiTheme="minorHAnsi" w:cstheme="minorBidi"/>
                <w:noProof/>
                <w:sz w:val="22"/>
                <w:szCs w:val="22"/>
                <w:lang w:eastAsia="en-AU"/>
              </w:rPr>
              <w:tab/>
            </w:r>
            <w:r w:rsidR="00896C03" w:rsidRPr="00100049">
              <w:rPr>
                <w:rStyle w:val="Hyperlink"/>
                <w:noProof/>
              </w:rPr>
              <w:t>Prochlorperazine</w:t>
            </w:r>
            <w:r w:rsidR="00896C03">
              <w:rPr>
                <w:noProof/>
                <w:webHidden/>
              </w:rPr>
              <w:tab/>
            </w:r>
            <w:r w:rsidR="00896C03">
              <w:rPr>
                <w:noProof/>
                <w:webHidden/>
              </w:rPr>
              <w:fldChar w:fldCharType="begin"/>
            </w:r>
            <w:r w:rsidR="00896C03">
              <w:rPr>
                <w:noProof/>
                <w:webHidden/>
              </w:rPr>
              <w:instrText xml:space="preserve"> PAGEREF _Toc59540948 \h </w:instrText>
            </w:r>
            <w:r w:rsidR="00896C03">
              <w:rPr>
                <w:noProof/>
                <w:webHidden/>
              </w:rPr>
            </w:r>
            <w:r w:rsidR="00896C03">
              <w:rPr>
                <w:noProof/>
                <w:webHidden/>
              </w:rPr>
              <w:fldChar w:fldCharType="separate"/>
            </w:r>
            <w:r w:rsidR="00406E1E">
              <w:rPr>
                <w:noProof/>
                <w:webHidden/>
              </w:rPr>
              <w:t>13</w:t>
            </w:r>
            <w:r w:rsidR="00896C03">
              <w:rPr>
                <w:noProof/>
                <w:webHidden/>
              </w:rPr>
              <w:fldChar w:fldCharType="end"/>
            </w:r>
          </w:hyperlink>
        </w:p>
        <w:p w14:paraId="0B8E620D" w14:textId="16B9F0F7"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49" w:history="1">
            <w:r w:rsidR="00896C03" w:rsidRPr="00100049">
              <w:rPr>
                <w:rStyle w:val="Hyperlink"/>
                <w:noProof/>
              </w:rPr>
              <w:t>1.4</w:t>
            </w:r>
            <w:r w:rsidR="00896C03">
              <w:rPr>
                <w:rFonts w:asciiTheme="minorHAnsi" w:eastAsiaTheme="minorEastAsia" w:hAnsiTheme="minorHAnsi" w:cstheme="minorBidi"/>
                <w:noProof/>
                <w:sz w:val="22"/>
                <w:szCs w:val="22"/>
                <w:lang w:eastAsia="en-AU"/>
              </w:rPr>
              <w:tab/>
            </w:r>
            <w:r w:rsidR="00896C03" w:rsidRPr="00100049">
              <w:rPr>
                <w:rStyle w:val="Hyperlink"/>
                <w:noProof/>
              </w:rPr>
              <w:t>Processed Aconitum carmichaelii</w:t>
            </w:r>
            <w:r w:rsidR="00896C03">
              <w:rPr>
                <w:noProof/>
                <w:webHidden/>
              </w:rPr>
              <w:tab/>
            </w:r>
            <w:r w:rsidR="00896C03">
              <w:rPr>
                <w:noProof/>
                <w:webHidden/>
              </w:rPr>
              <w:fldChar w:fldCharType="begin"/>
            </w:r>
            <w:r w:rsidR="00896C03">
              <w:rPr>
                <w:noProof/>
                <w:webHidden/>
              </w:rPr>
              <w:instrText xml:space="preserve"> PAGEREF _Toc59540949 \h </w:instrText>
            </w:r>
            <w:r w:rsidR="00896C03">
              <w:rPr>
                <w:noProof/>
                <w:webHidden/>
              </w:rPr>
            </w:r>
            <w:r w:rsidR="00896C03">
              <w:rPr>
                <w:noProof/>
                <w:webHidden/>
              </w:rPr>
              <w:fldChar w:fldCharType="separate"/>
            </w:r>
            <w:r w:rsidR="00406E1E">
              <w:rPr>
                <w:noProof/>
                <w:webHidden/>
              </w:rPr>
              <w:t>17</w:t>
            </w:r>
            <w:r w:rsidR="00896C03">
              <w:rPr>
                <w:noProof/>
                <w:webHidden/>
              </w:rPr>
              <w:fldChar w:fldCharType="end"/>
            </w:r>
          </w:hyperlink>
        </w:p>
        <w:p w14:paraId="70544F8E" w14:textId="0D44D854" w:rsidR="00896C03" w:rsidRDefault="0099313B">
          <w:pPr>
            <w:pStyle w:val="TOC2"/>
            <w:tabs>
              <w:tab w:val="left" w:pos="851"/>
            </w:tabs>
            <w:rPr>
              <w:rFonts w:asciiTheme="minorHAnsi" w:eastAsiaTheme="minorEastAsia" w:hAnsiTheme="minorHAnsi" w:cstheme="minorBidi"/>
              <w:noProof/>
              <w:szCs w:val="22"/>
              <w:lang w:eastAsia="en-AU"/>
            </w:rPr>
          </w:pPr>
          <w:hyperlink w:anchor="_Toc59540950" w:history="1">
            <w:r w:rsidR="00896C03" w:rsidRPr="00100049">
              <w:rPr>
                <w:rStyle w:val="Hyperlink"/>
                <w:noProof/>
              </w:rPr>
              <w:t>2</w:t>
            </w:r>
            <w:r w:rsidR="00896C03">
              <w:rPr>
                <w:rFonts w:asciiTheme="minorHAnsi" w:eastAsiaTheme="minorEastAsia" w:hAnsiTheme="minorHAnsi" w:cstheme="minorBidi"/>
                <w:noProof/>
                <w:szCs w:val="22"/>
                <w:lang w:eastAsia="en-AU"/>
              </w:rPr>
              <w:tab/>
            </w:r>
            <w:r w:rsidR="00896C03" w:rsidRPr="00100049">
              <w:rPr>
                <w:rStyle w:val="Hyperlink"/>
                <w:noProof/>
              </w:rPr>
              <w:t>Proposed amendments referred for scheduling advice to ACCS #30</w:t>
            </w:r>
            <w:r w:rsidR="00896C03">
              <w:rPr>
                <w:noProof/>
                <w:webHidden/>
              </w:rPr>
              <w:tab/>
            </w:r>
            <w:r w:rsidR="00896C03">
              <w:rPr>
                <w:noProof/>
                <w:webHidden/>
              </w:rPr>
              <w:fldChar w:fldCharType="begin"/>
            </w:r>
            <w:r w:rsidR="00896C03">
              <w:rPr>
                <w:noProof/>
                <w:webHidden/>
              </w:rPr>
              <w:instrText xml:space="preserve"> PAGEREF _Toc59540950 \h </w:instrText>
            </w:r>
            <w:r w:rsidR="00896C03">
              <w:rPr>
                <w:noProof/>
                <w:webHidden/>
              </w:rPr>
            </w:r>
            <w:r w:rsidR="00896C03">
              <w:rPr>
                <w:noProof/>
                <w:webHidden/>
              </w:rPr>
              <w:fldChar w:fldCharType="separate"/>
            </w:r>
            <w:r w:rsidR="00406E1E">
              <w:rPr>
                <w:noProof/>
                <w:webHidden/>
              </w:rPr>
              <w:t>21</w:t>
            </w:r>
            <w:r w:rsidR="00896C03">
              <w:rPr>
                <w:noProof/>
                <w:webHidden/>
              </w:rPr>
              <w:fldChar w:fldCharType="end"/>
            </w:r>
          </w:hyperlink>
        </w:p>
        <w:p w14:paraId="6D7CFBAF" w14:textId="720BAEEA"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1" w:history="1">
            <w:r w:rsidR="00896C03" w:rsidRPr="00100049">
              <w:rPr>
                <w:rStyle w:val="Hyperlink"/>
                <w:noProof/>
              </w:rPr>
              <w:t>2.1</w:t>
            </w:r>
            <w:r w:rsidR="00896C03">
              <w:rPr>
                <w:rFonts w:asciiTheme="minorHAnsi" w:eastAsiaTheme="minorEastAsia" w:hAnsiTheme="minorHAnsi" w:cstheme="minorBidi"/>
                <w:noProof/>
                <w:sz w:val="22"/>
                <w:szCs w:val="22"/>
                <w:lang w:eastAsia="en-AU"/>
              </w:rPr>
              <w:tab/>
            </w:r>
            <w:r w:rsidR="00896C03" w:rsidRPr="00100049">
              <w:rPr>
                <w:rStyle w:val="Hyperlink"/>
                <w:noProof/>
              </w:rPr>
              <w:t>Lead (in paint)</w:t>
            </w:r>
            <w:r w:rsidR="00896C03">
              <w:rPr>
                <w:noProof/>
                <w:webHidden/>
              </w:rPr>
              <w:tab/>
            </w:r>
            <w:r w:rsidR="00896C03">
              <w:rPr>
                <w:noProof/>
                <w:webHidden/>
              </w:rPr>
              <w:fldChar w:fldCharType="begin"/>
            </w:r>
            <w:r w:rsidR="00896C03">
              <w:rPr>
                <w:noProof/>
                <w:webHidden/>
              </w:rPr>
              <w:instrText xml:space="preserve"> PAGEREF _Toc59540951 \h </w:instrText>
            </w:r>
            <w:r w:rsidR="00896C03">
              <w:rPr>
                <w:noProof/>
                <w:webHidden/>
              </w:rPr>
            </w:r>
            <w:r w:rsidR="00896C03">
              <w:rPr>
                <w:noProof/>
                <w:webHidden/>
              </w:rPr>
              <w:fldChar w:fldCharType="separate"/>
            </w:r>
            <w:r w:rsidR="00406E1E">
              <w:rPr>
                <w:noProof/>
                <w:webHidden/>
              </w:rPr>
              <w:t>21</w:t>
            </w:r>
            <w:r w:rsidR="00896C03">
              <w:rPr>
                <w:noProof/>
                <w:webHidden/>
              </w:rPr>
              <w:fldChar w:fldCharType="end"/>
            </w:r>
          </w:hyperlink>
        </w:p>
        <w:p w14:paraId="6ED06793" w14:textId="1FEEC923"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2" w:history="1">
            <w:r w:rsidR="00896C03" w:rsidRPr="00100049">
              <w:rPr>
                <w:rStyle w:val="Hyperlink"/>
                <w:noProof/>
              </w:rPr>
              <w:t>2.2</w:t>
            </w:r>
            <w:r w:rsidR="00896C03">
              <w:rPr>
                <w:rFonts w:asciiTheme="minorHAnsi" w:eastAsiaTheme="minorEastAsia" w:hAnsiTheme="minorHAnsi" w:cstheme="minorBidi"/>
                <w:noProof/>
                <w:sz w:val="22"/>
                <w:szCs w:val="22"/>
                <w:lang w:eastAsia="en-AU"/>
              </w:rPr>
              <w:tab/>
            </w:r>
            <w:r w:rsidR="00896C03" w:rsidRPr="00100049">
              <w:rPr>
                <w:rStyle w:val="Hyperlink"/>
                <w:noProof/>
              </w:rPr>
              <w:t>Cyflumetofen</w:t>
            </w:r>
            <w:r w:rsidR="00896C03">
              <w:rPr>
                <w:noProof/>
                <w:webHidden/>
              </w:rPr>
              <w:tab/>
            </w:r>
            <w:r w:rsidR="00896C03">
              <w:rPr>
                <w:noProof/>
                <w:webHidden/>
              </w:rPr>
              <w:fldChar w:fldCharType="begin"/>
            </w:r>
            <w:r w:rsidR="00896C03">
              <w:rPr>
                <w:noProof/>
                <w:webHidden/>
              </w:rPr>
              <w:instrText xml:space="preserve"> PAGEREF _Toc59540952 \h </w:instrText>
            </w:r>
            <w:r w:rsidR="00896C03">
              <w:rPr>
                <w:noProof/>
                <w:webHidden/>
              </w:rPr>
            </w:r>
            <w:r w:rsidR="00896C03">
              <w:rPr>
                <w:noProof/>
                <w:webHidden/>
              </w:rPr>
              <w:fldChar w:fldCharType="separate"/>
            </w:r>
            <w:r w:rsidR="00406E1E">
              <w:rPr>
                <w:noProof/>
                <w:webHidden/>
              </w:rPr>
              <w:t>25</w:t>
            </w:r>
            <w:r w:rsidR="00896C03">
              <w:rPr>
                <w:noProof/>
                <w:webHidden/>
              </w:rPr>
              <w:fldChar w:fldCharType="end"/>
            </w:r>
          </w:hyperlink>
        </w:p>
        <w:p w14:paraId="4C226E1C" w14:textId="7EA63353"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3" w:history="1">
            <w:r w:rsidR="00896C03" w:rsidRPr="00100049">
              <w:rPr>
                <w:rStyle w:val="Hyperlink"/>
                <w:noProof/>
              </w:rPr>
              <w:t>2.3</w:t>
            </w:r>
            <w:r w:rsidR="00896C03">
              <w:rPr>
                <w:rFonts w:asciiTheme="minorHAnsi" w:eastAsiaTheme="minorEastAsia" w:hAnsiTheme="minorHAnsi" w:cstheme="minorBidi"/>
                <w:noProof/>
                <w:sz w:val="22"/>
                <w:szCs w:val="22"/>
                <w:lang w:eastAsia="en-AU"/>
              </w:rPr>
              <w:tab/>
            </w:r>
            <w:r w:rsidR="00896C03" w:rsidRPr="00100049">
              <w:rPr>
                <w:rStyle w:val="Hyperlink"/>
                <w:noProof/>
              </w:rPr>
              <w:t>Isocycloseram</w:t>
            </w:r>
            <w:r w:rsidR="00896C03">
              <w:rPr>
                <w:noProof/>
                <w:webHidden/>
              </w:rPr>
              <w:tab/>
            </w:r>
            <w:r w:rsidR="00896C03">
              <w:rPr>
                <w:noProof/>
                <w:webHidden/>
              </w:rPr>
              <w:fldChar w:fldCharType="begin"/>
            </w:r>
            <w:r w:rsidR="00896C03">
              <w:rPr>
                <w:noProof/>
                <w:webHidden/>
              </w:rPr>
              <w:instrText xml:space="preserve"> PAGEREF _Toc59540953 \h </w:instrText>
            </w:r>
            <w:r w:rsidR="00896C03">
              <w:rPr>
                <w:noProof/>
                <w:webHidden/>
              </w:rPr>
            </w:r>
            <w:r w:rsidR="00896C03">
              <w:rPr>
                <w:noProof/>
                <w:webHidden/>
              </w:rPr>
              <w:fldChar w:fldCharType="separate"/>
            </w:r>
            <w:r w:rsidR="00406E1E">
              <w:rPr>
                <w:noProof/>
                <w:webHidden/>
              </w:rPr>
              <w:t>27</w:t>
            </w:r>
            <w:r w:rsidR="00896C03">
              <w:rPr>
                <w:noProof/>
                <w:webHidden/>
              </w:rPr>
              <w:fldChar w:fldCharType="end"/>
            </w:r>
          </w:hyperlink>
        </w:p>
        <w:p w14:paraId="5FE6FDD0" w14:textId="2841BAE3"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4" w:history="1">
            <w:r w:rsidR="00896C03" w:rsidRPr="00100049">
              <w:rPr>
                <w:rStyle w:val="Hyperlink"/>
                <w:noProof/>
              </w:rPr>
              <w:t>2.4</w:t>
            </w:r>
            <w:r w:rsidR="00896C03">
              <w:rPr>
                <w:rFonts w:asciiTheme="minorHAnsi" w:eastAsiaTheme="minorEastAsia" w:hAnsiTheme="minorHAnsi" w:cstheme="minorBidi"/>
                <w:noProof/>
                <w:sz w:val="22"/>
                <w:szCs w:val="22"/>
                <w:lang w:eastAsia="en-AU"/>
              </w:rPr>
              <w:tab/>
            </w:r>
            <w:r w:rsidR="00896C03" w:rsidRPr="00100049">
              <w:rPr>
                <w:rStyle w:val="Hyperlink"/>
                <w:noProof/>
              </w:rPr>
              <w:t>1,4-Benzenediamine, 2-(methoxymethyl)-</w:t>
            </w:r>
            <w:r w:rsidR="00896C03">
              <w:rPr>
                <w:noProof/>
                <w:webHidden/>
              </w:rPr>
              <w:tab/>
            </w:r>
            <w:r w:rsidR="00896C03">
              <w:rPr>
                <w:noProof/>
                <w:webHidden/>
              </w:rPr>
              <w:fldChar w:fldCharType="begin"/>
            </w:r>
            <w:r w:rsidR="00896C03">
              <w:rPr>
                <w:noProof/>
                <w:webHidden/>
              </w:rPr>
              <w:instrText xml:space="preserve"> PAGEREF _Toc59540954 \h </w:instrText>
            </w:r>
            <w:r w:rsidR="00896C03">
              <w:rPr>
                <w:noProof/>
                <w:webHidden/>
              </w:rPr>
            </w:r>
            <w:r w:rsidR="00896C03">
              <w:rPr>
                <w:noProof/>
                <w:webHidden/>
              </w:rPr>
              <w:fldChar w:fldCharType="separate"/>
            </w:r>
            <w:r w:rsidR="00406E1E">
              <w:rPr>
                <w:noProof/>
                <w:webHidden/>
              </w:rPr>
              <w:t>29</w:t>
            </w:r>
            <w:r w:rsidR="00896C03">
              <w:rPr>
                <w:noProof/>
                <w:webHidden/>
              </w:rPr>
              <w:fldChar w:fldCharType="end"/>
            </w:r>
          </w:hyperlink>
        </w:p>
        <w:p w14:paraId="3BA40601" w14:textId="7D0B0A73" w:rsidR="00896C03" w:rsidRDefault="0099313B">
          <w:pPr>
            <w:pStyle w:val="TOC2"/>
            <w:tabs>
              <w:tab w:val="left" w:pos="851"/>
            </w:tabs>
            <w:rPr>
              <w:rFonts w:asciiTheme="minorHAnsi" w:eastAsiaTheme="minorEastAsia" w:hAnsiTheme="minorHAnsi" w:cstheme="minorBidi"/>
              <w:noProof/>
              <w:szCs w:val="22"/>
              <w:lang w:eastAsia="en-AU"/>
            </w:rPr>
          </w:pPr>
          <w:hyperlink w:anchor="_Toc59540955" w:history="1">
            <w:r w:rsidR="00896C03" w:rsidRPr="00100049">
              <w:rPr>
                <w:rStyle w:val="Hyperlink"/>
                <w:noProof/>
              </w:rPr>
              <w:t>3</w:t>
            </w:r>
            <w:r w:rsidR="00896C03">
              <w:rPr>
                <w:rFonts w:asciiTheme="minorHAnsi" w:eastAsiaTheme="minorEastAsia" w:hAnsiTheme="minorHAnsi" w:cstheme="minorBidi"/>
                <w:noProof/>
                <w:szCs w:val="22"/>
                <w:lang w:eastAsia="en-AU"/>
              </w:rPr>
              <w:tab/>
            </w:r>
            <w:r w:rsidR="00896C03" w:rsidRPr="00100049">
              <w:rPr>
                <w:rStyle w:val="Hyperlink"/>
                <w:noProof/>
              </w:rPr>
              <w:t>Proposed amendments referred for scheduling advice to the Joint ACMS-ACCS #27</w:t>
            </w:r>
            <w:r w:rsidR="00896C03">
              <w:rPr>
                <w:noProof/>
                <w:webHidden/>
              </w:rPr>
              <w:tab/>
            </w:r>
            <w:r w:rsidR="00896C03">
              <w:rPr>
                <w:noProof/>
                <w:webHidden/>
              </w:rPr>
              <w:fldChar w:fldCharType="begin"/>
            </w:r>
            <w:r w:rsidR="00896C03">
              <w:rPr>
                <w:noProof/>
                <w:webHidden/>
              </w:rPr>
              <w:instrText xml:space="preserve"> PAGEREF _Toc59540955 \h </w:instrText>
            </w:r>
            <w:r w:rsidR="00896C03">
              <w:rPr>
                <w:noProof/>
                <w:webHidden/>
              </w:rPr>
            </w:r>
            <w:r w:rsidR="00896C03">
              <w:rPr>
                <w:noProof/>
                <w:webHidden/>
              </w:rPr>
              <w:fldChar w:fldCharType="separate"/>
            </w:r>
            <w:r w:rsidR="00406E1E">
              <w:rPr>
                <w:noProof/>
                <w:webHidden/>
              </w:rPr>
              <w:t>33</w:t>
            </w:r>
            <w:r w:rsidR="00896C03">
              <w:rPr>
                <w:noProof/>
                <w:webHidden/>
              </w:rPr>
              <w:fldChar w:fldCharType="end"/>
            </w:r>
          </w:hyperlink>
        </w:p>
        <w:p w14:paraId="1E872E5B" w14:textId="30315B3C"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6" w:history="1">
            <w:r w:rsidR="00896C03" w:rsidRPr="00100049">
              <w:rPr>
                <w:rStyle w:val="Hyperlink"/>
                <w:noProof/>
              </w:rPr>
              <w:t>3.1</w:t>
            </w:r>
            <w:r w:rsidR="00896C03">
              <w:rPr>
                <w:rFonts w:asciiTheme="minorHAnsi" w:eastAsiaTheme="minorEastAsia" w:hAnsiTheme="minorHAnsi" w:cstheme="minorBidi"/>
                <w:noProof/>
                <w:sz w:val="22"/>
                <w:szCs w:val="22"/>
                <w:lang w:eastAsia="en-AU"/>
              </w:rPr>
              <w:tab/>
            </w:r>
            <w:r w:rsidR="00896C03" w:rsidRPr="00100049">
              <w:rPr>
                <w:rStyle w:val="Hyperlink"/>
                <w:noProof/>
              </w:rPr>
              <w:t>Kambo</w:t>
            </w:r>
            <w:r w:rsidR="00896C03">
              <w:rPr>
                <w:noProof/>
                <w:webHidden/>
              </w:rPr>
              <w:tab/>
            </w:r>
            <w:r w:rsidR="00896C03">
              <w:rPr>
                <w:noProof/>
                <w:webHidden/>
              </w:rPr>
              <w:fldChar w:fldCharType="begin"/>
            </w:r>
            <w:r w:rsidR="00896C03">
              <w:rPr>
                <w:noProof/>
                <w:webHidden/>
              </w:rPr>
              <w:instrText xml:space="preserve"> PAGEREF _Toc59540956 \h </w:instrText>
            </w:r>
            <w:r w:rsidR="00896C03">
              <w:rPr>
                <w:noProof/>
                <w:webHidden/>
              </w:rPr>
            </w:r>
            <w:r w:rsidR="00896C03">
              <w:rPr>
                <w:noProof/>
                <w:webHidden/>
              </w:rPr>
              <w:fldChar w:fldCharType="separate"/>
            </w:r>
            <w:r w:rsidR="00406E1E">
              <w:rPr>
                <w:noProof/>
                <w:webHidden/>
              </w:rPr>
              <w:t>33</w:t>
            </w:r>
            <w:r w:rsidR="00896C03">
              <w:rPr>
                <w:noProof/>
                <w:webHidden/>
              </w:rPr>
              <w:fldChar w:fldCharType="end"/>
            </w:r>
          </w:hyperlink>
        </w:p>
        <w:p w14:paraId="430A124E" w14:textId="15E57092"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7" w:history="1">
            <w:r w:rsidR="00896C03" w:rsidRPr="00100049">
              <w:rPr>
                <w:rStyle w:val="Hyperlink"/>
                <w:noProof/>
              </w:rPr>
              <w:t>3.2</w:t>
            </w:r>
            <w:r w:rsidR="00896C03">
              <w:rPr>
                <w:rFonts w:asciiTheme="minorHAnsi" w:eastAsiaTheme="minorEastAsia" w:hAnsiTheme="minorHAnsi" w:cstheme="minorBidi"/>
                <w:noProof/>
                <w:sz w:val="22"/>
                <w:szCs w:val="22"/>
                <w:lang w:eastAsia="en-AU"/>
              </w:rPr>
              <w:tab/>
            </w:r>
            <w:r w:rsidR="00896C03" w:rsidRPr="00100049">
              <w:rPr>
                <w:rStyle w:val="Hyperlink"/>
                <w:noProof/>
              </w:rPr>
              <w:t>Lidocaine</w:t>
            </w:r>
            <w:r w:rsidR="00896C03">
              <w:rPr>
                <w:noProof/>
                <w:webHidden/>
              </w:rPr>
              <w:tab/>
            </w:r>
            <w:r w:rsidR="00896C03">
              <w:rPr>
                <w:noProof/>
                <w:webHidden/>
              </w:rPr>
              <w:fldChar w:fldCharType="begin"/>
            </w:r>
            <w:r w:rsidR="00896C03">
              <w:rPr>
                <w:noProof/>
                <w:webHidden/>
              </w:rPr>
              <w:instrText xml:space="preserve"> PAGEREF _Toc59540957 \h </w:instrText>
            </w:r>
            <w:r w:rsidR="00896C03">
              <w:rPr>
                <w:noProof/>
                <w:webHidden/>
              </w:rPr>
            </w:r>
            <w:r w:rsidR="00896C03">
              <w:rPr>
                <w:noProof/>
                <w:webHidden/>
              </w:rPr>
              <w:fldChar w:fldCharType="separate"/>
            </w:r>
            <w:r w:rsidR="00406E1E">
              <w:rPr>
                <w:noProof/>
                <w:webHidden/>
              </w:rPr>
              <w:t>36</w:t>
            </w:r>
            <w:r w:rsidR="00896C03">
              <w:rPr>
                <w:noProof/>
                <w:webHidden/>
              </w:rPr>
              <w:fldChar w:fldCharType="end"/>
            </w:r>
          </w:hyperlink>
        </w:p>
        <w:p w14:paraId="746D0B7B" w14:textId="4D569113"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8" w:history="1">
            <w:r w:rsidR="00896C03" w:rsidRPr="00100049">
              <w:rPr>
                <w:rStyle w:val="Hyperlink"/>
                <w:noProof/>
              </w:rPr>
              <w:t>3.3</w:t>
            </w:r>
            <w:r w:rsidR="00896C03">
              <w:rPr>
                <w:rFonts w:asciiTheme="minorHAnsi" w:eastAsiaTheme="minorEastAsia" w:hAnsiTheme="minorHAnsi" w:cstheme="minorBidi"/>
                <w:noProof/>
                <w:sz w:val="22"/>
                <w:szCs w:val="22"/>
                <w:lang w:eastAsia="en-AU"/>
              </w:rPr>
              <w:tab/>
            </w:r>
            <w:r w:rsidR="00896C03" w:rsidRPr="00100049">
              <w:rPr>
                <w:rStyle w:val="Hyperlink"/>
                <w:noProof/>
              </w:rPr>
              <w:t>Nitrous oxide</w:t>
            </w:r>
            <w:r w:rsidR="00896C03">
              <w:rPr>
                <w:noProof/>
                <w:webHidden/>
              </w:rPr>
              <w:tab/>
            </w:r>
            <w:r w:rsidR="00896C03">
              <w:rPr>
                <w:noProof/>
                <w:webHidden/>
              </w:rPr>
              <w:fldChar w:fldCharType="begin"/>
            </w:r>
            <w:r w:rsidR="00896C03">
              <w:rPr>
                <w:noProof/>
                <w:webHidden/>
              </w:rPr>
              <w:instrText xml:space="preserve"> PAGEREF _Toc59540958 \h </w:instrText>
            </w:r>
            <w:r w:rsidR="00896C03">
              <w:rPr>
                <w:noProof/>
                <w:webHidden/>
              </w:rPr>
            </w:r>
            <w:r w:rsidR="00896C03">
              <w:rPr>
                <w:noProof/>
                <w:webHidden/>
              </w:rPr>
              <w:fldChar w:fldCharType="separate"/>
            </w:r>
            <w:r w:rsidR="00406E1E">
              <w:rPr>
                <w:noProof/>
                <w:webHidden/>
              </w:rPr>
              <w:t>41</w:t>
            </w:r>
            <w:r w:rsidR="00896C03">
              <w:rPr>
                <w:noProof/>
                <w:webHidden/>
              </w:rPr>
              <w:fldChar w:fldCharType="end"/>
            </w:r>
          </w:hyperlink>
        </w:p>
        <w:p w14:paraId="165E6306" w14:textId="44F560C0" w:rsidR="00896C03" w:rsidRDefault="0099313B">
          <w:pPr>
            <w:pStyle w:val="TOC3"/>
            <w:tabs>
              <w:tab w:val="left" w:pos="1701"/>
            </w:tabs>
            <w:rPr>
              <w:rFonts w:asciiTheme="minorHAnsi" w:eastAsiaTheme="minorEastAsia" w:hAnsiTheme="minorHAnsi" w:cstheme="minorBidi"/>
              <w:noProof/>
              <w:sz w:val="22"/>
              <w:szCs w:val="22"/>
              <w:lang w:eastAsia="en-AU"/>
            </w:rPr>
          </w:pPr>
          <w:hyperlink w:anchor="_Toc59540959" w:history="1">
            <w:r w:rsidR="00896C03" w:rsidRPr="00100049">
              <w:rPr>
                <w:rStyle w:val="Hyperlink"/>
                <w:noProof/>
              </w:rPr>
              <w:t>3.4</w:t>
            </w:r>
            <w:r w:rsidR="00896C03">
              <w:rPr>
                <w:rFonts w:asciiTheme="minorHAnsi" w:eastAsiaTheme="minorEastAsia" w:hAnsiTheme="minorHAnsi" w:cstheme="minorBidi"/>
                <w:noProof/>
                <w:sz w:val="22"/>
                <w:szCs w:val="22"/>
                <w:lang w:eastAsia="en-AU"/>
              </w:rPr>
              <w:tab/>
            </w:r>
            <w:r w:rsidR="00896C03" w:rsidRPr="00100049">
              <w:rPr>
                <w:rStyle w:val="Hyperlink"/>
                <w:noProof/>
              </w:rPr>
              <w:t>Hemp seed oil</w:t>
            </w:r>
            <w:r w:rsidR="00896C03">
              <w:rPr>
                <w:noProof/>
                <w:webHidden/>
              </w:rPr>
              <w:tab/>
            </w:r>
            <w:r w:rsidR="00896C03">
              <w:rPr>
                <w:noProof/>
                <w:webHidden/>
              </w:rPr>
              <w:fldChar w:fldCharType="begin"/>
            </w:r>
            <w:r w:rsidR="00896C03">
              <w:rPr>
                <w:noProof/>
                <w:webHidden/>
              </w:rPr>
              <w:instrText xml:space="preserve"> PAGEREF _Toc59540959 \h </w:instrText>
            </w:r>
            <w:r w:rsidR="00896C03">
              <w:rPr>
                <w:noProof/>
                <w:webHidden/>
              </w:rPr>
            </w:r>
            <w:r w:rsidR="00896C03">
              <w:rPr>
                <w:noProof/>
                <w:webHidden/>
              </w:rPr>
              <w:fldChar w:fldCharType="separate"/>
            </w:r>
            <w:r w:rsidR="00406E1E">
              <w:rPr>
                <w:noProof/>
                <w:webHidden/>
              </w:rPr>
              <w:t>44</w:t>
            </w:r>
            <w:r w:rsidR="00896C03">
              <w:rPr>
                <w:noProof/>
                <w:webHidden/>
              </w:rPr>
              <w:fldChar w:fldCharType="end"/>
            </w:r>
          </w:hyperlink>
        </w:p>
        <w:p w14:paraId="3E09A20A" w14:textId="170D70D2" w:rsidR="00896C03" w:rsidRDefault="0099313B">
          <w:pPr>
            <w:pStyle w:val="TOC2"/>
            <w:tabs>
              <w:tab w:val="left" w:pos="851"/>
            </w:tabs>
            <w:rPr>
              <w:rFonts w:asciiTheme="minorHAnsi" w:eastAsiaTheme="minorEastAsia" w:hAnsiTheme="minorHAnsi" w:cstheme="minorBidi"/>
              <w:noProof/>
              <w:szCs w:val="22"/>
              <w:lang w:eastAsia="en-AU"/>
            </w:rPr>
          </w:pPr>
          <w:hyperlink w:anchor="_Toc59540960" w:history="1">
            <w:r w:rsidR="00896C03" w:rsidRPr="00100049">
              <w:rPr>
                <w:rStyle w:val="Hyperlink"/>
                <w:noProof/>
              </w:rPr>
              <w:t>4</w:t>
            </w:r>
            <w:r w:rsidR="00896C03">
              <w:rPr>
                <w:rFonts w:asciiTheme="minorHAnsi" w:eastAsiaTheme="minorEastAsia" w:hAnsiTheme="minorHAnsi" w:cstheme="minorBidi"/>
                <w:noProof/>
                <w:szCs w:val="22"/>
                <w:lang w:eastAsia="en-AU"/>
              </w:rPr>
              <w:tab/>
            </w:r>
            <w:r w:rsidR="00896C03" w:rsidRPr="00100049">
              <w:rPr>
                <w:rStyle w:val="Hyperlink"/>
                <w:noProof/>
              </w:rPr>
              <w:t>How to respond</w:t>
            </w:r>
            <w:r w:rsidR="00896C03">
              <w:rPr>
                <w:noProof/>
                <w:webHidden/>
              </w:rPr>
              <w:tab/>
            </w:r>
            <w:r w:rsidR="00896C03">
              <w:rPr>
                <w:noProof/>
                <w:webHidden/>
              </w:rPr>
              <w:fldChar w:fldCharType="begin"/>
            </w:r>
            <w:r w:rsidR="00896C03">
              <w:rPr>
                <w:noProof/>
                <w:webHidden/>
              </w:rPr>
              <w:instrText xml:space="preserve"> PAGEREF _Toc59540960 \h </w:instrText>
            </w:r>
            <w:r w:rsidR="00896C03">
              <w:rPr>
                <w:noProof/>
                <w:webHidden/>
              </w:rPr>
            </w:r>
            <w:r w:rsidR="00896C03">
              <w:rPr>
                <w:noProof/>
                <w:webHidden/>
              </w:rPr>
              <w:fldChar w:fldCharType="separate"/>
            </w:r>
            <w:r w:rsidR="00406E1E">
              <w:rPr>
                <w:noProof/>
                <w:webHidden/>
              </w:rPr>
              <w:t>47</w:t>
            </w:r>
            <w:r w:rsidR="00896C03">
              <w:rPr>
                <w:noProof/>
                <w:webHidden/>
              </w:rPr>
              <w:fldChar w:fldCharType="end"/>
            </w:r>
          </w:hyperlink>
        </w:p>
        <w:p w14:paraId="129A30B4" w14:textId="662C69AC" w:rsidR="00896C03" w:rsidRDefault="0099313B">
          <w:pPr>
            <w:pStyle w:val="TOC2"/>
            <w:tabs>
              <w:tab w:val="left" w:pos="851"/>
            </w:tabs>
            <w:rPr>
              <w:rFonts w:asciiTheme="minorHAnsi" w:eastAsiaTheme="minorEastAsia" w:hAnsiTheme="minorHAnsi" w:cstheme="minorBidi"/>
              <w:noProof/>
              <w:szCs w:val="22"/>
              <w:lang w:eastAsia="en-AU"/>
            </w:rPr>
          </w:pPr>
          <w:hyperlink w:anchor="_Toc59540961" w:history="1">
            <w:r w:rsidR="00896C03" w:rsidRPr="00100049">
              <w:rPr>
                <w:rStyle w:val="Hyperlink"/>
                <w:noProof/>
              </w:rPr>
              <w:t>5</w:t>
            </w:r>
            <w:r w:rsidR="00896C03">
              <w:rPr>
                <w:rFonts w:asciiTheme="minorHAnsi" w:eastAsiaTheme="minorEastAsia" w:hAnsiTheme="minorHAnsi" w:cstheme="minorBidi"/>
                <w:noProof/>
                <w:szCs w:val="22"/>
                <w:lang w:eastAsia="en-AU"/>
              </w:rPr>
              <w:tab/>
            </w:r>
            <w:r w:rsidR="00896C03" w:rsidRPr="00100049">
              <w:rPr>
                <w:rStyle w:val="Hyperlink"/>
                <w:noProof/>
              </w:rPr>
              <w:t>What will happen</w:t>
            </w:r>
            <w:r w:rsidR="00896C03">
              <w:rPr>
                <w:noProof/>
                <w:webHidden/>
              </w:rPr>
              <w:tab/>
            </w:r>
            <w:r w:rsidR="00896C03">
              <w:rPr>
                <w:noProof/>
                <w:webHidden/>
              </w:rPr>
              <w:fldChar w:fldCharType="begin"/>
            </w:r>
            <w:r w:rsidR="00896C03">
              <w:rPr>
                <w:noProof/>
                <w:webHidden/>
              </w:rPr>
              <w:instrText xml:space="preserve"> PAGEREF _Toc59540961 \h </w:instrText>
            </w:r>
            <w:r w:rsidR="00896C03">
              <w:rPr>
                <w:noProof/>
                <w:webHidden/>
              </w:rPr>
            </w:r>
            <w:r w:rsidR="00896C03">
              <w:rPr>
                <w:noProof/>
                <w:webHidden/>
              </w:rPr>
              <w:fldChar w:fldCharType="separate"/>
            </w:r>
            <w:r w:rsidR="00406E1E">
              <w:rPr>
                <w:noProof/>
                <w:webHidden/>
              </w:rPr>
              <w:t>47</w:t>
            </w:r>
            <w:r w:rsidR="00896C03">
              <w:rPr>
                <w:noProof/>
                <w:webHidden/>
              </w:rPr>
              <w:fldChar w:fldCharType="end"/>
            </w:r>
          </w:hyperlink>
        </w:p>
        <w:p w14:paraId="7DF331EE" w14:textId="56E3DD9C" w:rsidR="0025660C" w:rsidRDefault="008D3724" w:rsidP="008D3724">
          <w:pPr>
            <w:pStyle w:val="NonTOCheading2"/>
          </w:pPr>
          <w:r>
            <w:rPr>
              <w:sz w:val="32"/>
            </w:rPr>
            <w:fldChar w:fldCharType="end"/>
          </w:r>
        </w:p>
      </w:sdtContent>
    </w:sdt>
    <w:p w14:paraId="3445656D" w14:textId="01FBF886" w:rsidR="0025660C" w:rsidRPr="00BC2009" w:rsidRDefault="003639D9" w:rsidP="00BC2009">
      <w:pPr>
        <w:pStyle w:val="Heading2"/>
        <w:pageBreakBefore/>
        <w:ind w:left="431" w:hanging="431"/>
      </w:pPr>
      <w:bookmarkStart w:id="4" w:name="_Toc59540945"/>
      <w:bookmarkEnd w:id="3"/>
      <w:bookmarkEnd w:id="2"/>
      <w:bookmarkEnd w:id="1"/>
      <w:r>
        <w:t>Proposed amendments referred for scheduling advice to ACMS #</w:t>
      </w:r>
      <w:r w:rsidR="00AD657F">
        <w:t>33</w:t>
      </w:r>
      <w:bookmarkEnd w:id="4"/>
    </w:p>
    <w:p w14:paraId="6171099D" w14:textId="57CAEE47" w:rsidR="00B2445D" w:rsidRPr="00B2445D" w:rsidRDefault="00EF40CE" w:rsidP="00B2445D">
      <w:pPr>
        <w:pStyle w:val="Heading3"/>
      </w:pPr>
      <w:bookmarkStart w:id="5" w:name="_Toc59540946"/>
      <w:r>
        <w:t>Metoclopramide</w:t>
      </w:r>
      <w:bookmarkEnd w:id="5"/>
    </w:p>
    <w:p w14:paraId="2DB3E598" w14:textId="79CE419F" w:rsidR="00E960B7" w:rsidRDefault="00E960B7" w:rsidP="00B84910">
      <w:pPr>
        <w:pStyle w:val="Heading4"/>
      </w:pPr>
      <w:r>
        <w:t>Proposal</w:t>
      </w:r>
    </w:p>
    <w:p w14:paraId="49D19778" w14:textId="3F0FA00B" w:rsidR="00E960B7" w:rsidRPr="00630FDD" w:rsidRDefault="00E960B7" w:rsidP="00C05467">
      <w:r>
        <w:t xml:space="preserve">Inclusion of a new entry for </w:t>
      </w:r>
      <w:r w:rsidR="006A0105">
        <w:t>metoclopramide</w:t>
      </w:r>
      <w:r>
        <w:t xml:space="preserve"> in Appendix H of the Poisons </w:t>
      </w:r>
      <w:r w:rsidR="00EB5991">
        <w:t>Standard to allow direct-to-</w:t>
      </w:r>
      <w:r>
        <w:t>consumer advertising of products containing the substance.</w:t>
      </w:r>
    </w:p>
    <w:p w14:paraId="72D6C593" w14:textId="2236DC73" w:rsidR="003639D9" w:rsidRPr="003639D9" w:rsidRDefault="003639D9" w:rsidP="00B84910">
      <w:pPr>
        <w:pStyle w:val="Heading4"/>
      </w:pPr>
      <w:r>
        <w:t>CAS Number:</w:t>
      </w:r>
    </w:p>
    <w:p w14:paraId="67C08683" w14:textId="05B44B19" w:rsidR="003639D9" w:rsidRDefault="00EF40CE">
      <w:r w:rsidRPr="00EF40CE">
        <w:t>364-62-5</w:t>
      </w:r>
    </w:p>
    <w:p w14:paraId="08CEC287" w14:textId="13908AC9" w:rsidR="003639D9" w:rsidRDefault="003639D9" w:rsidP="00B84910">
      <w:pPr>
        <w:pStyle w:val="Heading4"/>
      </w:pPr>
      <w:r>
        <w:t>Alternative names</w:t>
      </w:r>
    </w:p>
    <w:p w14:paraId="3F6ED510" w14:textId="4A15BDA5" w:rsidR="003639D9" w:rsidRPr="00EF40CE" w:rsidRDefault="00EF40CE" w:rsidP="003639D9">
      <w:pPr>
        <w:rPr>
          <w:rFonts w:asciiTheme="minorHAnsi" w:hAnsiTheme="minorHAnsi"/>
          <w:szCs w:val="22"/>
        </w:rPr>
      </w:pPr>
      <w:r w:rsidRPr="00EF40CE">
        <w:rPr>
          <w:rFonts w:asciiTheme="minorHAnsi" w:hAnsiTheme="minorHAnsi" w:cs="Arial"/>
          <w:color w:val="444444"/>
          <w:szCs w:val="22"/>
          <w:shd w:val="clear" w:color="auto" w:fill="FFFFFF"/>
        </w:rPr>
        <w:t>4-Amino-5-chloro-</w:t>
      </w:r>
      <w:r w:rsidRPr="00EF40CE">
        <w:rPr>
          <w:rStyle w:val="Emphasis"/>
          <w:rFonts w:asciiTheme="minorHAnsi" w:hAnsiTheme="minorHAnsi" w:cs="Arial"/>
          <w:color w:val="444444"/>
          <w:szCs w:val="22"/>
          <w:shd w:val="clear" w:color="auto" w:fill="FFFFFF"/>
        </w:rPr>
        <w:t>N-</w:t>
      </w:r>
      <w:r w:rsidRPr="00EF40CE">
        <w:rPr>
          <w:rFonts w:asciiTheme="minorHAnsi" w:hAnsiTheme="minorHAnsi" w:cs="Arial"/>
          <w:color w:val="444444"/>
          <w:szCs w:val="22"/>
          <w:shd w:val="clear" w:color="auto" w:fill="FFFFFF"/>
        </w:rPr>
        <w:t>[(2-diethylamino)ethyl]-2-methoxybenzamide, 4-amino-5-chloro-</w:t>
      </w:r>
      <w:r w:rsidRPr="00EF40CE">
        <w:rPr>
          <w:rFonts w:asciiTheme="minorHAnsi" w:hAnsiTheme="minorHAnsi" w:cs="Arial"/>
          <w:i/>
          <w:iCs/>
          <w:color w:val="444444"/>
          <w:szCs w:val="22"/>
          <w:shd w:val="clear" w:color="auto" w:fill="FFFFFF"/>
        </w:rPr>
        <w:t>N-</w:t>
      </w:r>
      <w:r w:rsidRPr="00EF40CE">
        <w:rPr>
          <w:rFonts w:asciiTheme="minorHAnsi" w:hAnsiTheme="minorHAnsi" w:cs="Arial"/>
          <w:color w:val="444444"/>
          <w:szCs w:val="22"/>
          <w:shd w:val="clear" w:color="auto" w:fill="FFFFFF"/>
        </w:rPr>
        <w:t>[2-(diethylamino)ethyl]-</w:t>
      </w:r>
      <w:r w:rsidRPr="00EF40CE">
        <w:rPr>
          <w:rFonts w:asciiTheme="minorHAnsi" w:hAnsiTheme="minorHAnsi" w:cs="Arial"/>
          <w:i/>
          <w:iCs/>
          <w:color w:val="444444"/>
          <w:szCs w:val="22"/>
          <w:shd w:val="clear" w:color="auto" w:fill="FFFFFF"/>
        </w:rPr>
        <w:t>o-</w:t>
      </w:r>
      <w:r w:rsidRPr="00EF40CE">
        <w:rPr>
          <w:rFonts w:asciiTheme="minorHAnsi" w:hAnsiTheme="minorHAnsi" w:cs="Arial"/>
          <w:color w:val="444444"/>
          <w:szCs w:val="22"/>
          <w:shd w:val="clear" w:color="auto" w:fill="FFFFFF"/>
        </w:rPr>
        <w:t>anisamide; 4-amino-5-chloro-2-methoxy-</w:t>
      </w:r>
      <w:r w:rsidRPr="00EF40CE">
        <w:rPr>
          <w:rFonts w:asciiTheme="minorHAnsi" w:hAnsiTheme="minorHAnsi" w:cs="Arial"/>
          <w:i/>
          <w:iCs/>
          <w:color w:val="444444"/>
          <w:szCs w:val="22"/>
          <w:shd w:val="clear" w:color="auto" w:fill="FFFFFF"/>
        </w:rPr>
        <w:t>N-</w:t>
      </w:r>
      <w:r w:rsidRPr="00EF40CE">
        <w:rPr>
          <w:rFonts w:asciiTheme="minorHAnsi" w:hAnsiTheme="minorHAnsi" w:cs="Arial"/>
          <w:color w:val="444444"/>
          <w:szCs w:val="22"/>
          <w:shd w:val="clear" w:color="auto" w:fill="FFFFFF"/>
        </w:rPr>
        <w:t>(β-diethylaminoethyl)benzamide</w:t>
      </w:r>
    </w:p>
    <w:p w14:paraId="0F6608EF" w14:textId="7B371C14" w:rsidR="003639D9" w:rsidRDefault="003639D9" w:rsidP="00B84910">
      <w:pPr>
        <w:pStyle w:val="Heading4"/>
      </w:pPr>
      <w:r>
        <w:t>Applicant</w:t>
      </w:r>
    </w:p>
    <w:p w14:paraId="1871D4F8" w14:textId="2BB1D540" w:rsidR="003639D9" w:rsidRPr="003639D9" w:rsidRDefault="00EF40CE" w:rsidP="003639D9">
      <w:r>
        <w:t>Private applicant</w:t>
      </w:r>
    </w:p>
    <w:p w14:paraId="0C3D2361" w14:textId="4C26EAB9" w:rsidR="003639D9" w:rsidRDefault="00090869" w:rsidP="00B84910">
      <w:pPr>
        <w:pStyle w:val="Heading4"/>
      </w:pPr>
      <w:r>
        <w:t>Current scheduling</w:t>
      </w:r>
    </w:p>
    <w:p w14:paraId="3D4FDD78" w14:textId="0DBC11D6" w:rsidR="00090869" w:rsidRDefault="00EF40CE" w:rsidP="00090869">
      <w:pPr>
        <w:rPr>
          <w:rFonts w:asciiTheme="minorHAnsi" w:hAnsiTheme="minorHAnsi" w:cstheme="minorHAnsi"/>
        </w:rPr>
      </w:pPr>
      <w:r>
        <w:rPr>
          <w:rFonts w:asciiTheme="minorHAnsi" w:hAnsiTheme="minorHAnsi" w:cstheme="minorHAnsi"/>
        </w:rPr>
        <w:t>Metoclopramide</w:t>
      </w:r>
      <w:r w:rsidR="00090869" w:rsidRPr="00AF12F6">
        <w:rPr>
          <w:rFonts w:asciiTheme="minorHAnsi" w:hAnsiTheme="minorHAnsi" w:cstheme="minorHAnsi"/>
        </w:rPr>
        <w:t xml:space="preserve"> is currently listed in Schedules </w:t>
      </w:r>
      <w:r>
        <w:rPr>
          <w:rFonts w:asciiTheme="minorHAnsi" w:hAnsiTheme="minorHAnsi" w:cstheme="minorHAnsi"/>
        </w:rPr>
        <w:t>3</w:t>
      </w:r>
      <w:r w:rsidR="00090869">
        <w:rPr>
          <w:rFonts w:asciiTheme="minorHAnsi" w:hAnsiTheme="minorHAnsi" w:cstheme="minorHAnsi"/>
        </w:rPr>
        <w:t xml:space="preserve"> and </w:t>
      </w:r>
      <w:r>
        <w:rPr>
          <w:rFonts w:asciiTheme="minorHAnsi" w:hAnsiTheme="minorHAnsi" w:cstheme="minorHAnsi"/>
        </w:rPr>
        <w:t>4</w:t>
      </w:r>
      <w:r w:rsidR="00090869">
        <w:rPr>
          <w:rFonts w:asciiTheme="minorHAnsi" w:hAnsiTheme="minorHAnsi" w:cstheme="minorHAnsi"/>
        </w:rPr>
        <w:t xml:space="preserve"> of the Poisons Standard as follows:</w:t>
      </w:r>
    </w:p>
    <w:p w14:paraId="76C99EB8" w14:textId="77777777" w:rsidR="001E5786" w:rsidRPr="005133F7" w:rsidRDefault="001E5786" w:rsidP="001E5786">
      <w:pPr>
        <w:ind w:left="426"/>
        <w:rPr>
          <w:b/>
        </w:rPr>
      </w:pPr>
      <w:r>
        <w:rPr>
          <w:b/>
        </w:rPr>
        <w:t>Schedule 4</w:t>
      </w:r>
    </w:p>
    <w:p w14:paraId="31BC6EEC" w14:textId="77777777" w:rsidR="001E5786" w:rsidRDefault="001E5786" w:rsidP="001E5786">
      <w:pPr>
        <w:ind w:left="426"/>
        <w:rPr>
          <w:color w:val="000000"/>
          <w:szCs w:val="22"/>
          <w:shd w:val="clear" w:color="auto" w:fill="FFFFFF"/>
        </w:rPr>
      </w:pPr>
      <w:r>
        <w:rPr>
          <w:rFonts w:asciiTheme="minorHAnsi" w:hAnsiTheme="minorHAnsi" w:cstheme="minorHAnsi"/>
        </w:rPr>
        <w:t xml:space="preserve">METOCLOPRAMIDE </w:t>
      </w:r>
      <w:r>
        <w:rPr>
          <w:b/>
          <w:bCs/>
          <w:color w:val="000000"/>
          <w:szCs w:val="22"/>
          <w:shd w:val="clear" w:color="auto" w:fill="FFFFFF"/>
        </w:rPr>
        <w:t>except</w:t>
      </w:r>
      <w:r>
        <w:rPr>
          <w:color w:val="000000"/>
          <w:szCs w:val="22"/>
          <w:shd w:val="clear" w:color="auto" w:fill="FFFFFF"/>
        </w:rPr>
        <w:t> when included in Schedule 3.</w:t>
      </w:r>
    </w:p>
    <w:p w14:paraId="3BF01F1C" w14:textId="652AB05B" w:rsidR="00090869" w:rsidRPr="006D5C84" w:rsidRDefault="00090869" w:rsidP="001E5786">
      <w:pPr>
        <w:ind w:left="426"/>
        <w:rPr>
          <w:b/>
        </w:rPr>
      </w:pPr>
      <w:r w:rsidRPr="006D5C84">
        <w:rPr>
          <w:b/>
        </w:rPr>
        <w:t xml:space="preserve">Schedule </w:t>
      </w:r>
      <w:r w:rsidR="00EF40CE" w:rsidRPr="00EF40CE">
        <w:rPr>
          <w:b/>
        </w:rPr>
        <w:t>3</w:t>
      </w:r>
    </w:p>
    <w:p w14:paraId="7777515E" w14:textId="57E1CCA1" w:rsidR="00EF40CE" w:rsidRDefault="00EF40CE" w:rsidP="00090869">
      <w:pPr>
        <w:ind w:left="426"/>
        <w:rPr>
          <w:rFonts w:asciiTheme="minorHAnsi" w:hAnsiTheme="minorHAnsi" w:cstheme="minorHAnsi"/>
        </w:rPr>
      </w:pPr>
      <w:r>
        <w:rPr>
          <w:rFonts w:asciiTheme="minorHAnsi" w:hAnsiTheme="minorHAnsi" w:cstheme="minorHAnsi"/>
        </w:rPr>
        <w:t xml:space="preserve">METOCLOPRAMIDE when combined with </w:t>
      </w:r>
      <w:r>
        <w:rPr>
          <w:color w:val="000000"/>
          <w:szCs w:val="22"/>
          <w:shd w:val="clear" w:color="auto" w:fill="FFFFFF"/>
        </w:rPr>
        <w:t>paracetamol in divided preparations, packed and labelled only for the treatment of nausea associated with migraine, in packs containing not more than 10 dosage units.</w:t>
      </w:r>
    </w:p>
    <w:p w14:paraId="16F031B9" w14:textId="11D5E655" w:rsidR="00090869" w:rsidRDefault="00090869" w:rsidP="004A1C37">
      <w:pPr>
        <w:pStyle w:val="Heading4"/>
      </w:pPr>
      <w:r>
        <w:t>Proposed scheduling</w:t>
      </w:r>
    </w:p>
    <w:p w14:paraId="76D344F8" w14:textId="77777777" w:rsidR="001E5786" w:rsidRPr="005133F7" w:rsidRDefault="001E5786" w:rsidP="001E5786">
      <w:pPr>
        <w:ind w:left="426"/>
        <w:rPr>
          <w:b/>
        </w:rPr>
      </w:pPr>
      <w:r>
        <w:rPr>
          <w:b/>
        </w:rPr>
        <w:t>Schedule 4</w:t>
      </w:r>
    </w:p>
    <w:p w14:paraId="2209E245" w14:textId="77777777" w:rsidR="001E5786" w:rsidRDefault="001E5786" w:rsidP="001E5786">
      <w:pPr>
        <w:ind w:left="426"/>
        <w:rPr>
          <w:color w:val="000000"/>
          <w:szCs w:val="22"/>
          <w:shd w:val="clear" w:color="auto" w:fill="FFFFFF"/>
        </w:rPr>
      </w:pPr>
      <w:r>
        <w:rPr>
          <w:rFonts w:asciiTheme="minorHAnsi" w:hAnsiTheme="minorHAnsi" w:cstheme="minorHAnsi"/>
        </w:rPr>
        <w:t xml:space="preserve">METOCLOPRAMIDE </w:t>
      </w:r>
      <w:r>
        <w:rPr>
          <w:b/>
          <w:bCs/>
          <w:color w:val="000000"/>
          <w:szCs w:val="22"/>
          <w:shd w:val="clear" w:color="auto" w:fill="FFFFFF"/>
        </w:rPr>
        <w:t>except</w:t>
      </w:r>
      <w:r>
        <w:rPr>
          <w:color w:val="000000"/>
          <w:szCs w:val="22"/>
          <w:shd w:val="clear" w:color="auto" w:fill="FFFFFF"/>
        </w:rPr>
        <w:t> when included in Schedule 3.</w:t>
      </w:r>
    </w:p>
    <w:p w14:paraId="703A346D" w14:textId="77777777" w:rsidR="001E5786" w:rsidRPr="006D5C84" w:rsidRDefault="001E5786" w:rsidP="001E5786">
      <w:pPr>
        <w:ind w:left="426"/>
        <w:rPr>
          <w:b/>
        </w:rPr>
      </w:pPr>
      <w:r w:rsidRPr="006D5C84">
        <w:rPr>
          <w:b/>
        </w:rPr>
        <w:t xml:space="preserve">Schedule </w:t>
      </w:r>
      <w:r w:rsidRPr="00EF40CE">
        <w:rPr>
          <w:b/>
        </w:rPr>
        <w:t>3</w:t>
      </w:r>
    </w:p>
    <w:p w14:paraId="69359B81" w14:textId="77777777" w:rsidR="001E5786" w:rsidRDefault="001E5786" w:rsidP="001E5786">
      <w:pPr>
        <w:ind w:left="426"/>
        <w:rPr>
          <w:color w:val="000000"/>
          <w:szCs w:val="22"/>
          <w:shd w:val="clear" w:color="auto" w:fill="FFFFFF"/>
        </w:rPr>
      </w:pPr>
      <w:r>
        <w:rPr>
          <w:rFonts w:asciiTheme="minorHAnsi" w:hAnsiTheme="minorHAnsi" w:cstheme="minorHAnsi"/>
        </w:rPr>
        <w:t xml:space="preserve">METOCLOPRAMIDE when combined with </w:t>
      </w:r>
      <w:r>
        <w:rPr>
          <w:color w:val="000000"/>
          <w:szCs w:val="22"/>
          <w:shd w:val="clear" w:color="auto" w:fill="FFFFFF"/>
        </w:rPr>
        <w:t>paracetamol in divided preparations, packed and labelled only for the treatment of nausea associated with migraine, in packs containing not more than 10 dosage units.</w:t>
      </w:r>
    </w:p>
    <w:p w14:paraId="422DC760" w14:textId="015306B9" w:rsidR="00090869" w:rsidRPr="004662D8" w:rsidRDefault="00EF40CE" w:rsidP="001E5786">
      <w:pPr>
        <w:ind w:left="426"/>
        <w:rPr>
          <w:b/>
        </w:rPr>
      </w:pPr>
      <w:r w:rsidRPr="004662D8">
        <w:rPr>
          <w:b/>
        </w:rPr>
        <w:t>Appendix H</w:t>
      </w:r>
      <w:r w:rsidR="00090869" w:rsidRPr="004662D8">
        <w:rPr>
          <w:b/>
        </w:rPr>
        <w:t xml:space="preserve"> – New Entry</w:t>
      </w:r>
    </w:p>
    <w:p w14:paraId="23A4E68A" w14:textId="4F90437C" w:rsidR="001E5786" w:rsidRDefault="00EF40CE" w:rsidP="00090869">
      <w:pPr>
        <w:ind w:left="426"/>
        <w:rPr>
          <w:rFonts w:asciiTheme="minorHAnsi" w:hAnsiTheme="minorHAnsi" w:cstheme="minorHAnsi"/>
          <w:color w:val="FF0000"/>
        </w:rPr>
      </w:pPr>
      <w:r w:rsidRPr="0062690C">
        <w:rPr>
          <w:rFonts w:asciiTheme="minorHAnsi" w:hAnsiTheme="minorHAnsi" w:cstheme="minorHAnsi"/>
          <w:color w:val="FF0000"/>
        </w:rPr>
        <w:t>M</w:t>
      </w:r>
      <w:r w:rsidR="00090869" w:rsidRPr="0062690C">
        <w:rPr>
          <w:rFonts w:asciiTheme="minorHAnsi" w:hAnsiTheme="minorHAnsi" w:cstheme="minorHAnsi"/>
          <w:color w:val="FF0000"/>
        </w:rPr>
        <w:t>E</w:t>
      </w:r>
      <w:r w:rsidRPr="0062690C">
        <w:rPr>
          <w:rFonts w:asciiTheme="minorHAnsi" w:hAnsiTheme="minorHAnsi" w:cstheme="minorHAnsi"/>
          <w:color w:val="FF0000"/>
        </w:rPr>
        <w:t>TOCLOPRAMIDE</w:t>
      </w:r>
    </w:p>
    <w:p w14:paraId="5ADD3DF2" w14:textId="767D40C2" w:rsidR="00C430C9" w:rsidRDefault="00C430C9" w:rsidP="0079442D">
      <w:pPr>
        <w:keepNext/>
        <w:ind w:left="425"/>
        <w:rPr>
          <w:rFonts w:asciiTheme="minorHAnsi" w:hAnsiTheme="minorHAnsi" w:cstheme="minorHAnsi"/>
          <w:b/>
        </w:rPr>
      </w:pPr>
      <w:r w:rsidRPr="00C430C9">
        <w:rPr>
          <w:rFonts w:asciiTheme="minorHAnsi" w:hAnsiTheme="minorHAnsi" w:cstheme="minorHAnsi"/>
          <w:b/>
        </w:rPr>
        <w:t>Index – Amend Entry</w:t>
      </w:r>
    </w:p>
    <w:p w14:paraId="3E2A4139" w14:textId="4717067E" w:rsidR="00C430C9" w:rsidRDefault="00C430C9" w:rsidP="00090869">
      <w:pPr>
        <w:ind w:left="426"/>
        <w:rPr>
          <w:rFonts w:asciiTheme="minorHAnsi" w:hAnsiTheme="minorHAnsi" w:cstheme="minorHAnsi"/>
        </w:rPr>
      </w:pPr>
      <w:r w:rsidRPr="00C430C9">
        <w:rPr>
          <w:rFonts w:asciiTheme="minorHAnsi" w:hAnsiTheme="minorHAnsi" w:cstheme="minorHAnsi"/>
        </w:rPr>
        <w:t>METOCLOPRAMIDE</w:t>
      </w:r>
    </w:p>
    <w:p w14:paraId="4A2A437E" w14:textId="633162F9" w:rsidR="00C430C9" w:rsidRDefault="00C430C9" w:rsidP="00C430C9">
      <w:pPr>
        <w:spacing w:before="0" w:after="0"/>
        <w:ind w:left="426"/>
        <w:rPr>
          <w:rFonts w:asciiTheme="minorHAnsi" w:hAnsiTheme="minorHAnsi" w:cstheme="minorHAnsi"/>
        </w:rPr>
      </w:pPr>
      <w:r>
        <w:rPr>
          <w:rFonts w:asciiTheme="minorHAnsi" w:hAnsiTheme="minorHAnsi" w:cstheme="minorHAnsi"/>
        </w:rPr>
        <w:t>Schedule 4</w:t>
      </w:r>
    </w:p>
    <w:p w14:paraId="078F7154" w14:textId="77777777" w:rsidR="001E5786" w:rsidRDefault="001E5786" w:rsidP="001E5786">
      <w:pPr>
        <w:spacing w:before="0" w:after="0"/>
        <w:ind w:left="426"/>
        <w:rPr>
          <w:rFonts w:asciiTheme="minorHAnsi" w:hAnsiTheme="minorHAnsi" w:cstheme="minorHAnsi"/>
        </w:rPr>
      </w:pPr>
      <w:r>
        <w:rPr>
          <w:rFonts w:asciiTheme="minorHAnsi" w:hAnsiTheme="minorHAnsi" w:cstheme="minorHAnsi"/>
        </w:rPr>
        <w:t>Schedule 3</w:t>
      </w:r>
    </w:p>
    <w:p w14:paraId="78AEDB12" w14:textId="56B83069" w:rsidR="00C430C9" w:rsidRPr="00C430C9" w:rsidRDefault="00C430C9" w:rsidP="00C430C9">
      <w:pPr>
        <w:spacing w:before="0" w:after="0"/>
        <w:ind w:left="426"/>
        <w:rPr>
          <w:rFonts w:asciiTheme="minorHAnsi" w:hAnsiTheme="minorHAnsi" w:cstheme="minorHAnsi"/>
          <w:color w:val="FF0000"/>
        </w:rPr>
      </w:pPr>
      <w:r w:rsidRPr="00C430C9">
        <w:rPr>
          <w:rFonts w:asciiTheme="minorHAnsi" w:hAnsiTheme="minorHAnsi" w:cstheme="minorHAnsi"/>
          <w:color w:val="FF0000"/>
        </w:rPr>
        <w:t>Appendix H</w:t>
      </w:r>
    </w:p>
    <w:p w14:paraId="19F25B03" w14:textId="77777777" w:rsidR="00090869" w:rsidRPr="00C46F90" w:rsidRDefault="00090869" w:rsidP="00090869">
      <w:pPr>
        <w:pStyle w:val="Heading4"/>
      </w:pPr>
      <w:r w:rsidRPr="00C46F90">
        <w:t>Key uses / expected use</w:t>
      </w:r>
    </w:p>
    <w:p w14:paraId="019A4FCB" w14:textId="178E65E9" w:rsidR="00090869" w:rsidRDefault="00090869" w:rsidP="00090869">
      <w:r w:rsidRPr="008B412C">
        <w:t>Medicine</w:t>
      </w:r>
      <w:r w:rsidR="007D44F8">
        <w:t xml:space="preserve"> used to treat nausea and vomiting</w:t>
      </w:r>
    </w:p>
    <w:p w14:paraId="17F3E016" w14:textId="12294B13" w:rsidR="00090869" w:rsidRDefault="00E960B7" w:rsidP="00090869">
      <w:pPr>
        <w:pStyle w:val="Heading4"/>
      </w:pPr>
      <w:r>
        <w:t>Application summary - r</w:t>
      </w:r>
      <w:r w:rsidR="00090869">
        <w:t>easons for proposal</w:t>
      </w:r>
    </w:p>
    <w:p w14:paraId="398D8880" w14:textId="1182F16D" w:rsidR="00E960B7" w:rsidRDefault="00FE328D" w:rsidP="00DC6EC8">
      <w:pPr>
        <w:pStyle w:val="ListBullet"/>
      </w:pPr>
      <w:r w:rsidRPr="00385DA6">
        <w:t>Th</w:t>
      </w:r>
      <w:r w:rsidR="00EB5991">
        <w:t>e</w:t>
      </w:r>
      <w:r w:rsidRPr="00385DA6">
        <w:t xml:space="preserve"> application proposes the inclusion of metoclopramide</w:t>
      </w:r>
      <w:r w:rsidR="00E960B7">
        <w:t xml:space="preserve">, when classified as a Schedule 3 </w:t>
      </w:r>
      <w:r w:rsidR="00171C1D">
        <w:t xml:space="preserve">(S3) </w:t>
      </w:r>
      <w:r w:rsidR="00E960B7">
        <w:t>medicine,</w:t>
      </w:r>
      <w:r w:rsidRPr="00385DA6">
        <w:t xml:space="preserve"> in Appendix H of the Poisons Standard</w:t>
      </w:r>
      <w:r w:rsidR="00E960B7">
        <w:t xml:space="preserve"> to permit advertising to </w:t>
      </w:r>
      <w:r w:rsidR="00630FDD">
        <w:t>the public</w:t>
      </w:r>
      <w:r w:rsidR="00E960B7">
        <w:t>.</w:t>
      </w:r>
    </w:p>
    <w:p w14:paraId="38D0F227" w14:textId="677491A7" w:rsidR="00D9380B" w:rsidRDefault="00630FDD" w:rsidP="0079442D">
      <w:pPr>
        <w:pStyle w:val="ListBullet2"/>
      </w:pPr>
      <w:r>
        <w:t xml:space="preserve">Metoclopramide is a Schedule 3 medicine when combined with </w:t>
      </w:r>
      <w:r>
        <w:rPr>
          <w:shd w:val="clear" w:color="auto" w:fill="FFFFFF"/>
        </w:rPr>
        <w:t>paracetamol in divided preparations, packed and labelled only for the treatment of nausea associated with migraine, in packs containing not more than 10 dosage units.</w:t>
      </w:r>
    </w:p>
    <w:p w14:paraId="25DB542B" w14:textId="31A04D73" w:rsidR="00EB5991" w:rsidRDefault="00EB5991" w:rsidP="00DC6EC8">
      <w:pPr>
        <w:pStyle w:val="ListBullet"/>
      </w:pPr>
      <w:r>
        <w:t>Metoclopramide is an antiemetic used for the treatment of nausea, vomiting and migraine headaches.</w:t>
      </w:r>
    </w:p>
    <w:p w14:paraId="1A9D36FA" w14:textId="1A277E15" w:rsidR="004662D8" w:rsidRPr="004662D8" w:rsidRDefault="0089422C" w:rsidP="00DC6EC8">
      <w:pPr>
        <w:pStyle w:val="ListBullet"/>
      </w:pPr>
      <w:r>
        <w:t>I</w:t>
      </w:r>
      <w:r w:rsidR="00103131" w:rsidRPr="007E5A33">
        <w:t xml:space="preserve">n </w:t>
      </w:r>
      <w:r>
        <w:t>Ma</w:t>
      </w:r>
      <w:r w:rsidR="00103131" w:rsidRPr="007E5A33">
        <w:t xml:space="preserve">y 2018, the TGA </w:t>
      </w:r>
      <w:r>
        <w:t xml:space="preserve">conducted a public consultation on </w:t>
      </w:r>
      <w:hyperlink r:id="rId12" w:history="1">
        <w:r w:rsidRPr="00F630EC">
          <w:rPr>
            <w:rStyle w:val="Hyperlink"/>
          </w:rPr>
          <w:t xml:space="preserve">Substances proposed </w:t>
        </w:r>
        <w:r w:rsidR="00103131" w:rsidRPr="00F630EC">
          <w:rPr>
            <w:rStyle w:val="Hyperlink"/>
          </w:rPr>
          <w:t>to be ad</w:t>
        </w:r>
        <w:r w:rsidRPr="00F630EC">
          <w:rPr>
            <w:rStyle w:val="Hyperlink"/>
          </w:rPr>
          <w:t>d</w:t>
        </w:r>
        <w:r w:rsidR="00103131" w:rsidRPr="00F630EC">
          <w:rPr>
            <w:rStyle w:val="Hyperlink"/>
          </w:rPr>
          <w:t xml:space="preserve">ed </w:t>
        </w:r>
        <w:r w:rsidR="004662D8" w:rsidRPr="00F630EC">
          <w:rPr>
            <w:rStyle w:val="Hyperlink"/>
          </w:rPr>
          <w:t>to Appendix H of the Poisons Standard</w:t>
        </w:r>
      </w:hyperlink>
      <w:r w:rsidR="004662D8" w:rsidRPr="004662D8">
        <w:t>, to allow</w:t>
      </w:r>
      <w:r w:rsidR="004662D8">
        <w:t xml:space="preserve"> them to be advertised.</w:t>
      </w:r>
      <w:r w:rsidR="004662D8" w:rsidRPr="004662D8">
        <w:t xml:space="preserve"> </w:t>
      </w:r>
      <w:r w:rsidR="004662D8">
        <w:t>A</w:t>
      </w:r>
      <w:r w:rsidR="004662D8" w:rsidRPr="004662D8">
        <w:t>fter taking into consideration the potential impact on p</w:t>
      </w:r>
      <w:r w:rsidR="004662D8">
        <w:t>ublic health</w:t>
      </w:r>
      <w:r w:rsidR="004662D8" w:rsidRPr="004662D8">
        <w:t xml:space="preserve"> of direct to consumer advertising of each product, the TGA proposed several S3 </w:t>
      </w:r>
      <w:r w:rsidR="0007542B">
        <w:t>substance</w:t>
      </w:r>
      <w:r w:rsidR="004662D8" w:rsidRPr="004662D8">
        <w:t>s</w:t>
      </w:r>
      <w:r w:rsidR="004662D8">
        <w:t>, including metoclopramide, to be added to Appendix H.</w:t>
      </w:r>
    </w:p>
    <w:p w14:paraId="44C9846D" w14:textId="07DE1BD2" w:rsidR="004662D8" w:rsidRPr="007E5A33" w:rsidRDefault="00630FDD" w:rsidP="00DC6EC8">
      <w:pPr>
        <w:pStyle w:val="ListBullet"/>
      </w:pPr>
      <w:r>
        <w:t xml:space="preserve">Following public </w:t>
      </w:r>
      <w:r w:rsidR="000B7FBF">
        <w:t xml:space="preserve">consultation </w:t>
      </w:r>
      <w:r>
        <w:t>regarding</w:t>
      </w:r>
      <w:r w:rsidR="004E449B">
        <w:t xml:space="preserve"> </w:t>
      </w:r>
      <w:r>
        <w:t xml:space="preserve">the </w:t>
      </w:r>
      <w:r w:rsidR="00FE70A0">
        <w:t>proposal</w:t>
      </w:r>
      <w:r w:rsidR="004E449B">
        <w:t xml:space="preserve">, </w:t>
      </w:r>
      <w:r w:rsidR="00FE70A0">
        <w:t>t</w:t>
      </w:r>
      <w:r w:rsidR="0089422C">
        <w:t>he</w:t>
      </w:r>
      <w:r w:rsidR="00FE70A0">
        <w:t xml:space="preserve"> Delegate </w:t>
      </w:r>
      <w:r w:rsidR="000B7FBF">
        <w:t>decided against</w:t>
      </w:r>
      <w:r w:rsidR="00FE70A0">
        <w:t xml:space="preserve"> including metoclopramide in Appendix H</w:t>
      </w:r>
      <w:r w:rsidR="000B7FBF">
        <w:t>, based on its sedative properties that are similar to other excluded substances and potential for misuse.</w:t>
      </w:r>
      <w:r w:rsidR="001773B8">
        <w:t xml:space="preserve"> </w:t>
      </w:r>
      <w:r w:rsidR="000B7FBF">
        <w:rPr>
          <w:szCs w:val="22"/>
        </w:rPr>
        <w:t>The applicant contends that m</w:t>
      </w:r>
      <w:r w:rsidR="0051565E" w:rsidRPr="0051565E">
        <w:rPr>
          <w:szCs w:val="22"/>
        </w:rPr>
        <w:t>etoclopramide itself does not have sedative properties</w:t>
      </w:r>
      <w:r w:rsidR="004662D8" w:rsidRPr="007E5A33">
        <w:t xml:space="preserve">. A review of the </w:t>
      </w:r>
      <w:hyperlink r:id="rId13" w:history="1">
        <w:r w:rsidR="004662D8" w:rsidRPr="00815795">
          <w:rPr>
            <w:rStyle w:val="Hyperlink"/>
          </w:rPr>
          <w:t>TGA Database of Adverse Event Notifications</w:t>
        </w:r>
      </w:hyperlink>
      <w:r w:rsidR="004662D8" w:rsidRPr="007E5A33">
        <w:t xml:space="preserve"> identified three cases of sedation, with only one of those assessed as being solely due to metoclopramide.</w:t>
      </w:r>
    </w:p>
    <w:p w14:paraId="2F8B5972" w14:textId="101D013F" w:rsidR="00103131" w:rsidRPr="007E5A33" w:rsidRDefault="007D44F8" w:rsidP="00DC6EC8">
      <w:pPr>
        <w:pStyle w:val="ListBullet"/>
      </w:pPr>
      <w:r>
        <w:t>A recent paper</w:t>
      </w:r>
      <w:r w:rsidR="00F630EC">
        <w:t xml:space="preserve"> (</w:t>
      </w:r>
      <w:hyperlink r:id="rId14" w:history="1">
        <w:r w:rsidR="00F630EC" w:rsidRPr="001710CB">
          <w:rPr>
            <w:rStyle w:val="Hyperlink"/>
          </w:rPr>
          <w:t>Najjar et al 2017</w:t>
        </w:r>
      </w:hyperlink>
      <w:r w:rsidR="00F630EC">
        <w:t>)</w:t>
      </w:r>
      <w:r w:rsidR="00A52E61">
        <w:rPr>
          <w:rStyle w:val="FootnoteReference"/>
        </w:rPr>
        <w:footnoteReference w:id="1"/>
      </w:r>
      <w:r w:rsidR="00F630EC">
        <w:t xml:space="preserve"> describes</w:t>
      </w:r>
      <w:r w:rsidR="0094783F" w:rsidRPr="007E5A33">
        <w:t xml:space="preserve"> the use of metoclopramide to treat migraines in place of opioids to avoid development of drug dependency</w:t>
      </w:r>
      <w:r w:rsidR="00F630EC">
        <w:t xml:space="preserve">, </w:t>
      </w:r>
      <w:r w:rsidR="00745548">
        <w:t>as</w:t>
      </w:r>
      <w:r w:rsidR="00F630EC">
        <w:t xml:space="preserve"> metoclopramide is not a drug of abuse. </w:t>
      </w:r>
      <w:r w:rsidR="0094783F" w:rsidRPr="007E5A33">
        <w:t xml:space="preserve">The TGA Database of Adverse Event Notifications identifies only one </w:t>
      </w:r>
      <w:r w:rsidR="00D100C3" w:rsidRPr="007E5A33">
        <w:t xml:space="preserve">case </w:t>
      </w:r>
      <w:r w:rsidR="0094783F" w:rsidRPr="007E5A33">
        <w:t>of ‘intentional product misuse’ and one case of ‘product in unapproved indication’.</w:t>
      </w:r>
    </w:p>
    <w:p w14:paraId="21EB88BC" w14:textId="6E927E37" w:rsidR="00020549" w:rsidRDefault="00F630EC" w:rsidP="00DC6EC8">
      <w:pPr>
        <w:pStyle w:val="ListBullet"/>
      </w:pPr>
      <w:r>
        <w:t xml:space="preserve">The sale of </w:t>
      </w:r>
      <w:r w:rsidR="005E0215" w:rsidRPr="007E5A33">
        <w:t xml:space="preserve">S3 </w:t>
      </w:r>
      <w:r>
        <w:t xml:space="preserve">products </w:t>
      </w:r>
      <w:r w:rsidR="005E0215" w:rsidRPr="007E5A33">
        <w:t xml:space="preserve">requires </w:t>
      </w:r>
      <w:r w:rsidR="00D52B0B">
        <w:t xml:space="preserve">availability of </w:t>
      </w:r>
      <w:r>
        <w:t xml:space="preserve">professional advice from a </w:t>
      </w:r>
      <w:r w:rsidR="005E0215" w:rsidRPr="007E5A33">
        <w:t>pharmacist, which mitigates potential for misuse</w:t>
      </w:r>
      <w:r w:rsidR="00344B58" w:rsidRPr="007E5A33">
        <w:t xml:space="preserve"> and adverse influence by advertising</w:t>
      </w:r>
      <w:r w:rsidR="005E0215" w:rsidRPr="007E5A33">
        <w:t>.</w:t>
      </w:r>
    </w:p>
    <w:p w14:paraId="2CB4C702" w14:textId="12AA14C5" w:rsidR="00664E3A" w:rsidRDefault="00D67FB5" w:rsidP="00DC6EC8">
      <w:pPr>
        <w:pStyle w:val="ListBullet"/>
      </w:pPr>
      <w:r w:rsidRPr="007E5A33">
        <w:t>Further risk mitigation is achi</w:t>
      </w:r>
      <w:r w:rsidR="00F630EC">
        <w:t>eved through limiting</w:t>
      </w:r>
      <w:r w:rsidR="000B420A" w:rsidRPr="007E5A33">
        <w:t xml:space="preserve"> pack sizes.</w:t>
      </w:r>
    </w:p>
    <w:p w14:paraId="5F736956" w14:textId="69FD1F29" w:rsidR="00D45AC7" w:rsidRPr="00385DA6" w:rsidRDefault="00D45AC7" w:rsidP="0079442D">
      <w:pPr>
        <w:pStyle w:val="ListBullet"/>
      </w:pPr>
      <w:r w:rsidRPr="00385DA6">
        <w:t>It would be advantageous for the consumers to be aware, through advertising, that metoclopramide is available from their pharmacy for the symptomatic relief of headache, nausea and vom</w:t>
      </w:r>
      <w:r w:rsidR="0079442D">
        <w:t>iting associated with migraine.</w:t>
      </w:r>
    </w:p>
    <w:p w14:paraId="7A7E9F10" w14:textId="5143B273" w:rsidR="00090869" w:rsidRDefault="00090869" w:rsidP="00D45AC7">
      <w:pPr>
        <w:pStyle w:val="Heading4"/>
      </w:pPr>
      <w:r w:rsidRPr="00DC5AE0">
        <w:t xml:space="preserve">Australian </w:t>
      </w:r>
      <w:r>
        <w:t>regulations</w:t>
      </w:r>
    </w:p>
    <w:p w14:paraId="03D0A208" w14:textId="151E384D" w:rsidR="00090869" w:rsidRDefault="00090869" w:rsidP="0079442D">
      <w:pPr>
        <w:pStyle w:val="ListBullet"/>
      </w:pPr>
      <w:r>
        <w:t xml:space="preserve">According to the </w:t>
      </w:r>
      <w:hyperlink r:id="rId15"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2"/>
      </w:r>
      <w:r>
        <w:t>:</w:t>
      </w:r>
    </w:p>
    <w:p w14:paraId="02E205A0" w14:textId="40124B8F" w:rsidR="007E5A33" w:rsidRDefault="007E5A33" w:rsidP="0079442D">
      <w:pPr>
        <w:pStyle w:val="ListBullet2"/>
      </w:pPr>
      <w:r>
        <w:t>Metoclopramide is available for use as an active ingredient in biologicals and prescription medicines, and as an excipient in biologicals, devices and prescription medicines.</w:t>
      </w:r>
    </w:p>
    <w:p w14:paraId="023491C4" w14:textId="77AEAAF9" w:rsidR="00B62819" w:rsidRDefault="00B62819" w:rsidP="003C0B32">
      <w:pPr>
        <w:pStyle w:val="ListBullet2"/>
      </w:pPr>
      <w:r>
        <w:t>Metoclopramide hydrochloride monohydrate and metoclopramide hydrochloride are available as active ingredients in biologicals, export only, OTC and prescription medicines, and as an excipient in biologicals, devices and prescription medicines.</w:t>
      </w:r>
    </w:p>
    <w:p w14:paraId="129F2AF4" w14:textId="442846D9" w:rsidR="00D92FDD" w:rsidRDefault="00B62819" w:rsidP="003C0B32">
      <w:pPr>
        <w:pStyle w:val="ListBullet2"/>
      </w:pPr>
      <w:r>
        <w:t>Metoclopramide hydrochloride and metoclopramide are available as equivalent ingredient</w:t>
      </w:r>
      <w:r w:rsidR="00D92FDD">
        <w:t>s</w:t>
      </w:r>
      <w:r>
        <w:t xml:space="preserve"> in prescription medicines.</w:t>
      </w:r>
    </w:p>
    <w:p w14:paraId="62B2B2BC" w14:textId="25F52E3E" w:rsidR="00090869" w:rsidRPr="007A4076" w:rsidRDefault="00090869" w:rsidP="0079442D">
      <w:pPr>
        <w:pStyle w:val="ListBullet"/>
      </w:pPr>
      <w:r>
        <w:t xml:space="preserve">As of </w:t>
      </w:r>
      <w:r w:rsidR="00D92FDD" w:rsidRPr="007A4076">
        <w:t xml:space="preserve">November </w:t>
      </w:r>
      <w:r w:rsidRPr="007A4076">
        <w:t>20</w:t>
      </w:r>
      <w:r w:rsidR="00D92FDD" w:rsidRPr="007A4076">
        <w:t>20</w:t>
      </w:r>
      <w:r w:rsidRPr="007A4076">
        <w:t>,</w:t>
      </w:r>
      <w:r>
        <w:t xml:space="preserve"> t</w:t>
      </w:r>
      <w:r w:rsidRPr="00881DFE">
        <w:t xml:space="preserve">here </w:t>
      </w:r>
      <w:r>
        <w:t>were</w:t>
      </w:r>
      <w:r w:rsidRPr="00881DFE">
        <w:t xml:space="preserve"> </w:t>
      </w:r>
      <w:r w:rsidR="00D92FDD">
        <w:t>3</w:t>
      </w:r>
      <w:r w:rsidR="00796FE2">
        <w:t>6</w:t>
      </w:r>
      <w:r>
        <w:t xml:space="preserve"> </w:t>
      </w:r>
      <w:r w:rsidR="00F630EC">
        <w:t xml:space="preserve">active </w:t>
      </w:r>
      <w:r>
        <w:t>medicine</w:t>
      </w:r>
      <w:r w:rsidRPr="00881DFE">
        <w:t xml:space="preserve">s on the </w:t>
      </w:r>
      <w:hyperlink r:id="rId16" w:history="1">
        <w:r w:rsidRPr="00293CCA">
          <w:rPr>
            <w:rStyle w:val="Hyperlink"/>
          </w:rPr>
          <w:t>Australian Register of Therapeutic Goods (ARTG)</w:t>
        </w:r>
      </w:hyperlink>
      <w:r>
        <w:rPr>
          <w:rStyle w:val="FootnoteReference"/>
        </w:rPr>
        <w:footnoteReference w:id="3"/>
      </w:r>
      <w:r>
        <w:t xml:space="preserve"> that contain</w:t>
      </w:r>
      <w:r w:rsidRPr="00881DFE">
        <w:t xml:space="preserve"> </w:t>
      </w:r>
      <w:r w:rsidR="00D92FDD">
        <w:t>metoc</w:t>
      </w:r>
      <w:r w:rsidR="00796FE2">
        <w:t>l</w:t>
      </w:r>
      <w:r w:rsidR="00D92FDD">
        <w:t>opramide</w:t>
      </w:r>
      <w:r>
        <w:t xml:space="preserve"> as an active ingredient</w:t>
      </w:r>
      <w:r w:rsidRPr="00881DFE">
        <w:t>.</w:t>
      </w:r>
      <w:r>
        <w:t xml:space="preserve"> These include </w:t>
      </w:r>
      <w:r w:rsidR="007A4076" w:rsidRPr="007A4076">
        <w:t>32</w:t>
      </w:r>
      <w:r w:rsidR="007A4076">
        <w:t xml:space="preserve"> prescription, 3 </w:t>
      </w:r>
      <w:r>
        <w:t>non-prescription medicines</w:t>
      </w:r>
      <w:r w:rsidR="007A4076">
        <w:t xml:space="preserve"> and one product for export only</w:t>
      </w:r>
      <w:r>
        <w:t>.</w:t>
      </w:r>
      <w:r w:rsidR="00A437CB">
        <w:t xml:space="preserve"> </w:t>
      </w:r>
      <w:r w:rsidR="00164A0B">
        <w:t>Single-active f</w:t>
      </w:r>
      <w:r w:rsidR="00A437CB">
        <w:t>ormulations include 5mg and 10mg tablets</w:t>
      </w:r>
      <w:r w:rsidR="00164A0B">
        <w:t xml:space="preserve"> </w:t>
      </w:r>
      <w:r w:rsidR="00A437CB">
        <w:t>and 10mg/2mL injection ampoules.</w:t>
      </w:r>
      <w:r w:rsidR="00BD328B">
        <w:t xml:space="preserve"> </w:t>
      </w:r>
      <w:r w:rsidR="006B361E">
        <w:t>Non-prescription</w:t>
      </w:r>
      <w:r w:rsidR="00126757">
        <w:t xml:space="preserve"> preparations of m</w:t>
      </w:r>
      <w:r w:rsidR="00BD328B">
        <w:t xml:space="preserve">etoclopramide </w:t>
      </w:r>
      <w:r w:rsidR="00126757">
        <w:t>are</w:t>
      </w:r>
      <w:r w:rsidR="00BD328B">
        <w:t xml:space="preserve"> tablets </w:t>
      </w:r>
      <w:r w:rsidR="00126757">
        <w:t xml:space="preserve">co-formulated </w:t>
      </w:r>
      <w:r w:rsidR="00BD328B">
        <w:t>with paracetamol (5mg/500mg).</w:t>
      </w:r>
    </w:p>
    <w:p w14:paraId="247AD601" w14:textId="2428ECE5" w:rsidR="00090869" w:rsidRPr="00D100C3" w:rsidRDefault="007A4076" w:rsidP="00DC6EC8">
      <w:pPr>
        <w:pStyle w:val="ListBullet"/>
      </w:pPr>
      <w:r>
        <w:t>Metoclopramide</w:t>
      </w:r>
      <w:r w:rsidR="00090869" w:rsidRPr="009C55D5">
        <w:t xml:space="preserve"> is not permitted to be included in listed medicines </w:t>
      </w:r>
      <w:r w:rsidR="00090869">
        <w:t xml:space="preserve">as it is not included in the </w:t>
      </w:r>
      <w:hyperlink r:id="rId17" w:history="1">
        <w:r w:rsidR="00090869" w:rsidRPr="00824CAC">
          <w:rPr>
            <w:rStyle w:val="Hyperlink"/>
          </w:rPr>
          <w:t>Therapeutic Goods (Permissible Ingredients) Determination</w:t>
        </w:r>
      </w:hyperlink>
      <w:r w:rsidR="00090869">
        <w:rPr>
          <w:rStyle w:val="FootnoteReference"/>
        </w:rPr>
        <w:footnoteReference w:id="4"/>
      </w:r>
      <w:r w:rsidR="00090869" w:rsidRPr="009C55D5">
        <w:t xml:space="preserve"> No.</w:t>
      </w:r>
      <w:r w:rsidRPr="007A4076">
        <w:t>3</w:t>
      </w:r>
      <w:r w:rsidR="00090869" w:rsidRPr="009C55D5">
        <w:t xml:space="preserve"> of </w:t>
      </w:r>
      <w:r w:rsidR="00090869" w:rsidRPr="007A4076">
        <w:t>20</w:t>
      </w:r>
      <w:r w:rsidRPr="007A4076">
        <w:t>20</w:t>
      </w:r>
      <w:r w:rsidR="00D100C3">
        <w:t>.</w:t>
      </w:r>
    </w:p>
    <w:p w14:paraId="33A719DA" w14:textId="1A2B2CA6" w:rsidR="00090869" w:rsidRDefault="00090869" w:rsidP="00DC6EC8">
      <w:pPr>
        <w:pStyle w:val="ListBullet"/>
      </w:pPr>
      <w:r>
        <w:t xml:space="preserve">The </w:t>
      </w:r>
      <w:hyperlink r:id="rId1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5"/>
      </w:r>
      <w:r>
        <w:t xml:space="preserve"> classifies </w:t>
      </w:r>
      <w:r w:rsidR="00D100C3">
        <w:t>metoclopramide</w:t>
      </w:r>
      <w:r>
        <w:t xml:space="preserve"> as:</w:t>
      </w:r>
    </w:p>
    <w:tbl>
      <w:tblPr>
        <w:tblStyle w:val="TableTGAblue"/>
        <w:tblW w:w="8686" w:type="dxa"/>
        <w:tblInd w:w="392" w:type="dxa"/>
        <w:tblLook w:val="04A0" w:firstRow="1" w:lastRow="0" w:firstColumn="1" w:lastColumn="0" w:noHBand="0" w:noVBand="1"/>
      </w:tblPr>
      <w:tblGrid>
        <w:gridCol w:w="1736"/>
        <w:gridCol w:w="1737"/>
        <w:gridCol w:w="1737"/>
        <w:gridCol w:w="1737"/>
        <w:gridCol w:w="1739"/>
      </w:tblGrid>
      <w:tr w:rsidR="00090869" w:rsidRPr="003346CF" w14:paraId="3D286B65" w14:textId="77777777" w:rsidTr="009B3A75">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36" w:type="dxa"/>
          </w:tcPr>
          <w:p w14:paraId="2C979863" w14:textId="77777777" w:rsidR="00090869" w:rsidRPr="003346CF" w:rsidRDefault="00090869" w:rsidP="0079442D">
            <w:pPr>
              <w:keepNext w:val="0"/>
              <w:rPr>
                <w:sz w:val="20"/>
                <w:szCs w:val="20"/>
              </w:rPr>
            </w:pPr>
            <w:r>
              <w:rPr>
                <w:sz w:val="20"/>
                <w:szCs w:val="20"/>
              </w:rPr>
              <w:t>Drug name</w:t>
            </w:r>
          </w:p>
        </w:tc>
        <w:tc>
          <w:tcPr>
            <w:tcW w:w="1737" w:type="dxa"/>
          </w:tcPr>
          <w:p w14:paraId="4EBDDFC9" w14:textId="77777777" w:rsidR="00090869" w:rsidRPr="003346CF" w:rsidRDefault="00090869" w:rsidP="0079442D">
            <w:pPr>
              <w:keepNext w:val="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737" w:type="dxa"/>
          </w:tcPr>
          <w:p w14:paraId="653F0958" w14:textId="77777777" w:rsidR="00090869" w:rsidRPr="003346CF" w:rsidRDefault="00090869" w:rsidP="0079442D">
            <w:pPr>
              <w:keepNext w:val="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737" w:type="dxa"/>
          </w:tcPr>
          <w:p w14:paraId="3E566151" w14:textId="77777777" w:rsidR="00090869" w:rsidRPr="003346CF" w:rsidRDefault="00090869" w:rsidP="0079442D">
            <w:pPr>
              <w:keepNext w:val="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737" w:type="dxa"/>
          </w:tcPr>
          <w:p w14:paraId="12E02CEE" w14:textId="77777777" w:rsidR="00090869" w:rsidRPr="003346CF" w:rsidRDefault="00090869" w:rsidP="0079442D">
            <w:pPr>
              <w:keepNext w:val="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090869" w:rsidRPr="003346CF" w14:paraId="6D69B4AB" w14:textId="77777777" w:rsidTr="009B3A75">
        <w:trPr>
          <w:trHeight w:val="780"/>
        </w:trPr>
        <w:tc>
          <w:tcPr>
            <w:cnfStyle w:val="001000000000" w:firstRow="0" w:lastRow="0" w:firstColumn="1" w:lastColumn="0" w:oddVBand="0" w:evenVBand="0" w:oddHBand="0" w:evenHBand="0" w:firstRowFirstColumn="0" w:firstRowLastColumn="0" w:lastRowFirstColumn="0" w:lastRowLastColumn="0"/>
            <w:tcW w:w="1736" w:type="dxa"/>
          </w:tcPr>
          <w:p w14:paraId="52ACDFBA" w14:textId="10A45578" w:rsidR="00090869" w:rsidRPr="003346CF" w:rsidRDefault="00D100C3" w:rsidP="0079442D">
            <w:pPr>
              <w:rPr>
                <w:sz w:val="20"/>
                <w:szCs w:val="20"/>
              </w:rPr>
            </w:pPr>
            <w:r>
              <w:rPr>
                <w:sz w:val="20"/>
                <w:szCs w:val="20"/>
              </w:rPr>
              <w:t>Metoclopramide</w:t>
            </w:r>
          </w:p>
        </w:tc>
        <w:tc>
          <w:tcPr>
            <w:tcW w:w="1737" w:type="dxa"/>
          </w:tcPr>
          <w:p w14:paraId="4D0FBAD6" w14:textId="522C8D4C" w:rsidR="00090869" w:rsidRPr="003346CF" w:rsidRDefault="00D100C3" w:rsidP="007944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p>
        </w:tc>
        <w:tc>
          <w:tcPr>
            <w:tcW w:w="1737" w:type="dxa"/>
          </w:tcPr>
          <w:p w14:paraId="6F7F7C88" w14:textId="1C8AAF52" w:rsidR="00090869" w:rsidRPr="003346CF" w:rsidRDefault="00D100C3" w:rsidP="007944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Central Nervous System</w:t>
            </w:r>
          </w:p>
        </w:tc>
        <w:tc>
          <w:tcPr>
            <w:tcW w:w="1737" w:type="dxa"/>
          </w:tcPr>
          <w:p w14:paraId="08D9509D" w14:textId="6684B3F2" w:rsidR="00090869" w:rsidRPr="003346CF" w:rsidRDefault="00D100C3" w:rsidP="007944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Antiemetics, antinauseants</w:t>
            </w:r>
          </w:p>
        </w:tc>
        <w:tc>
          <w:tcPr>
            <w:tcW w:w="1737" w:type="dxa"/>
          </w:tcPr>
          <w:p w14:paraId="13F65D65" w14:textId="77777777" w:rsidR="00090869" w:rsidRPr="003346CF" w:rsidRDefault="00090869" w:rsidP="0079442D">
            <w:pPr>
              <w:cnfStyle w:val="000000000000" w:firstRow="0" w:lastRow="0" w:firstColumn="0" w:lastColumn="0" w:oddVBand="0" w:evenVBand="0" w:oddHBand="0" w:evenHBand="0" w:firstRowFirstColumn="0" w:firstRowLastColumn="0" w:lastRowFirstColumn="0" w:lastRowLastColumn="0"/>
              <w:rPr>
                <w:sz w:val="20"/>
                <w:szCs w:val="20"/>
              </w:rPr>
            </w:pPr>
          </w:p>
        </w:tc>
      </w:tr>
      <w:tr w:rsidR="00090869" w:rsidRPr="003346CF" w14:paraId="0C29582C" w14:textId="77777777" w:rsidTr="009B3A75">
        <w:trPr>
          <w:trHeight w:val="780"/>
        </w:trPr>
        <w:tc>
          <w:tcPr>
            <w:cnfStyle w:val="001000000000" w:firstRow="0" w:lastRow="0" w:firstColumn="1" w:lastColumn="0" w:oddVBand="0" w:evenVBand="0" w:oddHBand="0" w:evenHBand="0" w:firstRowFirstColumn="0" w:firstRowLastColumn="0" w:lastRowFirstColumn="0" w:lastRowLastColumn="0"/>
            <w:tcW w:w="8686" w:type="dxa"/>
            <w:gridSpan w:val="5"/>
          </w:tcPr>
          <w:p w14:paraId="67BB012F" w14:textId="7936526E" w:rsidR="00090869" w:rsidRPr="00D100C3" w:rsidRDefault="00090869" w:rsidP="0079442D">
            <w:pPr>
              <w:rPr>
                <w:sz w:val="16"/>
                <w:szCs w:val="16"/>
              </w:rPr>
            </w:pPr>
            <w:r w:rsidRPr="003C7D97">
              <w:rPr>
                <w:b/>
                <w:sz w:val="16"/>
                <w:szCs w:val="16"/>
              </w:rPr>
              <w:t>Category A</w:t>
            </w:r>
            <w:r w:rsidRPr="003C7D97">
              <w:rPr>
                <w:sz w:val="16"/>
                <w:szCs w:val="16"/>
              </w:rPr>
              <w:t xml:space="preserve"> – Drugs which have been taken by a large number of pregnant women and women of childbearing age without any proven increase in the frequency of malformations or other direct or indirect harmful effects on t</w:t>
            </w:r>
            <w:r w:rsidR="00D100C3">
              <w:rPr>
                <w:sz w:val="16"/>
                <w:szCs w:val="16"/>
              </w:rPr>
              <w:t>he foetus having been observed.</w:t>
            </w:r>
          </w:p>
        </w:tc>
      </w:tr>
    </w:tbl>
    <w:p w14:paraId="29283946" w14:textId="73D0B55B" w:rsidR="00090869" w:rsidRDefault="00090869" w:rsidP="0079442D">
      <w:pPr>
        <w:pStyle w:val="ListBullet"/>
        <w:keepNext/>
        <w:ind w:left="357" w:hanging="357"/>
      </w:pPr>
      <w:r>
        <w:t>The</w:t>
      </w:r>
      <w:r w:rsidRPr="00AB7BF5">
        <w:t xml:space="preserve"> </w:t>
      </w:r>
      <w:hyperlink r:id="rId19" w:history="1">
        <w:r w:rsidRPr="00AB7BF5">
          <w:rPr>
            <w:rStyle w:val="Hyperlink"/>
          </w:rPr>
          <w:t>Therapeutic Goods (Medicines Advisory Statements) Specification 2019</w:t>
        </w:r>
      </w:hyperlink>
      <w:r>
        <w:rPr>
          <w:rStyle w:val="FootnoteReference"/>
        </w:rPr>
        <w:footnoteReference w:id="6"/>
      </w:r>
      <w:r>
        <w:t xml:space="preserve"> requires</w:t>
      </w:r>
      <w:r w:rsidRPr="00A30084">
        <w:t xml:space="preserve"> the following warning statements pertaining to </w:t>
      </w:r>
      <w:r w:rsidR="00D100C3">
        <w:t>Metoclopramide</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1873"/>
        <w:gridCol w:w="2110"/>
        <w:gridCol w:w="4707"/>
      </w:tblGrid>
      <w:tr w:rsidR="00090869" w:rsidRPr="006112EA" w14:paraId="21A571DA" w14:textId="77777777" w:rsidTr="00021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729E922" w14:textId="77777777" w:rsidR="00090869" w:rsidRPr="006112EA" w:rsidRDefault="00090869" w:rsidP="00DC6EC8">
            <w:pPr>
              <w:pStyle w:val="ListBullet"/>
              <w:numPr>
                <w:ilvl w:val="0"/>
                <w:numId w:val="0"/>
              </w:numPr>
            </w:pPr>
            <w:r>
              <w:t>Substance</w:t>
            </w:r>
          </w:p>
        </w:tc>
        <w:tc>
          <w:tcPr>
            <w:tcW w:w="2117" w:type="dxa"/>
          </w:tcPr>
          <w:p w14:paraId="6DE16164" w14:textId="77777777" w:rsidR="00090869" w:rsidRPr="006112EA" w:rsidRDefault="00090869"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Conditions </w:t>
            </w:r>
          </w:p>
        </w:tc>
        <w:tc>
          <w:tcPr>
            <w:tcW w:w="4734" w:type="dxa"/>
          </w:tcPr>
          <w:p w14:paraId="7A622153" w14:textId="77777777" w:rsidR="00090869" w:rsidRPr="006112EA" w:rsidRDefault="00090869"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Required Statement(s) </w:t>
            </w:r>
          </w:p>
        </w:tc>
      </w:tr>
      <w:tr w:rsidR="00090869" w:rsidRPr="006112EA" w14:paraId="1940FD56" w14:textId="77777777" w:rsidTr="00021E8D">
        <w:tc>
          <w:tcPr>
            <w:cnfStyle w:val="001000000000" w:firstRow="0" w:lastRow="0" w:firstColumn="1" w:lastColumn="0" w:oddVBand="0" w:evenVBand="0" w:oddHBand="0" w:evenHBand="0" w:firstRowFirstColumn="0" w:firstRowLastColumn="0" w:lastRowFirstColumn="0" w:lastRowLastColumn="0"/>
            <w:tcW w:w="1875" w:type="dxa"/>
          </w:tcPr>
          <w:p w14:paraId="630D860B" w14:textId="2480D3A8" w:rsidR="00090869" w:rsidRPr="006112EA" w:rsidRDefault="00D100C3" w:rsidP="00021E8D">
            <w:pPr>
              <w:rPr>
                <w:sz w:val="20"/>
                <w:szCs w:val="20"/>
              </w:rPr>
            </w:pPr>
            <w:r>
              <w:rPr>
                <w:sz w:val="20"/>
                <w:szCs w:val="20"/>
              </w:rPr>
              <w:t>Metoclopramide</w:t>
            </w:r>
          </w:p>
        </w:tc>
        <w:tc>
          <w:tcPr>
            <w:tcW w:w="2117" w:type="dxa"/>
          </w:tcPr>
          <w:p w14:paraId="18DC49A3" w14:textId="663EF712" w:rsidR="00090869" w:rsidRPr="006112EA" w:rsidRDefault="00D100C3" w:rsidP="00021E8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 medicines for oral use</w:t>
            </w:r>
          </w:p>
        </w:tc>
        <w:tc>
          <w:tcPr>
            <w:tcW w:w="4734" w:type="dxa"/>
          </w:tcPr>
          <w:p w14:paraId="5205DC86" w14:textId="77777777" w:rsidR="00D100C3" w:rsidRPr="00D100C3" w:rsidRDefault="00D100C3" w:rsidP="00D100C3">
            <w:pPr>
              <w:cnfStyle w:val="000000000000" w:firstRow="0" w:lastRow="0" w:firstColumn="0" w:lastColumn="0" w:oddVBand="0" w:evenVBand="0" w:oddHBand="0" w:evenHBand="0" w:firstRowFirstColumn="0" w:firstRowLastColumn="0" w:lastRowFirstColumn="0" w:lastRowLastColumn="0"/>
              <w:rPr>
                <w:sz w:val="20"/>
              </w:rPr>
            </w:pPr>
            <w:r w:rsidRPr="00D100C3">
              <w:rPr>
                <w:sz w:val="20"/>
              </w:rPr>
              <w:t>Do not use in children and adolescents aged under 18 years.</w:t>
            </w:r>
          </w:p>
          <w:p w14:paraId="45E9E41C" w14:textId="44C930B7" w:rsidR="00D100C3" w:rsidRPr="00D100C3" w:rsidRDefault="00D100C3" w:rsidP="00D100C3">
            <w:pPr>
              <w:cnfStyle w:val="000000000000" w:firstRow="0" w:lastRow="0" w:firstColumn="0" w:lastColumn="0" w:oddVBand="0" w:evenVBand="0" w:oddHBand="0" w:evenHBand="0" w:firstRowFirstColumn="0" w:firstRowLastColumn="0" w:lastRowFirstColumn="0" w:lastRowLastColumn="0"/>
              <w:rPr>
                <w:sz w:val="20"/>
              </w:rPr>
            </w:pPr>
            <w:r w:rsidRPr="00D100C3">
              <w:rPr>
                <w:sz w:val="20"/>
              </w:rPr>
              <w:t>Tell your doctor or pharmacist before use if you are taking other medicines.</w:t>
            </w:r>
          </w:p>
          <w:p w14:paraId="5601AC6F" w14:textId="61EBDC4C" w:rsidR="00090869" w:rsidRPr="006112EA" w:rsidRDefault="00D100C3" w:rsidP="00D100C3">
            <w:pPr>
              <w:cnfStyle w:val="000000000000" w:firstRow="0" w:lastRow="0" w:firstColumn="0" w:lastColumn="0" w:oddVBand="0" w:evenVBand="0" w:oddHBand="0" w:evenHBand="0" w:firstRowFirstColumn="0" w:firstRowLastColumn="0" w:lastRowFirstColumn="0" w:lastRowLastColumn="0"/>
              <w:rPr>
                <w:sz w:val="20"/>
                <w:szCs w:val="20"/>
              </w:rPr>
            </w:pPr>
            <w:r w:rsidRPr="00D100C3">
              <w:rPr>
                <w:sz w:val="20"/>
                <w:szCs w:val="20"/>
              </w:rPr>
              <w:t>Do not use if you have epilepsy [(seizures)/(fits)].</w:t>
            </w:r>
          </w:p>
        </w:tc>
      </w:tr>
    </w:tbl>
    <w:p w14:paraId="6096A637" w14:textId="3AFDC96A" w:rsidR="00090869" w:rsidRPr="00FC59CE" w:rsidRDefault="00F630EC" w:rsidP="00DC6EC8">
      <w:pPr>
        <w:pStyle w:val="ListBullet"/>
      </w:pPr>
      <w:r>
        <w:t xml:space="preserve">Since January </w:t>
      </w:r>
      <w:r w:rsidR="00090869" w:rsidRPr="00600DBB">
        <w:t>20</w:t>
      </w:r>
      <w:r>
        <w:t>1</w:t>
      </w:r>
      <w:r w:rsidR="00600DBB">
        <w:t>0</w:t>
      </w:r>
      <w:r w:rsidR="00090869">
        <w:t xml:space="preserve">, there </w:t>
      </w:r>
      <w:r>
        <w:t xml:space="preserve">have been </w:t>
      </w:r>
      <w:r w:rsidR="00600DBB">
        <w:t>4</w:t>
      </w:r>
      <w:r>
        <w:t>59</w:t>
      </w:r>
      <w:r w:rsidR="00090869" w:rsidRPr="009C55D5">
        <w:t xml:space="preserve"> reports of adverse events for products containing </w:t>
      </w:r>
      <w:r w:rsidR="00600DBB">
        <w:t>metoclopramide</w:t>
      </w:r>
      <w:r w:rsidR="00090869" w:rsidRPr="009C55D5">
        <w:t xml:space="preserve"> as an active ingredient</w:t>
      </w:r>
      <w:r w:rsidR="00090869">
        <w:t xml:space="preserve"> on the </w:t>
      </w:r>
      <w:hyperlink r:id="rId20" w:history="1">
        <w:r w:rsidR="00090869" w:rsidRPr="00F0449C">
          <w:rPr>
            <w:rStyle w:val="Hyperlink"/>
          </w:rPr>
          <w:t>Database of Adverse Event Notifications (DAEN)</w:t>
        </w:r>
      </w:hyperlink>
      <w:r w:rsidR="00090869" w:rsidRPr="00254E0B">
        <w:t>,</w:t>
      </w:r>
      <w:r w:rsidR="00090869" w:rsidRPr="00F0449C">
        <w:rPr>
          <w:rStyle w:val="FootnoteReference"/>
        </w:rPr>
        <w:footnoteReference w:id="7"/>
      </w:r>
      <w:r w:rsidR="00090869" w:rsidRPr="009C55D5">
        <w:t xml:space="preserve"> with </w:t>
      </w:r>
      <w:r>
        <w:t>302</w:t>
      </w:r>
      <w:r w:rsidR="00090869" w:rsidRPr="009C55D5">
        <w:t xml:space="preserve"> reports where </w:t>
      </w:r>
      <w:r w:rsidR="00600DBB">
        <w:t>metoclopramide</w:t>
      </w:r>
      <w:r w:rsidR="00090869" w:rsidRPr="009C55D5">
        <w:t xml:space="preserve"> was the sing</w:t>
      </w:r>
      <w:r w:rsidR="0079442D">
        <w:t>le suspected medicine.</w:t>
      </w:r>
    </w:p>
    <w:p w14:paraId="799F2909" w14:textId="66CDC900" w:rsidR="00090869" w:rsidRDefault="00090869" w:rsidP="00DC6EC8">
      <w:pPr>
        <w:pStyle w:val="ListBullet"/>
      </w:pPr>
      <w:r>
        <w:t xml:space="preserve">As of </w:t>
      </w:r>
      <w:r w:rsidR="00FC59CE">
        <w:t>November 2020</w:t>
      </w:r>
      <w:r>
        <w:t>, t</w:t>
      </w:r>
      <w:r w:rsidRPr="00F0449C">
        <w:t xml:space="preserve">here </w:t>
      </w:r>
      <w:r>
        <w:t>were</w:t>
      </w:r>
      <w:r w:rsidRPr="00F0449C">
        <w:t xml:space="preserve"> </w:t>
      </w:r>
      <w:r w:rsidR="008779B8">
        <w:t>three</w:t>
      </w:r>
      <w:r w:rsidRPr="00F0449C">
        <w:t xml:space="preserve"> </w:t>
      </w:r>
      <w:r w:rsidR="00325FCD">
        <w:t>entries</w:t>
      </w:r>
      <w:r w:rsidRPr="00F0449C">
        <w:t xml:space="preserve"> </w:t>
      </w:r>
      <w:r w:rsidR="00D52B0B">
        <w:t>regarding</w:t>
      </w:r>
      <w:r w:rsidRPr="00F0449C">
        <w:t xml:space="preserve"> </w:t>
      </w:r>
      <w:r w:rsidR="008779B8">
        <w:t>metoclopramide</w:t>
      </w:r>
      <w:r w:rsidRPr="00F0449C">
        <w:t xml:space="preserve"> listed on the </w:t>
      </w:r>
      <w:hyperlink r:id="rId2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8"/>
      </w:r>
      <w:r w:rsidR="009B3A75">
        <w:t xml:space="preserve"> These include an entry for the active constituent, and two prescription-only </w:t>
      </w:r>
      <w:r w:rsidR="00325FCD">
        <w:t xml:space="preserve">veterinary </w:t>
      </w:r>
      <w:r w:rsidR="009B3A75">
        <w:t>medicines (tablets and injections).</w:t>
      </w:r>
    </w:p>
    <w:p w14:paraId="639BADE9" w14:textId="09577D83" w:rsidR="009B3A75" w:rsidRDefault="009B3A75" w:rsidP="00DC6EC8">
      <w:pPr>
        <w:pStyle w:val="ListBullet"/>
      </w:pPr>
      <w:r>
        <w:t xml:space="preserve">In 2009-2019 the following adverse experiences were recorded for metoclopramide in the </w:t>
      </w:r>
      <w:hyperlink r:id="rId22"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Pr>
          <w:rStyle w:val="FootnoteReference"/>
        </w:rPr>
        <w:footnoteReference w:id="9"/>
      </w:r>
    </w:p>
    <w:p w14:paraId="5FD3F979" w14:textId="292F17BF" w:rsidR="009B3A75" w:rsidRDefault="00325FCD" w:rsidP="003C0B32">
      <w:pPr>
        <w:pStyle w:val="ListBullet2"/>
      </w:pPr>
      <w:r>
        <w:t>One</w:t>
      </w:r>
      <w:r w:rsidR="009B3A75">
        <w:t xml:space="preserve"> report of </w:t>
      </w:r>
      <w:r w:rsidR="009B3A75" w:rsidRPr="00325FCD">
        <w:t>a</w:t>
      </w:r>
      <w:r w:rsidR="009B3A75">
        <w:t xml:space="preserve"> </w:t>
      </w:r>
      <w:r>
        <w:t>possible</w:t>
      </w:r>
      <w:r w:rsidR="009B3A75">
        <w:t xml:space="preserve"> incident</w:t>
      </w:r>
      <w:r>
        <w:t xml:space="preserve"> </w:t>
      </w:r>
      <w:r w:rsidR="009B3A75">
        <w:t>classified as related to animal health (</w:t>
      </w:r>
      <w:r>
        <w:t>2014</w:t>
      </w:r>
      <w:r w:rsidR="0079442D">
        <w:t>).</w:t>
      </w:r>
    </w:p>
    <w:p w14:paraId="249F9289" w14:textId="77777777" w:rsidR="00090869" w:rsidRPr="00CB687C" w:rsidRDefault="00090869" w:rsidP="00090869">
      <w:pPr>
        <w:pStyle w:val="Heading4"/>
      </w:pPr>
      <w:r>
        <w:t>International regulations</w:t>
      </w:r>
    </w:p>
    <w:p w14:paraId="5B8D2DE0" w14:textId="586CB5C3" w:rsidR="00CC6398" w:rsidRDefault="00CC6398" w:rsidP="00DC6EC8">
      <w:pPr>
        <w:pStyle w:val="ListBullet"/>
      </w:pPr>
      <w:r>
        <w:t xml:space="preserve">Metoclopramide is </w:t>
      </w:r>
      <w:r w:rsidR="00D45AC7">
        <w:t>included in</w:t>
      </w:r>
      <w:r>
        <w:t xml:space="preserve"> the </w:t>
      </w:r>
      <w:hyperlink r:id="rId23" w:history="1">
        <w:r w:rsidRPr="00CC6398">
          <w:rPr>
            <w:rStyle w:val="Hyperlink"/>
          </w:rPr>
          <w:t>WHO Model List of Essential Medicines 2019</w:t>
        </w:r>
      </w:hyperlink>
      <w:r>
        <w:t>.</w:t>
      </w:r>
    </w:p>
    <w:p w14:paraId="3976FFA1" w14:textId="4295DFA6" w:rsidR="00D035F9" w:rsidRDefault="00E64C04" w:rsidP="00DC6EC8">
      <w:pPr>
        <w:pStyle w:val="ListBullet"/>
      </w:pPr>
      <w:r>
        <w:t>E</w:t>
      </w:r>
      <w:r w:rsidR="001C3E83">
        <w:t xml:space="preserve">vidence of </w:t>
      </w:r>
      <w:r>
        <w:t xml:space="preserve">increased risks of </w:t>
      </w:r>
      <w:r w:rsidR="001C3E83">
        <w:t xml:space="preserve">neurological </w:t>
      </w:r>
      <w:r>
        <w:t xml:space="preserve">(brain and nerve) side effects </w:t>
      </w:r>
      <w:r w:rsidR="001C3E83">
        <w:t>assoc</w:t>
      </w:r>
      <w:r w:rsidR="00C77C7D">
        <w:t>iated with use of the substance and</w:t>
      </w:r>
      <w:r>
        <w:t xml:space="preserve"> </w:t>
      </w:r>
      <w:r w:rsidR="00C77C7D">
        <w:t>correlation</w:t>
      </w:r>
      <w:r>
        <w:t xml:space="preserve"> with dosage and length of treatment prompted </w:t>
      </w:r>
      <w:r w:rsidR="00D035F9">
        <w:t xml:space="preserve">the </w:t>
      </w:r>
      <w:hyperlink r:id="rId24" w:history="1">
        <w:r w:rsidR="00D035F9" w:rsidRPr="001C3E83">
          <w:rPr>
            <w:rStyle w:val="Hyperlink"/>
          </w:rPr>
          <w:t>European Medicines Agency</w:t>
        </w:r>
      </w:hyperlink>
      <w:r w:rsidR="001C3E83">
        <w:rPr>
          <w:rStyle w:val="FootnoteReference"/>
        </w:rPr>
        <w:footnoteReference w:id="10"/>
      </w:r>
      <w:r>
        <w:t xml:space="preserve"> to recommend</w:t>
      </w:r>
      <w:r w:rsidR="00D035F9">
        <w:t xml:space="preserve"> chang</w:t>
      </w:r>
      <w:r w:rsidR="001C3E83">
        <w:t>es to the use of metoclopramide</w:t>
      </w:r>
      <w:r>
        <w:t xml:space="preserve"> in 2013</w:t>
      </w:r>
      <w:r w:rsidR="001C3E83">
        <w:t>. These changes included</w:t>
      </w:r>
      <w:r w:rsidR="00D035F9">
        <w:t xml:space="preserve"> short-term prescriptions</w:t>
      </w:r>
      <w:r w:rsidR="001C3E83">
        <w:t>, dose lim</w:t>
      </w:r>
      <w:r w:rsidR="0079442D">
        <w:t>itations, and age restrictions.</w:t>
      </w:r>
    </w:p>
    <w:p w14:paraId="7249742E" w14:textId="2ABC9ADF" w:rsidR="002150D3" w:rsidRDefault="002150D3" w:rsidP="00DC6EC8">
      <w:pPr>
        <w:pStyle w:val="ListBullet"/>
      </w:pPr>
      <w:r>
        <w:t xml:space="preserve">The </w:t>
      </w:r>
      <w:hyperlink r:id="rId25" w:history="1">
        <w:r w:rsidRPr="002150D3">
          <w:rPr>
            <w:rStyle w:val="Hyperlink"/>
          </w:rPr>
          <w:t>Health Products Regulatory Authority of Ireland</w:t>
        </w:r>
      </w:hyperlink>
      <w:r>
        <w:rPr>
          <w:rStyle w:val="FootnoteReference"/>
        </w:rPr>
        <w:footnoteReference w:id="11"/>
      </w:r>
      <w:r>
        <w:t xml:space="preserve"> regulates 10mg tablets and 5mg/mL solutions for injection of metoclopramide as prescription-only medicines. </w:t>
      </w:r>
      <w:r w:rsidR="00C9491D">
        <w:t>Advertising to consumers is not permitted, however the products can be advertised to healthcare professionals.</w:t>
      </w:r>
    </w:p>
    <w:p w14:paraId="6003A7AD" w14:textId="2138916C" w:rsidR="00D170A1" w:rsidRDefault="00C77C7D" w:rsidP="00DC6EC8">
      <w:pPr>
        <w:pStyle w:val="ListBullet"/>
      </w:pPr>
      <w:r>
        <w:t>T</w:t>
      </w:r>
      <w:r w:rsidR="008779B8">
        <w:t xml:space="preserve">he </w:t>
      </w:r>
      <w:hyperlink r:id="rId26" w:history="1">
        <w:r w:rsidR="008779B8" w:rsidRPr="00F06A6D">
          <w:rPr>
            <w:rStyle w:val="Hyperlink"/>
          </w:rPr>
          <w:t>United States Food and Drug Administration Approved Drug Products Database</w:t>
        </w:r>
      </w:hyperlink>
      <w:r w:rsidR="007E5A33" w:rsidRPr="00A52E61">
        <w:rPr>
          <w:rStyle w:val="FootnoteReference"/>
        </w:rPr>
        <w:footnoteReference w:id="12"/>
      </w:r>
      <w:r>
        <w:t xml:space="preserve"> approve use of metoclopramide as a prescription medicine.</w:t>
      </w:r>
    </w:p>
    <w:p w14:paraId="39BE976C" w14:textId="5A93E676" w:rsidR="00F06A6D" w:rsidRDefault="00F06A6D" w:rsidP="00DC6EC8">
      <w:pPr>
        <w:pStyle w:val="ListBullet"/>
      </w:pPr>
      <w:r>
        <w:t xml:space="preserve">Metoclopramide is approved for use as a prescription medicine according to the </w:t>
      </w:r>
      <w:hyperlink r:id="rId27" w:history="1">
        <w:r w:rsidRPr="00F06A6D">
          <w:rPr>
            <w:rStyle w:val="Hyperlink"/>
          </w:rPr>
          <w:t>Canadian (Health Canada) Drug Product Database</w:t>
        </w:r>
      </w:hyperlink>
      <w:r>
        <w:t>.</w:t>
      </w:r>
      <w:r w:rsidR="007E5A33">
        <w:rPr>
          <w:rStyle w:val="FootnoteReference"/>
        </w:rPr>
        <w:footnoteReference w:id="13"/>
      </w:r>
    </w:p>
    <w:p w14:paraId="3561505C" w14:textId="30881FE8" w:rsidR="00090869" w:rsidRPr="00D170A1" w:rsidRDefault="00D170A1" w:rsidP="00DC6EC8">
      <w:pPr>
        <w:pStyle w:val="ListBullet"/>
      </w:pPr>
      <w:r>
        <w:t xml:space="preserve">According to the </w:t>
      </w:r>
      <w:hyperlink r:id="rId28" w:history="1">
        <w:r w:rsidRPr="00F06A6D">
          <w:rPr>
            <w:rStyle w:val="Hyperlink"/>
          </w:rPr>
          <w:t>New Zealand Medicines and Medical Devices Safety Authority (Medsafe)</w:t>
        </w:r>
      </w:hyperlink>
      <w:r w:rsidR="007E5A33" w:rsidRPr="00A52E61">
        <w:rPr>
          <w:rStyle w:val="FootnoteReference"/>
        </w:rPr>
        <w:footnoteReference w:id="14"/>
      </w:r>
      <w:r>
        <w:t xml:space="preserve"> metoclopramide is available as follows:</w:t>
      </w:r>
    </w:p>
    <w:tbl>
      <w:tblPr>
        <w:tblStyle w:val="TableTGAblue"/>
        <w:tblW w:w="5000" w:type="pct"/>
        <w:tblInd w:w="357" w:type="dxa"/>
        <w:tblLook w:val="04A0" w:firstRow="1" w:lastRow="0" w:firstColumn="1" w:lastColumn="0" w:noHBand="0" w:noVBand="1"/>
      </w:tblPr>
      <w:tblGrid>
        <w:gridCol w:w="1762"/>
        <w:gridCol w:w="5351"/>
        <w:gridCol w:w="1937"/>
      </w:tblGrid>
      <w:tr w:rsidR="00D170A1" w14:paraId="2D725998" w14:textId="77777777" w:rsidTr="0018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348B5258" w14:textId="77777777" w:rsidR="00D170A1" w:rsidRPr="00702170" w:rsidRDefault="00D170A1" w:rsidP="00DC6EC8">
            <w:pPr>
              <w:pStyle w:val="ListBullet"/>
              <w:numPr>
                <w:ilvl w:val="0"/>
                <w:numId w:val="0"/>
              </w:numPr>
            </w:pPr>
            <w:r>
              <w:t>Ingredient</w:t>
            </w:r>
          </w:p>
        </w:tc>
        <w:tc>
          <w:tcPr>
            <w:tcW w:w="2975" w:type="pct"/>
          </w:tcPr>
          <w:p w14:paraId="5FE2DBE6" w14:textId="77777777" w:rsidR="00D170A1" w:rsidRPr="00702170" w:rsidRDefault="00D170A1"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1D1AEFE8" w14:textId="77777777" w:rsidR="00D170A1" w:rsidRPr="00702170" w:rsidRDefault="00D170A1"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D170A1" w14:paraId="405DF824" w14:textId="77777777" w:rsidTr="001864C1">
        <w:tc>
          <w:tcPr>
            <w:cnfStyle w:val="001000000000" w:firstRow="0" w:lastRow="0" w:firstColumn="1" w:lastColumn="0" w:oddVBand="0" w:evenVBand="0" w:oddHBand="0" w:evenHBand="0" w:firstRowFirstColumn="0" w:firstRowLastColumn="0" w:lastRowFirstColumn="0" w:lastRowLastColumn="0"/>
            <w:tcW w:w="936" w:type="pct"/>
          </w:tcPr>
          <w:p w14:paraId="16E3EC8B" w14:textId="6F6DD09C" w:rsidR="00D170A1" w:rsidRPr="00702170" w:rsidRDefault="00D170A1" w:rsidP="00DC6EC8">
            <w:pPr>
              <w:pStyle w:val="ListBullet"/>
              <w:numPr>
                <w:ilvl w:val="0"/>
                <w:numId w:val="0"/>
              </w:numPr>
              <w:rPr>
                <w:szCs w:val="20"/>
              </w:rPr>
            </w:pPr>
            <w:r>
              <w:t>Metoclopramide</w:t>
            </w:r>
          </w:p>
        </w:tc>
        <w:tc>
          <w:tcPr>
            <w:tcW w:w="2975" w:type="pct"/>
          </w:tcPr>
          <w:p w14:paraId="40F65F8C" w14:textId="77777777" w:rsidR="00D170A1" w:rsidRPr="00702170" w:rsidRDefault="00D170A1"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rPr>
                <w:b/>
                <w:bCs/>
              </w:rPr>
              <w:t>except</w:t>
            </w:r>
            <w:r w:rsidRPr="00702170">
              <w:t xml:space="preserve"> when specified elsewhere in this schedule</w:t>
            </w:r>
          </w:p>
        </w:tc>
        <w:tc>
          <w:tcPr>
            <w:tcW w:w="1089" w:type="pct"/>
          </w:tcPr>
          <w:p w14:paraId="46BC4989" w14:textId="77777777" w:rsidR="00D170A1" w:rsidRPr="00702170" w:rsidRDefault="00D170A1"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D170A1" w14:paraId="454E1446" w14:textId="77777777" w:rsidTr="001864C1">
        <w:tc>
          <w:tcPr>
            <w:cnfStyle w:val="001000000000" w:firstRow="0" w:lastRow="0" w:firstColumn="1" w:lastColumn="0" w:oddVBand="0" w:evenVBand="0" w:oddHBand="0" w:evenHBand="0" w:firstRowFirstColumn="0" w:firstRowLastColumn="0" w:lastRowFirstColumn="0" w:lastRowLastColumn="0"/>
            <w:tcW w:w="936" w:type="pct"/>
          </w:tcPr>
          <w:p w14:paraId="70056214" w14:textId="277629A6" w:rsidR="00D170A1" w:rsidRPr="00702170" w:rsidRDefault="00D170A1" w:rsidP="00DC6EC8">
            <w:pPr>
              <w:pStyle w:val="ListBullet"/>
              <w:numPr>
                <w:ilvl w:val="0"/>
                <w:numId w:val="0"/>
              </w:numPr>
              <w:rPr>
                <w:szCs w:val="20"/>
              </w:rPr>
            </w:pPr>
            <w:r>
              <w:t>Metoclopramide</w:t>
            </w:r>
          </w:p>
        </w:tc>
        <w:tc>
          <w:tcPr>
            <w:tcW w:w="2975" w:type="pct"/>
          </w:tcPr>
          <w:p w14:paraId="199093C7" w14:textId="1754C29C" w:rsidR="00D170A1" w:rsidRPr="00702170" w:rsidRDefault="00D170A1"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D170A1">
              <w:t>when compounded with paracetamol in packs of not more than 10 tablets or capsules for the treatment of nausea associated with migraine</w:t>
            </w:r>
          </w:p>
        </w:tc>
        <w:tc>
          <w:tcPr>
            <w:tcW w:w="1089" w:type="pct"/>
          </w:tcPr>
          <w:p w14:paraId="5A81EC2B" w14:textId="1CF8AD79" w:rsidR="00D170A1" w:rsidRPr="00702170" w:rsidRDefault="00D170A1"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Restricted</w:t>
            </w:r>
            <w:r w:rsidR="008E59A7">
              <w:rPr>
                <w:rStyle w:val="FootnoteReference"/>
                <w:sz w:val="20"/>
              </w:rPr>
              <w:footnoteReference w:id="15"/>
            </w:r>
          </w:p>
        </w:tc>
      </w:tr>
    </w:tbl>
    <w:p w14:paraId="393C09A5" w14:textId="33581C09" w:rsidR="00945723" w:rsidRDefault="00945723" w:rsidP="00945723">
      <w:pPr>
        <w:pStyle w:val="Heading3"/>
      </w:pPr>
      <w:bookmarkStart w:id="6" w:name="_Toc59540947"/>
      <w:r>
        <w:t>Chloramphenicol</w:t>
      </w:r>
      <w:bookmarkEnd w:id="6"/>
    </w:p>
    <w:p w14:paraId="0D306AB8" w14:textId="77777777" w:rsidR="000B7FBF" w:rsidRDefault="000B7FBF" w:rsidP="000B7FBF">
      <w:pPr>
        <w:pStyle w:val="Heading4"/>
      </w:pPr>
      <w:r>
        <w:t>Proposal</w:t>
      </w:r>
    </w:p>
    <w:p w14:paraId="7C6F2097" w14:textId="60BFA0F0" w:rsidR="000B7FBF" w:rsidRDefault="000B7FBF" w:rsidP="00C05467">
      <w:r>
        <w:t xml:space="preserve">Inclusion of a new entry for </w:t>
      </w:r>
      <w:r w:rsidR="006A0105">
        <w:t xml:space="preserve">chloramphenicol </w:t>
      </w:r>
      <w:r>
        <w:t xml:space="preserve">in Appendix H of the Poisons </w:t>
      </w:r>
      <w:r w:rsidR="00EB5991">
        <w:t>Standard to allow direct-to-</w:t>
      </w:r>
      <w:r>
        <w:t>consumer advertising of products containing the substance.</w:t>
      </w:r>
    </w:p>
    <w:p w14:paraId="6DBDC16D" w14:textId="5F68D39D" w:rsidR="00945723" w:rsidRDefault="0079442D" w:rsidP="000B7FBF">
      <w:pPr>
        <w:pStyle w:val="Heading4"/>
        <w:rPr>
          <w:i/>
        </w:rPr>
      </w:pPr>
      <w:r>
        <w:t>CAS Number:</w:t>
      </w:r>
    </w:p>
    <w:p w14:paraId="4F4AD422" w14:textId="2D92A481" w:rsidR="00945723" w:rsidRPr="003639D9" w:rsidRDefault="00945723" w:rsidP="00945723">
      <w:pPr>
        <w:pStyle w:val="Heading5"/>
      </w:pPr>
      <w:r w:rsidRPr="00945723">
        <w:rPr>
          <w:b w:val="0"/>
          <w:i w:val="0"/>
        </w:rPr>
        <w:t>56-75-7</w:t>
      </w:r>
    </w:p>
    <w:p w14:paraId="49CEC4AF" w14:textId="77777777" w:rsidR="00945723" w:rsidRDefault="00945723" w:rsidP="00B84910">
      <w:pPr>
        <w:pStyle w:val="Heading4"/>
      </w:pPr>
      <w:r>
        <w:t>Alternative names</w:t>
      </w:r>
    </w:p>
    <w:p w14:paraId="3E8AF47E" w14:textId="05EF0267" w:rsidR="00945723" w:rsidRPr="00D11329" w:rsidRDefault="00945723" w:rsidP="00945723">
      <w:r w:rsidRPr="00D11329">
        <w:t>2,2-Dichloro-</w:t>
      </w:r>
      <w:r w:rsidRPr="00D11329">
        <w:rPr>
          <w:i/>
          <w:iCs/>
        </w:rPr>
        <w:t>N-</w:t>
      </w:r>
      <w:r w:rsidRPr="00D11329">
        <w:t>[(1</w:t>
      </w:r>
      <w:r w:rsidRPr="00D11329">
        <w:rPr>
          <w:i/>
          <w:iCs/>
        </w:rPr>
        <w:t>R</w:t>
      </w:r>
      <w:r w:rsidRPr="00D11329">
        <w:t>,2</w:t>
      </w:r>
      <w:r w:rsidRPr="00D11329">
        <w:rPr>
          <w:i/>
          <w:iCs/>
        </w:rPr>
        <w:t>R</w:t>
      </w:r>
      <w:r w:rsidRPr="00D11329">
        <w:t>)-2-hydroxy-1-(hydroxymethyl)-2-(4-nitrophenyl)ethyl]acetamide</w:t>
      </w:r>
      <w:r w:rsidRPr="00D11329">
        <w:rPr>
          <w:b/>
          <w:bCs/>
        </w:rPr>
        <w:t xml:space="preserve">, </w:t>
      </w:r>
      <w:r w:rsidRPr="00D11329">
        <w:t>D-</w:t>
      </w:r>
      <w:r w:rsidRPr="00D11329">
        <w:rPr>
          <w:i/>
          <w:iCs/>
        </w:rPr>
        <w:t>threo-N-</w:t>
      </w:r>
      <w:r w:rsidRPr="00D11329">
        <w:t>dichloroacetyl-1-</w:t>
      </w:r>
      <w:r w:rsidRPr="00D11329">
        <w:rPr>
          <w:i/>
          <w:iCs/>
        </w:rPr>
        <w:t>p-</w:t>
      </w:r>
      <w:r w:rsidRPr="00D11329">
        <w:t>nitrophenyl-2-amino-1,3-propanediol; D(−)-</w:t>
      </w:r>
      <w:r w:rsidRPr="00D11329">
        <w:rPr>
          <w:i/>
          <w:iCs/>
        </w:rPr>
        <w:t>threo-</w:t>
      </w:r>
      <w:r w:rsidRPr="00D11329">
        <w:t>2-dichloroacetamido-1-</w:t>
      </w:r>
      <w:r w:rsidRPr="00D11329">
        <w:rPr>
          <w:i/>
          <w:iCs/>
        </w:rPr>
        <w:t>p-</w:t>
      </w:r>
      <w:r w:rsidRPr="00D11329">
        <w:t>nitrophenyl-1,3-propanediol; D-</w:t>
      </w:r>
      <w:r w:rsidRPr="00D11329">
        <w:rPr>
          <w:i/>
          <w:iCs/>
        </w:rPr>
        <w:t>threo-N-</w:t>
      </w:r>
      <w:r w:rsidRPr="00D11329">
        <w:t>(1,1′-dihydroxy-1-</w:t>
      </w:r>
      <w:r w:rsidRPr="00D11329">
        <w:rPr>
          <w:i/>
          <w:iCs/>
        </w:rPr>
        <w:t>p-</w:t>
      </w:r>
      <w:r w:rsidRPr="00D11329">
        <w:t>nitrophenylisopropyl)dichloroacetamide</w:t>
      </w:r>
    </w:p>
    <w:p w14:paraId="1BB3991B" w14:textId="77777777" w:rsidR="00945723" w:rsidRDefault="00945723" w:rsidP="00B84910">
      <w:pPr>
        <w:pStyle w:val="Heading4"/>
      </w:pPr>
      <w:r>
        <w:t>Applicant</w:t>
      </w:r>
    </w:p>
    <w:p w14:paraId="540551F6" w14:textId="6408522F" w:rsidR="00945723" w:rsidRPr="003639D9" w:rsidRDefault="00945723" w:rsidP="00945723">
      <w:r w:rsidRPr="00D11329">
        <w:t>Private applicant</w:t>
      </w:r>
    </w:p>
    <w:p w14:paraId="6B262A33" w14:textId="77777777" w:rsidR="00945723" w:rsidRDefault="00945723" w:rsidP="00B84910">
      <w:pPr>
        <w:pStyle w:val="Heading4"/>
      </w:pPr>
      <w:r>
        <w:t>Current scheduling</w:t>
      </w:r>
    </w:p>
    <w:p w14:paraId="15C3289A" w14:textId="58DE6EF5" w:rsidR="00945723" w:rsidRDefault="00D11329" w:rsidP="00945723">
      <w:pPr>
        <w:rPr>
          <w:rFonts w:asciiTheme="minorHAnsi" w:hAnsiTheme="minorHAnsi" w:cstheme="minorHAnsi"/>
        </w:rPr>
      </w:pPr>
      <w:r>
        <w:rPr>
          <w:rFonts w:asciiTheme="minorHAnsi" w:hAnsiTheme="minorHAnsi" w:cstheme="minorHAnsi"/>
        </w:rPr>
        <w:t xml:space="preserve">Chloramphenicol </w:t>
      </w:r>
      <w:r w:rsidR="00945723" w:rsidRPr="00AF12F6">
        <w:rPr>
          <w:rFonts w:asciiTheme="minorHAnsi" w:hAnsiTheme="minorHAnsi" w:cstheme="minorHAnsi"/>
        </w:rPr>
        <w:t xml:space="preserve">is currently listed in Schedules </w:t>
      </w:r>
      <w:r>
        <w:rPr>
          <w:rFonts w:asciiTheme="minorHAnsi" w:hAnsiTheme="minorHAnsi" w:cstheme="minorHAnsi"/>
        </w:rPr>
        <w:t>3</w:t>
      </w:r>
      <w:r w:rsidR="00945723">
        <w:rPr>
          <w:rFonts w:asciiTheme="minorHAnsi" w:hAnsiTheme="minorHAnsi" w:cstheme="minorHAnsi"/>
        </w:rPr>
        <w:t xml:space="preserve"> and </w:t>
      </w:r>
      <w:r>
        <w:rPr>
          <w:rFonts w:asciiTheme="minorHAnsi" w:hAnsiTheme="minorHAnsi" w:cstheme="minorHAnsi"/>
        </w:rPr>
        <w:t>4</w:t>
      </w:r>
      <w:r w:rsidR="00945723">
        <w:rPr>
          <w:rFonts w:asciiTheme="minorHAnsi" w:hAnsiTheme="minorHAnsi" w:cstheme="minorHAnsi"/>
        </w:rPr>
        <w:t xml:space="preserve"> of the Poisons Standard as follows:</w:t>
      </w:r>
    </w:p>
    <w:p w14:paraId="061D9D18" w14:textId="77777777" w:rsidR="002E56D2" w:rsidRPr="005133F7" w:rsidRDefault="002E56D2" w:rsidP="002E56D2">
      <w:pPr>
        <w:ind w:left="426"/>
        <w:rPr>
          <w:b/>
        </w:rPr>
      </w:pPr>
      <w:r>
        <w:rPr>
          <w:b/>
        </w:rPr>
        <w:t>Schedule 4</w:t>
      </w:r>
    </w:p>
    <w:p w14:paraId="14EA493B" w14:textId="77777777" w:rsidR="002E56D2" w:rsidRDefault="002E56D2" w:rsidP="002E56D2">
      <w:pPr>
        <w:ind w:left="426"/>
        <w:rPr>
          <w:rFonts w:asciiTheme="minorHAnsi" w:hAnsiTheme="minorHAnsi" w:cstheme="minorHAnsi"/>
        </w:rPr>
      </w:pPr>
      <w:r w:rsidRPr="00D11329">
        <w:rPr>
          <w:rFonts w:asciiTheme="minorHAnsi" w:hAnsiTheme="minorHAnsi" w:cstheme="minorHAnsi"/>
        </w:rPr>
        <w:t>CHLORAMPHENICOL </w:t>
      </w:r>
      <w:r w:rsidRPr="00D11329">
        <w:rPr>
          <w:rFonts w:asciiTheme="minorHAnsi" w:hAnsiTheme="minorHAnsi" w:cstheme="minorHAnsi"/>
          <w:b/>
          <w:bCs/>
        </w:rPr>
        <w:t>except</w:t>
      </w:r>
      <w:r w:rsidRPr="00D11329">
        <w:rPr>
          <w:rFonts w:asciiTheme="minorHAnsi" w:hAnsiTheme="minorHAnsi" w:cstheme="minorHAnsi"/>
        </w:rPr>
        <w:t> when included in Schedule 3</w:t>
      </w:r>
    </w:p>
    <w:p w14:paraId="7AF95244" w14:textId="4A5AB54E" w:rsidR="00945723" w:rsidRPr="006D5C84" w:rsidRDefault="00945723" w:rsidP="002E56D2">
      <w:pPr>
        <w:ind w:left="426"/>
        <w:rPr>
          <w:b/>
        </w:rPr>
      </w:pPr>
      <w:r w:rsidRPr="006D5C84">
        <w:rPr>
          <w:b/>
        </w:rPr>
        <w:t xml:space="preserve">Schedule </w:t>
      </w:r>
      <w:r w:rsidR="00D11329" w:rsidRPr="00CB4F76">
        <w:rPr>
          <w:b/>
        </w:rPr>
        <w:t>3</w:t>
      </w:r>
    </w:p>
    <w:p w14:paraId="5EC51C79" w14:textId="77777777" w:rsidR="00D11329" w:rsidRDefault="00D11329" w:rsidP="00945723">
      <w:pPr>
        <w:ind w:left="426"/>
        <w:rPr>
          <w:rFonts w:asciiTheme="minorHAnsi" w:hAnsiTheme="minorHAnsi" w:cstheme="minorHAnsi"/>
        </w:rPr>
      </w:pPr>
      <w:r w:rsidRPr="00D11329">
        <w:rPr>
          <w:rFonts w:asciiTheme="minorHAnsi" w:hAnsiTheme="minorHAnsi" w:cstheme="minorHAnsi"/>
        </w:rPr>
        <w:t>CHLORAMPHENICOL for ophthalmic use only.</w:t>
      </w:r>
    </w:p>
    <w:p w14:paraId="3AF79516" w14:textId="77777777" w:rsidR="00945723" w:rsidRDefault="00945723" w:rsidP="004A1C37">
      <w:pPr>
        <w:pStyle w:val="Heading4"/>
      </w:pPr>
      <w:r>
        <w:t>Proposed scheduling</w:t>
      </w:r>
    </w:p>
    <w:p w14:paraId="43E8C30C" w14:textId="77777777" w:rsidR="002E56D2" w:rsidRPr="005133F7" w:rsidRDefault="002E56D2" w:rsidP="002E56D2">
      <w:pPr>
        <w:ind w:left="426"/>
        <w:rPr>
          <w:b/>
        </w:rPr>
      </w:pPr>
      <w:r>
        <w:rPr>
          <w:b/>
        </w:rPr>
        <w:t>Schedule 4</w:t>
      </w:r>
    </w:p>
    <w:p w14:paraId="538F8AD6" w14:textId="77777777" w:rsidR="002E56D2" w:rsidRDefault="002E56D2" w:rsidP="002E56D2">
      <w:pPr>
        <w:ind w:left="426"/>
        <w:rPr>
          <w:rFonts w:asciiTheme="minorHAnsi" w:hAnsiTheme="minorHAnsi" w:cstheme="minorHAnsi"/>
        </w:rPr>
      </w:pPr>
      <w:r w:rsidRPr="00D11329">
        <w:rPr>
          <w:rFonts w:asciiTheme="minorHAnsi" w:hAnsiTheme="minorHAnsi" w:cstheme="minorHAnsi"/>
        </w:rPr>
        <w:t>CHLORAMPHENICOL </w:t>
      </w:r>
      <w:r w:rsidRPr="00D11329">
        <w:rPr>
          <w:rFonts w:asciiTheme="minorHAnsi" w:hAnsiTheme="minorHAnsi" w:cstheme="minorHAnsi"/>
          <w:b/>
          <w:bCs/>
        </w:rPr>
        <w:t>except</w:t>
      </w:r>
      <w:r w:rsidRPr="00D11329">
        <w:rPr>
          <w:rFonts w:asciiTheme="minorHAnsi" w:hAnsiTheme="minorHAnsi" w:cstheme="minorHAnsi"/>
        </w:rPr>
        <w:t> when included in Schedule 3</w:t>
      </w:r>
    </w:p>
    <w:p w14:paraId="44CE07A9" w14:textId="77777777" w:rsidR="002E56D2" w:rsidRPr="006D5C84" w:rsidRDefault="002E56D2" w:rsidP="002E56D2">
      <w:pPr>
        <w:ind w:left="426"/>
        <w:rPr>
          <w:b/>
        </w:rPr>
      </w:pPr>
      <w:r w:rsidRPr="006D5C84">
        <w:rPr>
          <w:b/>
        </w:rPr>
        <w:t xml:space="preserve">Schedule </w:t>
      </w:r>
      <w:r w:rsidRPr="00CB4F76">
        <w:rPr>
          <w:b/>
        </w:rPr>
        <w:t>3</w:t>
      </w:r>
    </w:p>
    <w:p w14:paraId="4E97E515" w14:textId="77777777" w:rsidR="00786E03" w:rsidRDefault="002E56D2" w:rsidP="002E56D2">
      <w:pPr>
        <w:ind w:left="426"/>
        <w:rPr>
          <w:rFonts w:asciiTheme="minorHAnsi" w:hAnsiTheme="minorHAnsi" w:cstheme="minorHAnsi"/>
        </w:rPr>
      </w:pPr>
      <w:r w:rsidRPr="00D11329">
        <w:rPr>
          <w:rFonts w:asciiTheme="minorHAnsi" w:hAnsiTheme="minorHAnsi" w:cstheme="minorHAnsi"/>
        </w:rPr>
        <w:t>CHLORAMPHENICOL for ophthalmic use only.</w:t>
      </w:r>
    </w:p>
    <w:p w14:paraId="7DB078BA" w14:textId="18A00977" w:rsidR="00945723" w:rsidRPr="001C3E83" w:rsidRDefault="00945723" w:rsidP="002E56D2">
      <w:pPr>
        <w:ind w:left="426"/>
        <w:rPr>
          <w:b/>
        </w:rPr>
      </w:pPr>
      <w:r w:rsidRPr="001C3E83">
        <w:rPr>
          <w:b/>
        </w:rPr>
        <w:t xml:space="preserve">Appendix H – New Entry </w:t>
      </w:r>
    </w:p>
    <w:p w14:paraId="76146FFA" w14:textId="5789D013" w:rsidR="00945723" w:rsidRDefault="00D11329" w:rsidP="00945723">
      <w:pPr>
        <w:ind w:left="426"/>
        <w:rPr>
          <w:rFonts w:asciiTheme="minorHAnsi" w:hAnsiTheme="minorHAnsi" w:cstheme="minorHAnsi"/>
          <w:color w:val="FF0000"/>
        </w:rPr>
      </w:pPr>
      <w:r w:rsidRPr="0062690C">
        <w:rPr>
          <w:rFonts w:asciiTheme="minorHAnsi" w:hAnsiTheme="minorHAnsi" w:cstheme="minorHAnsi"/>
          <w:color w:val="FF0000"/>
        </w:rPr>
        <w:t>CHLORAMPHENICOL</w:t>
      </w:r>
    </w:p>
    <w:p w14:paraId="5D00412B" w14:textId="548AAC65" w:rsidR="00C430C9" w:rsidRDefault="00C430C9" w:rsidP="00945723">
      <w:pPr>
        <w:ind w:left="426"/>
        <w:rPr>
          <w:rFonts w:asciiTheme="minorHAnsi" w:hAnsiTheme="minorHAnsi" w:cstheme="minorHAnsi"/>
          <w:b/>
        </w:rPr>
      </w:pPr>
      <w:r w:rsidRPr="00C430C9">
        <w:rPr>
          <w:rFonts w:asciiTheme="minorHAnsi" w:hAnsiTheme="minorHAnsi" w:cstheme="minorHAnsi"/>
          <w:b/>
        </w:rPr>
        <w:t>Index – Amend Entry</w:t>
      </w:r>
    </w:p>
    <w:p w14:paraId="6704941A" w14:textId="65E75824" w:rsidR="00C430C9" w:rsidRPr="00C430C9" w:rsidRDefault="00C430C9" w:rsidP="00945723">
      <w:pPr>
        <w:ind w:left="426"/>
        <w:rPr>
          <w:rFonts w:asciiTheme="minorHAnsi" w:hAnsiTheme="minorHAnsi" w:cstheme="minorHAnsi"/>
        </w:rPr>
      </w:pPr>
      <w:r w:rsidRPr="00C430C9">
        <w:rPr>
          <w:rFonts w:asciiTheme="minorHAnsi" w:hAnsiTheme="minorHAnsi" w:cstheme="minorHAnsi"/>
        </w:rPr>
        <w:t>CHLORAMPHENICOL</w:t>
      </w:r>
    </w:p>
    <w:p w14:paraId="1EDF6DCF" w14:textId="77777777" w:rsidR="002E56D2" w:rsidRPr="00C430C9" w:rsidRDefault="002E56D2" w:rsidP="002E56D2">
      <w:pPr>
        <w:spacing w:before="0" w:after="0"/>
        <w:ind w:left="426"/>
        <w:rPr>
          <w:rFonts w:asciiTheme="minorHAnsi" w:hAnsiTheme="minorHAnsi" w:cstheme="minorHAnsi"/>
        </w:rPr>
      </w:pPr>
      <w:r w:rsidRPr="00C430C9">
        <w:rPr>
          <w:rFonts w:asciiTheme="minorHAnsi" w:hAnsiTheme="minorHAnsi" w:cstheme="minorHAnsi"/>
        </w:rPr>
        <w:t>Schedule 4</w:t>
      </w:r>
    </w:p>
    <w:p w14:paraId="772D557C" w14:textId="4619B233" w:rsidR="00C430C9" w:rsidRPr="00C430C9" w:rsidRDefault="00C430C9" w:rsidP="00C430C9">
      <w:pPr>
        <w:spacing w:before="0" w:after="0"/>
        <w:ind w:left="426"/>
        <w:rPr>
          <w:rFonts w:asciiTheme="minorHAnsi" w:hAnsiTheme="minorHAnsi" w:cstheme="minorHAnsi"/>
        </w:rPr>
      </w:pPr>
      <w:r w:rsidRPr="00C430C9">
        <w:rPr>
          <w:rFonts w:asciiTheme="minorHAnsi" w:hAnsiTheme="minorHAnsi" w:cstheme="minorHAnsi"/>
        </w:rPr>
        <w:t>Schedule 3</w:t>
      </w:r>
    </w:p>
    <w:p w14:paraId="3726BCE7" w14:textId="46E50FC8" w:rsidR="00C430C9" w:rsidRPr="00C430C9" w:rsidRDefault="00C430C9" w:rsidP="00C430C9">
      <w:pPr>
        <w:spacing w:before="0" w:after="0"/>
        <w:ind w:left="426"/>
        <w:rPr>
          <w:rFonts w:asciiTheme="minorHAnsi" w:hAnsiTheme="minorHAnsi" w:cstheme="minorHAnsi"/>
          <w:color w:val="FF0000"/>
        </w:rPr>
      </w:pPr>
      <w:r w:rsidRPr="00C430C9">
        <w:rPr>
          <w:rFonts w:asciiTheme="minorHAnsi" w:hAnsiTheme="minorHAnsi" w:cstheme="minorHAnsi"/>
          <w:color w:val="FF0000"/>
        </w:rPr>
        <w:t>Appendix H</w:t>
      </w:r>
    </w:p>
    <w:p w14:paraId="0918C621" w14:textId="77777777" w:rsidR="00945723" w:rsidRPr="00C46F90" w:rsidRDefault="00945723" w:rsidP="00945723">
      <w:pPr>
        <w:pStyle w:val="Heading4"/>
      </w:pPr>
      <w:r w:rsidRPr="00C46F90">
        <w:t>Key uses / expected use</w:t>
      </w:r>
    </w:p>
    <w:p w14:paraId="1675A0A7" w14:textId="0975B21B" w:rsidR="00945723" w:rsidRDefault="00945723" w:rsidP="00945723">
      <w:r w:rsidRPr="00CB4F76">
        <w:t>Medicines</w:t>
      </w:r>
      <w:r w:rsidR="00C77C7D">
        <w:t xml:space="preserve"> (antibacterial, antibiotic)</w:t>
      </w:r>
    </w:p>
    <w:p w14:paraId="39A0F724" w14:textId="7A1A4949" w:rsidR="00945723" w:rsidRDefault="00EB5991" w:rsidP="00945723">
      <w:pPr>
        <w:pStyle w:val="Heading4"/>
      </w:pPr>
      <w:r>
        <w:t>Application summary - r</w:t>
      </w:r>
      <w:r w:rsidR="00945723">
        <w:t>easons for proposal</w:t>
      </w:r>
    </w:p>
    <w:p w14:paraId="0349ACDB" w14:textId="06F83A66" w:rsidR="00497759" w:rsidRDefault="00497759" w:rsidP="00DC6EC8">
      <w:pPr>
        <w:pStyle w:val="ListBullet"/>
      </w:pPr>
      <w:r>
        <w:t>Th</w:t>
      </w:r>
      <w:r w:rsidR="00EB5991">
        <w:t>e application</w:t>
      </w:r>
      <w:r>
        <w:t xml:space="preserve"> propo</w:t>
      </w:r>
      <w:r w:rsidR="00EB5991">
        <w:t>ses</w:t>
      </w:r>
      <w:r>
        <w:t xml:space="preserve"> inclusion of chloramphenicol</w:t>
      </w:r>
      <w:r w:rsidR="00EB5991">
        <w:t>, when classified as a Schedul</w:t>
      </w:r>
      <w:r w:rsidR="00164A0B">
        <w:t xml:space="preserve">e </w:t>
      </w:r>
      <w:r w:rsidR="00EB5991">
        <w:t xml:space="preserve">3 </w:t>
      </w:r>
      <w:r w:rsidR="00171C1D">
        <w:t xml:space="preserve">(S3) </w:t>
      </w:r>
      <w:r w:rsidR="00EB5991">
        <w:t>medicine,</w:t>
      </w:r>
      <w:r>
        <w:t xml:space="preserve"> in Appendix H of the Poisons </w:t>
      </w:r>
      <w:r w:rsidR="00D9380B">
        <w:t>S</w:t>
      </w:r>
      <w:r>
        <w:t xml:space="preserve">tandard </w:t>
      </w:r>
      <w:r w:rsidR="00EB5991">
        <w:t>to</w:t>
      </w:r>
      <w:r>
        <w:t xml:space="preserve"> permit advertis</w:t>
      </w:r>
      <w:r w:rsidR="00EB5991">
        <w:t>ing to the public</w:t>
      </w:r>
      <w:r>
        <w:t>.</w:t>
      </w:r>
    </w:p>
    <w:p w14:paraId="4F328D44" w14:textId="53A4AB2F" w:rsidR="00EB5991" w:rsidRDefault="00EB5991" w:rsidP="003C0B32">
      <w:pPr>
        <w:pStyle w:val="ListBullet2"/>
      </w:pPr>
      <w:r>
        <w:t>Chloramphenicol is a S3 medicine for ophthalmic use only.</w:t>
      </w:r>
    </w:p>
    <w:p w14:paraId="1114463E" w14:textId="1591192B" w:rsidR="00497759" w:rsidRDefault="00497759" w:rsidP="00DC6EC8">
      <w:pPr>
        <w:pStyle w:val="ListBullet"/>
      </w:pPr>
      <w:r w:rsidRPr="00385DA6">
        <w:t>Schedule 3 topical preparations of chloramphenicol are used for the treatment of bacterial conjunctivitis and, under medical supervision only, for other superficial ocular infections due to sensitive organisms. It is also used for the treatment of otitis externa due to sensitive organisms. As Schedule 4</w:t>
      </w:r>
      <w:r w:rsidR="00164A0B">
        <w:t xml:space="preserve"> medicine</w:t>
      </w:r>
      <w:r w:rsidRPr="00385DA6">
        <w:t>, chloramphenicol is used for the treatment of infections due to susceptible organisms such as bacterial meningitis, typhoid fever, rickettsial, intraocular and other serious infections.</w:t>
      </w:r>
    </w:p>
    <w:p w14:paraId="3B1163BE" w14:textId="7B879E56" w:rsidR="00786E03" w:rsidRDefault="00786E03" w:rsidP="00DC6EC8">
      <w:pPr>
        <w:pStyle w:val="ListBullet"/>
      </w:pPr>
      <w:r>
        <w:t>I</w:t>
      </w:r>
      <w:r w:rsidRPr="007E5A33">
        <w:t xml:space="preserve">n </w:t>
      </w:r>
      <w:r>
        <w:t>Ma</w:t>
      </w:r>
      <w:r w:rsidRPr="007E5A33">
        <w:t xml:space="preserve">y 2018, the TGA </w:t>
      </w:r>
      <w:r>
        <w:t xml:space="preserve">conducted a public consultation on </w:t>
      </w:r>
      <w:hyperlink r:id="rId29" w:history="1">
        <w:r w:rsidRPr="00F630EC">
          <w:rPr>
            <w:rStyle w:val="Hyperlink"/>
          </w:rPr>
          <w:t>Substances proposed to be added to Appendix H of the Poisons Standard</w:t>
        </w:r>
      </w:hyperlink>
      <w:r w:rsidRPr="004662D8">
        <w:t>, to allow</w:t>
      </w:r>
      <w:r>
        <w:t xml:space="preserve"> them to be advertised.</w:t>
      </w:r>
      <w:r w:rsidRPr="004662D8">
        <w:t xml:space="preserve"> </w:t>
      </w:r>
      <w:r>
        <w:t>A</w:t>
      </w:r>
      <w:r w:rsidRPr="004662D8">
        <w:t>fter taking into consideration the potential impact on p</w:t>
      </w:r>
      <w:r>
        <w:t>ublic health</w:t>
      </w:r>
      <w:r w:rsidRPr="004662D8">
        <w:t xml:space="preserve"> of direct to consumer advertising of each product, the TGA proposed several S3 </w:t>
      </w:r>
      <w:r>
        <w:t>substance</w:t>
      </w:r>
      <w:r w:rsidRPr="004662D8">
        <w:t>s</w:t>
      </w:r>
      <w:r>
        <w:t>, including chloramphenicol, to be added to Appendix H.</w:t>
      </w:r>
    </w:p>
    <w:p w14:paraId="1CD23E0F" w14:textId="18D6964D" w:rsidR="00EB5991" w:rsidRPr="004662D8" w:rsidRDefault="00EB5991" w:rsidP="00DC6EC8">
      <w:pPr>
        <w:pStyle w:val="ListBullet"/>
      </w:pPr>
      <w:r>
        <w:t xml:space="preserve">Following public consultation regarding the proposal, the Delegate decided against including chloramphenicol in Appendix H, based on potential for promoting antibiotic resistance and </w:t>
      </w:r>
      <w:r w:rsidR="00164A0B">
        <w:t xml:space="preserve">the inherent </w:t>
      </w:r>
      <w:r>
        <w:t>difficulties in differentiating viral and bacterial conjunctivitis</w:t>
      </w:r>
      <w:r w:rsidR="00164A0B">
        <w:t xml:space="preserve"> without professional medical advice</w:t>
      </w:r>
      <w:r>
        <w:t>.</w:t>
      </w:r>
    </w:p>
    <w:p w14:paraId="73455009" w14:textId="4EB5D88D" w:rsidR="001C3E83" w:rsidRDefault="000E15E2" w:rsidP="00DC6EC8">
      <w:pPr>
        <w:pStyle w:val="ListBullet"/>
      </w:pPr>
      <w:r>
        <w:t>The applicant contends that c</w:t>
      </w:r>
      <w:r w:rsidR="0007542B" w:rsidRPr="008E59A7">
        <w:t>hloramphenicol is regarded as a safe</w:t>
      </w:r>
      <w:r w:rsidR="0007542B">
        <w:t xml:space="preserve"> and highly effective treatment for bacterial conjunctivitis, </w:t>
      </w:r>
      <w:r w:rsidR="0007542B" w:rsidRPr="008E59A7">
        <w:t xml:space="preserve">a common and contagious eye disease. </w:t>
      </w:r>
      <w:r w:rsidR="00196F1F">
        <w:t>For such a condition</w:t>
      </w:r>
      <w:r w:rsidR="00D52B0B">
        <w:t>,</w:t>
      </w:r>
      <w:r w:rsidR="00196F1F">
        <w:t xml:space="preserve"> e</w:t>
      </w:r>
      <w:r w:rsidR="0007542B" w:rsidRPr="0007542B">
        <w:t xml:space="preserve">arly treatment is important and </w:t>
      </w:r>
      <w:r w:rsidR="00196F1F">
        <w:t>direct to consumer</w:t>
      </w:r>
      <w:r w:rsidR="0007542B" w:rsidRPr="0007542B">
        <w:t xml:space="preserve"> advertising would inform consumers they can </w:t>
      </w:r>
      <w:r w:rsidR="00196F1F">
        <w:t>consult with</w:t>
      </w:r>
      <w:r w:rsidR="0007542B" w:rsidRPr="0007542B">
        <w:t xml:space="preserve"> a </w:t>
      </w:r>
      <w:r w:rsidR="0079442D">
        <w:t>pharmacist for early treatment.</w:t>
      </w:r>
    </w:p>
    <w:p w14:paraId="13AC35EF" w14:textId="61E868CD" w:rsidR="00463FC6" w:rsidRDefault="00786E03" w:rsidP="00DC6EC8">
      <w:pPr>
        <w:pStyle w:val="ListBullet"/>
      </w:pPr>
      <w:r>
        <w:t>T</w:t>
      </w:r>
      <w:r w:rsidR="00463FC6" w:rsidRPr="00463FC6">
        <w:t>here is an increased awarenes</w:t>
      </w:r>
      <w:r>
        <w:t>s among medical practitioners and</w:t>
      </w:r>
      <w:r w:rsidR="00463FC6" w:rsidRPr="00463FC6">
        <w:t xml:space="preserve"> consumers of improper use of antibiotics that could lead to antibiotic resistance. </w:t>
      </w:r>
      <w:r w:rsidR="00D52B0B">
        <w:t>T</w:t>
      </w:r>
      <w:r w:rsidR="00463FC6" w:rsidRPr="00463FC6">
        <w:t xml:space="preserve">he </w:t>
      </w:r>
      <w:r w:rsidR="00497759">
        <w:t>product information</w:t>
      </w:r>
      <w:r w:rsidR="00463FC6" w:rsidRPr="00463FC6">
        <w:t xml:space="preserve"> </w:t>
      </w:r>
      <w:r w:rsidR="00D52B0B">
        <w:t xml:space="preserve">includes guidance </w:t>
      </w:r>
      <w:r w:rsidR="00463FC6" w:rsidRPr="00463FC6">
        <w:t>that treatment should be continued for at least 48 hours after the eye appears normal and not to use for more than 5 days in total except on medical advice. These precautions will address the improper use of the product, if any, thus managing any effects that could contribute to antibiotic resistance.</w:t>
      </w:r>
    </w:p>
    <w:p w14:paraId="130A317E" w14:textId="77777777" w:rsidR="00FD77FF" w:rsidRDefault="00A462B7" w:rsidP="00DC6EC8">
      <w:pPr>
        <w:pStyle w:val="ListBullet"/>
      </w:pPr>
      <w:r>
        <w:t xml:space="preserve">The </w:t>
      </w:r>
      <w:r w:rsidR="00164A0B">
        <w:t xml:space="preserve">applicant also states that the </w:t>
      </w:r>
      <w:r>
        <w:t>consultati</w:t>
      </w:r>
      <w:r w:rsidR="00164A0B">
        <w:t>ve</w:t>
      </w:r>
      <w:r>
        <w:t xml:space="preserve"> </w:t>
      </w:r>
      <w:r w:rsidR="00164A0B">
        <w:t xml:space="preserve">feedback </w:t>
      </w:r>
      <w:r>
        <w:t>that overuse may result in increased antibiotic resistance is applicable to all antibiotics</w:t>
      </w:r>
      <w:r w:rsidR="00164A0B">
        <w:t>,</w:t>
      </w:r>
      <w:r>
        <w:t xml:space="preserve"> and is not considered </w:t>
      </w:r>
      <w:r w:rsidR="00164A0B">
        <w:t>specific</w:t>
      </w:r>
      <w:r>
        <w:t xml:space="preserve"> to chloramphenicol alone.</w:t>
      </w:r>
    </w:p>
    <w:p w14:paraId="451C5AB6" w14:textId="214FF22B" w:rsidR="001C3E83" w:rsidRPr="007E5A33" w:rsidRDefault="00497759" w:rsidP="00DC6EC8">
      <w:pPr>
        <w:pStyle w:val="ListBullet"/>
      </w:pPr>
      <w:r>
        <w:t>C</w:t>
      </w:r>
      <w:r w:rsidR="00196F1F">
        <w:t>hloramphenicol</w:t>
      </w:r>
      <w:r w:rsidR="001C3E83" w:rsidRPr="007E5A33">
        <w:t xml:space="preserve"> is not </w:t>
      </w:r>
      <w:r w:rsidR="00463FC6">
        <w:t xml:space="preserve">sedating </w:t>
      </w:r>
      <w:r w:rsidR="00164A0B">
        <w:t>n</w:t>
      </w:r>
      <w:r w:rsidR="00463FC6">
        <w:t xml:space="preserve">or </w:t>
      </w:r>
      <w:r w:rsidR="001C3E83" w:rsidRPr="007E5A33">
        <w:t>a drug of abuse</w:t>
      </w:r>
      <w:r w:rsidR="00196F1F">
        <w:t>.</w:t>
      </w:r>
      <w:r w:rsidR="001C3E83" w:rsidRPr="007E5A33">
        <w:t xml:space="preserve"> </w:t>
      </w:r>
      <w:r w:rsidR="00196F1F" w:rsidRPr="00196F1F">
        <w:t xml:space="preserve">A review of the </w:t>
      </w:r>
      <w:hyperlink r:id="rId30" w:history="1">
        <w:r w:rsidR="00196F1F" w:rsidRPr="00170A19">
          <w:rPr>
            <w:rStyle w:val="Hyperlink"/>
          </w:rPr>
          <w:t>TGA Database of Adverse Event Notifications</w:t>
        </w:r>
      </w:hyperlink>
      <w:r w:rsidR="00196F1F" w:rsidRPr="00196F1F">
        <w:t xml:space="preserve"> identified only one case of ‘intentional product misuse’ and one case of ‘produc</w:t>
      </w:r>
      <w:r w:rsidR="00196F1F">
        <w:t>t use in unapproved indication’, and no reports of ‘drug interaction’</w:t>
      </w:r>
      <w:r w:rsidR="00463FC6">
        <w:t xml:space="preserve"> or sedation</w:t>
      </w:r>
      <w:r w:rsidR="00196F1F">
        <w:t>.</w:t>
      </w:r>
      <w:r w:rsidR="000E15E2">
        <w:t xml:space="preserve"> </w:t>
      </w:r>
      <w:r w:rsidR="000E15E2" w:rsidRPr="00385DA6">
        <w:t>There are no reported drug-drug interactions with chloramphenicol in ophthalmic use</w:t>
      </w:r>
      <w:r w:rsidR="000E15E2">
        <w:t>.</w:t>
      </w:r>
    </w:p>
    <w:p w14:paraId="2FA5E6AF" w14:textId="050CA91B" w:rsidR="00945723" w:rsidRDefault="00D52B0B" w:rsidP="00DC6EC8">
      <w:pPr>
        <w:pStyle w:val="ListBullet"/>
      </w:pPr>
      <w:r>
        <w:t xml:space="preserve">The sale of </w:t>
      </w:r>
      <w:r w:rsidRPr="007E5A33">
        <w:t xml:space="preserve">S3 </w:t>
      </w:r>
      <w:r>
        <w:t xml:space="preserve">products </w:t>
      </w:r>
      <w:r w:rsidRPr="007E5A33">
        <w:t xml:space="preserve">requires </w:t>
      </w:r>
      <w:r>
        <w:t xml:space="preserve">availability of professional advice from a </w:t>
      </w:r>
      <w:r w:rsidRPr="007E5A33">
        <w:t>pharmacist, which mitigates potential for misuse and adverse influence by advertising.</w:t>
      </w:r>
    </w:p>
    <w:p w14:paraId="6953AC8B" w14:textId="41451CFD" w:rsidR="00497759" w:rsidRPr="00385DA6" w:rsidRDefault="00497759" w:rsidP="00DC6EC8">
      <w:pPr>
        <w:pStyle w:val="ListBullet"/>
      </w:pPr>
      <w:r w:rsidRPr="00385DA6">
        <w:t>Advertising would inform consumers they can see a pharmacist for early treatment and avoid poten</w:t>
      </w:r>
      <w:r w:rsidR="0079442D">
        <w:t>tial for spreading the disease.</w:t>
      </w:r>
    </w:p>
    <w:p w14:paraId="297E1037" w14:textId="0D23F576" w:rsidR="00A462B7" w:rsidRPr="00385DA6" w:rsidRDefault="00A462B7" w:rsidP="00DC6EC8">
      <w:pPr>
        <w:pStyle w:val="ListBullet"/>
      </w:pPr>
      <w:r w:rsidRPr="00A462B7">
        <w:t>Chloramphenicol</w:t>
      </w:r>
      <w:r w:rsidRPr="00385DA6">
        <w:t xml:space="preserve"> is supplied as a 1% eye ointment tube (4 g) and a dilute solution of 5 mg/mL eye drop (10 mL) in plastic dropper bottles. </w:t>
      </w:r>
      <w:r w:rsidR="00103C57">
        <w:t>B</w:t>
      </w:r>
      <w:r w:rsidRPr="00385DA6">
        <w:t xml:space="preserve">oth </w:t>
      </w:r>
      <w:r w:rsidR="00103C57">
        <w:t xml:space="preserve">ophthalmic </w:t>
      </w:r>
      <w:r w:rsidRPr="00385DA6">
        <w:t xml:space="preserve">presentations are for external use only and clear instructions are provided </w:t>
      </w:r>
      <w:r w:rsidR="000130B2" w:rsidRPr="000130B2">
        <w:t>concerning</w:t>
      </w:r>
      <w:r w:rsidRPr="00385DA6">
        <w:t xml:space="preserve"> amount and duration of use.</w:t>
      </w:r>
    </w:p>
    <w:p w14:paraId="0A8F9175" w14:textId="155DAAC6" w:rsidR="00945723" w:rsidRDefault="00945723" w:rsidP="00945723">
      <w:pPr>
        <w:pStyle w:val="Heading4"/>
      </w:pPr>
      <w:r w:rsidRPr="00DC5AE0">
        <w:t xml:space="preserve">Australian </w:t>
      </w:r>
      <w:r>
        <w:t>regulations</w:t>
      </w:r>
    </w:p>
    <w:p w14:paraId="7A40F39D" w14:textId="6D6BF189" w:rsidR="00617E05" w:rsidRDefault="00945723" w:rsidP="00DC6EC8">
      <w:pPr>
        <w:pStyle w:val="ListBullet"/>
      </w:pPr>
      <w:r>
        <w:t xml:space="preserve">According to the </w:t>
      </w:r>
      <w:hyperlink r:id="rId31"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6"/>
      </w:r>
      <w:r>
        <w:t xml:space="preserve"> </w:t>
      </w:r>
      <w:r w:rsidR="003C3431">
        <w:t>chloramphenicol</w:t>
      </w:r>
      <w:r>
        <w:t xml:space="preserve"> is</w:t>
      </w:r>
    </w:p>
    <w:p w14:paraId="5899D052" w14:textId="3386062A" w:rsidR="003C3431" w:rsidRDefault="003C3431" w:rsidP="003C0B32">
      <w:pPr>
        <w:pStyle w:val="ListBullet2"/>
      </w:pPr>
      <w:r>
        <w:t>available for use as an active ingredient in biologicals, export only, over the counter and prescription medicines, and available for use as an excipient in biologicals, dev</w:t>
      </w:r>
      <w:r w:rsidR="00617E05">
        <w:t>ices and prescription medicines;</w:t>
      </w:r>
    </w:p>
    <w:p w14:paraId="1D74605B" w14:textId="3635BD79" w:rsidR="00617E05" w:rsidRDefault="00617E05" w:rsidP="003C0B32">
      <w:pPr>
        <w:pStyle w:val="ListBullet2"/>
      </w:pPr>
      <w:r>
        <w:t>available for use as an equivalent ingredient in prescription medicines;</w:t>
      </w:r>
    </w:p>
    <w:p w14:paraId="584B2231" w14:textId="3F8658B1" w:rsidR="003C3431" w:rsidRDefault="003C3431" w:rsidP="003C0B32">
      <w:pPr>
        <w:pStyle w:val="ListBullet2"/>
      </w:pPr>
      <w:r>
        <w:t>available for use as an active ingredient or excipient in biologicals, export only and prescription medic</w:t>
      </w:r>
      <w:r w:rsidR="00617E05">
        <w:t>ines</w:t>
      </w:r>
      <w:r w:rsidR="00042424">
        <w:t>,</w:t>
      </w:r>
      <w:r w:rsidR="00617E05">
        <w:t xml:space="preserve"> as chloramphenicol sodium succinate;</w:t>
      </w:r>
    </w:p>
    <w:p w14:paraId="0B12394A" w14:textId="003EB436" w:rsidR="003C3431" w:rsidRDefault="003C3431" w:rsidP="003C0B32">
      <w:pPr>
        <w:pStyle w:val="ListBullet2"/>
      </w:pPr>
      <w:r>
        <w:t>available for use an active ingredient in biologicals and prescription medicines, and as an excipient in biologicals, dev</w:t>
      </w:r>
      <w:r w:rsidR="00617E05">
        <w:t>ices and prescription medicines</w:t>
      </w:r>
      <w:r w:rsidR="00042424">
        <w:t>,</w:t>
      </w:r>
      <w:r w:rsidR="00617E05">
        <w:t xml:space="preserve"> as chloramphenicol palmitate.</w:t>
      </w:r>
    </w:p>
    <w:p w14:paraId="456C0B70" w14:textId="7A0E442D" w:rsidR="00945723" w:rsidRDefault="00945723" w:rsidP="00DC6EC8">
      <w:pPr>
        <w:pStyle w:val="ListBullet"/>
      </w:pPr>
      <w:r>
        <w:t xml:space="preserve">As of </w:t>
      </w:r>
      <w:r w:rsidR="00617E05">
        <w:t>November 2020</w:t>
      </w:r>
      <w:r>
        <w:t>, t</w:t>
      </w:r>
      <w:r w:rsidRPr="00881DFE">
        <w:t xml:space="preserve">here </w:t>
      </w:r>
      <w:r>
        <w:t>were</w:t>
      </w:r>
      <w:r w:rsidRPr="00881DFE">
        <w:t xml:space="preserve"> </w:t>
      </w:r>
      <w:r w:rsidR="00617E05">
        <w:t>1</w:t>
      </w:r>
      <w:r w:rsidR="00325FCD">
        <w:t>9</w:t>
      </w:r>
      <w:r>
        <w:t xml:space="preserve"> </w:t>
      </w:r>
      <w:r w:rsidR="00C77C7D" w:rsidRPr="00881DFE">
        <w:t>active</w:t>
      </w:r>
      <w:r w:rsidR="00C77C7D">
        <w:t xml:space="preserve"> </w:t>
      </w:r>
      <w:r>
        <w:t>medicine</w:t>
      </w:r>
      <w:r w:rsidRPr="00881DFE">
        <w:t xml:space="preserve">s on the </w:t>
      </w:r>
      <w:hyperlink r:id="rId32" w:history="1">
        <w:r w:rsidRPr="00293CCA">
          <w:rPr>
            <w:rStyle w:val="Hyperlink"/>
          </w:rPr>
          <w:t>Australian Register of Therapeutic Goods (ARTG)</w:t>
        </w:r>
      </w:hyperlink>
      <w:r>
        <w:rPr>
          <w:rStyle w:val="FootnoteReference"/>
        </w:rPr>
        <w:footnoteReference w:id="17"/>
      </w:r>
      <w:r>
        <w:t xml:space="preserve"> that contain</w:t>
      </w:r>
      <w:r w:rsidR="00C77C7D">
        <w:t>ed</w:t>
      </w:r>
      <w:r w:rsidRPr="00881DFE">
        <w:t xml:space="preserve"> </w:t>
      </w:r>
      <w:r w:rsidR="00617E05">
        <w:t>chloramphenicol</w:t>
      </w:r>
      <w:r>
        <w:t xml:space="preserve"> as an active ingredient</w:t>
      </w:r>
      <w:r w:rsidRPr="00881DFE">
        <w:t>.</w:t>
      </w:r>
      <w:r>
        <w:t xml:space="preserve"> These include </w:t>
      </w:r>
      <w:r w:rsidR="00617E05">
        <w:t>1</w:t>
      </w:r>
      <w:r>
        <w:t xml:space="preserve"> prescription and </w:t>
      </w:r>
      <w:r w:rsidR="00325FCD">
        <w:t>18</w:t>
      </w:r>
      <w:r>
        <w:t xml:space="preserve"> non-prescription medicines.</w:t>
      </w:r>
      <w:r w:rsidR="00CE1594">
        <w:t xml:space="preserve"> </w:t>
      </w:r>
      <w:r w:rsidR="000E15E2">
        <w:t>Non-prescription f</w:t>
      </w:r>
      <w:r w:rsidR="00CE1594">
        <w:t>ormulations include 5mg/mL eye drops</w:t>
      </w:r>
      <w:r w:rsidR="000E15E2">
        <w:t xml:space="preserve"> and</w:t>
      </w:r>
      <w:r w:rsidR="00CE1594">
        <w:t xml:space="preserve"> 10mg/gram eye ointment.</w:t>
      </w:r>
    </w:p>
    <w:p w14:paraId="0E84A5E8" w14:textId="523E8B62" w:rsidR="00945723" w:rsidRDefault="00617E05" w:rsidP="00DC6EC8">
      <w:pPr>
        <w:pStyle w:val="ListBullet"/>
      </w:pPr>
      <w:r>
        <w:t>Chloramphenicol</w:t>
      </w:r>
      <w:r w:rsidR="00945723" w:rsidRPr="009C55D5">
        <w:t xml:space="preserve"> is not permitted to be included in listed medicines </w:t>
      </w:r>
      <w:r w:rsidR="00945723">
        <w:t xml:space="preserve">as it is not included in the </w:t>
      </w:r>
      <w:hyperlink r:id="rId33" w:history="1">
        <w:r w:rsidR="00945723" w:rsidRPr="00824CAC">
          <w:rPr>
            <w:rStyle w:val="Hyperlink"/>
          </w:rPr>
          <w:t>Therapeutic Goods (Permissible Ingredients) Determination</w:t>
        </w:r>
      </w:hyperlink>
      <w:r w:rsidR="00945723">
        <w:rPr>
          <w:rStyle w:val="FootnoteReference"/>
        </w:rPr>
        <w:footnoteReference w:id="18"/>
      </w:r>
      <w:r w:rsidR="00945723" w:rsidRPr="009C55D5">
        <w:t xml:space="preserve"> No.</w:t>
      </w:r>
      <w:r w:rsidRPr="00617E05">
        <w:t>3</w:t>
      </w:r>
      <w:r w:rsidR="00945723" w:rsidRPr="009C55D5">
        <w:t xml:space="preserve"> of </w:t>
      </w:r>
      <w:r w:rsidR="00945723" w:rsidRPr="00617E05">
        <w:t>20</w:t>
      </w:r>
      <w:r w:rsidRPr="00617E05">
        <w:t>20</w:t>
      </w:r>
      <w:r w:rsidR="0079442D">
        <w:t>.</w:t>
      </w:r>
    </w:p>
    <w:p w14:paraId="72708D6B" w14:textId="2F86620C" w:rsidR="00945723" w:rsidRDefault="00945723" w:rsidP="00DC6EC8">
      <w:pPr>
        <w:pStyle w:val="ListBullet"/>
      </w:pPr>
      <w:r>
        <w:t xml:space="preserve">The </w:t>
      </w:r>
      <w:hyperlink r:id="rId3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9"/>
      </w:r>
      <w:r>
        <w:t xml:space="preserve"> classifies </w:t>
      </w:r>
      <w:r w:rsidR="00617E05">
        <w:t>chloramphenicol</w:t>
      </w:r>
      <w:r>
        <w:t xml:space="preserve"> as:</w:t>
      </w:r>
    </w:p>
    <w:tbl>
      <w:tblPr>
        <w:tblStyle w:val="TableTGAblue"/>
        <w:tblW w:w="8666" w:type="dxa"/>
        <w:tblInd w:w="392" w:type="dxa"/>
        <w:tblLook w:val="04A0" w:firstRow="1" w:lastRow="0" w:firstColumn="1" w:lastColumn="0" w:noHBand="0" w:noVBand="1"/>
      </w:tblPr>
      <w:tblGrid>
        <w:gridCol w:w="1732"/>
        <w:gridCol w:w="1733"/>
        <w:gridCol w:w="1733"/>
        <w:gridCol w:w="1733"/>
        <w:gridCol w:w="1735"/>
      </w:tblGrid>
      <w:tr w:rsidR="00945723" w:rsidRPr="003346CF" w14:paraId="28D614CE" w14:textId="77777777" w:rsidTr="00325FCD">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732" w:type="dxa"/>
          </w:tcPr>
          <w:p w14:paraId="62EE3AA7" w14:textId="77777777" w:rsidR="00945723" w:rsidRPr="003346CF" w:rsidRDefault="00945723" w:rsidP="003242DF">
            <w:pPr>
              <w:keepLines/>
              <w:rPr>
                <w:sz w:val="20"/>
                <w:szCs w:val="20"/>
              </w:rPr>
            </w:pPr>
            <w:r>
              <w:rPr>
                <w:sz w:val="20"/>
                <w:szCs w:val="20"/>
              </w:rPr>
              <w:t>Drug name</w:t>
            </w:r>
          </w:p>
        </w:tc>
        <w:tc>
          <w:tcPr>
            <w:tcW w:w="1733" w:type="dxa"/>
          </w:tcPr>
          <w:p w14:paraId="684D1160" w14:textId="77777777" w:rsidR="00945723" w:rsidRPr="003346CF" w:rsidRDefault="00945723"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733" w:type="dxa"/>
          </w:tcPr>
          <w:p w14:paraId="6FA0819D" w14:textId="77777777" w:rsidR="00945723" w:rsidRPr="003346CF" w:rsidRDefault="00945723"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733" w:type="dxa"/>
          </w:tcPr>
          <w:p w14:paraId="7B9959E5" w14:textId="77777777" w:rsidR="00945723" w:rsidRPr="003346CF" w:rsidRDefault="00945723"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733" w:type="dxa"/>
          </w:tcPr>
          <w:p w14:paraId="451A9BC1" w14:textId="77777777" w:rsidR="00945723" w:rsidRPr="003346CF" w:rsidRDefault="00945723"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945723" w:rsidRPr="003346CF" w14:paraId="52E8A78C" w14:textId="77777777" w:rsidTr="00325FCD">
        <w:trPr>
          <w:trHeight w:val="570"/>
        </w:trPr>
        <w:tc>
          <w:tcPr>
            <w:cnfStyle w:val="001000000000" w:firstRow="0" w:lastRow="0" w:firstColumn="1" w:lastColumn="0" w:oddVBand="0" w:evenVBand="0" w:oddHBand="0" w:evenHBand="0" w:firstRowFirstColumn="0" w:firstRowLastColumn="0" w:lastRowFirstColumn="0" w:lastRowLastColumn="0"/>
            <w:tcW w:w="1732" w:type="dxa"/>
          </w:tcPr>
          <w:p w14:paraId="37E8E692" w14:textId="61476B9E" w:rsidR="00945723" w:rsidRPr="003346CF" w:rsidRDefault="00617E05" w:rsidP="003242DF">
            <w:pPr>
              <w:keepNext/>
              <w:keepLines/>
              <w:rPr>
                <w:sz w:val="20"/>
                <w:szCs w:val="20"/>
              </w:rPr>
            </w:pPr>
            <w:r>
              <w:rPr>
                <w:sz w:val="20"/>
                <w:szCs w:val="20"/>
              </w:rPr>
              <w:t>Chloramphenicol</w:t>
            </w:r>
          </w:p>
        </w:tc>
        <w:tc>
          <w:tcPr>
            <w:tcW w:w="1733" w:type="dxa"/>
          </w:tcPr>
          <w:p w14:paraId="7CE250AB" w14:textId="3D4D8345" w:rsidR="00945723"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p>
        </w:tc>
        <w:tc>
          <w:tcPr>
            <w:tcW w:w="1733" w:type="dxa"/>
          </w:tcPr>
          <w:p w14:paraId="113DA3F7" w14:textId="2E96CAB6" w:rsidR="00945723"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Antimicrobials</w:t>
            </w:r>
          </w:p>
        </w:tc>
        <w:tc>
          <w:tcPr>
            <w:tcW w:w="1733" w:type="dxa"/>
          </w:tcPr>
          <w:p w14:paraId="04C7E751" w14:textId="35385DE3" w:rsidR="00945723"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Antibiotics</w:t>
            </w:r>
          </w:p>
        </w:tc>
        <w:tc>
          <w:tcPr>
            <w:tcW w:w="1733" w:type="dxa"/>
          </w:tcPr>
          <w:p w14:paraId="0401C4D4" w14:textId="77777777" w:rsidR="00945723" w:rsidRPr="003346CF" w:rsidRDefault="00945723"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617E05" w:rsidRPr="003346CF" w14:paraId="668AC9FD" w14:textId="77777777" w:rsidTr="00325FCD">
        <w:trPr>
          <w:trHeight w:val="824"/>
        </w:trPr>
        <w:tc>
          <w:tcPr>
            <w:cnfStyle w:val="001000000000" w:firstRow="0" w:lastRow="0" w:firstColumn="1" w:lastColumn="0" w:oddVBand="0" w:evenVBand="0" w:oddHBand="0" w:evenHBand="0" w:firstRowFirstColumn="0" w:firstRowLastColumn="0" w:lastRowFirstColumn="0" w:lastRowLastColumn="0"/>
            <w:tcW w:w="1732" w:type="dxa"/>
          </w:tcPr>
          <w:p w14:paraId="0E392C6A" w14:textId="4C5DB55B" w:rsidR="00617E05" w:rsidRPr="003346CF" w:rsidRDefault="00617E05" w:rsidP="003242DF">
            <w:pPr>
              <w:keepNext/>
              <w:keepLines/>
              <w:rPr>
                <w:sz w:val="20"/>
              </w:rPr>
            </w:pPr>
            <w:r>
              <w:rPr>
                <w:sz w:val="20"/>
              </w:rPr>
              <w:t>Chloramphenicol (ophthalmic)</w:t>
            </w:r>
          </w:p>
        </w:tc>
        <w:tc>
          <w:tcPr>
            <w:tcW w:w="1733" w:type="dxa"/>
          </w:tcPr>
          <w:p w14:paraId="4269A3F7" w14:textId="02A1D0ED" w:rsidR="00617E05"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rPr>
            </w:pPr>
            <w:r>
              <w:rPr>
                <w:sz w:val="20"/>
              </w:rPr>
              <w:t>A</w:t>
            </w:r>
          </w:p>
        </w:tc>
        <w:tc>
          <w:tcPr>
            <w:tcW w:w="1733" w:type="dxa"/>
          </w:tcPr>
          <w:p w14:paraId="69C4232E" w14:textId="17190D53" w:rsidR="00617E05"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rPr>
            </w:pPr>
            <w:r>
              <w:rPr>
                <w:sz w:val="20"/>
              </w:rPr>
              <w:t>Ophthalmic drugs</w:t>
            </w:r>
          </w:p>
        </w:tc>
        <w:tc>
          <w:tcPr>
            <w:tcW w:w="1733" w:type="dxa"/>
          </w:tcPr>
          <w:p w14:paraId="24867D7F" w14:textId="77777777" w:rsidR="00617E05"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rPr>
            </w:pPr>
          </w:p>
        </w:tc>
        <w:tc>
          <w:tcPr>
            <w:tcW w:w="1733" w:type="dxa"/>
          </w:tcPr>
          <w:p w14:paraId="5689262F" w14:textId="77777777" w:rsidR="00617E05" w:rsidRPr="003346CF" w:rsidRDefault="00617E05" w:rsidP="003242DF">
            <w:pPr>
              <w:keepNext/>
              <w:keepLines/>
              <w:cnfStyle w:val="000000000000" w:firstRow="0" w:lastRow="0" w:firstColumn="0" w:lastColumn="0" w:oddVBand="0" w:evenVBand="0" w:oddHBand="0" w:evenHBand="0" w:firstRowFirstColumn="0" w:firstRowLastColumn="0" w:lastRowFirstColumn="0" w:lastRowLastColumn="0"/>
              <w:rPr>
                <w:sz w:val="20"/>
              </w:rPr>
            </w:pPr>
          </w:p>
        </w:tc>
      </w:tr>
      <w:tr w:rsidR="00945723" w:rsidRPr="003346CF" w14:paraId="6A6498B7" w14:textId="77777777" w:rsidTr="00325FCD">
        <w:trPr>
          <w:trHeight w:val="824"/>
        </w:trPr>
        <w:tc>
          <w:tcPr>
            <w:cnfStyle w:val="001000000000" w:firstRow="0" w:lastRow="0" w:firstColumn="1" w:lastColumn="0" w:oddVBand="0" w:evenVBand="0" w:oddHBand="0" w:evenHBand="0" w:firstRowFirstColumn="0" w:firstRowLastColumn="0" w:lastRowFirstColumn="0" w:lastRowLastColumn="0"/>
            <w:tcW w:w="8666" w:type="dxa"/>
            <w:gridSpan w:val="5"/>
          </w:tcPr>
          <w:p w14:paraId="4839BF16" w14:textId="31FAC76F" w:rsidR="00945723" w:rsidRPr="00617E05" w:rsidRDefault="00945723" w:rsidP="003242DF">
            <w:pPr>
              <w:keepNext/>
              <w:keepLines/>
              <w:rPr>
                <w:sz w:val="16"/>
                <w:szCs w:val="16"/>
              </w:rPr>
            </w:pPr>
            <w:r w:rsidRPr="003C7D97">
              <w:rPr>
                <w:b/>
                <w:sz w:val="16"/>
                <w:szCs w:val="16"/>
              </w:rPr>
              <w:t>Category A</w:t>
            </w:r>
            <w:r w:rsidRPr="003C7D97">
              <w:rPr>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304389A3" w14:textId="149FB03E" w:rsidR="00945723" w:rsidRDefault="00945723" w:rsidP="00DC6EC8">
      <w:pPr>
        <w:pStyle w:val="ListBullet"/>
      </w:pPr>
      <w:r>
        <w:t>The</w:t>
      </w:r>
      <w:r w:rsidRPr="00AB7BF5">
        <w:t xml:space="preserve"> </w:t>
      </w:r>
      <w:hyperlink r:id="rId35" w:history="1">
        <w:r w:rsidRPr="00AB7BF5">
          <w:rPr>
            <w:rStyle w:val="Hyperlink"/>
          </w:rPr>
          <w:t>Therapeutic Goods (Medicines Advisory Statements) Specification 2019</w:t>
        </w:r>
      </w:hyperlink>
      <w:r>
        <w:rPr>
          <w:rStyle w:val="FootnoteReference"/>
        </w:rPr>
        <w:footnoteReference w:id="20"/>
      </w:r>
      <w:r>
        <w:t xml:space="preserve"> requires</w:t>
      </w:r>
      <w:r w:rsidRPr="00A30084">
        <w:t xml:space="preserve"> the following warning statements pertaining to </w:t>
      </w:r>
      <w:r w:rsidR="00E82203">
        <w:t xml:space="preserve">chloramphenicol </w:t>
      </w:r>
      <w:r w:rsidRPr="00A30084">
        <w:t>to be included on the labelling:</w:t>
      </w:r>
    </w:p>
    <w:tbl>
      <w:tblPr>
        <w:tblStyle w:val="TableTGAblue"/>
        <w:tblW w:w="0" w:type="auto"/>
        <w:tblInd w:w="360" w:type="dxa"/>
        <w:tblLook w:val="04A0" w:firstRow="1" w:lastRow="0" w:firstColumn="1" w:lastColumn="0" w:noHBand="0" w:noVBand="1"/>
      </w:tblPr>
      <w:tblGrid>
        <w:gridCol w:w="1816"/>
        <w:gridCol w:w="2045"/>
        <w:gridCol w:w="4563"/>
      </w:tblGrid>
      <w:tr w:rsidR="00945723" w:rsidRPr="006112EA" w14:paraId="3B607670" w14:textId="77777777" w:rsidTr="00A52E61">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16" w:type="dxa"/>
          </w:tcPr>
          <w:p w14:paraId="2A03EDEF" w14:textId="77777777" w:rsidR="00945723" w:rsidRPr="006112EA" w:rsidRDefault="00945723" w:rsidP="00DC6EC8">
            <w:pPr>
              <w:pStyle w:val="ListBullet"/>
              <w:numPr>
                <w:ilvl w:val="0"/>
                <w:numId w:val="0"/>
              </w:numPr>
            </w:pPr>
            <w:r>
              <w:t>Substance</w:t>
            </w:r>
          </w:p>
        </w:tc>
        <w:tc>
          <w:tcPr>
            <w:tcW w:w="2045" w:type="dxa"/>
          </w:tcPr>
          <w:p w14:paraId="73CBBABE" w14:textId="77777777" w:rsidR="00945723" w:rsidRPr="006112EA" w:rsidRDefault="00945723"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Conditions </w:t>
            </w:r>
          </w:p>
        </w:tc>
        <w:tc>
          <w:tcPr>
            <w:tcW w:w="4563" w:type="dxa"/>
          </w:tcPr>
          <w:p w14:paraId="69C811D1" w14:textId="77777777" w:rsidR="00945723" w:rsidRPr="006112EA" w:rsidRDefault="00945723"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Required Statement(s) </w:t>
            </w:r>
          </w:p>
        </w:tc>
      </w:tr>
      <w:tr w:rsidR="00945723" w:rsidRPr="006112EA" w14:paraId="7903A8B4" w14:textId="77777777" w:rsidTr="00A52E61">
        <w:trPr>
          <w:trHeight w:val="2153"/>
        </w:trPr>
        <w:tc>
          <w:tcPr>
            <w:cnfStyle w:val="001000000000" w:firstRow="0" w:lastRow="0" w:firstColumn="1" w:lastColumn="0" w:oddVBand="0" w:evenVBand="0" w:oddHBand="0" w:evenHBand="0" w:firstRowFirstColumn="0" w:firstRowLastColumn="0" w:lastRowFirstColumn="0" w:lastRowLastColumn="0"/>
            <w:tcW w:w="1816" w:type="dxa"/>
          </w:tcPr>
          <w:p w14:paraId="7EAC75A9" w14:textId="76335050" w:rsidR="00945723" w:rsidRPr="006112EA" w:rsidRDefault="00E82203" w:rsidP="003242DF">
            <w:pPr>
              <w:rPr>
                <w:sz w:val="20"/>
                <w:szCs w:val="20"/>
              </w:rPr>
            </w:pPr>
            <w:r>
              <w:rPr>
                <w:sz w:val="20"/>
                <w:szCs w:val="20"/>
              </w:rPr>
              <w:t>Chloramphenicol</w:t>
            </w:r>
          </w:p>
        </w:tc>
        <w:tc>
          <w:tcPr>
            <w:tcW w:w="2045" w:type="dxa"/>
          </w:tcPr>
          <w:p w14:paraId="392ABF78" w14:textId="25951A0E" w:rsidR="00945723" w:rsidRPr="006112EA" w:rsidRDefault="00E82203" w:rsidP="003242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 medicines for ophthalmic use</w:t>
            </w:r>
          </w:p>
        </w:tc>
        <w:tc>
          <w:tcPr>
            <w:tcW w:w="4563" w:type="dxa"/>
          </w:tcPr>
          <w:p w14:paraId="4C2641F6" w14:textId="77777777" w:rsidR="00E82203" w:rsidRPr="00E82203" w:rsidRDefault="00E82203" w:rsidP="00E82203">
            <w:pPr>
              <w:cnfStyle w:val="000000000000" w:firstRow="0" w:lastRow="0" w:firstColumn="0" w:lastColumn="0" w:oddVBand="0" w:evenVBand="0" w:oddHBand="0" w:evenHBand="0" w:firstRowFirstColumn="0" w:firstRowLastColumn="0" w:lastRowFirstColumn="0" w:lastRowLastColumn="0"/>
              <w:rPr>
                <w:sz w:val="20"/>
              </w:rPr>
            </w:pPr>
            <w:r w:rsidRPr="00E82203">
              <w:rPr>
                <w:sz w:val="20"/>
              </w:rPr>
              <w:t>Contact lens wearers should not use this product except on the advice of a doctor or optometrist.</w:t>
            </w:r>
          </w:p>
          <w:p w14:paraId="72BD5973" w14:textId="143F4512" w:rsidR="00E82203" w:rsidRPr="00E82203" w:rsidRDefault="00E82203" w:rsidP="00E82203">
            <w:pPr>
              <w:cnfStyle w:val="000000000000" w:firstRow="0" w:lastRow="0" w:firstColumn="0" w:lastColumn="0" w:oddVBand="0" w:evenVBand="0" w:oddHBand="0" w:evenHBand="0" w:firstRowFirstColumn="0" w:firstRowLastColumn="0" w:lastRowFirstColumn="0" w:lastRowLastColumn="0"/>
              <w:rPr>
                <w:sz w:val="20"/>
              </w:rPr>
            </w:pPr>
            <w:r w:rsidRPr="00E82203">
              <w:rPr>
                <w:sz w:val="20"/>
              </w:rPr>
              <w:t>If your eye infection does not improve within 48 hours, seek immediate medical advice.</w:t>
            </w:r>
          </w:p>
          <w:p w14:paraId="380027CD" w14:textId="7BF5CC47" w:rsidR="00945723" w:rsidRPr="006112EA" w:rsidRDefault="00E82203" w:rsidP="00E82203">
            <w:pPr>
              <w:cnfStyle w:val="000000000000" w:firstRow="0" w:lastRow="0" w:firstColumn="0" w:lastColumn="0" w:oddVBand="0" w:evenVBand="0" w:oddHBand="0" w:evenHBand="0" w:firstRowFirstColumn="0" w:firstRowLastColumn="0" w:lastRowFirstColumn="0" w:lastRowLastColumn="0"/>
              <w:rPr>
                <w:sz w:val="20"/>
                <w:szCs w:val="20"/>
              </w:rPr>
            </w:pPr>
            <w:r w:rsidRPr="00E82203">
              <w:rPr>
                <w:sz w:val="20"/>
                <w:szCs w:val="20"/>
              </w:rPr>
              <w:t>Do not use in children under 2 years of age except on medical advice.</w:t>
            </w:r>
          </w:p>
        </w:tc>
      </w:tr>
    </w:tbl>
    <w:p w14:paraId="01D52BFD" w14:textId="4317AE04" w:rsidR="00945723" w:rsidRPr="003F4A0B" w:rsidRDefault="005B5CBE" w:rsidP="00DC6EC8">
      <w:pPr>
        <w:pStyle w:val="ListBullet"/>
      </w:pPr>
      <w:r>
        <w:t>Since January</w:t>
      </w:r>
      <w:r w:rsidR="003F4A0B">
        <w:t xml:space="preserve"> 20</w:t>
      </w:r>
      <w:r>
        <w:t>1</w:t>
      </w:r>
      <w:r w:rsidR="003F4A0B">
        <w:t>0</w:t>
      </w:r>
      <w:r w:rsidR="00945723">
        <w:t xml:space="preserve">, there </w:t>
      </w:r>
      <w:r>
        <w:t>have been 56</w:t>
      </w:r>
      <w:r w:rsidR="00945723" w:rsidRPr="009C55D5">
        <w:t xml:space="preserve"> reports of adverse events for products containing </w:t>
      </w:r>
      <w:r w:rsidR="003F4A0B">
        <w:t>chloramphenicol</w:t>
      </w:r>
      <w:r w:rsidR="00945723" w:rsidRPr="009C55D5">
        <w:t xml:space="preserve"> as an active ingredient</w:t>
      </w:r>
      <w:r w:rsidR="00945723">
        <w:t xml:space="preserve"> on the </w:t>
      </w:r>
      <w:hyperlink r:id="rId36" w:history="1">
        <w:r w:rsidR="00945723" w:rsidRPr="00F0449C">
          <w:rPr>
            <w:rStyle w:val="Hyperlink"/>
          </w:rPr>
          <w:t>Database of Adverse Event Notifications (DAEN)</w:t>
        </w:r>
      </w:hyperlink>
      <w:r w:rsidR="00945723" w:rsidRPr="00254E0B">
        <w:t>,</w:t>
      </w:r>
      <w:r w:rsidR="00945723" w:rsidRPr="00F0449C">
        <w:rPr>
          <w:rStyle w:val="FootnoteReference"/>
        </w:rPr>
        <w:footnoteReference w:id="21"/>
      </w:r>
      <w:r w:rsidR="00945723" w:rsidRPr="009C55D5">
        <w:t xml:space="preserve"> with </w:t>
      </w:r>
      <w:r>
        <w:t>44</w:t>
      </w:r>
      <w:r w:rsidR="00945723" w:rsidRPr="009C55D5">
        <w:t xml:space="preserve"> reports where </w:t>
      </w:r>
      <w:r w:rsidR="003F4A0B">
        <w:t>chloramphenicol</w:t>
      </w:r>
      <w:r w:rsidR="00945723" w:rsidRPr="009C55D5">
        <w:t xml:space="preserve"> was the singl</w:t>
      </w:r>
      <w:r>
        <w:t>e suspected medicine.</w:t>
      </w:r>
    </w:p>
    <w:p w14:paraId="6AE6C4F0" w14:textId="558E321E" w:rsidR="00945723" w:rsidRDefault="00945723" w:rsidP="00DC6EC8">
      <w:pPr>
        <w:pStyle w:val="ListBullet"/>
      </w:pPr>
      <w:r>
        <w:t xml:space="preserve">As of </w:t>
      </w:r>
      <w:r w:rsidR="003F4A0B">
        <w:t>November 2020</w:t>
      </w:r>
      <w:r>
        <w:t>, t</w:t>
      </w:r>
      <w:r w:rsidRPr="00F0449C">
        <w:t xml:space="preserve">here </w:t>
      </w:r>
      <w:r>
        <w:t>were</w:t>
      </w:r>
      <w:r w:rsidRPr="00F0449C">
        <w:t xml:space="preserve"> </w:t>
      </w:r>
      <w:r w:rsidR="003F4A0B" w:rsidRPr="003F4A0B">
        <w:t>12</w:t>
      </w:r>
      <w:r w:rsidR="005B5CBE">
        <w:t xml:space="preserve"> entrie</w:t>
      </w:r>
      <w:r w:rsidRPr="00F0449C">
        <w:t xml:space="preserve">s </w:t>
      </w:r>
      <w:r w:rsidR="005B5CBE">
        <w:t>regarding</w:t>
      </w:r>
      <w:r w:rsidRPr="00F0449C">
        <w:t xml:space="preserve"> </w:t>
      </w:r>
      <w:r w:rsidR="003F4A0B">
        <w:t>chloramphenicol</w:t>
      </w:r>
      <w:r w:rsidRPr="00F0449C">
        <w:t xml:space="preserve"> listed on the </w:t>
      </w:r>
      <w:hyperlink r:id="rId37"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22"/>
      </w:r>
      <w:r w:rsidR="00325FCD">
        <w:t xml:space="preserve"> These include three entries for active constituents, eight entries for ophthalmic preparations (all </w:t>
      </w:r>
      <w:r w:rsidR="005B5CBE">
        <w:t>ointments), and one entry for a parenteral</w:t>
      </w:r>
      <w:r w:rsidR="00325FCD">
        <w:t xml:space="preserve"> antibiotic</w:t>
      </w:r>
      <w:r w:rsidR="005B5CBE">
        <w:t xml:space="preserve"> liquid/solution/suspension</w:t>
      </w:r>
      <w:r w:rsidR="00325FCD">
        <w:t>.</w:t>
      </w:r>
    </w:p>
    <w:p w14:paraId="7F82A648" w14:textId="6B114A31" w:rsidR="00325FCD" w:rsidRDefault="00325FCD" w:rsidP="00DC6EC8">
      <w:pPr>
        <w:pStyle w:val="ListBullet"/>
      </w:pPr>
      <w:r>
        <w:t xml:space="preserve">In 2009-19 the following adverse experiences were recorded for </w:t>
      </w:r>
      <w:r w:rsidR="009A40E1">
        <w:t>chloramphenicol</w:t>
      </w:r>
      <w:r>
        <w:t xml:space="preserve"> in the </w:t>
      </w:r>
      <w:hyperlink r:id="rId38"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Pr>
          <w:rStyle w:val="FootnoteReference"/>
        </w:rPr>
        <w:footnoteReference w:id="23"/>
      </w:r>
    </w:p>
    <w:p w14:paraId="1414ABBC" w14:textId="2D9A2E30" w:rsidR="00325FCD" w:rsidRDefault="00534A99" w:rsidP="003C0B32">
      <w:pPr>
        <w:pStyle w:val="ListBullet2"/>
      </w:pPr>
      <w:r w:rsidRPr="00534A99">
        <w:t>One</w:t>
      </w:r>
      <w:r w:rsidR="00325FCD" w:rsidRPr="00534A99">
        <w:t xml:space="preserve"> report of a</w:t>
      </w:r>
      <w:r w:rsidR="00325FCD">
        <w:t xml:space="preserve"> serious incident classified as related to animal health (</w:t>
      </w:r>
      <w:r>
        <w:t>2019-20</w:t>
      </w:r>
      <w:r w:rsidR="00325FCD">
        <w:t>).</w:t>
      </w:r>
    </w:p>
    <w:p w14:paraId="57092E42" w14:textId="308D3B32" w:rsidR="00534A99" w:rsidRDefault="00534A99" w:rsidP="003C0B32">
      <w:pPr>
        <w:pStyle w:val="ListBullet2"/>
      </w:pPr>
      <w:r>
        <w:t xml:space="preserve">One report of a possible incident classified as related to animal health </w:t>
      </w:r>
      <w:r w:rsidR="008D4E90">
        <w:t>(2015</w:t>
      </w:r>
      <w:r>
        <w:t>).</w:t>
      </w:r>
    </w:p>
    <w:p w14:paraId="6F2A76A7" w14:textId="7EE93A22" w:rsidR="009A40E1" w:rsidRDefault="00534A99" w:rsidP="003C0B32">
      <w:pPr>
        <w:pStyle w:val="ListBullet2"/>
      </w:pPr>
      <w:r>
        <w:t>One report of a possible incident classified as related to animal health (2010).</w:t>
      </w:r>
    </w:p>
    <w:p w14:paraId="54681A5E" w14:textId="469802ED" w:rsidR="00296F1C" w:rsidRDefault="00296F1C" w:rsidP="00DC6EC8">
      <w:pPr>
        <w:pStyle w:val="ListBullet"/>
      </w:pPr>
      <w:r>
        <w:t xml:space="preserve">The Australian Commission on Safety and Quality in Health Care classifies chloramphenicol on its </w:t>
      </w:r>
      <w:hyperlink r:id="rId39" w:history="1">
        <w:r w:rsidRPr="00296F1C">
          <w:rPr>
            <w:rStyle w:val="Hyperlink"/>
          </w:rPr>
          <w:t>Priority Antibacterial List for Antimicrobial Resistance Containment</w:t>
        </w:r>
      </w:hyperlink>
      <w:r>
        <w:t xml:space="preserve"> as ‘Access’, that is a recommended first-line treatment for common infections.</w:t>
      </w:r>
      <w:r w:rsidR="00840A43">
        <w:t xml:space="preserve"> </w:t>
      </w:r>
      <w:hyperlink r:id="rId40" w:history="1">
        <w:r w:rsidR="005B5CBE">
          <w:rPr>
            <w:rStyle w:val="Hyperlink"/>
          </w:rPr>
          <w:t>Chloramphenicol</w:t>
        </w:r>
        <w:r w:rsidR="00840A43" w:rsidRPr="00840A43">
          <w:rPr>
            <w:rStyle w:val="Hyperlink"/>
          </w:rPr>
          <w:t xml:space="preserve"> is also listed as one of the five most prescribed antimicrobials in Australia</w:t>
        </w:r>
      </w:hyperlink>
      <w:r w:rsidR="00840A43">
        <w:t>, despite its status as a non-prescription medicine for ophthalmic use since 2010.</w:t>
      </w:r>
    </w:p>
    <w:p w14:paraId="31DD2D11" w14:textId="77777777" w:rsidR="00945723" w:rsidRPr="00CB687C" w:rsidRDefault="00945723" w:rsidP="00945723">
      <w:pPr>
        <w:pStyle w:val="Heading4"/>
      </w:pPr>
      <w:r>
        <w:t>International regulations</w:t>
      </w:r>
    </w:p>
    <w:p w14:paraId="3281C896" w14:textId="52C0E9F0" w:rsidR="00CC6398" w:rsidRDefault="00CC6398" w:rsidP="00DC6EC8">
      <w:pPr>
        <w:pStyle w:val="ListBullet"/>
      </w:pPr>
      <w:r>
        <w:t xml:space="preserve">Chloramphenicol is on the </w:t>
      </w:r>
      <w:hyperlink r:id="rId41" w:history="1">
        <w:r w:rsidRPr="00CC6398">
          <w:rPr>
            <w:rStyle w:val="Hyperlink"/>
          </w:rPr>
          <w:t>WHO Model List of Essential Medicines</w:t>
        </w:r>
      </w:hyperlink>
      <w:r>
        <w:t>.</w:t>
      </w:r>
    </w:p>
    <w:p w14:paraId="129BD9D5" w14:textId="5687CAF4" w:rsidR="00F57897" w:rsidRDefault="00382768" w:rsidP="00DC6EC8">
      <w:pPr>
        <w:pStyle w:val="ListBullet"/>
      </w:pPr>
      <w:r>
        <w:t>According to t</w:t>
      </w:r>
      <w:r w:rsidR="003F4A0B">
        <w:t xml:space="preserve">he </w:t>
      </w:r>
      <w:hyperlink r:id="rId42" w:history="1">
        <w:r w:rsidR="003F4A0B" w:rsidRPr="00F57897">
          <w:rPr>
            <w:rStyle w:val="Hyperlink"/>
          </w:rPr>
          <w:t>United States Food and Drug Administration Approved Drug Products Database</w:t>
        </w:r>
      </w:hyperlink>
      <w:r w:rsidR="00987670">
        <w:rPr>
          <w:rStyle w:val="FootnoteReference"/>
        </w:rPr>
        <w:footnoteReference w:id="24"/>
      </w:r>
      <w:r w:rsidRPr="00382768">
        <w:rPr>
          <w:rStyle w:val="Hyperlink"/>
          <w:color w:val="auto"/>
          <w:u w:val="none"/>
        </w:rPr>
        <w:t>, c</w:t>
      </w:r>
      <w:r>
        <w:t>hloramphenicol is approved for use as a prescription medicine.</w:t>
      </w:r>
    </w:p>
    <w:p w14:paraId="656FAD59" w14:textId="47706598" w:rsidR="00945723" w:rsidRDefault="00AD3DF0" w:rsidP="00DC6EC8">
      <w:pPr>
        <w:pStyle w:val="ListBullet"/>
      </w:pPr>
      <w:r>
        <w:t xml:space="preserve">According to the </w:t>
      </w:r>
      <w:hyperlink r:id="rId43" w:history="1">
        <w:r w:rsidRPr="00AD3DF0">
          <w:rPr>
            <w:rStyle w:val="Hyperlink"/>
          </w:rPr>
          <w:t>Canadian (Health Canada) Drug Product Database</w:t>
        </w:r>
      </w:hyperlink>
      <w:r w:rsidR="00987670" w:rsidRPr="00231A66">
        <w:rPr>
          <w:rStyle w:val="FootnoteReference"/>
        </w:rPr>
        <w:footnoteReference w:id="25"/>
      </w:r>
      <w:r>
        <w:t>, chloramphenicol is availa</w:t>
      </w:r>
      <w:r w:rsidR="0079442D">
        <w:t>ble as a prescription medicine.</w:t>
      </w:r>
    </w:p>
    <w:p w14:paraId="29DF8CF3" w14:textId="3E267E05" w:rsidR="0063798D" w:rsidRDefault="0063798D" w:rsidP="00DC6EC8">
      <w:pPr>
        <w:pStyle w:val="ListBullet"/>
      </w:pPr>
      <w:r>
        <w:t xml:space="preserve">The </w:t>
      </w:r>
      <w:hyperlink r:id="rId44" w:history="1">
        <w:r w:rsidRPr="0063798D">
          <w:rPr>
            <w:rStyle w:val="Hyperlink"/>
          </w:rPr>
          <w:t>Health Products Regulatory Agency of Ireland</w:t>
        </w:r>
      </w:hyperlink>
      <w:r>
        <w:rPr>
          <w:rStyle w:val="FootnoteReference"/>
        </w:rPr>
        <w:footnoteReference w:id="26"/>
      </w:r>
      <w:r>
        <w:t xml:space="preserve"> regulate chloramphenicol eye drops (0.5% w/v) as a prescription-only medicine. Advertising </w:t>
      </w:r>
      <w:r w:rsidR="005B5CBE">
        <w:t xml:space="preserve">to consumers </w:t>
      </w:r>
      <w:r>
        <w:t>is</w:t>
      </w:r>
      <w:r w:rsidR="005B5CBE">
        <w:t xml:space="preserve"> not permitted, however the products can be advertised to healthcare professionals</w:t>
      </w:r>
      <w:r>
        <w:t>.</w:t>
      </w:r>
    </w:p>
    <w:p w14:paraId="09D10A09" w14:textId="70C7E7D4" w:rsidR="00AD3DF0" w:rsidRDefault="00AD3DF0" w:rsidP="00DC6EC8">
      <w:pPr>
        <w:pStyle w:val="ListBullet"/>
      </w:pPr>
      <w:r>
        <w:t xml:space="preserve">According to the </w:t>
      </w:r>
      <w:hyperlink r:id="rId45"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r w:rsidRPr="000B75D5">
          <w:rPr>
            <w:rStyle w:val="Hyperlink"/>
          </w:rPr>
          <w:t>MedSafe</w:t>
        </w:r>
      </w:hyperlink>
      <w:r>
        <w:t>)</w:t>
      </w:r>
      <w:r w:rsidR="00987670">
        <w:rPr>
          <w:rStyle w:val="FootnoteReference"/>
        </w:rPr>
        <w:footnoteReference w:id="27"/>
      </w:r>
      <w:r>
        <w:t>, chloramphenicol is available as follows:</w:t>
      </w:r>
    </w:p>
    <w:tbl>
      <w:tblPr>
        <w:tblStyle w:val="TableTGAblue"/>
        <w:tblW w:w="4655" w:type="pct"/>
        <w:tblInd w:w="357" w:type="dxa"/>
        <w:tblLook w:val="04A0" w:firstRow="1" w:lastRow="0" w:firstColumn="1" w:lastColumn="0" w:noHBand="0" w:noVBand="1"/>
      </w:tblPr>
      <w:tblGrid>
        <w:gridCol w:w="1828"/>
        <w:gridCol w:w="4888"/>
        <w:gridCol w:w="1710"/>
      </w:tblGrid>
      <w:tr w:rsidR="00AD3DF0" w14:paraId="4021A2A4" w14:textId="77777777" w:rsidTr="00231A66">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6" w:type="pct"/>
          </w:tcPr>
          <w:p w14:paraId="22B39DE8" w14:textId="77777777" w:rsidR="00AD3DF0" w:rsidRPr="00702170" w:rsidRDefault="00AD3DF0" w:rsidP="00DC6EC8">
            <w:pPr>
              <w:pStyle w:val="ListBullet"/>
              <w:numPr>
                <w:ilvl w:val="0"/>
                <w:numId w:val="0"/>
              </w:numPr>
            </w:pPr>
            <w:r>
              <w:t>Ingredient</w:t>
            </w:r>
          </w:p>
        </w:tc>
        <w:tc>
          <w:tcPr>
            <w:tcW w:w="2975" w:type="pct"/>
          </w:tcPr>
          <w:p w14:paraId="5FBD8ED8" w14:textId="77777777" w:rsidR="00AD3DF0" w:rsidRPr="00702170" w:rsidRDefault="00AD3DF0"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061DCBD7" w14:textId="77777777" w:rsidR="00AD3DF0" w:rsidRPr="00702170" w:rsidRDefault="00AD3DF0"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AD3DF0" w14:paraId="5DF9583A" w14:textId="77777777" w:rsidTr="00231A66">
        <w:trPr>
          <w:trHeight w:val="1021"/>
        </w:trPr>
        <w:tc>
          <w:tcPr>
            <w:cnfStyle w:val="001000000000" w:firstRow="0" w:lastRow="0" w:firstColumn="1" w:lastColumn="0" w:oddVBand="0" w:evenVBand="0" w:oddHBand="0" w:evenHBand="0" w:firstRowFirstColumn="0" w:firstRowLastColumn="0" w:lastRowFirstColumn="0" w:lastRowLastColumn="0"/>
            <w:tcW w:w="936" w:type="pct"/>
          </w:tcPr>
          <w:p w14:paraId="65693582" w14:textId="189F33F3" w:rsidR="00AD3DF0" w:rsidRPr="00702170" w:rsidRDefault="00AD3DF0" w:rsidP="00DC6EC8">
            <w:pPr>
              <w:pStyle w:val="ListBullet"/>
              <w:numPr>
                <w:ilvl w:val="0"/>
                <w:numId w:val="0"/>
              </w:numPr>
              <w:rPr>
                <w:szCs w:val="20"/>
              </w:rPr>
            </w:pPr>
            <w:r>
              <w:t>Chloramphenicol</w:t>
            </w:r>
          </w:p>
        </w:tc>
        <w:tc>
          <w:tcPr>
            <w:tcW w:w="2975" w:type="pct"/>
          </w:tcPr>
          <w:p w14:paraId="1036A474" w14:textId="2F949BC3" w:rsidR="00AD3DF0" w:rsidRPr="00AD3DF0" w:rsidRDefault="00AD3DF0"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AD3DF0">
              <w:t>except when sold in practice by an optometrist registered with the Optometrists and Dispensing Opticians Board;</w:t>
            </w:r>
            <w:r w:rsidRPr="00AD3DF0">
              <w:br/>
              <w:t>except when specified elsewhere in this schedule</w:t>
            </w:r>
          </w:p>
        </w:tc>
        <w:tc>
          <w:tcPr>
            <w:tcW w:w="1089" w:type="pct"/>
          </w:tcPr>
          <w:p w14:paraId="1B4FC305" w14:textId="77777777" w:rsidR="00AD3DF0" w:rsidRPr="00702170" w:rsidRDefault="00AD3DF0"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AD3DF0" w14:paraId="6D7A9D8F" w14:textId="77777777" w:rsidTr="00231A66">
        <w:trPr>
          <w:trHeight w:val="1033"/>
        </w:trPr>
        <w:tc>
          <w:tcPr>
            <w:cnfStyle w:val="001000000000" w:firstRow="0" w:lastRow="0" w:firstColumn="1" w:lastColumn="0" w:oddVBand="0" w:evenVBand="0" w:oddHBand="0" w:evenHBand="0" w:firstRowFirstColumn="0" w:firstRowLastColumn="0" w:lastRowFirstColumn="0" w:lastRowLastColumn="0"/>
            <w:tcW w:w="936" w:type="pct"/>
          </w:tcPr>
          <w:p w14:paraId="41BA98DD" w14:textId="7DF4E7E2" w:rsidR="00AD3DF0" w:rsidRPr="00702170" w:rsidRDefault="00AD3DF0" w:rsidP="00DC6EC8">
            <w:pPr>
              <w:pStyle w:val="ListBullet"/>
              <w:numPr>
                <w:ilvl w:val="0"/>
                <w:numId w:val="0"/>
              </w:numPr>
              <w:rPr>
                <w:szCs w:val="20"/>
              </w:rPr>
            </w:pPr>
            <w:r>
              <w:t>Chloramphenicol</w:t>
            </w:r>
          </w:p>
        </w:tc>
        <w:tc>
          <w:tcPr>
            <w:tcW w:w="2975" w:type="pct"/>
          </w:tcPr>
          <w:p w14:paraId="2E87306D" w14:textId="132D8BC1" w:rsidR="00AD3DF0" w:rsidRPr="00702170" w:rsidRDefault="00AD3DF0"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AD3DF0">
              <w:t>for ophthalmic use;</w:t>
            </w:r>
            <w:r w:rsidRPr="00AD3DF0">
              <w:br/>
            </w:r>
            <w:r w:rsidRPr="00AD3DF0">
              <w:rPr>
                <w:b/>
                <w:bCs/>
              </w:rPr>
              <w:t>except</w:t>
            </w:r>
            <w:r w:rsidRPr="00AD3DF0">
              <w:t> when sold in practice by an optometrist registered with the Optometrists and Dispensing Opticians Board</w:t>
            </w:r>
          </w:p>
        </w:tc>
        <w:tc>
          <w:tcPr>
            <w:tcW w:w="1089" w:type="pct"/>
          </w:tcPr>
          <w:p w14:paraId="13598CC8" w14:textId="4F2B0DFE" w:rsidR="00AD3DF0" w:rsidRPr="00702170" w:rsidRDefault="00AD3DF0"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Restricted</w:t>
            </w:r>
            <w:r w:rsidR="00703525">
              <w:rPr>
                <w:rStyle w:val="FootnoteReference"/>
                <w:sz w:val="20"/>
              </w:rPr>
              <w:footnoteReference w:id="28"/>
            </w:r>
          </w:p>
        </w:tc>
      </w:tr>
    </w:tbl>
    <w:p w14:paraId="532E95EB" w14:textId="06D81D10" w:rsidR="003242DF" w:rsidRDefault="003242DF" w:rsidP="006A36C1">
      <w:pPr>
        <w:pStyle w:val="Heading3"/>
        <w:pageBreakBefore/>
        <w:ind w:left="578" w:hanging="578"/>
      </w:pPr>
      <w:bookmarkStart w:id="7" w:name="_Toc59540948"/>
      <w:r>
        <w:t>Prochlorperazine</w:t>
      </w:r>
      <w:bookmarkEnd w:id="7"/>
    </w:p>
    <w:p w14:paraId="57417D7D" w14:textId="77777777" w:rsidR="00EF071F" w:rsidRDefault="00EF071F" w:rsidP="00EF071F">
      <w:pPr>
        <w:pStyle w:val="Heading4"/>
      </w:pPr>
      <w:r>
        <w:t>Proposal</w:t>
      </w:r>
    </w:p>
    <w:p w14:paraId="2B0CCD96" w14:textId="0F3E4294" w:rsidR="00EF071F" w:rsidRDefault="00EF071F" w:rsidP="00C05467">
      <w:r>
        <w:t xml:space="preserve">Inclusion of a new entry for </w:t>
      </w:r>
      <w:r w:rsidR="006A0105">
        <w:t xml:space="preserve">prochlorperazine </w:t>
      </w:r>
      <w:r>
        <w:t>in Appendix H of the Poisons Standard to allow direct-to-consumer advertising of products containing the substance.</w:t>
      </w:r>
    </w:p>
    <w:p w14:paraId="3D3A4983" w14:textId="7023DE1C" w:rsidR="003242DF" w:rsidRPr="003639D9" w:rsidRDefault="003242DF" w:rsidP="00B84910">
      <w:pPr>
        <w:pStyle w:val="Heading4"/>
      </w:pPr>
      <w:r>
        <w:t>CAS Number:</w:t>
      </w:r>
    </w:p>
    <w:p w14:paraId="00230B13" w14:textId="5ED45FBF" w:rsidR="003242DF" w:rsidRDefault="003242DF" w:rsidP="003242DF">
      <w:r>
        <w:t>58-38-8</w:t>
      </w:r>
    </w:p>
    <w:p w14:paraId="5B6C7B44" w14:textId="77777777" w:rsidR="003242DF" w:rsidRDefault="003242DF" w:rsidP="00B84910">
      <w:pPr>
        <w:pStyle w:val="Heading4"/>
      </w:pPr>
      <w:r>
        <w:t>Alternative names</w:t>
      </w:r>
    </w:p>
    <w:p w14:paraId="4103933E" w14:textId="77741BDE" w:rsidR="003242DF" w:rsidRPr="003242DF" w:rsidRDefault="003242DF" w:rsidP="003242DF">
      <w:r w:rsidRPr="003242DF">
        <w:t>2-Chloro-10-[3-(4-methyl-1-piperazinyl)propyl]-10</w:t>
      </w:r>
      <w:r w:rsidRPr="003242DF">
        <w:rPr>
          <w:i/>
          <w:iCs/>
        </w:rPr>
        <w:t>H-</w:t>
      </w:r>
      <w:r w:rsidRPr="003242DF">
        <w:t>phenothiazine</w:t>
      </w:r>
      <w:r w:rsidRPr="003242DF">
        <w:rPr>
          <w:b/>
          <w:bCs/>
        </w:rPr>
        <w:t xml:space="preserve">; </w:t>
      </w:r>
      <w:r w:rsidRPr="003242DF">
        <w:t>3-chloro-10-[3-(4-methyl-1-piperazinyl)propyl]phenothiazine; 2-chloro-10-[3-(1-methyl-4-piperazinyl)propyl]phenothiazine; </w:t>
      </w:r>
      <w:r w:rsidRPr="003242DF">
        <w:rPr>
          <w:i/>
          <w:iCs/>
        </w:rPr>
        <w:t>N-</w:t>
      </w:r>
      <w:r w:rsidRPr="003242DF">
        <w:t>[γ-(4′-methylpiperazinyl-1′)propyl]-3-chlorophenothiazine; chlormeprazine; prochlorpemazine; proclorperazine</w:t>
      </w:r>
    </w:p>
    <w:p w14:paraId="0630B8EE" w14:textId="77777777" w:rsidR="003242DF" w:rsidRDefault="003242DF" w:rsidP="00B84910">
      <w:pPr>
        <w:pStyle w:val="Heading4"/>
      </w:pPr>
      <w:r>
        <w:t>Applicant</w:t>
      </w:r>
    </w:p>
    <w:p w14:paraId="16334839" w14:textId="0415A79A" w:rsidR="003242DF" w:rsidRPr="003639D9" w:rsidRDefault="003242DF" w:rsidP="003242DF">
      <w:r w:rsidRPr="003242DF">
        <w:t>Private applicant</w:t>
      </w:r>
    </w:p>
    <w:p w14:paraId="48666A4E" w14:textId="77777777" w:rsidR="003242DF" w:rsidRDefault="003242DF" w:rsidP="00B84910">
      <w:pPr>
        <w:pStyle w:val="Heading4"/>
      </w:pPr>
      <w:r>
        <w:t>Current scheduling</w:t>
      </w:r>
    </w:p>
    <w:p w14:paraId="62242DAB" w14:textId="2E8F173F" w:rsidR="003242DF" w:rsidRDefault="003242DF" w:rsidP="003242DF">
      <w:pPr>
        <w:rPr>
          <w:rFonts w:asciiTheme="minorHAnsi" w:hAnsiTheme="minorHAnsi" w:cstheme="minorHAnsi"/>
        </w:rPr>
      </w:pPr>
      <w:r>
        <w:rPr>
          <w:rFonts w:asciiTheme="minorHAnsi" w:hAnsiTheme="minorHAnsi" w:cstheme="minorHAnsi"/>
        </w:rPr>
        <w:t>Prochlorperazine</w:t>
      </w:r>
      <w:r w:rsidRPr="00AF12F6">
        <w:rPr>
          <w:rFonts w:asciiTheme="minorHAnsi" w:hAnsiTheme="minorHAnsi" w:cstheme="minorHAnsi"/>
        </w:rPr>
        <w:t xml:space="preserve"> is currently listed in Schedules </w:t>
      </w:r>
      <w:r>
        <w:rPr>
          <w:rFonts w:asciiTheme="minorHAnsi" w:hAnsiTheme="minorHAnsi" w:cstheme="minorHAnsi"/>
        </w:rPr>
        <w:t>3 and 4 of the Poisons Standard as follows:</w:t>
      </w:r>
    </w:p>
    <w:p w14:paraId="74285F26" w14:textId="77777777" w:rsidR="0089422C" w:rsidRPr="005133F7" w:rsidRDefault="0089422C" w:rsidP="0089422C">
      <w:pPr>
        <w:ind w:left="426"/>
        <w:rPr>
          <w:b/>
        </w:rPr>
      </w:pPr>
      <w:r>
        <w:rPr>
          <w:b/>
        </w:rPr>
        <w:t>Schedule 4</w:t>
      </w:r>
    </w:p>
    <w:p w14:paraId="4BD71A08" w14:textId="77777777" w:rsidR="0089422C" w:rsidRDefault="0089422C" w:rsidP="0089422C">
      <w:pPr>
        <w:ind w:firstLine="426"/>
        <w:rPr>
          <w:rFonts w:asciiTheme="minorHAnsi" w:hAnsiTheme="minorHAnsi" w:cstheme="minorHAnsi"/>
        </w:rPr>
      </w:pPr>
      <w:r w:rsidRPr="003242DF">
        <w:rPr>
          <w:rFonts w:asciiTheme="minorHAnsi" w:hAnsiTheme="minorHAnsi" w:cstheme="minorHAnsi"/>
        </w:rPr>
        <w:t>PROCHLORPERAZINE </w:t>
      </w:r>
      <w:r w:rsidRPr="003242DF">
        <w:rPr>
          <w:rFonts w:asciiTheme="minorHAnsi" w:hAnsiTheme="minorHAnsi" w:cstheme="minorHAnsi"/>
          <w:b/>
          <w:bCs/>
        </w:rPr>
        <w:t>except</w:t>
      </w:r>
      <w:r w:rsidRPr="003242DF">
        <w:rPr>
          <w:rFonts w:asciiTheme="minorHAnsi" w:hAnsiTheme="minorHAnsi" w:cstheme="minorHAnsi"/>
        </w:rPr>
        <w:t> when included in Schedule 3.</w:t>
      </w:r>
    </w:p>
    <w:p w14:paraId="20F8E95E" w14:textId="4320DCFC" w:rsidR="003242DF" w:rsidRPr="006D5C84" w:rsidRDefault="003242DF" w:rsidP="0089422C">
      <w:pPr>
        <w:ind w:left="426"/>
        <w:rPr>
          <w:b/>
        </w:rPr>
      </w:pPr>
      <w:r w:rsidRPr="006D5C84">
        <w:rPr>
          <w:b/>
        </w:rPr>
        <w:t xml:space="preserve">Schedule </w:t>
      </w:r>
      <w:r w:rsidRPr="003242DF">
        <w:rPr>
          <w:b/>
        </w:rPr>
        <w:t>3</w:t>
      </w:r>
    </w:p>
    <w:p w14:paraId="6D1861F2" w14:textId="7E5AC1DA" w:rsidR="003242DF" w:rsidRDefault="003242DF" w:rsidP="003242DF">
      <w:pPr>
        <w:ind w:left="426"/>
        <w:rPr>
          <w:rFonts w:asciiTheme="minorHAnsi" w:hAnsiTheme="minorHAnsi" w:cstheme="minorHAnsi"/>
        </w:rPr>
      </w:pPr>
      <w:r w:rsidRPr="003242DF">
        <w:rPr>
          <w:rFonts w:asciiTheme="minorHAnsi" w:hAnsiTheme="minorHAnsi" w:cstheme="minorHAnsi"/>
        </w:rPr>
        <w:t>PROCHLORPERAZINE in divided preparations for oral use in packs containing not more than 10 dosage units for the treatment of nausea associated with migraine.</w:t>
      </w:r>
    </w:p>
    <w:p w14:paraId="5CFE7CB5" w14:textId="460A87AC" w:rsidR="00382768" w:rsidRPr="00382768" w:rsidRDefault="00382768" w:rsidP="003242DF">
      <w:pPr>
        <w:ind w:left="426"/>
        <w:rPr>
          <w:rFonts w:asciiTheme="minorHAnsi" w:hAnsiTheme="minorHAnsi" w:cstheme="minorHAnsi"/>
          <w:b/>
        </w:rPr>
      </w:pPr>
      <w:r w:rsidRPr="00382768">
        <w:rPr>
          <w:rFonts w:asciiTheme="minorHAnsi" w:hAnsiTheme="minorHAnsi" w:cstheme="minorHAnsi"/>
          <w:b/>
        </w:rPr>
        <w:t>Appendix K</w:t>
      </w:r>
    </w:p>
    <w:p w14:paraId="7ACBC300" w14:textId="48C7E24D" w:rsidR="00382768" w:rsidRDefault="00382768" w:rsidP="003242DF">
      <w:pPr>
        <w:ind w:left="426"/>
        <w:rPr>
          <w:rFonts w:asciiTheme="minorHAnsi" w:hAnsiTheme="minorHAnsi" w:cstheme="minorHAnsi"/>
        </w:rPr>
      </w:pPr>
      <w:r>
        <w:rPr>
          <w:rFonts w:asciiTheme="minorHAnsi" w:hAnsiTheme="minorHAnsi" w:cstheme="minorHAnsi"/>
        </w:rPr>
        <w:t>PROCHLORPERAZINE</w:t>
      </w:r>
    </w:p>
    <w:p w14:paraId="142725EB" w14:textId="77777777" w:rsidR="003242DF" w:rsidRDefault="003242DF" w:rsidP="004A1C37">
      <w:pPr>
        <w:pStyle w:val="Heading4"/>
      </w:pPr>
      <w:r>
        <w:t>Proposed scheduling</w:t>
      </w:r>
    </w:p>
    <w:p w14:paraId="5F8E3A29" w14:textId="77777777" w:rsidR="0089422C" w:rsidRPr="005133F7" w:rsidRDefault="0089422C" w:rsidP="0089422C">
      <w:pPr>
        <w:ind w:left="426"/>
        <w:rPr>
          <w:b/>
        </w:rPr>
      </w:pPr>
      <w:r>
        <w:rPr>
          <w:b/>
        </w:rPr>
        <w:t>Schedule 4</w:t>
      </w:r>
    </w:p>
    <w:p w14:paraId="6E5A29C2" w14:textId="77777777" w:rsidR="0089422C" w:rsidRDefault="0089422C" w:rsidP="0089422C">
      <w:pPr>
        <w:ind w:firstLine="426"/>
        <w:rPr>
          <w:rFonts w:asciiTheme="minorHAnsi" w:hAnsiTheme="minorHAnsi" w:cstheme="minorHAnsi"/>
        </w:rPr>
      </w:pPr>
      <w:r w:rsidRPr="003242DF">
        <w:rPr>
          <w:rFonts w:asciiTheme="minorHAnsi" w:hAnsiTheme="minorHAnsi" w:cstheme="minorHAnsi"/>
        </w:rPr>
        <w:t>PROCHLORPERAZINE </w:t>
      </w:r>
      <w:r w:rsidRPr="003242DF">
        <w:rPr>
          <w:rFonts w:asciiTheme="minorHAnsi" w:hAnsiTheme="minorHAnsi" w:cstheme="minorHAnsi"/>
          <w:b/>
          <w:bCs/>
        </w:rPr>
        <w:t>except</w:t>
      </w:r>
      <w:r w:rsidRPr="003242DF">
        <w:rPr>
          <w:rFonts w:asciiTheme="minorHAnsi" w:hAnsiTheme="minorHAnsi" w:cstheme="minorHAnsi"/>
        </w:rPr>
        <w:t> when included in Schedule 3.</w:t>
      </w:r>
    </w:p>
    <w:p w14:paraId="0108A3F8" w14:textId="77777777" w:rsidR="0089422C" w:rsidRPr="006D5C84" w:rsidRDefault="0089422C" w:rsidP="0089422C">
      <w:pPr>
        <w:ind w:left="426"/>
        <w:rPr>
          <w:b/>
        </w:rPr>
      </w:pPr>
      <w:r w:rsidRPr="006D5C84">
        <w:rPr>
          <w:b/>
        </w:rPr>
        <w:t xml:space="preserve">Schedule </w:t>
      </w:r>
      <w:r w:rsidRPr="003242DF">
        <w:rPr>
          <w:b/>
        </w:rPr>
        <w:t>3</w:t>
      </w:r>
    </w:p>
    <w:p w14:paraId="438712FF" w14:textId="77777777" w:rsidR="0089422C" w:rsidRDefault="0089422C" w:rsidP="0089422C">
      <w:pPr>
        <w:ind w:left="426"/>
        <w:rPr>
          <w:rFonts w:asciiTheme="minorHAnsi" w:hAnsiTheme="minorHAnsi" w:cstheme="minorHAnsi"/>
        </w:rPr>
      </w:pPr>
      <w:r w:rsidRPr="003242DF">
        <w:rPr>
          <w:rFonts w:asciiTheme="minorHAnsi" w:hAnsiTheme="minorHAnsi" w:cstheme="minorHAnsi"/>
        </w:rPr>
        <w:t>PROCHLORPERAZINE in divided preparations for oral use in packs containing not more than 10 dosage units for the treatment of nausea associated with migraine.</w:t>
      </w:r>
    </w:p>
    <w:p w14:paraId="0A574D83" w14:textId="7DE7B502" w:rsidR="003242DF" w:rsidRPr="006A36C1" w:rsidRDefault="003242DF" w:rsidP="003242DF">
      <w:pPr>
        <w:ind w:left="426"/>
        <w:rPr>
          <w:b/>
        </w:rPr>
      </w:pPr>
      <w:r w:rsidRPr="004B2F7A">
        <w:rPr>
          <w:b/>
        </w:rPr>
        <w:t>Appendix H – New Entry</w:t>
      </w:r>
    </w:p>
    <w:p w14:paraId="52454719" w14:textId="22D34778" w:rsidR="003242DF" w:rsidRDefault="003242DF" w:rsidP="003242DF">
      <w:pPr>
        <w:ind w:left="426"/>
        <w:rPr>
          <w:rFonts w:asciiTheme="minorHAnsi" w:hAnsiTheme="minorHAnsi" w:cstheme="minorHAnsi"/>
          <w:color w:val="FF0000"/>
        </w:rPr>
      </w:pPr>
      <w:r w:rsidRPr="0062690C">
        <w:rPr>
          <w:rFonts w:asciiTheme="minorHAnsi" w:hAnsiTheme="minorHAnsi" w:cstheme="minorHAnsi"/>
          <w:color w:val="FF0000"/>
        </w:rPr>
        <w:t>PROCHLOROPERAZINE</w:t>
      </w:r>
    </w:p>
    <w:p w14:paraId="1E698935" w14:textId="0840B69A" w:rsidR="00382768" w:rsidRPr="00382768" w:rsidRDefault="00382768" w:rsidP="003242DF">
      <w:pPr>
        <w:ind w:left="426"/>
        <w:rPr>
          <w:rFonts w:asciiTheme="minorHAnsi" w:hAnsiTheme="minorHAnsi" w:cstheme="minorHAnsi"/>
          <w:b/>
        </w:rPr>
      </w:pPr>
      <w:r w:rsidRPr="00382768">
        <w:rPr>
          <w:rFonts w:asciiTheme="minorHAnsi" w:hAnsiTheme="minorHAnsi" w:cstheme="minorHAnsi"/>
          <w:b/>
        </w:rPr>
        <w:t>Appendix K</w:t>
      </w:r>
    </w:p>
    <w:p w14:paraId="35A9E6C5" w14:textId="34AD5409" w:rsidR="00382768" w:rsidRPr="00382768" w:rsidRDefault="00382768" w:rsidP="003242DF">
      <w:pPr>
        <w:ind w:left="426"/>
        <w:rPr>
          <w:rFonts w:asciiTheme="minorHAnsi" w:hAnsiTheme="minorHAnsi" w:cstheme="minorHAnsi"/>
        </w:rPr>
      </w:pPr>
      <w:r w:rsidRPr="00382768">
        <w:rPr>
          <w:rFonts w:asciiTheme="minorHAnsi" w:hAnsiTheme="minorHAnsi" w:cstheme="minorHAnsi"/>
        </w:rPr>
        <w:t>PROCHLORPERAZINE</w:t>
      </w:r>
    </w:p>
    <w:p w14:paraId="623E87D1" w14:textId="40DF4159" w:rsidR="00C430C9" w:rsidRPr="00C430C9" w:rsidRDefault="00C430C9" w:rsidP="003242DF">
      <w:pPr>
        <w:ind w:left="426"/>
        <w:rPr>
          <w:rFonts w:asciiTheme="minorHAnsi" w:hAnsiTheme="minorHAnsi" w:cstheme="minorHAnsi"/>
          <w:b/>
        </w:rPr>
      </w:pPr>
      <w:r w:rsidRPr="00C430C9">
        <w:rPr>
          <w:rFonts w:asciiTheme="minorHAnsi" w:hAnsiTheme="minorHAnsi" w:cstheme="minorHAnsi"/>
          <w:b/>
        </w:rPr>
        <w:t>Index – Amend Entry</w:t>
      </w:r>
    </w:p>
    <w:p w14:paraId="4FDADA5C" w14:textId="328AA4A0" w:rsidR="00C430C9" w:rsidRPr="00C430C9" w:rsidRDefault="00C430C9" w:rsidP="003242DF">
      <w:pPr>
        <w:ind w:left="426"/>
        <w:rPr>
          <w:rFonts w:asciiTheme="minorHAnsi" w:hAnsiTheme="minorHAnsi" w:cstheme="minorHAnsi"/>
        </w:rPr>
      </w:pPr>
      <w:r w:rsidRPr="00C430C9">
        <w:rPr>
          <w:rFonts w:asciiTheme="minorHAnsi" w:hAnsiTheme="minorHAnsi" w:cstheme="minorHAnsi"/>
        </w:rPr>
        <w:t>PROCHLORPERAZINE</w:t>
      </w:r>
    </w:p>
    <w:p w14:paraId="51B9D29E" w14:textId="505C9085" w:rsidR="00C430C9" w:rsidRPr="00C430C9" w:rsidRDefault="00C430C9" w:rsidP="00C430C9">
      <w:pPr>
        <w:spacing w:before="0" w:after="0"/>
        <w:ind w:left="426"/>
        <w:rPr>
          <w:rFonts w:asciiTheme="minorHAnsi" w:hAnsiTheme="minorHAnsi" w:cstheme="minorHAnsi"/>
        </w:rPr>
      </w:pPr>
      <w:r w:rsidRPr="00C430C9">
        <w:rPr>
          <w:rFonts w:asciiTheme="minorHAnsi" w:hAnsiTheme="minorHAnsi" w:cstheme="minorHAnsi"/>
        </w:rPr>
        <w:t>Schedule 4</w:t>
      </w:r>
    </w:p>
    <w:p w14:paraId="4CE742BC" w14:textId="77777777" w:rsidR="0089422C" w:rsidRPr="00C430C9" w:rsidRDefault="0089422C" w:rsidP="0089422C">
      <w:pPr>
        <w:spacing w:before="0" w:after="0"/>
        <w:ind w:left="426"/>
        <w:rPr>
          <w:rFonts w:asciiTheme="minorHAnsi" w:hAnsiTheme="minorHAnsi" w:cstheme="minorHAnsi"/>
        </w:rPr>
      </w:pPr>
      <w:r w:rsidRPr="00C430C9">
        <w:rPr>
          <w:rFonts w:asciiTheme="minorHAnsi" w:hAnsiTheme="minorHAnsi" w:cstheme="minorHAnsi"/>
        </w:rPr>
        <w:t>Schedule 3</w:t>
      </w:r>
    </w:p>
    <w:p w14:paraId="0A211FA7" w14:textId="5D006CB1" w:rsidR="00C430C9" w:rsidRDefault="00C430C9" w:rsidP="00C430C9">
      <w:pPr>
        <w:spacing w:before="0" w:after="0"/>
        <w:ind w:left="426"/>
        <w:rPr>
          <w:rFonts w:asciiTheme="minorHAnsi" w:hAnsiTheme="minorHAnsi" w:cstheme="minorHAnsi"/>
          <w:color w:val="FF0000"/>
        </w:rPr>
      </w:pPr>
      <w:r>
        <w:rPr>
          <w:rFonts w:asciiTheme="minorHAnsi" w:hAnsiTheme="minorHAnsi" w:cstheme="minorHAnsi"/>
          <w:color w:val="FF0000"/>
        </w:rPr>
        <w:t>Appendix H</w:t>
      </w:r>
    </w:p>
    <w:p w14:paraId="74569E29" w14:textId="5B9B820D" w:rsidR="00382768" w:rsidRPr="00382768" w:rsidRDefault="00382768" w:rsidP="00C430C9">
      <w:pPr>
        <w:spacing w:before="0" w:after="0"/>
        <w:ind w:left="426"/>
        <w:rPr>
          <w:rFonts w:asciiTheme="minorHAnsi" w:hAnsiTheme="minorHAnsi" w:cstheme="minorHAnsi"/>
        </w:rPr>
      </w:pPr>
      <w:r w:rsidRPr="00382768">
        <w:rPr>
          <w:rFonts w:asciiTheme="minorHAnsi" w:hAnsiTheme="minorHAnsi" w:cstheme="minorHAnsi"/>
        </w:rPr>
        <w:t>Appendix K</w:t>
      </w:r>
    </w:p>
    <w:p w14:paraId="46C55FE0" w14:textId="77777777" w:rsidR="003242DF" w:rsidRPr="00C46F90" w:rsidRDefault="003242DF" w:rsidP="003242DF">
      <w:pPr>
        <w:pStyle w:val="Heading4"/>
      </w:pPr>
      <w:r w:rsidRPr="00C46F90">
        <w:t>Key uses / expected use</w:t>
      </w:r>
    </w:p>
    <w:p w14:paraId="1CFBED64" w14:textId="04DF375D" w:rsidR="003242DF" w:rsidRDefault="003242DF" w:rsidP="003242DF">
      <w:r w:rsidRPr="003242DF">
        <w:t>Medicines</w:t>
      </w:r>
      <w:r w:rsidR="00C77C7D">
        <w:t xml:space="preserve"> (antiemetic</w:t>
      </w:r>
      <w:r w:rsidR="006D61CA">
        <w:t>, antipsychotic)</w:t>
      </w:r>
    </w:p>
    <w:p w14:paraId="1D3044EC" w14:textId="360B4EF6" w:rsidR="00693426" w:rsidRPr="00693426" w:rsidRDefault="00DE7DA7" w:rsidP="00385DA6">
      <w:pPr>
        <w:pStyle w:val="Heading4"/>
        <w:rPr>
          <w:lang w:eastAsia="en-AU"/>
        </w:rPr>
      </w:pPr>
      <w:r>
        <w:t>Application summary - r</w:t>
      </w:r>
      <w:r w:rsidR="003242DF">
        <w:t>easons for proposal</w:t>
      </w:r>
    </w:p>
    <w:p w14:paraId="5FD0E008" w14:textId="732B5433" w:rsidR="00693426" w:rsidRPr="00385DA6" w:rsidRDefault="00693426" w:rsidP="00DC6EC8">
      <w:pPr>
        <w:pStyle w:val="ListBullet"/>
      </w:pPr>
      <w:r w:rsidRPr="00385DA6">
        <w:t xml:space="preserve">The </w:t>
      </w:r>
      <w:r w:rsidR="00EF071F">
        <w:t xml:space="preserve">application </w:t>
      </w:r>
      <w:r w:rsidRPr="00385DA6">
        <w:t>propo</w:t>
      </w:r>
      <w:r w:rsidR="00EF071F">
        <w:t>ses</w:t>
      </w:r>
      <w:r w:rsidRPr="00385DA6">
        <w:t xml:space="preserve"> inclusion of prochlorperazine</w:t>
      </w:r>
      <w:r w:rsidR="00EF071F">
        <w:t xml:space="preserve">, when classified as a Schedule 3 </w:t>
      </w:r>
      <w:r w:rsidR="000522AE">
        <w:t xml:space="preserve">(S3) </w:t>
      </w:r>
      <w:r w:rsidR="00EF071F">
        <w:t xml:space="preserve">medicine, </w:t>
      </w:r>
      <w:r w:rsidRPr="00385DA6">
        <w:t xml:space="preserve">in </w:t>
      </w:r>
      <w:r w:rsidR="00EF071F">
        <w:t>Appendix H of the Poisons Standard</w:t>
      </w:r>
      <w:r w:rsidR="00DE7DA7">
        <w:t xml:space="preserve"> to pe</w:t>
      </w:r>
      <w:r w:rsidR="006A36C1">
        <w:t>rmit advertising to the public.</w:t>
      </w:r>
    </w:p>
    <w:p w14:paraId="3EDD9580" w14:textId="512E0CB4" w:rsidR="00693426" w:rsidRDefault="00DE7DA7" w:rsidP="003C0B32">
      <w:pPr>
        <w:pStyle w:val="ListBullet2"/>
      </w:pPr>
      <w:r>
        <w:t xml:space="preserve">Prochlorperazine is a S3 medicine in </w:t>
      </w:r>
      <w:r w:rsidRPr="00385DA6">
        <w:t>divided preparations for oral use in packs containing not more than 10 dosage units for the treatment of nausea associated with migraine</w:t>
      </w:r>
      <w:r>
        <w:t>.</w:t>
      </w:r>
    </w:p>
    <w:p w14:paraId="0827459C" w14:textId="6AE10A48" w:rsidR="00693426" w:rsidRPr="001C6FDD" w:rsidRDefault="00693426" w:rsidP="00DC6EC8">
      <w:pPr>
        <w:pStyle w:val="ListBullet"/>
      </w:pPr>
      <w:r w:rsidRPr="00385DA6">
        <w:t xml:space="preserve">Prochlorperazine as a Schedule 4 </w:t>
      </w:r>
      <w:r w:rsidR="006B361E">
        <w:t>medicine</w:t>
      </w:r>
      <w:r w:rsidR="006B361E" w:rsidRPr="00385DA6">
        <w:t xml:space="preserve"> </w:t>
      </w:r>
      <w:r w:rsidRPr="00385DA6">
        <w:t>is used for the treatment of nausea and vomiting due to various causes including migraine</w:t>
      </w:r>
      <w:r w:rsidR="006B361E">
        <w:t>,</w:t>
      </w:r>
      <w:r w:rsidRPr="00385DA6">
        <w:t xml:space="preserve"> Meniere's syndrome, labyrinthitis and other causes in adults and children. As a S3 </w:t>
      </w:r>
      <w:r w:rsidR="006B361E">
        <w:t>medicine</w:t>
      </w:r>
      <w:r w:rsidRPr="00385DA6">
        <w:t>, it is indicated for the treatment of nausea associated with migraine.</w:t>
      </w:r>
    </w:p>
    <w:p w14:paraId="05960916" w14:textId="0E8CCE56" w:rsidR="006443B1" w:rsidRPr="006443B1" w:rsidRDefault="003B153C" w:rsidP="00DC6EC8">
      <w:pPr>
        <w:pStyle w:val="ListBullet"/>
      </w:pPr>
      <w:r>
        <w:t>I</w:t>
      </w:r>
      <w:r w:rsidRPr="007E5A33">
        <w:t xml:space="preserve">n </w:t>
      </w:r>
      <w:r>
        <w:t>Ma</w:t>
      </w:r>
      <w:r w:rsidRPr="007E5A33">
        <w:t xml:space="preserve">y 2018, the TGA </w:t>
      </w:r>
      <w:r>
        <w:t xml:space="preserve">conducted a public consultation on </w:t>
      </w:r>
      <w:hyperlink r:id="rId46" w:history="1">
        <w:r w:rsidRPr="00F630EC">
          <w:rPr>
            <w:rStyle w:val="Hyperlink"/>
          </w:rPr>
          <w:t>Substances proposed to be added to Appendix H of the Poisons Standard</w:t>
        </w:r>
      </w:hyperlink>
      <w:r w:rsidRPr="004662D8">
        <w:t>, to allow</w:t>
      </w:r>
      <w:r>
        <w:t xml:space="preserve"> them to be advertised.</w:t>
      </w:r>
      <w:r w:rsidRPr="004662D8">
        <w:t xml:space="preserve"> </w:t>
      </w:r>
      <w:r>
        <w:t>A</w:t>
      </w:r>
      <w:r w:rsidRPr="004662D8">
        <w:t>fter taking into consideration the potential impact on p</w:t>
      </w:r>
      <w:r>
        <w:t>ublic health</w:t>
      </w:r>
      <w:r w:rsidRPr="004662D8">
        <w:t xml:space="preserve"> of direct to consumer advertising of each product, the TGA proposed several S3 </w:t>
      </w:r>
      <w:r>
        <w:t>substance</w:t>
      </w:r>
      <w:r w:rsidRPr="004662D8">
        <w:t>s</w:t>
      </w:r>
      <w:r>
        <w:t xml:space="preserve"> to be added to Appendix H</w:t>
      </w:r>
      <w:r w:rsidR="006A36C1">
        <w:t>.</w:t>
      </w:r>
    </w:p>
    <w:p w14:paraId="444F3900" w14:textId="3C8B55A7" w:rsidR="006443B1" w:rsidRDefault="006443B1" w:rsidP="00DC6EC8">
      <w:pPr>
        <w:pStyle w:val="ListBullet"/>
      </w:pPr>
      <w:r>
        <w:t>T</w:t>
      </w:r>
      <w:r w:rsidRPr="006443B1">
        <w:t>he TGA Delegate recommended not adding prochlorperazine to Appendix H</w:t>
      </w:r>
      <w:r>
        <w:t>,</w:t>
      </w:r>
      <w:r w:rsidRPr="006443B1">
        <w:t xml:space="preserve"> due to the potential negative i</w:t>
      </w:r>
      <w:r w:rsidR="00731FB6">
        <w:t>mpact on health related to possible</w:t>
      </w:r>
      <w:r w:rsidRPr="006443B1">
        <w:t xml:space="preserve"> misuse, abuse or diversion.</w:t>
      </w:r>
    </w:p>
    <w:p w14:paraId="16C644A7" w14:textId="1CEE49C1" w:rsidR="00152DD7" w:rsidRDefault="006B361E" w:rsidP="00DC6EC8">
      <w:pPr>
        <w:pStyle w:val="ListBullet"/>
      </w:pPr>
      <w:r>
        <w:t xml:space="preserve">While </w:t>
      </w:r>
      <w:r w:rsidR="00DE7DA7">
        <w:t>p</w:t>
      </w:r>
      <w:r w:rsidR="00DD120C" w:rsidRPr="000130B2">
        <w:t xml:space="preserve">rochlorperazine is mainly known for the treatment of nausea and </w:t>
      </w:r>
      <w:r w:rsidR="00231A66" w:rsidRPr="000130B2">
        <w:t>vomiting,</w:t>
      </w:r>
      <w:r w:rsidR="00DD120C" w:rsidRPr="000130B2">
        <w:t xml:space="preserve"> it has also been reported that it can alter mood and perception. However, </w:t>
      </w:r>
      <w:r w:rsidR="00DE7DA7">
        <w:t xml:space="preserve">the applicant contends </w:t>
      </w:r>
      <w:r w:rsidR="00DD120C" w:rsidRPr="000130B2">
        <w:t>it is not known to deliver the euphoria that is often delivered by more commonly abused drugs</w:t>
      </w:r>
      <w:r w:rsidR="006A36C1">
        <w:t>.</w:t>
      </w:r>
    </w:p>
    <w:p w14:paraId="40063A13" w14:textId="3186ADCC" w:rsidR="00731FB6" w:rsidRPr="007E5A33" w:rsidRDefault="00731FB6" w:rsidP="00DC6EC8">
      <w:pPr>
        <w:pStyle w:val="ListBullet"/>
      </w:pPr>
      <w:r>
        <w:t xml:space="preserve">The sale of </w:t>
      </w:r>
      <w:r w:rsidRPr="007E5A33">
        <w:t xml:space="preserve">S3 </w:t>
      </w:r>
      <w:r>
        <w:t xml:space="preserve">products </w:t>
      </w:r>
      <w:r w:rsidRPr="007E5A33">
        <w:t xml:space="preserve">requires </w:t>
      </w:r>
      <w:r>
        <w:t xml:space="preserve">availability of professional advice from a </w:t>
      </w:r>
      <w:r w:rsidRPr="007E5A33">
        <w:t>pharmacist, which mitigates potential for misuse and adverse influence by advertising. Further risk mitigation is achi</w:t>
      </w:r>
      <w:r>
        <w:t>eved through limiting</w:t>
      </w:r>
      <w:r w:rsidRPr="007E5A33">
        <w:t xml:space="preserve"> pack sizes.</w:t>
      </w:r>
    </w:p>
    <w:p w14:paraId="01C1B243" w14:textId="43BDEA2D" w:rsidR="00DD120C" w:rsidRDefault="00DA780B" w:rsidP="00DC6EC8">
      <w:pPr>
        <w:pStyle w:val="ListBullet"/>
      </w:pPr>
      <w:r w:rsidRPr="00703525">
        <w:t>While cases of abuse and physical dependence have been reported on some medications</w:t>
      </w:r>
      <w:r w:rsidR="003713CA" w:rsidRPr="00703525">
        <w:t xml:space="preserve"> </w:t>
      </w:r>
      <w:r w:rsidRPr="00703525">
        <w:t xml:space="preserve">listed in Appendix H of the SUSMP, </w:t>
      </w:r>
      <w:r w:rsidR="00731FB6">
        <w:t xml:space="preserve">the applicant suggests that </w:t>
      </w:r>
      <w:r w:rsidRPr="00703525">
        <w:t>prochlorperazine is not considered to pose risks above these medicines currently in Appendix H.</w:t>
      </w:r>
    </w:p>
    <w:p w14:paraId="6DBBBFC3" w14:textId="6619AAFE" w:rsidR="00DA780B" w:rsidRPr="003242DF" w:rsidRDefault="006443B1" w:rsidP="00DC6EC8">
      <w:pPr>
        <w:pStyle w:val="ListBullet"/>
      </w:pPr>
      <w:r w:rsidRPr="006443B1">
        <w:t xml:space="preserve">A search of the </w:t>
      </w:r>
      <w:hyperlink r:id="rId47" w:history="1">
        <w:r w:rsidRPr="00731FB6">
          <w:rPr>
            <w:rStyle w:val="Hyperlink"/>
          </w:rPr>
          <w:t>TGA Database of Adverse Event Notifications</w:t>
        </w:r>
      </w:hyperlink>
      <w:r w:rsidRPr="006443B1">
        <w:t xml:space="preserve"> showed no reports of drug abuse and only 1 report of off-label use, out of 1218 cases reported</w:t>
      </w:r>
      <w:r w:rsidR="00731FB6">
        <w:t xml:space="preserve"> (to November 2020)</w:t>
      </w:r>
      <w:r w:rsidRPr="006443B1">
        <w:t>.</w:t>
      </w:r>
    </w:p>
    <w:p w14:paraId="5A895EE2" w14:textId="51D7A4B5" w:rsidR="003242DF" w:rsidRDefault="003242DF" w:rsidP="006A36C1">
      <w:pPr>
        <w:pStyle w:val="Heading4"/>
        <w:pageBreakBefore/>
      </w:pPr>
      <w:r w:rsidRPr="00DC5AE0">
        <w:t xml:space="preserve">Australian </w:t>
      </w:r>
      <w:r>
        <w:t>regulations</w:t>
      </w:r>
    </w:p>
    <w:p w14:paraId="0FA7D4CA" w14:textId="4FFD53B8" w:rsidR="003242DF" w:rsidRDefault="003242DF" w:rsidP="00DC6EC8">
      <w:pPr>
        <w:pStyle w:val="ListBullet"/>
      </w:pPr>
      <w:r>
        <w:t xml:space="preserve">According to the </w:t>
      </w:r>
      <w:hyperlink r:id="rId48"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29"/>
      </w:r>
      <w:r>
        <w:t xml:space="preserve"> </w:t>
      </w:r>
      <w:r w:rsidR="00DA780B">
        <w:t>prochlorperazine</w:t>
      </w:r>
      <w:r>
        <w:t xml:space="preserve"> is:</w:t>
      </w:r>
    </w:p>
    <w:p w14:paraId="4481987A" w14:textId="7685B738" w:rsidR="001D4516" w:rsidRPr="00703525" w:rsidRDefault="001D4516" w:rsidP="003C0B32">
      <w:pPr>
        <w:pStyle w:val="ListBullet2"/>
      </w:pPr>
      <w:r w:rsidRPr="00703525">
        <w:t>available for use as an active ingredient or excipient in biologicals, prescription medicines and devices, and available for use as an equivalent ingredient in prescription medicines;</w:t>
      </w:r>
    </w:p>
    <w:p w14:paraId="184AE453" w14:textId="4C9A3E3C" w:rsidR="001D4516" w:rsidRPr="00703525" w:rsidRDefault="001D4516" w:rsidP="003C0B32">
      <w:pPr>
        <w:pStyle w:val="ListBullet2"/>
      </w:pPr>
      <w:r w:rsidRPr="00703525">
        <w:t>available for use as an active ingredient in biologicals,</w:t>
      </w:r>
      <w:r w:rsidR="00D25360" w:rsidRPr="00703525">
        <w:t xml:space="preserve"> export only, over the counter, </w:t>
      </w:r>
      <w:r w:rsidRPr="00703525">
        <w:t>prescription medicines and devices, as well as an excipient in biologicals, prescription medicines and devices, as prochlorperazine mesilate;</w:t>
      </w:r>
    </w:p>
    <w:p w14:paraId="2D2EA66D" w14:textId="1B256A37" w:rsidR="001D4516" w:rsidRPr="00703525" w:rsidRDefault="001D4516" w:rsidP="003C0B32">
      <w:pPr>
        <w:pStyle w:val="ListBullet2"/>
      </w:pPr>
      <w:r w:rsidRPr="00703525">
        <w:t>available for use as an active ingredient in biologicals, export only, over the counter, and prescription medicines, as well as an excipient in biologicals, prescription medicines and devices, as prochlorperazine maleate;</w:t>
      </w:r>
    </w:p>
    <w:p w14:paraId="05687735" w14:textId="416CB10A" w:rsidR="001D4516" w:rsidRDefault="001D4516" w:rsidP="003C0B32">
      <w:pPr>
        <w:pStyle w:val="ListBullet2"/>
      </w:pPr>
      <w:r w:rsidRPr="00703525">
        <w:t>available for use as an active ingredient in biologicals and prescription medicines, and as an excipient in biologicals, prescription medicines and devices, as prochlorperazine edisilate (edisylate).</w:t>
      </w:r>
    </w:p>
    <w:p w14:paraId="6E18656E" w14:textId="22D943D2" w:rsidR="003242DF" w:rsidRDefault="003242DF" w:rsidP="00DC6EC8">
      <w:pPr>
        <w:pStyle w:val="ListBullet"/>
      </w:pPr>
      <w:r>
        <w:t xml:space="preserve">As of </w:t>
      </w:r>
      <w:r w:rsidR="001D4516">
        <w:t>November 2020</w:t>
      </w:r>
      <w:r>
        <w:t>, t</w:t>
      </w:r>
      <w:r w:rsidRPr="00881DFE">
        <w:t xml:space="preserve">here </w:t>
      </w:r>
      <w:r>
        <w:t>were</w:t>
      </w:r>
      <w:r w:rsidRPr="00881DFE">
        <w:t xml:space="preserve"> </w:t>
      </w:r>
      <w:r w:rsidR="001D4516">
        <w:t>27</w:t>
      </w:r>
      <w:r>
        <w:t xml:space="preserve"> medicine</w:t>
      </w:r>
      <w:r w:rsidRPr="00881DFE">
        <w:t xml:space="preserve">s currently active on the </w:t>
      </w:r>
      <w:hyperlink r:id="rId49" w:history="1">
        <w:r w:rsidRPr="00293CCA">
          <w:rPr>
            <w:rStyle w:val="Hyperlink"/>
          </w:rPr>
          <w:t>Australian Register of Therapeutic Goods (ARTG)</w:t>
        </w:r>
      </w:hyperlink>
      <w:r>
        <w:rPr>
          <w:rStyle w:val="FootnoteReference"/>
        </w:rPr>
        <w:footnoteReference w:id="30"/>
      </w:r>
      <w:r>
        <w:t xml:space="preserve"> that contain</w:t>
      </w:r>
      <w:r w:rsidRPr="00881DFE">
        <w:t xml:space="preserve"> </w:t>
      </w:r>
      <w:r w:rsidR="001D4516">
        <w:t>prochlorperazine</w:t>
      </w:r>
      <w:r>
        <w:t xml:space="preserve"> as an active ingredient</w:t>
      </w:r>
      <w:r w:rsidRPr="00881DFE">
        <w:t>.</w:t>
      </w:r>
      <w:r>
        <w:t xml:space="preserve"> These include </w:t>
      </w:r>
      <w:r w:rsidR="00037A5A" w:rsidRPr="00037A5A">
        <w:t>11</w:t>
      </w:r>
      <w:r w:rsidR="00037A5A">
        <w:t xml:space="preserve"> prescription, </w:t>
      </w:r>
      <w:r w:rsidR="00037A5A" w:rsidRPr="00037A5A">
        <w:t>15</w:t>
      </w:r>
      <w:r>
        <w:t xml:space="preserve"> non-prescription medicines</w:t>
      </w:r>
      <w:r w:rsidR="00037A5A">
        <w:t xml:space="preserve"> and </w:t>
      </w:r>
      <w:r w:rsidR="00231A66">
        <w:t>1</w:t>
      </w:r>
      <w:r w:rsidR="00037A5A">
        <w:t xml:space="preserve"> export-only medicine</w:t>
      </w:r>
      <w:r>
        <w:t>.</w:t>
      </w:r>
      <w:r w:rsidR="00F77560">
        <w:t xml:space="preserve"> </w:t>
      </w:r>
      <w:r w:rsidR="00DE7DA7">
        <w:t>Non-prescription f</w:t>
      </w:r>
      <w:r w:rsidR="00F77560">
        <w:t>ormulations include 5mg tablets.</w:t>
      </w:r>
    </w:p>
    <w:p w14:paraId="4CE3DCD7" w14:textId="13EAB971" w:rsidR="003242DF" w:rsidRPr="00181904" w:rsidRDefault="00037A5A" w:rsidP="00DC6EC8">
      <w:pPr>
        <w:pStyle w:val="ListBullet"/>
      </w:pPr>
      <w:r>
        <w:t>Prochlorperazine</w:t>
      </w:r>
      <w:r w:rsidR="003242DF" w:rsidRPr="009C55D5">
        <w:t xml:space="preserve"> is not permitted to be included in listed medicines </w:t>
      </w:r>
      <w:r w:rsidR="003242DF">
        <w:t xml:space="preserve">as it is not included in the </w:t>
      </w:r>
      <w:hyperlink r:id="rId50" w:history="1">
        <w:r w:rsidR="003242DF" w:rsidRPr="00824CAC">
          <w:rPr>
            <w:rStyle w:val="Hyperlink"/>
          </w:rPr>
          <w:t>Therapeutic Goods (Permissible Ingredients) Determination</w:t>
        </w:r>
      </w:hyperlink>
      <w:r w:rsidR="003242DF">
        <w:rPr>
          <w:rStyle w:val="FootnoteReference"/>
        </w:rPr>
        <w:footnoteReference w:id="31"/>
      </w:r>
      <w:r w:rsidR="003242DF" w:rsidRPr="009C55D5">
        <w:t xml:space="preserve"> No.</w:t>
      </w:r>
      <w:r>
        <w:t>3</w:t>
      </w:r>
      <w:r w:rsidR="003242DF" w:rsidRPr="00037A5A">
        <w:t xml:space="preserve"> of 20</w:t>
      </w:r>
      <w:r w:rsidRPr="00037A5A">
        <w:t>20</w:t>
      </w:r>
      <w:r w:rsidR="003242DF" w:rsidRPr="009C55D5">
        <w:t xml:space="preserve">. </w:t>
      </w:r>
    </w:p>
    <w:p w14:paraId="5C9C031D" w14:textId="47BBCBB2" w:rsidR="003242DF" w:rsidRDefault="003242DF" w:rsidP="00DC6EC8">
      <w:pPr>
        <w:pStyle w:val="ListBullet"/>
      </w:pPr>
      <w:r>
        <w:t xml:space="preserve">The </w:t>
      </w:r>
      <w:hyperlink r:id="rId51"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32"/>
      </w:r>
      <w:r>
        <w:t xml:space="preserve"> classifies </w:t>
      </w:r>
      <w:r w:rsidR="003713CA">
        <w:t>prochlorperazine</w:t>
      </w:r>
      <w:r>
        <w:t xml:space="preserve"> as:</w:t>
      </w:r>
    </w:p>
    <w:tbl>
      <w:tblPr>
        <w:tblStyle w:val="TableTGAblue"/>
        <w:tblW w:w="8815" w:type="dxa"/>
        <w:tblInd w:w="392" w:type="dxa"/>
        <w:tblLook w:val="04A0" w:firstRow="1" w:lastRow="0" w:firstColumn="1" w:lastColumn="0" w:noHBand="0" w:noVBand="1"/>
      </w:tblPr>
      <w:tblGrid>
        <w:gridCol w:w="1762"/>
        <w:gridCol w:w="1763"/>
        <w:gridCol w:w="1763"/>
        <w:gridCol w:w="1763"/>
        <w:gridCol w:w="1764"/>
      </w:tblGrid>
      <w:tr w:rsidR="003242DF" w:rsidRPr="003346CF" w14:paraId="68B53F89" w14:textId="77777777" w:rsidTr="00DD120C">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762" w:type="dxa"/>
          </w:tcPr>
          <w:p w14:paraId="683055A9" w14:textId="77777777" w:rsidR="003242DF" w:rsidRPr="003346CF" w:rsidRDefault="003242DF" w:rsidP="003242DF">
            <w:pPr>
              <w:keepLines/>
              <w:rPr>
                <w:sz w:val="20"/>
                <w:szCs w:val="20"/>
              </w:rPr>
            </w:pPr>
            <w:r>
              <w:rPr>
                <w:sz w:val="20"/>
                <w:szCs w:val="20"/>
              </w:rPr>
              <w:t>Drug name</w:t>
            </w:r>
          </w:p>
        </w:tc>
        <w:tc>
          <w:tcPr>
            <w:tcW w:w="1763" w:type="dxa"/>
          </w:tcPr>
          <w:p w14:paraId="21532457" w14:textId="77777777" w:rsidR="003242DF" w:rsidRPr="003346CF" w:rsidRDefault="003242DF"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763" w:type="dxa"/>
          </w:tcPr>
          <w:p w14:paraId="0DA5DF52" w14:textId="77777777" w:rsidR="003242DF" w:rsidRPr="003346CF" w:rsidRDefault="003242DF"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763" w:type="dxa"/>
          </w:tcPr>
          <w:p w14:paraId="2F750BBB" w14:textId="77777777" w:rsidR="003242DF" w:rsidRPr="003346CF" w:rsidRDefault="003242DF"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764" w:type="dxa"/>
          </w:tcPr>
          <w:p w14:paraId="384FCE97" w14:textId="77777777" w:rsidR="003242DF" w:rsidRPr="003346CF" w:rsidRDefault="003242DF" w:rsidP="003242D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3242DF" w:rsidRPr="003346CF" w14:paraId="504BF005" w14:textId="77777777" w:rsidTr="00DD120C">
        <w:trPr>
          <w:trHeight w:val="753"/>
        </w:trPr>
        <w:tc>
          <w:tcPr>
            <w:cnfStyle w:val="001000000000" w:firstRow="0" w:lastRow="0" w:firstColumn="1" w:lastColumn="0" w:oddVBand="0" w:evenVBand="0" w:oddHBand="0" w:evenHBand="0" w:firstRowFirstColumn="0" w:firstRowLastColumn="0" w:lastRowFirstColumn="0" w:lastRowLastColumn="0"/>
            <w:tcW w:w="1762" w:type="dxa"/>
          </w:tcPr>
          <w:p w14:paraId="0C534BF4" w14:textId="730D5F41" w:rsidR="003242DF" w:rsidRPr="003346CF" w:rsidRDefault="00181904" w:rsidP="003242DF">
            <w:pPr>
              <w:keepNext/>
              <w:keepLines/>
              <w:rPr>
                <w:sz w:val="20"/>
                <w:szCs w:val="20"/>
              </w:rPr>
            </w:pPr>
            <w:r>
              <w:rPr>
                <w:sz w:val="20"/>
                <w:szCs w:val="20"/>
              </w:rPr>
              <w:t>Prochlorperazine</w:t>
            </w:r>
          </w:p>
        </w:tc>
        <w:tc>
          <w:tcPr>
            <w:tcW w:w="1763" w:type="dxa"/>
          </w:tcPr>
          <w:p w14:paraId="729599AB" w14:textId="2AA7DD96" w:rsidR="003242DF" w:rsidRPr="003346CF" w:rsidRDefault="00181904"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p>
        </w:tc>
        <w:tc>
          <w:tcPr>
            <w:tcW w:w="1763" w:type="dxa"/>
          </w:tcPr>
          <w:p w14:paraId="703520A4" w14:textId="3F81473C" w:rsidR="003242DF" w:rsidRPr="003346CF" w:rsidRDefault="00181904"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Central Nervous System</w:t>
            </w:r>
          </w:p>
        </w:tc>
        <w:tc>
          <w:tcPr>
            <w:tcW w:w="1763" w:type="dxa"/>
          </w:tcPr>
          <w:p w14:paraId="41322698" w14:textId="49CBF74E" w:rsidR="003242DF" w:rsidRPr="003346CF" w:rsidRDefault="00181904"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Antiemetics, antinauseants</w:t>
            </w:r>
          </w:p>
        </w:tc>
        <w:tc>
          <w:tcPr>
            <w:tcW w:w="1764" w:type="dxa"/>
          </w:tcPr>
          <w:p w14:paraId="3BFF682A" w14:textId="681E56B4" w:rsidR="003242DF" w:rsidRPr="003346CF" w:rsidRDefault="00181904" w:rsidP="003242DF">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Phenothiazines</w:t>
            </w:r>
          </w:p>
        </w:tc>
      </w:tr>
      <w:tr w:rsidR="003242DF" w:rsidRPr="003346CF" w14:paraId="755E8656" w14:textId="77777777" w:rsidTr="008D4E90">
        <w:trPr>
          <w:trHeight w:val="985"/>
        </w:trPr>
        <w:tc>
          <w:tcPr>
            <w:cnfStyle w:val="001000000000" w:firstRow="0" w:lastRow="0" w:firstColumn="1" w:lastColumn="0" w:oddVBand="0" w:evenVBand="0" w:oddHBand="0" w:evenHBand="0" w:firstRowFirstColumn="0" w:firstRowLastColumn="0" w:lastRowFirstColumn="0" w:lastRowLastColumn="0"/>
            <w:tcW w:w="8815" w:type="dxa"/>
            <w:gridSpan w:val="5"/>
          </w:tcPr>
          <w:p w14:paraId="7C80D454" w14:textId="0E12F072" w:rsidR="003242DF" w:rsidRPr="00181904" w:rsidRDefault="003242DF" w:rsidP="003242DF">
            <w:pPr>
              <w:keepNext/>
              <w:keepLines/>
              <w:rPr>
                <w:sz w:val="16"/>
                <w:szCs w:val="16"/>
              </w:rPr>
            </w:pPr>
            <w:r w:rsidRPr="003C7D97">
              <w:rPr>
                <w:b/>
                <w:sz w:val="16"/>
                <w:szCs w:val="16"/>
              </w:rPr>
              <w:t>Category C</w:t>
            </w:r>
            <w:r w:rsidRPr="003C7D97">
              <w:rPr>
                <w:sz w:val="16"/>
                <w:szCs w:val="16"/>
              </w:rPr>
              <w:t xml:space="preserve"> – Drugs which, owing to their pharmacological effects, have caused or may be suspected of causing, harmful effects on the human foetus or neonate without causing malformations. These effects may be reversible. Accompanying texts should be</w:t>
            </w:r>
            <w:r w:rsidR="00181904">
              <w:rPr>
                <w:sz w:val="16"/>
                <w:szCs w:val="16"/>
              </w:rPr>
              <w:t xml:space="preserve"> consulted for further details.</w:t>
            </w:r>
          </w:p>
        </w:tc>
      </w:tr>
    </w:tbl>
    <w:p w14:paraId="20C07A3B" w14:textId="23DEA2F1" w:rsidR="00DD120C" w:rsidRDefault="00DD120C" w:rsidP="00DC6EC8">
      <w:pPr>
        <w:pStyle w:val="ListBullet"/>
      </w:pPr>
      <w:r w:rsidRPr="000130B2">
        <w:t>Prochlorperazine is required to have a sedation warning on the label as it is listed in Appe</w:t>
      </w:r>
      <w:r w:rsidR="006A36C1">
        <w:t>ndix K of the Poisons Standard.</w:t>
      </w:r>
    </w:p>
    <w:p w14:paraId="012C2A4D" w14:textId="56BCB6DF" w:rsidR="003242DF" w:rsidRPr="00181904" w:rsidRDefault="003242DF" w:rsidP="00DC6EC8">
      <w:pPr>
        <w:pStyle w:val="ListBullet"/>
      </w:pPr>
      <w:r>
        <w:t xml:space="preserve">There are no </w:t>
      </w:r>
      <w:r w:rsidRPr="00A30084">
        <w:t xml:space="preserve">warning statements pertaining </w:t>
      </w:r>
      <w:r>
        <w:t xml:space="preserve">to </w:t>
      </w:r>
      <w:r w:rsidR="00181904">
        <w:t>prochlorperazine</w:t>
      </w:r>
      <w:r>
        <w:t xml:space="preserve"> in the </w:t>
      </w:r>
      <w:hyperlink r:id="rId52" w:history="1">
        <w:r w:rsidRPr="00AB7BF5">
          <w:rPr>
            <w:rStyle w:val="Hyperlink"/>
          </w:rPr>
          <w:t>Therapeutic Goods (Medicines Advisory Statements) Specification 2019</w:t>
        </w:r>
      </w:hyperlink>
      <w:r>
        <w:rPr>
          <w:rStyle w:val="FootnoteReference"/>
        </w:rPr>
        <w:footnoteReference w:id="33"/>
      </w:r>
      <w:r w:rsidR="00181904" w:rsidRPr="00181904">
        <w:rPr>
          <w:rStyle w:val="Hyperlink"/>
          <w:u w:val="none"/>
        </w:rPr>
        <w:t>.</w:t>
      </w:r>
    </w:p>
    <w:p w14:paraId="0052A5AD" w14:textId="65049285" w:rsidR="003242DF" w:rsidRDefault="00C9491D" w:rsidP="00DC6EC8">
      <w:pPr>
        <w:pStyle w:val="ListBullet"/>
      </w:pPr>
      <w:r>
        <w:t xml:space="preserve">Since January </w:t>
      </w:r>
      <w:r w:rsidR="00181904">
        <w:t>20</w:t>
      </w:r>
      <w:r>
        <w:t>1</w:t>
      </w:r>
      <w:r w:rsidR="00181904">
        <w:t>0</w:t>
      </w:r>
      <w:r>
        <w:t>, there hav</w:t>
      </w:r>
      <w:r w:rsidR="003242DF">
        <w:t>e</w:t>
      </w:r>
      <w:r>
        <w:t xml:space="preserve"> been</w:t>
      </w:r>
      <w:r w:rsidR="003242DF" w:rsidRPr="009C55D5">
        <w:t xml:space="preserve"> </w:t>
      </w:r>
      <w:r>
        <w:t>123</w:t>
      </w:r>
      <w:r w:rsidR="003242DF" w:rsidRPr="009C55D5">
        <w:t xml:space="preserve"> reports of adverse events for products containing </w:t>
      </w:r>
      <w:r w:rsidR="00181904">
        <w:t>prochlorperazine</w:t>
      </w:r>
      <w:r w:rsidR="003242DF" w:rsidRPr="009C55D5">
        <w:t xml:space="preserve"> as an active ingredient</w:t>
      </w:r>
      <w:r w:rsidR="003242DF">
        <w:t xml:space="preserve"> on the </w:t>
      </w:r>
      <w:hyperlink r:id="rId53" w:history="1">
        <w:r w:rsidR="003242DF" w:rsidRPr="00F0449C">
          <w:rPr>
            <w:rStyle w:val="Hyperlink"/>
          </w:rPr>
          <w:t>Database of Adverse Event Notifications (DAEN)</w:t>
        </w:r>
      </w:hyperlink>
      <w:r w:rsidR="003242DF" w:rsidRPr="00254E0B">
        <w:t>,</w:t>
      </w:r>
      <w:r w:rsidR="003242DF" w:rsidRPr="00F0449C">
        <w:rPr>
          <w:rStyle w:val="FootnoteReference"/>
        </w:rPr>
        <w:footnoteReference w:id="34"/>
      </w:r>
      <w:r w:rsidR="003242DF" w:rsidRPr="009C55D5">
        <w:t xml:space="preserve"> with </w:t>
      </w:r>
      <w:r>
        <w:t>7</w:t>
      </w:r>
      <w:r w:rsidR="00181904">
        <w:t>9</w:t>
      </w:r>
      <w:r w:rsidR="003242DF" w:rsidRPr="009C55D5">
        <w:t xml:space="preserve"> reports where </w:t>
      </w:r>
      <w:r w:rsidR="00181904">
        <w:t xml:space="preserve">prochlorperazine </w:t>
      </w:r>
      <w:r w:rsidR="003242DF" w:rsidRPr="009C55D5">
        <w:t xml:space="preserve">was the single suspected medicine. There were </w:t>
      </w:r>
      <w:r>
        <w:t>no</w:t>
      </w:r>
      <w:r w:rsidR="003242DF" w:rsidRPr="009C55D5">
        <w:t xml:space="preserve"> reports of death associated with </w:t>
      </w:r>
      <w:r w:rsidR="00181904">
        <w:t>prochlorperazine</w:t>
      </w:r>
      <w:r w:rsidR="003713CA">
        <w:t xml:space="preserve"> use.</w:t>
      </w:r>
    </w:p>
    <w:p w14:paraId="4195BF52" w14:textId="76F3C680" w:rsidR="00DD120C" w:rsidRPr="00170F51" w:rsidRDefault="00DD120C" w:rsidP="00DC6EC8">
      <w:pPr>
        <w:pStyle w:val="ListBullet"/>
      </w:pPr>
      <w:r>
        <w:t xml:space="preserve">Product </w:t>
      </w:r>
      <w:r w:rsidR="00152DD7">
        <w:t>information</w:t>
      </w:r>
      <w:r>
        <w:t xml:space="preserve"> leaflets state that </w:t>
      </w:r>
      <w:r w:rsidRPr="000130B2">
        <w:t>prochlorperazine may enhance the CNS depressant effects of alcohol and other depressant drugs</w:t>
      </w:r>
      <w:r w:rsidR="006B361E">
        <w:t>,</w:t>
      </w:r>
      <w:r w:rsidRPr="000130B2">
        <w:t xml:space="preserve"> and potentiate the anticholinergic effects of atropinic agents and tricyclic antidepressants.</w:t>
      </w:r>
    </w:p>
    <w:p w14:paraId="6B77E314" w14:textId="4B344236" w:rsidR="003242DF" w:rsidRDefault="003242DF" w:rsidP="00DC6EC8">
      <w:pPr>
        <w:pStyle w:val="ListBullet"/>
      </w:pPr>
      <w:r>
        <w:t xml:space="preserve">As of </w:t>
      </w:r>
      <w:r w:rsidR="00170F51">
        <w:t>November 2020</w:t>
      </w:r>
      <w:r>
        <w:t>, t</w:t>
      </w:r>
      <w:r w:rsidRPr="00F0449C">
        <w:t xml:space="preserve">here </w:t>
      </w:r>
      <w:r>
        <w:t>were</w:t>
      </w:r>
      <w:r w:rsidRPr="00F0449C">
        <w:t xml:space="preserve"> </w:t>
      </w:r>
      <w:r w:rsidR="00170F51" w:rsidRPr="00170F51">
        <w:t>no</w:t>
      </w:r>
      <w:r w:rsidRPr="00F0449C">
        <w:t xml:space="preserve"> products containing </w:t>
      </w:r>
      <w:r w:rsidR="00170F51">
        <w:t>prochlorperazine</w:t>
      </w:r>
      <w:r w:rsidRPr="00F0449C">
        <w:t xml:space="preserve"> listed on the </w:t>
      </w:r>
      <w:hyperlink r:id="rId54"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35"/>
      </w:r>
    </w:p>
    <w:p w14:paraId="714F6AC7" w14:textId="77777777" w:rsidR="003242DF" w:rsidRPr="00CB687C" w:rsidRDefault="003242DF" w:rsidP="003242DF">
      <w:pPr>
        <w:pStyle w:val="Heading4"/>
      </w:pPr>
      <w:r>
        <w:t>International regulations</w:t>
      </w:r>
    </w:p>
    <w:p w14:paraId="4D6DCB33" w14:textId="7A1C3139" w:rsidR="003242DF" w:rsidRDefault="00170F51" w:rsidP="00DC6EC8">
      <w:pPr>
        <w:pStyle w:val="ListBullet"/>
      </w:pPr>
      <w:r>
        <w:t xml:space="preserve">According to the </w:t>
      </w:r>
      <w:hyperlink r:id="rId55" w:history="1">
        <w:r w:rsidRPr="00170F51">
          <w:rPr>
            <w:rStyle w:val="Hyperlink"/>
          </w:rPr>
          <w:t>United States Food and Drug Administration Approved Drug Products Database</w:t>
        </w:r>
      </w:hyperlink>
      <w:r w:rsidR="00385DA6">
        <w:rPr>
          <w:rStyle w:val="Hyperlink"/>
        </w:rPr>
        <w:t>,</w:t>
      </w:r>
      <w:r w:rsidR="00703525" w:rsidRPr="000130B2">
        <w:rPr>
          <w:rStyle w:val="FootnoteReference"/>
        </w:rPr>
        <w:footnoteReference w:id="36"/>
      </w:r>
      <w:r>
        <w:t xml:space="preserve"> prochlorperazine is approved for use as a prescription medicine in the United States.</w:t>
      </w:r>
    </w:p>
    <w:p w14:paraId="4A9A3ACD" w14:textId="183B0310" w:rsidR="00170F51" w:rsidRDefault="00170F51" w:rsidP="00DC6EC8">
      <w:pPr>
        <w:pStyle w:val="ListBullet"/>
      </w:pPr>
      <w:r>
        <w:rPr>
          <w:rStyle w:val="Hyperlink"/>
          <w:color w:val="auto"/>
          <w:u w:val="none"/>
        </w:rPr>
        <w:t xml:space="preserve">Prochlorperazine is approved as a prescription medicine in Canada according to the </w:t>
      </w:r>
      <w:hyperlink r:id="rId56" w:history="1">
        <w:r w:rsidRPr="00170F51">
          <w:rPr>
            <w:rStyle w:val="Hyperlink"/>
          </w:rPr>
          <w:t>Canadian (Health Canada) Drug Product Database</w:t>
        </w:r>
      </w:hyperlink>
      <w:r w:rsidR="00703525" w:rsidRPr="00385DA6">
        <w:rPr>
          <w:rStyle w:val="FootnoteReference"/>
        </w:rPr>
        <w:footnoteReference w:id="37"/>
      </w:r>
      <w:r>
        <w:t>.</w:t>
      </w:r>
    </w:p>
    <w:p w14:paraId="2AF13409" w14:textId="323E4E87" w:rsidR="0063798D" w:rsidRDefault="0063798D" w:rsidP="00DC6EC8">
      <w:pPr>
        <w:pStyle w:val="ListBullet"/>
      </w:pPr>
      <w:r>
        <w:t xml:space="preserve">The </w:t>
      </w:r>
      <w:hyperlink r:id="rId57" w:history="1">
        <w:r w:rsidRPr="0063798D">
          <w:rPr>
            <w:rStyle w:val="Hyperlink"/>
          </w:rPr>
          <w:t>Health Products Regulatory Authority of Ireland</w:t>
        </w:r>
      </w:hyperlink>
      <w:r>
        <w:rPr>
          <w:rStyle w:val="FootnoteReference"/>
        </w:rPr>
        <w:footnoteReference w:id="38"/>
      </w:r>
      <w:r>
        <w:t xml:space="preserve"> regulates prochlorperazine maleate as a prescription only medicine in 5 mg tablets. </w:t>
      </w:r>
      <w:r w:rsidR="00C9491D">
        <w:t>Advertising to consumers is not permitted, however the products can be advertised to healthcare professionals.</w:t>
      </w:r>
    </w:p>
    <w:p w14:paraId="78948121" w14:textId="12716AB2" w:rsidR="00170F51" w:rsidRDefault="00170F51" w:rsidP="00DC6EC8">
      <w:pPr>
        <w:pStyle w:val="ListBullet"/>
      </w:pPr>
      <w:r>
        <w:t xml:space="preserve">According to the </w:t>
      </w:r>
      <w:hyperlink r:id="rId58" w:history="1">
        <w:r w:rsidRPr="00170F51">
          <w:rPr>
            <w:rStyle w:val="Hyperlink"/>
          </w:rPr>
          <w:t>New Zealand Medicines and Medical Devices Safety Authority (MedSafe</w:t>
        </w:r>
      </w:hyperlink>
      <w:r w:rsidRPr="00170F51">
        <w:t>)</w:t>
      </w:r>
      <w:r w:rsidR="00703525">
        <w:rPr>
          <w:rStyle w:val="FootnoteReference"/>
        </w:rPr>
        <w:footnoteReference w:id="39"/>
      </w:r>
      <w:r w:rsidR="003713CA">
        <w:t>, prochlorperazine is regulated as follows:</w:t>
      </w:r>
    </w:p>
    <w:tbl>
      <w:tblPr>
        <w:tblStyle w:val="TableTGAblue"/>
        <w:tblW w:w="5000" w:type="pct"/>
        <w:tblInd w:w="357" w:type="dxa"/>
        <w:tblLook w:val="04A0" w:firstRow="1" w:lastRow="0" w:firstColumn="1" w:lastColumn="0" w:noHBand="0" w:noVBand="1"/>
      </w:tblPr>
      <w:tblGrid>
        <w:gridCol w:w="1854"/>
        <w:gridCol w:w="5304"/>
        <w:gridCol w:w="1892"/>
      </w:tblGrid>
      <w:tr w:rsidR="003713CA" w14:paraId="3D016D36" w14:textId="77777777" w:rsidTr="0018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4706FD05" w14:textId="77777777" w:rsidR="003713CA" w:rsidRPr="00702170" w:rsidRDefault="003713CA" w:rsidP="00DC6EC8">
            <w:pPr>
              <w:pStyle w:val="ListBullet"/>
              <w:numPr>
                <w:ilvl w:val="0"/>
                <w:numId w:val="0"/>
              </w:numPr>
            </w:pPr>
            <w:r>
              <w:t>Ingredient</w:t>
            </w:r>
          </w:p>
        </w:tc>
        <w:tc>
          <w:tcPr>
            <w:tcW w:w="2972" w:type="pct"/>
          </w:tcPr>
          <w:p w14:paraId="72257A30" w14:textId="77777777" w:rsidR="003713CA" w:rsidRPr="00702170" w:rsidRDefault="003713CA"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6" w:type="pct"/>
          </w:tcPr>
          <w:p w14:paraId="22CD6752" w14:textId="77777777" w:rsidR="003713CA" w:rsidRPr="00702170" w:rsidRDefault="003713CA"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3713CA" w14:paraId="3F683070" w14:textId="77777777" w:rsidTr="001864C1">
        <w:tc>
          <w:tcPr>
            <w:cnfStyle w:val="001000000000" w:firstRow="0" w:lastRow="0" w:firstColumn="1" w:lastColumn="0" w:oddVBand="0" w:evenVBand="0" w:oddHBand="0" w:evenHBand="0" w:firstRowFirstColumn="0" w:firstRowLastColumn="0" w:lastRowFirstColumn="0" w:lastRowLastColumn="0"/>
            <w:tcW w:w="942" w:type="pct"/>
          </w:tcPr>
          <w:p w14:paraId="7AC781D6" w14:textId="742B90D0" w:rsidR="003713CA" w:rsidRPr="00702170" w:rsidRDefault="003713CA" w:rsidP="00DC6EC8">
            <w:pPr>
              <w:pStyle w:val="ListBullet"/>
              <w:numPr>
                <w:ilvl w:val="0"/>
                <w:numId w:val="0"/>
              </w:numPr>
              <w:rPr>
                <w:szCs w:val="20"/>
              </w:rPr>
            </w:pPr>
            <w:r>
              <w:t>Prochlorperazine</w:t>
            </w:r>
          </w:p>
        </w:tc>
        <w:tc>
          <w:tcPr>
            <w:tcW w:w="2972" w:type="pct"/>
          </w:tcPr>
          <w:p w14:paraId="52CCEB0C" w14:textId="3F85C1E4" w:rsidR="003713CA" w:rsidRPr="00AD3DF0" w:rsidRDefault="003713CA"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3713CA">
              <w:rPr>
                <w:b/>
              </w:rPr>
              <w:t>except</w:t>
            </w:r>
            <w:r w:rsidRPr="003713CA">
              <w:t> when specified elsewhere in this schedule;</w:t>
            </w:r>
            <w:r w:rsidRPr="003713CA">
              <w:br/>
            </w:r>
            <w:r w:rsidRPr="003713CA">
              <w:rPr>
                <w:b/>
              </w:rPr>
              <w:t>except</w:t>
            </w:r>
            <w:r w:rsidRPr="003713CA">
              <w:t> when sold for the treatment of nausea associated with emergency contraception by pharmacists or nurses accredited to sell levonorgestrel for emergency contraception</w:t>
            </w:r>
          </w:p>
        </w:tc>
        <w:tc>
          <w:tcPr>
            <w:tcW w:w="1086" w:type="pct"/>
          </w:tcPr>
          <w:p w14:paraId="1A621263" w14:textId="77777777" w:rsidR="003713CA" w:rsidRPr="00702170" w:rsidRDefault="003713CA"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3713CA" w14:paraId="07E438C2" w14:textId="77777777" w:rsidTr="001864C1">
        <w:tc>
          <w:tcPr>
            <w:cnfStyle w:val="001000000000" w:firstRow="0" w:lastRow="0" w:firstColumn="1" w:lastColumn="0" w:oddVBand="0" w:evenVBand="0" w:oddHBand="0" w:evenHBand="0" w:firstRowFirstColumn="0" w:firstRowLastColumn="0" w:lastRowFirstColumn="0" w:lastRowLastColumn="0"/>
            <w:tcW w:w="942" w:type="pct"/>
          </w:tcPr>
          <w:p w14:paraId="1B1715AD" w14:textId="08C52D4B" w:rsidR="003713CA" w:rsidRPr="00702170" w:rsidRDefault="003713CA" w:rsidP="00DC6EC8">
            <w:pPr>
              <w:pStyle w:val="ListBullet"/>
              <w:numPr>
                <w:ilvl w:val="0"/>
                <w:numId w:val="0"/>
              </w:numPr>
              <w:rPr>
                <w:szCs w:val="20"/>
              </w:rPr>
            </w:pPr>
            <w:r>
              <w:t>Prochlorperazine</w:t>
            </w:r>
          </w:p>
        </w:tc>
        <w:tc>
          <w:tcPr>
            <w:tcW w:w="2972" w:type="pct"/>
          </w:tcPr>
          <w:p w14:paraId="5FA75148" w14:textId="7FBA5AD8" w:rsidR="003713CA" w:rsidRPr="00702170" w:rsidRDefault="003713CA"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3713CA">
              <w:t>in packs containing not more than 10 tablets or capsules for the treatment of nausea associated with migraine</w:t>
            </w:r>
          </w:p>
        </w:tc>
        <w:tc>
          <w:tcPr>
            <w:tcW w:w="1086" w:type="pct"/>
          </w:tcPr>
          <w:p w14:paraId="30E62347" w14:textId="7F135A02" w:rsidR="003713CA" w:rsidRPr="00702170" w:rsidRDefault="003713CA"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Restricted</w:t>
            </w:r>
            <w:r w:rsidR="005232D5">
              <w:rPr>
                <w:rStyle w:val="FootnoteReference"/>
                <w:sz w:val="20"/>
              </w:rPr>
              <w:footnoteReference w:id="40"/>
            </w:r>
          </w:p>
        </w:tc>
      </w:tr>
    </w:tbl>
    <w:p w14:paraId="0CFF8326" w14:textId="60F79E23" w:rsidR="007B2894" w:rsidRDefault="007B2894" w:rsidP="007B2894">
      <w:pPr>
        <w:pStyle w:val="Heading3"/>
      </w:pPr>
      <w:bookmarkStart w:id="8" w:name="_Toc59540949"/>
      <w:r>
        <w:t>Processed Aconitum carmichaelii</w:t>
      </w:r>
      <w:bookmarkEnd w:id="8"/>
    </w:p>
    <w:p w14:paraId="2A3B372E" w14:textId="77777777" w:rsidR="00DE7DA7" w:rsidRDefault="00DE7DA7" w:rsidP="00DE7DA7">
      <w:pPr>
        <w:pStyle w:val="Heading4"/>
      </w:pPr>
      <w:r>
        <w:t>Proposal</w:t>
      </w:r>
    </w:p>
    <w:p w14:paraId="01944641" w14:textId="7AE6306B" w:rsidR="00DE7DA7" w:rsidRDefault="00DE7DA7" w:rsidP="00C05467">
      <w:r>
        <w:t xml:space="preserve">Amendment of the existing entries for </w:t>
      </w:r>
      <w:r w:rsidR="00E30352">
        <w:t>Aconitum spp.</w:t>
      </w:r>
      <w:r>
        <w:t xml:space="preserve"> in Schedules 2 and 4 of the Poisons Standard to recognise the reduced toxicity of the processed herb.</w:t>
      </w:r>
    </w:p>
    <w:p w14:paraId="4156FAB5" w14:textId="7213EDBC" w:rsidR="007B2894" w:rsidRPr="003639D9" w:rsidRDefault="007B2894" w:rsidP="00B84910">
      <w:pPr>
        <w:pStyle w:val="Heading4"/>
      </w:pPr>
      <w:r>
        <w:t>CAS Number:</w:t>
      </w:r>
    </w:p>
    <w:p w14:paraId="40DCCA8B" w14:textId="5A1DC78B" w:rsidR="007B2894" w:rsidRDefault="007B2894" w:rsidP="007B2894">
      <w:r>
        <w:t>N/A</w:t>
      </w:r>
    </w:p>
    <w:p w14:paraId="715319B3" w14:textId="77777777" w:rsidR="007B2894" w:rsidRDefault="007B2894" w:rsidP="00B84910">
      <w:pPr>
        <w:pStyle w:val="Heading4"/>
      </w:pPr>
      <w:r>
        <w:t>Alternative names</w:t>
      </w:r>
    </w:p>
    <w:p w14:paraId="1C0DD4C0" w14:textId="7155A568" w:rsidR="007B2894" w:rsidRPr="003639D9" w:rsidRDefault="007B2894" w:rsidP="007B2894">
      <w:r>
        <w:t>N/A</w:t>
      </w:r>
    </w:p>
    <w:p w14:paraId="59A792CE" w14:textId="77777777" w:rsidR="007B2894" w:rsidRDefault="007B2894" w:rsidP="00B84910">
      <w:pPr>
        <w:pStyle w:val="Heading4"/>
      </w:pPr>
      <w:r>
        <w:t>Applicant</w:t>
      </w:r>
    </w:p>
    <w:p w14:paraId="0CB7C680" w14:textId="4C790567" w:rsidR="007B2894" w:rsidRPr="003639D9" w:rsidRDefault="007B2894" w:rsidP="007B2894">
      <w:r w:rsidRPr="007B2894">
        <w:t>Private applicant</w:t>
      </w:r>
    </w:p>
    <w:p w14:paraId="0146D1EE" w14:textId="77777777" w:rsidR="007B2894" w:rsidRDefault="007B2894" w:rsidP="00B84910">
      <w:pPr>
        <w:pStyle w:val="Heading4"/>
      </w:pPr>
      <w:r>
        <w:t>Current scheduling</w:t>
      </w:r>
    </w:p>
    <w:p w14:paraId="27D8CC42" w14:textId="2B49737F" w:rsidR="007B2894" w:rsidRDefault="007B2894" w:rsidP="007B2894">
      <w:pPr>
        <w:rPr>
          <w:rFonts w:asciiTheme="minorHAnsi" w:hAnsiTheme="minorHAnsi" w:cstheme="minorHAnsi"/>
        </w:rPr>
      </w:pPr>
      <w:r>
        <w:rPr>
          <w:rFonts w:asciiTheme="minorHAnsi" w:hAnsiTheme="minorHAnsi" w:cstheme="minorHAnsi"/>
        </w:rPr>
        <w:t>Aconitum spp.</w:t>
      </w:r>
      <w:r w:rsidRPr="00AF12F6">
        <w:rPr>
          <w:rFonts w:asciiTheme="minorHAnsi" w:hAnsiTheme="minorHAnsi" w:cstheme="minorHAnsi"/>
        </w:rPr>
        <w:t xml:space="preserve"> is currently listed in Schedules </w:t>
      </w:r>
      <w:r>
        <w:rPr>
          <w:rFonts w:asciiTheme="minorHAnsi" w:hAnsiTheme="minorHAnsi" w:cstheme="minorHAnsi"/>
        </w:rPr>
        <w:t>2 and 4 of the Poisons Standard as follows:</w:t>
      </w:r>
    </w:p>
    <w:p w14:paraId="1FBC0C94" w14:textId="09976156" w:rsidR="007851C8" w:rsidRPr="005133F7" w:rsidRDefault="007851C8" w:rsidP="007851C8">
      <w:pPr>
        <w:ind w:left="426"/>
        <w:rPr>
          <w:b/>
        </w:rPr>
      </w:pPr>
      <w:r>
        <w:rPr>
          <w:b/>
        </w:rPr>
        <w:t>Schedule 4</w:t>
      </w:r>
    </w:p>
    <w:p w14:paraId="244AAF83" w14:textId="77777777" w:rsidR="007851C8" w:rsidRPr="007851C8" w:rsidRDefault="007851C8" w:rsidP="007851C8">
      <w:pPr>
        <w:ind w:left="426"/>
        <w:rPr>
          <w:rFonts w:asciiTheme="minorHAnsi" w:hAnsiTheme="minorHAnsi" w:cstheme="minorHAnsi"/>
        </w:rPr>
      </w:pPr>
      <w:r w:rsidRPr="007851C8">
        <w:rPr>
          <w:rFonts w:asciiTheme="minorHAnsi" w:hAnsiTheme="minorHAnsi" w:cstheme="minorHAnsi"/>
        </w:rPr>
        <w:t>ACONITUM spp. </w:t>
      </w:r>
      <w:r w:rsidRPr="007851C8">
        <w:rPr>
          <w:rFonts w:asciiTheme="minorHAnsi" w:hAnsiTheme="minorHAnsi" w:cstheme="minorHAnsi"/>
          <w:b/>
          <w:bCs/>
        </w:rPr>
        <w:t>except</w:t>
      </w:r>
      <w:r w:rsidRPr="007851C8">
        <w:rPr>
          <w:rFonts w:asciiTheme="minorHAnsi" w:hAnsiTheme="minorHAnsi" w:cstheme="minorHAnsi"/>
        </w:rPr>
        <w:t>:</w:t>
      </w:r>
    </w:p>
    <w:p w14:paraId="603C0536" w14:textId="7D1278FC" w:rsidR="007851C8" w:rsidRPr="007851C8" w:rsidRDefault="007851C8" w:rsidP="006A36C1">
      <w:pPr>
        <w:pStyle w:val="Numberbullet2a"/>
      </w:pPr>
      <w:r w:rsidRPr="007851C8">
        <w:t>when included in Schedule 2;</w:t>
      </w:r>
    </w:p>
    <w:p w14:paraId="79A0D389" w14:textId="2DB96FFD" w:rsidR="007851C8" w:rsidRPr="007851C8" w:rsidRDefault="007851C8" w:rsidP="006A36C1">
      <w:pPr>
        <w:pStyle w:val="Numberbullet2a"/>
      </w:pPr>
      <w:r w:rsidRPr="007851C8">
        <w:t>in preparations for oral use in adults in packs containing 0.02 mg or less of total alkaloids; or</w:t>
      </w:r>
    </w:p>
    <w:p w14:paraId="64A439E4" w14:textId="391EB86B" w:rsidR="007851C8" w:rsidRPr="0089422C" w:rsidRDefault="007851C8" w:rsidP="006A36C1">
      <w:pPr>
        <w:pStyle w:val="Numberbullet2a"/>
      </w:pPr>
      <w:r w:rsidRPr="007851C8">
        <w:t>in preparations for dermal use in adults containing 0.02 per cent or less of total alkaloids in packs containing 0.02</w:t>
      </w:r>
      <w:r w:rsidR="0089422C">
        <w:t xml:space="preserve"> mg or less of total alkaloids.</w:t>
      </w:r>
    </w:p>
    <w:p w14:paraId="4320CB81" w14:textId="51A5E738" w:rsidR="007B2894" w:rsidRPr="006D5C84" w:rsidRDefault="007B2894" w:rsidP="007851C8">
      <w:pPr>
        <w:ind w:left="426"/>
        <w:rPr>
          <w:b/>
        </w:rPr>
      </w:pPr>
      <w:r w:rsidRPr="006D5C84">
        <w:rPr>
          <w:b/>
        </w:rPr>
        <w:t xml:space="preserve">Schedule </w:t>
      </w:r>
      <w:r w:rsidR="007851C8" w:rsidRPr="007851C8">
        <w:rPr>
          <w:b/>
        </w:rPr>
        <w:t>2</w:t>
      </w:r>
    </w:p>
    <w:p w14:paraId="5C2BF14C" w14:textId="1A0F6854" w:rsidR="007B2894" w:rsidRDefault="007B2894" w:rsidP="007B2894">
      <w:pPr>
        <w:ind w:left="426"/>
        <w:rPr>
          <w:rFonts w:asciiTheme="minorHAnsi" w:hAnsiTheme="minorHAnsi" w:cstheme="minorHAnsi"/>
        </w:rPr>
      </w:pPr>
      <w:r>
        <w:rPr>
          <w:rFonts w:asciiTheme="minorHAnsi" w:hAnsiTheme="minorHAnsi" w:cstheme="minorHAnsi"/>
        </w:rPr>
        <w:t>ACONITUM spp. for therapeutic use in adults:</w:t>
      </w:r>
    </w:p>
    <w:p w14:paraId="71A2DDFA" w14:textId="619E6CB9" w:rsidR="007B2894" w:rsidRPr="007B2894" w:rsidRDefault="007B2894" w:rsidP="0023449A">
      <w:pPr>
        <w:pStyle w:val="Numberbullet2a"/>
        <w:numPr>
          <w:ilvl w:val="0"/>
          <w:numId w:val="10"/>
        </w:numPr>
        <w:ind w:left="851" w:hanging="425"/>
      </w:pPr>
      <w:r w:rsidRPr="007B2894">
        <w:t>in preparations for oral use in packs each containing 0.2 mg or less of total alkaloids </w:t>
      </w:r>
      <w:r w:rsidRPr="006A36C1">
        <w:rPr>
          <w:b/>
          <w:bCs/>
        </w:rPr>
        <w:t>except</w:t>
      </w:r>
      <w:r w:rsidRPr="007B2894">
        <w:t> in packs containing 0.02 mg or less of total alkaloids; or</w:t>
      </w:r>
    </w:p>
    <w:p w14:paraId="102ABF80" w14:textId="648E5998" w:rsidR="007B2894" w:rsidRPr="007B2894" w:rsidRDefault="007B2894" w:rsidP="006A36C1">
      <w:pPr>
        <w:pStyle w:val="Numberbullet2a"/>
      </w:pPr>
      <w:r w:rsidRPr="007B2894">
        <w:t>in preparations for dermal use containing 0.02 per cent or less of total alkaloids, in packs each containing 0.2 mg or less of total alkaloids </w:t>
      </w:r>
      <w:r w:rsidRPr="007B2894">
        <w:rPr>
          <w:b/>
          <w:bCs/>
        </w:rPr>
        <w:t>except</w:t>
      </w:r>
      <w:r w:rsidRPr="007B2894">
        <w:t> in packs containing 0.02 mg or less of total alkaloids.</w:t>
      </w:r>
    </w:p>
    <w:p w14:paraId="780CBCCE" w14:textId="77777777" w:rsidR="007B2894" w:rsidRDefault="007B2894" w:rsidP="004A1C37">
      <w:pPr>
        <w:pStyle w:val="Heading4"/>
      </w:pPr>
      <w:r>
        <w:t>Proposed scheduling</w:t>
      </w:r>
    </w:p>
    <w:p w14:paraId="1BB428F1" w14:textId="038446A2" w:rsidR="007B2894" w:rsidRPr="00CD40FB" w:rsidRDefault="007B2894" w:rsidP="007B2894">
      <w:pPr>
        <w:ind w:left="426"/>
        <w:rPr>
          <w:b/>
        </w:rPr>
      </w:pPr>
      <w:r w:rsidRPr="00CD40FB">
        <w:rPr>
          <w:b/>
        </w:rPr>
        <w:t xml:space="preserve">Schedule </w:t>
      </w:r>
      <w:r w:rsidR="00B3503F">
        <w:rPr>
          <w:b/>
        </w:rPr>
        <w:t>4</w:t>
      </w:r>
      <w:r w:rsidRPr="00B3503F">
        <w:rPr>
          <w:b/>
        </w:rPr>
        <w:t xml:space="preserve"> –Amend Entry</w:t>
      </w:r>
    </w:p>
    <w:p w14:paraId="21405024" w14:textId="77777777" w:rsidR="00B3503F" w:rsidRPr="00B3503F" w:rsidRDefault="00B3503F" w:rsidP="00B3503F">
      <w:pPr>
        <w:ind w:left="426"/>
        <w:rPr>
          <w:rFonts w:asciiTheme="minorHAnsi" w:hAnsiTheme="minorHAnsi" w:cstheme="minorHAnsi"/>
        </w:rPr>
      </w:pPr>
      <w:r w:rsidRPr="00B3503F">
        <w:rPr>
          <w:rFonts w:asciiTheme="minorHAnsi" w:hAnsiTheme="minorHAnsi" w:cstheme="minorHAnsi"/>
        </w:rPr>
        <w:t xml:space="preserve">ACONITUM spp. </w:t>
      </w:r>
      <w:r w:rsidRPr="00B3503F">
        <w:rPr>
          <w:rFonts w:asciiTheme="minorHAnsi" w:hAnsiTheme="minorHAnsi" w:cstheme="minorHAnsi"/>
          <w:b/>
          <w:bCs/>
        </w:rPr>
        <w:t>except</w:t>
      </w:r>
      <w:r w:rsidRPr="00B3503F">
        <w:rPr>
          <w:rFonts w:asciiTheme="minorHAnsi" w:hAnsiTheme="minorHAnsi" w:cstheme="minorHAnsi"/>
        </w:rPr>
        <w:t xml:space="preserve">: </w:t>
      </w:r>
    </w:p>
    <w:p w14:paraId="3B4F3A9D" w14:textId="6745C60D" w:rsidR="00B3503F" w:rsidRPr="00B3503F" w:rsidRDefault="001E6BA7" w:rsidP="0023449A">
      <w:pPr>
        <w:pStyle w:val="Numberbullet2a"/>
        <w:numPr>
          <w:ilvl w:val="0"/>
          <w:numId w:val="11"/>
        </w:numPr>
        <w:ind w:left="851" w:hanging="425"/>
      </w:pPr>
      <w:r>
        <w:t>when included in Schedule 2;</w:t>
      </w:r>
    </w:p>
    <w:p w14:paraId="69886217" w14:textId="188FC2F9" w:rsidR="00B3503F" w:rsidRPr="00B3503F" w:rsidRDefault="00B3503F" w:rsidP="001E6BA7">
      <w:pPr>
        <w:pStyle w:val="Numberbullet2a"/>
      </w:pPr>
      <w:r w:rsidRPr="00B3503F">
        <w:t>in preparations for oral use in adults in packs containing 0.02 mg</w:t>
      </w:r>
      <w:r w:rsidR="001E6BA7">
        <w:t xml:space="preserve"> or less of total alkaloids; or</w:t>
      </w:r>
    </w:p>
    <w:p w14:paraId="3027EA04" w14:textId="4E961F00" w:rsidR="00B3503F" w:rsidRPr="001E6BA7" w:rsidRDefault="00B3503F" w:rsidP="001E6BA7">
      <w:pPr>
        <w:pStyle w:val="Numberbullet2a"/>
      </w:pPr>
      <w:r w:rsidRPr="00B3503F">
        <w:t>in preparations for dermal use in adults containing 0.02 per cent or less of total alkaloids in packs containing 0.02 mg</w:t>
      </w:r>
      <w:r w:rsidR="001E6BA7">
        <w:t xml:space="preserve"> or less of total alkaloids; or</w:t>
      </w:r>
    </w:p>
    <w:p w14:paraId="2C5EF096" w14:textId="78F70A50" w:rsidR="00B3503F" w:rsidRPr="001E6BA7" w:rsidRDefault="00B3503F" w:rsidP="001E6BA7">
      <w:pPr>
        <w:pStyle w:val="Numberbulletreda"/>
        <w:ind w:left="851" w:hanging="425"/>
      </w:pPr>
      <w:r w:rsidRPr="001E6BA7">
        <w:t>processed Aconitum spp. in preparations or manufactured dosage forms used in Traditional Chinese Medicine</w:t>
      </w:r>
      <w:r w:rsidR="00EC5A70" w:rsidRPr="001E6BA7">
        <w:t xml:space="preserve"> </w:t>
      </w:r>
      <w:r w:rsidR="00EC5A70" w:rsidRPr="001E6BA7">
        <w:rPr>
          <w:b/>
        </w:rPr>
        <w:t>except</w:t>
      </w:r>
      <w:r w:rsidRPr="001E6BA7">
        <w:t xml:space="preserve"> </w:t>
      </w:r>
      <w:r w:rsidR="00EC5A70" w:rsidRPr="001E6BA7">
        <w:t>when included in Schedule 2.</w:t>
      </w:r>
    </w:p>
    <w:p w14:paraId="6E3F212F" w14:textId="3B7B38B7" w:rsidR="00651313" w:rsidRDefault="00651313" w:rsidP="00651313">
      <w:pPr>
        <w:ind w:left="426"/>
        <w:rPr>
          <w:b/>
        </w:rPr>
      </w:pPr>
      <w:r>
        <w:rPr>
          <w:b/>
        </w:rPr>
        <w:t>Schedule 2 – Amend Entry</w:t>
      </w:r>
    </w:p>
    <w:p w14:paraId="06E90057" w14:textId="3CF598CE" w:rsidR="00651313" w:rsidRPr="00651313" w:rsidRDefault="00651313" w:rsidP="00651313">
      <w:pPr>
        <w:ind w:left="426"/>
      </w:pPr>
      <w:r w:rsidRPr="00651313">
        <w:t>ACONITUM spp.</w:t>
      </w:r>
      <w:r w:rsidR="001E6BA7">
        <w:t xml:space="preserve"> for therapeutic use in adults:</w:t>
      </w:r>
    </w:p>
    <w:p w14:paraId="33BEB6CA" w14:textId="3E771CF9" w:rsidR="00651313" w:rsidRPr="00651313" w:rsidRDefault="00651313" w:rsidP="0023449A">
      <w:pPr>
        <w:pStyle w:val="Numberbullet2a"/>
        <w:numPr>
          <w:ilvl w:val="0"/>
          <w:numId w:val="12"/>
        </w:numPr>
        <w:ind w:left="851"/>
      </w:pPr>
      <w:r w:rsidRPr="00651313">
        <w:t xml:space="preserve">in preparations for oral use in packs each containing 0.2 mg or less of total alkaloids </w:t>
      </w:r>
      <w:r w:rsidRPr="001E6BA7">
        <w:rPr>
          <w:bCs/>
        </w:rPr>
        <w:t xml:space="preserve">except </w:t>
      </w:r>
      <w:r w:rsidRPr="00651313">
        <w:t>in packs containing 0.02 mg</w:t>
      </w:r>
      <w:r w:rsidR="001E6BA7">
        <w:t xml:space="preserve"> or less of total alkaloids; or</w:t>
      </w:r>
    </w:p>
    <w:p w14:paraId="36772B2A" w14:textId="157494D9" w:rsidR="00651313" w:rsidRPr="00651313" w:rsidRDefault="00651313" w:rsidP="001E6BA7">
      <w:pPr>
        <w:pStyle w:val="Numberbullet2a"/>
      </w:pPr>
      <w:r w:rsidRPr="00651313">
        <w:t xml:space="preserve">in preparations for dermal use containing 0.02 per cent or less of total alkaloids, in packs each containing 0.2 mg or less of total alkaloids </w:t>
      </w:r>
      <w:r w:rsidRPr="00651313">
        <w:rPr>
          <w:bCs/>
        </w:rPr>
        <w:t xml:space="preserve">except </w:t>
      </w:r>
      <w:r w:rsidRPr="00651313">
        <w:t>in packs containing 0.02 mg</w:t>
      </w:r>
      <w:r w:rsidR="001E6BA7">
        <w:t xml:space="preserve"> or less of total alkaloids; or</w:t>
      </w:r>
    </w:p>
    <w:p w14:paraId="14BFC48D" w14:textId="1CF6C733" w:rsidR="00651313" w:rsidRPr="0062690C" w:rsidRDefault="00651313" w:rsidP="0023449A">
      <w:pPr>
        <w:pStyle w:val="Numberbulletreda"/>
        <w:numPr>
          <w:ilvl w:val="0"/>
          <w:numId w:val="14"/>
        </w:numPr>
        <w:ind w:left="851"/>
      </w:pPr>
      <w:r w:rsidRPr="0062690C">
        <w:t>processed Aconitum spp. in preparations or manufactured dosage forms used i</w:t>
      </w:r>
      <w:r w:rsidR="005D3871">
        <w:t>n Traditional Chinese Medicine:</w:t>
      </w:r>
    </w:p>
    <w:p w14:paraId="1BE403FB" w14:textId="1AA97F85" w:rsidR="00651313" w:rsidRPr="0062690C" w:rsidRDefault="00651313" w:rsidP="005D3871">
      <w:pPr>
        <w:pStyle w:val="Numberbulletred1"/>
      </w:pPr>
      <w:r w:rsidRPr="0062690C">
        <w:t>for oral use in packs each containing 0.6mg or less for single dose or 3.0mg or less for daily dose, of total diester diterpenoid alkaloids, calculated as the total amount of aconitine, hyp</w:t>
      </w:r>
      <w:r w:rsidR="005D3871">
        <w:t>aconitine and mesaconitine; or</w:t>
      </w:r>
    </w:p>
    <w:p w14:paraId="3900AB40" w14:textId="472156F0" w:rsidR="007B2894" w:rsidRPr="00651313" w:rsidRDefault="00651313" w:rsidP="005D3871">
      <w:pPr>
        <w:pStyle w:val="Numberbulletred1"/>
      </w:pPr>
      <w:r w:rsidRPr="0062690C">
        <w:t>for dermal use in packs each containing 0.6mg or less for single dose or 3.0mg or less for daily dose, of total diester diterpenoid alkaloids, calculated as the total amount of aconitine, hypaconitine and mesaconitine.</w:t>
      </w:r>
    </w:p>
    <w:p w14:paraId="705227FA" w14:textId="77777777" w:rsidR="007B2894" w:rsidRPr="00C46F90" w:rsidRDefault="007B2894" w:rsidP="007B2894">
      <w:pPr>
        <w:pStyle w:val="Heading4"/>
      </w:pPr>
      <w:r w:rsidRPr="00C46F90">
        <w:t>Key uses / expected use</w:t>
      </w:r>
    </w:p>
    <w:p w14:paraId="1AD48FE4" w14:textId="4F462A5F" w:rsidR="007B2894" w:rsidRDefault="007B2894" w:rsidP="007B2894">
      <w:r w:rsidRPr="00651313">
        <w:t>Medicines</w:t>
      </w:r>
      <w:r w:rsidR="00C9491D">
        <w:t xml:space="preserve"> (Traditional Chinese and </w:t>
      </w:r>
      <w:r w:rsidR="00C9491D" w:rsidRPr="00C9491D">
        <w:t xml:space="preserve">ayurvedic </w:t>
      </w:r>
      <w:r w:rsidR="00C9491D">
        <w:t>medicines)</w:t>
      </w:r>
    </w:p>
    <w:p w14:paraId="67A0F139" w14:textId="0F14668F" w:rsidR="007B2894" w:rsidRDefault="00DE7DA7" w:rsidP="007B2894">
      <w:pPr>
        <w:pStyle w:val="Heading4"/>
      </w:pPr>
      <w:r>
        <w:t>Application summary - r</w:t>
      </w:r>
      <w:r w:rsidR="007B2894">
        <w:t>easons for proposal</w:t>
      </w:r>
    </w:p>
    <w:p w14:paraId="08AE0609" w14:textId="071FA01F" w:rsidR="00B874C8" w:rsidRDefault="00B874C8" w:rsidP="00DC6EC8">
      <w:pPr>
        <w:pStyle w:val="ListBullet"/>
      </w:pPr>
      <w:r>
        <w:t>The application proposes amendment of the existing entries for Aconitum spp. in Schedules</w:t>
      </w:r>
      <w:r w:rsidR="000522AE">
        <w:t> </w:t>
      </w:r>
      <w:r>
        <w:t xml:space="preserve">2 and 4 of the Poisons Standard to set appropriate limits on the toxins identified in </w:t>
      </w:r>
      <w:r w:rsidRPr="00C05467">
        <w:rPr>
          <w:i/>
        </w:rPr>
        <w:t>Aconitum carmichaelii</w:t>
      </w:r>
      <w:r>
        <w:t xml:space="preserve"> after processing.</w:t>
      </w:r>
    </w:p>
    <w:p w14:paraId="173BF493" w14:textId="4CB64CD3" w:rsidR="007B2894" w:rsidRDefault="00FC574F" w:rsidP="00DC6EC8">
      <w:pPr>
        <w:pStyle w:val="ListBullet"/>
      </w:pPr>
      <w:r>
        <w:t>Unprocessed Aconitum spp</w:t>
      </w:r>
      <w:r w:rsidR="007B2894" w:rsidRPr="00651313">
        <w:t>.</w:t>
      </w:r>
      <w:r>
        <w:t xml:space="preserve"> contain toxic levels of diester diterpenoid alkaloids, namely aconitine, hypaconitine and mesaconitine, which are known neurotoxins and cardiotoxins.</w:t>
      </w:r>
      <w:r w:rsidR="007B2894" w:rsidRPr="00651313">
        <w:t xml:space="preserve"> </w:t>
      </w:r>
      <w:r w:rsidR="000938CF">
        <w:t>The applicant claims p</w:t>
      </w:r>
      <w:r>
        <w:t>rocessing of the herb r</w:t>
      </w:r>
      <w:r w:rsidR="00CB0088">
        <w:t>educe</w:t>
      </w:r>
      <w:r w:rsidR="000938CF">
        <w:t>s</w:t>
      </w:r>
      <w:r w:rsidR="00CB0088">
        <w:t xml:space="preserve"> the</w:t>
      </w:r>
      <w:r>
        <w:t xml:space="preserve"> levels of these compounds</w:t>
      </w:r>
      <w:r w:rsidR="000938CF">
        <w:t>,</w:t>
      </w:r>
      <w:r>
        <w:t xml:space="preserve"> and is common practice for registered practitioners of Chinese herbal medicine.</w:t>
      </w:r>
    </w:p>
    <w:p w14:paraId="75686C71" w14:textId="26FD8A62" w:rsidR="00FC574F" w:rsidRPr="00651313" w:rsidRDefault="00FC574F" w:rsidP="00DC6EC8">
      <w:pPr>
        <w:pStyle w:val="ListBullet"/>
      </w:pPr>
      <w:r>
        <w:t xml:space="preserve">The constituents of the herb do not exhibit narcotic or psychotropic properties, and there is no </w:t>
      </w:r>
      <w:r w:rsidR="009E0D3D">
        <w:t xml:space="preserve">documented </w:t>
      </w:r>
      <w:r>
        <w:t>history of abuse or dependence.</w:t>
      </w:r>
    </w:p>
    <w:p w14:paraId="7222585B" w14:textId="027E9CF9" w:rsidR="007B2894" w:rsidRDefault="00FC574F" w:rsidP="00DC6EC8">
      <w:pPr>
        <w:pStyle w:val="ListBullet"/>
      </w:pPr>
      <w:r>
        <w:t>The processed herb is commonly used in China and other parts of the world, with a range of claimed benefits for common conditions including digestive disorders and abdominal pain, anti-inflammatory and antimicrobial effects</w:t>
      </w:r>
      <w:r w:rsidR="007B2894" w:rsidRPr="00651313">
        <w:t>.</w:t>
      </w:r>
    </w:p>
    <w:p w14:paraId="4E589F26" w14:textId="34B553F4" w:rsidR="006744DB" w:rsidRDefault="006744DB" w:rsidP="00DC6EC8">
      <w:pPr>
        <w:pStyle w:val="ListBullet"/>
      </w:pPr>
      <w:r>
        <w:t xml:space="preserve">The alkaloids that are the subject of the proposal are already used as markers for quality control by the Chinese Pharmacopoeia, which sets limits on the alkaloids that are at least as stringent </w:t>
      </w:r>
      <w:r w:rsidR="000938CF">
        <w:t>as</w:t>
      </w:r>
      <w:r>
        <w:t xml:space="preserve"> those currently imposed by the Poisons Standard.</w:t>
      </w:r>
    </w:p>
    <w:p w14:paraId="2E60241A" w14:textId="46389BD6" w:rsidR="006744DB" w:rsidRPr="00651313" w:rsidRDefault="00CB0088" w:rsidP="00DC6EC8">
      <w:pPr>
        <w:pStyle w:val="ListBullet"/>
      </w:pPr>
      <w:r>
        <w:t>The International Organisation is currently developing an international standard for Aconitum in Traditional Chinese Medicines</w:t>
      </w:r>
      <w:r w:rsidR="006744DB">
        <w:t xml:space="preserve"> for Standardisation, which will include various control parameters extending beyond alkaloid content (heavy metals, pesticides, other marker compounds</w:t>
      </w:r>
      <w:r w:rsidR="002C0BF3">
        <w:t>).</w:t>
      </w:r>
    </w:p>
    <w:p w14:paraId="2AA49AAA" w14:textId="7A371F29" w:rsidR="007B2894" w:rsidRPr="00651313" w:rsidRDefault="007B2894" w:rsidP="00DC6EC8">
      <w:pPr>
        <w:pStyle w:val="ListBullet"/>
      </w:pPr>
      <w:r w:rsidRPr="00651313">
        <w:t>Internat</w:t>
      </w:r>
      <w:r w:rsidR="00CB0088">
        <w:t>ional restrictions</w:t>
      </w:r>
    </w:p>
    <w:p w14:paraId="07CE2C20" w14:textId="1532AE1A" w:rsidR="007B2894" w:rsidRDefault="00605EFD" w:rsidP="00155822">
      <w:pPr>
        <w:pStyle w:val="ListBullet2"/>
      </w:pPr>
      <w:r w:rsidRPr="003C0B32">
        <w:t>According</w:t>
      </w:r>
      <w:r>
        <w:t xml:space="preserve"> to the applicant, b</w:t>
      </w:r>
      <w:r w:rsidR="006744DB">
        <w:t>oth Health Canada and the Chinese Pharma</w:t>
      </w:r>
      <w:r w:rsidR="00AD0E2E">
        <w:t xml:space="preserve">copoeia set </w:t>
      </w:r>
      <w:r w:rsidR="00B874C8">
        <w:t xml:space="preserve">permissible </w:t>
      </w:r>
      <w:r w:rsidR="00AD0E2E">
        <w:t>limits on the total</w:t>
      </w:r>
      <w:r w:rsidR="006744DB">
        <w:t xml:space="preserve"> amount of the alkaloids aconitine,</w:t>
      </w:r>
      <w:r w:rsidR="00AD0E2E">
        <w:t xml:space="preserve"> hypaconitine and mesaconitine at</w:t>
      </w:r>
      <w:r w:rsidR="006744DB">
        <w:t xml:space="preserve"> 0.02% w/w of the dry herb</w:t>
      </w:r>
      <w:r w:rsidR="007B2894" w:rsidRPr="00651313">
        <w:t>.</w:t>
      </w:r>
    </w:p>
    <w:p w14:paraId="0B7F7C3A" w14:textId="77777777" w:rsidR="007B2894" w:rsidRDefault="007B2894" w:rsidP="007B2894">
      <w:pPr>
        <w:pStyle w:val="Heading4"/>
      </w:pPr>
      <w:r w:rsidRPr="00DC5AE0">
        <w:t xml:space="preserve">Australian </w:t>
      </w:r>
      <w:r>
        <w:t>regulations</w:t>
      </w:r>
      <w:r w:rsidRPr="00DC5AE0">
        <w:t xml:space="preserve"> </w:t>
      </w:r>
    </w:p>
    <w:p w14:paraId="7DF3DB80" w14:textId="3B0D290F" w:rsidR="007B2894" w:rsidRDefault="007B2894" w:rsidP="00DC6EC8">
      <w:pPr>
        <w:pStyle w:val="ListBullet"/>
      </w:pPr>
      <w:r>
        <w:t xml:space="preserve">According to the </w:t>
      </w:r>
      <w:hyperlink r:id="rId59"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1"/>
      </w:r>
      <w:r>
        <w:t xml:space="preserve"> </w:t>
      </w:r>
      <w:r w:rsidR="006A1C00">
        <w:t>Aconitum carmichaelii</w:t>
      </w:r>
      <w:r>
        <w:t xml:space="preserve"> is:</w:t>
      </w:r>
    </w:p>
    <w:p w14:paraId="02ECFBAB" w14:textId="609F89F6" w:rsidR="006A1C00" w:rsidRDefault="006A1C00" w:rsidP="003C0B32">
      <w:pPr>
        <w:pStyle w:val="ListBullet2"/>
      </w:pPr>
      <w:r>
        <w:t>Available for use as an active ingredient in export only, listed and prescription medicines.</w:t>
      </w:r>
    </w:p>
    <w:p w14:paraId="637C966E" w14:textId="0824788E" w:rsidR="006A1C00" w:rsidRPr="006A1C00" w:rsidRDefault="006A1C00" w:rsidP="003C0B32">
      <w:pPr>
        <w:pStyle w:val="ListBullet2"/>
      </w:pPr>
      <w:r>
        <w:t xml:space="preserve">Available for use as a homeopathic ingredient in listed </w:t>
      </w:r>
      <w:r w:rsidRPr="003C0B32">
        <w:t>medicines</w:t>
      </w:r>
      <w:r>
        <w:t>.</w:t>
      </w:r>
    </w:p>
    <w:p w14:paraId="0F38AD99" w14:textId="565460F8" w:rsidR="007B2894" w:rsidRDefault="007B2894" w:rsidP="00DC6EC8">
      <w:pPr>
        <w:pStyle w:val="ListBullet"/>
      </w:pPr>
      <w:r>
        <w:t xml:space="preserve">As of </w:t>
      </w:r>
      <w:r w:rsidR="006A1C00" w:rsidRPr="006A1C00">
        <w:t>November 2020</w:t>
      </w:r>
      <w:r>
        <w:t>, t</w:t>
      </w:r>
      <w:r w:rsidRPr="00881DFE">
        <w:t xml:space="preserve">here </w:t>
      </w:r>
      <w:r>
        <w:t>were</w:t>
      </w:r>
      <w:r w:rsidRPr="00881DFE">
        <w:t xml:space="preserve"> </w:t>
      </w:r>
      <w:r w:rsidR="00802261">
        <w:t>16</w:t>
      </w:r>
      <w:r>
        <w:t xml:space="preserve"> medicine</w:t>
      </w:r>
      <w:r w:rsidRPr="00881DFE">
        <w:t xml:space="preserve">s currently active on the </w:t>
      </w:r>
      <w:hyperlink r:id="rId60" w:history="1">
        <w:r w:rsidRPr="00293CCA">
          <w:rPr>
            <w:rStyle w:val="Hyperlink"/>
          </w:rPr>
          <w:t>Australian Register of Therapeutic Goods (ARTG)</w:t>
        </w:r>
      </w:hyperlink>
      <w:r>
        <w:rPr>
          <w:rStyle w:val="FootnoteReference"/>
        </w:rPr>
        <w:footnoteReference w:id="42"/>
      </w:r>
      <w:r>
        <w:t xml:space="preserve"> that contain</w:t>
      </w:r>
      <w:r w:rsidRPr="00881DFE">
        <w:t xml:space="preserve"> </w:t>
      </w:r>
      <w:r w:rsidR="006A1C00">
        <w:t xml:space="preserve">Aconitum </w:t>
      </w:r>
      <w:r w:rsidR="00802261">
        <w:t>spp.</w:t>
      </w:r>
      <w:r>
        <w:t xml:space="preserve"> as an active ingredient</w:t>
      </w:r>
      <w:r w:rsidR="00802261">
        <w:t>, including two that contain Aconitum carmichaelii</w:t>
      </w:r>
      <w:r w:rsidRPr="00881DFE">
        <w:t>.</w:t>
      </w:r>
      <w:r>
        <w:t xml:space="preserve"> </w:t>
      </w:r>
      <w:r w:rsidR="00802261">
        <w:t xml:space="preserve">Both products containing </w:t>
      </w:r>
      <w:r w:rsidR="00802261" w:rsidRPr="00802261">
        <w:rPr>
          <w:i/>
        </w:rPr>
        <w:t>A.carmichael</w:t>
      </w:r>
      <w:r w:rsidR="00D810B6">
        <w:rPr>
          <w:i/>
        </w:rPr>
        <w:t>ii</w:t>
      </w:r>
      <w:r>
        <w:t xml:space="preserve"> </w:t>
      </w:r>
      <w:r w:rsidR="00802261">
        <w:t>were</w:t>
      </w:r>
      <w:r>
        <w:t xml:space="preserve"> </w:t>
      </w:r>
      <w:r w:rsidR="006A1C00">
        <w:t>listed</w:t>
      </w:r>
      <w:r>
        <w:t xml:space="preserve"> medicines.</w:t>
      </w:r>
      <w:r w:rsidR="00802261">
        <w:t xml:space="preserve"> Both formulations containing </w:t>
      </w:r>
      <w:r w:rsidR="00802261" w:rsidRPr="00802261">
        <w:rPr>
          <w:i/>
        </w:rPr>
        <w:t>A.carmichaelii</w:t>
      </w:r>
      <w:r w:rsidR="00802261">
        <w:t xml:space="preserve"> were pills.</w:t>
      </w:r>
    </w:p>
    <w:p w14:paraId="56229A5E" w14:textId="5EC7964D" w:rsidR="007B2894" w:rsidRDefault="007B2894" w:rsidP="00DC6EC8">
      <w:pPr>
        <w:pStyle w:val="ListBullet"/>
      </w:pPr>
      <w:r>
        <w:t xml:space="preserve">According to the </w:t>
      </w:r>
      <w:hyperlink r:id="rId61" w:history="1">
        <w:r w:rsidRPr="00824CAC">
          <w:rPr>
            <w:rStyle w:val="Hyperlink"/>
          </w:rPr>
          <w:t>Therapeutic Goods (Permissible Ingredients) Determination</w:t>
        </w:r>
      </w:hyperlink>
      <w:r>
        <w:rPr>
          <w:rStyle w:val="FootnoteReference"/>
        </w:rPr>
        <w:footnoteReference w:id="43"/>
      </w:r>
      <w:r w:rsidRPr="009C55D5">
        <w:t xml:space="preserve"> No.</w:t>
      </w:r>
      <w:r w:rsidR="00177D86">
        <w:t>3</w:t>
      </w:r>
      <w:r w:rsidRPr="009C55D5">
        <w:t xml:space="preserve"> </w:t>
      </w:r>
      <w:r w:rsidRPr="00177D86">
        <w:t>of 20</w:t>
      </w:r>
      <w:r w:rsidR="00177D86" w:rsidRPr="00177D86">
        <w:t>20</w:t>
      </w:r>
      <w:r>
        <w:t>,</w:t>
      </w:r>
      <w:r w:rsidRPr="009C55D5">
        <w:t xml:space="preserve"> </w:t>
      </w:r>
      <w:r w:rsidR="00177D86">
        <w:t>Aconitum ca</w:t>
      </w:r>
      <w:r w:rsidR="00716774">
        <w:t>r</w:t>
      </w:r>
      <w:r w:rsidR="00177D86">
        <w:t>michaelii</w:t>
      </w:r>
      <w:r>
        <w:t xml:space="preserve"> is permitted to be included in listed medicines as follows:</w:t>
      </w:r>
    </w:p>
    <w:tbl>
      <w:tblPr>
        <w:tblStyle w:val="TableTGAblue"/>
        <w:tblW w:w="0" w:type="auto"/>
        <w:tblInd w:w="360" w:type="dxa"/>
        <w:tblLook w:val="04A0" w:firstRow="1" w:lastRow="0" w:firstColumn="1" w:lastColumn="0" w:noHBand="0" w:noVBand="1"/>
      </w:tblPr>
      <w:tblGrid>
        <w:gridCol w:w="753"/>
        <w:gridCol w:w="2655"/>
        <w:gridCol w:w="1093"/>
        <w:gridCol w:w="4189"/>
      </w:tblGrid>
      <w:tr w:rsidR="007B2894" w:rsidRPr="006112EA" w14:paraId="36568190" w14:textId="77777777" w:rsidTr="007B2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dxa"/>
          </w:tcPr>
          <w:p w14:paraId="0888EF41" w14:textId="77777777" w:rsidR="007B2894" w:rsidRPr="006112EA" w:rsidRDefault="007B2894" w:rsidP="00DC6EC8">
            <w:pPr>
              <w:pStyle w:val="ListBullet"/>
              <w:numPr>
                <w:ilvl w:val="0"/>
                <w:numId w:val="0"/>
              </w:numPr>
            </w:pPr>
            <w:r w:rsidRPr="006112EA">
              <w:t>Item</w:t>
            </w:r>
          </w:p>
        </w:tc>
        <w:tc>
          <w:tcPr>
            <w:tcW w:w="2892" w:type="dxa"/>
          </w:tcPr>
          <w:p w14:paraId="084F41B2" w14:textId="77777777" w:rsidR="007B2894" w:rsidRPr="006112EA" w:rsidRDefault="007B2894"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6112EA">
              <w:t>Ingredient name</w:t>
            </w:r>
          </w:p>
        </w:tc>
        <w:tc>
          <w:tcPr>
            <w:tcW w:w="1100" w:type="dxa"/>
          </w:tcPr>
          <w:p w14:paraId="6397FC2A" w14:textId="77777777" w:rsidR="007B2894" w:rsidRPr="006112EA" w:rsidRDefault="007B2894"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6112EA">
              <w:t>Purpose</w:t>
            </w:r>
          </w:p>
        </w:tc>
        <w:tc>
          <w:tcPr>
            <w:tcW w:w="4734" w:type="dxa"/>
          </w:tcPr>
          <w:p w14:paraId="58B1C16E" w14:textId="77777777" w:rsidR="007B2894" w:rsidRPr="006112EA" w:rsidRDefault="007B2894"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6112EA">
              <w:t>Specific requirements</w:t>
            </w:r>
          </w:p>
        </w:tc>
      </w:tr>
      <w:tr w:rsidR="007B2894" w:rsidRPr="006112EA" w14:paraId="72BA455B" w14:textId="77777777" w:rsidTr="007B2894">
        <w:tc>
          <w:tcPr>
            <w:cnfStyle w:val="001000000000" w:firstRow="0" w:lastRow="0" w:firstColumn="1" w:lastColumn="0" w:oddVBand="0" w:evenVBand="0" w:oddHBand="0" w:evenHBand="0" w:firstRowFirstColumn="0" w:firstRowLastColumn="0" w:lastRowFirstColumn="0" w:lastRowLastColumn="0"/>
            <w:tcW w:w="768" w:type="dxa"/>
          </w:tcPr>
          <w:p w14:paraId="2FB53AAB" w14:textId="24F3C4FB" w:rsidR="007B2894" w:rsidRPr="006112EA" w:rsidRDefault="00177D86" w:rsidP="007B2894">
            <w:pPr>
              <w:keepNext/>
              <w:keepLines/>
              <w:rPr>
                <w:sz w:val="20"/>
                <w:szCs w:val="20"/>
              </w:rPr>
            </w:pPr>
            <w:r>
              <w:rPr>
                <w:sz w:val="20"/>
                <w:szCs w:val="20"/>
              </w:rPr>
              <w:t>351</w:t>
            </w:r>
          </w:p>
        </w:tc>
        <w:tc>
          <w:tcPr>
            <w:tcW w:w="2892" w:type="dxa"/>
          </w:tcPr>
          <w:p w14:paraId="5698854A" w14:textId="3633053A" w:rsidR="007B2894" w:rsidRPr="006112EA" w:rsidRDefault="00177D86" w:rsidP="007B2894">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ACONITUM CARMICHAELII</w:t>
            </w:r>
          </w:p>
        </w:tc>
        <w:tc>
          <w:tcPr>
            <w:tcW w:w="1100" w:type="dxa"/>
          </w:tcPr>
          <w:p w14:paraId="343E598D" w14:textId="535EDA91" w:rsidR="007B2894" w:rsidRPr="006112EA" w:rsidRDefault="00177D86" w:rsidP="007B2894">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H</w:t>
            </w:r>
          </w:p>
        </w:tc>
        <w:tc>
          <w:tcPr>
            <w:tcW w:w="4734" w:type="dxa"/>
          </w:tcPr>
          <w:p w14:paraId="30A31D9D" w14:textId="77777777" w:rsidR="007B2894" w:rsidRDefault="00177D86" w:rsidP="007B2894">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Total alkaloids (of Aconitum spp.) is a mandatory component of Aconitum carmichaelii.</w:t>
            </w:r>
          </w:p>
          <w:p w14:paraId="56FE3EC1" w14:textId="0494E4C7" w:rsidR="00177D86" w:rsidRPr="006112EA" w:rsidRDefault="00177D86" w:rsidP="007B2894">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maximum amount of total alkaloids(of Aconitum spp.) must be no more than 0.02 milligrams </w:t>
            </w:r>
          </w:p>
        </w:tc>
      </w:tr>
      <w:tr w:rsidR="007B2894" w:rsidRPr="006112EA" w14:paraId="7B04ED38" w14:textId="77777777" w:rsidTr="007B2894">
        <w:tc>
          <w:tcPr>
            <w:cnfStyle w:val="001000000000" w:firstRow="0" w:lastRow="0" w:firstColumn="1" w:lastColumn="0" w:oddVBand="0" w:evenVBand="0" w:oddHBand="0" w:evenHBand="0" w:firstRowFirstColumn="0" w:firstRowLastColumn="0" w:lastRowFirstColumn="0" w:lastRowLastColumn="0"/>
            <w:tcW w:w="9494" w:type="dxa"/>
            <w:gridSpan w:val="4"/>
          </w:tcPr>
          <w:p w14:paraId="6F03ACB1" w14:textId="4AFE2CCE" w:rsidR="007B2894" w:rsidRDefault="007B2894" w:rsidP="00177D86">
            <w:pPr>
              <w:keepNext/>
              <w:keepLines/>
              <w:rPr>
                <w:sz w:val="20"/>
              </w:rPr>
            </w:pPr>
            <w:r w:rsidRPr="00DA08B0">
              <w:rPr>
                <w:sz w:val="16"/>
                <w:szCs w:val="16"/>
              </w:rPr>
              <w:t>A = active ingredient for a medicine has the same meaning as in the Regulations</w:t>
            </w:r>
            <w:r>
              <w:rPr>
                <w:sz w:val="16"/>
                <w:szCs w:val="16"/>
              </w:rPr>
              <w:br/>
            </w:r>
            <w:r w:rsidRPr="00DA08B0">
              <w:rPr>
                <w:sz w:val="16"/>
                <w:szCs w:val="16"/>
              </w:rPr>
              <w:t>H = homoeopathic preparation ingredient meaning an ingredient that is a constituent of a homoeopathic preparation</w:t>
            </w:r>
          </w:p>
        </w:tc>
      </w:tr>
    </w:tbl>
    <w:p w14:paraId="64B65DE3" w14:textId="4F59543D" w:rsidR="007B2894" w:rsidRDefault="007B2894" w:rsidP="00DC6EC8">
      <w:pPr>
        <w:pStyle w:val="ListBullet"/>
      </w:pPr>
      <w:r>
        <w:t xml:space="preserve">The </w:t>
      </w:r>
      <w:hyperlink r:id="rId62"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4"/>
      </w:r>
      <w:r>
        <w:t xml:space="preserve"> </w:t>
      </w:r>
      <w:r w:rsidR="00177D86">
        <w:t>does not include A</w:t>
      </w:r>
      <w:r w:rsidR="00AD0E2E">
        <w:t>conitum carmichaelii.</w:t>
      </w:r>
    </w:p>
    <w:p w14:paraId="64FB8658" w14:textId="1C67C0BC" w:rsidR="007B2894" w:rsidRDefault="007B2894" w:rsidP="00DC6EC8">
      <w:pPr>
        <w:pStyle w:val="ListBullet"/>
      </w:pPr>
      <w:r>
        <w:t xml:space="preserve">There are no </w:t>
      </w:r>
      <w:r w:rsidRPr="00A30084">
        <w:t xml:space="preserve">warning statements pertaining </w:t>
      </w:r>
      <w:r>
        <w:t xml:space="preserve">to </w:t>
      </w:r>
      <w:r w:rsidR="00E320FC">
        <w:t>Aconitum carmichaelii</w:t>
      </w:r>
      <w:r>
        <w:t xml:space="preserve"> in the </w:t>
      </w:r>
      <w:hyperlink r:id="rId63" w:history="1">
        <w:r w:rsidRPr="00AB7BF5">
          <w:rPr>
            <w:rStyle w:val="Hyperlink"/>
          </w:rPr>
          <w:t>Therapeutic Goods (Medicines Advisory Statements) Specification 2019</w:t>
        </w:r>
      </w:hyperlink>
      <w:r>
        <w:rPr>
          <w:rStyle w:val="FootnoteReference"/>
        </w:rPr>
        <w:footnoteReference w:id="45"/>
      </w:r>
    </w:p>
    <w:p w14:paraId="3234D6D9" w14:textId="4F5E7CA0" w:rsidR="007B2894" w:rsidRPr="009C55D5" w:rsidRDefault="007B2894" w:rsidP="00DC6EC8">
      <w:pPr>
        <w:pStyle w:val="ListBullet"/>
      </w:pPr>
      <w:r>
        <w:t xml:space="preserve">As of </w:t>
      </w:r>
      <w:r w:rsidR="00AD0E2E" w:rsidRPr="00AD0E2E">
        <w:t>November 2020</w:t>
      </w:r>
      <w:r>
        <w:t>, there were</w:t>
      </w:r>
      <w:r w:rsidRPr="009C55D5">
        <w:t xml:space="preserve"> </w:t>
      </w:r>
      <w:r w:rsidR="00AD0E2E">
        <w:t>no</w:t>
      </w:r>
      <w:r w:rsidRPr="009C55D5">
        <w:t xml:space="preserve"> reports of adverse events for products containing </w:t>
      </w:r>
      <w:r w:rsidR="00AD0E2E">
        <w:t>Aconitum carmichaelii</w:t>
      </w:r>
      <w:r w:rsidRPr="009C55D5">
        <w:t xml:space="preserve"> as an active ingredient</w:t>
      </w:r>
      <w:r>
        <w:t xml:space="preserve"> on the </w:t>
      </w:r>
      <w:hyperlink r:id="rId64" w:history="1">
        <w:r w:rsidRPr="00F0449C">
          <w:rPr>
            <w:rStyle w:val="Hyperlink"/>
          </w:rPr>
          <w:t>Database of Adverse Event Notifications (DAEN)</w:t>
        </w:r>
      </w:hyperlink>
      <w:r w:rsidR="00AD0E2E">
        <w:rPr>
          <w:rStyle w:val="Hyperlink"/>
        </w:rPr>
        <w:t>.</w:t>
      </w:r>
      <w:r w:rsidRPr="00F0449C">
        <w:rPr>
          <w:rStyle w:val="FootnoteReference"/>
        </w:rPr>
        <w:footnoteReference w:id="46"/>
      </w:r>
    </w:p>
    <w:p w14:paraId="138BC377" w14:textId="67E8E14C" w:rsidR="007B2894" w:rsidRDefault="007B2894" w:rsidP="00DC6EC8">
      <w:pPr>
        <w:pStyle w:val="ListBullet"/>
      </w:pPr>
      <w:r>
        <w:t xml:space="preserve">As of </w:t>
      </w:r>
      <w:r w:rsidR="00AD0E2E" w:rsidRPr="00AD0E2E">
        <w:t>November 2020</w:t>
      </w:r>
      <w:r>
        <w:t>, t</w:t>
      </w:r>
      <w:r w:rsidRPr="00F0449C">
        <w:t xml:space="preserve">here </w:t>
      </w:r>
      <w:r>
        <w:t>were</w:t>
      </w:r>
      <w:r w:rsidRPr="00F0449C">
        <w:t xml:space="preserve"> </w:t>
      </w:r>
      <w:r w:rsidRPr="00AD0E2E">
        <w:t>no</w:t>
      </w:r>
      <w:r w:rsidRPr="00F0449C">
        <w:t xml:space="preserve"> products containing </w:t>
      </w:r>
      <w:r w:rsidR="00AD0E2E">
        <w:t>Aconitum carmichaelii</w:t>
      </w:r>
      <w:r w:rsidRPr="00F0449C">
        <w:t xml:space="preserve"> listed on the </w:t>
      </w:r>
      <w:hyperlink r:id="rId65"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47"/>
      </w:r>
    </w:p>
    <w:p w14:paraId="73D668B2" w14:textId="77777777" w:rsidR="007B2894" w:rsidRPr="00CB687C" w:rsidRDefault="007B2894" w:rsidP="007B2894">
      <w:pPr>
        <w:pStyle w:val="Heading4"/>
      </w:pPr>
      <w:r>
        <w:t>International regulations</w:t>
      </w:r>
    </w:p>
    <w:p w14:paraId="45F2E4BD" w14:textId="21F387F6" w:rsidR="00D15A61" w:rsidRDefault="00D15A61" w:rsidP="00DC6EC8">
      <w:pPr>
        <w:pStyle w:val="ListBullet"/>
      </w:pPr>
      <w:r>
        <w:t xml:space="preserve">Aconitum spp. are not listed on the </w:t>
      </w:r>
      <w:hyperlink r:id="rId66" w:history="1">
        <w:r w:rsidRPr="00D46E56">
          <w:rPr>
            <w:rStyle w:val="Hyperlink"/>
          </w:rPr>
          <w:t>Food and Drugs Administration Approved Drugs Database</w:t>
        </w:r>
      </w:hyperlink>
      <w:r w:rsidR="005D5806">
        <w:rPr>
          <w:rStyle w:val="FootnoteReference"/>
        </w:rPr>
        <w:footnoteReference w:id="48"/>
      </w:r>
      <w:r>
        <w:t xml:space="preserve"> or the </w:t>
      </w:r>
      <w:hyperlink r:id="rId67" w:history="1">
        <w:r w:rsidRPr="00D15A61">
          <w:rPr>
            <w:rStyle w:val="Hyperlink"/>
          </w:rPr>
          <w:t>Health Canada Drug Product Database</w:t>
        </w:r>
      </w:hyperlink>
      <w:r w:rsidR="005D5806">
        <w:rPr>
          <w:rStyle w:val="FootnoteReference"/>
        </w:rPr>
        <w:footnoteReference w:id="49"/>
      </w:r>
      <w:r>
        <w:t>.</w:t>
      </w:r>
    </w:p>
    <w:p w14:paraId="33EC0C87" w14:textId="5F25BDE5" w:rsidR="007B2894" w:rsidRDefault="00E320FC" w:rsidP="00DC6EC8">
      <w:pPr>
        <w:pStyle w:val="ListBullet"/>
      </w:pPr>
      <w:r>
        <w:t xml:space="preserve">According to the </w:t>
      </w:r>
      <w:hyperlink r:id="rId68" w:history="1">
        <w:r w:rsidRPr="00D15A61">
          <w:rPr>
            <w:rStyle w:val="Hyperlink"/>
          </w:rPr>
          <w:t>Medsafe Medicine Classification Database</w:t>
        </w:r>
      </w:hyperlink>
      <w:r w:rsidR="00D15A61">
        <w:rPr>
          <w:rStyle w:val="FootnoteReference"/>
        </w:rPr>
        <w:footnoteReference w:id="50"/>
      </w:r>
      <w:r>
        <w:t xml:space="preserve">, </w:t>
      </w:r>
      <w:r w:rsidRPr="00C05467">
        <w:rPr>
          <w:i/>
        </w:rPr>
        <w:t>Aconitum spp</w:t>
      </w:r>
      <w:r>
        <w:t>. are regulated as:</w:t>
      </w:r>
    </w:p>
    <w:tbl>
      <w:tblPr>
        <w:tblStyle w:val="TableTGAblue"/>
        <w:tblW w:w="5000" w:type="pct"/>
        <w:tblInd w:w="357" w:type="dxa"/>
        <w:tblLook w:val="04A0" w:firstRow="1" w:lastRow="0" w:firstColumn="1" w:lastColumn="0" w:noHBand="0" w:noVBand="1"/>
      </w:tblPr>
      <w:tblGrid>
        <w:gridCol w:w="1705"/>
        <w:gridCol w:w="5379"/>
        <w:gridCol w:w="1966"/>
      </w:tblGrid>
      <w:tr w:rsidR="00E320FC" w14:paraId="7A7457D1" w14:textId="77777777" w:rsidTr="0018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0C6A2953" w14:textId="77777777" w:rsidR="00E320FC" w:rsidRPr="00702170" w:rsidRDefault="00E320FC" w:rsidP="00DC6EC8">
            <w:pPr>
              <w:pStyle w:val="ListBullet"/>
              <w:numPr>
                <w:ilvl w:val="0"/>
                <w:numId w:val="0"/>
              </w:numPr>
            </w:pPr>
            <w:r>
              <w:t>Ingredient</w:t>
            </w:r>
          </w:p>
        </w:tc>
        <w:tc>
          <w:tcPr>
            <w:tcW w:w="2972" w:type="pct"/>
          </w:tcPr>
          <w:p w14:paraId="5FC0112B" w14:textId="77777777" w:rsidR="00E320FC" w:rsidRPr="00702170" w:rsidRDefault="00E320FC"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6" w:type="pct"/>
          </w:tcPr>
          <w:p w14:paraId="665F8B6A" w14:textId="77777777" w:rsidR="00E320FC" w:rsidRPr="00702170" w:rsidRDefault="00E320FC" w:rsidP="00DC6EC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E320FC" w14:paraId="00061583" w14:textId="77777777" w:rsidTr="001864C1">
        <w:tc>
          <w:tcPr>
            <w:cnfStyle w:val="001000000000" w:firstRow="0" w:lastRow="0" w:firstColumn="1" w:lastColumn="0" w:oddVBand="0" w:evenVBand="0" w:oddHBand="0" w:evenHBand="0" w:firstRowFirstColumn="0" w:firstRowLastColumn="0" w:lastRowFirstColumn="0" w:lastRowLastColumn="0"/>
            <w:tcW w:w="942" w:type="pct"/>
          </w:tcPr>
          <w:p w14:paraId="5C59E5DC" w14:textId="57E59A24" w:rsidR="00E320FC" w:rsidRPr="00702170" w:rsidRDefault="00E320FC" w:rsidP="00DC6EC8">
            <w:pPr>
              <w:pStyle w:val="ListBullet"/>
              <w:numPr>
                <w:ilvl w:val="0"/>
                <w:numId w:val="0"/>
              </w:numPr>
              <w:rPr>
                <w:szCs w:val="20"/>
              </w:rPr>
            </w:pPr>
            <w:r>
              <w:t>Aconitum spp.</w:t>
            </w:r>
          </w:p>
        </w:tc>
        <w:tc>
          <w:tcPr>
            <w:tcW w:w="2972" w:type="pct"/>
          </w:tcPr>
          <w:p w14:paraId="7FD4095A" w14:textId="68E05239" w:rsidR="00E320FC" w:rsidRPr="00591D5F"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E320FC">
              <w:rPr>
                <w:b/>
              </w:rPr>
              <w:t>Except</w:t>
            </w:r>
            <w:r>
              <w:t xml:space="preserve"> when specified elsewhere in this schedule</w:t>
            </w:r>
          </w:p>
        </w:tc>
        <w:tc>
          <w:tcPr>
            <w:tcW w:w="1086" w:type="pct"/>
          </w:tcPr>
          <w:p w14:paraId="0477B923" w14:textId="77777777" w:rsidR="00E320FC" w:rsidRPr="00702170"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E320FC" w14:paraId="1B845A1C" w14:textId="77777777" w:rsidTr="001864C1">
        <w:tc>
          <w:tcPr>
            <w:cnfStyle w:val="001000000000" w:firstRow="0" w:lastRow="0" w:firstColumn="1" w:lastColumn="0" w:oddVBand="0" w:evenVBand="0" w:oddHBand="0" w:evenHBand="0" w:firstRowFirstColumn="0" w:firstRowLastColumn="0" w:lastRowFirstColumn="0" w:lastRowLastColumn="0"/>
            <w:tcW w:w="942" w:type="pct"/>
          </w:tcPr>
          <w:p w14:paraId="0473F2FF" w14:textId="66FB7B7B" w:rsidR="00E320FC" w:rsidRPr="00702170" w:rsidRDefault="00E320FC" w:rsidP="00DC6EC8">
            <w:pPr>
              <w:pStyle w:val="ListBullet"/>
              <w:numPr>
                <w:ilvl w:val="0"/>
                <w:numId w:val="0"/>
              </w:numPr>
              <w:rPr>
                <w:szCs w:val="20"/>
              </w:rPr>
            </w:pPr>
            <w:r>
              <w:t>Aconitum spp.</w:t>
            </w:r>
          </w:p>
        </w:tc>
        <w:tc>
          <w:tcPr>
            <w:tcW w:w="2972" w:type="pct"/>
          </w:tcPr>
          <w:p w14:paraId="6F3DE126" w14:textId="390FC0A2" w:rsidR="00E320FC" w:rsidRPr="00702170"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For oral use in packs containing 0..2 milligrams or less and more than 0.02 milligrams of total alkaloids;</w:t>
            </w:r>
            <w:r>
              <w:br/>
            </w:r>
            <w:r w:rsidRPr="00E320FC">
              <w:t>for dermal use in concentrations of 0.02% or less and in packs containing 0.2 milligrams or less and more than 0.02 milligrams of total alkaloids</w:t>
            </w:r>
          </w:p>
        </w:tc>
        <w:tc>
          <w:tcPr>
            <w:tcW w:w="1086" w:type="pct"/>
          </w:tcPr>
          <w:p w14:paraId="33F3655C" w14:textId="77777777" w:rsidR="00E320FC" w:rsidRPr="00702170"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Pharmacy Only</w:t>
            </w:r>
          </w:p>
        </w:tc>
      </w:tr>
      <w:tr w:rsidR="00E320FC" w14:paraId="4C25AD2E" w14:textId="77777777" w:rsidTr="001864C1">
        <w:tc>
          <w:tcPr>
            <w:cnfStyle w:val="001000000000" w:firstRow="0" w:lastRow="0" w:firstColumn="1" w:lastColumn="0" w:oddVBand="0" w:evenVBand="0" w:oddHBand="0" w:evenHBand="0" w:firstRowFirstColumn="0" w:firstRowLastColumn="0" w:lastRowFirstColumn="0" w:lastRowLastColumn="0"/>
            <w:tcW w:w="942" w:type="pct"/>
          </w:tcPr>
          <w:p w14:paraId="3F8195ED" w14:textId="40D66E95" w:rsidR="00E320FC" w:rsidRDefault="00E320FC" w:rsidP="00DC6EC8">
            <w:pPr>
              <w:pStyle w:val="ListBullet"/>
              <w:numPr>
                <w:ilvl w:val="0"/>
                <w:numId w:val="0"/>
              </w:numPr>
            </w:pPr>
            <w:r>
              <w:t>Aconitum spp.</w:t>
            </w:r>
          </w:p>
        </w:tc>
        <w:tc>
          <w:tcPr>
            <w:tcW w:w="2972" w:type="pct"/>
          </w:tcPr>
          <w:p w14:paraId="69616FF3" w14:textId="771161A4" w:rsidR="00E320FC" w:rsidRPr="00591D5F"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E320FC">
              <w:t>for oral use in packs containing 0.02 milligrams or less of total alkaloids;</w:t>
            </w:r>
            <w:r w:rsidRPr="00E320FC">
              <w:br/>
              <w:t>for dermal use in concentrations 0.02% or less and in packs containing 0.02 milligrams or less of total alkaloids</w:t>
            </w:r>
          </w:p>
        </w:tc>
        <w:tc>
          <w:tcPr>
            <w:tcW w:w="1086" w:type="pct"/>
          </w:tcPr>
          <w:p w14:paraId="5A10A8B9" w14:textId="77777777" w:rsidR="00E320FC" w:rsidRDefault="00E320FC" w:rsidP="00DC6EC8">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General Sale</w:t>
            </w:r>
          </w:p>
        </w:tc>
      </w:tr>
    </w:tbl>
    <w:p w14:paraId="5BF51EBC" w14:textId="3338DC52" w:rsidR="00C36465" w:rsidRPr="00634B40" w:rsidRDefault="00C36465" w:rsidP="00155822">
      <w:pPr>
        <w:pStyle w:val="Heading2"/>
        <w:pageBreakBefore/>
        <w:ind w:left="431" w:hanging="431"/>
      </w:pPr>
      <w:bookmarkStart w:id="9" w:name="_How_to_respond"/>
      <w:bookmarkStart w:id="10" w:name="_Toc56500997"/>
      <w:bookmarkStart w:id="11" w:name="_Toc59540950"/>
      <w:bookmarkEnd w:id="9"/>
      <w:r>
        <w:t xml:space="preserve">Proposed amendments referred for scheduling advice to </w:t>
      </w:r>
      <w:r w:rsidRPr="00634B40">
        <w:t>ACCS #30</w:t>
      </w:r>
      <w:bookmarkEnd w:id="10"/>
      <w:bookmarkEnd w:id="11"/>
    </w:p>
    <w:p w14:paraId="65A8E6D0" w14:textId="7BF610D8" w:rsidR="00C36465" w:rsidRDefault="00C36465" w:rsidP="00C36465">
      <w:pPr>
        <w:pStyle w:val="Heading3"/>
      </w:pPr>
      <w:bookmarkStart w:id="12" w:name="_Toc56500998"/>
      <w:bookmarkStart w:id="13" w:name="_Toc59540951"/>
      <w:r>
        <w:t>Lead (in paint)</w:t>
      </w:r>
      <w:bookmarkEnd w:id="12"/>
      <w:bookmarkEnd w:id="13"/>
    </w:p>
    <w:p w14:paraId="1BABB592" w14:textId="77777777" w:rsidR="00C36465" w:rsidRDefault="00C36465" w:rsidP="00C36465">
      <w:pPr>
        <w:pStyle w:val="Heading4"/>
      </w:pPr>
      <w:r>
        <w:t>Proposal</w:t>
      </w:r>
    </w:p>
    <w:p w14:paraId="25616D1F" w14:textId="508DB643" w:rsidR="00C36465" w:rsidRPr="000D2654" w:rsidRDefault="00C36465" w:rsidP="00C36465">
      <w:r w:rsidRPr="000D2654">
        <w:t xml:space="preserve">Amend the Schedule 10 entry for </w:t>
      </w:r>
      <w:r w:rsidR="00B261E6" w:rsidRPr="000D2654">
        <w:t xml:space="preserve">lead </w:t>
      </w:r>
      <w:r w:rsidRPr="000D2654">
        <w:t>in paint in the Poisons Standard (and any other relevant sections of the Poisons Standard) to reduce the permiss</w:t>
      </w:r>
      <w:r w:rsidR="00CA7F0E">
        <w:t>ible level from 0.1% to 0.009%.</w:t>
      </w:r>
    </w:p>
    <w:p w14:paraId="25A3F1E4" w14:textId="77777777" w:rsidR="00C36465" w:rsidRDefault="00C36465" w:rsidP="00C36465">
      <w:pPr>
        <w:pStyle w:val="Heading4"/>
      </w:pPr>
      <w:r>
        <w:t>CAS Number:</w:t>
      </w:r>
    </w:p>
    <w:p w14:paraId="1D837113" w14:textId="77777777" w:rsidR="00C36465" w:rsidRDefault="00C36465" w:rsidP="00C36465">
      <w:r w:rsidRPr="004B1A6E">
        <w:t>7439-92-1</w:t>
      </w:r>
    </w:p>
    <w:p w14:paraId="5695B70C" w14:textId="77777777" w:rsidR="00C36465" w:rsidRDefault="00C36465" w:rsidP="00C36465">
      <w:pPr>
        <w:pStyle w:val="Heading4"/>
      </w:pPr>
      <w:r>
        <w:t>Alternative names</w:t>
      </w:r>
    </w:p>
    <w:p w14:paraId="489C3CB2" w14:textId="77777777" w:rsidR="00C36465" w:rsidRDefault="00C36465" w:rsidP="00C36465">
      <w:r>
        <w:t>N/A</w:t>
      </w:r>
    </w:p>
    <w:p w14:paraId="2CD163BD" w14:textId="77777777" w:rsidR="00C36465" w:rsidRDefault="00C36465" w:rsidP="00C36465">
      <w:pPr>
        <w:pStyle w:val="Heading4"/>
      </w:pPr>
      <w:r>
        <w:t>Applicant</w:t>
      </w:r>
    </w:p>
    <w:p w14:paraId="77EC12C9" w14:textId="77777777" w:rsidR="00C36465" w:rsidRDefault="00C36465" w:rsidP="00C36465">
      <w:r w:rsidRPr="004B1A6E">
        <w:t>Private applicant</w:t>
      </w:r>
    </w:p>
    <w:p w14:paraId="3699B403" w14:textId="77777777" w:rsidR="00C36465" w:rsidRDefault="00C36465" w:rsidP="00C36465">
      <w:pPr>
        <w:pStyle w:val="Heading4"/>
      </w:pPr>
      <w:r>
        <w:t>Current scheduling</w:t>
      </w:r>
    </w:p>
    <w:p w14:paraId="419BAED5" w14:textId="77777777" w:rsidR="00C36465" w:rsidRDefault="00C36465" w:rsidP="00C36465">
      <w:r w:rsidRPr="004B1A6E">
        <w:t xml:space="preserve">Lead </w:t>
      </w:r>
      <w:r>
        <w:t>(in paint) is currently in Schedule</w:t>
      </w:r>
      <w:r w:rsidRPr="004B1A6E">
        <w:t xml:space="preserve"> </w:t>
      </w:r>
      <w:r>
        <w:t xml:space="preserve">10 </w:t>
      </w:r>
      <w:r w:rsidRPr="004B1A6E">
        <w:t>of the Poisons Standard as follows:</w:t>
      </w:r>
    </w:p>
    <w:p w14:paraId="0C8EEFC2" w14:textId="77777777" w:rsidR="00C36465" w:rsidRPr="004B1A6E" w:rsidRDefault="00C36465" w:rsidP="00C36465">
      <w:pPr>
        <w:ind w:firstLine="426"/>
        <w:rPr>
          <w:b/>
          <w:color w:val="000000"/>
          <w:shd w:val="clear" w:color="auto" w:fill="FFFFFF"/>
        </w:rPr>
      </w:pPr>
      <w:r w:rsidRPr="004B1A6E">
        <w:rPr>
          <w:b/>
          <w:color w:val="000000"/>
          <w:shd w:val="clear" w:color="auto" w:fill="FFFFFF"/>
        </w:rPr>
        <w:t>Schedule 10</w:t>
      </w:r>
    </w:p>
    <w:p w14:paraId="629098CD" w14:textId="77777777" w:rsidR="00C36465" w:rsidRDefault="00C36465" w:rsidP="00C36465">
      <w:pPr>
        <w:ind w:left="426"/>
      </w:pPr>
      <w:r>
        <w:rPr>
          <w:color w:val="000000"/>
          <w:shd w:val="clear" w:color="auto" w:fill="FFFFFF"/>
        </w:rPr>
        <w:t>LEAD COMPOUNDS in paints, tinters, inks or ink additives </w:t>
      </w:r>
      <w:r>
        <w:rPr>
          <w:b/>
          <w:bCs/>
          <w:color w:val="000000"/>
          <w:shd w:val="clear" w:color="auto" w:fill="FFFFFF"/>
        </w:rPr>
        <w:t>except</w:t>
      </w:r>
      <w:r>
        <w:rPr>
          <w:color w:val="000000"/>
          <w:shd w:val="clear" w:color="auto" w:fill="FFFFFF"/>
        </w:rPr>
        <w:t> in preparations containing 0.1 per cent or less of lead calculated on the non-volatile content of the paint, tinter, ink or ink additive.</w:t>
      </w:r>
    </w:p>
    <w:p w14:paraId="6042DA92" w14:textId="741B03CA" w:rsidR="00C36465" w:rsidRDefault="00CA7F0E" w:rsidP="00C36465">
      <w:pPr>
        <w:pStyle w:val="Heading4"/>
      </w:pPr>
      <w:r>
        <w:t>Proposed scheduling</w:t>
      </w:r>
    </w:p>
    <w:p w14:paraId="7FC7F4AB" w14:textId="5F5F3A1D" w:rsidR="00C36465" w:rsidRDefault="00A92BB4" w:rsidP="00C36465">
      <w:r>
        <w:t>An application has been made to</w:t>
      </w:r>
      <w:r w:rsidR="00C36465" w:rsidRPr="00DF5AFC">
        <w:t xml:space="preserve"> </w:t>
      </w:r>
      <w:r w:rsidR="00C36465">
        <w:t>re</w:t>
      </w:r>
      <w:r>
        <w:t>duce</w:t>
      </w:r>
      <w:r w:rsidR="00C36465" w:rsidRPr="00DF5AFC">
        <w:t xml:space="preserve"> the allowable limit for lead in paint from 0.1% </w:t>
      </w:r>
      <w:r w:rsidR="00C36465">
        <w:t xml:space="preserve">(1000ppm) </w:t>
      </w:r>
      <w:r w:rsidR="00C36465" w:rsidRPr="00DF5AFC">
        <w:t>to 0.009%</w:t>
      </w:r>
      <w:r w:rsidR="00C36465">
        <w:t xml:space="preserve"> (90ppm)</w:t>
      </w:r>
      <w:r w:rsidR="00C36465" w:rsidRPr="00DF5AFC">
        <w:t>.</w:t>
      </w:r>
    </w:p>
    <w:p w14:paraId="350237F6" w14:textId="77777777" w:rsidR="00C36465" w:rsidRPr="004B1A6E" w:rsidRDefault="00C36465" w:rsidP="00C36465">
      <w:pPr>
        <w:ind w:left="426"/>
        <w:rPr>
          <w:b/>
          <w:color w:val="000000"/>
          <w:shd w:val="clear" w:color="auto" w:fill="FFFFFF"/>
        </w:rPr>
      </w:pPr>
      <w:r w:rsidRPr="004B1A6E">
        <w:rPr>
          <w:b/>
          <w:color w:val="000000"/>
          <w:shd w:val="clear" w:color="auto" w:fill="FFFFFF"/>
        </w:rPr>
        <w:t>Schedule 10</w:t>
      </w:r>
      <w:r>
        <w:rPr>
          <w:b/>
          <w:color w:val="000000"/>
          <w:shd w:val="clear" w:color="auto" w:fill="FFFFFF"/>
        </w:rPr>
        <w:t xml:space="preserve"> – Amend Entry</w:t>
      </w:r>
    </w:p>
    <w:p w14:paraId="3129AB50" w14:textId="77777777" w:rsidR="00C36465" w:rsidRDefault="00C36465" w:rsidP="00C36465">
      <w:pPr>
        <w:ind w:left="426"/>
      </w:pPr>
      <w:r>
        <w:rPr>
          <w:color w:val="000000"/>
          <w:shd w:val="clear" w:color="auto" w:fill="FFFFFF"/>
        </w:rPr>
        <w:t>LEAD COMPOUNDS in paints, tinters, inks or ink additives </w:t>
      </w:r>
      <w:r>
        <w:rPr>
          <w:b/>
          <w:bCs/>
          <w:color w:val="000000"/>
          <w:shd w:val="clear" w:color="auto" w:fill="FFFFFF"/>
        </w:rPr>
        <w:t>except</w:t>
      </w:r>
      <w:r>
        <w:rPr>
          <w:color w:val="000000"/>
          <w:shd w:val="clear" w:color="auto" w:fill="FFFFFF"/>
        </w:rPr>
        <w:t xml:space="preserve"> in preparations containing </w:t>
      </w:r>
      <w:r w:rsidRPr="00D0237E">
        <w:rPr>
          <w:strike/>
          <w:color w:val="000000"/>
          <w:shd w:val="clear" w:color="auto" w:fill="FFFFFF"/>
        </w:rPr>
        <w:t>0.1</w:t>
      </w:r>
      <w:r>
        <w:rPr>
          <w:color w:val="000000"/>
          <w:shd w:val="clear" w:color="auto" w:fill="FFFFFF"/>
        </w:rPr>
        <w:t xml:space="preserve"> </w:t>
      </w:r>
      <w:r w:rsidRPr="00D0237E">
        <w:rPr>
          <w:color w:val="FF0000"/>
          <w:shd w:val="clear" w:color="auto" w:fill="FFFFFF"/>
        </w:rPr>
        <w:t>0.009</w:t>
      </w:r>
      <w:r>
        <w:rPr>
          <w:color w:val="000000"/>
          <w:shd w:val="clear" w:color="auto" w:fill="FFFFFF"/>
        </w:rPr>
        <w:t xml:space="preserve"> per cent or less of lead calculated on the non-volatile content of the paint, tinter, ink or ink additive.</w:t>
      </w:r>
    </w:p>
    <w:p w14:paraId="269DF8D3" w14:textId="77777777" w:rsidR="00C36465" w:rsidRPr="00D0237E" w:rsidRDefault="00C36465" w:rsidP="00C36465">
      <w:pPr>
        <w:ind w:left="426"/>
        <w:rPr>
          <w:b/>
          <w:color w:val="000000"/>
          <w:shd w:val="clear" w:color="auto" w:fill="FFFFFF"/>
        </w:rPr>
      </w:pPr>
      <w:r w:rsidRPr="00D0237E">
        <w:rPr>
          <w:b/>
          <w:color w:val="000000"/>
          <w:shd w:val="clear" w:color="auto" w:fill="FFFFFF"/>
        </w:rPr>
        <w:t>PART 2, SECTION SEVEN/Appendix I</w:t>
      </w:r>
      <w:r>
        <w:rPr>
          <w:b/>
          <w:color w:val="000000"/>
          <w:shd w:val="clear" w:color="auto" w:fill="FFFFFF"/>
        </w:rPr>
        <w:t xml:space="preserve"> – Amend Section</w:t>
      </w:r>
    </w:p>
    <w:p w14:paraId="155F8B8D" w14:textId="77777777" w:rsidR="00C36465" w:rsidRDefault="00C36465" w:rsidP="00C36465">
      <w:pPr>
        <w:ind w:left="426"/>
        <w:rPr>
          <w:color w:val="000000"/>
          <w:shd w:val="clear" w:color="auto" w:fill="FFFFFF"/>
        </w:rPr>
      </w:pPr>
      <w:r>
        <w:rPr>
          <w:color w:val="000000"/>
          <w:shd w:val="clear" w:color="auto" w:fill="FFFFFF"/>
        </w:rPr>
        <w:t xml:space="preserve">(2) A person must not manufacture, sell, supply or use a paint or tinter containing more than </w:t>
      </w:r>
      <w:r w:rsidRPr="00D0237E">
        <w:rPr>
          <w:strike/>
          <w:color w:val="000000"/>
          <w:shd w:val="clear" w:color="auto" w:fill="FFFFFF"/>
        </w:rPr>
        <w:t>0.1</w:t>
      </w:r>
      <w:r>
        <w:rPr>
          <w:color w:val="000000"/>
          <w:shd w:val="clear" w:color="auto" w:fill="FFFFFF"/>
        </w:rPr>
        <w:t xml:space="preserve"> </w:t>
      </w:r>
      <w:r w:rsidRPr="00D0237E">
        <w:rPr>
          <w:color w:val="FF0000"/>
          <w:shd w:val="clear" w:color="auto" w:fill="FFFFFF"/>
        </w:rPr>
        <w:t>0.009</w:t>
      </w:r>
      <w:r>
        <w:rPr>
          <w:color w:val="000000"/>
          <w:shd w:val="clear" w:color="auto" w:fill="FFFFFF"/>
        </w:rPr>
        <w:t>% Lead (the proportion of Lead for the purposes of this section is calculated as a percentage of the element present in the non-volatile content of the paint).</w:t>
      </w:r>
    </w:p>
    <w:p w14:paraId="0D794BFC" w14:textId="77777777" w:rsidR="00C36465" w:rsidRDefault="00C36465" w:rsidP="00C36465">
      <w:pPr>
        <w:pStyle w:val="Heading4"/>
      </w:pPr>
      <w:r>
        <w:t>Key uses / expected use</w:t>
      </w:r>
    </w:p>
    <w:p w14:paraId="0164B906" w14:textId="77777777" w:rsidR="00C36465" w:rsidRDefault="00C36465" w:rsidP="00C36465">
      <w:r w:rsidRPr="00DF5AFC">
        <w:t>Domestic and industrial</w:t>
      </w:r>
      <w:r>
        <w:t>, animal and homeopathic uses</w:t>
      </w:r>
    </w:p>
    <w:p w14:paraId="101AD0AF" w14:textId="77777777" w:rsidR="00C36465" w:rsidRDefault="00C36465" w:rsidP="00C36465">
      <w:pPr>
        <w:pStyle w:val="Heading4"/>
      </w:pPr>
      <w:r>
        <w:t>Application summary - reasons for proposal</w:t>
      </w:r>
    </w:p>
    <w:p w14:paraId="6FC47136" w14:textId="77777777" w:rsidR="00C36465" w:rsidRDefault="00C36465" w:rsidP="00DC6EC8">
      <w:pPr>
        <w:pStyle w:val="ListBullet"/>
      </w:pPr>
      <w:r w:rsidRPr="0049546D">
        <w:t xml:space="preserve">Lead is a known </w:t>
      </w:r>
      <w:r>
        <w:t xml:space="preserve">cumulative </w:t>
      </w:r>
      <w:r w:rsidRPr="0049546D">
        <w:t>toxin</w:t>
      </w:r>
      <w:r>
        <w:t xml:space="preserve"> which the </w:t>
      </w:r>
      <w:hyperlink r:id="rId69" w:history="1">
        <w:r w:rsidRPr="00BD4958">
          <w:rPr>
            <w:rStyle w:val="Hyperlink"/>
          </w:rPr>
          <w:t>World Health Organisation</w:t>
        </w:r>
      </w:hyperlink>
      <w:r>
        <w:t xml:space="preserve"> has identified as a major public health concern</w:t>
      </w:r>
      <w:r w:rsidRPr="0049546D">
        <w:t xml:space="preserve">, </w:t>
      </w:r>
      <w:r>
        <w:t xml:space="preserve">and </w:t>
      </w:r>
      <w:r w:rsidRPr="0049546D">
        <w:t>to which many regulatory agencies have taken action to limit exposure</w:t>
      </w:r>
      <w:r>
        <w:t xml:space="preserve"> to the general public.</w:t>
      </w:r>
    </w:p>
    <w:p w14:paraId="5E380D54" w14:textId="77777777" w:rsidR="00C36465" w:rsidRDefault="00C36465" w:rsidP="00DC6EC8">
      <w:pPr>
        <w:pStyle w:val="ListBullet"/>
      </w:pPr>
      <w:r>
        <w:t xml:space="preserve"> </w:t>
      </w:r>
      <w:hyperlink r:id="rId70" w:history="1">
        <w:r w:rsidRPr="001B6302">
          <w:rPr>
            <w:rStyle w:val="Hyperlink"/>
          </w:rPr>
          <w:t>The United Nations Environment Program</w:t>
        </w:r>
      </w:hyperlink>
      <w:r>
        <w:t xml:space="preserve"> endorses a limit of 90 parts per million (0.009% w/w) of lead in paint, based on the need to minimise exposure to lead while also ensuring that the limit is feasible for paint manufacturers.</w:t>
      </w:r>
    </w:p>
    <w:p w14:paraId="2764368B" w14:textId="77777777" w:rsidR="00C36465" w:rsidRPr="00B7595E" w:rsidRDefault="00C36465" w:rsidP="00DC6EC8">
      <w:pPr>
        <w:pStyle w:val="ListBullet"/>
      </w:pPr>
      <w:r w:rsidRPr="00B7595E">
        <w:t>Lead compounds can be added to paint as pigments, driers and to provide corrosion resistance, resulting in a high lead content, which may be in the order of thousands of parts per million (ppm). While the paint remains intact, the lea</w:t>
      </w:r>
      <w:r>
        <w:t xml:space="preserve">d content is not a hazard; </w:t>
      </w:r>
      <w:r w:rsidRPr="00B7595E">
        <w:t>however, as the paint ages, it starts to crumble and flake, releasing lead into household dust.</w:t>
      </w:r>
    </w:p>
    <w:p w14:paraId="4A8D42F8" w14:textId="427FBD60" w:rsidR="00C36465" w:rsidRDefault="00C36465" w:rsidP="00DC6EC8">
      <w:pPr>
        <w:pStyle w:val="ListBullet"/>
      </w:pPr>
      <w:r w:rsidRPr="00B7595E">
        <w:t xml:space="preserve">Young children are vulnerable to lead exposure from contaminated dust and flaking paint. </w:t>
      </w:r>
      <w:r>
        <w:t>Ingestion of paint flakes or chips, particularly in children, is a direct pathway of exposure to the substance</w:t>
      </w:r>
      <w:r w:rsidRPr="0049546D">
        <w:t>.</w:t>
      </w:r>
    </w:p>
    <w:p w14:paraId="284F0115" w14:textId="77777777" w:rsidR="00C36465" w:rsidRDefault="00C36465" w:rsidP="00DC6EC8">
      <w:pPr>
        <w:pStyle w:val="ListBullet"/>
      </w:pPr>
      <w:r>
        <w:t xml:space="preserve">Even low levels of exposure to lead have demonstrated harmful effects. Known health effects include anaemia, hypertension, kidney damage, reduced IQ and behavioural changes. </w:t>
      </w:r>
      <w:r w:rsidRPr="00B7595E">
        <w:t>Exposure in adults is associated with increased risk of cardiovascular disease, including hypertension and coronary heart disease.</w:t>
      </w:r>
    </w:p>
    <w:p w14:paraId="79E94610" w14:textId="23917B9F" w:rsidR="00C36465" w:rsidRDefault="00C36465" w:rsidP="00DC6EC8">
      <w:pPr>
        <w:pStyle w:val="ListBullet"/>
      </w:pPr>
      <w:r>
        <w:t>T</w:t>
      </w:r>
      <w:r w:rsidRPr="00B7595E">
        <w:t xml:space="preserve">he Institute for Health Metrics and Evaluation estimated that, in 2017, lead exposure accounted for 1.06 million deaths and the loss of 24.4 million years of healthy life </w:t>
      </w:r>
      <w:r w:rsidR="00B261E6">
        <w:t>(disability-adjusted life years</w:t>
      </w:r>
      <w:r w:rsidRPr="00B7595E">
        <w:t>) worldwide. Lea</w:t>
      </w:r>
      <w:r>
        <w:t xml:space="preserve">d is </w:t>
      </w:r>
      <w:r w:rsidRPr="00B7595E">
        <w:t>a well-documented ecotoxicant, posing threats to both aquatic and terrestrial ecosystems.</w:t>
      </w:r>
    </w:p>
    <w:p w14:paraId="0531BFF0" w14:textId="77777777" w:rsidR="00C36465" w:rsidRDefault="00C36465" w:rsidP="00DC6EC8">
      <w:pPr>
        <w:pStyle w:val="ListBullet"/>
      </w:pPr>
      <w:r w:rsidRPr="00D0237E">
        <w:t>Historically</w:t>
      </w:r>
      <w:r>
        <w:t>, l</w:t>
      </w:r>
      <w:r w:rsidRPr="00D0237E">
        <w:t>ead compounds have been added to solvent-based paints to provide colour, speed up drying time, increase durability and resist moisture that causes corrosion. Today, however, it is entirely possible to formulate paint with the desired characteristics without using lead compounds.</w:t>
      </w:r>
    </w:p>
    <w:p w14:paraId="609D11DC" w14:textId="77777777" w:rsidR="00C36465" w:rsidRPr="0049546D" w:rsidRDefault="00C36465" w:rsidP="00DC6EC8">
      <w:pPr>
        <w:pStyle w:val="ListBullet"/>
      </w:pPr>
      <w:r>
        <w:t xml:space="preserve">International </w:t>
      </w:r>
      <w:r w:rsidRPr="00F92051">
        <w:t>restrictions</w:t>
      </w:r>
    </w:p>
    <w:p w14:paraId="04C2FD31" w14:textId="77777777" w:rsidR="00C36465" w:rsidRPr="0049546D" w:rsidRDefault="0099313B" w:rsidP="003C0B32">
      <w:pPr>
        <w:pStyle w:val="ListBullet2"/>
      </w:pPr>
      <w:hyperlink r:id="rId71" w:history="1">
        <w:r w:rsidR="00C36465" w:rsidRPr="00BD4958">
          <w:rPr>
            <w:rStyle w:val="Hyperlink"/>
          </w:rPr>
          <w:t>A 90 ppm limit has already been adopted by several countries</w:t>
        </w:r>
      </w:hyperlink>
      <w:r w:rsidR="00C36465">
        <w:t xml:space="preserve"> for some or all types of paints and coatings, including Bangladesh, Cameroon, Canada, China, Ethiopia, India, Iraq, Israel, Jordan, Kenya, Nepal, </w:t>
      </w:r>
      <w:r w:rsidR="00C36465" w:rsidRPr="003C0B32">
        <w:t>Philippines</w:t>
      </w:r>
      <w:r w:rsidR="00C36465">
        <w:t xml:space="preserve"> and the USA.</w:t>
      </w:r>
    </w:p>
    <w:p w14:paraId="4777F33A" w14:textId="77777777" w:rsidR="00C36465" w:rsidRDefault="00C36465" w:rsidP="00C36465">
      <w:pPr>
        <w:pStyle w:val="Heading4"/>
      </w:pPr>
      <w:r w:rsidRPr="00DC5AE0">
        <w:t xml:space="preserve">Australian </w:t>
      </w:r>
      <w:r>
        <w:t>regulations</w:t>
      </w:r>
      <w:r w:rsidRPr="00DC5AE0">
        <w:t xml:space="preserve"> </w:t>
      </w:r>
    </w:p>
    <w:p w14:paraId="5FBADB46" w14:textId="77777777" w:rsidR="00C36465" w:rsidRDefault="00C36465" w:rsidP="00DC6EC8">
      <w:pPr>
        <w:pStyle w:val="ListBullet"/>
      </w:pPr>
      <w:r>
        <w:t xml:space="preserve">According to the </w:t>
      </w:r>
      <w:hyperlink r:id="rId72"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51"/>
      </w:r>
      <w:r>
        <w:t xml:space="preserve"> lead is:</w:t>
      </w:r>
    </w:p>
    <w:p w14:paraId="1E7AF927" w14:textId="77777777" w:rsidR="00C36465" w:rsidRDefault="00C36465" w:rsidP="003C0B32">
      <w:pPr>
        <w:pStyle w:val="ListBullet2"/>
      </w:pPr>
      <w:r>
        <w:t xml:space="preserve">Available for use as an active ingredient in biologicals, export only, listed medicines, over the counter and </w:t>
      </w:r>
      <w:r w:rsidRPr="003C0B32">
        <w:t>prescription</w:t>
      </w:r>
      <w:r>
        <w:t xml:space="preserve"> medicines.</w:t>
      </w:r>
    </w:p>
    <w:p w14:paraId="6EB51625" w14:textId="77777777" w:rsidR="00C36465" w:rsidRDefault="00C36465" w:rsidP="003C0B32">
      <w:pPr>
        <w:pStyle w:val="ListBullet2"/>
      </w:pPr>
      <w:r>
        <w:t xml:space="preserve">Available </w:t>
      </w:r>
      <w:r w:rsidRPr="003C0B32">
        <w:t>for</w:t>
      </w:r>
      <w:r>
        <w:t xml:space="preserve"> use in listed medicines as a homeopathic ingredient only.</w:t>
      </w:r>
    </w:p>
    <w:p w14:paraId="341F867F" w14:textId="77777777" w:rsidR="00C36465" w:rsidRDefault="00C36465" w:rsidP="003C0B32">
      <w:pPr>
        <w:pStyle w:val="ListBullet2"/>
      </w:pPr>
      <w:r>
        <w:t xml:space="preserve">Available for use as an excipient </w:t>
      </w:r>
      <w:r w:rsidRPr="003C0B32">
        <w:t>ingredient</w:t>
      </w:r>
      <w:r>
        <w:t xml:space="preserve"> in biologicals, devices and prescription medicines.</w:t>
      </w:r>
    </w:p>
    <w:p w14:paraId="3877961F" w14:textId="06D5EB35" w:rsidR="00C36465" w:rsidRPr="00B17D39" w:rsidRDefault="00C36465" w:rsidP="003C0B32">
      <w:pPr>
        <w:pStyle w:val="ListBullet2"/>
      </w:pPr>
      <w:r>
        <w:t xml:space="preserve">Available for use as an </w:t>
      </w:r>
      <w:r w:rsidRPr="003C0B32">
        <w:t>equivalent</w:t>
      </w:r>
      <w:r w:rsidR="00CA7F0E">
        <w:t xml:space="preserve"> ingredient in listed medicines.</w:t>
      </w:r>
    </w:p>
    <w:p w14:paraId="5EC6F0E3" w14:textId="77777777" w:rsidR="00C36465" w:rsidRDefault="00C36465" w:rsidP="00DC6EC8">
      <w:pPr>
        <w:pStyle w:val="ListBullet"/>
      </w:pPr>
      <w:r>
        <w:t xml:space="preserve">As of </w:t>
      </w:r>
      <w:r w:rsidRPr="00B17D39">
        <w:t>November 2020</w:t>
      </w:r>
      <w:r>
        <w:t>, t</w:t>
      </w:r>
      <w:r w:rsidRPr="00881DFE">
        <w:t xml:space="preserve">here </w:t>
      </w:r>
      <w:r>
        <w:t>were</w:t>
      </w:r>
      <w:r w:rsidRPr="00881DFE">
        <w:t xml:space="preserve"> </w:t>
      </w:r>
      <w:r>
        <w:t>no medicine</w:t>
      </w:r>
      <w:r w:rsidRPr="00881DFE">
        <w:t xml:space="preserve">s </w:t>
      </w:r>
      <w:r w:rsidRPr="00F92051">
        <w:t>currently</w:t>
      </w:r>
      <w:r w:rsidRPr="00881DFE">
        <w:t xml:space="preserve"> active on the </w:t>
      </w:r>
      <w:hyperlink r:id="rId73" w:history="1">
        <w:r w:rsidRPr="00293CCA">
          <w:rPr>
            <w:rStyle w:val="Hyperlink"/>
          </w:rPr>
          <w:t>Australian Register of Therapeutic Goods (ARTG)</w:t>
        </w:r>
      </w:hyperlink>
      <w:r>
        <w:rPr>
          <w:rStyle w:val="FootnoteReference"/>
        </w:rPr>
        <w:footnoteReference w:id="52"/>
      </w:r>
      <w:r>
        <w:t xml:space="preserve"> that contain</w:t>
      </w:r>
      <w:r w:rsidRPr="00881DFE">
        <w:t xml:space="preserve"> </w:t>
      </w:r>
      <w:r>
        <w:t>lead as an active ingredient</w:t>
      </w:r>
      <w:r w:rsidRPr="00881DFE">
        <w:t>.</w:t>
      </w:r>
    </w:p>
    <w:p w14:paraId="11141533" w14:textId="77777777" w:rsidR="00C36465" w:rsidRDefault="00C36465" w:rsidP="00DC6EC8">
      <w:pPr>
        <w:pStyle w:val="ListBullet"/>
      </w:pPr>
      <w:r>
        <w:t xml:space="preserve">According to the </w:t>
      </w:r>
      <w:hyperlink r:id="rId74" w:history="1">
        <w:r w:rsidRPr="00824CAC">
          <w:rPr>
            <w:rStyle w:val="Hyperlink"/>
          </w:rPr>
          <w:t>Therapeutic Goods (Permissible Ingredients) Determination</w:t>
        </w:r>
      </w:hyperlink>
      <w:r>
        <w:rPr>
          <w:rStyle w:val="FootnoteReference"/>
        </w:rPr>
        <w:footnoteReference w:id="53"/>
      </w:r>
      <w:r w:rsidRPr="009C55D5">
        <w:t xml:space="preserve"> No.</w:t>
      </w:r>
      <w:r>
        <w:t>3</w:t>
      </w:r>
      <w:r w:rsidRPr="009C55D5">
        <w:t xml:space="preserve"> of 20</w:t>
      </w:r>
      <w:r>
        <w:t>20,</w:t>
      </w:r>
      <w:r w:rsidRPr="009C55D5">
        <w:t xml:space="preserve"> </w:t>
      </w:r>
      <w:r>
        <w:t>lead is permitted to be included in listed medicines as follows:</w:t>
      </w:r>
    </w:p>
    <w:tbl>
      <w:tblPr>
        <w:tblStyle w:val="TableTGAblue1"/>
        <w:tblW w:w="0" w:type="auto"/>
        <w:tblInd w:w="360" w:type="dxa"/>
        <w:tblLook w:val="04A0" w:firstRow="1" w:lastRow="0" w:firstColumn="1" w:lastColumn="0" w:noHBand="0" w:noVBand="1"/>
      </w:tblPr>
      <w:tblGrid>
        <w:gridCol w:w="749"/>
        <w:gridCol w:w="2709"/>
        <w:gridCol w:w="986"/>
        <w:gridCol w:w="4202"/>
      </w:tblGrid>
      <w:tr w:rsidR="00C36465" w:rsidRPr="0011239E" w14:paraId="733286AE" w14:textId="77777777" w:rsidTr="00A25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A7E0C1C" w14:textId="77777777" w:rsidR="00C36465" w:rsidRPr="0011239E" w:rsidRDefault="00C36465" w:rsidP="00A25978">
            <w:pPr>
              <w:keepLines/>
              <w:rPr>
                <w:sz w:val="20"/>
                <w:szCs w:val="20"/>
              </w:rPr>
            </w:pPr>
            <w:r w:rsidRPr="0011239E">
              <w:rPr>
                <w:sz w:val="20"/>
                <w:szCs w:val="20"/>
              </w:rPr>
              <w:t>Item</w:t>
            </w:r>
          </w:p>
        </w:tc>
        <w:tc>
          <w:tcPr>
            <w:tcW w:w="2709" w:type="dxa"/>
          </w:tcPr>
          <w:p w14:paraId="60A36C0E" w14:textId="77777777" w:rsidR="00C36465" w:rsidRPr="0011239E" w:rsidRDefault="00C36465" w:rsidP="00A25978">
            <w:pPr>
              <w:keepLines/>
              <w:cnfStyle w:val="100000000000" w:firstRow="1" w:lastRow="0" w:firstColumn="0" w:lastColumn="0" w:oddVBand="0" w:evenVBand="0" w:oddHBand="0" w:evenHBand="0" w:firstRowFirstColumn="0" w:firstRowLastColumn="0" w:lastRowFirstColumn="0" w:lastRowLastColumn="0"/>
              <w:rPr>
                <w:sz w:val="20"/>
                <w:szCs w:val="20"/>
              </w:rPr>
            </w:pPr>
            <w:r w:rsidRPr="0011239E">
              <w:rPr>
                <w:sz w:val="20"/>
                <w:szCs w:val="20"/>
              </w:rPr>
              <w:t>Ingredient name</w:t>
            </w:r>
          </w:p>
        </w:tc>
        <w:tc>
          <w:tcPr>
            <w:tcW w:w="986" w:type="dxa"/>
          </w:tcPr>
          <w:p w14:paraId="787545C6" w14:textId="77777777" w:rsidR="00C36465" w:rsidRPr="0011239E" w:rsidRDefault="00C36465" w:rsidP="00A25978">
            <w:pPr>
              <w:keepLines/>
              <w:cnfStyle w:val="100000000000" w:firstRow="1" w:lastRow="0" w:firstColumn="0" w:lastColumn="0" w:oddVBand="0" w:evenVBand="0" w:oddHBand="0" w:evenHBand="0" w:firstRowFirstColumn="0" w:firstRowLastColumn="0" w:lastRowFirstColumn="0" w:lastRowLastColumn="0"/>
              <w:rPr>
                <w:sz w:val="20"/>
                <w:szCs w:val="20"/>
              </w:rPr>
            </w:pPr>
            <w:r w:rsidRPr="0011239E">
              <w:rPr>
                <w:sz w:val="20"/>
                <w:szCs w:val="20"/>
              </w:rPr>
              <w:t>Purpose</w:t>
            </w:r>
          </w:p>
        </w:tc>
        <w:tc>
          <w:tcPr>
            <w:tcW w:w="4202" w:type="dxa"/>
          </w:tcPr>
          <w:p w14:paraId="4602C453" w14:textId="77777777" w:rsidR="00C36465" w:rsidRPr="0011239E" w:rsidRDefault="00C36465" w:rsidP="00A25978">
            <w:pPr>
              <w:keepLines/>
              <w:cnfStyle w:val="100000000000" w:firstRow="1" w:lastRow="0" w:firstColumn="0" w:lastColumn="0" w:oddVBand="0" w:evenVBand="0" w:oddHBand="0" w:evenHBand="0" w:firstRowFirstColumn="0" w:firstRowLastColumn="0" w:lastRowFirstColumn="0" w:lastRowLastColumn="0"/>
              <w:rPr>
                <w:sz w:val="20"/>
                <w:szCs w:val="20"/>
              </w:rPr>
            </w:pPr>
            <w:r w:rsidRPr="0011239E">
              <w:rPr>
                <w:sz w:val="20"/>
                <w:szCs w:val="20"/>
              </w:rPr>
              <w:t>Specific requirements</w:t>
            </w:r>
          </w:p>
        </w:tc>
      </w:tr>
      <w:tr w:rsidR="00C36465" w:rsidRPr="0011239E" w14:paraId="135130CD" w14:textId="77777777" w:rsidTr="00A25978">
        <w:tc>
          <w:tcPr>
            <w:cnfStyle w:val="001000000000" w:firstRow="0" w:lastRow="0" w:firstColumn="1" w:lastColumn="0" w:oddVBand="0" w:evenVBand="0" w:oddHBand="0" w:evenHBand="0" w:firstRowFirstColumn="0" w:firstRowLastColumn="0" w:lastRowFirstColumn="0" w:lastRowLastColumn="0"/>
            <w:tcW w:w="749" w:type="dxa"/>
          </w:tcPr>
          <w:p w14:paraId="7465BBF1" w14:textId="77777777" w:rsidR="00C36465" w:rsidRPr="0011239E" w:rsidRDefault="00C36465" w:rsidP="00A25978">
            <w:pPr>
              <w:keepNext/>
              <w:keepLines/>
              <w:rPr>
                <w:sz w:val="20"/>
                <w:szCs w:val="20"/>
              </w:rPr>
            </w:pPr>
            <w:r>
              <w:rPr>
                <w:sz w:val="20"/>
                <w:szCs w:val="20"/>
              </w:rPr>
              <w:t>2955</w:t>
            </w:r>
          </w:p>
        </w:tc>
        <w:tc>
          <w:tcPr>
            <w:tcW w:w="2709" w:type="dxa"/>
          </w:tcPr>
          <w:p w14:paraId="7DE7FAC4" w14:textId="77777777" w:rsidR="00C36465" w:rsidRPr="0011239E"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LEAD</w:t>
            </w:r>
          </w:p>
        </w:tc>
        <w:tc>
          <w:tcPr>
            <w:tcW w:w="986" w:type="dxa"/>
          </w:tcPr>
          <w:p w14:paraId="478C38E6" w14:textId="77777777" w:rsidR="00C36465" w:rsidRPr="0011239E"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11239E">
              <w:rPr>
                <w:sz w:val="20"/>
                <w:szCs w:val="20"/>
              </w:rPr>
              <w:t>H</w:t>
            </w:r>
          </w:p>
        </w:tc>
        <w:tc>
          <w:tcPr>
            <w:tcW w:w="4202" w:type="dxa"/>
          </w:tcPr>
          <w:p w14:paraId="696FA798"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Only for use as an active homoeopathic ingredient.</w:t>
            </w:r>
          </w:p>
          <w:p w14:paraId="7B7D5C77" w14:textId="77777777" w:rsidR="00C36465" w:rsidRPr="0011239E"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The concentration in the medicine must be no more than 0.001%.</w:t>
            </w:r>
          </w:p>
        </w:tc>
      </w:tr>
      <w:tr w:rsidR="00C36465" w:rsidRPr="0011239E" w14:paraId="5207DEE8" w14:textId="77777777" w:rsidTr="00A25978">
        <w:tc>
          <w:tcPr>
            <w:cnfStyle w:val="001000000000" w:firstRow="0" w:lastRow="0" w:firstColumn="1" w:lastColumn="0" w:oddVBand="0" w:evenVBand="0" w:oddHBand="0" w:evenHBand="0" w:firstRowFirstColumn="0" w:firstRowLastColumn="0" w:lastRowFirstColumn="0" w:lastRowLastColumn="0"/>
            <w:tcW w:w="749" w:type="dxa"/>
          </w:tcPr>
          <w:p w14:paraId="2CC9EDC8" w14:textId="77777777" w:rsidR="00C36465" w:rsidRDefault="00C36465" w:rsidP="00A25978">
            <w:pPr>
              <w:keepNext/>
              <w:keepLines/>
              <w:rPr>
                <w:sz w:val="20"/>
                <w:szCs w:val="20"/>
              </w:rPr>
            </w:pPr>
            <w:r>
              <w:rPr>
                <w:sz w:val="20"/>
                <w:szCs w:val="20"/>
              </w:rPr>
              <w:t>2956</w:t>
            </w:r>
          </w:p>
        </w:tc>
        <w:tc>
          <w:tcPr>
            <w:tcW w:w="2709" w:type="dxa"/>
          </w:tcPr>
          <w:p w14:paraId="59B3EC2B" w14:textId="77777777" w:rsidR="00C36465"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LEAD ACETATE</w:t>
            </w:r>
          </w:p>
        </w:tc>
        <w:tc>
          <w:tcPr>
            <w:tcW w:w="986" w:type="dxa"/>
          </w:tcPr>
          <w:p w14:paraId="667817A5" w14:textId="77777777" w:rsidR="00C36465" w:rsidRPr="0011239E"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t>
            </w:r>
          </w:p>
        </w:tc>
        <w:tc>
          <w:tcPr>
            <w:tcW w:w="4202" w:type="dxa"/>
          </w:tcPr>
          <w:p w14:paraId="282FEF9B"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Only for use as an active homoeopathic ingredient.</w:t>
            </w:r>
          </w:p>
        </w:tc>
      </w:tr>
      <w:tr w:rsidR="00C36465" w:rsidRPr="0011239E" w14:paraId="61D10705" w14:textId="77777777" w:rsidTr="00A25978">
        <w:tc>
          <w:tcPr>
            <w:cnfStyle w:val="001000000000" w:firstRow="0" w:lastRow="0" w:firstColumn="1" w:lastColumn="0" w:oddVBand="0" w:evenVBand="0" w:oddHBand="0" w:evenHBand="0" w:firstRowFirstColumn="0" w:firstRowLastColumn="0" w:lastRowFirstColumn="0" w:lastRowLastColumn="0"/>
            <w:tcW w:w="749" w:type="dxa"/>
          </w:tcPr>
          <w:p w14:paraId="12FF3CB5" w14:textId="77777777" w:rsidR="00C36465" w:rsidRDefault="00C36465" w:rsidP="00A25978">
            <w:pPr>
              <w:keepNext/>
              <w:keepLines/>
              <w:rPr>
                <w:sz w:val="20"/>
                <w:szCs w:val="20"/>
              </w:rPr>
            </w:pPr>
            <w:r>
              <w:rPr>
                <w:sz w:val="20"/>
                <w:szCs w:val="20"/>
              </w:rPr>
              <w:t>4139</w:t>
            </w:r>
            <w:r>
              <w:rPr>
                <w:sz w:val="20"/>
                <w:szCs w:val="20"/>
              </w:rPr>
              <w:br/>
              <w:t>4140</w:t>
            </w:r>
            <w:r>
              <w:rPr>
                <w:sz w:val="20"/>
                <w:szCs w:val="20"/>
              </w:rPr>
              <w:br/>
              <w:t>4141</w:t>
            </w:r>
            <w:r>
              <w:rPr>
                <w:sz w:val="20"/>
                <w:szCs w:val="20"/>
              </w:rPr>
              <w:br/>
              <w:t>4142</w:t>
            </w:r>
            <w:r>
              <w:rPr>
                <w:sz w:val="20"/>
                <w:szCs w:val="20"/>
              </w:rPr>
              <w:br/>
              <w:t>4143</w:t>
            </w:r>
            <w:r>
              <w:rPr>
                <w:sz w:val="20"/>
                <w:szCs w:val="20"/>
              </w:rPr>
              <w:br/>
              <w:t>4144</w:t>
            </w:r>
          </w:p>
        </w:tc>
        <w:tc>
          <w:tcPr>
            <w:tcW w:w="2709" w:type="dxa"/>
          </w:tcPr>
          <w:p w14:paraId="64C897BC" w14:textId="77777777" w:rsidR="00C36465"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PROPOLIS</w:t>
            </w:r>
            <w:r>
              <w:rPr>
                <w:sz w:val="20"/>
                <w:szCs w:val="20"/>
              </w:rPr>
              <w:br/>
            </w:r>
            <w:r w:rsidRPr="00375E5B">
              <w:rPr>
                <w:sz w:val="20"/>
                <w:szCs w:val="20"/>
              </w:rPr>
              <w:t>PROPOLIS BALSAM</w:t>
            </w:r>
            <w:r>
              <w:rPr>
                <w:sz w:val="20"/>
                <w:szCs w:val="20"/>
              </w:rPr>
              <w:br/>
            </w:r>
            <w:r w:rsidRPr="00375E5B">
              <w:rPr>
                <w:sz w:val="20"/>
                <w:szCs w:val="20"/>
              </w:rPr>
              <w:t>PROPOLIS DRY EXTRACT</w:t>
            </w:r>
            <w:r>
              <w:rPr>
                <w:sz w:val="20"/>
                <w:szCs w:val="20"/>
              </w:rPr>
              <w:br/>
            </w:r>
            <w:r w:rsidRPr="00375E5B">
              <w:rPr>
                <w:sz w:val="20"/>
                <w:szCs w:val="20"/>
              </w:rPr>
              <w:t>PROPOLIS LIQUID EXTRACT</w:t>
            </w:r>
            <w:r>
              <w:rPr>
                <w:sz w:val="20"/>
                <w:szCs w:val="20"/>
              </w:rPr>
              <w:br/>
            </w:r>
            <w:r w:rsidRPr="00375E5B">
              <w:rPr>
                <w:sz w:val="20"/>
                <w:szCs w:val="20"/>
              </w:rPr>
              <w:t>PROPOLIS RESIN</w:t>
            </w:r>
            <w:r>
              <w:rPr>
                <w:sz w:val="20"/>
                <w:szCs w:val="20"/>
              </w:rPr>
              <w:br/>
            </w:r>
            <w:r w:rsidRPr="00375E5B">
              <w:rPr>
                <w:sz w:val="20"/>
                <w:szCs w:val="20"/>
              </w:rPr>
              <w:t>PROPOLIS TINCTURE</w:t>
            </w:r>
          </w:p>
        </w:tc>
        <w:tc>
          <w:tcPr>
            <w:tcW w:w="986" w:type="dxa"/>
          </w:tcPr>
          <w:p w14:paraId="7E71F909" w14:textId="77777777" w:rsidR="00C36465"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A, E</w:t>
            </w:r>
            <w:r>
              <w:rPr>
                <w:sz w:val="20"/>
                <w:szCs w:val="20"/>
              </w:rPr>
              <w:br/>
            </w:r>
            <w:r w:rsidRPr="00375E5B">
              <w:rPr>
                <w:sz w:val="20"/>
                <w:szCs w:val="20"/>
              </w:rPr>
              <w:t>A, E</w:t>
            </w:r>
            <w:r>
              <w:rPr>
                <w:sz w:val="20"/>
                <w:szCs w:val="20"/>
              </w:rPr>
              <w:br/>
            </w:r>
            <w:r w:rsidRPr="00375E5B">
              <w:rPr>
                <w:sz w:val="20"/>
                <w:szCs w:val="20"/>
              </w:rPr>
              <w:t>A, E</w:t>
            </w:r>
            <w:r>
              <w:rPr>
                <w:sz w:val="20"/>
                <w:szCs w:val="20"/>
              </w:rPr>
              <w:br/>
            </w:r>
            <w:r w:rsidRPr="00375E5B">
              <w:rPr>
                <w:sz w:val="20"/>
                <w:szCs w:val="20"/>
              </w:rPr>
              <w:t>A, E</w:t>
            </w:r>
            <w:r>
              <w:rPr>
                <w:sz w:val="20"/>
                <w:szCs w:val="20"/>
              </w:rPr>
              <w:br/>
            </w:r>
            <w:r w:rsidRPr="00375E5B">
              <w:rPr>
                <w:sz w:val="20"/>
                <w:szCs w:val="20"/>
              </w:rPr>
              <w:t>A, E</w:t>
            </w:r>
            <w:r>
              <w:rPr>
                <w:sz w:val="20"/>
                <w:szCs w:val="20"/>
              </w:rPr>
              <w:br/>
            </w:r>
            <w:r w:rsidRPr="00375E5B">
              <w:rPr>
                <w:sz w:val="20"/>
                <w:szCs w:val="20"/>
              </w:rPr>
              <w:t>A, E</w:t>
            </w:r>
          </w:p>
        </w:tc>
        <w:tc>
          <w:tcPr>
            <w:tcW w:w="4202" w:type="dxa"/>
          </w:tcPr>
          <w:p w14:paraId="756BC421"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Lead is a mandatory component of (these preparations).</w:t>
            </w:r>
          </w:p>
          <w:p w14:paraId="42501B8D"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The concentration of lead in the medicine must be no more than 0.001%.</w:t>
            </w:r>
          </w:p>
          <w:p w14:paraId="163DC9EA"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When used topically, the medicine requires the following warning statement on the medicine label:</w:t>
            </w:r>
          </w:p>
          <w:p w14:paraId="5B77D9BE"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(PROP1) 'WARNING: Propolis may cause skin irritation. Test before use'</w:t>
            </w:r>
          </w:p>
          <w:p w14:paraId="1FE92FA8"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When used for other than for topical, the medicine requires the following warning statement on the medicine label:</w:t>
            </w:r>
          </w:p>
          <w:p w14:paraId="4FD60D82" w14:textId="77777777" w:rsidR="00C36465" w:rsidRPr="00375E5B" w:rsidRDefault="00C36465" w:rsidP="00A25978">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75E5B">
              <w:rPr>
                <w:sz w:val="20"/>
                <w:szCs w:val="20"/>
              </w:rPr>
              <w:t>(PROP2) 'Warning: Propolis may cause allergic reactions. If irritation or swelling of the mouth or throat occurs, discontinue use.'</w:t>
            </w:r>
          </w:p>
        </w:tc>
      </w:tr>
      <w:tr w:rsidR="00C36465" w:rsidRPr="0011239E" w14:paraId="502F4380" w14:textId="77777777" w:rsidTr="00A25978">
        <w:tc>
          <w:tcPr>
            <w:cnfStyle w:val="001000000000" w:firstRow="0" w:lastRow="0" w:firstColumn="1" w:lastColumn="0" w:oddVBand="0" w:evenVBand="0" w:oddHBand="0" w:evenHBand="0" w:firstRowFirstColumn="0" w:firstRowLastColumn="0" w:lastRowFirstColumn="0" w:lastRowLastColumn="0"/>
            <w:tcW w:w="8646" w:type="dxa"/>
            <w:gridSpan w:val="4"/>
          </w:tcPr>
          <w:p w14:paraId="2B074001" w14:textId="77777777" w:rsidR="00C36465" w:rsidRPr="0011239E" w:rsidRDefault="00C36465" w:rsidP="00A25978">
            <w:pPr>
              <w:keepNext/>
              <w:keepLines/>
              <w:rPr>
                <w:sz w:val="20"/>
                <w:szCs w:val="20"/>
              </w:rPr>
            </w:pPr>
            <w:r w:rsidRPr="0011239E">
              <w:rPr>
                <w:sz w:val="16"/>
                <w:szCs w:val="16"/>
              </w:rPr>
              <w:t>A = active ingredient for a medicine has the same meaning as in the Regulations</w:t>
            </w:r>
            <w:r w:rsidRPr="0011239E">
              <w:rPr>
                <w:sz w:val="16"/>
                <w:szCs w:val="16"/>
              </w:rPr>
              <w:br/>
              <w:t>H = homoeopathic preparation ingredient meaning an ingredient that is a constituent of a homoeopathic preparation</w:t>
            </w:r>
          </w:p>
        </w:tc>
      </w:tr>
    </w:tbl>
    <w:p w14:paraId="0C3A8CE5" w14:textId="77777777" w:rsidR="00C36465" w:rsidRDefault="00C36465" w:rsidP="00DC6EC8">
      <w:pPr>
        <w:pStyle w:val="ListBullet"/>
      </w:pPr>
      <w:r>
        <w:t xml:space="preserve">The </w:t>
      </w:r>
      <w:hyperlink r:id="rId75"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54"/>
      </w:r>
      <w:r>
        <w:t xml:space="preserve"> does not have an entry for lead.</w:t>
      </w:r>
    </w:p>
    <w:p w14:paraId="3D3BE58A" w14:textId="55587453" w:rsidR="00C36465" w:rsidRDefault="00C36465" w:rsidP="00DC6EC8">
      <w:pPr>
        <w:pStyle w:val="ListBullet"/>
      </w:pPr>
      <w:r>
        <w:t xml:space="preserve">There are no </w:t>
      </w:r>
      <w:r w:rsidRPr="00A30084">
        <w:t xml:space="preserve">warning statements pertaining </w:t>
      </w:r>
      <w:r>
        <w:t xml:space="preserve">to lead in the </w:t>
      </w:r>
      <w:hyperlink r:id="rId76" w:history="1">
        <w:r w:rsidRPr="00AB7BF5">
          <w:rPr>
            <w:rStyle w:val="Hyperlink"/>
          </w:rPr>
          <w:t>Therapeutic Goods (Medicines Advisory Statements) Specification 2019</w:t>
        </w:r>
      </w:hyperlink>
      <w:r>
        <w:rPr>
          <w:rStyle w:val="FootnoteReference"/>
        </w:rPr>
        <w:footnoteReference w:id="55"/>
      </w:r>
      <w:r w:rsidR="00CA7F0E" w:rsidRPr="00CA7F0E">
        <w:rPr>
          <w:rStyle w:val="Hyperlink"/>
          <w:color w:val="auto"/>
          <w:u w:val="none"/>
        </w:rPr>
        <w:t>.</w:t>
      </w:r>
    </w:p>
    <w:p w14:paraId="3DE1A963" w14:textId="77777777" w:rsidR="00C36465" w:rsidRPr="009C55D5" w:rsidRDefault="00C36465" w:rsidP="00DC6EC8">
      <w:pPr>
        <w:pStyle w:val="ListBullet"/>
      </w:pPr>
      <w:r>
        <w:t xml:space="preserve">As of </w:t>
      </w:r>
      <w:r w:rsidRPr="00B17D39">
        <w:t>November 2020</w:t>
      </w:r>
      <w:r>
        <w:t>, there were</w:t>
      </w:r>
      <w:r w:rsidRPr="009C55D5">
        <w:t xml:space="preserve"> </w:t>
      </w:r>
      <w:r>
        <w:t>no</w:t>
      </w:r>
      <w:r w:rsidRPr="009C55D5">
        <w:t xml:space="preserve"> reports of adverse events </w:t>
      </w:r>
      <w:r w:rsidRPr="00F92051">
        <w:t>for</w:t>
      </w:r>
      <w:r w:rsidRPr="009C55D5">
        <w:t xml:space="preserve"> products containing </w:t>
      </w:r>
      <w:r>
        <w:t>lead</w:t>
      </w:r>
      <w:r w:rsidRPr="009C55D5">
        <w:t xml:space="preserve"> as an active ingredient</w:t>
      </w:r>
      <w:r>
        <w:t xml:space="preserve"> on the </w:t>
      </w:r>
      <w:hyperlink r:id="rId77" w:history="1">
        <w:r w:rsidRPr="00F0449C">
          <w:rPr>
            <w:rStyle w:val="Hyperlink"/>
          </w:rPr>
          <w:t>Database of Adverse Event Notifications (DAEN)</w:t>
        </w:r>
      </w:hyperlink>
      <w:r w:rsidRPr="00254E0B">
        <w:t>,</w:t>
      </w:r>
      <w:r w:rsidRPr="00F0449C">
        <w:rPr>
          <w:rStyle w:val="FootnoteReference"/>
        </w:rPr>
        <w:footnoteReference w:id="56"/>
      </w:r>
      <w:r w:rsidRPr="00B17D39">
        <w:t>.</w:t>
      </w:r>
    </w:p>
    <w:p w14:paraId="152C1508" w14:textId="77777777" w:rsidR="00C36465" w:rsidRDefault="00C36465" w:rsidP="00DC6EC8">
      <w:pPr>
        <w:pStyle w:val="ListBullet"/>
      </w:pPr>
      <w:r>
        <w:t xml:space="preserve">As of </w:t>
      </w:r>
      <w:r w:rsidRPr="00B17D39">
        <w:t>November 2020</w:t>
      </w:r>
      <w:r>
        <w:t>, t</w:t>
      </w:r>
      <w:r w:rsidRPr="00F0449C">
        <w:t xml:space="preserve">here </w:t>
      </w:r>
      <w:r>
        <w:t>were</w:t>
      </w:r>
      <w:r w:rsidRPr="00F0449C">
        <w:t xml:space="preserve"> </w:t>
      </w:r>
      <w:r>
        <w:t>two</w:t>
      </w:r>
      <w:r w:rsidRPr="00F0449C">
        <w:t xml:space="preserve"> products containing </w:t>
      </w:r>
      <w:r>
        <w:t>lead</w:t>
      </w:r>
      <w:r w:rsidRPr="00F0449C">
        <w:t xml:space="preserve"> listed on the </w:t>
      </w:r>
      <w:hyperlink r:id="rId78" w:history="1">
        <w:r w:rsidRPr="00F0449C">
          <w:rPr>
            <w:rStyle w:val="Hyperlink"/>
          </w:rPr>
          <w:t>Public Chemical Registration Information System Search (P</w:t>
        </w:r>
        <w:r>
          <w:rPr>
            <w:rStyle w:val="Hyperlink"/>
          </w:rPr>
          <w:t>ub</w:t>
        </w:r>
        <w:r w:rsidRPr="00F0449C">
          <w:rPr>
            <w:rStyle w:val="Hyperlink"/>
          </w:rPr>
          <w:t>CRIS)</w:t>
        </w:r>
      </w:hyperlink>
      <w:r>
        <w:rPr>
          <w:rStyle w:val="FootnoteReference"/>
        </w:rPr>
        <w:footnoteReference w:id="57"/>
      </w:r>
      <w:r w:rsidRPr="00ED771E">
        <w:rPr>
          <w:rStyle w:val="Hyperlink"/>
        </w:rPr>
        <w:t xml:space="preserve"> (as lead acetate)</w:t>
      </w:r>
      <w:r w:rsidRPr="000411B6">
        <w:t xml:space="preserve">. </w:t>
      </w:r>
      <w:r>
        <w:t>Lead acetate is listed as an approved active constituent, and listed as an active constituent in a dermatological veterinary medicine.</w:t>
      </w:r>
    </w:p>
    <w:p w14:paraId="572F941E" w14:textId="77777777" w:rsidR="00C36465" w:rsidRPr="00390FE4" w:rsidRDefault="00C36465" w:rsidP="00DC6EC8">
      <w:pPr>
        <w:pStyle w:val="ListBullet"/>
      </w:pPr>
      <w:r>
        <w:t xml:space="preserve">In 2009-2019 no adverse experiences were recorded for lead in the </w:t>
      </w:r>
      <w:hyperlink r:id="rId79"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sidRPr="00CA7F0E">
        <w:rPr>
          <w:rStyle w:val="Hyperlink"/>
          <w:color w:val="auto"/>
          <w:u w:val="none"/>
        </w:rPr>
        <w:t>.</w:t>
      </w:r>
      <w:r>
        <w:rPr>
          <w:rStyle w:val="FootnoteReference"/>
        </w:rPr>
        <w:footnoteReference w:id="58"/>
      </w:r>
    </w:p>
    <w:p w14:paraId="57523649" w14:textId="77777777" w:rsidR="00C36465" w:rsidRPr="00B074B7" w:rsidRDefault="00C36465" w:rsidP="00C36465">
      <w:pPr>
        <w:pStyle w:val="Heading4"/>
      </w:pPr>
      <w:bookmarkStart w:id="14" w:name="_Toc468284153"/>
      <w:bookmarkStart w:id="15" w:name="_Toc486934451"/>
      <w:r>
        <w:t>International regulations</w:t>
      </w:r>
      <w:bookmarkEnd w:id="14"/>
      <w:bookmarkEnd w:id="15"/>
    </w:p>
    <w:p w14:paraId="07F9843C" w14:textId="77777777" w:rsidR="00C36465" w:rsidRPr="00471EFF" w:rsidRDefault="00C36465" w:rsidP="00DC6EC8">
      <w:pPr>
        <w:pStyle w:val="ListBullet"/>
      </w:pPr>
      <w:r>
        <w:t xml:space="preserve">Lead is not listed on the </w:t>
      </w:r>
      <w:hyperlink r:id="rId80" w:history="1">
        <w:r w:rsidRPr="00D46E56">
          <w:rPr>
            <w:rStyle w:val="Hyperlink"/>
          </w:rPr>
          <w:t>Food and Drugs Administration Approved Drugs Database</w:t>
        </w:r>
      </w:hyperlink>
      <w:r>
        <w:rPr>
          <w:rStyle w:val="FootnoteReference"/>
        </w:rPr>
        <w:footnoteReference w:id="59"/>
      </w:r>
      <w:r>
        <w:t xml:space="preserve"> or the </w:t>
      </w:r>
      <w:hyperlink r:id="rId81" w:history="1">
        <w:r w:rsidRPr="00D15A61">
          <w:rPr>
            <w:rStyle w:val="Hyperlink"/>
          </w:rPr>
          <w:t>Health Canada Drug Product Database</w:t>
        </w:r>
      </w:hyperlink>
      <w:r>
        <w:rPr>
          <w:rStyle w:val="FootnoteReference"/>
        </w:rPr>
        <w:footnoteReference w:id="60"/>
      </w:r>
      <w:r>
        <w:t>.</w:t>
      </w:r>
    </w:p>
    <w:p w14:paraId="0A52B2FD" w14:textId="77777777" w:rsidR="00C36465" w:rsidRPr="00471EFF" w:rsidRDefault="00C36465" w:rsidP="00DC6EC8">
      <w:pPr>
        <w:pStyle w:val="ListBullet"/>
        <w:rPr>
          <w:u w:val="single"/>
        </w:rPr>
      </w:pPr>
      <w:r w:rsidRPr="00471EFF">
        <w:t xml:space="preserve">According </w:t>
      </w:r>
      <w:r>
        <w:t xml:space="preserve">to the </w:t>
      </w:r>
      <w:hyperlink r:id="rId82" w:history="1">
        <w:r w:rsidRPr="00D15A61">
          <w:rPr>
            <w:rStyle w:val="Hyperlink"/>
          </w:rPr>
          <w:t>Medsafe Medicine Classification Database</w:t>
        </w:r>
      </w:hyperlink>
      <w:r>
        <w:rPr>
          <w:rStyle w:val="FootnoteReference"/>
        </w:rPr>
        <w:footnoteReference w:id="61"/>
      </w:r>
      <w:r>
        <w:t>, lead is regulated as a prescription medicine.</w:t>
      </w:r>
    </w:p>
    <w:p w14:paraId="21A94870" w14:textId="77777777" w:rsidR="00C36465" w:rsidRPr="00471EFF" w:rsidRDefault="00C36465" w:rsidP="00DC6EC8">
      <w:pPr>
        <w:pStyle w:val="ListBullet"/>
        <w:rPr>
          <w:u w:val="single"/>
        </w:rPr>
      </w:pPr>
      <w:r w:rsidRPr="00471EFF">
        <w:t>T</w:t>
      </w:r>
      <w:r>
        <w:t xml:space="preserve">he </w:t>
      </w:r>
      <w:hyperlink r:id="rId83" w:history="1">
        <w:r w:rsidRPr="000B466A">
          <w:rPr>
            <w:rStyle w:val="Hyperlink"/>
          </w:rPr>
          <w:t>European Chemicals Agency</w:t>
        </w:r>
      </w:hyperlink>
      <w:r>
        <w:rPr>
          <w:rStyle w:val="FootnoteReference"/>
        </w:rPr>
        <w:footnoteReference w:id="62"/>
      </w:r>
      <w:r>
        <w:t xml:space="preserve"> (ECHA) lists lead as a ‘substance of very high concern’. Hazard classifications include “</w:t>
      </w:r>
      <w:r>
        <w:rPr>
          <w:lang w:val="en-GB"/>
        </w:rPr>
        <w:t>may damage fertility or the unborn child, causes damage to organs through prolonged or repeated exposure, is very toxic to aquatic life with long lasting effects, may cause cancer, is very toxic to aquatic life and may cause harm to breast-fed children”</w:t>
      </w:r>
      <w:r w:rsidRPr="00471EFF">
        <w:rPr>
          <w:lang w:val="en-GB"/>
        </w:rPr>
        <w:t>.</w:t>
      </w:r>
    </w:p>
    <w:p w14:paraId="764CB0D3" w14:textId="77777777" w:rsidR="00C36465" w:rsidRPr="00471EFF" w:rsidRDefault="00C36465" w:rsidP="00DC6EC8">
      <w:pPr>
        <w:pStyle w:val="ListBullet"/>
        <w:rPr>
          <w:u w:val="single"/>
        </w:rPr>
      </w:pPr>
      <w:r w:rsidRPr="00471EFF">
        <w:rPr>
          <w:lang w:val="en-GB"/>
        </w:rPr>
        <w:t>T</w:t>
      </w:r>
      <w:r>
        <w:rPr>
          <w:lang w:val="en-GB"/>
        </w:rPr>
        <w:t xml:space="preserve">he </w:t>
      </w:r>
      <w:hyperlink r:id="rId84" w:history="1">
        <w:r w:rsidRPr="001A1312">
          <w:rPr>
            <w:rStyle w:val="Hyperlink"/>
            <w:lang w:val="en-GB"/>
          </w:rPr>
          <w:t>Health and Safety Authority</w:t>
        </w:r>
      </w:hyperlink>
      <w:r>
        <w:rPr>
          <w:rStyle w:val="FootnoteReference"/>
          <w:lang w:val="en-GB"/>
        </w:rPr>
        <w:footnoteReference w:id="63"/>
      </w:r>
      <w:r>
        <w:rPr>
          <w:lang w:val="en-GB"/>
        </w:rPr>
        <w:t xml:space="preserve"> of Ireland enforces a ban on the use of lead carbons and lead sulphates in paint except for restoration and maintenance of art and historic buildings.</w:t>
      </w:r>
    </w:p>
    <w:p w14:paraId="77287B12" w14:textId="77777777" w:rsidR="00C36465" w:rsidRPr="00471EFF" w:rsidRDefault="00C36465" w:rsidP="00DC6EC8">
      <w:pPr>
        <w:pStyle w:val="ListBullet"/>
        <w:rPr>
          <w:u w:val="single"/>
        </w:rPr>
      </w:pPr>
      <w:r w:rsidRPr="00471EFF">
        <w:rPr>
          <w:lang w:val="en-GB"/>
        </w:rPr>
        <w:t>T</w:t>
      </w:r>
      <w:r>
        <w:rPr>
          <w:lang w:val="en-GB"/>
        </w:rPr>
        <w:t xml:space="preserve">he </w:t>
      </w:r>
      <w:hyperlink r:id="rId85" w:history="1">
        <w:r w:rsidRPr="001A1312">
          <w:rPr>
            <w:rStyle w:val="Hyperlink"/>
            <w:lang w:val="en-GB"/>
          </w:rPr>
          <w:t>Consumer Product Safety Commission</w:t>
        </w:r>
      </w:hyperlink>
      <w:r>
        <w:rPr>
          <w:rStyle w:val="FootnoteReference"/>
          <w:lang w:val="en-GB"/>
        </w:rPr>
        <w:footnoteReference w:id="64"/>
      </w:r>
      <w:r>
        <w:rPr>
          <w:lang w:val="en-GB"/>
        </w:rPr>
        <w:t xml:space="preserve"> in the United States regulates the lead content in household paint at a limit of 0.009% (90 parts per million), according to the Consumer Product Safety Improvement Act of 2008.</w:t>
      </w:r>
    </w:p>
    <w:p w14:paraId="67065B72" w14:textId="613E90C6" w:rsidR="00C36465" w:rsidRDefault="00C36465" w:rsidP="00992CBB">
      <w:pPr>
        <w:pStyle w:val="Heading3"/>
        <w:pageBreakBefore/>
        <w:ind w:left="578" w:hanging="578"/>
      </w:pPr>
      <w:bookmarkStart w:id="16" w:name="_Toc56500999"/>
      <w:bookmarkStart w:id="17" w:name="_Toc59540952"/>
      <w:r w:rsidRPr="003444C1">
        <w:t>Cyfl</w:t>
      </w:r>
      <w:r>
        <w:t>umetofen</w:t>
      </w:r>
      <w:bookmarkEnd w:id="16"/>
      <w:bookmarkEnd w:id="17"/>
    </w:p>
    <w:p w14:paraId="79EF12A1" w14:textId="77777777" w:rsidR="00C36465" w:rsidRDefault="00C36465" w:rsidP="00C36465">
      <w:pPr>
        <w:pStyle w:val="Heading4"/>
      </w:pPr>
      <w:r>
        <w:t>Proposal</w:t>
      </w:r>
    </w:p>
    <w:p w14:paraId="63AAB21B" w14:textId="2C33D87F" w:rsidR="00C36465" w:rsidRPr="00730E3F" w:rsidRDefault="00C36465" w:rsidP="00C36465">
      <w:r>
        <w:t xml:space="preserve">New entry for the pesticide </w:t>
      </w:r>
      <w:r w:rsidR="00380495">
        <w:t xml:space="preserve">cyflumetofen </w:t>
      </w:r>
      <w:r>
        <w:t>in Schedule 6 of the Poisons Standard.</w:t>
      </w:r>
    </w:p>
    <w:p w14:paraId="267FAD52" w14:textId="77777777" w:rsidR="00C36465" w:rsidRPr="003639D9" w:rsidRDefault="00C36465" w:rsidP="00C36465">
      <w:pPr>
        <w:pStyle w:val="Heading4"/>
      </w:pPr>
      <w:r>
        <w:t>CAS Number:</w:t>
      </w:r>
    </w:p>
    <w:p w14:paraId="0B28F1C4" w14:textId="77777777" w:rsidR="00C36465" w:rsidRDefault="00C36465" w:rsidP="00C36465">
      <w:r w:rsidRPr="003444C1">
        <w:t>400882-07-7</w:t>
      </w:r>
    </w:p>
    <w:p w14:paraId="3CCFB0EA" w14:textId="77777777" w:rsidR="00C36465" w:rsidRDefault="00C36465" w:rsidP="00C36465">
      <w:pPr>
        <w:pStyle w:val="Heading4"/>
      </w:pPr>
      <w:r>
        <w:t>Alternative names</w:t>
      </w:r>
    </w:p>
    <w:p w14:paraId="06C2CA24" w14:textId="77777777" w:rsidR="00C36465" w:rsidRPr="003444C1" w:rsidRDefault="00C36465" w:rsidP="00C36465">
      <w:r>
        <w:t>B</w:t>
      </w:r>
      <w:r w:rsidRPr="003444C1">
        <w:t>enzenepropanoic acid, α-cyano-α-[4-(1,1-dimethylethyl)phenyl]-β-oxo-2-(trifluoromethyl)-, 2-methoxyethyl ester; α-cyano-α-[4-(1,1-dimethylethyl)phenyl]-β-oxo-2-(trifluoromethyl)-2-methoxyethyl ester benzenepropanoic acid; 2-methoxyethyl 2-(4-</w:t>
      </w:r>
      <w:r w:rsidRPr="003444C1">
        <w:rPr>
          <w:i/>
          <w:iCs/>
        </w:rPr>
        <w:t>tert</w:t>
      </w:r>
      <w:r w:rsidRPr="003444C1">
        <w:t>-butylphenyl)-2-cyano-3-oxo-3-[2-(trifluoromethyl)phenyl]propanoate</w:t>
      </w:r>
    </w:p>
    <w:p w14:paraId="79D18557" w14:textId="77777777" w:rsidR="00C36465" w:rsidRDefault="00C36465" w:rsidP="00C36465">
      <w:pPr>
        <w:pStyle w:val="Heading4"/>
      </w:pPr>
      <w:r>
        <w:t>Applicant</w:t>
      </w:r>
    </w:p>
    <w:p w14:paraId="75F558A2" w14:textId="77777777" w:rsidR="00C36465" w:rsidRPr="003639D9" w:rsidRDefault="00C36465" w:rsidP="00C36465">
      <w:r w:rsidRPr="003444C1">
        <w:t>Australian Pesticides and Veterinary Medicines Authority (APVMA)</w:t>
      </w:r>
    </w:p>
    <w:p w14:paraId="60562CC5" w14:textId="77777777" w:rsidR="00C36465" w:rsidRDefault="00C36465" w:rsidP="00C36465">
      <w:pPr>
        <w:pStyle w:val="Heading4"/>
      </w:pPr>
      <w:r>
        <w:t>Current scheduling</w:t>
      </w:r>
    </w:p>
    <w:p w14:paraId="65006D63" w14:textId="77777777" w:rsidR="00C36465" w:rsidRPr="00C24EB7" w:rsidRDefault="00C36465" w:rsidP="00C36465">
      <w:pPr>
        <w:rPr>
          <w:rFonts w:cstheme="minorHAnsi"/>
        </w:rPr>
      </w:pPr>
      <w:r w:rsidRPr="00C24EB7">
        <w:rPr>
          <w:rFonts w:cstheme="minorHAnsi"/>
        </w:rPr>
        <w:t>Cyflumetofen is not specifically scheduled in the current Poisons Standard.</w:t>
      </w:r>
    </w:p>
    <w:p w14:paraId="5C71576A" w14:textId="77777777" w:rsidR="00C36465" w:rsidRDefault="00C36465" w:rsidP="00C36465">
      <w:pPr>
        <w:pStyle w:val="Heading4"/>
      </w:pPr>
      <w:r>
        <w:t>Proposed scheduling</w:t>
      </w:r>
    </w:p>
    <w:p w14:paraId="03335F4B" w14:textId="77777777" w:rsidR="00C36465" w:rsidRPr="00020CB0" w:rsidRDefault="00C36465" w:rsidP="00C36465">
      <w:pPr>
        <w:ind w:left="426"/>
        <w:rPr>
          <w:b/>
        </w:rPr>
      </w:pPr>
      <w:r w:rsidRPr="00020CB0">
        <w:rPr>
          <w:b/>
        </w:rPr>
        <w:t>Schedule 6 – New Entry</w:t>
      </w:r>
    </w:p>
    <w:p w14:paraId="64DB754B" w14:textId="77777777" w:rsidR="00C36465" w:rsidRDefault="00C36465" w:rsidP="00C36465">
      <w:pPr>
        <w:ind w:firstLine="426"/>
        <w:rPr>
          <w:color w:val="FF0000"/>
        </w:rPr>
      </w:pPr>
      <w:r w:rsidRPr="00D51C98">
        <w:rPr>
          <w:color w:val="FF0000"/>
        </w:rPr>
        <w:t>CYFLUMETOFEN</w:t>
      </w:r>
    </w:p>
    <w:p w14:paraId="522FAF2A" w14:textId="77777777" w:rsidR="00C36465" w:rsidRPr="00941844" w:rsidRDefault="00C36465" w:rsidP="00C36465">
      <w:pPr>
        <w:ind w:firstLine="426"/>
        <w:rPr>
          <w:b/>
        </w:rPr>
      </w:pPr>
      <w:r w:rsidRPr="00941844">
        <w:rPr>
          <w:b/>
        </w:rPr>
        <w:t>Index – New Entry</w:t>
      </w:r>
    </w:p>
    <w:p w14:paraId="0A5FC4D7" w14:textId="77777777" w:rsidR="00C36465" w:rsidRPr="00941844" w:rsidRDefault="00C36465" w:rsidP="00C36465">
      <w:pPr>
        <w:ind w:firstLine="426"/>
        <w:rPr>
          <w:color w:val="FF0000"/>
        </w:rPr>
      </w:pPr>
      <w:r w:rsidRPr="00941844">
        <w:rPr>
          <w:color w:val="FF0000"/>
        </w:rPr>
        <w:t>CYFLUMETOFEN</w:t>
      </w:r>
    </w:p>
    <w:p w14:paraId="170F12C5" w14:textId="77777777" w:rsidR="00C36465" w:rsidRPr="00941844" w:rsidRDefault="00C36465" w:rsidP="00C36465">
      <w:pPr>
        <w:ind w:firstLine="426"/>
        <w:rPr>
          <w:color w:val="FF0000"/>
        </w:rPr>
      </w:pPr>
      <w:r w:rsidRPr="00941844">
        <w:rPr>
          <w:color w:val="FF0000"/>
        </w:rPr>
        <w:t>Schedule 6</w:t>
      </w:r>
    </w:p>
    <w:p w14:paraId="384FDEEB" w14:textId="77777777" w:rsidR="00C36465" w:rsidRPr="00C46F90" w:rsidRDefault="00C36465" w:rsidP="00C36465">
      <w:pPr>
        <w:pStyle w:val="Heading4"/>
      </w:pPr>
      <w:r w:rsidRPr="00C46F90">
        <w:t>Key uses / expected use</w:t>
      </w:r>
    </w:p>
    <w:p w14:paraId="6B279E8E" w14:textId="77777777" w:rsidR="00C36465" w:rsidRDefault="00C36465" w:rsidP="00C36465">
      <w:r w:rsidRPr="000B337A">
        <w:t>Agriculture</w:t>
      </w:r>
      <w:r>
        <w:t xml:space="preserve"> (acaricide for control of mites and ticks)</w:t>
      </w:r>
    </w:p>
    <w:p w14:paraId="69FAAED6" w14:textId="77777777" w:rsidR="00C36465" w:rsidRPr="00E13033" w:rsidRDefault="00C36465" w:rsidP="00C36465">
      <w:pPr>
        <w:pStyle w:val="Heading4"/>
      </w:pPr>
      <w:r>
        <w:t>Application summary - rea</w:t>
      </w:r>
      <w:r w:rsidRPr="00E13033">
        <w:t>sons for proposal</w:t>
      </w:r>
    </w:p>
    <w:p w14:paraId="51122E51" w14:textId="31ABCB80" w:rsidR="00C36465" w:rsidRPr="00E13033" w:rsidRDefault="00C36465" w:rsidP="00DC6EC8">
      <w:pPr>
        <w:pStyle w:val="ListBullet"/>
      </w:pPr>
      <w:r>
        <w:t>Cyflumetofen is an acaricide that is new to Australia, however it is already registered for use in Japan, Canada, the United States and the European Union</w:t>
      </w:r>
      <w:r w:rsidR="00992CBB">
        <w:t>.</w:t>
      </w:r>
    </w:p>
    <w:p w14:paraId="4187CCD1" w14:textId="77777777" w:rsidR="00C36465" w:rsidRDefault="00C36465" w:rsidP="00DC6EC8">
      <w:pPr>
        <w:pStyle w:val="ListBullet"/>
      </w:pPr>
      <w:r>
        <w:t>The substance is intended for use as a spray on various crops to control certain mite species</w:t>
      </w:r>
      <w:r w:rsidRPr="00E13033">
        <w:t>.</w:t>
      </w:r>
      <w:r>
        <w:t xml:space="preserve"> These uses are anticipated to result in limited occupational exposure, with appropriate packaging and labelling controls to be utilised for risk management.</w:t>
      </w:r>
    </w:p>
    <w:p w14:paraId="11C93D47" w14:textId="77777777" w:rsidR="00C36465" w:rsidRDefault="00C36465" w:rsidP="00DC6EC8">
      <w:pPr>
        <w:pStyle w:val="ListBullet"/>
      </w:pPr>
      <w:r w:rsidRPr="00933CB4">
        <w:t>Cyflumetofen is of low acute toxicity via the oral, dermal and inhalation routes of exposure. It is not irritating to the skin, slightly irritating to the eye and it is a potential skin sensitiser.</w:t>
      </w:r>
    </w:p>
    <w:p w14:paraId="70408DFA" w14:textId="77777777" w:rsidR="00C36465" w:rsidRPr="00933CB4" w:rsidRDefault="00C36465" w:rsidP="00DC6EC8">
      <w:pPr>
        <w:pStyle w:val="ListBullet"/>
      </w:pPr>
      <w:r w:rsidRPr="00933CB4">
        <w:t>There was no evidence of carcinogenicity in mice. In rats, a marginal increase in the incidence of Leydig cell tumours was observed at the highest dose tested</w:t>
      </w:r>
      <w:r>
        <w:t>, while t</w:t>
      </w:r>
      <w:r w:rsidRPr="00933CB4">
        <w:t>here was also a slight increase in the incidence of thyroid c-cell tumours in the 2-year rat study</w:t>
      </w:r>
      <w:r>
        <w:t>.</w:t>
      </w:r>
      <w:r w:rsidRPr="00933CB4">
        <w:t xml:space="preserve"> </w:t>
      </w:r>
      <w:r>
        <w:t>However, the</w:t>
      </w:r>
      <w:r w:rsidRPr="00933CB4">
        <w:t>s</w:t>
      </w:r>
      <w:r>
        <w:t>e</w:t>
      </w:r>
      <w:r w:rsidRPr="00933CB4">
        <w:t xml:space="preserve"> observation</w:t>
      </w:r>
      <w:r>
        <w:t>s were</w:t>
      </w:r>
      <w:r w:rsidRPr="00933CB4">
        <w:t xml:space="preserve"> determined to be incidental.</w:t>
      </w:r>
      <w:r>
        <w:t xml:space="preserve"> </w:t>
      </w:r>
      <w:r w:rsidRPr="00933CB4">
        <w:t>Overall</w:t>
      </w:r>
      <w:r>
        <w:t>,</w:t>
      </w:r>
      <w:r w:rsidRPr="00933CB4">
        <w:t xml:space="preserve"> cyflumetofen </w:t>
      </w:r>
      <w:r>
        <w:t xml:space="preserve">is </w:t>
      </w:r>
      <w:r w:rsidRPr="00933CB4">
        <w:t xml:space="preserve">considered </w:t>
      </w:r>
      <w:r>
        <w:t>un</w:t>
      </w:r>
      <w:r w:rsidRPr="00933CB4">
        <w:t>likely to be carcinogenic to humans under its expected conditions of use.</w:t>
      </w:r>
    </w:p>
    <w:p w14:paraId="7793B112" w14:textId="77777777" w:rsidR="00C36465" w:rsidRPr="009E6A6B" w:rsidRDefault="00C36465" w:rsidP="00DC6EC8">
      <w:pPr>
        <w:pStyle w:val="ListBullet"/>
      </w:pPr>
      <w:r w:rsidRPr="00933CB4">
        <w:t xml:space="preserve">Cyflumetofen was tested for genotoxicity in an adequate range of assays, both </w:t>
      </w:r>
      <w:r w:rsidRPr="00933CB4">
        <w:rPr>
          <w:i/>
        </w:rPr>
        <w:t>in vitro</w:t>
      </w:r>
      <w:r w:rsidRPr="00933CB4">
        <w:t xml:space="preserve"> and </w:t>
      </w:r>
      <w:r w:rsidRPr="00933CB4">
        <w:rPr>
          <w:i/>
        </w:rPr>
        <w:t>in vivo</w:t>
      </w:r>
      <w:r w:rsidRPr="00933CB4">
        <w:t xml:space="preserve">. A mouse lymphoma gene mutation assay was positive with and without liver enzyme activation at concentrations close to those at which precipitation occurred. Cyflumetofen was not genotoxic in an Ames test or in an </w:t>
      </w:r>
      <w:r w:rsidRPr="00933CB4">
        <w:rPr>
          <w:i/>
        </w:rPr>
        <w:t>in vitro</w:t>
      </w:r>
      <w:r w:rsidRPr="00933CB4">
        <w:t xml:space="preserve"> chromosomal aberration assay. There was no evidence of genotoxicity in an </w:t>
      </w:r>
      <w:r w:rsidRPr="00933CB4">
        <w:rPr>
          <w:i/>
        </w:rPr>
        <w:t>in vivo</w:t>
      </w:r>
      <w:r w:rsidRPr="00933CB4">
        <w:t xml:space="preserve"> micronucleus assay or in an </w:t>
      </w:r>
      <w:r w:rsidRPr="00933CB4">
        <w:rPr>
          <w:i/>
        </w:rPr>
        <w:t>in vivo</w:t>
      </w:r>
      <w:r w:rsidRPr="00933CB4">
        <w:t xml:space="preserve"> unscheduled DNA synthesis assay in rat liver. Overall, it was concluded that cyflumetofen is unlikely to be genotoxic </w:t>
      </w:r>
      <w:r w:rsidRPr="00933CB4">
        <w:rPr>
          <w:i/>
        </w:rPr>
        <w:t>in vivo</w:t>
      </w:r>
      <w:r w:rsidRPr="00933CB4">
        <w:t>.</w:t>
      </w:r>
    </w:p>
    <w:p w14:paraId="77FCE61D" w14:textId="77777777" w:rsidR="00C36465" w:rsidRPr="009E6A6B" w:rsidRDefault="00C36465" w:rsidP="00DC6EC8">
      <w:pPr>
        <w:pStyle w:val="ListBullet"/>
      </w:pPr>
      <w:r>
        <w:t>Cyflumetofen is not neurotoxic in acute or subchronic neurotoxicity studies in rats. Cyflumetofen is not immunotoxic.</w:t>
      </w:r>
    </w:p>
    <w:p w14:paraId="3C14DA00" w14:textId="77777777" w:rsidR="00C36465" w:rsidRDefault="00C36465" w:rsidP="00DC6EC8">
      <w:pPr>
        <w:pStyle w:val="ListBullet"/>
      </w:pPr>
      <w:r w:rsidRPr="00933CB4">
        <w:t>Three medical reports from monitoring of manufacturing plant personnel were submitted. No adverse health effects were noted in any of the reports.</w:t>
      </w:r>
    </w:p>
    <w:p w14:paraId="06FC0865" w14:textId="77777777" w:rsidR="00C36465" w:rsidRDefault="00C36465" w:rsidP="00C36465">
      <w:pPr>
        <w:pStyle w:val="Heading4"/>
      </w:pPr>
      <w:r w:rsidRPr="00DC5AE0">
        <w:t xml:space="preserve">Australian </w:t>
      </w:r>
      <w:r>
        <w:t>regulations</w:t>
      </w:r>
      <w:r w:rsidRPr="00DC5AE0">
        <w:t xml:space="preserve"> </w:t>
      </w:r>
    </w:p>
    <w:p w14:paraId="0DDACEBB" w14:textId="77777777" w:rsidR="00C36465" w:rsidRPr="00354E5E" w:rsidRDefault="00C36465" w:rsidP="00DC6EC8">
      <w:pPr>
        <w:pStyle w:val="ListBullet"/>
      </w:pPr>
      <w:r>
        <w:t xml:space="preserve">Cyflumetofen is not listed on the </w:t>
      </w:r>
      <w:hyperlink r:id="rId86" w:history="1">
        <w:r w:rsidRPr="00C66C5E">
          <w:rPr>
            <w:rStyle w:val="Hyperlink"/>
          </w:rPr>
          <w:t xml:space="preserve">TGA </w:t>
        </w:r>
        <w:r>
          <w:rPr>
            <w:rStyle w:val="Hyperlink"/>
          </w:rPr>
          <w:t xml:space="preserve">Ingredient </w:t>
        </w:r>
        <w:r w:rsidRPr="00C66C5E">
          <w:rPr>
            <w:rStyle w:val="Hyperlink"/>
          </w:rPr>
          <w:t>Database</w:t>
        </w:r>
      </w:hyperlink>
      <w:r>
        <w:rPr>
          <w:rStyle w:val="Hyperlink"/>
        </w:rPr>
        <w:t>.</w:t>
      </w:r>
      <w:r>
        <w:rPr>
          <w:rStyle w:val="FootnoteReference"/>
        </w:rPr>
        <w:footnoteReference w:id="65"/>
      </w:r>
    </w:p>
    <w:p w14:paraId="1E398CB7" w14:textId="26C5B24D" w:rsidR="00C36465" w:rsidRPr="00992CBB" w:rsidRDefault="00C36465" w:rsidP="00DC6EC8">
      <w:pPr>
        <w:pStyle w:val="ListBullet"/>
      </w:pPr>
      <w:r>
        <w:t xml:space="preserve">As of </w:t>
      </w:r>
      <w:r w:rsidRPr="00354E5E">
        <w:t>November 2020</w:t>
      </w:r>
      <w:r>
        <w:t>, t</w:t>
      </w:r>
      <w:r w:rsidRPr="00881DFE">
        <w:t xml:space="preserve">here </w:t>
      </w:r>
      <w:r>
        <w:t>were</w:t>
      </w:r>
      <w:r w:rsidRPr="00881DFE">
        <w:t xml:space="preserve"> </w:t>
      </w:r>
      <w:r>
        <w:t>no medicine</w:t>
      </w:r>
      <w:r w:rsidRPr="00881DFE">
        <w:t xml:space="preserve">s currently active on the </w:t>
      </w:r>
      <w:hyperlink r:id="rId87" w:history="1">
        <w:r w:rsidRPr="00293CCA">
          <w:rPr>
            <w:rStyle w:val="Hyperlink"/>
          </w:rPr>
          <w:t>Australian Register of Therapeutic Goods (ARTG)</w:t>
        </w:r>
      </w:hyperlink>
      <w:r>
        <w:rPr>
          <w:rStyle w:val="FootnoteReference"/>
        </w:rPr>
        <w:footnoteReference w:id="66"/>
      </w:r>
      <w:r>
        <w:t xml:space="preserve"> that contain</w:t>
      </w:r>
      <w:r w:rsidRPr="00881DFE">
        <w:t xml:space="preserve"> </w:t>
      </w:r>
      <w:r>
        <w:t>cyflumetofen as an active ingredient</w:t>
      </w:r>
      <w:r w:rsidRPr="00881DFE">
        <w:t>.</w:t>
      </w:r>
    </w:p>
    <w:p w14:paraId="20D80579" w14:textId="7420BB47" w:rsidR="00C36465" w:rsidRDefault="00C36465" w:rsidP="00DC6EC8">
      <w:pPr>
        <w:pStyle w:val="ListBullet"/>
      </w:pPr>
      <w:r>
        <w:t>As of November 2020, t</w:t>
      </w:r>
      <w:r w:rsidRPr="00F0449C">
        <w:t xml:space="preserve">here </w:t>
      </w:r>
      <w:r>
        <w:t>were</w:t>
      </w:r>
      <w:r w:rsidRPr="00F0449C">
        <w:t xml:space="preserve"> </w:t>
      </w:r>
      <w:r w:rsidRPr="00A62DB1">
        <w:t>no</w:t>
      </w:r>
      <w:r w:rsidRPr="00F0449C">
        <w:t xml:space="preserve"> products containing </w:t>
      </w:r>
      <w:r>
        <w:t xml:space="preserve">cyflumetofen </w:t>
      </w:r>
      <w:r w:rsidRPr="00F0449C">
        <w:t xml:space="preserve">listed on the </w:t>
      </w:r>
      <w:hyperlink r:id="rId88"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67"/>
      </w:r>
    </w:p>
    <w:p w14:paraId="1A56C741" w14:textId="77777777" w:rsidR="00C36465" w:rsidRPr="00CB687C" w:rsidRDefault="00C36465" w:rsidP="00C36465">
      <w:pPr>
        <w:pStyle w:val="Heading4"/>
      </w:pPr>
      <w:r>
        <w:t>International regulations</w:t>
      </w:r>
    </w:p>
    <w:p w14:paraId="0E26C95B" w14:textId="7B5EB19C" w:rsidR="00C36465" w:rsidRPr="00992CBB" w:rsidRDefault="00C36465" w:rsidP="00DC6EC8">
      <w:pPr>
        <w:pStyle w:val="ListBullet"/>
      </w:pPr>
      <w:r>
        <w:t xml:space="preserve">The </w:t>
      </w:r>
      <w:hyperlink r:id="rId89" w:history="1">
        <w:r w:rsidRPr="00C24EB7">
          <w:rPr>
            <w:rStyle w:val="Hyperlink"/>
          </w:rPr>
          <w:t>European Chemicals Agency</w:t>
        </w:r>
      </w:hyperlink>
      <w:r>
        <w:rPr>
          <w:rStyle w:val="FootnoteReference"/>
        </w:rPr>
        <w:footnoteReference w:id="68"/>
      </w:r>
      <w:r>
        <w:t xml:space="preserve"> lists cyflumetofen as a suspected carcinogen </w:t>
      </w:r>
      <w:r w:rsidR="00992CBB">
        <w:t>and a possible skin sensitiser.</w:t>
      </w:r>
    </w:p>
    <w:p w14:paraId="01075924" w14:textId="77777777" w:rsidR="00C36465" w:rsidRPr="00992CBB" w:rsidRDefault="00C36465" w:rsidP="00DC6EC8">
      <w:pPr>
        <w:pStyle w:val="ListBullet"/>
        <w:rPr>
          <w:u w:val="single"/>
        </w:rPr>
      </w:pPr>
      <w:r w:rsidRPr="00992CBB">
        <w:t>Cyflumetofen is a registered pesticide with</w:t>
      </w:r>
      <w:r>
        <w:t xml:space="preserve"> the </w:t>
      </w:r>
      <w:hyperlink r:id="rId90" w:history="1">
        <w:r w:rsidRPr="00152675">
          <w:rPr>
            <w:rStyle w:val="Hyperlink"/>
          </w:rPr>
          <w:t>United States Environmental Protection Agency</w:t>
        </w:r>
      </w:hyperlink>
      <w:r>
        <w:rPr>
          <w:rStyle w:val="FootnoteReference"/>
        </w:rPr>
        <w:footnoteReference w:id="69"/>
      </w:r>
      <w:r>
        <w:t>.</w:t>
      </w:r>
    </w:p>
    <w:p w14:paraId="11F36C95" w14:textId="77777777" w:rsidR="00C36465" w:rsidRPr="00992CBB" w:rsidRDefault="00C36465" w:rsidP="00DC6EC8">
      <w:pPr>
        <w:pStyle w:val="ListBullet"/>
        <w:rPr>
          <w:u w:val="single"/>
        </w:rPr>
      </w:pPr>
      <w:r w:rsidRPr="00992CBB">
        <w:t>C</w:t>
      </w:r>
      <w:r>
        <w:t xml:space="preserve">yflumetofen is not listed on the </w:t>
      </w:r>
      <w:hyperlink r:id="rId91" w:history="1">
        <w:r w:rsidRPr="00152675">
          <w:rPr>
            <w:rStyle w:val="Hyperlink"/>
          </w:rPr>
          <w:t>New Zealand Inventory of Chemicals</w:t>
        </w:r>
      </w:hyperlink>
      <w:r w:rsidRPr="004837CC">
        <w:rPr>
          <w:rStyle w:val="FootnoteReference"/>
        </w:rPr>
        <w:footnoteReference w:id="70"/>
      </w:r>
      <w:r>
        <w:t>.</w:t>
      </w:r>
    </w:p>
    <w:p w14:paraId="429953F1" w14:textId="77777777" w:rsidR="00C36465" w:rsidRPr="00992CBB" w:rsidRDefault="00C36465" w:rsidP="00DC6EC8">
      <w:pPr>
        <w:pStyle w:val="ListBullet"/>
        <w:rPr>
          <w:u w:val="single"/>
        </w:rPr>
      </w:pPr>
      <w:r w:rsidRPr="00992CBB">
        <w:t>Th</w:t>
      </w:r>
      <w:r>
        <w:t xml:space="preserve">e </w:t>
      </w:r>
      <w:hyperlink r:id="rId92" w:history="1">
        <w:r w:rsidRPr="003216FD">
          <w:rPr>
            <w:rStyle w:val="Hyperlink"/>
          </w:rPr>
          <w:t>European Union Pesticides Database</w:t>
        </w:r>
      </w:hyperlink>
      <w:r>
        <w:rPr>
          <w:rStyle w:val="FootnoteReference"/>
        </w:rPr>
        <w:footnoteReference w:id="71"/>
      </w:r>
      <w:r>
        <w:t xml:space="preserve"> lists cyflumetofen as an authorised substance in many member countries, including Belgium, Bulgaria, Cyprus, Czech Republic, Germany, Spain, France, Croatia, Italy, Netherlands, Poland and Portugal. It is stated that p</w:t>
      </w:r>
      <w:r w:rsidRPr="003216FD">
        <w:t>lant protection products containing cyflumetofen shall only be authorised for uses where the level of metabolite B3 in groundwater is exp</w:t>
      </w:r>
      <w:r>
        <w:t>ected to be below 0.</w:t>
      </w:r>
      <w:r w:rsidRPr="003216FD">
        <w:t>1 μg/L.</w:t>
      </w:r>
    </w:p>
    <w:p w14:paraId="0F36124B" w14:textId="100E0BD0" w:rsidR="00C36465" w:rsidRDefault="00C36465" w:rsidP="00C36465">
      <w:pPr>
        <w:pStyle w:val="Heading3"/>
      </w:pPr>
      <w:bookmarkStart w:id="18" w:name="_Toc56501000"/>
      <w:bookmarkStart w:id="19" w:name="_Toc59540953"/>
      <w:r>
        <w:t>Isocycloseram</w:t>
      </w:r>
      <w:bookmarkEnd w:id="18"/>
      <w:bookmarkEnd w:id="19"/>
    </w:p>
    <w:p w14:paraId="286878DA" w14:textId="77777777" w:rsidR="00C36465" w:rsidRDefault="00C36465" w:rsidP="00C36465">
      <w:pPr>
        <w:pStyle w:val="Heading4"/>
      </w:pPr>
      <w:r>
        <w:t>Proposal</w:t>
      </w:r>
    </w:p>
    <w:p w14:paraId="4AF1001D" w14:textId="24331150" w:rsidR="00C36465" w:rsidRPr="00EC32FF" w:rsidRDefault="00C36465" w:rsidP="00C36465">
      <w:r>
        <w:t xml:space="preserve">New entry for the pesticide </w:t>
      </w:r>
      <w:r w:rsidR="00380495">
        <w:t xml:space="preserve">isocycloseram </w:t>
      </w:r>
      <w:r>
        <w:t>in Schedule 6 of the Poisons Standard.</w:t>
      </w:r>
    </w:p>
    <w:p w14:paraId="1A9E25DD" w14:textId="77777777" w:rsidR="00C36465" w:rsidRPr="003639D9" w:rsidRDefault="00C36465" w:rsidP="00C36465">
      <w:pPr>
        <w:pStyle w:val="Heading4"/>
      </w:pPr>
      <w:r>
        <w:t>CAS Number:</w:t>
      </w:r>
    </w:p>
    <w:p w14:paraId="401F5425" w14:textId="77777777" w:rsidR="00C36465" w:rsidRDefault="00C36465" w:rsidP="00C36465">
      <w:r w:rsidRPr="00340615">
        <w:t>2061933-85-3</w:t>
      </w:r>
    </w:p>
    <w:p w14:paraId="0CEBE683" w14:textId="77777777" w:rsidR="00C36465" w:rsidRDefault="00C36465" w:rsidP="00C36465">
      <w:pPr>
        <w:pStyle w:val="Heading4"/>
      </w:pPr>
      <w:r>
        <w:t>Alternative names</w:t>
      </w:r>
    </w:p>
    <w:p w14:paraId="50F6E59D" w14:textId="2285C4FD" w:rsidR="00C36465" w:rsidRPr="00380495" w:rsidRDefault="00C36465" w:rsidP="00380495">
      <w:pPr>
        <w:pStyle w:val="Heading5"/>
        <w:ind w:left="0" w:firstLine="0"/>
        <w:rPr>
          <w:b w:val="0"/>
          <w:i w:val="0"/>
          <w:szCs w:val="22"/>
        </w:rPr>
      </w:pPr>
      <w:r w:rsidRPr="00380495">
        <w:rPr>
          <w:b w:val="0"/>
          <w:i w:val="0"/>
          <w:szCs w:val="22"/>
        </w:rPr>
        <w:t>4-[5-(3,5-dichloro-4-fluorophenyl)-5-(trifluoromethyl)-4,5-dihy</w:t>
      </w:r>
      <w:r w:rsidR="00380495">
        <w:rPr>
          <w:b w:val="0"/>
          <w:i w:val="0"/>
          <w:szCs w:val="22"/>
        </w:rPr>
        <w:t>dro-1,2-oxazol-3-yl]-N-(2-ethyl-</w:t>
      </w:r>
      <w:r w:rsidRPr="00380495">
        <w:rPr>
          <w:b w:val="0"/>
          <w:i w:val="0"/>
          <w:szCs w:val="22"/>
        </w:rPr>
        <w:t>3-oxo-1,2-oxazolidin-4-yl)-2-methylbenzamide</w:t>
      </w:r>
    </w:p>
    <w:p w14:paraId="2AD39074" w14:textId="77777777" w:rsidR="00C36465" w:rsidRDefault="00C36465" w:rsidP="00C36465">
      <w:pPr>
        <w:pStyle w:val="Heading4"/>
      </w:pPr>
      <w:r>
        <w:t>Applicant</w:t>
      </w:r>
    </w:p>
    <w:p w14:paraId="11597282" w14:textId="77777777" w:rsidR="00C36465" w:rsidRPr="003639D9" w:rsidRDefault="00C36465" w:rsidP="00C36465">
      <w:r w:rsidRPr="009E63F3">
        <w:t>Australian Pesticides and Veterinary Medicines Authority (APVMA)</w:t>
      </w:r>
    </w:p>
    <w:p w14:paraId="2F8A99D4" w14:textId="77777777" w:rsidR="00C36465" w:rsidRDefault="00C36465" w:rsidP="00C36465">
      <w:pPr>
        <w:pStyle w:val="Heading4"/>
      </w:pPr>
      <w:r>
        <w:t>Current scheduling</w:t>
      </w:r>
    </w:p>
    <w:p w14:paraId="733C211F" w14:textId="77777777" w:rsidR="00C36465" w:rsidRPr="006B107B" w:rsidRDefault="00C36465" w:rsidP="00C36465">
      <w:r w:rsidRPr="006B107B">
        <w:t>Isocycloseram is not specifically scheduled in the current Poisons Standard.</w:t>
      </w:r>
    </w:p>
    <w:p w14:paraId="64CF8A8F" w14:textId="77777777" w:rsidR="00C36465" w:rsidRDefault="00C36465" w:rsidP="00C36465">
      <w:pPr>
        <w:pStyle w:val="Heading4"/>
      </w:pPr>
      <w:r>
        <w:t>Proposed scheduling</w:t>
      </w:r>
    </w:p>
    <w:p w14:paraId="09038A29" w14:textId="77777777" w:rsidR="00C36465" w:rsidRPr="00992CBB" w:rsidRDefault="00C36465" w:rsidP="00C36465">
      <w:pPr>
        <w:ind w:left="426"/>
      </w:pPr>
      <w:r w:rsidRPr="00020CB0">
        <w:rPr>
          <w:b/>
        </w:rPr>
        <w:t>Schedule 6 – New Entry</w:t>
      </w:r>
    </w:p>
    <w:p w14:paraId="67D8042F" w14:textId="77777777" w:rsidR="00C36465" w:rsidRDefault="00C36465" w:rsidP="00C36465">
      <w:pPr>
        <w:ind w:left="426"/>
        <w:rPr>
          <w:b/>
        </w:rPr>
      </w:pPr>
      <w:r w:rsidRPr="00810B9C">
        <w:rPr>
          <w:color w:val="FF0000"/>
        </w:rPr>
        <w:t>ISOCYCLOSERAM</w:t>
      </w:r>
    </w:p>
    <w:p w14:paraId="65256F3D" w14:textId="77777777" w:rsidR="00C36465" w:rsidRPr="00992CBB" w:rsidRDefault="00C36465" w:rsidP="00C36465">
      <w:pPr>
        <w:ind w:left="426"/>
      </w:pPr>
      <w:r w:rsidRPr="00941844">
        <w:rPr>
          <w:b/>
        </w:rPr>
        <w:t>Index – New Entry</w:t>
      </w:r>
    </w:p>
    <w:p w14:paraId="68297423" w14:textId="77777777" w:rsidR="00C36465" w:rsidRDefault="00C36465" w:rsidP="00C36465">
      <w:pPr>
        <w:ind w:left="426"/>
        <w:rPr>
          <w:color w:val="FF0000"/>
        </w:rPr>
      </w:pPr>
      <w:r>
        <w:rPr>
          <w:color w:val="FF0000"/>
        </w:rPr>
        <w:t>ISOCYCLOSERAM</w:t>
      </w:r>
    </w:p>
    <w:p w14:paraId="19596205" w14:textId="77777777" w:rsidR="00C36465" w:rsidRPr="006B107B" w:rsidRDefault="00C36465" w:rsidP="00C36465">
      <w:pPr>
        <w:ind w:left="426"/>
      </w:pPr>
      <w:r>
        <w:rPr>
          <w:color w:val="FF0000"/>
        </w:rPr>
        <w:t>Schedule 6</w:t>
      </w:r>
    </w:p>
    <w:p w14:paraId="15122499" w14:textId="77777777" w:rsidR="00C36465" w:rsidRPr="00C46F90" w:rsidRDefault="00C36465" w:rsidP="00C36465">
      <w:pPr>
        <w:pStyle w:val="Heading4"/>
      </w:pPr>
      <w:r w:rsidRPr="00C46F90">
        <w:t>Key uses / expected use</w:t>
      </w:r>
    </w:p>
    <w:p w14:paraId="7412BFB2" w14:textId="77777777" w:rsidR="00C36465" w:rsidRDefault="00C36465" w:rsidP="00C36465">
      <w:r w:rsidRPr="009E63F3">
        <w:t>Agriculture</w:t>
      </w:r>
      <w:r>
        <w:t xml:space="preserve"> (pesticide)</w:t>
      </w:r>
    </w:p>
    <w:p w14:paraId="0E50FFC3" w14:textId="77777777" w:rsidR="00C36465" w:rsidRDefault="00C36465" w:rsidP="00C36465">
      <w:pPr>
        <w:pStyle w:val="Heading4"/>
      </w:pPr>
      <w:r>
        <w:t>Application summary - reasons for proposal</w:t>
      </w:r>
    </w:p>
    <w:p w14:paraId="54708520" w14:textId="632FB38E" w:rsidR="00C36465" w:rsidRPr="009E63F3" w:rsidRDefault="00C36465" w:rsidP="00DC6EC8">
      <w:pPr>
        <w:pStyle w:val="ListBullet"/>
      </w:pPr>
      <w:r>
        <w:t xml:space="preserve">Isocycloseram </w:t>
      </w:r>
      <w:r w:rsidRPr="00CD6DA6">
        <w:t xml:space="preserve">belongs to the </w:t>
      </w:r>
      <w:r>
        <w:t>group of isoxazoline insecticides. It</w:t>
      </w:r>
      <w:r w:rsidRPr="00CD6DA6">
        <w:t xml:space="preserve"> is a new active constituent which</w:t>
      </w:r>
      <w:r>
        <w:t xml:space="preserve"> </w:t>
      </w:r>
      <w:r w:rsidRPr="00CD6DA6">
        <w:t>has not previously been approved in Australia</w:t>
      </w:r>
      <w:r>
        <w:t>, and has not yet been considered for scheduling</w:t>
      </w:r>
      <w:r w:rsidR="00E0205A">
        <w:t>.</w:t>
      </w:r>
    </w:p>
    <w:p w14:paraId="7BAFF9AF" w14:textId="77777777" w:rsidR="00C36465" w:rsidRDefault="00C36465" w:rsidP="00DC6EC8">
      <w:pPr>
        <w:pStyle w:val="ListBullet"/>
      </w:pPr>
      <w:r>
        <w:t xml:space="preserve">The Scheduling Delegate and the Advisory Committee on Chemicals Scheduling (ACCS) have previously considered in the related active constituents </w:t>
      </w:r>
      <w:hyperlink r:id="rId93" w:history="1">
        <w:r w:rsidRPr="00EC32FF">
          <w:rPr>
            <w:rStyle w:val="Hyperlink"/>
          </w:rPr>
          <w:t>afoxolaner</w:t>
        </w:r>
      </w:hyperlink>
      <w:r>
        <w:t xml:space="preserve">, </w:t>
      </w:r>
      <w:hyperlink r:id="rId94" w:history="1">
        <w:r w:rsidRPr="00EC32FF">
          <w:rPr>
            <w:rStyle w:val="Hyperlink"/>
          </w:rPr>
          <w:t>fluralaner</w:t>
        </w:r>
      </w:hyperlink>
      <w:r>
        <w:t xml:space="preserve">, </w:t>
      </w:r>
      <w:hyperlink r:id="rId95" w:history="1">
        <w:r w:rsidRPr="00EC32FF">
          <w:rPr>
            <w:rStyle w:val="Hyperlink"/>
          </w:rPr>
          <w:t>lotilaner</w:t>
        </w:r>
      </w:hyperlink>
      <w:r>
        <w:t xml:space="preserve"> and </w:t>
      </w:r>
      <w:hyperlink r:id="rId96" w:history="1">
        <w:r w:rsidRPr="00EC32FF">
          <w:rPr>
            <w:rStyle w:val="Hyperlink"/>
          </w:rPr>
          <w:t>sarolaner</w:t>
        </w:r>
      </w:hyperlink>
      <w:r>
        <w:t>. Af</w:t>
      </w:r>
      <w:r w:rsidRPr="0034100B">
        <w:rPr>
          <w:iCs/>
        </w:rPr>
        <w:t>oxolaner, fluralaner and lotilaner are included in Schedule 5, while sarolaner is included in Schedule 6 w</w:t>
      </w:r>
      <w:r>
        <w:rPr>
          <w:iCs/>
        </w:rPr>
        <w:t>ith a cut-off to Schedule 5 for</w:t>
      </w:r>
      <w:r w:rsidRPr="0034100B">
        <w:rPr>
          <w:iCs/>
        </w:rPr>
        <w:t xml:space="preserve"> 120 mg or less of sarolaner per dosage unit</w:t>
      </w:r>
      <w:r w:rsidRPr="009E63F3">
        <w:t>.</w:t>
      </w:r>
    </w:p>
    <w:p w14:paraId="290A9F58" w14:textId="77777777" w:rsidR="00C36465" w:rsidRPr="00381BB3" w:rsidRDefault="00C36465" w:rsidP="00DC6EC8">
      <w:pPr>
        <w:pStyle w:val="ListBullet"/>
      </w:pPr>
      <w:r w:rsidRPr="00381BB3">
        <w:t xml:space="preserve">Isocycloseram has very low acute toxicity by oral routes, and low acute toxicity by dermal and inhalational routes. It is a slight eye irritant. It is a potential skin sensitiser. In laboratory animals repeat dose studies, most adverse effects were </w:t>
      </w:r>
      <w:r w:rsidRPr="00381BB3">
        <w:rPr>
          <w:rFonts w:eastAsia="Times New Roman"/>
        </w:rPr>
        <w:t>clinical signs consistent with neurotoxicity at high doses, as well as histopathological findings in the adrenal glands, liver, duodenum and spleen of mice and rats and in the lymph nodes of mice.</w:t>
      </w:r>
    </w:p>
    <w:p w14:paraId="178FB4AF" w14:textId="35FBD8DD" w:rsidR="00C36465" w:rsidRDefault="00C36465" w:rsidP="00DC6EC8">
      <w:pPr>
        <w:pStyle w:val="ListBullet"/>
      </w:pPr>
      <w:r w:rsidRPr="004A0279">
        <w:t xml:space="preserve">Chronic studies did not demonstrate carcinogenic potential and this is supported by negative results in an adequate range of </w:t>
      </w:r>
      <w:r w:rsidRPr="004A0279">
        <w:rPr>
          <w:i/>
        </w:rPr>
        <w:t>in vitro</w:t>
      </w:r>
      <w:r w:rsidRPr="004A0279">
        <w:t xml:space="preserve"> and </w:t>
      </w:r>
      <w:r w:rsidRPr="004A0279">
        <w:rPr>
          <w:i/>
        </w:rPr>
        <w:t>in vivo</w:t>
      </w:r>
      <w:r w:rsidR="00E0205A">
        <w:t xml:space="preserve"> genotoxicity assays.</w:t>
      </w:r>
    </w:p>
    <w:p w14:paraId="7F135C83" w14:textId="77777777" w:rsidR="00C36465" w:rsidRPr="004A0279" w:rsidRDefault="00C36465" w:rsidP="00DC6EC8">
      <w:pPr>
        <w:pStyle w:val="ListBullet"/>
      </w:pPr>
      <w:r w:rsidRPr="004A0279">
        <w:t>The active substance is not a reproductive or developmental toxicant</w:t>
      </w:r>
      <w:r>
        <w:t xml:space="preserve"> i</w:t>
      </w:r>
      <w:r w:rsidRPr="004A0279">
        <w:t>n a multigeneration</w:t>
      </w:r>
      <w:r>
        <w:t>al</w:t>
      </w:r>
      <w:r w:rsidRPr="004A0279">
        <w:t xml:space="preserve"> study in rats. In a prenatal developmental toxicity study in the rat, an increased incidence of bifid sternum above historical control levels was observed</w:t>
      </w:r>
      <w:r>
        <w:t>. N</w:t>
      </w:r>
      <w:r w:rsidRPr="004A0279">
        <w:t>o signs of developmental toxicity was seen in the rabbit</w:t>
      </w:r>
      <w:r>
        <w:t xml:space="preserve">, </w:t>
      </w:r>
      <w:r w:rsidRPr="004A0279">
        <w:t>with no obser</w:t>
      </w:r>
      <w:r>
        <w:t>ved effect at a level of 7.5 mg/kg</w:t>
      </w:r>
      <w:r w:rsidRPr="004A0279">
        <w:t>/day. There was no evidence of neurotoxicity.</w:t>
      </w:r>
    </w:p>
    <w:p w14:paraId="24D0FD9C" w14:textId="77777777" w:rsidR="00C36465" w:rsidRPr="009E63F3" w:rsidRDefault="00C36465" w:rsidP="00DC6EC8">
      <w:pPr>
        <w:pStyle w:val="ListBullet"/>
      </w:pPr>
      <w:r w:rsidRPr="008055FA">
        <w:rPr>
          <w:i/>
        </w:rPr>
        <w:t>In vitro</w:t>
      </w:r>
      <w:r w:rsidRPr="008055FA">
        <w:t xml:space="preserve"> eye irritation test indicated that </w:t>
      </w:r>
      <w:r>
        <w:t>isocycloseram</w:t>
      </w:r>
      <w:r w:rsidRPr="008055FA">
        <w:t xml:space="preserve"> was not </w:t>
      </w:r>
      <w:r>
        <w:t>classified as severe irritant, but</w:t>
      </w:r>
      <w:r w:rsidRPr="008055FA">
        <w:t xml:space="preserve"> not classified as non-irritant to the isolated chicken eye. </w:t>
      </w:r>
      <w:r>
        <w:t xml:space="preserve">An </w:t>
      </w:r>
      <w:r>
        <w:rPr>
          <w:i/>
        </w:rPr>
        <w:t>in vivo</w:t>
      </w:r>
      <w:r w:rsidRPr="008055FA">
        <w:t xml:space="preserve"> eye irritation study showed isocycloseram as slightly irritant to the eye of rabbit. It was not irritant to the skin of rabbit, but the local lymph node assay </w:t>
      </w:r>
      <w:r>
        <w:t>s</w:t>
      </w:r>
      <w:r w:rsidRPr="008055FA">
        <w:t>howed a potential for skin sensitisation</w:t>
      </w:r>
      <w:r>
        <w:t>.</w:t>
      </w:r>
    </w:p>
    <w:p w14:paraId="009E126E" w14:textId="74373B87" w:rsidR="00C36465" w:rsidRDefault="00C36465" w:rsidP="00C36465">
      <w:pPr>
        <w:pStyle w:val="Heading4"/>
      </w:pPr>
      <w:r w:rsidRPr="00DC5AE0">
        <w:t xml:space="preserve">Australian </w:t>
      </w:r>
      <w:r>
        <w:t>regulations</w:t>
      </w:r>
    </w:p>
    <w:p w14:paraId="4B35C7BF" w14:textId="30248EE4" w:rsidR="00C36465" w:rsidRPr="00BA696C" w:rsidRDefault="00C36465" w:rsidP="00DC6EC8">
      <w:pPr>
        <w:pStyle w:val="ListBullet"/>
      </w:pPr>
      <w:r>
        <w:t xml:space="preserve">Isocycloseram is not included on the </w:t>
      </w:r>
      <w:hyperlink r:id="rId97" w:history="1">
        <w:r w:rsidRPr="00C66C5E">
          <w:rPr>
            <w:rStyle w:val="Hyperlink"/>
          </w:rPr>
          <w:t xml:space="preserve">TGA </w:t>
        </w:r>
        <w:r>
          <w:rPr>
            <w:rStyle w:val="Hyperlink"/>
          </w:rPr>
          <w:t xml:space="preserve">Ingredient </w:t>
        </w:r>
        <w:r w:rsidRPr="00C66C5E">
          <w:rPr>
            <w:rStyle w:val="Hyperlink"/>
          </w:rPr>
          <w:t>Database</w:t>
        </w:r>
      </w:hyperlink>
      <w:r>
        <w:rPr>
          <w:rStyle w:val="Hyperlink"/>
        </w:rPr>
        <w:t>.</w:t>
      </w:r>
      <w:r>
        <w:rPr>
          <w:rStyle w:val="FootnoteReference"/>
        </w:rPr>
        <w:footnoteReference w:id="72"/>
      </w:r>
    </w:p>
    <w:p w14:paraId="693CD6A8" w14:textId="25E92E24" w:rsidR="00C36465" w:rsidRDefault="00C36465" w:rsidP="00DC6EC8">
      <w:pPr>
        <w:pStyle w:val="ListBullet"/>
      </w:pPr>
      <w:r>
        <w:t xml:space="preserve">As of </w:t>
      </w:r>
      <w:r w:rsidRPr="00BA696C">
        <w:t>November 2020</w:t>
      </w:r>
      <w:r>
        <w:t>, t</w:t>
      </w:r>
      <w:r w:rsidRPr="00881DFE">
        <w:t xml:space="preserve">here </w:t>
      </w:r>
      <w:r>
        <w:t>were</w:t>
      </w:r>
      <w:r w:rsidRPr="00881DFE">
        <w:t xml:space="preserve"> </w:t>
      </w:r>
      <w:r w:rsidRPr="00BA696C">
        <w:t>no</w:t>
      </w:r>
      <w:r>
        <w:t xml:space="preserve"> medicine</w:t>
      </w:r>
      <w:r w:rsidRPr="00881DFE">
        <w:t xml:space="preserve">s currently active on the </w:t>
      </w:r>
      <w:hyperlink r:id="rId98" w:history="1">
        <w:r w:rsidRPr="00293CCA">
          <w:rPr>
            <w:rStyle w:val="Hyperlink"/>
          </w:rPr>
          <w:t>Australian Register of Therapeutic Goods (ARTG)</w:t>
        </w:r>
      </w:hyperlink>
      <w:r>
        <w:rPr>
          <w:rStyle w:val="FootnoteReference"/>
        </w:rPr>
        <w:footnoteReference w:id="73"/>
      </w:r>
      <w:r>
        <w:t xml:space="preserve"> that contain</w:t>
      </w:r>
      <w:r w:rsidRPr="00881DFE">
        <w:t xml:space="preserve"> </w:t>
      </w:r>
      <w:r>
        <w:t>isocycloseram as an active ingredient</w:t>
      </w:r>
      <w:r w:rsidRPr="00881DFE">
        <w:t>.</w:t>
      </w:r>
    </w:p>
    <w:p w14:paraId="5E03E264" w14:textId="21E51D59" w:rsidR="00C36465" w:rsidRDefault="00C36465" w:rsidP="00DC6EC8">
      <w:pPr>
        <w:pStyle w:val="ListBullet"/>
      </w:pPr>
      <w:r>
        <w:t xml:space="preserve">As of </w:t>
      </w:r>
      <w:r w:rsidRPr="00095207">
        <w:t>November 2020</w:t>
      </w:r>
      <w:r>
        <w:t>, t</w:t>
      </w:r>
      <w:r w:rsidRPr="00F0449C">
        <w:t xml:space="preserve">here </w:t>
      </w:r>
      <w:r>
        <w:t>were</w:t>
      </w:r>
      <w:r w:rsidRPr="00F0449C">
        <w:t xml:space="preserve"> </w:t>
      </w:r>
      <w:r w:rsidRPr="00095207">
        <w:t>no</w:t>
      </w:r>
      <w:r w:rsidRPr="00F0449C">
        <w:t xml:space="preserve"> products containing </w:t>
      </w:r>
      <w:r>
        <w:t>isocycloseram</w:t>
      </w:r>
      <w:r w:rsidRPr="00F0449C">
        <w:t xml:space="preserve"> listed on the </w:t>
      </w:r>
      <w:hyperlink r:id="rId99"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74"/>
      </w:r>
    </w:p>
    <w:p w14:paraId="5610FDBA" w14:textId="77777777" w:rsidR="00C36465" w:rsidRPr="00CB687C" w:rsidRDefault="00C36465" w:rsidP="00C36465">
      <w:pPr>
        <w:pStyle w:val="Heading4"/>
      </w:pPr>
      <w:r>
        <w:t>International regulations</w:t>
      </w:r>
    </w:p>
    <w:p w14:paraId="64E2BBE2" w14:textId="77777777" w:rsidR="00C36465" w:rsidRPr="006B107B" w:rsidRDefault="00C36465" w:rsidP="00DC6EC8">
      <w:pPr>
        <w:pStyle w:val="ListBullet"/>
      </w:pPr>
      <w:r w:rsidRPr="006B107B">
        <w:t>Isocycloseram is not currently approved overseas. [</w:t>
      </w:r>
      <w:r w:rsidRPr="002D2B29">
        <w:t>Secretariat note: This information is from the Applicant.]</w:t>
      </w:r>
    </w:p>
    <w:p w14:paraId="694EBBD8" w14:textId="77777777" w:rsidR="00C36465" w:rsidRPr="00E0205A" w:rsidRDefault="00C36465" w:rsidP="00DC6EC8">
      <w:pPr>
        <w:pStyle w:val="ListBullet"/>
      </w:pPr>
      <w:r>
        <w:t>Isocycloseram</w:t>
      </w:r>
      <w:r w:rsidRPr="00704FDD">
        <w:t xml:space="preserve"> is not </w:t>
      </w:r>
      <w:r w:rsidRPr="00DC6EC8">
        <w:t>registered</w:t>
      </w:r>
      <w:r w:rsidRPr="00704FDD">
        <w:t xml:space="preserve"> with the </w:t>
      </w:r>
      <w:hyperlink r:id="rId100" w:history="1">
        <w:r w:rsidRPr="00162757">
          <w:rPr>
            <w:rStyle w:val="Hyperlink"/>
          </w:rPr>
          <w:t>European Chemicals Agency (ECHA)</w:t>
        </w:r>
      </w:hyperlink>
      <w:r>
        <w:rPr>
          <w:rStyle w:val="FootnoteReference"/>
        </w:rPr>
        <w:footnoteReference w:id="75"/>
      </w:r>
      <w:r>
        <w:t xml:space="preserve"> or the </w:t>
      </w:r>
      <w:hyperlink r:id="rId101" w:history="1">
        <w:r w:rsidRPr="00911B52">
          <w:rPr>
            <w:rStyle w:val="Hyperlink"/>
          </w:rPr>
          <w:t>European Food Safety Authority (EFSA)</w:t>
        </w:r>
      </w:hyperlink>
      <w:r>
        <w:rPr>
          <w:rStyle w:val="FootnoteReference"/>
        </w:rPr>
        <w:footnoteReference w:id="76"/>
      </w:r>
      <w:r>
        <w:t>.</w:t>
      </w:r>
    </w:p>
    <w:p w14:paraId="0C893925" w14:textId="57A0624B" w:rsidR="00C36465" w:rsidRPr="00E0205A" w:rsidRDefault="00C36465" w:rsidP="00DC6EC8">
      <w:pPr>
        <w:pStyle w:val="ListBullet"/>
        <w:rPr>
          <w:u w:val="single"/>
        </w:rPr>
      </w:pPr>
      <w:r w:rsidRPr="00E0205A">
        <w:t xml:space="preserve">Isocycloseram </w:t>
      </w:r>
      <w:r w:rsidRPr="00704FDD">
        <w:t>is not registere</w:t>
      </w:r>
      <w:r>
        <w:t>d</w:t>
      </w:r>
      <w:r w:rsidRPr="00704FDD">
        <w:t xml:space="preserve"> with the</w:t>
      </w:r>
      <w:hyperlink r:id="rId102" w:history="1">
        <w:r w:rsidRPr="001C37EB">
          <w:t xml:space="preserve"> </w:t>
        </w:r>
        <w:r w:rsidRPr="00704FDD">
          <w:rPr>
            <w:rStyle w:val="Hyperlink"/>
          </w:rPr>
          <w:t>US Environmental Protection Agency (EPA), Office of Pesticides Programs</w:t>
        </w:r>
      </w:hyperlink>
      <w:r w:rsidRPr="001C37EB">
        <w:t>,</w:t>
      </w:r>
      <w:r>
        <w:rPr>
          <w:rStyle w:val="FootnoteReference"/>
        </w:rPr>
        <w:footnoteReference w:id="77"/>
      </w:r>
      <w:r>
        <w:t xml:space="preserve"> </w:t>
      </w:r>
      <w:hyperlink r:id="rId103" w:history="1">
        <w:r w:rsidRPr="003E0934">
          <w:rPr>
            <w:rStyle w:val="Hyperlink"/>
          </w:rPr>
          <w:t>Canada’s Pest Management Regulation Agency</w:t>
        </w:r>
      </w:hyperlink>
      <w:r w:rsidRPr="001C37EB">
        <w:t>,</w:t>
      </w:r>
      <w:r>
        <w:rPr>
          <w:rStyle w:val="FootnoteReference"/>
        </w:rPr>
        <w:footnoteReference w:id="78"/>
      </w:r>
      <w:r>
        <w:t xml:space="preserve"> or with the </w:t>
      </w:r>
      <w:hyperlink r:id="rId104" w:history="1">
        <w:r w:rsidRPr="003E0934">
          <w:rPr>
            <w:rStyle w:val="Hyperlink"/>
          </w:rPr>
          <w:t>New Zealand Inventory of Chemicals (NZIoC)</w:t>
        </w:r>
      </w:hyperlink>
      <w:r w:rsidRPr="001C37EB">
        <w:t>.</w:t>
      </w:r>
      <w:r>
        <w:rPr>
          <w:rStyle w:val="FootnoteReference"/>
        </w:rPr>
        <w:footnoteReference w:id="79"/>
      </w:r>
    </w:p>
    <w:p w14:paraId="0761F498" w14:textId="77777777" w:rsidR="00C36465" w:rsidRDefault="00C36465" w:rsidP="00C36465">
      <w:pPr>
        <w:pStyle w:val="Heading3"/>
        <w:numPr>
          <w:ilvl w:val="1"/>
          <w:numId w:val="0"/>
        </w:numPr>
        <w:ind w:left="576" w:hanging="576"/>
      </w:pPr>
      <w:bookmarkStart w:id="20" w:name="_Toc59540954"/>
      <w:r>
        <w:t>2.4</w:t>
      </w:r>
      <w:r>
        <w:tab/>
      </w:r>
      <w:r>
        <w:tab/>
        <w:t>1,4-Benzenediamine, 2-(methoxymethyl)-</w:t>
      </w:r>
      <w:bookmarkEnd w:id="20"/>
    </w:p>
    <w:p w14:paraId="53F12EE1" w14:textId="77777777" w:rsidR="00C36465" w:rsidRDefault="00C36465" w:rsidP="00C36465">
      <w:pPr>
        <w:pStyle w:val="Heading4"/>
      </w:pPr>
      <w:r>
        <w:t>Proposal</w:t>
      </w:r>
    </w:p>
    <w:p w14:paraId="66A04866" w14:textId="5D8FC377" w:rsidR="00C36465" w:rsidRPr="00C97BE5" w:rsidRDefault="00C36465" w:rsidP="00C36465">
      <w:r>
        <w:t>New entries for the hair dye chemical 1,4-</w:t>
      </w:r>
      <w:r w:rsidR="0046335C">
        <w:t>benzenediamine</w:t>
      </w:r>
      <w:r>
        <w:t>, 2-(</w:t>
      </w:r>
      <w:r w:rsidR="0046335C">
        <w:t>methoxymethyl</w:t>
      </w:r>
      <w:r>
        <w:t>)- in Schedule 6 (with labelling conditions and a cut-off limit) and Schedule 10 of the Poisons Standard.</w:t>
      </w:r>
    </w:p>
    <w:p w14:paraId="2E066904" w14:textId="77777777" w:rsidR="00C36465" w:rsidRPr="003639D9" w:rsidRDefault="00C36465" w:rsidP="00C36465">
      <w:pPr>
        <w:pStyle w:val="Heading4"/>
      </w:pPr>
      <w:r>
        <w:t>CAS Number:</w:t>
      </w:r>
    </w:p>
    <w:p w14:paraId="46F790E0" w14:textId="77777777" w:rsidR="00C36465" w:rsidRDefault="00C36465" w:rsidP="00C36465">
      <w:r w:rsidRPr="007825CB">
        <w:t>337906-36-2</w:t>
      </w:r>
    </w:p>
    <w:p w14:paraId="227DB3B9" w14:textId="77777777" w:rsidR="00C36465" w:rsidRDefault="00C36465" w:rsidP="00C36465">
      <w:pPr>
        <w:pStyle w:val="Heading4"/>
      </w:pPr>
      <w:r>
        <w:t>Alternative names</w:t>
      </w:r>
    </w:p>
    <w:p w14:paraId="4B648B96" w14:textId="77777777" w:rsidR="00C36465" w:rsidRDefault="00C36465" w:rsidP="00C36465">
      <w:pPr>
        <w:rPr>
          <w:b/>
          <w:bCs/>
        </w:rPr>
      </w:pPr>
      <w:r w:rsidRPr="007825CB">
        <w:t>2-(methoxymethyl)benzene-1,4-diamine</w:t>
      </w:r>
      <w:r>
        <w:t xml:space="preserve">; </w:t>
      </w:r>
      <w:r w:rsidRPr="00BD54AE">
        <w:rPr>
          <w:lang w:val="en-US"/>
        </w:rPr>
        <w:t>2-Methoxymethyl-p-phenylenediamine</w:t>
      </w:r>
      <w:r w:rsidRPr="004837CC">
        <w:rPr>
          <w:lang w:val="en-US"/>
        </w:rPr>
        <w:t>, 2-(methoxymethyl)-1,4-Benzenediamine</w:t>
      </w:r>
    </w:p>
    <w:p w14:paraId="6B4BC8FD" w14:textId="77777777" w:rsidR="00C36465" w:rsidRDefault="00C36465" w:rsidP="00C36465">
      <w:pPr>
        <w:pStyle w:val="Heading4"/>
      </w:pPr>
      <w:r>
        <w:t>Applicant</w:t>
      </w:r>
    </w:p>
    <w:p w14:paraId="556A8766" w14:textId="77777777" w:rsidR="00C36465" w:rsidRPr="003639D9" w:rsidRDefault="00C36465" w:rsidP="00C36465">
      <w:r w:rsidRPr="00BD54AE">
        <w:t>Australian Industrial Chemicals Introduction Scheme (AICIS, formerly known as The National Industrial Chemicals Notification and Assessment Scheme (NICNAS))</w:t>
      </w:r>
      <w:r>
        <w:t xml:space="preserve"> New Chemicals Program</w:t>
      </w:r>
    </w:p>
    <w:p w14:paraId="72D926B3" w14:textId="77777777" w:rsidR="00C36465" w:rsidRDefault="00C36465" w:rsidP="00C36465">
      <w:pPr>
        <w:pStyle w:val="Heading4"/>
      </w:pPr>
      <w:r>
        <w:t>Current scheduling</w:t>
      </w:r>
    </w:p>
    <w:p w14:paraId="0FAE8848" w14:textId="77777777" w:rsidR="00C36465" w:rsidRPr="00835712" w:rsidRDefault="00C36465" w:rsidP="00C36465">
      <w:pPr>
        <w:rPr>
          <w:rFonts w:cstheme="minorHAnsi"/>
          <w:lang w:val="en-US"/>
        </w:rPr>
      </w:pPr>
      <w:r w:rsidRPr="00835712">
        <w:rPr>
          <w:lang w:val="en-US"/>
        </w:rPr>
        <w:t>1,4</w:t>
      </w:r>
      <w:r>
        <w:rPr>
          <w:lang w:val="en-US"/>
        </w:rPr>
        <w:t>-B</w:t>
      </w:r>
      <w:r w:rsidRPr="00835712">
        <w:rPr>
          <w:lang w:val="en-US"/>
        </w:rPr>
        <w:t xml:space="preserve">enzenediamine, 2-(methoxymethyl)- is </w:t>
      </w:r>
      <w:r>
        <w:rPr>
          <w:lang w:val="en-US"/>
        </w:rPr>
        <w:t xml:space="preserve">currently </w:t>
      </w:r>
      <w:r w:rsidRPr="00835712">
        <w:rPr>
          <w:lang w:val="en-US"/>
        </w:rPr>
        <w:t>covered by the following group entry for phenylenediamines in Schedule 6</w:t>
      </w:r>
      <w:r w:rsidRPr="00835712">
        <w:rPr>
          <w:rFonts w:cstheme="minorHAnsi"/>
          <w:lang w:val="en-US"/>
        </w:rPr>
        <w:t>.</w:t>
      </w:r>
    </w:p>
    <w:p w14:paraId="35AEF152" w14:textId="77777777" w:rsidR="00C36465" w:rsidRDefault="00C36465" w:rsidP="00C36465">
      <w:pPr>
        <w:ind w:left="426"/>
        <w:rPr>
          <w:lang w:val="en-US"/>
        </w:rPr>
      </w:pPr>
      <w:r w:rsidRPr="00FD5B71">
        <w:rPr>
          <w:b/>
        </w:rPr>
        <w:t>Schedule 6</w:t>
      </w:r>
    </w:p>
    <w:p w14:paraId="136CB55A" w14:textId="77777777" w:rsidR="00C36465" w:rsidRDefault="00C36465" w:rsidP="00C36465">
      <w:pPr>
        <w:ind w:left="426"/>
        <w:rPr>
          <w:lang w:val="en-US"/>
        </w:rPr>
      </w:pPr>
      <w:r w:rsidRPr="008C1A3A">
        <w:rPr>
          <w:lang w:val="en-US"/>
        </w:rPr>
        <w:t>PHENYLENEDIAMINES including alkylated, arylated and nitro derivatives not elsewhere specified in these Schedules:</w:t>
      </w:r>
    </w:p>
    <w:p w14:paraId="4C75FA03" w14:textId="3781D803" w:rsidR="00C36465" w:rsidRPr="00CD309B" w:rsidRDefault="00C36465" w:rsidP="0023449A">
      <w:pPr>
        <w:pStyle w:val="Numberbullet2a"/>
        <w:numPr>
          <w:ilvl w:val="0"/>
          <w:numId w:val="16"/>
        </w:numPr>
        <w:ind w:left="851" w:hanging="425"/>
        <w:rPr>
          <w:lang w:val="en-US"/>
        </w:rPr>
      </w:pPr>
      <w:r w:rsidRPr="00CD309B">
        <w:rPr>
          <w:lang w:val="en-US"/>
        </w:rPr>
        <w:t>in preparations packed and labelled for photographic purposes;</w:t>
      </w:r>
    </w:p>
    <w:p w14:paraId="65052765" w14:textId="5075A7FD" w:rsidR="00C36465" w:rsidRDefault="00C36465" w:rsidP="00CD309B">
      <w:pPr>
        <w:pStyle w:val="Numberbullet2a"/>
        <w:rPr>
          <w:lang w:val="en-US"/>
        </w:rPr>
      </w:pPr>
      <w:r w:rsidRPr="008C1A3A">
        <w:rPr>
          <w:lang w:val="en-US"/>
        </w:rPr>
        <w:t>in preparations packed and labelled for testing</w:t>
      </w:r>
      <w:r>
        <w:rPr>
          <w:lang w:val="en-US"/>
        </w:rPr>
        <w:t xml:space="preserve"> </w:t>
      </w:r>
      <w:r w:rsidRPr="008C1A3A">
        <w:rPr>
          <w:lang w:val="en-US"/>
        </w:rPr>
        <w:t>water except tablets containing 10 mg or less of diethyl- para-phenylenediamine or dimethyl-para-phenylenediamine in opaque strip packaging provided the directions for use include the statement, “Do not discard testing solutions into the pool”;</w:t>
      </w:r>
    </w:p>
    <w:p w14:paraId="11C53386" w14:textId="3F367897" w:rsidR="00C36465" w:rsidRDefault="00C36465" w:rsidP="00CD309B">
      <w:pPr>
        <w:pStyle w:val="Numberbullet2a"/>
        <w:rPr>
          <w:lang w:val="en-US"/>
        </w:rPr>
      </w:pPr>
      <w:r w:rsidRPr="008C1A3A">
        <w:rPr>
          <w:lang w:val="en-US"/>
        </w:rPr>
        <w:t>in hair dye preparations except when the immediate container and primary pack are labelled with the following statements:</w:t>
      </w:r>
    </w:p>
    <w:p w14:paraId="55564963" w14:textId="77777777" w:rsidR="00C36465" w:rsidRPr="008C1A3A" w:rsidRDefault="00C36465" w:rsidP="00CD309B">
      <w:pPr>
        <w:spacing w:after="120"/>
        <w:ind w:left="1276"/>
        <w:rPr>
          <w:lang w:val="en-US"/>
        </w:rPr>
      </w:pPr>
      <w:r w:rsidRPr="008C1A3A">
        <w:rPr>
          <w:lang w:val="en-US"/>
        </w:rPr>
        <w:t>KEEP OUT OF REACH OF CHILDREN, and</w:t>
      </w:r>
    </w:p>
    <w:p w14:paraId="6A4A2D29" w14:textId="77777777" w:rsidR="00C36465" w:rsidRPr="008C1A3A" w:rsidRDefault="00C36465" w:rsidP="00CD309B">
      <w:pPr>
        <w:spacing w:after="120"/>
        <w:ind w:left="1276"/>
        <w:rPr>
          <w:lang w:val="en-US"/>
        </w:rPr>
      </w:pPr>
      <w:r w:rsidRPr="008C1A3A">
        <w:rPr>
          <w:lang w:val="en-US"/>
        </w:rPr>
        <w:t>WARNING ‒ This product contains ingredients which may cause skin irritation to certain</w:t>
      </w:r>
      <w:r>
        <w:rPr>
          <w:lang w:val="en-US"/>
        </w:rPr>
        <w:t xml:space="preserve"> </w:t>
      </w:r>
      <w:r w:rsidRPr="008C1A3A">
        <w:rPr>
          <w:lang w:val="en-US"/>
        </w:rPr>
        <w:t>individuals. A preliminary test according to the accompanying directions should be made before</w:t>
      </w:r>
      <w:r w:rsidRPr="008C1A3A">
        <w:rPr>
          <w:rFonts w:cs="Cambria"/>
          <w:lang w:val="en-US"/>
        </w:rPr>
        <w:t xml:space="preserve"> </w:t>
      </w:r>
      <w:r w:rsidRPr="008C1A3A">
        <w:rPr>
          <w:lang w:val="en-US"/>
        </w:rPr>
        <w:t xml:space="preserve">use. This product must not be used for dyeing eyelashes or eyebrows; to do </w:t>
      </w:r>
      <w:r>
        <w:rPr>
          <w:lang w:val="en-US"/>
        </w:rPr>
        <w:t>so may be injurious to the eye.</w:t>
      </w:r>
    </w:p>
    <w:p w14:paraId="3AB361B3" w14:textId="77777777" w:rsidR="00C36465" w:rsidRPr="008C1A3A" w:rsidRDefault="00C36465" w:rsidP="00CD309B">
      <w:pPr>
        <w:spacing w:after="120"/>
        <w:ind w:left="1276"/>
        <w:rPr>
          <w:lang w:val="en-US"/>
        </w:rPr>
      </w:pPr>
      <w:r w:rsidRPr="008C1A3A">
        <w:rPr>
          <w:lang w:val="en-US"/>
        </w:rPr>
        <w:t>written in letters not less than 1.5 mm in height; or</w:t>
      </w:r>
    </w:p>
    <w:p w14:paraId="0EB7E7C6" w14:textId="0475C9F8" w:rsidR="00C36465" w:rsidRPr="008C1A3A" w:rsidRDefault="00C36465" w:rsidP="00CD309B">
      <w:pPr>
        <w:pStyle w:val="Numberbullet2a"/>
        <w:rPr>
          <w:lang w:val="en-US"/>
        </w:rPr>
      </w:pPr>
      <w:r w:rsidRPr="008C1A3A">
        <w:rPr>
          <w:lang w:val="en-US"/>
        </w:rPr>
        <w:t>in eyelash and eyebrow tinting products when the immediate container and primary pack are labelled with the following statement:</w:t>
      </w:r>
    </w:p>
    <w:p w14:paraId="40433EF1" w14:textId="77777777" w:rsidR="00C36465" w:rsidRPr="008C1A3A" w:rsidRDefault="00C36465" w:rsidP="00CD309B">
      <w:pPr>
        <w:spacing w:after="120"/>
        <w:ind w:left="1276"/>
        <w:rPr>
          <w:lang w:val="en-US"/>
        </w:rPr>
      </w:pPr>
      <w:r w:rsidRPr="008C1A3A">
        <w:rPr>
          <w:lang w:val="en-US"/>
        </w:rPr>
        <w:t>WARNING ‒ This product contains ingredients which may cause skin irritation to certain individuals, and when used for eyelash and eyebrow tinting may cause injury to the eye. A preliminary test according to the accompanying directions should be made before use.</w:t>
      </w:r>
    </w:p>
    <w:p w14:paraId="6ED27D3D" w14:textId="77777777" w:rsidR="00C36465" w:rsidRPr="00CD309B" w:rsidRDefault="00C36465" w:rsidP="00CD309B">
      <w:pPr>
        <w:spacing w:after="120"/>
        <w:ind w:left="1276"/>
      </w:pPr>
      <w:r w:rsidRPr="008C1A3A">
        <w:rPr>
          <w:lang w:val="en-US"/>
        </w:rPr>
        <w:t>written in letters not less than 1.5 mm in height.</w:t>
      </w:r>
    </w:p>
    <w:p w14:paraId="1C1B7743" w14:textId="77777777" w:rsidR="00C36465" w:rsidRDefault="00C36465" w:rsidP="00C36465">
      <w:pPr>
        <w:pStyle w:val="Heading4"/>
      </w:pPr>
      <w:r>
        <w:t>Proposed scheduling</w:t>
      </w:r>
    </w:p>
    <w:p w14:paraId="64BB009B" w14:textId="77777777" w:rsidR="00C36465" w:rsidRPr="00191360" w:rsidRDefault="00C36465" w:rsidP="00C36465">
      <w:pPr>
        <w:pStyle w:val="Heading4"/>
        <w:ind w:left="426"/>
        <w:rPr>
          <w:rFonts w:asciiTheme="minorHAnsi" w:hAnsiTheme="minorHAnsi"/>
          <w:sz w:val="22"/>
          <w:szCs w:val="22"/>
        </w:rPr>
      </w:pPr>
      <w:r w:rsidRPr="00191360">
        <w:rPr>
          <w:rFonts w:asciiTheme="minorHAnsi" w:hAnsiTheme="minorHAnsi"/>
          <w:sz w:val="22"/>
          <w:szCs w:val="22"/>
        </w:rPr>
        <w:t>Schedule 6 – New Entry</w:t>
      </w:r>
    </w:p>
    <w:p w14:paraId="75132E25" w14:textId="77777777" w:rsidR="00C36465" w:rsidRPr="00E10762" w:rsidRDefault="00C36465" w:rsidP="00C36465">
      <w:pPr>
        <w:ind w:left="426"/>
        <w:rPr>
          <w:b/>
          <w:color w:val="FF0000"/>
        </w:rPr>
      </w:pPr>
      <w:r w:rsidRPr="00E10762">
        <w:rPr>
          <w:color w:val="FF0000"/>
          <w:lang w:val="en-US"/>
        </w:rPr>
        <w:t xml:space="preserve">1,4-BENZENEDIAMINE, 2-(METHOXYMETHYL)- </w:t>
      </w:r>
      <w:r w:rsidRPr="00E10762">
        <w:rPr>
          <w:color w:val="FF0000"/>
        </w:rPr>
        <w:t xml:space="preserve">in oxidative hair dyes at up to 1.8 per cent on head concentration, </w:t>
      </w:r>
      <w:r w:rsidRPr="00E10762">
        <w:rPr>
          <w:b/>
          <w:color w:val="FF0000"/>
        </w:rPr>
        <w:t xml:space="preserve">except </w:t>
      </w:r>
      <w:r w:rsidRPr="00E10762">
        <w:rPr>
          <w:color w:val="FF0000"/>
        </w:rPr>
        <w:t>when the immediate container and primary pack are labelled with the following statements:</w:t>
      </w:r>
    </w:p>
    <w:p w14:paraId="7BDE3A99" w14:textId="77777777" w:rsidR="00C36465" w:rsidRPr="00E10762" w:rsidRDefault="00C36465" w:rsidP="00CD309B">
      <w:pPr>
        <w:ind w:left="851"/>
        <w:rPr>
          <w:color w:val="FF0000"/>
        </w:rPr>
      </w:pPr>
      <w:r w:rsidRPr="00E10762">
        <w:rPr>
          <w:color w:val="FF0000"/>
        </w:rPr>
        <w:t>KEEP OUT OF REACH OF CHILDREN, and</w:t>
      </w:r>
    </w:p>
    <w:p w14:paraId="177AF4D9" w14:textId="77777777" w:rsidR="00C36465" w:rsidRPr="00E10762" w:rsidRDefault="00C36465" w:rsidP="00CD309B">
      <w:pPr>
        <w:ind w:left="851"/>
        <w:rPr>
          <w:color w:val="FF0000"/>
        </w:rPr>
      </w:pPr>
      <w:r w:rsidRPr="00E10762">
        <w:rPr>
          <w:color w:val="FF0000"/>
        </w:rPr>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630FE6A5" w14:textId="77777777" w:rsidR="00C36465" w:rsidRDefault="00C36465" w:rsidP="00CD309B">
      <w:pPr>
        <w:ind w:left="851"/>
      </w:pPr>
      <w:r w:rsidRPr="00E10762">
        <w:rPr>
          <w:color w:val="FF0000"/>
        </w:rPr>
        <w:t>written in letters not less than 1.5 mm in height;</w:t>
      </w:r>
    </w:p>
    <w:p w14:paraId="74104285" w14:textId="77777777" w:rsidR="00C36465" w:rsidRPr="00CD40FB" w:rsidRDefault="00C36465" w:rsidP="00C36465">
      <w:pPr>
        <w:ind w:left="426"/>
        <w:rPr>
          <w:b/>
        </w:rPr>
      </w:pPr>
      <w:r w:rsidRPr="00CD40FB">
        <w:rPr>
          <w:b/>
        </w:rPr>
        <w:t xml:space="preserve">Schedule </w:t>
      </w:r>
      <w:r w:rsidRPr="00B86539">
        <w:rPr>
          <w:b/>
        </w:rPr>
        <w:t>10 – New Entry</w:t>
      </w:r>
    </w:p>
    <w:p w14:paraId="2ED4EED0" w14:textId="77777777" w:rsidR="00C36465" w:rsidRDefault="00C36465" w:rsidP="00C36465">
      <w:pPr>
        <w:ind w:left="426"/>
        <w:rPr>
          <w:color w:val="FF0000"/>
          <w:lang w:val="en-US"/>
        </w:rPr>
      </w:pPr>
      <w:r w:rsidRPr="0079733B">
        <w:rPr>
          <w:color w:val="FF0000"/>
          <w:lang w:val="en-US"/>
        </w:rPr>
        <w:t xml:space="preserve">1,4-BENZENEDIAMINE, 2-(METHOXYMETHYL)- </w:t>
      </w:r>
      <w:r w:rsidRPr="0079733B">
        <w:rPr>
          <w:b/>
          <w:color w:val="FF0000"/>
          <w:lang w:val="en-US"/>
        </w:rPr>
        <w:t>except</w:t>
      </w:r>
      <w:r w:rsidRPr="0079733B">
        <w:rPr>
          <w:color w:val="FF0000"/>
          <w:lang w:val="en-US"/>
        </w:rPr>
        <w:t xml:space="preserve"> when included in Schedule 6.</w:t>
      </w:r>
    </w:p>
    <w:p w14:paraId="39DA7D33" w14:textId="77777777" w:rsidR="00C36465" w:rsidRPr="00941844" w:rsidRDefault="00C36465" w:rsidP="00C36465">
      <w:pPr>
        <w:ind w:left="426"/>
        <w:rPr>
          <w:b/>
          <w:lang w:val="en-US"/>
        </w:rPr>
      </w:pPr>
      <w:r w:rsidRPr="00941844">
        <w:rPr>
          <w:b/>
          <w:lang w:val="en-US"/>
        </w:rPr>
        <w:t>Index – New Entry</w:t>
      </w:r>
    </w:p>
    <w:p w14:paraId="0E01ECFD" w14:textId="098E47A2" w:rsidR="00C36465" w:rsidRDefault="00C36465" w:rsidP="00C36465">
      <w:pPr>
        <w:ind w:left="426"/>
        <w:rPr>
          <w:color w:val="FF0000"/>
          <w:lang w:val="en-US"/>
        </w:rPr>
      </w:pPr>
      <w:r w:rsidRPr="00941844">
        <w:rPr>
          <w:color w:val="FF0000"/>
          <w:lang w:val="en-US"/>
        </w:rPr>
        <w:t>1,4-BENZENEDIAMINE, 2-(METHOXYMETHYL)-</w:t>
      </w:r>
    </w:p>
    <w:p w14:paraId="7AED691E" w14:textId="77777777" w:rsidR="00C36465" w:rsidRPr="00941844" w:rsidRDefault="00C36465" w:rsidP="00C36465">
      <w:pPr>
        <w:ind w:left="426"/>
        <w:rPr>
          <w:color w:val="FF0000"/>
          <w:lang w:val="en-US"/>
        </w:rPr>
      </w:pPr>
      <w:r w:rsidRPr="00941844">
        <w:rPr>
          <w:color w:val="FF0000"/>
          <w:lang w:val="en-US"/>
        </w:rPr>
        <w:t>Schedule 10</w:t>
      </w:r>
      <w:r>
        <w:rPr>
          <w:color w:val="FF0000"/>
          <w:lang w:val="en-US"/>
        </w:rPr>
        <w:br/>
      </w:r>
      <w:r w:rsidRPr="00941844">
        <w:rPr>
          <w:color w:val="FF0000"/>
          <w:lang w:val="en-US"/>
        </w:rPr>
        <w:t>Schedule 6</w:t>
      </w:r>
    </w:p>
    <w:p w14:paraId="00E6A17C" w14:textId="77777777" w:rsidR="00C36465" w:rsidRPr="00C46F90" w:rsidRDefault="00C36465" w:rsidP="00C36465">
      <w:pPr>
        <w:pStyle w:val="Heading4"/>
      </w:pPr>
      <w:r w:rsidRPr="00C46F90">
        <w:t>Key uses / expected use</w:t>
      </w:r>
    </w:p>
    <w:p w14:paraId="2ACDAFA5" w14:textId="77777777" w:rsidR="00C36465" w:rsidRDefault="00C36465" w:rsidP="00C36465">
      <w:r w:rsidRPr="00B86539">
        <w:t>Cosmetic</w:t>
      </w:r>
      <w:r>
        <w:t xml:space="preserve"> (hair dye)</w:t>
      </w:r>
    </w:p>
    <w:p w14:paraId="2FD81D1E" w14:textId="77777777" w:rsidR="00C36465" w:rsidRPr="00050AD9" w:rsidRDefault="00C36465" w:rsidP="00C36465">
      <w:pPr>
        <w:pStyle w:val="Heading4"/>
      </w:pPr>
      <w:r>
        <w:t>Application summary - r</w:t>
      </w:r>
      <w:r w:rsidRPr="00050AD9">
        <w:t>easons for proposal</w:t>
      </w:r>
    </w:p>
    <w:p w14:paraId="10E1D484" w14:textId="53B7510D" w:rsidR="00C36465" w:rsidRPr="00050AD9" w:rsidRDefault="00C36465" w:rsidP="00DC6EC8">
      <w:pPr>
        <w:pStyle w:val="ListBullet"/>
      </w:pPr>
      <w:r>
        <w:t>The p</w:t>
      </w:r>
      <w:r w:rsidRPr="00050AD9">
        <w:t xml:space="preserve">roposal </w:t>
      </w:r>
      <w:r>
        <w:t xml:space="preserve">would </w:t>
      </w:r>
      <w:r w:rsidRPr="00050AD9">
        <w:t xml:space="preserve">bring </w:t>
      </w:r>
      <w:r w:rsidRPr="00CD5CFD">
        <w:t>the</w:t>
      </w:r>
      <w:r w:rsidRPr="00050AD9">
        <w:t xml:space="preserve"> Poisons Standard listing for this substance in hair dyes into line with the </w:t>
      </w:r>
      <w:r>
        <w:t xml:space="preserve">corresponding </w:t>
      </w:r>
      <w:r w:rsidRPr="00050AD9">
        <w:t>AICIS certificate, including institu</w:t>
      </w:r>
      <w:r w:rsidR="00CD309B">
        <w:t>tion of an upper content limit.</w:t>
      </w:r>
    </w:p>
    <w:p w14:paraId="42A28828" w14:textId="77777777" w:rsidR="00C36465" w:rsidRDefault="00C36465" w:rsidP="00DC6EC8">
      <w:pPr>
        <w:pStyle w:val="ListBullet"/>
      </w:pPr>
      <w:r w:rsidRPr="00050AD9">
        <w:t>The chemical is</w:t>
      </w:r>
      <w:r>
        <w:t xml:space="preserve"> used as an oxidative hair dye in Australia at on head concentrations up to 1.8% under a chemical certificate previously issued by</w:t>
      </w:r>
      <w:r>
        <w:rPr>
          <w:spacing w:val="-8"/>
        </w:rPr>
        <w:t xml:space="preserve"> </w:t>
      </w:r>
      <w:r>
        <w:t>NICNAS.</w:t>
      </w:r>
    </w:p>
    <w:p w14:paraId="704E5190" w14:textId="77777777" w:rsidR="00C36465" w:rsidRDefault="00C36465" w:rsidP="00DC6EC8">
      <w:pPr>
        <w:pStyle w:val="ListBullet"/>
      </w:pPr>
      <w:r>
        <w:t>The chemical has an acute dermal LD50 of 400 mg/kg bw in rats safety data sheet</w:t>
      </w:r>
      <w:r>
        <w:rPr>
          <w:spacing w:val="-4"/>
        </w:rPr>
        <w:t xml:space="preserve"> </w:t>
      </w:r>
      <w:r>
        <w:t>(SDS).</w:t>
      </w:r>
    </w:p>
    <w:p w14:paraId="079C008B" w14:textId="77777777" w:rsidR="00C36465" w:rsidRDefault="00C36465" w:rsidP="00DC6EC8">
      <w:pPr>
        <w:pStyle w:val="ListBullet"/>
      </w:pPr>
      <w:r>
        <w:t>It has acute inhalation LC50 of 1300 mg/m</w:t>
      </w:r>
      <w:r>
        <w:rPr>
          <w:position w:val="5"/>
          <w:sz w:val="14"/>
        </w:rPr>
        <w:t>3</w:t>
      </w:r>
      <w:r>
        <w:t>/4-h exposure in rats</w:t>
      </w:r>
      <w:r>
        <w:rPr>
          <w:spacing w:val="-5"/>
        </w:rPr>
        <w:t xml:space="preserve"> </w:t>
      </w:r>
      <w:r>
        <w:t>(SDS).</w:t>
      </w:r>
    </w:p>
    <w:p w14:paraId="06CD9876" w14:textId="77777777" w:rsidR="00C36465" w:rsidRDefault="00C36465" w:rsidP="00DC6EC8">
      <w:pPr>
        <w:pStyle w:val="ListBullet"/>
      </w:pPr>
      <w:r>
        <w:t>The chemical is a skin sensitiser (estimated EC3 =</w:t>
      </w:r>
      <w:r>
        <w:rPr>
          <w:spacing w:val="-14"/>
        </w:rPr>
        <w:t xml:space="preserve"> </w:t>
      </w:r>
      <w:r>
        <w:rPr>
          <w:spacing w:val="-3"/>
        </w:rPr>
        <w:t>4.3%).</w:t>
      </w:r>
    </w:p>
    <w:p w14:paraId="185E90AE" w14:textId="77777777" w:rsidR="00C36465" w:rsidRDefault="00C36465" w:rsidP="00DC6EC8">
      <w:pPr>
        <w:pStyle w:val="ListBullet"/>
      </w:pPr>
      <w:r>
        <w:t>The sulfate salt of the chemical has an acute oral LD50 of 150-200 mg/kg bw in</w:t>
      </w:r>
      <w:r>
        <w:rPr>
          <w:spacing w:val="-9"/>
        </w:rPr>
        <w:t xml:space="preserve"> </w:t>
      </w:r>
      <w:r>
        <w:t>rats.</w:t>
      </w:r>
    </w:p>
    <w:p w14:paraId="7EE12452" w14:textId="77777777" w:rsidR="00C36465" w:rsidRPr="00414F8F" w:rsidRDefault="00C36465" w:rsidP="00DC6EC8">
      <w:pPr>
        <w:pStyle w:val="ListBullet"/>
      </w:pPr>
      <w:r w:rsidRPr="00414F8F">
        <w:t>According to the SCCS opinion (2013) (Attachment B)</w:t>
      </w:r>
      <w:r w:rsidRPr="00414F8F">
        <w:rPr>
          <w:spacing w:val="-23"/>
        </w:rPr>
        <w:t xml:space="preserve"> </w:t>
      </w:r>
      <w:r w:rsidRPr="00414F8F">
        <w:t>1,4-benzenediamine, 2-(methoxymethyl)- is considered to be safe when used up to 1.8% on head concentration in oxidative hair dyes, apart from its sensitising potential.</w:t>
      </w:r>
    </w:p>
    <w:p w14:paraId="1E3B5813" w14:textId="0D61A8AB" w:rsidR="00C36465" w:rsidRDefault="00C36465" w:rsidP="00C36465">
      <w:pPr>
        <w:pStyle w:val="Heading4"/>
      </w:pPr>
      <w:r w:rsidRPr="00DC5AE0">
        <w:t xml:space="preserve">Australian </w:t>
      </w:r>
      <w:r>
        <w:t>regulations</w:t>
      </w:r>
    </w:p>
    <w:p w14:paraId="65AE9529" w14:textId="77777777" w:rsidR="00C36465" w:rsidRDefault="00C36465" w:rsidP="00DC6EC8">
      <w:pPr>
        <w:pStyle w:val="ListBullet"/>
      </w:pPr>
      <w:r>
        <w:t xml:space="preserve">1,4-Benzenediamine, (2-methoxymethyl)- is not </w:t>
      </w:r>
      <w:r w:rsidRPr="00CD5CFD">
        <w:t>listed</w:t>
      </w:r>
      <w:r>
        <w:t xml:space="preserve"> on the </w:t>
      </w:r>
      <w:hyperlink r:id="rId105" w:history="1">
        <w:r w:rsidRPr="00C66C5E">
          <w:rPr>
            <w:rStyle w:val="Hyperlink"/>
          </w:rPr>
          <w:t xml:space="preserve">TGA </w:t>
        </w:r>
        <w:r>
          <w:rPr>
            <w:rStyle w:val="Hyperlink"/>
          </w:rPr>
          <w:t xml:space="preserve">Ingredient </w:t>
        </w:r>
        <w:r w:rsidRPr="00C66C5E">
          <w:rPr>
            <w:rStyle w:val="Hyperlink"/>
          </w:rPr>
          <w:t>Database</w:t>
        </w:r>
      </w:hyperlink>
      <w:r w:rsidRPr="00CD309B">
        <w:rPr>
          <w:rStyle w:val="Hyperlink"/>
          <w:color w:val="auto"/>
          <w:u w:val="none"/>
        </w:rPr>
        <w:t>.</w:t>
      </w:r>
      <w:r>
        <w:rPr>
          <w:rStyle w:val="FootnoteReference"/>
        </w:rPr>
        <w:footnoteReference w:id="80"/>
      </w:r>
    </w:p>
    <w:p w14:paraId="759D31F0" w14:textId="77777777" w:rsidR="00C36465" w:rsidRDefault="00C36465" w:rsidP="00DC6EC8">
      <w:pPr>
        <w:pStyle w:val="ListBullet"/>
      </w:pPr>
      <w:r>
        <w:t xml:space="preserve">As of </w:t>
      </w:r>
      <w:r w:rsidRPr="00560886">
        <w:t>November 2020</w:t>
      </w:r>
      <w:r>
        <w:t>, t</w:t>
      </w:r>
      <w:r w:rsidRPr="00881DFE">
        <w:t xml:space="preserve">here </w:t>
      </w:r>
      <w:r>
        <w:t>were</w:t>
      </w:r>
      <w:r w:rsidRPr="00881DFE">
        <w:t xml:space="preserve"> </w:t>
      </w:r>
      <w:r w:rsidRPr="00560886">
        <w:t>no</w:t>
      </w:r>
      <w:r>
        <w:t xml:space="preserve"> </w:t>
      </w:r>
      <w:r w:rsidRPr="00CD5CFD">
        <w:t>medicines</w:t>
      </w:r>
      <w:r w:rsidRPr="00881DFE">
        <w:t xml:space="preserve"> currently active on the </w:t>
      </w:r>
      <w:hyperlink r:id="rId106" w:history="1">
        <w:r w:rsidRPr="00293CCA">
          <w:rPr>
            <w:rStyle w:val="Hyperlink"/>
          </w:rPr>
          <w:t>Australian Register of Therapeutic Goods (ARTG)</w:t>
        </w:r>
      </w:hyperlink>
      <w:r>
        <w:rPr>
          <w:rStyle w:val="FootnoteReference"/>
        </w:rPr>
        <w:footnoteReference w:id="81"/>
      </w:r>
      <w:r>
        <w:t xml:space="preserve"> that contain</w:t>
      </w:r>
      <w:r w:rsidRPr="00881DFE">
        <w:t xml:space="preserve"> </w:t>
      </w:r>
      <w:r>
        <w:t>1,4-Benzenediamine, (2-methoxymethyl)- as an active ingredient</w:t>
      </w:r>
      <w:r w:rsidRPr="00881DFE">
        <w:t>.</w:t>
      </w:r>
    </w:p>
    <w:p w14:paraId="2A91C18B" w14:textId="6DD32C64" w:rsidR="00C36465" w:rsidRDefault="00C36465" w:rsidP="00DC6EC8">
      <w:pPr>
        <w:pStyle w:val="ListBullet"/>
      </w:pPr>
      <w:r>
        <w:t>1,4-Benzenediamine, (2-methoxymethyl)-</w:t>
      </w:r>
      <w:r w:rsidRPr="009C55D5">
        <w:t xml:space="preserve"> is not permitted to be included in listed medicines </w:t>
      </w:r>
      <w:r>
        <w:t xml:space="preserve">as it is not included in the </w:t>
      </w:r>
      <w:hyperlink r:id="rId107" w:history="1">
        <w:r w:rsidRPr="00824CAC">
          <w:rPr>
            <w:rStyle w:val="Hyperlink"/>
          </w:rPr>
          <w:t>Therapeutic Goods (Permissible Ingredients) Determination</w:t>
        </w:r>
      </w:hyperlink>
      <w:r>
        <w:rPr>
          <w:rStyle w:val="FootnoteReference"/>
        </w:rPr>
        <w:footnoteReference w:id="82"/>
      </w:r>
      <w:r w:rsidRPr="009C55D5">
        <w:t xml:space="preserve"> No.</w:t>
      </w:r>
      <w:r w:rsidRPr="00E50F74">
        <w:t>3 of 2020</w:t>
      </w:r>
      <w:r w:rsidR="00CD309B">
        <w:t>.</w:t>
      </w:r>
    </w:p>
    <w:p w14:paraId="34BAC6FE" w14:textId="77777777" w:rsidR="00C36465" w:rsidRDefault="00C36465" w:rsidP="00DC6EC8">
      <w:pPr>
        <w:pStyle w:val="ListBullet"/>
      </w:pPr>
      <w:r>
        <w:t xml:space="preserve">1,4-Benzenediamine, (2-methoxymethyl)- is </w:t>
      </w:r>
      <w:r w:rsidRPr="00CD5CFD">
        <w:t>not</w:t>
      </w:r>
      <w:r>
        <w:t xml:space="preserve"> listed on the </w:t>
      </w:r>
      <w:hyperlink r:id="rId10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83"/>
      </w:r>
      <w:r>
        <w:t>.</w:t>
      </w:r>
    </w:p>
    <w:p w14:paraId="7C70BB69" w14:textId="60ABFC1F" w:rsidR="00C36465" w:rsidRDefault="00C36465" w:rsidP="00DC6EC8">
      <w:pPr>
        <w:pStyle w:val="ListBullet"/>
      </w:pPr>
      <w:r>
        <w:t xml:space="preserve">There are no </w:t>
      </w:r>
      <w:r w:rsidRPr="00A30084">
        <w:t xml:space="preserve">warning statements </w:t>
      </w:r>
      <w:r w:rsidRPr="00CD5CFD">
        <w:t>pertaining</w:t>
      </w:r>
      <w:r w:rsidRPr="00A30084">
        <w:t xml:space="preserve"> </w:t>
      </w:r>
      <w:r>
        <w:t xml:space="preserve">to 1,4-Benzenediamine, (2-methoxymethyl)- in the </w:t>
      </w:r>
      <w:hyperlink r:id="rId109" w:history="1">
        <w:r w:rsidRPr="00AB7BF5">
          <w:rPr>
            <w:rStyle w:val="Hyperlink"/>
          </w:rPr>
          <w:t>Therapeutic Goods (Medicines Advisory Statements) Specification 2019</w:t>
        </w:r>
      </w:hyperlink>
      <w:r>
        <w:rPr>
          <w:rStyle w:val="FootnoteReference"/>
        </w:rPr>
        <w:footnoteReference w:id="84"/>
      </w:r>
      <w:r w:rsidR="00CD309B" w:rsidRPr="00CD309B">
        <w:rPr>
          <w:rStyle w:val="Hyperlink"/>
          <w:color w:val="auto"/>
          <w:u w:val="none"/>
        </w:rPr>
        <w:t>.</w:t>
      </w:r>
    </w:p>
    <w:p w14:paraId="0BD2B3BE" w14:textId="77777777" w:rsidR="00C36465" w:rsidRPr="00E50F74" w:rsidRDefault="00C36465" w:rsidP="00DC6EC8">
      <w:pPr>
        <w:pStyle w:val="ListBullet"/>
      </w:pPr>
      <w:r>
        <w:t xml:space="preserve">As of </w:t>
      </w:r>
      <w:r w:rsidRPr="00E50F74">
        <w:t>November 2020,</w:t>
      </w:r>
      <w:r>
        <w:t xml:space="preserve"> there were</w:t>
      </w:r>
      <w:r w:rsidRPr="009C55D5">
        <w:t xml:space="preserve"> </w:t>
      </w:r>
      <w:r>
        <w:t>no</w:t>
      </w:r>
      <w:r w:rsidRPr="009C55D5">
        <w:t xml:space="preserve"> reports of adverse events for products containing </w:t>
      </w:r>
      <w:r>
        <w:t>1,4-Benzenediamine, (2-methoxymethyl)-</w:t>
      </w:r>
      <w:r w:rsidRPr="009C55D5">
        <w:t xml:space="preserve"> as an active ingredient</w:t>
      </w:r>
      <w:r>
        <w:t xml:space="preserve"> on the </w:t>
      </w:r>
      <w:hyperlink r:id="rId110" w:history="1">
        <w:r w:rsidRPr="00F0449C">
          <w:rPr>
            <w:rStyle w:val="Hyperlink"/>
          </w:rPr>
          <w:t>Database of Adverse Event Notifications (DAEN)</w:t>
        </w:r>
      </w:hyperlink>
      <w:r w:rsidRPr="00F0449C">
        <w:rPr>
          <w:rStyle w:val="FootnoteReference"/>
        </w:rPr>
        <w:footnoteReference w:id="85"/>
      </w:r>
      <w:r w:rsidRPr="00E50F74">
        <w:t>.</w:t>
      </w:r>
    </w:p>
    <w:p w14:paraId="2D463899" w14:textId="56ADFCB1" w:rsidR="00C36465" w:rsidRDefault="00C36465" w:rsidP="00DC6EC8">
      <w:pPr>
        <w:pStyle w:val="ListBullet"/>
      </w:pPr>
      <w:r>
        <w:t xml:space="preserve">As of </w:t>
      </w:r>
      <w:r w:rsidRPr="00E50F74">
        <w:t>November 2020</w:t>
      </w:r>
      <w:r>
        <w:t>, t</w:t>
      </w:r>
      <w:r w:rsidRPr="00F0449C">
        <w:t xml:space="preserve">here </w:t>
      </w:r>
      <w:r>
        <w:t>were</w:t>
      </w:r>
      <w:r w:rsidRPr="00F0449C">
        <w:t xml:space="preserve"> </w:t>
      </w:r>
      <w:r w:rsidRPr="00E50F74">
        <w:t>no</w:t>
      </w:r>
      <w:r w:rsidRPr="00F0449C">
        <w:t xml:space="preserve"> </w:t>
      </w:r>
      <w:r w:rsidRPr="00CD5CFD">
        <w:t>products</w:t>
      </w:r>
      <w:r w:rsidRPr="00F0449C">
        <w:t xml:space="preserve"> containing </w:t>
      </w:r>
      <w:r>
        <w:t>1,4-Benzenediamine, (2-methoxymethyl)-</w:t>
      </w:r>
      <w:r w:rsidRPr="00F0449C">
        <w:t xml:space="preserve"> listed on the </w:t>
      </w:r>
      <w:hyperlink r:id="rId11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86"/>
      </w:r>
      <w:r>
        <w:t xml:space="preserve"> </w:t>
      </w:r>
    </w:p>
    <w:p w14:paraId="79F5FE60" w14:textId="77777777" w:rsidR="00C36465" w:rsidRPr="00CB687C" w:rsidRDefault="00C36465" w:rsidP="00C36465">
      <w:pPr>
        <w:pStyle w:val="Heading4"/>
      </w:pPr>
      <w:r>
        <w:t>International regulations</w:t>
      </w:r>
    </w:p>
    <w:p w14:paraId="6D2C9CF0" w14:textId="77777777" w:rsidR="00C36465" w:rsidRPr="002558F8" w:rsidRDefault="00C36465" w:rsidP="00DC6EC8">
      <w:pPr>
        <w:pStyle w:val="ListBullet"/>
      </w:pPr>
      <w:r w:rsidRPr="003B5633">
        <w:rPr>
          <w:rStyle w:val="Hyperlink"/>
        </w:rPr>
        <w:t xml:space="preserve">According to the </w:t>
      </w:r>
      <w:hyperlink r:id="rId112" w:history="1">
        <w:r w:rsidRPr="00E44C87">
          <w:rPr>
            <w:rStyle w:val="Hyperlink"/>
          </w:rPr>
          <w:t>European Chemicals Agency</w:t>
        </w:r>
      </w:hyperlink>
      <w:r>
        <w:rPr>
          <w:rStyle w:val="FootnoteReference"/>
        </w:rPr>
        <w:footnoteReference w:id="87"/>
      </w:r>
      <w:r w:rsidRPr="002558F8">
        <w:rPr>
          <w:rStyle w:val="Hyperlink"/>
          <w:color w:val="auto"/>
          <w:u w:val="none"/>
        </w:rPr>
        <w:t>,</w:t>
      </w:r>
      <w:r w:rsidRPr="0046335C">
        <w:rPr>
          <w:rStyle w:val="Hyperlink"/>
          <w:color w:val="auto"/>
          <w:u w:val="none"/>
        </w:rPr>
        <w:t xml:space="preserve"> 1,4-Benzenediamine, 2-(methoxymethyl)- is a skin sensitiser. The substance is toxic if swallowed, is toxic in contact with skin, toxic to aquatic life with long lasting effects, causes serious eye irritation, is harmful if inhaled and may cause an allergic skin reaction.</w:t>
      </w:r>
    </w:p>
    <w:p w14:paraId="638D8AF6" w14:textId="77777777" w:rsidR="00C36465" w:rsidRPr="002558F8" w:rsidRDefault="00C36465" w:rsidP="00DC6EC8">
      <w:pPr>
        <w:pStyle w:val="ListBullet"/>
      </w:pPr>
      <w:r w:rsidRPr="003B5633">
        <w:rPr>
          <w:rStyle w:val="Hyperlink"/>
        </w:rPr>
        <w:t xml:space="preserve">The </w:t>
      </w:r>
      <w:hyperlink r:id="rId113" w:history="1">
        <w:r w:rsidRPr="00F16EFA">
          <w:rPr>
            <w:rStyle w:val="Hyperlink"/>
          </w:rPr>
          <w:t>European Commission’s database for information on cosmetic substances and ingredients</w:t>
        </w:r>
      </w:hyperlink>
      <w:r>
        <w:rPr>
          <w:rStyle w:val="FootnoteReference"/>
        </w:rPr>
        <w:footnoteReference w:id="88"/>
      </w:r>
      <w:r>
        <w:rPr>
          <w:rStyle w:val="Hyperlink"/>
        </w:rPr>
        <w:t xml:space="preserve"> (CosIng)</w:t>
      </w:r>
      <w:r w:rsidRPr="0046335C">
        <w:rPr>
          <w:rStyle w:val="Hyperlink"/>
          <w:color w:val="auto"/>
          <w:u w:val="none"/>
        </w:rPr>
        <w:t xml:space="preserve"> includes a listing for 1,4-Benzenediamine, 2-(methoxymethyl)- as a “hair dye substance in oxidative hair dye products”. The entry with regards to oxidative hair dye products includes wording of conditions of use and warnings:</w:t>
      </w:r>
    </w:p>
    <w:p w14:paraId="4818EF3C" w14:textId="5884DBCA" w:rsidR="00C36465" w:rsidRDefault="002558F8" w:rsidP="00C36465">
      <w:pPr>
        <w:ind w:left="720"/>
      </w:pPr>
      <w:r>
        <w:t>To be printed on the label:</w:t>
      </w:r>
      <w:r>
        <w:br/>
        <w:t>The mixing ratio.</w:t>
      </w:r>
      <w:r w:rsidR="00C36465">
        <w:br/>
        <w:t>“Hair colorants can cause sev</w:t>
      </w:r>
      <w:r>
        <w:t>ere allergic reactions.</w:t>
      </w:r>
      <w:r w:rsidR="00C36465">
        <w:br/>
      </w:r>
      <w:r>
        <w:t>Read and follow instructions.</w:t>
      </w:r>
      <w:r w:rsidR="00C36465">
        <w:br/>
        <w:t>This product is not intended for use on persons under the age of 16. Temporary “black henna” tattoos may</w:t>
      </w:r>
      <w:r>
        <w:t xml:space="preserve"> increase your risk of allergy.</w:t>
      </w:r>
      <w:r>
        <w:br/>
        <w:t>Do not colour your hair if:</w:t>
      </w:r>
      <w:r w:rsidR="00C36465">
        <w:br/>
      </w:r>
      <w:r>
        <w:t>-</w:t>
      </w:r>
      <w:r w:rsidR="00C36465">
        <w:t xml:space="preserve"> you have a rash on your face or sensitiv</w:t>
      </w:r>
      <w:r>
        <w:t>e, irritated and damaged scalp,</w:t>
      </w:r>
      <w:r w:rsidR="00C36465">
        <w:br/>
      </w:r>
      <w:r>
        <w:t>-</w:t>
      </w:r>
      <w:r w:rsidR="00C36465">
        <w:t xml:space="preserve"> you have ever experienced any reac</w:t>
      </w:r>
      <w:r>
        <w:t>tion after colouring your hair,</w:t>
      </w:r>
      <w:r w:rsidR="00C36465">
        <w:br/>
      </w:r>
      <w:r>
        <w:t xml:space="preserve">- </w:t>
      </w:r>
      <w:r w:rsidR="00C36465">
        <w:t>you have experienced a reaction to a temporary “bl</w:t>
      </w:r>
      <w:r>
        <w:t>ack henna” tattoo in the past.”</w:t>
      </w:r>
    </w:p>
    <w:p w14:paraId="7CFB1317" w14:textId="77777777" w:rsidR="0046335C" w:rsidRDefault="00C36465" w:rsidP="0046335C">
      <w:pPr>
        <w:ind w:left="720"/>
      </w:pPr>
      <w:r>
        <w:t>The entry also specifies that after mixing under oxidative conditions the maximum concentration applied to hair or eyelashes must not exceed 1.8% (calculated as free base).</w:t>
      </w:r>
    </w:p>
    <w:p w14:paraId="37916816" w14:textId="009205F4" w:rsidR="00C36465" w:rsidRPr="002558F8" w:rsidRDefault="00C36465" w:rsidP="00DC6EC8">
      <w:pPr>
        <w:pStyle w:val="ListBullet"/>
      </w:pPr>
      <w:r w:rsidRPr="0046335C">
        <w:rPr>
          <w:rStyle w:val="Hyperlink"/>
          <w:color w:val="auto"/>
          <w:u w:val="none"/>
        </w:rPr>
        <w:t>1,4-Benzenediamine, 2-(methoxymethyl)- is not listed on the</w:t>
      </w:r>
      <w:r w:rsidRPr="0046335C">
        <w:rPr>
          <w:rStyle w:val="Hyperlink"/>
          <w:color w:val="auto"/>
        </w:rPr>
        <w:t xml:space="preserve"> </w:t>
      </w:r>
      <w:hyperlink r:id="rId114" w:history="1">
        <w:r w:rsidRPr="00694CFE">
          <w:rPr>
            <w:rStyle w:val="Hyperlink"/>
          </w:rPr>
          <w:t>New Zealand Inventory of Chemicals (NZIoC)</w:t>
        </w:r>
      </w:hyperlink>
      <w:r>
        <w:rPr>
          <w:rStyle w:val="FootnoteReference"/>
        </w:rPr>
        <w:footnoteReference w:id="89"/>
      </w:r>
      <w:r w:rsidRPr="002558F8">
        <w:rPr>
          <w:rStyle w:val="Hyperlink"/>
          <w:color w:val="auto"/>
          <w:u w:val="none"/>
        </w:rPr>
        <w:t>.</w:t>
      </w:r>
    </w:p>
    <w:p w14:paraId="542D6B58" w14:textId="1FCED449" w:rsidR="00A25978" w:rsidRDefault="00A25978" w:rsidP="002558F8">
      <w:pPr>
        <w:pStyle w:val="Heading2"/>
        <w:pageBreakBefore/>
        <w:ind w:left="431" w:hanging="431"/>
      </w:pPr>
      <w:bookmarkStart w:id="21" w:name="_Toc56501001"/>
      <w:bookmarkStart w:id="22" w:name="_Toc59540955"/>
      <w:r>
        <w:t>Proposed amendments referred for scheduling advice to the Joint ACMS-ACCS #</w:t>
      </w:r>
      <w:r w:rsidRPr="00020F7C">
        <w:t>27</w:t>
      </w:r>
      <w:bookmarkEnd w:id="21"/>
      <w:bookmarkEnd w:id="22"/>
    </w:p>
    <w:p w14:paraId="6D7BF578" w14:textId="2FDD2CFE" w:rsidR="00A25978" w:rsidRDefault="00A25978" w:rsidP="00A25978">
      <w:pPr>
        <w:pStyle w:val="Heading3"/>
      </w:pPr>
      <w:bookmarkStart w:id="23" w:name="_Toc56501002"/>
      <w:bookmarkStart w:id="24" w:name="_Toc59540956"/>
      <w:r>
        <w:t>Kambo</w:t>
      </w:r>
      <w:bookmarkEnd w:id="23"/>
      <w:bookmarkEnd w:id="24"/>
    </w:p>
    <w:p w14:paraId="4784E904" w14:textId="77777777" w:rsidR="00A25978" w:rsidRDefault="00A25978" w:rsidP="00A25978">
      <w:pPr>
        <w:pStyle w:val="Heading4"/>
      </w:pPr>
      <w:r>
        <w:t>Proposal</w:t>
      </w:r>
    </w:p>
    <w:p w14:paraId="50EC11FF" w14:textId="77777777" w:rsidR="00A25978" w:rsidRPr="00853535" w:rsidRDefault="00A25978" w:rsidP="00A25978">
      <w:r>
        <w:t>Delegate-initiated discussion regarding the scheduling of kambo to mitigate its possible impact on public health, including toxicity and potential for abuse.</w:t>
      </w:r>
    </w:p>
    <w:p w14:paraId="0B7B51C9" w14:textId="77777777" w:rsidR="00A25978" w:rsidRDefault="00A25978" w:rsidP="00A25978">
      <w:pPr>
        <w:pStyle w:val="Heading4"/>
      </w:pPr>
      <w:r>
        <w:t>CAS Number:</w:t>
      </w:r>
    </w:p>
    <w:p w14:paraId="14FD3FF3" w14:textId="77777777" w:rsidR="00A25978" w:rsidRDefault="00A25978" w:rsidP="00A25978">
      <w:r>
        <w:t>N/A</w:t>
      </w:r>
    </w:p>
    <w:p w14:paraId="528AFC08" w14:textId="77777777" w:rsidR="00A25978" w:rsidRDefault="00A25978" w:rsidP="00A25978">
      <w:pPr>
        <w:pStyle w:val="Heading4"/>
      </w:pPr>
      <w:r>
        <w:t>Alternative names</w:t>
      </w:r>
    </w:p>
    <w:p w14:paraId="38F3A5EF" w14:textId="77777777" w:rsidR="00A25978" w:rsidRPr="00D739CE" w:rsidRDefault="00A25978" w:rsidP="00A25978">
      <w:r>
        <w:t>Sapo (‘frog’ in Portuguese), dried secretion of the South American Giant Leaf Frog or Giant Monkey Frog (</w:t>
      </w:r>
      <w:r w:rsidRPr="00CF5CD5">
        <w:rPr>
          <w:i/>
        </w:rPr>
        <w:t>P</w:t>
      </w:r>
      <w:r>
        <w:rPr>
          <w:i/>
        </w:rPr>
        <w:t>h</w:t>
      </w:r>
      <w:r w:rsidRPr="00CF5CD5">
        <w:rPr>
          <w:i/>
        </w:rPr>
        <w:t>yllomedusa bicolor</w:t>
      </w:r>
      <w:r>
        <w:t>)</w:t>
      </w:r>
    </w:p>
    <w:p w14:paraId="7631924B" w14:textId="77777777" w:rsidR="00A25978" w:rsidRDefault="00A25978" w:rsidP="00A25978">
      <w:pPr>
        <w:pStyle w:val="Heading4"/>
      </w:pPr>
      <w:r>
        <w:t>Applicant</w:t>
      </w:r>
    </w:p>
    <w:p w14:paraId="66C64A98" w14:textId="77777777" w:rsidR="00A25978" w:rsidRDefault="00A25978" w:rsidP="00A25978">
      <w:r>
        <w:t>Delegate-initiated</w:t>
      </w:r>
    </w:p>
    <w:p w14:paraId="60289317" w14:textId="77777777" w:rsidR="00A25978" w:rsidRDefault="00A25978" w:rsidP="00A25978">
      <w:pPr>
        <w:pStyle w:val="Heading4"/>
      </w:pPr>
      <w:r>
        <w:t>Current scheduling</w:t>
      </w:r>
    </w:p>
    <w:p w14:paraId="0F9FCC73" w14:textId="77777777" w:rsidR="00A25978" w:rsidRDefault="00A25978" w:rsidP="00A25978">
      <w:r>
        <w:t xml:space="preserve">Kambo </w:t>
      </w:r>
      <w:r w:rsidRPr="00D739CE">
        <w:t xml:space="preserve">is not </w:t>
      </w:r>
      <w:r>
        <w:t xml:space="preserve">specifically scheduled </w:t>
      </w:r>
      <w:r w:rsidRPr="00D739CE">
        <w:t xml:space="preserve">on the </w:t>
      </w:r>
      <w:r>
        <w:t xml:space="preserve">current </w:t>
      </w:r>
      <w:r w:rsidRPr="00D739CE">
        <w:t>Poisons Standard.</w:t>
      </w:r>
    </w:p>
    <w:p w14:paraId="00730B42" w14:textId="77777777" w:rsidR="00A25978" w:rsidRDefault="00A25978" w:rsidP="00A25978">
      <w:pPr>
        <w:pStyle w:val="Heading4"/>
      </w:pPr>
      <w:r>
        <w:t>Proposed scheduling</w:t>
      </w:r>
    </w:p>
    <w:p w14:paraId="58838E49" w14:textId="77777777" w:rsidR="00A25978" w:rsidRDefault="00A25978" w:rsidP="00A25978">
      <w:r>
        <w:t xml:space="preserve">This proposal has been initiated for committee discussion at the request of the Delegate. Advice from an external evaluator suggests a new entry in </w:t>
      </w:r>
      <w:r w:rsidRPr="009801FA">
        <w:t xml:space="preserve">Schedule 9 referring to </w:t>
      </w:r>
      <w:r>
        <w:t>‘</w:t>
      </w:r>
      <w:r w:rsidRPr="009801FA">
        <w:t>secretions of Phyllomedusa</w:t>
      </w:r>
      <w:r>
        <w:t xml:space="preserve"> frog</w:t>
      </w:r>
      <w:r w:rsidRPr="009801FA">
        <w:t xml:space="preserve"> species</w:t>
      </w:r>
      <w:r>
        <w:t>’</w:t>
      </w:r>
      <w:r w:rsidRPr="009801FA">
        <w:t>.</w:t>
      </w:r>
    </w:p>
    <w:p w14:paraId="49F65FE9" w14:textId="00ECC591" w:rsidR="00A25978" w:rsidRPr="006B107B" w:rsidRDefault="00A25978" w:rsidP="00A25978">
      <w:pPr>
        <w:ind w:left="426"/>
        <w:rPr>
          <w:b/>
        </w:rPr>
      </w:pPr>
      <w:r w:rsidRPr="006B107B">
        <w:rPr>
          <w:b/>
        </w:rPr>
        <w:t xml:space="preserve">Schedule </w:t>
      </w:r>
      <w:r w:rsidR="009A49EF">
        <w:rPr>
          <w:b/>
        </w:rPr>
        <w:t>9 - New Entry</w:t>
      </w:r>
    </w:p>
    <w:p w14:paraId="0BCA4756" w14:textId="77777777" w:rsidR="00A25978" w:rsidRPr="009801FA" w:rsidRDefault="00A25978" w:rsidP="00A25978">
      <w:pPr>
        <w:ind w:left="426"/>
      </w:pPr>
      <w:r w:rsidRPr="00303789">
        <w:rPr>
          <w:color w:val="FF0000"/>
        </w:rPr>
        <w:t>Secretion of the South American Giant Leaf Frog or Giant Monkey Frog (</w:t>
      </w:r>
      <w:r w:rsidRPr="00303789">
        <w:rPr>
          <w:i/>
          <w:color w:val="FF0000"/>
        </w:rPr>
        <w:t>Phyllomedusa bicolor</w:t>
      </w:r>
      <w:r w:rsidRPr="00303789">
        <w:rPr>
          <w:color w:val="FF0000"/>
        </w:rPr>
        <w:t>)</w:t>
      </w:r>
      <w:r w:rsidRPr="006B107B">
        <w:rPr>
          <w:rFonts w:cstheme="minorHAnsi"/>
        </w:rPr>
        <w:t> </w:t>
      </w:r>
    </w:p>
    <w:p w14:paraId="6A1F71FA" w14:textId="77777777" w:rsidR="00A25978" w:rsidRDefault="00A25978" w:rsidP="00A25978">
      <w:pPr>
        <w:pStyle w:val="Heading4"/>
      </w:pPr>
      <w:r>
        <w:t>Key uses / expected use</w:t>
      </w:r>
    </w:p>
    <w:p w14:paraId="53646573" w14:textId="77777777" w:rsidR="00A25978" w:rsidRPr="004B36B8" w:rsidRDefault="00A25978" w:rsidP="00A25978">
      <w:r w:rsidRPr="004B36B8">
        <w:t>Medicines</w:t>
      </w:r>
      <w:r>
        <w:t xml:space="preserve"> (purgative)</w:t>
      </w:r>
    </w:p>
    <w:p w14:paraId="4D94E09E" w14:textId="77777777" w:rsidR="00A25978" w:rsidRPr="004B36B8" w:rsidRDefault="00A25978" w:rsidP="00A25978">
      <w:pPr>
        <w:pStyle w:val="Heading4"/>
      </w:pPr>
      <w:r w:rsidRPr="004B36B8">
        <w:t>Reasons for proposal</w:t>
      </w:r>
    </w:p>
    <w:p w14:paraId="05743FC1" w14:textId="0563B099" w:rsidR="00AD272E" w:rsidRDefault="00A25978" w:rsidP="00DC6EC8">
      <w:pPr>
        <w:pStyle w:val="ListBullet"/>
      </w:pPr>
      <w:r>
        <w:t>Kambo is a preparation obtained from the dried secretion of the South American Giant Leaf Frog or Giant Monkey Frog (</w:t>
      </w:r>
      <w:r w:rsidRPr="00CF5CD5">
        <w:rPr>
          <w:i/>
        </w:rPr>
        <w:t>P</w:t>
      </w:r>
      <w:r>
        <w:rPr>
          <w:i/>
        </w:rPr>
        <w:t>h</w:t>
      </w:r>
      <w:r w:rsidRPr="00CF5CD5">
        <w:rPr>
          <w:i/>
        </w:rPr>
        <w:t>yllomedusa bicolor</w:t>
      </w:r>
      <w:r>
        <w:t>). It is used in traditional indigenous ce</w:t>
      </w:r>
      <w:r w:rsidR="009A49EF">
        <w:t>remonies in South America.</w:t>
      </w:r>
    </w:p>
    <w:p w14:paraId="3E9DE599" w14:textId="7438BAF1" w:rsidR="00AD272E" w:rsidRDefault="00A25978" w:rsidP="00DC6EC8">
      <w:pPr>
        <w:pStyle w:val="ListBullet"/>
      </w:pPr>
      <w:r>
        <w:t>Reports of adoption of the ritual and use of kambo in non-indigenous communities, includ</w:t>
      </w:r>
      <w:r w:rsidR="009A49EF">
        <w:t>ing Australia, have been noted.</w:t>
      </w:r>
    </w:p>
    <w:p w14:paraId="533AD44D" w14:textId="0CF2EA62" w:rsidR="00AD272E" w:rsidRDefault="00A25978" w:rsidP="00DC6EC8">
      <w:pPr>
        <w:pStyle w:val="ListBullet"/>
      </w:pPr>
      <w:r w:rsidRPr="00964D2B">
        <w:t>Kambo is</w:t>
      </w:r>
      <w:r>
        <w:t xml:space="preserve"> a</w:t>
      </w:r>
      <w:r w:rsidRPr="00964D2B">
        <w:t xml:space="preserve"> complex mixture with multiple bioactive components which cannot be separated at the source, it is therefore proposed that this substance should be regulated as the secretion</w:t>
      </w:r>
      <w:r>
        <w:t xml:space="preserve"> rather than the component substances</w:t>
      </w:r>
      <w:r w:rsidRPr="00964D2B">
        <w:t>.</w:t>
      </w:r>
    </w:p>
    <w:p w14:paraId="6379E031" w14:textId="0125AC8E" w:rsidR="00A25978" w:rsidRDefault="00A25978" w:rsidP="00DC6EC8">
      <w:pPr>
        <w:pStyle w:val="ListBullet"/>
      </w:pPr>
      <w:r w:rsidRPr="00A2006D">
        <w:t>The use and effects of kambo have received sporadic media coverage over a number of years, with some concern raised over its effects and potential for abuse</w:t>
      </w:r>
      <w:r w:rsidR="009A49EF">
        <w:t>.</w:t>
      </w:r>
    </w:p>
    <w:p w14:paraId="559AACFD" w14:textId="77777777" w:rsidR="00A25978" w:rsidRDefault="00A25978" w:rsidP="00DC6EC8">
      <w:pPr>
        <w:pStyle w:val="ListBullet"/>
      </w:pPr>
      <w:r>
        <w:t>Use of kambo typically forms part of a ritualistic ceremony, involving burning of the participant’s skin followed by direct application of the substance to the burned regions.</w:t>
      </w:r>
    </w:p>
    <w:p w14:paraId="29EB430C" w14:textId="77777777" w:rsidR="00A25978" w:rsidRPr="00964D2B" w:rsidRDefault="00A25978" w:rsidP="00DC6EC8">
      <w:pPr>
        <w:pStyle w:val="ListBullet"/>
      </w:pPr>
      <w:r w:rsidRPr="00964D2B">
        <w:t>Kambo use in the absence of medically trained supervision represents a significant health risk, especially for people with cardiovascular disease due to the significant cardiovascular effects.</w:t>
      </w:r>
    </w:p>
    <w:p w14:paraId="4177F4BB" w14:textId="77777777" w:rsidR="00A25978" w:rsidRDefault="00A25978" w:rsidP="00DC6EC8">
      <w:pPr>
        <w:pStyle w:val="ListBullet"/>
      </w:pPr>
      <w:r w:rsidRPr="00964D2B">
        <w:t>Although rare, deaths have also been reported from kambo use.</w:t>
      </w:r>
    </w:p>
    <w:p w14:paraId="31F48DD0" w14:textId="77777777" w:rsidR="00A25978" w:rsidRDefault="00A25978" w:rsidP="00DC6EC8">
      <w:pPr>
        <w:pStyle w:val="ListBullet"/>
      </w:pPr>
      <w:r>
        <w:t xml:space="preserve">The significant adverse effects from the topical application of kambo to scarified or burnt areas of skin include: </w:t>
      </w:r>
    </w:p>
    <w:p w14:paraId="0DF14346" w14:textId="77777777" w:rsidR="00A25978" w:rsidRDefault="00A25978" w:rsidP="009A49EF">
      <w:pPr>
        <w:pStyle w:val="ListBullet2"/>
      </w:pPr>
      <w:r w:rsidRPr="003C0B32">
        <w:t>nausea</w:t>
      </w:r>
    </w:p>
    <w:p w14:paraId="7BAE9EAE" w14:textId="77777777" w:rsidR="00A25978" w:rsidRDefault="00A25978" w:rsidP="003C0B32">
      <w:pPr>
        <w:pStyle w:val="ListBullet2"/>
      </w:pPr>
      <w:r>
        <w:t>vomiting</w:t>
      </w:r>
    </w:p>
    <w:p w14:paraId="750A79A3" w14:textId="77777777" w:rsidR="00A25978" w:rsidRDefault="00A25978" w:rsidP="003C0B32">
      <w:pPr>
        <w:pStyle w:val="ListBullet2"/>
      </w:pPr>
      <w:r>
        <w:t>oesophageal rupture</w:t>
      </w:r>
    </w:p>
    <w:p w14:paraId="2DE948F1" w14:textId="77777777" w:rsidR="00A25978" w:rsidRDefault="00A25978" w:rsidP="003C0B32">
      <w:pPr>
        <w:pStyle w:val="ListBullet2"/>
      </w:pPr>
      <w:r>
        <w:t>diarrhoea</w:t>
      </w:r>
    </w:p>
    <w:p w14:paraId="69A02096" w14:textId="77777777" w:rsidR="00A25978" w:rsidRDefault="00A25978" w:rsidP="003C0B32">
      <w:pPr>
        <w:pStyle w:val="ListBullet2"/>
      </w:pPr>
      <w:r>
        <w:t>stomach pain</w:t>
      </w:r>
    </w:p>
    <w:p w14:paraId="3F0F0EEE" w14:textId="77777777" w:rsidR="00A25978" w:rsidRDefault="00A25978" w:rsidP="003C0B32">
      <w:pPr>
        <w:pStyle w:val="ListBullet2"/>
      </w:pPr>
      <w:r>
        <w:t>liver damage</w:t>
      </w:r>
    </w:p>
    <w:p w14:paraId="3FBCA4A4" w14:textId="77777777" w:rsidR="00A25978" w:rsidRDefault="00A25978" w:rsidP="003C0B32">
      <w:pPr>
        <w:pStyle w:val="ListBullet2"/>
      </w:pPr>
      <w:r>
        <w:t>burning sensation</w:t>
      </w:r>
    </w:p>
    <w:p w14:paraId="4304FBCC" w14:textId="77777777" w:rsidR="00A25978" w:rsidRDefault="00A25978" w:rsidP="003C0B32">
      <w:pPr>
        <w:pStyle w:val="ListBullet2"/>
      </w:pPr>
      <w:r>
        <w:t xml:space="preserve">lowered blood pressure (hypotension) </w:t>
      </w:r>
    </w:p>
    <w:p w14:paraId="313CA13E" w14:textId="77777777" w:rsidR="00A25978" w:rsidRDefault="00A25978" w:rsidP="003C0B32">
      <w:pPr>
        <w:pStyle w:val="ListBullet2"/>
      </w:pPr>
      <w:r>
        <w:t>increased heart rate (tachycardia)</w:t>
      </w:r>
    </w:p>
    <w:p w14:paraId="7E02A315" w14:textId="77777777" w:rsidR="00A25978" w:rsidRDefault="00A25978" w:rsidP="00DC6EC8">
      <w:pPr>
        <w:pStyle w:val="ListBullet"/>
      </w:pPr>
      <w:r>
        <w:t>These effects are seen as part of the spiritual purification/healing process, however, there is no clinical evidence of kambo having any beneficial medical effect.</w:t>
      </w:r>
    </w:p>
    <w:p w14:paraId="46375B7C" w14:textId="77777777" w:rsidR="00A25978" w:rsidRPr="00DA11ED" w:rsidRDefault="00A25978" w:rsidP="00DC6EC8">
      <w:pPr>
        <w:pStyle w:val="ListBullet"/>
      </w:pPr>
      <w:r>
        <w:t xml:space="preserve">Onset of clinical signs and symptoms is rapid, and there have been reports of altered mental state, agitation, paranoia, delusions and general psychosis. There is insufficient information to characterise the risk from </w:t>
      </w:r>
      <w:r w:rsidRPr="00A2006D">
        <w:t>long-term</w:t>
      </w:r>
      <w:r>
        <w:t xml:space="preserve"> repeated use of kambo.</w:t>
      </w:r>
    </w:p>
    <w:p w14:paraId="54BD6B74" w14:textId="35330319" w:rsidR="00A25978" w:rsidRDefault="00A25978" w:rsidP="00A25978">
      <w:pPr>
        <w:pStyle w:val="Heading4"/>
      </w:pPr>
      <w:r w:rsidRPr="00DC5AE0">
        <w:t xml:space="preserve">Australian </w:t>
      </w:r>
      <w:r>
        <w:t>regulations</w:t>
      </w:r>
    </w:p>
    <w:p w14:paraId="01D01EF4" w14:textId="77777777" w:rsidR="00A25978" w:rsidRDefault="00A25978" w:rsidP="00DC6EC8">
      <w:pPr>
        <w:pStyle w:val="ListBullet"/>
      </w:pPr>
      <w:r>
        <w:t xml:space="preserve">Kambo is not </w:t>
      </w:r>
      <w:r w:rsidRPr="00DD1533">
        <w:t>included</w:t>
      </w:r>
      <w:r>
        <w:t xml:space="preserve"> as an ingredient on the </w:t>
      </w:r>
      <w:hyperlink r:id="rId115"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90"/>
      </w:r>
      <w:r>
        <w:t xml:space="preserve"> nor are any of its constituent peptides (e.g. dermorphin, deltorphin, caerulein).</w:t>
      </w:r>
    </w:p>
    <w:p w14:paraId="28403A01" w14:textId="463E552E" w:rsidR="00A25978" w:rsidRPr="008C111B" w:rsidRDefault="00A25978" w:rsidP="00DC6EC8">
      <w:pPr>
        <w:pStyle w:val="ListBullet"/>
      </w:pPr>
      <w:r>
        <w:t xml:space="preserve">As </w:t>
      </w:r>
      <w:r w:rsidRPr="008C111B">
        <w:t>of November 2020</w:t>
      </w:r>
      <w:r>
        <w:t>, t</w:t>
      </w:r>
      <w:r w:rsidRPr="00881DFE">
        <w:t xml:space="preserve">here </w:t>
      </w:r>
      <w:r>
        <w:t>were</w:t>
      </w:r>
      <w:r w:rsidRPr="00881DFE">
        <w:t xml:space="preserve"> </w:t>
      </w:r>
      <w:r>
        <w:t>no medicine</w:t>
      </w:r>
      <w:r w:rsidRPr="00881DFE">
        <w:t xml:space="preserve">s currently active on the </w:t>
      </w:r>
      <w:hyperlink r:id="rId116" w:history="1">
        <w:r w:rsidRPr="00293CCA">
          <w:rPr>
            <w:rStyle w:val="Hyperlink"/>
          </w:rPr>
          <w:t>Australian Register of Therapeutic Goods (ARTG)</w:t>
        </w:r>
      </w:hyperlink>
      <w:r>
        <w:rPr>
          <w:rStyle w:val="FootnoteReference"/>
        </w:rPr>
        <w:footnoteReference w:id="91"/>
      </w:r>
      <w:r>
        <w:t xml:space="preserve"> that contain</w:t>
      </w:r>
      <w:r w:rsidRPr="00881DFE">
        <w:t xml:space="preserve"> </w:t>
      </w:r>
      <w:r>
        <w:t xml:space="preserve">kambo as </w:t>
      </w:r>
      <w:r w:rsidRPr="00B808C2">
        <w:t>an</w:t>
      </w:r>
      <w:r>
        <w:t xml:space="preserve"> active ingredient, nor any of its constituent peptides</w:t>
      </w:r>
      <w:r w:rsidRPr="00881DFE">
        <w:t>.</w:t>
      </w:r>
    </w:p>
    <w:p w14:paraId="42FDF728" w14:textId="15DDA2E0" w:rsidR="00A25978" w:rsidRDefault="00A25978" w:rsidP="00DC6EC8">
      <w:pPr>
        <w:pStyle w:val="ListBullet"/>
      </w:pPr>
      <w:r>
        <w:t>Kambo</w:t>
      </w:r>
      <w:r w:rsidRPr="009C55D5">
        <w:t xml:space="preserve"> is not permitted to be included in listed medicines </w:t>
      </w:r>
      <w:r>
        <w:t xml:space="preserve">as it </w:t>
      </w:r>
      <w:r w:rsidRPr="00B808C2">
        <w:t>is</w:t>
      </w:r>
      <w:r>
        <w:t xml:space="preserve"> not included in the </w:t>
      </w:r>
      <w:hyperlink r:id="rId117" w:history="1">
        <w:r w:rsidRPr="00824CAC">
          <w:rPr>
            <w:rStyle w:val="Hyperlink"/>
          </w:rPr>
          <w:t>Therapeutic Goods (Permissible Ingredients) Determination</w:t>
        </w:r>
      </w:hyperlink>
      <w:r>
        <w:rPr>
          <w:rStyle w:val="FootnoteReference"/>
        </w:rPr>
        <w:footnoteReference w:id="92"/>
      </w:r>
      <w:r w:rsidRPr="009C55D5">
        <w:t xml:space="preserve"> No</w:t>
      </w:r>
      <w:r w:rsidRPr="008C111B">
        <w:t>.3 of 2020</w:t>
      </w:r>
      <w:r w:rsidR="009A49EF">
        <w:t>.</w:t>
      </w:r>
    </w:p>
    <w:p w14:paraId="23FF8C41" w14:textId="77777777" w:rsidR="00A25978" w:rsidRDefault="00A25978" w:rsidP="00DC6EC8">
      <w:pPr>
        <w:pStyle w:val="ListBullet"/>
      </w:pPr>
      <w:r>
        <w:t xml:space="preserve">The </w:t>
      </w:r>
      <w:hyperlink r:id="rId11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93"/>
      </w:r>
      <w:r>
        <w:t xml:space="preserve"> does not include kambo as a substance.</w:t>
      </w:r>
    </w:p>
    <w:p w14:paraId="1DB46179" w14:textId="7730B20F" w:rsidR="00A25978" w:rsidRDefault="00A25978" w:rsidP="00DC6EC8">
      <w:pPr>
        <w:pStyle w:val="ListBullet"/>
      </w:pPr>
      <w:r>
        <w:t xml:space="preserve">There are no </w:t>
      </w:r>
      <w:r w:rsidRPr="00A30084">
        <w:t xml:space="preserve">warning statements pertaining </w:t>
      </w:r>
      <w:r>
        <w:t xml:space="preserve">to kambo in the </w:t>
      </w:r>
      <w:hyperlink r:id="rId119" w:history="1">
        <w:r w:rsidRPr="00AB7BF5">
          <w:rPr>
            <w:rStyle w:val="Hyperlink"/>
          </w:rPr>
          <w:t>Therapeutic Goods (Medicines Advisory Statements) Specification 2019</w:t>
        </w:r>
      </w:hyperlink>
      <w:r>
        <w:rPr>
          <w:rStyle w:val="FootnoteReference"/>
        </w:rPr>
        <w:footnoteReference w:id="94"/>
      </w:r>
      <w:r w:rsidR="009A49EF" w:rsidRPr="009A49EF">
        <w:rPr>
          <w:rStyle w:val="Hyperlink"/>
          <w:color w:val="auto"/>
          <w:u w:val="none"/>
        </w:rPr>
        <w:t>.</w:t>
      </w:r>
    </w:p>
    <w:p w14:paraId="2C0C19DA" w14:textId="77777777" w:rsidR="00A25978" w:rsidRPr="008C111B" w:rsidRDefault="00A25978" w:rsidP="00DC6EC8">
      <w:pPr>
        <w:pStyle w:val="ListBullet"/>
      </w:pPr>
      <w:r>
        <w:t xml:space="preserve">As of </w:t>
      </w:r>
      <w:r w:rsidRPr="008C111B">
        <w:t>November 2020</w:t>
      </w:r>
      <w:r>
        <w:t>, there were</w:t>
      </w:r>
      <w:r w:rsidRPr="009C55D5">
        <w:t xml:space="preserve"> </w:t>
      </w:r>
      <w:r w:rsidRPr="008C111B">
        <w:t>no</w:t>
      </w:r>
      <w:r w:rsidRPr="009C55D5">
        <w:t xml:space="preserve"> reports of adverse events for products containing </w:t>
      </w:r>
      <w:r>
        <w:t>kambo, nor any of its constituent peptides,</w:t>
      </w:r>
      <w:r w:rsidRPr="009C55D5">
        <w:t xml:space="preserve"> as an active ingredient</w:t>
      </w:r>
      <w:r>
        <w:t xml:space="preserve"> on the </w:t>
      </w:r>
      <w:hyperlink r:id="rId120" w:history="1">
        <w:r w:rsidRPr="00F0449C">
          <w:rPr>
            <w:rStyle w:val="Hyperlink"/>
          </w:rPr>
          <w:t>Database of Adverse Event Notifications (DAEN)</w:t>
        </w:r>
      </w:hyperlink>
      <w:r w:rsidRPr="00F0449C">
        <w:rPr>
          <w:rStyle w:val="FootnoteReference"/>
        </w:rPr>
        <w:footnoteReference w:id="95"/>
      </w:r>
      <w:r w:rsidRPr="008C111B">
        <w:t>.</w:t>
      </w:r>
    </w:p>
    <w:p w14:paraId="67489131" w14:textId="2DC27876" w:rsidR="00A25978" w:rsidRDefault="00A25978" w:rsidP="00DC6EC8">
      <w:pPr>
        <w:pStyle w:val="ListBullet"/>
      </w:pPr>
      <w:r>
        <w:t xml:space="preserve">As of </w:t>
      </w:r>
      <w:r w:rsidRPr="008C111B">
        <w:t>November 2020,</w:t>
      </w:r>
      <w:r>
        <w:t xml:space="preserve"> t</w:t>
      </w:r>
      <w:r w:rsidRPr="00F0449C">
        <w:t xml:space="preserve">here </w:t>
      </w:r>
      <w:r>
        <w:t>were</w:t>
      </w:r>
      <w:r w:rsidRPr="00F0449C">
        <w:t xml:space="preserve"> </w:t>
      </w:r>
      <w:r w:rsidRPr="008C111B">
        <w:t>no</w:t>
      </w:r>
      <w:r w:rsidRPr="00F0449C">
        <w:t xml:space="preserve"> products containing </w:t>
      </w:r>
      <w:r>
        <w:t xml:space="preserve">kambo </w:t>
      </w:r>
      <w:r w:rsidRPr="00B808C2">
        <w:t>listed</w:t>
      </w:r>
      <w:r w:rsidRPr="00F0449C">
        <w:t xml:space="preserve"> on the </w:t>
      </w:r>
      <w:hyperlink r:id="rId12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96"/>
      </w:r>
    </w:p>
    <w:p w14:paraId="65F6EC33" w14:textId="77777777" w:rsidR="00A25978" w:rsidRPr="00CB687C" w:rsidRDefault="00A25978" w:rsidP="00A25978">
      <w:pPr>
        <w:pStyle w:val="Heading4"/>
      </w:pPr>
      <w:r>
        <w:t>International regulations</w:t>
      </w:r>
    </w:p>
    <w:p w14:paraId="4CD053D7" w14:textId="77777777" w:rsidR="00A25978" w:rsidRDefault="00A25978" w:rsidP="00DC6EC8">
      <w:pPr>
        <w:pStyle w:val="ListBullet"/>
      </w:pPr>
      <w:r>
        <w:t xml:space="preserve">Kambo is not regulated by the </w:t>
      </w:r>
      <w:hyperlink r:id="rId122" w:history="1">
        <w:r w:rsidRPr="00EB41AA">
          <w:rPr>
            <w:rStyle w:val="Hyperlink"/>
          </w:rPr>
          <w:t>Food and Drug Administration</w:t>
        </w:r>
      </w:hyperlink>
      <w:r>
        <w:t xml:space="preserve"> in the United States, </w:t>
      </w:r>
      <w:hyperlink r:id="rId123" w:history="1">
        <w:r w:rsidRPr="00EB41AA">
          <w:rPr>
            <w:rStyle w:val="Hyperlink"/>
          </w:rPr>
          <w:t>Health Canada</w:t>
        </w:r>
      </w:hyperlink>
      <w:r>
        <w:t xml:space="preserve">, </w:t>
      </w:r>
      <w:hyperlink r:id="rId124" w:history="1">
        <w:r w:rsidRPr="00EB41AA">
          <w:rPr>
            <w:rStyle w:val="Hyperlink"/>
          </w:rPr>
          <w:t>Medsafe</w:t>
        </w:r>
      </w:hyperlink>
      <w:r>
        <w:t xml:space="preserve"> in New Zealand or the </w:t>
      </w:r>
      <w:hyperlink r:id="rId125" w:history="1">
        <w:r w:rsidRPr="00EB41AA">
          <w:rPr>
            <w:rStyle w:val="Hyperlink"/>
          </w:rPr>
          <w:t>Health Products Regulatory Authority</w:t>
        </w:r>
      </w:hyperlink>
      <w:r>
        <w:t xml:space="preserve"> in Ireland.</w:t>
      </w:r>
    </w:p>
    <w:p w14:paraId="6F2D4DD9" w14:textId="07E9D9AF" w:rsidR="00A25978" w:rsidRPr="0090088D" w:rsidRDefault="00A25978" w:rsidP="0090088D">
      <w:pPr>
        <w:pStyle w:val="ListBullet"/>
        <w:rPr>
          <w:rStyle w:val="Hyperlink"/>
          <w:color w:val="auto"/>
          <w:u w:val="none"/>
        </w:rPr>
      </w:pPr>
      <w:r w:rsidRPr="0090088D">
        <w:rPr>
          <w:rStyle w:val="Hyperlink"/>
          <w:color w:val="auto"/>
          <w:u w:val="none"/>
        </w:rPr>
        <w:t xml:space="preserve">Neither the </w:t>
      </w:r>
      <w:hyperlink r:id="rId126" w:history="1">
        <w:r w:rsidRPr="0090088D">
          <w:rPr>
            <w:rStyle w:val="Hyperlink"/>
          </w:rPr>
          <w:t>United States Environmental Protection Agency</w:t>
        </w:r>
      </w:hyperlink>
      <w:r w:rsidRPr="0090088D">
        <w:rPr>
          <w:rStyle w:val="Hyperlink"/>
          <w:color w:val="auto"/>
          <w:u w:val="none"/>
        </w:rPr>
        <w:t xml:space="preserve"> nor the </w:t>
      </w:r>
      <w:hyperlink r:id="rId127" w:history="1">
        <w:r w:rsidRPr="0090088D">
          <w:rPr>
            <w:rStyle w:val="Hyperlink"/>
          </w:rPr>
          <w:t>European Chemicals Agency</w:t>
        </w:r>
      </w:hyperlink>
      <w:r w:rsidRPr="0090088D">
        <w:rPr>
          <w:rStyle w:val="Hyperlink"/>
          <w:color w:val="auto"/>
          <w:u w:val="none"/>
        </w:rPr>
        <w:t xml:space="preserve"> list kambo on any of their publicly available databases.</w:t>
      </w:r>
    </w:p>
    <w:p w14:paraId="38106981" w14:textId="0BFBFCB6" w:rsidR="00A25978" w:rsidRDefault="00A25978" w:rsidP="009A49EF">
      <w:pPr>
        <w:pStyle w:val="Heading3"/>
        <w:pageBreakBefore/>
        <w:ind w:left="578" w:hanging="578"/>
      </w:pPr>
      <w:bookmarkStart w:id="25" w:name="_Toc56501003"/>
      <w:bookmarkStart w:id="26" w:name="_Toc59540957"/>
      <w:r>
        <w:t>Lidocaine</w:t>
      </w:r>
      <w:bookmarkEnd w:id="25"/>
      <w:bookmarkEnd w:id="26"/>
    </w:p>
    <w:p w14:paraId="68AC5473" w14:textId="77777777" w:rsidR="00A25978" w:rsidRDefault="00A25978" w:rsidP="00A25978">
      <w:pPr>
        <w:pStyle w:val="Heading4"/>
      </w:pPr>
      <w:r>
        <w:t>Proposal</w:t>
      </w:r>
    </w:p>
    <w:p w14:paraId="3630B0C5" w14:textId="77777777" w:rsidR="00A25978" w:rsidRPr="003862CC" w:rsidRDefault="00A25978" w:rsidP="00A25978">
      <w:r>
        <w:t>Amendment of the existing Schedule 5 entry for lidocaine to include injections for veterinary use under special circumstances.</w:t>
      </w:r>
    </w:p>
    <w:p w14:paraId="04FA4C1D" w14:textId="77777777" w:rsidR="00A25978" w:rsidRPr="003639D9" w:rsidRDefault="00A25978" w:rsidP="00A25978">
      <w:pPr>
        <w:pStyle w:val="Heading4"/>
      </w:pPr>
      <w:r>
        <w:t>CAS Number:</w:t>
      </w:r>
    </w:p>
    <w:p w14:paraId="1146A026" w14:textId="77777777" w:rsidR="00A25978" w:rsidRDefault="00A25978" w:rsidP="00A25978">
      <w:r>
        <w:t>137-58-6</w:t>
      </w:r>
    </w:p>
    <w:p w14:paraId="5D7A7A57" w14:textId="77777777" w:rsidR="00A25978" w:rsidRDefault="00A25978" w:rsidP="00A25978">
      <w:pPr>
        <w:pStyle w:val="Heading4"/>
      </w:pPr>
      <w:r>
        <w:t>Alternative names</w:t>
      </w:r>
    </w:p>
    <w:p w14:paraId="3EB43FB6" w14:textId="77777777" w:rsidR="00A25978" w:rsidRPr="00C7437B" w:rsidRDefault="00A25978" w:rsidP="00A25978">
      <w:r w:rsidRPr="00C7437B">
        <w:t>2-(Diethylamino)-</w:t>
      </w:r>
      <w:r w:rsidRPr="00C7437B">
        <w:rPr>
          <w:i/>
          <w:iCs/>
        </w:rPr>
        <w:t>N-</w:t>
      </w:r>
      <w:r w:rsidRPr="00C7437B">
        <w:t>(2,6-dimethylphenyl)acetamide, 2-diethylamino-2′,6′-acetoxylidide; ω-diethylamino-2,6-dimethylacetanilide; lignocaine</w:t>
      </w:r>
    </w:p>
    <w:p w14:paraId="23FCF65F" w14:textId="77777777" w:rsidR="00A25978" w:rsidRDefault="00A25978" w:rsidP="00A25978">
      <w:pPr>
        <w:pStyle w:val="Heading4"/>
      </w:pPr>
      <w:r>
        <w:t>Applicant</w:t>
      </w:r>
    </w:p>
    <w:p w14:paraId="3A845867" w14:textId="77777777" w:rsidR="00A25978" w:rsidRPr="003639D9" w:rsidRDefault="00A25978" w:rsidP="00A25978">
      <w:r w:rsidRPr="00FD03B4">
        <w:t>Australian Pesticides and Veterinary Medicines Authority (APVMA)</w:t>
      </w:r>
    </w:p>
    <w:p w14:paraId="0240429C" w14:textId="77777777" w:rsidR="00A25978" w:rsidRDefault="00A25978" w:rsidP="00A25978">
      <w:pPr>
        <w:pStyle w:val="Heading4"/>
      </w:pPr>
      <w:r>
        <w:t>Current scheduling</w:t>
      </w:r>
    </w:p>
    <w:p w14:paraId="76481051" w14:textId="77777777" w:rsidR="00A25978" w:rsidRPr="006B107B" w:rsidRDefault="00A25978" w:rsidP="00A25978">
      <w:pPr>
        <w:rPr>
          <w:rFonts w:cstheme="minorHAnsi"/>
        </w:rPr>
      </w:pPr>
      <w:r w:rsidRPr="006B107B">
        <w:rPr>
          <w:rFonts w:cstheme="minorHAnsi"/>
        </w:rPr>
        <w:t>Lidocaine is currently listed in Schedules 2, 4 and 5 of the Poisons Standard as follows:</w:t>
      </w:r>
    </w:p>
    <w:p w14:paraId="45A6F5BA" w14:textId="77777777" w:rsidR="00A25978" w:rsidRPr="006B107B" w:rsidRDefault="00A25978" w:rsidP="00A25978">
      <w:pPr>
        <w:ind w:left="426"/>
        <w:rPr>
          <w:b/>
        </w:rPr>
      </w:pPr>
      <w:r w:rsidRPr="006B107B">
        <w:rPr>
          <w:b/>
        </w:rPr>
        <w:t>Schedule 4</w:t>
      </w:r>
    </w:p>
    <w:p w14:paraId="312DCC8B" w14:textId="77777777" w:rsidR="00A25978" w:rsidRPr="006B107B" w:rsidRDefault="00A25978" w:rsidP="00A25978">
      <w:pPr>
        <w:ind w:left="426"/>
        <w:rPr>
          <w:rFonts w:cstheme="minorHAnsi"/>
        </w:rPr>
      </w:pPr>
      <w:r w:rsidRPr="006B107B">
        <w:rPr>
          <w:rFonts w:cstheme="minorHAnsi"/>
        </w:rPr>
        <w:t>LIDOCAINE </w:t>
      </w:r>
      <w:r w:rsidRPr="006B107B">
        <w:rPr>
          <w:rFonts w:cstheme="minorHAnsi"/>
          <w:b/>
          <w:bCs/>
        </w:rPr>
        <w:t>except</w:t>
      </w:r>
      <w:r w:rsidRPr="006B107B">
        <w:rPr>
          <w:rFonts w:cstheme="minorHAnsi"/>
        </w:rPr>
        <w:t>:</w:t>
      </w:r>
    </w:p>
    <w:p w14:paraId="450CC085" w14:textId="2B54DFFE" w:rsidR="00A25978" w:rsidRPr="006B107B" w:rsidRDefault="00A25978" w:rsidP="0023449A">
      <w:pPr>
        <w:pStyle w:val="Numberbullet2a"/>
        <w:numPr>
          <w:ilvl w:val="0"/>
          <w:numId w:val="17"/>
        </w:numPr>
        <w:ind w:left="851" w:hanging="425"/>
      </w:pPr>
      <w:r w:rsidRPr="006B107B">
        <w:t>when included in Schedules 2 or 5;</w:t>
      </w:r>
    </w:p>
    <w:p w14:paraId="154287DC" w14:textId="247DE294" w:rsidR="00A25978" w:rsidRPr="006B107B" w:rsidRDefault="00A25978" w:rsidP="009A49EF">
      <w:pPr>
        <w:pStyle w:val="Numberbullet2a"/>
      </w:pPr>
      <w:r w:rsidRPr="006B107B">
        <w:t>in dermal preparations containing 2 per cent or less of total local anaesthetic substances per dosage unit; or</w:t>
      </w:r>
    </w:p>
    <w:p w14:paraId="3462B8B9" w14:textId="35692798" w:rsidR="00A25978" w:rsidRPr="006B107B" w:rsidRDefault="00A25978" w:rsidP="009A49EF">
      <w:pPr>
        <w:pStyle w:val="Numberbullet2a"/>
      </w:pPr>
      <w:r w:rsidRPr="006B107B">
        <w:t>in lozenges containing 30 mg or less of total anaesthe</w:t>
      </w:r>
      <w:r>
        <w:t>tic substances per dosage unit.</w:t>
      </w:r>
    </w:p>
    <w:p w14:paraId="4A5554B8" w14:textId="77777777" w:rsidR="00A25978" w:rsidRPr="006B107B" w:rsidRDefault="00A25978" w:rsidP="00A25978">
      <w:pPr>
        <w:ind w:left="426"/>
        <w:rPr>
          <w:rFonts w:cstheme="minorHAnsi"/>
          <w:b/>
        </w:rPr>
      </w:pPr>
      <w:r w:rsidRPr="006B107B">
        <w:rPr>
          <w:rFonts w:cstheme="minorHAnsi"/>
          <w:b/>
        </w:rPr>
        <w:t>Schedule 2</w:t>
      </w:r>
    </w:p>
    <w:p w14:paraId="469FE392" w14:textId="77777777" w:rsidR="00A25978" w:rsidRPr="006B107B" w:rsidRDefault="00A25978" w:rsidP="00A25978">
      <w:pPr>
        <w:ind w:left="426"/>
        <w:rPr>
          <w:rFonts w:cstheme="minorHAnsi"/>
        </w:rPr>
      </w:pPr>
      <w:r w:rsidRPr="006B107B">
        <w:rPr>
          <w:rFonts w:cstheme="minorHAnsi"/>
        </w:rPr>
        <w:t>LIDOCAINE in preparations for topical use other than eye drops:</w:t>
      </w:r>
    </w:p>
    <w:p w14:paraId="7EEA31E0" w14:textId="7D2C6F56" w:rsidR="00A25978" w:rsidRPr="006B107B" w:rsidRDefault="00A25978" w:rsidP="0023449A">
      <w:pPr>
        <w:pStyle w:val="Numberbullet2a"/>
        <w:numPr>
          <w:ilvl w:val="0"/>
          <w:numId w:val="18"/>
        </w:numPr>
        <w:ind w:left="851" w:hanging="425"/>
      </w:pPr>
      <w:r w:rsidRPr="006B107B">
        <w:t>containing 10 per cent or less of total local anaesthetic substances, </w:t>
      </w:r>
      <w:r w:rsidRPr="009A49EF">
        <w:rPr>
          <w:bCs/>
        </w:rPr>
        <w:t>except:</w:t>
      </w:r>
    </w:p>
    <w:p w14:paraId="79885668" w14:textId="4A7DC843" w:rsidR="00A25978" w:rsidRPr="006B107B" w:rsidRDefault="00A25978" w:rsidP="009A49EF">
      <w:pPr>
        <w:pStyle w:val="Numberbullet3i"/>
      </w:pPr>
      <w:r w:rsidRPr="006B107B">
        <w:t>in dermal preparations containing 2 per cent or less of total local anaesthetic substances; or</w:t>
      </w:r>
    </w:p>
    <w:p w14:paraId="7E67D3AE" w14:textId="4B5123D1" w:rsidR="00A25978" w:rsidRPr="006B107B" w:rsidRDefault="00A25978" w:rsidP="009A49EF">
      <w:pPr>
        <w:pStyle w:val="Numberbullet3i"/>
      </w:pPr>
      <w:r w:rsidRPr="006B107B">
        <w:t>in aqueous sprays for oromucosal use containing 0.6 per cent or less of total local anaesthetic substances; or</w:t>
      </w:r>
    </w:p>
    <w:p w14:paraId="7030BCCF" w14:textId="54CCF6D8" w:rsidR="00A25978" w:rsidRDefault="00A25978" w:rsidP="009A49EF">
      <w:pPr>
        <w:pStyle w:val="Numberbullet2a"/>
      </w:pPr>
      <w:r w:rsidRPr="006B107B">
        <w:t>in divided preparations containing 200 mg or less of total local anaesthetic substances, </w:t>
      </w:r>
      <w:r w:rsidRPr="006B107B">
        <w:rPr>
          <w:bCs/>
        </w:rPr>
        <w:t>except</w:t>
      </w:r>
      <w:r w:rsidRPr="006B107B">
        <w:t> in lozenges containing 30 mg or less of total local anaesthetic substances per dosage unit.</w:t>
      </w:r>
    </w:p>
    <w:p w14:paraId="18C8421E" w14:textId="77777777" w:rsidR="00A25978" w:rsidRPr="006B107B" w:rsidRDefault="00A25978" w:rsidP="00A25978">
      <w:pPr>
        <w:ind w:left="426"/>
        <w:rPr>
          <w:b/>
        </w:rPr>
      </w:pPr>
      <w:r w:rsidRPr="006B107B">
        <w:rPr>
          <w:b/>
        </w:rPr>
        <w:t>Schedule 5</w:t>
      </w:r>
    </w:p>
    <w:p w14:paraId="559D488C" w14:textId="77777777" w:rsidR="00A25978" w:rsidRPr="006B107B" w:rsidRDefault="00A25978" w:rsidP="00A25978">
      <w:pPr>
        <w:ind w:left="426"/>
        <w:rPr>
          <w:rFonts w:cstheme="minorHAnsi"/>
        </w:rPr>
      </w:pPr>
      <w:r w:rsidRPr="006B107B">
        <w:rPr>
          <w:rFonts w:cstheme="minorHAnsi"/>
        </w:rPr>
        <w:t>LIDOCAINE in aqueous gel preparations containing 4.5 per cent or less of lidocaine, for the dermal spray-on administration to post-surgical wounds associated with 'mulesing' of sheep; tail docking and castration of lambs; or castration and disbudding/dehorning in calves.</w:t>
      </w:r>
    </w:p>
    <w:p w14:paraId="0DF4FFEC" w14:textId="77777777" w:rsidR="00A25978" w:rsidRDefault="00A25978" w:rsidP="00A25978">
      <w:pPr>
        <w:pStyle w:val="Heading4"/>
      </w:pPr>
      <w:r>
        <w:t>Proposed scheduling</w:t>
      </w:r>
    </w:p>
    <w:p w14:paraId="0B0ACB24" w14:textId="77777777" w:rsidR="00A25978" w:rsidRPr="006B107B" w:rsidRDefault="00A25978" w:rsidP="00A25978">
      <w:pPr>
        <w:ind w:left="426"/>
        <w:rPr>
          <w:b/>
        </w:rPr>
      </w:pPr>
      <w:r w:rsidRPr="006B107B">
        <w:rPr>
          <w:b/>
        </w:rPr>
        <w:t>Schedule 4</w:t>
      </w:r>
    </w:p>
    <w:p w14:paraId="381FE5B7" w14:textId="77777777" w:rsidR="00A25978" w:rsidRPr="006B107B" w:rsidRDefault="00A25978" w:rsidP="00A25978">
      <w:pPr>
        <w:ind w:left="426"/>
        <w:rPr>
          <w:rFonts w:cstheme="minorHAnsi"/>
        </w:rPr>
      </w:pPr>
      <w:r w:rsidRPr="006B107B">
        <w:rPr>
          <w:rFonts w:cstheme="minorHAnsi"/>
        </w:rPr>
        <w:t>LIDOCAINE </w:t>
      </w:r>
      <w:r w:rsidRPr="006B107B">
        <w:rPr>
          <w:rFonts w:cstheme="minorHAnsi"/>
          <w:b/>
          <w:bCs/>
        </w:rPr>
        <w:t>except</w:t>
      </w:r>
      <w:r w:rsidRPr="006B107B">
        <w:rPr>
          <w:rFonts w:cstheme="minorHAnsi"/>
        </w:rPr>
        <w:t>:</w:t>
      </w:r>
    </w:p>
    <w:p w14:paraId="3ABC7BD1" w14:textId="5E798A19" w:rsidR="00A25978" w:rsidRPr="006B107B" w:rsidRDefault="00A25978" w:rsidP="0023449A">
      <w:pPr>
        <w:pStyle w:val="Numberbullet2a"/>
        <w:numPr>
          <w:ilvl w:val="0"/>
          <w:numId w:val="20"/>
        </w:numPr>
        <w:ind w:left="851" w:hanging="425"/>
      </w:pPr>
      <w:r w:rsidRPr="006B107B">
        <w:t>when included in Schedules 2 or 5;</w:t>
      </w:r>
    </w:p>
    <w:p w14:paraId="6BE6CEB3" w14:textId="2AF75D67" w:rsidR="00A25978" w:rsidRPr="006B107B" w:rsidRDefault="00A25978" w:rsidP="009A49EF">
      <w:pPr>
        <w:pStyle w:val="Numberbullet2a"/>
      </w:pPr>
      <w:r w:rsidRPr="006B107B">
        <w:t>in dermal preparations containing 2 per cent or less of total local anaesthetic substances per dosage unit; or</w:t>
      </w:r>
    </w:p>
    <w:p w14:paraId="109497B3" w14:textId="1813B01D" w:rsidR="00A25978" w:rsidRPr="006B107B" w:rsidRDefault="00A25978" w:rsidP="009A49EF">
      <w:pPr>
        <w:pStyle w:val="Numberbullet2a"/>
      </w:pPr>
      <w:r w:rsidRPr="006B107B">
        <w:t>in lozenges containing 30 mg or less of total anaesthe</w:t>
      </w:r>
      <w:r>
        <w:t>tic substances per dosage unit.</w:t>
      </w:r>
    </w:p>
    <w:p w14:paraId="2F8C6C72" w14:textId="77777777" w:rsidR="00A25978" w:rsidRPr="006B107B" w:rsidRDefault="00A25978" w:rsidP="00A25978">
      <w:pPr>
        <w:ind w:left="426"/>
        <w:rPr>
          <w:rFonts w:cstheme="minorHAnsi"/>
          <w:b/>
        </w:rPr>
      </w:pPr>
      <w:r w:rsidRPr="006B107B">
        <w:rPr>
          <w:rFonts w:cstheme="minorHAnsi"/>
          <w:b/>
        </w:rPr>
        <w:t>Schedule 2</w:t>
      </w:r>
    </w:p>
    <w:p w14:paraId="392910A7" w14:textId="77777777" w:rsidR="00A25978" w:rsidRPr="006B107B" w:rsidRDefault="00A25978" w:rsidP="00A25978">
      <w:pPr>
        <w:ind w:left="426"/>
        <w:rPr>
          <w:rFonts w:cstheme="minorHAnsi"/>
        </w:rPr>
      </w:pPr>
      <w:r w:rsidRPr="006B107B">
        <w:rPr>
          <w:rFonts w:cstheme="minorHAnsi"/>
        </w:rPr>
        <w:t>LIDOCAINE in preparations for topical use other than eye drops:</w:t>
      </w:r>
    </w:p>
    <w:p w14:paraId="7770BC31" w14:textId="11786141" w:rsidR="00A25978" w:rsidRPr="006B107B" w:rsidRDefault="00A25978" w:rsidP="0023449A">
      <w:pPr>
        <w:pStyle w:val="Numberbullet2a"/>
        <w:numPr>
          <w:ilvl w:val="0"/>
          <w:numId w:val="21"/>
        </w:numPr>
        <w:ind w:left="851" w:hanging="425"/>
      </w:pPr>
      <w:r w:rsidRPr="006B107B">
        <w:t>containing 10 per cent or less of total local anaesthetic substances, </w:t>
      </w:r>
      <w:r w:rsidRPr="009A49EF">
        <w:rPr>
          <w:bCs/>
        </w:rPr>
        <w:t>except:</w:t>
      </w:r>
    </w:p>
    <w:p w14:paraId="3AF0A8B9" w14:textId="1BBCB835" w:rsidR="00A25978" w:rsidRPr="006B107B" w:rsidRDefault="00A25978" w:rsidP="0023449A">
      <w:pPr>
        <w:pStyle w:val="Numberbullet3i"/>
        <w:numPr>
          <w:ilvl w:val="0"/>
          <w:numId w:val="22"/>
        </w:numPr>
        <w:ind w:left="1276" w:hanging="425"/>
      </w:pPr>
      <w:r w:rsidRPr="006B107B">
        <w:t>in dermal preparations containing 2 per cent or less of total local anaesthetic substances; or</w:t>
      </w:r>
    </w:p>
    <w:p w14:paraId="3D85A40A" w14:textId="2154469F" w:rsidR="00A25978" w:rsidRPr="006B107B" w:rsidRDefault="00A25978" w:rsidP="009A49EF">
      <w:pPr>
        <w:pStyle w:val="Numberbullet3i"/>
      </w:pPr>
      <w:r w:rsidRPr="006B107B">
        <w:t>in aqueous sprays for oromucosal use containing 0.6 per cent or less of total local anaesthetic substances; or</w:t>
      </w:r>
    </w:p>
    <w:p w14:paraId="4AF2DD83" w14:textId="479602CC" w:rsidR="00A25978" w:rsidRDefault="00A25978" w:rsidP="009A49EF">
      <w:pPr>
        <w:pStyle w:val="Numberbullet2a"/>
      </w:pPr>
      <w:r w:rsidRPr="006B107B">
        <w:t>in divided preparations containing 200 mg or less of total local anaesthetic substances, </w:t>
      </w:r>
      <w:r w:rsidRPr="006B107B">
        <w:rPr>
          <w:bCs/>
        </w:rPr>
        <w:t>except</w:t>
      </w:r>
      <w:r w:rsidRPr="006B107B">
        <w:t> in lozenges containing 30 mg or less of total local anaesthetic substances per dosage unit.</w:t>
      </w:r>
    </w:p>
    <w:p w14:paraId="6228C82C" w14:textId="77777777" w:rsidR="00A25978" w:rsidRPr="00CD40FB" w:rsidRDefault="00A25978" w:rsidP="00A25978">
      <w:pPr>
        <w:ind w:left="426"/>
        <w:rPr>
          <w:b/>
        </w:rPr>
      </w:pPr>
      <w:r w:rsidRPr="00CD40FB">
        <w:rPr>
          <w:b/>
        </w:rPr>
        <w:t xml:space="preserve">Schedule </w:t>
      </w:r>
      <w:r w:rsidRPr="00FD03B4">
        <w:rPr>
          <w:b/>
        </w:rPr>
        <w:t>5 –</w:t>
      </w:r>
      <w:r>
        <w:rPr>
          <w:b/>
        </w:rPr>
        <w:t xml:space="preserve"> </w:t>
      </w:r>
      <w:r w:rsidRPr="00FD03B4">
        <w:rPr>
          <w:b/>
        </w:rPr>
        <w:t>Amend Entry</w:t>
      </w:r>
    </w:p>
    <w:p w14:paraId="51943B2A" w14:textId="77777777" w:rsidR="00A25978" w:rsidRPr="006B107B" w:rsidRDefault="00A25978" w:rsidP="00A25978">
      <w:pPr>
        <w:ind w:left="426"/>
        <w:rPr>
          <w:rFonts w:cstheme="minorHAnsi"/>
        </w:rPr>
      </w:pPr>
      <w:r w:rsidRPr="006B107B">
        <w:rPr>
          <w:rFonts w:cstheme="minorHAnsi"/>
        </w:rPr>
        <w:t>LIDOCAINE</w:t>
      </w:r>
    </w:p>
    <w:p w14:paraId="3EAEABC6" w14:textId="77777777" w:rsidR="00A25978" w:rsidRPr="006B107B" w:rsidRDefault="00A25978" w:rsidP="00522086">
      <w:pPr>
        <w:ind w:left="851" w:hanging="425"/>
        <w:rPr>
          <w:rFonts w:cstheme="minorHAnsi"/>
        </w:rPr>
      </w:pPr>
      <w:r w:rsidRPr="006B107B">
        <w:rPr>
          <w:rFonts w:cstheme="minorHAnsi"/>
          <w:color w:val="FF0000"/>
        </w:rPr>
        <w:t>a)</w:t>
      </w:r>
      <w:r w:rsidRPr="006B107B">
        <w:rPr>
          <w:rFonts w:cstheme="minorHAnsi"/>
        </w:rPr>
        <w:tab/>
        <w:t xml:space="preserve">in aqueous gel preparations containing 4.5 per cent or less of lidocaine, for the dermal spray-on administration to post-surgical wounds associated with ‘mulesing’ of sheep; tail docking and castration of lambs; or castration and disbudding/dehorning in calves; </w:t>
      </w:r>
      <w:r w:rsidRPr="006B107B">
        <w:rPr>
          <w:rFonts w:cstheme="minorHAnsi"/>
          <w:color w:val="FF0000"/>
        </w:rPr>
        <w:t>or</w:t>
      </w:r>
    </w:p>
    <w:p w14:paraId="4E00ABE3" w14:textId="5C5EFA4E" w:rsidR="00A25978" w:rsidRPr="00522086" w:rsidRDefault="00A25978" w:rsidP="00522086">
      <w:pPr>
        <w:ind w:left="851" w:hanging="425"/>
        <w:rPr>
          <w:rFonts w:asciiTheme="minorHAnsi" w:hAnsiTheme="minorHAnsi" w:cstheme="minorHAnsi"/>
          <w:color w:val="FF0000"/>
          <w:sz w:val="20"/>
        </w:rPr>
      </w:pPr>
      <w:r w:rsidRPr="006B107B">
        <w:rPr>
          <w:rFonts w:cstheme="minorHAnsi"/>
          <w:color w:val="FF0000"/>
        </w:rPr>
        <w:t>b)</w:t>
      </w:r>
      <w:r w:rsidR="00522086" w:rsidRPr="006B107B">
        <w:rPr>
          <w:rFonts w:cstheme="minorHAnsi"/>
        </w:rPr>
        <w:tab/>
      </w:r>
      <w:r w:rsidRPr="006B107B">
        <w:rPr>
          <w:rFonts w:cstheme="minorHAnsi"/>
          <w:color w:val="FF0000"/>
        </w:rPr>
        <w:t>in injectable preparations containing 2 percent or less of lidocaine when packaged in a bottle with a tamper proof cartridge for use in conjunction with a rubber ring applicator for tail docking and castration of lambs; or castration of calves.</w:t>
      </w:r>
    </w:p>
    <w:p w14:paraId="0ACEFEF5" w14:textId="77777777" w:rsidR="00A25978" w:rsidRPr="00C46F90" w:rsidRDefault="00A25978" w:rsidP="00A25978">
      <w:pPr>
        <w:pStyle w:val="Heading4"/>
      </w:pPr>
      <w:r w:rsidRPr="00C46F90">
        <w:t>Key uses / expected use</w:t>
      </w:r>
    </w:p>
    <w:p w14:paraId="4217A82A" w14:textId="77777777" w:rsidR="00A25978" w:rsidRDefault="00A25978" w:rsidP="00A25978">
      <w:r w:rsidRPr="00DE6DD5">
        <w:t>Veterinary</w:t>
      </w:r>
      <w:r>
        <w:t xml:space="preserve"> (local anaesthetic)</w:t>
      </w:r>
    </w:p>
    <w:p w14:paraId="209B1EB6" w14:textId="77777777" w:rsidR="00A25978" w:rsidRPr="00DE6DD5" w:rsidRDefault="00A25978" w:rsidP="00A25978">
      <w:pPr>
        <w:pStyle w:val="Heading4"/>
      </w:pPr>
      <w:r>
        <w:t>Application summary - r</w:t>
      </w:r>
      <w:r w:rsidRPr="00DE6DD5">
        <w:t>easons for proposal</w:t>
      </w:r>
    </w:p>
    <w:p w14:paraId="79F60295" w14:textId="77777777" w:rsidR="00A25978" w:rsidRPr="00DE6DD5" w:rsidRDefault="00A25978" w:rsidP="00DC6EC8">
      <w:pPr>
        <w:pStyle w:val="ListBullet"/>
      </w:pPr>
      <w:r w:rsidRPr="007735F5">
        <w:t xml:space="preserve">This amendment </w:t>
      </w:r>
      <w:r>
        <w:t xml:space="preserve">relates to a </w:t>
      </w:r>
      <w:r w:rsidRPr="007735F5">
        <w:t xml:space="preserve">new </w:t>
      </w:r>
      <w:r>
        <w:t xml:space="preserve">presentation for lidocaine, </w:t>
      </w:r>
      <w:r w:rsidRPr="007735F5">
        <w:t xml:space="preserve">registered for the use in </w:t>
      </w:r>
      <w:r>
        <w:t>sheep and cattle</w:t>
      </w:r>
      <w:r w:rsidRPr="007735F5">
        <w:t xml:space="preserve"> as a</w:t>
      </w:r>
      <w:r>
        <w:t>n</w:t>
      </w:r>
      <w:r w:rsidRPr="007735F5">
        <w:t xml:space="preserve"> </w:t>
      </w:r>
      <w:r>
        <w:t xml:space="preserve">injectable </w:t>
      </w:r>
      <w:r w:rsidRPr="007735F5">
        <w:t>local anaesthetic</w:t>
      </w:r>
      <w:r>
        <w:t xml:space="preserve"> (2% lidocaine)</w:t>
      </w:r>
      <w:r w:rsidRPr="007735F5">
        <w:t xml:space="preserve">, specifically for lambs </w:t>
      </w:r>
      <w:r>
        <w:t xml:space="preserve">and calves for pain management </w:t>
      </w:r>
      <w:r w:rsidRPr="007735F5">
        <w:t>following</w:t>
      </w:r>
      <w:r>
        <w:t xml:space="preserve"> </w:t>
      </w:r>
      <w:r w:rsidRPr="007735F5">
        <w:t>tail docking and castration</w:t>
      </w:r>
      <w:r>
        <w:t>.</w:t>
      </w:r>
      <w:r w:rsidRPr="00DE6DD5">
        <w:t xml:space="preserve"> </w:t>
      </w:r>
      <w:r>
        <w:t>The proposal includes use of a specialised applicator in conjunction with a rubber ring.</w:t>
      </w:r>
    </w:p>
    <w:p w14:paraId="6DCDFF7E" w14:textId="77777777" w:rsidR="00A25978" w:rsidRDefault="00A25978" w:rsidP="00DC6EC8">
      <w:pPr>
        <w:pStyle w:val="ListBullet"/>
      </w:pPr>
      <w:r>
        <w:t>The previously considered toxicity of lidocaine and the formulation remains unchanged from that associated with the registration of the product currently included in Schedule 4, and the exposure of human handlers to the active constituent is expected to be no greater than currently approved uses.</w:t>
      </w:r>
    </w:p>
    <w:p w14:paraId="12CF7E3C" w14:textId="77777777" w:rsidR="00A25978" w:rsidRDefault="00A25978" w:rsidP="00DC6EC8">
      <w:pPr>
        <w:pStyle w:val="ListBullet"/>
      </w:pPr>
      <w:r w:rsidRPr="004E6E3D">
        <w:t>Numerous products containing lidocaine are available in Australia for both human and veterinary use</w:t>
      </w:r>
      <w:r>
        <w:t xml:space="preserve"> for administration through both topical and parental routes. Some of these products are exempt from Scheduling based on presentation and/or concentration.</w:t>
      </w:r>
    </w:p>
    <w:p w14:paraId="3D2A8835" w14:textId="77777777" w:rsidR="00A25978" w:rsidRDefault="00A25978" w:rsidP="00DC6EC8">
      <w:pPr>
        <w:pStyle w:val="ListBullet"/>
      </w:pPr>
      <w:r>
        <w:t>The intention is that providing the injectable lidocaine in Schedule 5 will contribute to improved animal welfare following procedures known to be painful, through allowing general access to the substance in a similar manner to the devices used for the procedures. T</w:t>
      </w:r>
      <w:r w:rsidRPr="004E6E3D">
        <w:t xml:space="preserve">he relevant </w:t>
      </w:r>
      <w:hyperlink r:id="rId128" w:history="1">
        <w:r w:rsidRPr="00A5425B">
          <w:rPr>
            <w:rStyle w:val="Hyperlink"/>
          </w:rPr>
          <w:t>Australian Animal Welfare Standards and Guidelines</w:t>
        </w:r>
      </w:hyperlink>
      <w:r w:rsidRPr="00331D55">
        <w:rPr>
          <w:rStyle w:val="Hyperlink"/>
        </w:rPr>
        <w:t xml:space="preserve"> </w:t>
      </w:r>
      <w:r>
        <w:t>cover these procedures, and veterinary attendance is not required.</w:t>
      </w:r>
    </w:p>
    <w:p w14:paraId="23B82CE0" w14:textId="77777777" w:rsidR="00A25978" w:rsidRPr="00DE6DD5" w:rsidRDefault="00A25978" w:rsidP="00DC6EC8">
      <w:pPr>
        <w:pStyle w:val="ListBullet"/>
      </w:pPr>
      <w:r>
        <w:t>Ready access of the Schedule 5 product through livestock stores would increase the likelihood of anaesthetic agents being used and the associated benefits.</w:t>
      </w:r>
    </w:p>
    <w:p w14:paraId="6B9E5C1F" w14:textId="77777777" w:rsidR="00A25978" w:rsidRDefault="00A25978" w:rsidP="00A25978">
      <w:pPr>
        <w:pStyle w:val="Heading4"/>
      </w:pPr>
      <w:r w:rsidRPr="00DC5AE0">
        <w:t xml:space="preserve">Australian </w:t>
      </w:r>
      <w:r>
        <w:t>regulations</w:t>
      </w:r>
      <w:r w:rsidRPr="00DC5AE0">
        <w:t xml:space="preserve"> </w:t>
      </w:r>
    </w:p>
    <w:p w14:paraId="35410DCB" w14:textId="77777777" w:rsidR="00A25978" w:rsidRDefault="00A25978" w:rsidP="00DC6EC8">
      <w:pPr>
        <w:pStyle w:val="ListBullet"/>
      </w:pPr>
      <w:r>
        <w:t xml:space="preserve">According to the </w:t>
      </w:r>
      <w:hyperlink r:id="rId129"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97"/>
      </w:r>
      <w:r>
        <w:t xml:space="preserve"> </w:t>
      </w:r>
      <w:r w:rsidRPr="00B808C2">
        <w:t>lidocaine</w:t>
      </w:r>
      <w:r>
        <w:t xml:space="preserve"> is:</w:t>
      </w:r>
    </w:p>
    <w:p w14:paraId="1BBAFA64" w14:textId="77777777" w:rsidR="00A25978" w:rsidRDefault="00A25978" w:rsidP="003C0B32">
      <w:pPr>
        <w:pStyle w:val="ListBullet2"/>
      </w:pPr>
      <w:r>
        <w:t>Available for use as an active ingredient in biologicals, export only, over the counter and prescription medicines, as anhydrous, hydrochloride and hydrochloride monohydrate;</w:t>
      </w:r>
    </w:p>
    <w:p w14:paraId="6F249967" w14:textId="77777777" w:rsidR="00A25978" w:rsidRDefault="00A25978" w:rsidP="003C0B32">
      <w:pPr>
        <w:pStyle w:val="ListBullet2"/>
      </w:pPr>
      <w:r>
        <w:t>Available for use as an excipient in biologicals, devices and prescription medicines, as anyhydrous, hydrochloride and hydrochloride monohydrate;</w:t>
      </w:r>
    </w:p>
    <w:p w14:paraId="6A1E04C5" w14:textId="77777777" w:rsidR="00A25978" w:rsidRDefault="00A25978" w:rsidP="003C0B32">
      <w:pPr>
        <w:pStyle w:val="ListBullet2"/>
      </w:pPr>
      <w:r>
        <w:t>Available as an equivalent ingredient as anhydrous or hydrochloride.</w:t>
      </w:r>
    </w:p>
    <w:p w14:paraId="1CA9D941" w14:textId="77777777" w:rsidR="00A25978" w:rsidRDefault="00A25978" w:rsidP="00DC6EC8">
      <w:pPr>
        <w:pStyle w:val="ListBullet"/>
      </w:pPr>
      <w:r>
        <w:t xml:space="preserve">As of </w:t>
      </w:r>
      <w:r w:rsidRPr="0098143C">
        <w:t>November 2020</w:t>
      </w:r>
      <w:r>
        <w:t>, t</w:t>
      </w:r>
      <w:r w:rsidRPr="00881DFE">
        <w:t xml:space="preserve">here </w:t>
      </w:r>
      <w:r>
        <w:t>were</w:t>
      </w:r>
      <w:r w:rsidRPr="00881DFE">
        <w:t xml:space="preserve"> </w:t>
      </w:r>
      <w:r>
        <w:t>192 medicine</w:t>
      </w:r>
      <w:r w:rsidRPr="00881DFE">
        <w:t xml:space="preserve">s currently active on the </w:t>
      </w:r>
      <w:hyperlink r:id="rId130" w:history="1">
        <w:r w:rsidRPr="00293CCA">
          <w:rPr>
            <w:rStyle w:val="Hyperlink"/>
          </w:rPr>
          <w:t>Australian Register of Therapeutic Goods (ARTG)</w:t>
        </w:r>
      </w:hyperlink>
      <w:r>
        <w:rPr>
          <w:rStyle w:val="FootnoteReference"/>
        </w:rPr>
        <w:footnoteReference w:id="98"/>
      </w:r>
      <w:r>
        <w:t xml:space="preserve"> that contain</w:t>
      </w:r>
      <w:r w:rsidRPr="00881DFE">
        <w:t xml:space="preserve"> </w:t>
      </w:r>
      <w:r>
        <w:t>lidocaine as an active ingredient</w:t>
      </w:r>
      <w:r w:rsidRPr="00881DFE">
        <w:t>.</w:t>
      </w:r>
      <w:r>
        <w:t xml:space="preserve"> These include </w:t>
      </w:r>
      <w:r w:rsidRPr="0098143C">
        <w:t>53</w:t>
      </w:r>
      <w:r>
        <w:t xml:space="preserve"> prescription and </w:t>
      </w:r>
      <w:r w:rsidRPr="0098143C">
        <w:t>82</w:t>
      </w:r>
      <w:r>
        <w:t xml:space="preserve"> non-prescription medicines, 36 devices, and 21 products for export only. Formulations include injections in 0.5%, 1% and 2% strengths (with and without adrenaline), gels in 2%, 2.5% and 5% strengths, ointments in 5% and 10% strengths, creams in 4% and 5% strengths, lotions, oral liquids, jellies, paints, sprays/aerosols, pellets, dermal patches, eye drops and lozenges. </w:t>
      </w:r>
    </w:p>
    <w:p w14:paraId="3B00445E" w14:textId="46CDE681" w:rsidR="00A25978" w:rsidRDefault="00A25978" w:rsidP="00DC6EC8">
      <w:pPr>
        <w:pStyle w:val="ListBullet"/>
      </w:pPr>
      <w:r>
        <w:t>Lidocaine</w:t>
      </w:r>
      <w:r w:rsidRPr="009C55D5">
        <w:t xml:space="preserve"> is not permitted to be included in listed medicines </w:t>
      </w:r>
      <w:r>
        <w:t xml:space="preserve">as it is not included in the </w:t>
      </w:r>
      <w:hyperlink r:id="rId131" w:history="1">
        <w:r w:rsidRPr="00824CAC">
          <w:rPr>
            <w:rStyle w:val="Hyperlink"/>
          </w:rPr>
          <w:t>Therapeutic Goods (Permissible Ingredients) Determination</w:t>
        </w:r>
      </w:hyperlink>
      <w:r>
        <w:rPr>
          <w:rStyle w:val="FootnoteReference"/>
        </w:rPr>
        <w:footnoteReference w:id="99"/>
      </w:r>
      <w:r w:rsidRPr="009C55D5">
        <w:t xml:space="preserve"> No.</w:t>
      </w:r>
      <w:r>
        <w:t>3</w:t>
      </w:r>
      <w:r w:rsidRPr="0098143C">
        <w:t xml:space="preserve"> of 2020</w:t>
      </w:r>
      <w:r w:rsidR="00522086">
        <w:t>.</w:t>
      </w:r>
    </w:p>
    <w:p w14:paraId="144B9501" w14:textId="77777777" w:rsidR="00A25978" w:rsidRDefault="00A25978" w:rsidP="00DC6EC8">
      <w:pPr>
        <w:pStyle w:val="ListBullet"/>
      </w:pPr>
      <w:r>
        <w:t xml:space="preserve">The </w:t>
      </w:r>
      <w:hyperlink r:id="rId132"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00"/>
      </w:r>
      <w:r>
        <w:t xml:space="preserve"> classifies </w:t>
      </w:r>
      <w:r w:rsidRPr="00B808C2">
        <w:t>lidocaine</w:t>
      </w:r>
      <w:r>
        <w:t xml:space="preserve"> as:</w:t>
      </w:r>
    </w:p>
    <w:tbl>
      <w:tblPr>
        <w:tblStyle w:val="TableTGAblue"/>
        <w:tblW w:w="8629" w:type="dxa"/>
        <w:tblInd w:w="392" w:type="dxa"/>
        <w:tblLook w:val="04A0" w:firstRow="1" w:lastRow="0" w:firstColumn="1" w:lastColumn="0" w:noHBand="0" w:noVBand="1"/>
      </w:tblPr>
      <w:tblGrid>
        <w:gridCol w:w="1723"/>
        <w:gridCol w:w="1723"/>
        <w:gridCol w:w="1725"/>
        <w:gridCol w:w="1733"/>
        <w:gridCol w:w="1725"/>
      </w:tblGrid>
      <w:tr w:rsidR="00A25978" w:rsidRPr="00A25978" w14:paraId="42AE7D10" w14:textId="77777777" w:rsidTr="00A25978">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725" w:type="dxa"/>
          </w:tcPr>
          <w:p w14:paraId="32A00C73" w14:textId="77777777" w:rsidR="00A25978" w:rsidRPr="00A25978" w:rsidRDefault="00A25978" w:rsidP="00A25978">
            <w:pPr>
              <w:pStyle w:val="TableParagraph"/>
            </w:pPr>
            <w:r w:rsidRPr="00A25978">
              <w:t>Drug name</w:t>
            </w:r>
          </w:p>
        </w:tc>
        <w:tc>
          <w:tcPr>
            <w:tcW w:w="1726" w:type="dxa"/>
          </w:tcPr>
          <w:p w14:paraId="410A5D63" w14:textId="77777777" w:rsidR="00A25978" w:rsidRPr="00A25978" w:rsidRDefault="00A25978" w:rsidP="00A25978">
            <w:pPr>
              <w:pStyle w:val="TableParagraph"/>
              <w:cnfStyle w:val="100000000000" w:firstRow="1" w:lastRow="0" w:firstColumn="0" w:lastColumn="0" w:oddVBand="0" w:evenVBand="0" w:oddHBand="0" w:evenHBand="0" w:firstRowFirstColumn="0" w:firstRowLastColumn="0" w:lastRowFirstColumn="0" w:lastRowLastColumn="0"/>
            </w:pPr>
            <w:r w:rsidRPr="00A25978">
              <w:t>Category</w:t>
            </w:r>
          </w:p>
        </w:tc>
        <w:tc>
          <w:tcPr>
            <w:tcW w:w="1726" w:type="dxa"/>
          </w:tcPr>
          <w:p w14:paraId="45AD6EFD" w14:textId="77777777" w:rsidR="00A25978" w:rsidRPr="00A25978" w:rsidRDefault="00A25978" w:rsidP="00A25978">
            <w:pPr>
              <w:pStyle w:val="TableParagraph"/>
              <w:cnfStyle w:val="100000000000" w:firstRow="1" w:lastRow="0" w:firstColumn="0" w:lastColumn="0" w:oddVBand="0" w:evenVBand="0" w:oddHBand="0" w:evenHBand="0" w:firstRowFirstColumn="0" w:firstRowLastColumn="0" w:lastRowFirstColumn="0" w:lastRowLastColumn="0"/>
            </w:pPr>
            <w:r w:rsidRPr="00A25978">
              <w:t>Classification Level 1</w:t>
            </w:r>
          </w:p>
        </w:tc>
        <w:tc>
          <w:tcPr>
            <w:tcW w:w="1726" w:type="dxa"/>
          </w:tcPr>
          <w:p w14:paraId="2987B973" w14:textId="77777777" w:rsidR="00A25978" w:rsidRPr="00A25978" w:rsidRDefault="00A25978" w:rsidP="00A25978">
            <w:pPr>
              <w:pStyle w:val="TableParagraph"/>
              <w:cnfStyle w:val="100000000000" w:firstRow="1" w:lastRow="0" w:firstColumn="0" w:lastColumn="0" w:oddVBand="0" w:evenVBand="0" w:oddHBand="0" w:evenHBand="0" w:firstRowFirstColumn="0" w:firstRowLastColumn="0" w:lastRowFirstColumn="0" w:lastRowLastColumn="0"/>
            </w:pPr>
            <w:r w:rsidRPr="00A25978">
              <w:t>Classification Level 2</w:t>
            </w:r>
          </w:p>
        </w:tc>
        <w:tc>
          <w:tcPr>
            <w:tcW w:w="1726" w:type="dxa"/>
          </w:tcPr>
          <w:p w14:paraId="56E24CF0" w14:textId="77777777" w:rsidR="00A25978" w:rsidRPr="00A25978" w:rsidRDefault="00A25978" w:rsidP="00A25978">
            <w:pPr>
              <w:pStyle w:val="TableParagraph"/>
              <w:cnfStyle w:val="100000000000" w:firstRow="1" w:lastRow="0" w:firstColumn="0" w:lastColumn="0" w:oddVBand="0" w:evenVBand="0" w:oddHBand="0" w:evenHBand="0" w:firstRowFirstColumn="0" w:firstRowLastColumn="0" w:lastRowFirstColumn="0" w:lastRowLastColumn="0"/>
            </w:pPr>
            <w:r w:rsidRPr="00A25978">
              <w:t>Classification Level 3</w:t>
            </w:r>
          </w:p>
        </w:tc>
      </w:tr>
      <w:tr w:rsidR="00A25978" w:rsidRPr="00A25978" w14:paraId="036CFEFD" w14:textId="77777777" w:rsidTr="00A25978">
        <w:trPr>
          <w:trHeight w:val="839"/>
        </w:trPr>
        <w:tc>
          <w:tcPr>
            <w:cnfStyle w:val="001000000000" w:firstRow="0" w:lastRow="0" w:firstColumn="1" w:lastColumn="0" w:oddVBand="0" w:evenVBand="0" w:oddHBand="0" w:evenHBand="0" w:firstRowFirstColumn="0" w:firstRowLastColumn="0" w:lastRowFirstColumn="0" w:lastRowLastColumn="0"/>
            <w:tcW w:w="1725" w:type="dxa"/>
          </w:tcPr>
          <w:p w14:paraId="3B009B8A" w14:textId="77777777" w:rsidR="00A25978" w:rsidRPr="00A25978" w:rsidRDefault="00A25978" w:rsidP="00A25978">
            <w:pPr>
              <w:pStyle w:val="TableParagraph"/>
            </w:pPr>
            <w:r w:rsidRPr="00A25978">
              <w:t>Lidocaine</w:t>
            </w:r>
          </w:p>
        </w:tc>
        <w:tc>
          <w:tcPr>
            <w:tcW w:w="1726" w:type="dxa"/>
          </w:tcPr>
          <w:p w14:paraId="215BD6F9"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w:t>
            </w:r>
          </w:p>
        </w:tc>
        <w:tc>
          <w:tcPr>
            <w:tcW w:w="1726" w:type="dxa"/>
          </w:tcPr>
          <w:p w14:paraId="5B52E021"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Cardiovascular System</w:t>
            </w:r>
          </w:p>
        </w:tc>
        <w:tc>
          <w:tcPr>
            <w:tcW w:w="1726" w:type="dxa"/>
          </w:tcPr>
          <w:p w14:paraId="156D2B61"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Antiarrhythmics</w:t>
            </w:r>
          </w:p>
        </w:tc>
        <w:tc>
          <w:tcPr>
            <w:tcW w:w="1726" w:type="dxa"/>
          </w:tcPr>
          <w:p w14:paraId="1825F677"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p>
        </w:tc>
      </w:tr>
      <w:tr w:rsidR="00A25978" w:rsidRPr="00A25978" w14:paraId="5B34D1F7" w14:textId="77777777" w:rsidTr="00A25978">
        <w:trPr>
          <w:trHeight w:val="851"/>
        </w:trPr>
        <w:tc>
          <w:tcPr>
            <w:cnfStyle w:val="001000000000" w:firstRow="0" w:lastRow="0" w:firstColumn="1" w:lastColumn="0" w:oddVBand="0" w:evenVBand="0" w:oddHBand="0" w:evenHBand="0" w:firstRowFirstColumn="0" w:firstRowLastColumn="0" w:lastRowFirstColumn="0" w:lastRowLastColumn="0"/>
            <w:tcW w:w="1725" w:type="dxa"/>
          </w:tcPr>
          <w:p w14:paraId="077ED587" w14:textId="77777777" w:rsidR="00A25978" w:rsidRPr="00A25978" w:rsidRDefault="00A25978" w:rsidP="00A25978">
            <w:pPr>
              <w:pStyle w:val="TableParagraph"/>
            </w:pPr>
            <w:r w:rsidRPr="00A25978">
              <w:t>Lidocaine</w:t>
            </w:r>
          </w:p>
        </w:tc>
        <w:tc>
          <w:tcPr>
            <w:tcW w:w="1726" w:type="dxa"/>
          </w:tcPr>
          <w:p w14:paraId="27D25690"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w:t>
            </w:r>
          </w:p>
        </w:tc>
        <w:tc>
          <w:tcPr>
            <w:tcW w:w="1726" w:type="dxa"/>
          </w:tcPr>
          <w:p w14:paraId="4B4FA6D5"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Drugs Used in Anaesthesia</w:t>
            </w:r>
          </w:p>
        </w:tc>
        <w:tc>
          <w:tcPr>
            <w:tcW w:w="1726" w:type="dxa"/>
          </w:tcPr>
          <w:p w14:paraId="49C00F06"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Local anaesthetics</w:t>
            </w:r>
          </w:p>
        </w:tc>
        <w:tc>
          <w:tcPr>
            <w:tcW w:w="1726" w:type="dxa"/>
          </w:tcPr>
          <w:p w14:paraId="680D2441"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p>
        </w:tc>
      </w:tr>
      <w:tr w:rsidR="00A25978" w:rsidRPr="00A25978" w14:paraId="5EC0A9BF" w14:textId="77777777" w:rsidTr="00A25978">
        <w:trPr>
          <w:trHeight w:val="851"/>
        </w:trPr>
        <w:tc>
          <w:tcPr>
            <w:cnfStyle w:val="001000000000" w:firstRow="0" w:lastRow="0" w:firstColumn="1" w:lastColumn="0" w:oddVBand="0" w:evenVBand="0" w:oddHBand="0" w:evenHBand="0" w:firstRowFirstColumn="0" w:firstRowLastColumn="0" w:lastRowFirstColumn="0" w:lastRowLastColumn="0"/>
            <w:tcW w:w="1725" w:type="dxa"/>
          </w:tcPr>
          <w:p w14:paraId="1467D058" w14:textId="77777777" w:rsidR="00A25978" w:rsidRPr="00A25978" w:rsidRDefault="00A25978" w:rsidP="00A25978">
            <w:pPr>
              <w:pStyle w:val="TableParagraph"/>
            </w:pPr>
            <w:r w:rsidRPr="00A25978">
              <w:t>Lignocaine (lidocaine)</w:t>
            </w:r>
          </w:p>
        </w:tc>
        <w:tc>
          <w:tcPr>
            <w:tcW w:w="1726" w:type="dxa"/>
          </w:tcPr>
          <w:p w14:paraId="6DB06AC0"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w:t>
            </w:r>
          </w:p>
        </w:tc>
        <w:tc>
          <w:tcPr>
            <w:tcW w:w="1726" w:type="dxa"/>
          </w:tcPr>
          <w:p w14:paraId="23FC3D17"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Cardiovascular System</w:t>
            </w:r>
          </w:p>
        </w:tc>
        <w:tc>
          <w:tcPr>
            <w:tcW w:w="1726" w:type="dxa"/>
          </w:tcPr>
          <w:p w14:paraId="1EC06038"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Antiarrhythmics</w:t>
            </w:r>
          </w:p>
        </w:tc>
        <w:tc>
          <w:tcPr>
            <w:tcW w:w="1726" w:type="dxa"/>
          </w:tcPr>
          <w:p w14:paraId="5537F50C"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p>
        </w:tc>
      </w:tr>
      <w:tr w:rsidR="00A25978" w:rsidRPr="00A25978" w14:paraId="4EBD517A" w14:textId="77777777" w:rsidTr="00A25978">
        <w:trPr>
          <w:trHeight w:val="839"/>
        </w:trPr>
        <w:tc>
          <w:tcPr>
            <w:cnfStyle w:val="001000000000" w:firstRow="0" w:lastRow="0" w:firstColumn="1" w:lastColumn="0" w:oddVBand="0" w:evenVBand="0" w:oddHBand="0" w:evenHBand="0" w:firstRowFirstColumn="0" w:firstRowLastColumn="0" w:lastRowFirstColumn="0" w:lastRowLastColumn="0"/>
            <w:tcW w:w="1725" w:type="dxa"/>
          </w:tcPr>
          <w:p w14:paraId="203CDCCE" w14:textId="77777777" w:rsidR="00A25978" w:rsidRPr="00A25978" w:rsidRDefault="00A25978" w:rsidP="00A25978">
            <w:pPr>
              <w:pStyle w:val="TableParagraph"/>
            </w:pPr>
            <w:r w:rsidRPr="00A25978">
              <w:t>Lignocaine (lidocaine)</w:t>
            </w:r>
          </w:p>
        </w:tc>
        <w:tc>
          <w:tcPr>
            <w:tcW w:w="1726" w:type="dxa"/>
          </w:tcPr>
          <w:p w14:paraId="59EF8B33"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A</w:t>
            </w:r>
          </w:p>
        </w:tc>
        <w:tc>
          <w:tcPr>
            <w:tcW w:w="1726" w:type="dxa"/>
          </w:tcPr>
          <w:p w14:paraId="55BBFE7D"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Drugs Used in Anaesthesia</w:t>
            </w:r>
          </w:p>
        </w:tc>
        <w:tc>
          <w:tcPr>
            <w:tcW w:w="1726" w:type="dxa"/>
          </w:tcPr>
          <w:p w14:paraId="281EEEE2"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r w:rsidRPr="00A25978">
              <w:t>Local anaesthetics</w:t>
            </w:r>
          </w:p>
        </w:tc>
        <w:tc>
          <w:tcPr>
            <w:tcW w:w="1726" w:type="dxa"/>
          </w:tcPr>
          <w:p w14:paraId="45BF160A" w14:textId="77777777" w:rsidR="00A25978" w:rsidRPr="00A25978" w:rsidRDefault="00A25978" w:rsidP="00A25978">
            <w:pPr>
              <w:pStyle w:val="TableParagraph"/>
              <w:cnfStyle w:val="000000000000" w:firstRow="0" w:lastRow="0" w:firstColumn="0" w:lastColumn="0" w:oddVBand="0" w:evenVBand="0" w:oddHBand="0" w:evenHBand="0" w:firstRowFirstColumn="0" w:firstRowLastColumn="0" w:lastRowFirstColumn="0" w:lastRowLastColumn="0"/>
            </w:pPr>
          </w:p>
        </w:tc>
      </w:tr>
      <w:tr w:rsidR="00A25978" w:rsidRPr="00A25978" w14:paraId="1C5878A1" w14:textId="77777777" w:rsidTr="00A25978">
        <w:trPr>
          <w:trHeight w:val="851"/>
        </w:trPr>
        <w:tc>
          <w:tcPr>
            <w:cnfStyle w:val="001000000000" w:firstRow="0" w:lastRow="0" w:firstColumn="1" w:lastColumn="0" w:oddVBand="0" w:evenVBand="0" w:oddHBand="0" w:evenHBand="0" w:firstRowFirstColumn="0" w:firstRowLastColumn="0" w:lastRowFirstColumn="0" w:lastRowLastColumn="0"/>
            <w:tcW w:w="8629" w:type="dxa"/>
            <w:gridSpan w:val="5"/>
          </w:tcPr>
          <w:p w14:paraId="4FEB98F9" w14:textId="77777777" w:rsidR="00A25978" w:rsidRPr="00A25978" w:rsidRDefault="00A25978" w:rsidP="00A25978">
            <w:pPr>
              <w:pStyle w:val="TableParagraph"/>
              <w:rPr>
                <w:sz w:val="16"/>
                <w:szCs w:val="16"/>
              </w:rPr>
            </w:pPr>
            <w:r w:rsidRPr="00A25978">
              <w:rPr>
                <w:sz w:val="16"/>
                <w:szCs w:val="16"/>
              </w:rPr>
              <w:t>Category A – Drugs which have been taken by a large number of pregnant women and women of childbearing age without any proven increase in the frequency of malformations or other direct or indirect harmful effects on the foetus having been observed.</w:t>
            </w:r>
          </w:p>
        </w:tc>
      </w:tr>
    </w:tbl>
    <w:p w14:paraId="091868BF" w14:textId="77777777" w:rsidR="00A25978" w:rsidRDefault="00A25978" w:rsidP="00DC6EC8">
      <w:pPr>
        <w:pStyle w:val="ListBullet"/>
      </w:pPr>
      <w:r>
        <w:t>The</w:t>
      </w:r>
      <w:r w:rsidRPr="00AB7BF5">
        <w:t xml:space="preserve"> </w:t>
      </w:r>
      <w:hyperlink r:id="rId133" w:history="1">
        <w:r w:rsidRPr="00AB7BF5">
          <w:rPr>
            <w:rStyle w:val="Hyperlink"/>
          </w:rPr>
          <w:t>Therapeutic Goods (Medicines Advisory Statements) Specification 2019</w:t>
        </w:r>
      </w:hyperlink>
      <w:r>
        <w:rPr>
          <w:rStyle w:val="FootnoteReference"/>
        </w:rPr>
        <w:footnoteReference w:id="101"/>
      </w:r>
      <w:r>
        <w:t xml:space="preserve"> requires</w:t>
      </w:r>
      <w:r w:rsidRPr="00A30084">
        <w:t xml:space="preserve"> the following warning statements pertaining to </w:t>
      </w:r>
      <w:r>
        <w:t>lidocaine</w:t>
      </w:r>
      <w:r w:rsidRPr="00A30084">
        <w:t xml:space="preserve"> to be included on the labelling:</w:t>
      </w:r>
    </w:p>
    <w:tbl>
      <w:tblPr>
        <w:tblStyle w:val="TableTGAblue"/>
        <w:tblW w:w="8646" w:type="dxa"/>
        <w:tblInd w:w="360" w:type="dxa"/>
        <w:tblLook w:val="04A0" w:firstRow="1" w:lastRow="0" w:firstColumn="1" w:lastColumn="0" w:noHBand="0" w:noVBand="1"/>
      </w:tblPr>
      <w:tblGrid>
        <w:gridCol w:w="1866"/>
        <w:gridCol w:w="2104"/>
        <w:gridCol w:w="4676"/>
      </w:tblGrid>
      <w:tr w:rsidR="00A25978" w:rsidRPr="005259E3" w14:paraId="6610A77B" w14:textId="77777777" w:rsidTr="00A25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087719F8" w14:textId="77777777" w:rsidR="00A25978" w:rsidRPr="005259E3" w:rsidRDefault="00A25978" w:rsidP="00A25978">
            <w:pPr>
              <w:pStyle w:val="TableParagraph"/>
              <w:spacing w:after="240"/>
              <w:rPr>
                <w:szCs w:val="20"/>
              </w:rPr>
            </w:pPr>
            <w:r w:rsidRPr="005259E3">
              <w:rPr>
                <w:szCs w:val="20"/>
              </w:rPr>
              <w:t>Substance</w:t>
            </w:r>
          </w:p>
        </w:tc>
        <w:tc>
          <w:tcPr>
            <w:tcW w:w="2104" w:type="dxa"/>
          </w:tcPr>
          <w:p w14:paraId="5C2BE382" w14:textId="77777777" w:rsidR="00A25978" w:rsidRPr="005259E3" w:rsidRDefault="00A25978" w:rsidP="00A25978">
            <w:pPr>
              <w:pStyle w:val="TableParagraph"/>
              <w:spacing w:after="240"/>
              <w:cnfStyle w:val="100000000000" w:firstRow="1" w:lastRow="0" w:firstColumn="0" w:lastColumn="0" w:oddVBand="0" w:evenVBand="0" w:oddHBand="0" w:evenHBand="0" w:firstRowFirstColumn="0" w:firstRowLastColumn="0" w:lastRowFirstColumn="0" w:lastRowLastColumn="0"/>
              <w:rPr>
                <w:szCs w:val="20"/>
              </w:rPr>
            </w:pPr>
            <w:r w:rsidRPr="005259E3">
              <w:rPr>
                <w:szCs w:val="20"/>
              </w:rPr>
              <w:t>Conditions</w:t>
            </w:r>
          </w:p>
        </w:tc>
        <w:tc>
          <w:tcPr>
            <w:tcW w:w="4676" w:type="dxa"/>
          </w:tcPr>
          <w:p w14:paraId="1AC3D6B5" w14:textId="77777777" w:rsidR="00A25978" w:rsidRPr="005259E3" w:rsidRDefault="00A25978" w:rsidP="00A25978">
            <w:pPr>
              <w:pStyle w:val="TableParagraph"/>
              <w:spacing w:after="240"/>
              <w:cnfStyle w:val="100000000000" w:firstRow="1" w:lastRow="0" w:firstColumn="0" w:lastColumn="0" w:oddVBand="0" w:evenVBand="0" w:oddHBand="0" w:evenHBand="0" w:firstRowFirstColumn="0" w:firstRowLastColumn="0" w:lastRowFirstColumn="0" w:lastRowLastColumn="0"/>
              <w:rPr>
                <w:szCs w:val="20"/>
              </w:rPr>
            </w:pPr>
            <w:r w:rsidRPr="005259E3">
              <w:rPr>
                <w:szCs w:val="20"/>
              </w:rPr>
              <w:t>Required Statement(s)</w:t>
            </w:r>
          </w:p>
        </w:tc>
      </w:tr>
      <w:tr w:rsidR="00A25978" w:rsidRPr="005259E3" w14:paraId="5C2B14E1" w14:textId="77777777" w:rsidTr="00A25978">
        <w:tc>
          <w:tcPr>
            <w:cnfStyle w:val="001000000000" w:firstRow="0" w:lastRow="0" w:firstColumn="1" w:lastColumn="0" w:oddVBand="0" w:evenVBand="0" w:oddHBand="0" w:evenHBand="0" w:firstRowFirstColumn="0" w:firstRowLastColumn="0" w:lastRowFirstColumn="0" w:lastRowLastColumn="0"/>
            <w:tcW w:w="1866" w:type="dxa"/>
          </w:tcPr>
          <w:p w14:paraId="27F60FB3" w14:textId="6CB88860" w:rsidR="00A25978" w:rsidRPr="005259E3" w:rsidRDefault="00522086" w:rsidP="00A25978">
            <w:pPr>
              <w:pStyle w:val="TableParagraph"/>
              <w:spacing w:after="240"/>
              <w:rPr>
                <w:szCs w:val="20"/>
              </w:rPr>
            </w:pPr>
            <w:r>
              <w:rPr>
                <w:szCs w:val="20"/>
              </w:rPr>
              <w:t>Lidocaine (lignocaine)</w:t>
            </w:r>
          </w:p>
          <w:p w14:paraId="25C4FCBA" w14:textId="77777777" w:rsidR="00A25978" w:rsidRPr="005259E3" w:rsidRDefault="00A25978" w:rsidP="00A25978">
            <w:pPr>
              <w:pStyle w:val="TableParagraph"/>
              <w:spacing w:after="240"/>
              <w:rPr>
                <w:szCs w:val="20"/>
              </w:rPr>
            </w:pPr>
            <w:r w:rsidRPr="005259E3">
              <w:rPr>
                <w:szCs w:val="20"/>
              </w:rPr>
              <w:t>(</w:t>
            </w:r>
            <w:r w:rsidRPr="005259E3">
              <w:rPr>
                <w:i/>
                <w:szCs w:val="20"/>
              </w:rPr>
              <w:t>Entry 1 of 3</w:t>
            </w:r>
            <w:r w:rsidRPr="005259E3">
              <w:rPr>
                <w:szCs w:val="20"/>
              </w:rPr>
              <w:t>)</w:t>
            </w:r>
          </w:p>
        </w:tc>
        <w:tc>
          <w:tcPr>
            <w:tcW w:w="2104" w:type="dxa"/>
          </w:tcPr>
          <w:p w14:paraId="112035FA"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In dermal preparations containing MORE THAN 2 per cent of total local anaesthetic substances</w:t>
            </w:r>
          </w:p>
        </w:tc>
        <w:tc>
          <w:tcPr>
            <w:tcW w:w="4676" w:type="dxa"/>
          </w:tcPr>
          <w:p w14:paraId="1BC37976" w14:textId="0FE2A42B"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Do not apply to large areas of the body, except on the advic</w:t>
            </w:r>
            <w:r w:rsidR="00522086">
              <w:rPr>
                <w:szCs w:val="20"/>
              </w:rPr>
              <w:t>e of a healthcare practitioner.</w:t>
            </w:r>
          </w:p>
          <w:p w14:paraId="35175BD7"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If skin irritation occurs, discontinue use and seek advice from your doctor or pharmacist.</w:t>
            </w:r>
          </w:p>
        </w:tc>
      </w:tr>
      <w:tr w:rsidR="00A25978" w:rsidRPr="005259E3" w14:paraId="2BA9F8FB" w14:textId="77777777" w:rsidTr="00A25978">
        <w:tc>
          <w:tcPr>
            <w:cnfStyle w:val="001000000000" w:firstRow="0" w:lastRow="0" w:firstColumn="1" w:lastColumn="0" w:oddVBand="0" w:evenVBand="0" w:oddHBand="0" w:evenHBand="0" w:firstRowFirstColumn="0" w:firstRowLastColumn="0" w:lastRowFirstColumn="0" w:lastRowLastColumn="0"/>
            <w:tcW w:w="1866" w:type="dxa"/>
          </w:tcPr>
          <w:p w14:paraId="7BCCEA67" w14:textId="77777777" w:rsidR="00A25978" w:rsidRPr="005259E3" w:rsidRDefault="00A25978" w:rsidP="00A25978">
            <w:pPr>
              <w:pStyle w:val="TableParagraph"/>
              <w:spacing w:after="240"/>
              <w:rPr>
                <w:szCs w:val="20"/>
              </w:rPr>
            </w:pPr>
            <w:r w:rsidRPr="005259E3">
              <w:rPr>
                <w:szCs w:val="20"/>
              </w:rPr>
              <w:t>Lidocaine (lignocaine)</w:t>
            </w:r>
          </w:p>
          <w:p w14:paraId="7F497C7B" w14:textId="77777777" w:rsidR="00A25978" w:rsidRPr="005259E3" w:rsidRDefault="00A25978" w:rsidP="00A25978">
            <w:pPr>
              <w:pStyle w:val="TableParagraph"/>
              <w:spacing w:after="240"/>
              <w:rPr>
                <w:szCs w:val="20"/>
              </w:rPr>
            </w:pPr>
            <w:r w:rsidRPr="005259E3">
              <w:rPr>
                <w:szCs w:val="20"/>
              </w:rPr>
              <w:t>(</w:t>
            </w:r>
            <w:r w:rsidRPr="005259E3">
              <w:rPr>
                <w:i/>
                <w:szCs w:val="20"/>
              </w:rPr>
              <w:t>Entry 2 of 3</w:t>
            </w:r>
            <w:r w:rsidRPr="005259E3">
              <w:rPr>
                <w:szCs w:val="20"/>
              </w:rPr>
              <w:t>)</w:t>
            </w:r>
          </w:p>
        </w:tc>
        <w:tc>
          <w:tcPr>
            <w:tcW w:w="2104" w:type="dxa"/>
          </w:tcPr>
          <w:p w14:paraId="41397FAE"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In dermal preparations containing 2 per cent OR LESS of total local anaesthetic substances</w:t>
            </w:r>
          </w:p>
        </w:tc>
        <w:tc>
          <w:tcPr>
            <w:tcW w:w="4676" w:type="dxa"/>
          </w:tcPr>
          <w:p w14:paraId="55E41FEF"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If skin irritation occurs, discontinue use and seek advice from your doctor or pharmacist.</w:t>
            </w:r>
          </w:p>
        </w:tc>
      </w:tr>
      <w:tr w:rsidR="00A25978" w:rsidRPr="005259E3" w14:paraId="0B14B52C" w14:textId="77777777" w:rsidTr="00A25978">
        <w:tc>
          <w:tcPr>
            <w:cnfStyle w:val="001000000000" w:firstRow="0" w:lastRow="0" w:firstColumn="1" w:lastColumn="0" w:oddVBand="0" w:evenVBand="0" w:oddHBand="0" w:evenHBand="0" w:firstRowFirstColumn="0" w:firstRowLastColumn="0" w:lastRowFirstColumn="0" w:lastRowLastColumn="0"/>
            <w:tcW w:w="1866" w:type="dxa"/>
          </w:tcPr>
          <w:p w14:paraId="32C170E7" w14:textId="77777777" w:rsidR="00A25978" w:rsidRPr="005259E3" w:rsidRDefault="00A25978" w:rsidP="00A25978">
            <w:pPr>
              <w:pStyle w:val="TableParagraph"/>
              <w:spacing w:after="240"/>
              <w:rPr>
                <w:szCs w:val="20"/>
              </w:rPr>
            </w:pPr>
            <w:r w:rsidRPr="005259E3">
              <w:rPr>
                <w:szCs w:val="20"/>
              </w:rPr>
              <w:t>Lidocaine (lignocaine)</w:t>
            </w:r>
          </w:p>
          <w:p w14:paraId="42151ED7" w14:textId="77777777" w:rsidR="00A25978" w:rsidRPr="005259E3" w:rsidRDefault="00A25978" w:rsidP="00A25978">
            <w:pPr>
              <w:pStyle w:val="TableParagraph"/>
              <w:spacing w:after="240"/>
              <w:rPr>
                <w:szCs w:val="20"/>
              </w:rPr>
            </w:pPr>
            <w:r w:rsidRPr="005259E3">
              <w:rPr>
                <w:szCs w:val="20"/>
              </w:rPr>
              <w:t>(</w:t>
            </w:r>
            <w:r w:rsidRPr="005259E3">
              <w:rPr>
                <w:i/>
                <w:szCs w:val="20"/>
              </w:rPr>
              <w:t>Entry 3 of 3</w:t>
            </w:r>
            <w:r w:rsidRPr="005259E3">
              <w:rPr>
                <w:szCs w:val="20"/>
              </w:rPr>
              <w:t>)</w:t>
            </w:r>
          </w:p>
        </w:tc>
        <w:tc>
          <w:tcPr>
            <w:tcW w:w="2104" w:type="dxa"/>
          </w:tcPr>
          <w:p w14:paraId="3F4CFE8A"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In lozenges</w:t>
            </w:r>
          </w:p>
        </w:tc>
        <w:tc>
          <w:tcPr>
            <w:tcW w:w="4676" w:type="dxa"/>
          </w:tcPr>
          <w:p w14:paraId="07CDC535" w14:textId="7E729C15"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Do not take hot food or drink if the mouth feels numb after taking this pr</w:t>
            </w:r>
            <w:r w:rsidR="00522086">
              <w:rPr>
                <w:szCs w:val="20"/>
              </w:rPr>
              <w:t>oduct as it may burn the mouth.</w:t>
            </w:r>
          </w:p>
          <w:p w14:paraId="7C134A42" w14:textId="77777777" w:rsidR="00A25978" w:rsidRPr="005259E3"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259E3">
              <w:rPr>
                <w:szCs w:val="20"/>
              </w:rPr>
              <w:t>Do not give to children under 6 years of age, unless recommended by a doctor, pharmacist or dentist.</w:t>
            </w:r>
          </w:p>
        </w:tc>
      </w:tr>
    </w:tbl>
    <w:p w14:paraId="347721BE" w14:textId="77777777" w:rsidR="00A25978" w:rsidRPr="00BA0867" w:rsidRDefault="00A25978" w:rsidP="00DC6EC8">
      <w:pPr>
        <w:pStyle w:val="ListBullet"/>
      </w:pPr>
      <w:r>
        <w:t>Since January 2010, there have been 261</w:t>
      </w:r>
      <w:r w:rsidRPr="009C55D5">
        <w:t xml:space="preserve"> reports of adverse events for products containing </w:t>
      </w:r>
      <w:r>
        <w:t>lidocaine</w:t>
      </w:r>
      <w:r w:rsidRPr="009C55D5">
        <w:t xml:space="preserve"> as an active ingredient</w:t>
      </w:r>
      <w:r>
        <w:t xml:space="preserve"> on the </w:t>
      </w:r>
      <w:hyperlink r:id="rId134" w:history="1">
        <w:r w:rsidRPr="00F0449C">
          <w:rPr>
            <w:rStyle w:val="Hyperlink"/>
          </w:rPr>
          <w:t>Database of Adverse Event Notifications (DAEN)</w:t>
        </w:r>
      </w:hyperlink>
      <w:r w:rsidRPr="00254E0B">
        <w:t>,</w:t>
      </w:r>
      <w:r w:rsidRPr="00F0449C">
        <w:rPr>
          <w:rStyle w:val="FootnoteReference"/>
        </w:rPr>
        <w:footnoteReference w:id="102"/>
      </w:r>
      <w:r w:rsidRPr="009C55D5">
        <w:t xml:space="preserve"> with </w:t>
      </w:r>
      <w:r>
        <w:t>144</w:t>
      </w:r>
      <w:r w:rsidRPr="009C55D5">
        <w:t xml:space="preserve"> reports where </w:t>
      </w:r>
      <w:r w:rsidRPr="00B808C2">
        <w:t>lidocaine</w:t>
      </w:r>
      <w:r w:rsidRPr="009C55D5">
        <w:t xml:space="preserve"> was the single s</w:t>
      </w:r>
      <w:r>
        <w:t>uspected medicine.</w:t>
      </w:r>
    </w:p>
    <w:p w14:paraId="595637CF" w14:textId="681855AB" w:rsidR="00A25978" w:rsidRDefault="00A25978" w:rsidP="00DC6EC8">
      <w:pPr>
        <w:pStyle w:val="ListBullet"/>
      </w:pPr>
      <w:r>
        <w:t xml:space="preserve">As of </w:t>
      </w:r>
      <w:r w:rsidRPr="00BA0867">
        <w:t>November 2020</w:t>
      </w:r>
      <w:r>
        <w:t>, t</w:t>
      </w:r>
      <w:r w:rsidRPr="00F0449C">
        <w:t xml:space="preserve">here </w:t>
      </w:r>
      <w:r>
        <w:t>were</w:t>
      </w:r>
      <w:r w:rsidRPr="00F0449C">
        <w:t xml:space="preserve"> </w:t>
      </w:r>
      <w:r w:rsidRPr="00BA0867">
        <w:t>no</w:t>
      </w:r>
      <w:r w:rsidRPr="00F0449C">
        <w:t xml:space="preserve"> </w:t>
      </w:r>
      <w:r w:rsidRPr="00B808C2">
        <w:t>products</w:t>
      </w:r>
      <w:r w:rsidRPr="00F0449C">
        <w:t xml:space="preserve"> containing </w:t>
      </w:r>
      <w:r>
        <w:t>lidocaine</w:t>
      </w:r>
      <w:r w:rsidRPr="00F0449C">
        <w:t xml:space="preserve"> listed on the </w:t>
      </w:r>
      <w:hyperlink r:id="rId135"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03"/>
      </w:r>
    </w:p>
    <w:p w14:paraId="5BA7EC78" w14:textId="77777777" w:rsidR="00A25978" w:rsidRPr="00CB687C" w:rsidRDefault="00A25978" w:rsidP="00A25978">
      <w:pPr>
        <w:pStyle w:val="Heading4"/>
      </w:pPr>
      <w:r>
        <w:t>International regulations</w:t>
      </w:r>
    </w:p>
    <w:p w14:paraId="5427A37D" w14:textId="77777777" w:rsidR="00A25978" w:rsidRDefault="00A25978" w:rsidP="00DC6EC8">
      <w:pPr>
        <w:pStyle w:val="ListBullet"/>
      </w:pPr>
      <w:r>
        <w:t xml:space="preserve">According to the </w:t>
      </w:r>
      <w:hyperlink r:id="rId136" w:history="1">
        <w:r w:rsidRPr="00170F51">
          <w:rPr>
            <w:rStyle w:val="Hyperlink"/>
          </w:rPr>
          <w:t>United States Food and Drug Administration Approved Drug Products Database</w:t>
        </w:r>
      </w:hyperlink>
      <w:r w:rsidRPr="00331D55">
        <w:rPr>
          <w:rStyle w:val="FootnoteReference"/>
        </w:rPr>
        <w:footnoteReference w:id="104"/>
      </w:r>
      <w:r>
        <w:t xml:space="preserve">, lidocaine is approved for use as a prescription medicine in the </w:t>
      </w:r>
      <w:r w:rsidRPr="00B808C2">
        <w:t>United</w:t>
      </w:r>
      <w:r>
        <w:t xml:space="preserve"> States.</w:t>
      </w:r>
    </w:p>
    <w:p w14:paraId="0FB7E1D5" w14:textId="77777777" w:rsidR="00A25978" w:rsidRDefault="00A25978" w:rsidP="00DC6EC8">
      <w:pPr>
        <w:pStyle w:val="ListBullet"/>
      </w:pPr>
      <w:r w:rsidRPr="00B808C2">
        <w:rPr>
          <w:rStyle w:val="Hyperlink"/>
        </w:rPr>
        <w:t xml:space="preserve">Lidocaine is approved as an over the counter and prescription medicine in Canada according to the </w:t>
      </w:r>
      <w:hyperlink r:id="rId137" w:history="1">
        <w:r w:rsidRPr="00170F51">
          <w:rPr>
            <w:rStyle w:val="Hyperlink"/>
          </w:rPr>
          <w:t>Canadian (Health Canada) Drug Product Database</w:t>
        </w:r>
      </w:hyperlink>
      <w:r w:rsidRPr="00331D55">
        <w:rPr>
          <w:rStyle w:val="FootnoteReference"/>
        </w:rPr>
        <w:footnoteReference w:id="105"/>
      </w:r>
      <w:r>
        <w:t>.</w:t>
      </w:r>
    </w:p>
    <w:p w14:paraId="1C5F5FAE" w14:textId="77777777" w:rsidR="00A25978" w:rsidRDefault="00A25978" w:rsidP="00DC6EC8">
      <w:pPr>
        <w:pStyle w:val="ListBullet"/>
      </w:pPr>
      <w:r>
        <w:t xml:space="preserve">The </w:t>
      </w:r>
      <w:hyperlink r:id="rId138" w:history="1">
        <w:r w:rsidRPr="00FD6E3E">
          <w:rPr>
            <w:rStyle w:val="Hyperlink"/>
          </w:rPr>
          <w:t>Health Products Regulatory Authority of Ireland</w:t>
        </w:r>
      </w:hyperlink>
      <w:r>
        <w:rPr>
          <w:rStyle w:val="FootnoteReference"/>
        </w:rPr>
        <w:footnoteReference w:id="106"/>
      </w:r>
      <w:r>
        <w:t xml:space="preserve"> lists lidocaine as a </w:t>
      </w:r>
      <w:r w:rsidRPr="00B808C2">
        <w:t>prescription</w:t>
      </w:r>
      <w:r>
        <w:t xml:space="preserve"> only medicine in most formulations, although some preparations (e.g. creams of not more than 5% lidocaine) are available over the counter.</w:t>
      </w:r>
    </w:p>
    <w:p w14:paraId="11E64BA3" w14:textId="77777777" w:rsidR="00A25978" w:rsidRDefault="00A25978" w:rsidP="00DC6EC8">
      <w:pPr>
        <w:pStyle w:val="ListBullet"/>
      </w:pPr>
      <w:r w:rsidRPr="00B808C2">
        <w:t>According</w:t>
      </w:r>
      <w:r>
        <w:t xml:space="preserve"> to the </w:t>
      </w:r>
      <w:hyperlink r:id="rId139" w:history="1">
        <w:r w:rsidRPr="00170F51">
          <w:rPr>
            <w:rStyle w:val="Hyperlink"/>
          </w:rPr>
          <w:t>New Zealand Medicines and Medical Devices Safety Authority (MedSafe</w:t>
        </w:r>
      </w:hyperlink>
      <w:r w:rsidRPr="00170F51">
        <w:t>)</w:t>
      </w:r>
      <w:r>
        <w:rPr>
          <w:rStyle w:val="FootnoteReference"/>
        </w:rPr>
        <w:footnoteReference w:id="107"/>
      </w:r>
      <w:r>
        <w:t>, lidocaine (as lignocaine) is regulated as follows:</w:t>
      </w:r>
    </w:p>
    <w:tbl>
      <w:tblPr>
        <w:tblStyle w:val="TableTGAblue"/>
        <w:tblW w:w="5000" w:type="pct"/>
        <w:tblInd w:w="357" w:type="dxa"/>
        <w:tblLook w:val="04A0" w:firstRow="1" w:lastRow="0" w:firstColumn="1" w:lastColumn="0" w:noHBand="0" w:noVBand="1"/>
      </w:tblPr>
      <w:tblGrid>
        <w:gridCol w:w="1705"/>
        <w:gridCol w:w="5379"/>
        <w:gridCol w:w="1966"/>
      </w:tblGrid>
      <w:tr w:rsidR="00A25978" w14:paraId="1F5226FB" w14:textId="77777777" w:rsidTr="00A25978">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942" w:type="pct"/>
          </w:tcPr>
          <w:p w14:paraId="4AF0733F" w14:textId="77777777" w:rsidR="00A25978" w:rsidRPr="00702170" w:rsidRDefault="00A25978" w:rsidP="00A25978">
            <w:pPr>
              <w:pStyle w:val="TableParagraph"/>
              <w:spacing w:after="240"/>
            </w:pPr>
            <w:r>
              <w:t>Ingredient</w:t>
            </w:r>
          </w:p>
        </w:tc>
        <w:tc>
          <w:tcPr>
            <w:tcW w:w="2972" w:type="pct"/>
          </w:tcPr>
          <w:p w14:paraId="05821939" w14:textId="77777777" w:rsidR="00A25978" w:rsidRPr="00702170" w:rsidRDefault="00A25978" w:rsidP="00A25978">
            <w:pPr>
              <w:pStyle w:val="TableParagraph"/>
              <w:spacing w:after="240"/>
              <w:cnfStyle w:val="100000000000" w:firstRow="1" w:lastRow="0" w:firstColumn="0" w:lastColumn="0" w:oddVBand="0" w:evenVBand="0" w:oddHBand="0" w:evenHBand="0" w:firstRowFirstColumn="0" w:firstRowLastColumn="0" w:lastRowFirstColumn="0" w:lastRowLastColumn="0"/>
            </w:pPr>
            <w:r w:rsidRPr="00702170">
              <w:t>Conditions</w:t>
            </w:r>
          </w:p>
        </w:tc>
        <w:tc>
          <w:tcPr>
            <w:tcW w:w="1086" w:type="pct"/>
          </w:tcPr>
          <w:p w14:paraId="6B0E514F" w14:textId="77777777" w:rsidR="00A25978" w:rsidRPr="00702170" w:rsidRDefault="00A25978" w:rsidP="00A25978">
            <w:pPr>
              <w:pStyle w:val="TableParagraph"/>
              <w:spacing w:after="240"/>
              <w:cnfStyle w:val="100000000000" w:firstRow="1" w:lastRow="0" w:firstColumn="0" w:lastColumn="0" w:oddVBand="0" w:evenVBand="0" w:oddHBand="0" w:evenHBand="0" w:firstRowFirstColumn="0" w:firstRowLastColumn="0" w:lastRowFirstColumn="0" w:lastRowLastColumn="0"/>
            </w:pPr>
            <w:r>
              <w:t>Classification</w:t>
            </w:r>
          </w:p>
        </w:tc>
      </w:tr>
      <w:tr w:rsidR="00A25978" w14:paraId="68F7430E" w14:textId="77777777" w:rsidTr="00A25978">
        <w:tc>
          <w:tcPr>
            <w:cnfStyle w:val="001000000000" w:firstRow="0" w:lastRow="0" w:firstColumn="1" w:lastColumn="0" w:oddVBand="0" w:evenVBand="0" w:oddHBand="0" w:evenHBand="0" w:firstRowFirstColumn="0" w:firstRowLastColumn="0" w:lastRowFirstColumn="0" w:lastRowLastColumn="0"/>
            <w:tcW w:w="942" w:type="pct"/>
          </w:tcPr>
          <w:p w14:paraId="2DAE3896" w14:textId="77777777" w:rsidR="00A25978" w:rsidRPr="00593B6B" w:rsidRDefault="00A25978" w:rsidP="00A25978">
            <w:pPr>
              <w:pStyle w:val="TableParagraph"/>
              <w:spacing w:after="240"/>
              <w:rPr>
                <w:szCs w:val="20"/>
              </w:rPr>
            </w:pPr>
            <w:r w:rsidRPr="00593B6B">
              <w:rPr>
                <w:szCs w:val="20"/>
              </w:rPr>
              <w:t>Lignocaine</w:t>
            </w:r>
          </w:p>
        </w:tc>
        <w:tc>
          <w:tcPr>
            <w:tcW w:w="2972" w:type="pct"/>
          </w:tcPr>
          <w:p w14:paraId="0FBD9E53" w14:textId="77777777" w:rsidR="00A25978" w:rsidRPr="00593B6B" w:rsidRDefault="00A25978" w:rsidP="003C0B32">
            <w:pPr>
              <w:pStyle w:val="TableParagraph"/>
              <w:spacing w:after="240" w:line="276" w:lineRule="auto"/>
              <w:cnfStyle w:val="000000000000" w:firstRow="0" w:lastRow="0" w:firstColumn="0" w:lastColumn="0" w:oddVBand="0" w:evenVBand="0" w:oddHBand="0" w:evenHBand="0" w:firstRowFirstColumn="0" w:firstRowLastColumn="0" w:lastRowFirstColumn="0" w:lastRowLastColumn="0"/>
              <w:rPr>
                <w:szCs w:val="20"/>
              </w:rPr>
            </w:pPr>
            <w:r w:rsidRPr="00593B6B">
              <w:rPr>
                <w:szCs w:val="20"/>
              </w:rPr>
              <w:t xml:space="preserve">for injection </w:t>
            </w:r>
            <w:r w:rsidRPr="00DC6EC8">
              <w:rPr>
                <w:b/>
                <w:szCs w:val="20"/>
              </w:rPr>
              <w:t>except</w:t>
            </w:r>
            <w:r w:rsidRPr="00593B6B">
              <w:rPr>
                <w:szCs w:val="20"/>
              </w:rPr>
              <w:t xml:space="preserve"> when used as a local anaesthetic in practice by a nurse whose scope of practice permits the performance of general nursing functions or by a podiatrist registered with the Podiatry Board or by a dental therapist or oral health therapist registered with the Dental Council;</w:t>
            </w:r>
            <w:r w:rsidRPr="00593B6B">
              <w:rPr>
                <w:szCs w:val="20"/>
              </w:rPr>
              <w:br/>
              <w:t xml:space="preserve">for ophthalmic use </w:t>
            </w:r>
            <w:r w:rsidRPr="00DC6EC8">
              <w:rPr>
                <w:b/>
                <w:szCs w:val="20"/>
              </w:rPr>
              <w:t>except</w:t>
            </w:r>
            <w:r w:rsidRPr="00593B6B">
              <w:rPr>
                <w:szCs w:val="20"/>
              </w:rPr>
              <w:t xml:space="preserve"> when used in practice by an optometrist registered with the Optometrists and Dispensing Opticians Board;</w:t>
            </w:r>
            <w:r w:rsidRPr="00593B6B">
              <w:rPr>
                <w:szCs w:val="20"/>
              </w:rPr>
              <w:br/>
              <w:t xml:space="preserve">for oral use </w:t>
            </w:r>
            <w:r w:rsidRPr="00DC6EC8">
              <w:rPr>
                <w:b/>
                <w:szCs w:val="20"/>
              </w:rPr>
              <w:t>except</w:t>
            </w:r>
            <w:r w:rsidRPr="00593B6B">
              <w:rPr>
                <w:szCs w:val="20"/>
              </w:rPr>
              <w:t xml:space="preserve"> in throat lozenges in medicines containing 30 milligrams or less per dose form;</w:t>
            </w:r>
            <w:r w:rsidRPr="00593B6B">
              <w:rPr>
                <w:szCs w:val="20"/>
              </w:rPr>
              <w:br/>
              <w:t>for external use in medicines containing more than 10%;</w:t>
            </w:r>
            <w:r w:rsidRPr="00593B6B">
              <w:rPr>
                <w:szCs w:val="20"/>
              </w:rPr>
              <w:br/>
            </w:r>
            <w:r w:rsidRPr="00DC6EC8">
              <w:rPr>
                <w:b/>
                <w:szCs w:val="20"/>
              </w:rPr>
              <w:t>except</w:t>
            </w:r>
            <w:r w:rsidRPr="00593B6B">
              <w:rPr>
                <w:szCs w:val="20"/>
              </w:rPr>
              <w:t xml:space="preserve"> in throat sprays in medicines containing 2% or less;</w:t>
            </w:r>
            <w:r w:rsidRPr="00593B6B">
              <w:rPr>
                <w:szCs w:val="20"/>
              </w:rPr>
              <w:br/>
            </w:r>
            <w:r w:rsidRPr="00DC6EC8">
              <w:rPr>
                <w:b/>
                <w:szCs w:val="20"/>
              </w:rPr>
              <w:t>except</w:t>
            </w:r>
            <w:r w:rsidRPr="00593B6B">
              <w:rPr>
                <w:szCs w:val="20"/>
              </w:rPr>
              <w:t xml:space="preserve"> when specified elsewhere in this schedule</w:t>
            </w:r>
          </w:p>
        </w:tc>
        <w:tc>
          <w:tcPr>
            <w:tcW w:w="1086" w:type="pct"/>
          </w:tcPr>
          <w:p w14:paraId="786F82BB" w14:textId="77777777" w:rsidR="00A25978" w:rsidRPr="00593B6B"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93B6B">
              <w:rPr>
                <w:szCs w:val="20"/>
              </w:rPr>
              <w:t>Prescription</w:t>
            </w:r>
          </w:p>
        </w:tc>
      </w:tr>
      <w:tr w:rsidR="00A25978" w14:paraId="33FCEFD0" w14:textId="77777777" w:rsidTr="00A25978">
        <w:tc>
          <w:tcPr>
            <w:cnfStyle w:val="001000000000" w:firstRow="0" w:lastRow="0" w:firstColumn="1" w:lastColumn="0" w:oddVBand="0" w:evenVBand="0" w:oddHBand="0" w:evenHBand="0" w:firstRowFirstColumn="0" w:firstRowLastColumn="0" w:lastRowFirstColumn="0" w:lastRowLastColumn="0"/>
            <w:tcW w:w="942" w:type="pct"/>
          </w:tcPr>
          <w:p w14:paraId="70D46B7D" w14:textId="77777777" w:rsidR="00A25978" w:rsidRPr="00593B6B" w:rsidRDefault="00A25978" w:rsidP="00A25978">
            <w:pPr>
              <w:pStyle w:val="TableParagraph"/>
              <w:spacing w:after="240"/>
              <w:rPr>
                <w:szCs w:val="20"/>
              </w:rPr>
            </w:pPr>
            <w:r w:rsidRPr="00593B6B">
              <w:rPr>
                <w:szCs w:val="20"/>
              </w:rPr>
              <w:t>Lignocaine</w:t>
            </w:r>
          </w:p>
        </w:tc>
        <w:tc>
          <w:tcPr>
            <w:tcW w:w="2972" w:type="pct"/>
          </w:tcPr>
          <w:p w14:paraId="202CA0D5" w14:textId="77777777" w:rsidR="00A25978" w:rsidRPr="00593B6B"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93B6B">
              <w:rPr>
                <w:szCs w:val="20"/>
              </w:rPr>
              <w:t>for urethral use;</w:t>
            </w:r>
            <w:r w:rsidRPr="00593B6B">
              <w:rPr>
                <w:szCs w:val="20"/>
              </w:rPr>
              <w:br/>
              <w:t>for external use in medicines containing 10% or less and more than 2%</w:t>
            </w:r>
          </w:p>
        </w:tc>
        <w:tc>
          <w:tcPr>
            <w:tcW w:w="1086" w:type="pct"/>
          </w:tcPr>
          <w:p w14:paraId="6B22E01F" w14:textId="77777777" w:rsidR="00A25978" w:rsidRPr="00593B6B"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93B6B">
              <w:rPr>
                <w:szCs w:val="20"/>
              </w:rPr>
              <w:t>Pharmacy Only</w:t>
            </w:r>
          </w:p>
        </w:tc>
      </w:tr>
      <w:tr w:rsidR="00A25978" w14:paraId="7C7E249D" w14:textId="77777777" w:rsidTr="00A25978">
        <w:tc>
          <w:tcPr>
            <w:cnfStyle w:val="001000000000" w:firstRow="0" w:lastRow="0" w:firstColumn="1" w:lastColumn="0" w:oddVBand="0" w:evenVBand="0" w:oddHBand="0" w:evenHBand="0" w:firstRowFirstColumn="0" w:firstRowLastColumn="0" w:lastRowFirstColumn="0" w:lastRowLastColumn="0"/>
            <w:tcW w:w="942" w:type="pct"/>
          </w:tcPr>
          <w:p w14:paraId="0988BD6E" w14:textId="77777777" w:rsidR="00A25978" w:rsidRPr="00593B6B" w:rsidRDefault="00A25978" w:rsidP="00A25978">
            <w:pPr>
              <w:pStyle w:val="TableParagraph"/>
              <w:spacing w:after="240"/>
              <w:rPr>
                <w:szCs w:val="20"/>
              </w:rPr>
            </w:pPr>
            <w:r w:rsidRPr="00593B6B">
              <w:rPr>
                <w:szCs w:val="20"/>
              </w:rPr>
              <w:t>Lignocaine</w:t>
            </w:r>
          </w:p>
        </w:tc>
        <w:tc>
          <w:tcPr>
            <w:tcW w:w="2972" w:type="pct"/>
          </w:tcPr>
          <w:p w14:paraId="5DD7E7A5" w14:textId="77777777" w:rsidR="00A25978" w:rsidRPr="00593B6B"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93B6B">
              <w:rPr>
                <w:szCs w:val="20"/>
              </w:rPr>
              <w:t>in throat lozenges in medicines containing 30 milligrams or less per dose form;</w:t>
            </w:r>
            <w:r w:rsidRPr="00593B6B">
              <w:rPr>
                <w:szCs w:val="20"/>
              </w:rPr>
              <w:br/>
              <w:t>for external use in medicines containing 2% or less;</w:t>
            </w:r>
            <w:r w:rsidRPr="00593B6B">
              <w:rPr>
                <w:szCs w:val="20"/>
              </w:rPr>
              <w:br/>
              <w:t>in throat sprays in medicines containing 2% or less</w:t>
            </w:r>
          </w:p>
        </w:tc>
        <w:tc>
          <w:tcPr>
            <w:tcW w:w="1086" w:type="pct"/>
          </w:tcPr>
          <w:p w14:paraId="3EDE981B" w14:textId="77777777" w:rsidR="00A25978" w:rsidRPr="00593B6B" w:rsidRDefault="00A25978" w:rsidP="00A25978">
            <w:pPr>
              <w:pStyle w:val="TableParagraph"/>
              <w:spacing w:after="240"/>
              <w:cnfStyle w:val="000000000000" w:firstRow="0" w:lastRow="0" w:firstColumn="0" w:lastColumn="0" w:oddVBand="0" w:evenVBand="0" w:oddHBand="0" w:evenHBand="0" w:firstRowFirstColumn="0" w:firstRowLastColumn="0" w:lastRowFirstColumn="0" w:lastRowLastColumn="0"/>
              <w:rPr>
                <w:szCs w:val="20"/>
              </w:rPr>
            </w:pPr>
            <w:r w:rsidRPr="00593B6B">
              <w:rPr>
                <w:szCs w:val="20"/>
              </w:rPr>
              <w:t>General Sale</w:t>
            </w:r>
          </w:p>
        </w:tc>
      </w:tr>
    </w:tbl>
    <w:p w14:paraId="10863DB2" w14:textId="77777777" w:rsidR="000B71FE" w:rsidRDefault="000B71FE" w:rsidP="000B71FE">
      <w:pPr>
        <w:pStyle w:val="Heading3"/>
      </w:pPr>
      <w:bookmarkStart w:id="27" w:name="_Toc56501004"/>
      <w:bookmarkStart w:id="28" w:name="_Toc58534485"/>
      <w:bookmarkStart w:id="29" w:name="_Toc59540958"/>
      <w:bookmarkStart w:id="30" w:name="_Toc56501005"/>
      <w:r>
        <w:t>Nitrous oxide</w:t>
      </w:r>
      <w:bookmarkEnd w:id="27"/>
      <w:bookmarkEnd w:id="28"/>
      <w:bookmarkEnd w:id="29"/>
    </w:p>
    <w:p w14:paraId="08F9A2D8" w14:textId="77777777" w:rsidR="000B71FE" w:rsidRDefault="000B71FE" w:rsidP="000B71FE">
      <w:pPr>
        <w:pStyle w:val="Heading4"/>
      </w:pPr>
      <w:r>
        <w:t>Proposal</w:t>
      </w:r>
    </w:p>
    <w:p w14:paraId="6BE8EF64" w14:textId="34119CD7" w:rsidR="000B71FE" w:rsidRDefault="000B71FE" w:rsidP="000B71FE">
      <w:r>
        <w:t>A new Schedule 10 entry for nitrous oxide when not included in Schedule 4 for therapeutic use.</w:t>
      </w:r>
    </w:p>
    <w:p w14:paraId="6234AEA3" w14:textId="77777777" w:rsidR="000B71FE" w:rsidRDefault="000B71FE" w:rsidP="000B71FE">
      <w:pPr>
        <w:pStyle w:val="Heading4"/>
      </w:pPr>
      <w:r>
        <w:t>CAS Number:</w:t>
      </w:r>
    </w:p>
    <w:p w14:paraId="1A1C7EDB" w14:textId="77777777" w:rsidR="000B71FE" w:rsidRDefault="000B71FE" w:rsidP="000B71FE">
      <w:r w:rsidRPr="007D7441">
        <w:t>10024-97-2</w:t>
      </w:r>
    </w:p>
    <w:p w14:paraId="523B50A7" w14:textId="77777777" w:rsidR="000B71FE" w:rsidRDefault="000B71FE" w:rsidP="000B71FE">
      <w:pPr>
        <w:pStyle w:val="Heading4"/>
      </w:pPr>
      <w:r>
        <w:t>Alternative names</w:t>
      </w:r>
    </w:p>
    <w:p w14:paraId="4892003E" w14:textId="77777777" w:rsidR="000B71FE" w:rsidRDefault="000B71FE" w:rsidP="000B71FE">
      <w:pPr>
        <w:rPr>
          <w:b/>
          <w:bCs/>
        </w:rPr>
      </w:pPr>
      <w:r w:rsidRPr="007D7441">
        <w:t>Nitrogen oxide</w:t>
      </w:r>
      <w:r>
        <w:rPr>
          <w:b/>
          <w:bCs/>
        </w:rPr>
        <w:t xml:space="preserve">; </w:t>
      </w:r>
      <w:r w:rsidRPr="007D7441">
        <w:t>dinitrogen monoxide; laughing gas; hyponitrous acid anhydride; factitious air</w:t>
      </w:r>
    </w:p>
    <w:p w14:paraId="242021BE" w14:textId="77777777" w:rsidR="000B71FE" w:rsidRDefault="000B71FE" w:rsidP="000B71FE">
      <w:pPr>
        <w:pStyle w:val="Heading4"/>
      </w:pPr>
      <w:r>
        <w:t>Applicant</w:t>
      </w:r>
    </w:p>
    <w:p w14:paraId="7FBB39FB" w14:textId="77777777" w:rsidR="000B71FE" w:rsidRDefault="000B71FE" w:rsidP="000B71FE">
      <w:r w:rsidRPr="0015241F">
        <w:t>Private applicant</w:t>
      </w:r>
    </w:p>
    <w:p w14:paraId="4CAC48B8" w14:textId="77777777" w:rsidR="000B71FE" w:rsidRDefault="000B71FE" w:rsidP="000B71FE">
      <w:pPr>
        <w:pStyle w:val="Heading4"/>
      </w:pPr>
      <w:r>
        <w:t>Current scheduling</w:t>
      </w:r>
    </w:p>
    <w:p w14:paraId="086EA279" w14:textId="77777777" w:rsidR="000B71FE" w:rsidRDefault="000B71FE" w:rsidP="000B71FE">
      <w:r w:rsidRPr="009A001C">
        <w:t>Nitrous oxide is currently in Schedule 4 of the Poisons Standard as follows:</w:t>
      </w:r>
    </w:p>
    <w:p w14:paraId="175BB774" w14:textId="77777777" w:rsidR="000B71FE" w:rsidRPr="009A001C" w:rsidRDefault="000B71FE" w:rsidP="000B71FE">
      <w:pPr>
        <w:ind w:left="426"/>
        <w:rPr>
          <w:b/>
        </w:rPr>
      </w:pPr>
      <w:r w:rsidRPr="009A001C">
        <w:rPr>
          <w:b/>
        </w:rPr>
        <w:t>Schedule 4</w:t>
      </w:r>
    </w:p>
    <w:p w14:paraId="34999929" w14:textId="77777777" w:rsidR="000B71FE" w:rsidRDefault="000B71FE" w:rsidP="000B71FE">
      <w:pPr>
        <w:ind w:left="426"/>
      </w:pPr>
      <w:r>
        <w:t>NITROUS OXIDE for human therapeutic use.</w:t>
      </w:r>
    </w:p>
    <w:p w14:paraId="03958055" w14:textId="2033D977" w:rsidR="000B71FE" w:rsidRDefault="0023449A" w:rsidP="000B71FE">
      <w:pPr>
        <w:pStyle w:val="Heading4"/>
      </w:pPr>
      <w:r>
        <w:t>Proposed scheduling</w:t>
      </w:r>
    </w:p>
    <w:p w14:paraId="681A155D" w14:textId="77777777" w:rsidR="00821454" w:rsidRDefault="00821454" w:rsidP="00821454">
      <w:pPr>
        <w:rPr>
          <w:sz w:val="20"/>
          <w:lang w:eastAsia="en-AU"/>
        </w:rPr>
      </w:pPr>
      <w:r>
        <w:t xml:space="preserve">An application has been made to create a new Schedule 10 entry for nitrous oxide for non-therapeutic purposes. </w:t>
      </w:r>
    </w:p>
    <w:p w14:paraId="189B3AAB" w14:textId="1B6ADCAB" w:rsidR="007D71BC" w:rsidRDefault="007D71BC" w:rsidP="007D71BC">
      <w:pPr>
        <w:ind w:left="426" w:hanging="142"/>
        <w:rPr>
          <w:rFonts w:eastAsiaTheme="minorHAnsi"/>
          <w:b/>
          <w:bCs/>
          <w:color w:val="FF0000"/>
          <w:sz w:val="20"/>
          <w:lang w:eastAsia="en-AU"/>
        </w:rPr>
      </w:pPr>
      <w:r>
        <w:rPr>
          <w:rFonts w:eastAsiaTheme="minorHAnsi"/>
          <w:b/>
          <w:bCs/>
          <w:color w:val="FF0000"/>
        </w:rPr>
        <w:t>Schedule 10 – New Entry</w:t>
      </w:r>
    </w:p>
    <w:p w14:paraId="162665E6" w14:textId="77777777" w:rsidR="007D71BC" w:rsidRDefault="007D71BC" w:rsidP="007D71BC">
      <w:pPr>
        <w:ind w:left="426"/>
        <w:rPr>
          <w:rFonts w:eastAsiaTheme="minorHAnsi"/>
          <w:color w:val="FF0000"/>
        </w:rPr>
      </w:pPr>
      <w:r>
        <w:rPr>
          <w:rFonts w:eastAsiaTheme="minorHAnsi"/>
          <w:color w:val="FF0000"/>
        </w:rPr>
        <w:t xml:space="preserve">NITROUS OXIDE </w:t>
      </w:r>
      <w:r>
        <w:rPr>
          <w:rFonts w:eastAsiaTheme="minorHAnsi"/>
          <w:b/>
          <w:bCs/>
          <w:color w:val="FF0000"/>
        </w:rPr>
        <w:t>except</w:t>
      </w:r>
      <w:r w:rsidRPr="0023449A">
        <w:rPr>
          <w:rFonts w:eastAsiaTheme="minorHAnsi"/>
          <w:b/>
          <w:bCs/>
          <w:color w:val="FF0000"/>
        </w:rPr>
        <w:t>:</w:t>
      </w:r>
    </w:p>
    <w:p w14:paraId="5A1FEFBC" w14:textId="65B8854C" w:rsidR="007D71BC" w:rsidRDefault="0023449A" w:rsidP="0023449A">
      <w:pPr>
        <w:pStyle w:val="Numberbulletreda"/>
        <w:numPr>
          <w:ilvl w:val="0"/>
          <w:numId w:val="23"/>
        </w:numPr>
        <w:ind w:left="851" w:hanging="425"/>
      </w:pPr>
      <w:r>
        <w:t>when included in Schedule 4; or</w:t>
      </w:r>
    </w:p>
    <w:p w14:paraId="163CEE91" w14:textId="77A1E262" w:rsidR="007D71BC" w:rsidRDefault="007D71BC" w:rsidP="0023449A">
      <w:pPr>
        <w:pStyle w:val="Numberbulletreda"/>
        <w:ind w:left="851" w:hanging="425"/>
      </w:pPr>
      <w:r>
        <w:t>supplied in containers greater than 50 cm</w:t>
      </w:r>
      <w:r>
        <w:rPr>
          <w:vertAlign w:val="superscript"/>
        </w:rPr>
        <w:t>3</w:t>
      </w:r>
      <w:r>
        <w:t>; or</w:t>
      </w:r>
    </w:p>
    <w:p w14:paraId="3A990066" w14:textId="6FEA7947" w:rsidR="007D71BC" w:rsidRDefault="007D71BC" w:rsidP="0023449A">
      <w:pPr>
        <w:pStyle w:val="Numberbulletreda"/>
        <w:ind w:left="851" w:hanging="437"/>
      </w:pPr>
      <w:r>
        <w:t>supplied in a gaseous preparation al</w:t>
      </w:r>
      <w:r w:rsidR="0023449A">
        <w:t>one in 10g or greater quantity.</w:t>
      </w:r>
    </w:p>
    <w:p w14:paraId="715D2533" w14:textId="77777777" w:rsidR="00821454" w:rsidRDefault="00821454" w:rsidP="00821454">
      <w:pPr>
        <w:ind w:left="426"/>
        <w:rPr>
          <w:b/>
          <w:bCs/>
        </w:rPr>
      </w:pPr>
      <w:r>
        <w:rPr>
          <w:b/>
          <w:bCs/>
        </w:rPr>
        <w:t>Schedule 4</w:t>
      </w:r>
    </w:p>
    <w:p w14:paraId="1D68F85C" w14:textId="334A20B7" w:rsidR="00821454" w:rsidRDefault="00821454" w:rsidP="00821454">
      <w:pPr>
        <w:ind w:left="426"/>
        <w:rPr>
          <w:b/>
          <w:bCs/>
        </w:rPr>
      </w:pPr>
      <w:r>
        <w:t>NITROUS OXIDE for human therapeutic use</w:t>
      </w:r>
    </w:p>
    <w:p w14:paraId="660E31A9" w14:textId="77777777" w:rsidR="000B71FE" w:rsidRPr="003F236C" w:rsidRDefault="000B71FE" w:rsidP="000B71FE">
      <w:pPr>
        <w:ind w:left="426"/>
        <w:rPr>
          <w:b/>
        </w:rPr>
      </w:pPr>
      <w:r w:rsidRPr="003F236C">
        <w:rPr>
          <w:b/>
        </w:rPr>
        <w:t>Index – Amend Entry</w:t>
      </w:r>
    </w:p>
    <w:p w14:paraId="499400C1" w14:textId="77777777" w:rsidR="000B71FE" w:rsidRDefault="000B71FE" w:rsidP="000B71FE">
      <w:pPr>
        <w:ind w:left="426"/>
      </w:pPr>
      <w:r>
        <w:t>NITROUS OXIDE</w:t>
      </w:r>
    </w:p>
    <w:p w14:paraId="4DEDB638" w14:textId="0BF3E198" w:rsidR="000B71FE" w:rsidRDefault="000B71FE" w:rsidP="000B71FE">
      <w:pPr>
        <w:spacing w:after="0"/>
        <w:ind w:left="426"/>
      </w:pPr>
      <w:r>
        <w:rPr>
          <w:color w:val="FF0000"/>
        </w:rPr>
        <w:t>Schedule 10</w:t>
      </w:r>
      <w:r>
        <w:rPr>
          <w:color w:val="FF0000"/>
        </w:rPr>
        <w:br/>
      </w:r>
      <w:r>
        <w:t>Schedule 4</w:t>
      </w:r>
    </w:p>
    <w:p w14:paraId="33744E79" w14:textId="77777777" w:rsidR="000B71FE" w:rsidRDefault="000B71FE" w:rsidP="000B71FE">
      <w:pPr>
        <w:pStyle w:val="Heading4"/>
      </w:pPr>
      <w:r>
        <w:t>Key uses / expected use</w:t>
      </w:r>
    </w:p>
    <w:p w14:paraId="0FF3406A" w14:textId="77777777" w:rsidR="000B71FE" w:rsidRDefault="000B71FE" w:rsidP="000B71FE">
      <w:r w:rsidRPr="009A001C">
        <w:t>Medicines</w:t>
      </w:r>
      <w:r>
        <w:t xml:space="preserve"> (inhalant anaesthetic)</w:t>
      </w:r>
      <w:r w:rsidRPr="009A001C">
        <w:t>, industrial use</w:t>
      </w:r>
    </w:p>
    <w:p w14:paraId="01FAEECA" w14:textId="77777777" w:rsidR="000B71FE" w:rsidRPr="00482BFC" w:rsidRDefault="000B71FE" w:rsidP="000B71FE">
      <w:pPr>
        <w:pStyle w:val="Heading4"/>
      </w:pPr>
      <w:r>
        <w:t>Application summary - rea</w:t>
      </w:r>
      <w:r w:rsidRPr="00482BFC">
        <w:t>sons for proposal</w:t>
      </w:r>
    </w:p>
    <w:p w14:paraId="12A76B6A" w14:textId="77777777" w:rsidR="000B71FE" w:rsidRDefault="000B71FE" w:rsidP="000B71FE">
      <w:pPr>
        <w:pStyle w:val="ListBullet"/>
      </w:pPr>
      <w:r>
        <w:t>Nitrous oxide is a non-flammable gas that is used as an anaesthetic during surgery and dentistry, but also has non-therapeutic applications in food and engineering</w:t>
      </w:r>
      <w:r w:rsidRPr="00482BFC">
        <w:t>.</w:t>
      </w:r>
      <w:r>
        <w:t xml:space="preserve"> Small canisters are used as a propellant for the purposes of preparing whipped cream, and are legally available for purchase in person or online. Nitrous oxide has superior properties for this purpose compared to other substances.</w:t>
      </w:r>
    </w:p>
    <w:p w14:paraId="3BD0858C" w14:textId="4808296F" w:rsidR="000B71FE" w:rsidRDefault="000B71FE" w:rsidP="000B71FE">
      <w:pPr>
        <w:pStyle w:val="ListBullet"/>
      </w:pPr>
      <w:r>
        <w:t xml:space="preserve">The availability and anaesthetic properties of nitrous oxide lend it to notable </w:t>
      </w:r>
      <w:r w:rsidR="00C5608C">
        <w:t>mis</w:t>
      </w:r>
      <w:r>
        <w:t xml:space="preserve">use, with heavy users capable of consuming the contents of hundreds </w:t>
      </w:r>
      <w:r w:rsidR="0023449A">
        <w:t>of canisters per session.</w:t>
      </w:r>
    </w:p>
    <w:p w14:paraId="49A013A4" w14:textId="77777777" w:rsidR="000B71FE" w:rsidRPr="00482BFC" w:rsidRDefault="000B71FE" w:rsidP="000B71FE">
      <w:pPr>
        <w:pStyle w:val="ListBullet"/>
      </w:pPr>
      <w:r>
        <w:t>Nitrous oxide deactivates vitamin B12. Chronic repeated use can cause neurogenic symptoms of B12 deficiency, including peripheral neuropathy, spinal cord degeneration, dizziness, dissociation, loss of balance, impaired memory and cognition, and lower limb weakness. Prolonged exposure can lead to permanent disability, and the risk of asphyxiation has resulted in fatalities associated with nitrous oxide abuse.</w:t>
      </w:r>
    </w:p>
    <w:p w14:paraId="1D1E54DF" w14:textId="556658F1" w:rsidR="000B71FE" w:rsidRPr="00482BFC" w:rsidRDefault="0099313B" w:rsidP="000B71FE">
      <w:pPr>
        <w:pStyle w:val="ListBullet"/>
      </w:pPr>
      <w:hyperlink r:id="rId140" w:history="1">
        <w:r w:rsidR="000B71FE" w:rsidRPr="00F3306B">
          <w:rPr>
            <w:rStyle w:val="Hyperlink"/>
          </w:rPr>
          <w:t>The National Drug and Alcohol Research Centre</w:t>
        </w:r>
      </w:hyperlink>
      <w:r w:rsidR="000B71FE">
        <w:t xml:space="preserve"> perform an annual survey of regular psychostimulant users</w:t>
      </w:r>
      <w:r w:rsidR="000B71FE" w:rsidRPr="00482BFC">
        <w:t>.</w:t>
      </w:r>
      <w:r w:rsidR="000B71FE">
        <w:t xml:space="preserve"> The proportion of respondents that reported nitrous oxide </w:t>
      </w:r>
      <w:r w:rsidR="00C5608C">
        <w:t>mis</w:t>
      </w:r>
      <w:r w:rsidR="000B71FE">
        <w:t>use increased f</w:t>
      </w:r>
      <w:r w:rsidR="0023449A">
        <w:t>rom 23% in 2014 to 53% in 2019.</w:t>
      </w:r>
    </w:p>
    <w:p w14:paraId="2FAA9DC5" w14:textId="77777777" w:rsidR="000B71FE" w:rsidRPr="00482BFC" w:rsidRDefault="000B71FE" w:rsidP="000B71FE">
      <w:pPr>
        <w:pStyle w:val="ListBullet"/>
      </w:pPr>
      <w:r w:rsidRPr="00482BFC">
        <w:t xml:space="preserve">International </w:t>
      </w:r>
      <w:r w:rsidRPr="00B808C2">
        <w:t>restrictions</w:t>
      </w:r>
    </w:p>
    <w:p w14:paraId="3F734F3B" w14:textId="77777777" w:rsidR="000B71FE" w:rsidRDefault="000B71FE" w:rsidP="000B71FE">
      <w:pPr>
        <w:pStyle w:val="ListBullet2"/>
      </w:pPr>
      <w:r>
        <w:t xml:space="preserve">Possession of nitrous oxide in the United States is legal under federal law, however prosecution is possible under the </w:t>
      </w:r>
      <w:hyperlink r:id="rId141" w:history="1">
        <w:r w:rsidRPr="002C5764">
          <w:rPr>
            <w:rStyle w:val="Hyperlink"/>
          </w:rPr>
          <w:t>Food Drug and Cosmetics Act</w:t>
        </w:r>
      </w:hyperlink>
      <w:r>
        <w:t xml:space="preserve"> for sale or distribution for human consumption. Some individual states regulate the sale and possession of nitrous oxide</w:t>
      </w:r>
      <w:r w:rsidRPr="00482BFC">
        <w:t>.</w:t>
      </w:r>
    </w:p>
    <w:p w14:paraId="45B35AE8" w14:textId="77777777" w:rsidR="000B71FE" w:rsidRDefault="000B71FE" w:rsidP="000B71FE">
      <w:pPr>
        <w:pStyle w:val="Heading4"/>
      </w:pPr>
      <w:r w:rsidRPr="00DC5AE0">
        <w:t xml:space="preserve">Australian </w:t>
      </w:r>
      <w:r>
        <w:t>regulations</w:t>
      </w:r>
      <w:r w:rsidRPr="00DC5AE0">
        <w:t xml:space="preserve"> </w:t>
      </w:r>
    </w:p>
    <w:p w14:paraId="0CB35345" w14:textId="77777777" w:rsidR="000B71FE" w:rsidRDefault="000B71FE" w:rsidP="000B71FE">
      <w:pPr>
        <w:pStyle w:val="ListBullet"/>
      </w:pPr>
      <w:r>
        <w:t xml:space="preserve">According to the </w:t>
      </w:r>
      <w:hyperlink r:id="rId142"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08"/>
      </w:r>
      <w:r>
        <w:t xml:space="preserve"> nitrous </w:t>
      </w:r>
      <w:r w:rsidRPr="00B808C2">
        <w:t>oxide</w:t>
      </w:r>
      <w:r>
        <w:t xml:space="preserve"> is:</w:t>
      </w:r>
    </w:p>
    <w:p w14:paraId="568E4180" w14:textId="77777777" w:rsidR="000B71FE" w:rsidRDefault="000B71FE" w:rsidP="000B71FE">
      <w:pPr>
        <w:pStyle w:val="ListBullet2"/>
      </w:pPr>
      <w:r>
        <w:t>Available for use as an active ingredient in biologicals, export only and prescription medicines.</w:t>
      </w:r>
    </w:p>
    <w:p w14:paraId="2A73B7A0" w14:textId="77777777" w:rsidR="000B71FE" w:rsidRPr="00C55B87" w:rsidRDefault="000B71FE" w:rsidP="000B71FE">
      <w:pPr>
        <w:pStyle w:val="ListBullet2"/>
      </w:pPr>
      <w:r>
        <w:t>Available for use as an excipient in biologicals, devices, prescription medicines.</w:t>
      </w:r>
    </w:p>
    <w:p w14:paraId="34582CB9" w14:textId="77777777" w:rsidR="000B71FE" w:rsidRDefault="000B71FE" w:rsidP="000B71FE">
      <w:pPr>
        <w:pStyle w:val="ListBullet"/>
      </w:pPr>
      <w:r>
        <w:t>As of November 2020, t</w:t>
      </w:r>
      <w:r w:rsidRPr="00881DFE">
        <w:t xml:space="preserve">here </w:t>
      </w:r>
      <w:r>
        <w:t>were</w:t>
      </w:r>
      <w:r w:rsidRPr="00881DFE">
        <w:t xml:space="preserve"> </w:t>
      </w:r>
      <w:r w:rsidRPr="00C55B87">
        <w:t>seven</w:t>
      </w:r>
      <w:r>
        <w:t xml:space="preserve"> medicine</w:t>
      </w:r>
      <w:r w:rsidRPr="00881DFE">
        <w:t xml:space="preserve">s currently active on the </w:t>
      </w:r>
      <w:hyperlink r:id="rId143" w:history="1">
        <w:r w:rsidRPr="00293CCA">
          <w:rPr>
            <w:rStyle w:val="Hyperlink"/>
          </w:rPr>
          <w:t>Australian Register of Therapeutic Goods (ARTG)</w:t>
        </w:r>
      </w:hyperlink>
      <w:r>
        <w:rPr>
          <w:rStyle w:val="FootnoteReference"/>
        </w:rPr>
        <w:footnoteReference w:id="109"/>
      </w:r>
      <w:r>
        <w:t xml:space="preserve"> that contain</w:t>
      </w:r>
      <w:r w:rsidRPr="00881DFE">
        <w:t xml:space="preserve"> </w:t>
      </w:r>
      <w:r>
        <w:t xml:space="preserve">nitrous </w:t>
      </w:r>
      <w:r w:rsidRPr="00B808C2">
        <w:t>oxide</w:t>
      </w:r>
      <w:r>
        <w:t xml:space="preserve"> as an active ingredient</w:t>
      </w:r>
      <w:r w:rsidRPr="00881DFE">
        <w:t>.</w:t>
      </w:r>
      <w:r>
        <w:t xml:space="preserve"> These include </w:t>
      </w:r>
      <w:r w:rsidRPr="00C55B87">
        <w:t>seven</w:t>
      </w:r>
      <w:r>
        <w:t xml:space="preserve"> prescription medicines (gas for medicinal use).</w:t>
      </w:r>
    </w:p>
    <w:p w14:paraId="35B88681" w14:textId="77777777" w:rsidR="000B71FE" w:rsidRPr="00FC5178" w:rsidRDefault="000B71FE" w:rsidP="000B71FE">
      <w:pPr>
        <w:pStyle w:val="ListBullet"/>
      </w:pPr>
      <w:r>
        <w:t>Nitrous oxide</w:t>
      </w:r>
      <w:r w:rsidRPr="009C55D5">
        <w:t xml:space="preserve"> is not permitted to be included in listed medicines </w:t>
      </w:r>
      <w:r>
        <w:t xml:space="preserve">as it is not included in the </w:t>
      </w:r>
      <w:hyperlink r:id="rId144" w:history="1">
        <w:r w:rsidRPr="00824CAC">
          <w:rPr>
            <w:rStyle w:val="Hyperlink"/>
          </w:rPr>
          <w:t>Therapeutic Goods (Permissible Ingredients) Determination</w:t>
        </w:r>
      </w:hyperlink>
      <w:r>
        <w:rPr>
          <w:rStyle w:val="FootnoteReference"/>
        </w:rPr>
        <w:footnoteReference w:id="110"/>
      </w:r>
      <w:r w:rsidRPr="009C55D5">
        <w:t xml:space="preserve"> No.</w:t>
      </w:r>
      <w:r>
        <w:t>3</w:t>
      </w:r>
      <w:r w:rsidRPr="009C55D5">
        <w:t xml:space="preserve"> of </w:t>
      </w:r>
      <w:r w:rsidRPr="00C55B87">
        <w:t>2020</w:t>
      </w:r>
      <w:r>
        <w:t>.</w:t>
      </w:r>
    </w:p>
    <w:p w14:paraId="030CDFC7" w14:textId="77777777" w:rsidR="000B71FE" w:rsidRDefault="000B71FE" w:rsidP="0023449A">
      <w:pPr>
        <w:pStyle w:val="ListBullet"/>
        <w:keepNext/>
        <w:ind w:left="357" w:hanging="357"/>
      </w:pPr>
      <w:r>
        <w:t xml:space="preserve">The </w:t>
      </w:r>
      <w:hyperlink r:id="rId145"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11"/>
      </w:r>
      <w:r>
        <w:t xml:space="preserve"> classifies nitrous </w:t>
      </w:r>
      <w:r w:rsidRPr="00B808C2">
        <w:t>oxide</w:t>
      </w:r>
      <w:r>
        <w:t xml:space="preserve"> as:</w:t>
      </w:r>
    </w:p>
    <w:tbl>
      <w:tblPr>
        <w:tblStyle w:val="TableTGAblue"/>
        <w:tblW w:w="8521" w:type="dxa"/>
        <w:tblInd w:w="392" w:type="dxa"/>
        <w:tblLook w:val="04A0" w:firstRow="1" w:lastRow="0" w:firstColumn="1" w:lastColumn="0" w:noHBand="0" w:noVBand="1"/>
      </w:tblPr>
      <w:tblGrid>
        <w:gridCol w:w="1703"/>
        <w:gridCol w:w="1704"/>
        <w:gridCol w:w="1704"/>
        <w:gridCol w:w="1704"/>
        <w:gridCol w:w="1706"/>
      </w:tblGrid>
      <w:tr w:rsidR="000B71FE" w:rsidRPr="003346CF" w14:paraId="2FC1CA68" w14:textId="77777777" w:rsidTr="00896C03">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703" w:type="dxa"/>
          </w:tcPr>
          <w:p w14:paraId="1FF191C3" w14:textId="77777777" w:rsidR="000B71FE" w:rsidRPr="001016FB" w:rsidRDefault="000B71FE" w:rsidP="00896C03">
            <w:pPr>
              <w:pStyle w:val="TableParagraph"/>
              <w:rPr>
                <w:szCs w:val="20"/>
              </w:rPr>
            </w:pPr>
            <w:r w:rsidRPr="001016FB">
              <w:rPr>
                <w:szCs w:val="20"/>
              </w:rPr>
              <w:t>Drug name</w:t>
            </w:r>
          </w:p>
        </w:tc>
        <w:tc>
          <w:tcPr>
            <w:tcW w:w="1704" w:type="dxa"/>
          </w:tcPr>
          <w:p w14:paraId="1171AFBA" w14:textId="77777777" w:rsidR="000B71FE" w:rsidRPr="001016FB" w:rsidRDefault="000B71FE" w:rsidP="00896C03">
            <w:pPr>
              <w:pStyle w:val="TableParagraph"/>
              <w:cnfStyle w:val="100000000000" w:firstRow="1" w:lastRow="0" w:firstColumn="0" w:lastColumn="0" w:oddVBand="0" w:evenVBand="0" w:oddHBand="0" w:evenHBand="0" w:firstRowFirstColumn="0" w:firstRowLastColumn="0" w:lastRowFirstColumn="0" w:lastRowLastColumn="0"/>
              <w:rPr>
                <w:szCs w:val="20"/>
              </w:rPr>
            </w:pPr>
            <w:r w:rsidRPr="001016FB">
              <w:rPr>
                <w:szCs w:val="20"/>
              </w:rPr>
              <w:t>Category</w:t>
            </w:r>
          </w:p>
        </w:tc>
        <w:tc>
          <w:tcPr>
            <w:tcW w:w="1704" w:type="dxa"/>
          </w:tcPr>
          <w:p w14:paraId="516F1A6E" w14:textId="77777777" w:rsidR="000B71FE" w:rsidRPr="001016FB" w:rsidRDefault="000B71FE" w:rsidP="00896C03">
            <w:pPr>
              <w:pStyle w:val="TableParagraph"/>
              <w:cnfStyle w:val="100000000000" w:firstRow="1" w:lastRow="0" w:firstColumn="0" w:lastColumn="0" w:oddVBand="0" w:evenVBand="0" w:oddHBand="0" w:evenHBand="0" w:firstRowFirstColumn="0" w:firstRowLastColumn="0" w:lastRowFirstColumn="0" w:lastRowLastColumn="0"/>
              <w:rPr>
                <w:szCs w:val="20"/>
              </w:rPr>
            </w:pPr>
            <w:r w:rsidRPr="001016FB">
              <w:rPr>
                <w:szCs w:val="20"/>
              </w:rPr>
              <w:t>Classification Level 1</w:t>
            </w:r>
          </w:p>
        </w:tc>
        <w:tc>
          <w:tcPr>
            <w:tcW w:w="1704" w:type="dxa"/>
          </w:tcPr>
          <w:p w14:paraId="2E55E014" w14:textId="77777777" w:rsidR="000B71FE" w:rsidRPr="001016FB" w:rsidRDefault="000B71FE" w:rsidP="00896C03">
            <w:pPr>
              <w:pStyle w:val="TableParagraph"/>
              <w:cnfStyle w:val="100000000000" w:firstRow="1" w:lastRow="0" w:firstColumn="0" w:lastColumn="0" w:oddVBand="0" w:evenVBand="0" w:oddHBand="0" w:evenHBand="0" w:firstRowFirstColumn="0" w:firstRowLastColumn="0" w:lastRowFirstColumn="0" w:lastRowLastColumn="0"/>
              <w:rPr>
                <w:szCs w:val="20"/>
              </w:rPr>
            </w:pPr>
            <w:r w:rsidRPr="001016FB">
              <w:rPr>
                <w:szCs w:val="20"/>
              </w:rPr>
              <w:t>Classification Level 2</w:t>
            </w:r>
          </w:p>
        </w:tc>
        <w:tc>
          <w:tcPr>
            <w:tcW w:w="1704" w:type="dxa"/>
          </w:tcPr>
          <w:p w14:paraId="2F822B3F" w14:textId="77777777" w:rsidR="000B71FE" w:rsidRPr="001016FB" w:rsidRDefault="000B71FE" w:rsidP="00896C03">
            <w:pPr>
              <w:pStyle w:val="TableParagraph"/>
              <w:cnfStyle w:val="100000000000" w:firstRow="1" w:lastRow="0" w:firstColumn="0" w:lastColumn="0" w:oddVBand="0" w:evenVBand="0" w:oddHBand="0" w:evenHBand="0" w:firstRowFirstColumn="0" w:firstRowLastColumn="0" w:lastRowFirstColumn="0" w:lastRowLastColumn="0"/>
              <w:rPr>
                <w:szCs w:val="20"/>
              </w:rPr>
            </w:pPr>
            <w:r w:rsidRPr="001016FB">
              <w:rPr>
                <w:szCs w:val="20"/>
              </w:rPr>
              <w:t>Classification Level 3</w:t>
            </w:r>
          </w:p>
        </w:tc>
      </w:tr>
      <w:tr w:rsidR="000B71FE" w:rsidRPr="003346CF" w14:paraId="6DF70EA0" w14:textId="77777777" w:rsidTr="00896C03">
        <w:trPr>
          <w:trHeight w:val="877"/>
        </w:trPr>
        <w:tc>
          <w:tcPr>
            <w:cnfStyle w:val="001000000000" w:firstRow="0" w:lastRow="0" w:firstColumn="1" w:lastColumn="0" w:oddVBand="0" w:evenVBand="0" w:oddHBand="0" w:evenHBand="0" w:firstRowFirstColumn="0" w:firstRowLastColumn="0" w:lastRowFirstColumn="0" w:lastRowLastColumn="0"/>
            <w:tcW w:w="1703" w:type="dxa"/>
          </w:tcPr>
          <w:p w14:paraId="387ECC4D" w14:textId="77777777" w:rsidR="000B71FE" w:rsidRPr="001016FB" w:rsidRDefault="000B71FE" w:rsidP="00896C03">
            <w:pPr>
              <w:pStyle w:val="TableParagraph"/>
              <w:rPr>
                <w:szCs w:val="20"/>
              </w:rPr>
            </w:pPr>
            <w:r w:rsidRPr="001016FB">
              <w:rPr>
                <w:szCs w:val="20"/>
              </w:rPr>
              <w:t>Nitrous oxide</w:t>
            </w:r>
          </w:p>
        </w:tc>
        <w:tc>
          <w:tcPr>
            <w:tcW w:w="1704" w:type="dxa"/>
          </w:tcPr>
          <w:p w14:paraId="73707B9D" w14:textId="77777777" w:rsidR="000B71FE" w:rsidRPr="001016FB" w:rsidRDefault="000B71FE" w:rsidP="00896C03">
            <w:pPr>
              <w:pStyle w:val="TableParagraph"/>
              <w:cnfStyle w:val="000000000000" w:firstRow="0" w:lastRow="0" w:firstColumn="0" w:lastColumn="0" w:oddVBand="0" w:evenVBand="0" w:oddHBand="0" w:evenHBand="0" w:firstRowFirstColumn="0" w:firstRowLastColumn="0" w:lastRowFirstColumn="0" w:lastRowLastColumn="0"/>
              <w:rPr>
                <w:szCs w:val="20"/>
              </w:rPr>
            </w:pPr>
            <w:r w:rsidRPr="001016FB">
              <w:rPr>
                <w:szCs w:val="20"/>
              </w:rPr>
              <w:t>A</w:t>
            </w:r>
          </w:p>
        </w:tc>
        <w:tc>
          <w:tcPr>
            <w:tcW w:w="1704" w:type="dxa"/>
          </w:tcPr>
          <w:p w14:paraId="3D43277A" w14:textId="77777777" w:rsidR="000B71FE" w:rsidRPr="001016FB" w:rsidRDefault="000B71FE" w:rsidP="00896C03">
            <w:pPr>
              <w:pStyle w:val="TableParagraph"/>
              <w:cnfStyle w:val="000000000000" w:firstRow="0" w:lastRow="0" w:firstColumn="0" w:lastColumn="0" w:oddVBand="0" w:evenVBand="0" w:oddHBand="0" w:evenHBand="0" w:firstRowFirstColumn="0" w:firstRowLastColumn="0" w:lastRowFirstColumn="0" w:lastRowLastColumn="0"/>
              <w:rPr>
                <w:szCs w:val="20"/>
              </w:rPr>
            </w:pPr>
            <w:r w:rsidRPr="001016FB">
              <w:rPr>
                <w:szCs w:val="20"/>
              </w:rPr>
              <w:t>Drugs Used in Anaesthesia</w:t>
            </w:r>
          </w:p>
        </w:tc>
        <w:tc>
          <w:tcPr>
            <w:tcW w:w="1704" w:type="dxa"/>
          </w:tcPr>
          <w:p w14:paraId="544E4D75" w14:textId="77777777" w:rsidR="000B71FE" w:rsidRPr="001016FB" w:rsidRDefault="000B71FE" w:rsidP="00896C03">
            <w:pPr>
              <w:pStyle w:val="TableParagraph"/>
              <w:cnfStyle w:val="000000000000" w:firstRow="0" w:lastRow="0" w:firstColumn="0" w:lastColumn="0" w:oddVBand="0" w:evenVBand="0" w:oddHBand="0" w:evenHBand="0" w:firstRowFirstColumn="0" w:firstRowLastColumn="0" w:lastRowFirstColumn="0" w:lastRowLastColumn="0"/>
              <w:rPr>
                <w:szCs w:val="20"/>
              </w:rPr>
            </w:pPr>
            <w:r w:rsidRPr="001016FB">
              <w:rPr>
                <w:szCs w:val="20"/>
              </w:rPr>
              <w:t>General anaesthetics</w:t>
            </w:r>
          </w:p>
        </w:tc>
        <w:tc>
          <w:tcPr>
            <w:tcW w:w="1704" w:type="dxa"/>
          </w:tcPr>
          <w:p w14:paraId="5AFE6F0C" w14:textId="77777777" w:rsidR="000B71FE" w:rsidRPr="001016FB" w:rsidRDefault="000B71FE" w:rsidP="00896C03">
            <w:pPr>
              <w:pStyle w:val="TableParagraph"/>
              <w:cnfStyle w:val="000000000000" w:firstRow="0" w:lastRow="0" w:firstColumn="0" w:lastColumn="0" w:oddVBand="0" w:evenVBand="0" w:oddHBand="0" w:evenHBand="0" w:firstRowFirstColumn="0" w:firstRowLastColumn="0" w:lastRowFirstColumn="0" w:lastRowLastColumn="0"/>
              <w:rPr>
                <w:szCs w:val="20"/>
              </w:rPr>
            </w:pPr>
          </w:p>
        </w:tc>
      </w:tr>
      <w:tr w:rsidR="000B71FE" w:rsidRPr="003346CF" w14:paraId="217029A6" w14:textId="77777777" w:rsidTr="00896C03">
        <w:trPr>
          <w:trHeight w:val="890"/>
        </w:trPr>
        <w:tc>
          <w:tcPr>
            <w:cnfStyle w:val="001000000000" w:firstRow="0" w:lastRow="0" w:firstColumn="1" w:lastColumn="0" w:oddVBand="0" w:evenVBand="0" w:oddHBand="0" w:evenHBand="0" w:firstRowFirstColumn="0" w:firstRowLastColumn="0" w:lastRowFirstColumn="0" w:lastRowLastColumn="0"/>
            <w:tcW w:w="8521" w:type="dxa"/>
            <w:gridSpan w:val="5"/>
          </w:tcPr>
          <w:p w14:paraId="39F90636" w14:textId="77777777" w:rsidR="000B71FE" w:rsidRPr="00FC5178" w:rsidRDefault="000B71FE" w:rsidP="00896C03">
            <w:pPr>
              <w:pStyle w:val="TableParagraph"/>
              <w:rPr>
                <w:sz w:val="16"/>
                <w:szCs w:val="16"/>
              </w:rPr>
            </w:pPr>
            <w:r w:rsidRPr="003C7D97">
              <w:rPr>
                <w:sz w:val="16"/>
                <w:szCs w:val="16"/>
              </w:rPr>
              <w:t>Category A – Drugs which have been taken by a large number of pregnant women and women of childbearing age without any proven increase in the frequency of malformations or other direct or indirect harmful effects on the foetus having been observed.</w:t>
            </w:r>
          </w:p>
        </w:tc>
      </w:tr>
    </w:tbl>
    <w:p w14:paraId="66FA8B96" w14:textId="0ADC5E73" w:rsidR="000B71FE" w:rsidRDefault="000B71FE" w:rsidP="000B71FE">
      <w:pPr>
        <w:pStyle w:val="ListBullet"/>
      </w:pPr>
      <w:r>
        <w:t xml:space="preserve">There are no </w:t>
      </w:r>
      <w:r w:rsidRPr="00A30084">
        <w:t xml:space="preserve">warning statements pertaining </w:t>
      </w:r>
      <w:r>
        <w:t xml:space="preserve">to nitrous </w:t>
      </w:r>
      <w:r w:rsidRPr="00B808C2">
        <w:t>oxide</w:t>
      </w:r>
      <w:r>
        <w:t xml:space="preserve"> in the </w:t>
      </w:r>
      <w:hyperlink r:id="rId146" w:history="1">
        <w:r w:rsidRPr="00AB7BF5">
          <w:rPr>
            <w:rStyle w:val="Hyperlink"/>
          </w:rPr>
          <w:t>Therapeutic Goods (Medicines Advisory Statements) Specification 2019</w:t>
        </w:r>
      </w:hyperlink>
      <w:r>
        <w:rPr>
          <w:rStyle w:val="FootnoteReference"/>
        </w:rPr>
        <w:footnoteReference w:id="112"/>
      </w:r>
      <w:r w:rsidR="0023449A" w:rsidRPr="0023449A">
        <w:rPr>
          <w:rStyle w:val="Hyperlink"/>
          <w:color w:val="auto"/>
          <w:u w:val="none"/>
        </w:rPr>
        <w:t>.</w:t>
      </w:r>
    </w:p>
    <w:p w14:paraId="34C9E1DE" w14:textId="77777777" w:rsidR="000B71FE" w:rsidRPr="009C55D5" w:rsidRDefault="000B71FE" w:rsidP="000B71FE">
      <w:pPr>
        <w:pStyle w:val="ListBullet"/>
      </w:pPr>
      <w:r>
        <w:t>Since January 201</w:t>
      </w:r>
      <w:r w:rsidRPr="00FC5178">
        <w:t>0</w:t>
      </w:r>
      <w:r>
        <w:t>, there have been 29</w:t>
      </w:r>
      <w:r w:rsidRPr="009C55D5">
        <w:t xml:space="preserve"> reports of adverse events for products containing </w:t>
      </w:r>
      <w:r>
        <w:t>nitrous oxide</w:t>
      </w:r>
      <w:r w:rsidRPr="009C55D5">
        <w:t xml:space="preserve"> as an active ingredient</w:t>
      </w:r>
      <w:r>
        <w:t xml:space="preserve"> on the </w:t>
      </w:r>
      <w:hyperlink r:id="rId147" w:history="1">
        <w:r w:rsidRPr="00F0449C">
          <w:rPr>
            <w:rStyle w:val="Hyperlink"/>
          </w:rPr>
          <w:t>Database of Adverse Event Notifications (DAEN)</w:t>
        </w:r>
      </w:hyperlink>
      <w:r w:rsidRPr="00254E0B">
        <w:t>,</w:t>
      </w:r>
      <w:r w:rsidRPr="00F0449C">
        <w:rPr>
          <w:rStyle w:val="FootnoteReference"/>
        </w:rPr>
        <w:footnoteReference w:id="113"/>
      </w:r>
      <w:r w:rsidRPr="009C55D5">
        <w:t xml:space="preserve"> with </w:t>
      </w:r>
      <w:r>
        <w:t>14</w:t>
      </w:r>
      <w:r w:rsidRPr="009C55D5">
        <w:t xml:space="preserve"> reports where </w:t>
      </w:r>
      <w:r>
        <w:t>nitrous oxide</w:t>
      </w:r>
      <w:r w:rsidRPr="009C55D5">
        <w:t xml:space="preserve"> was the single suspected medicine. There were </w:t>
      </w:r>
      <w:r>
        <w:t>five</w:t>
      </w:r>
      <w:r w:rsidRPr="009C55D5">
        <w:t xml:space="preserve"> reports of deaths associated with </w:t>
      </w:r>
      <w:r>
        <w:t>nitrous oxide</w:t>
      </w:r>
      <w:r w:rsidRPr="009C55D5">
        <w:t xml:space="preserve"> use</w:t>
      </w:r>
      <w:r>
        <w:t xml:space="preserve"> (these reports of death may or may not have been the result of taking the medicine)</w:t>
      </w:r>
      <w:r w:rsidRPr="00FC5178">
        <w:t>.</w:t>
      </w:r>
    </w:p>
    <w:p w14:paraId="3FEADC76" w14:textId="2921D2B5" w:rsidR="000B71FE" w:rsidRPr="00390FE4" w:rsidRDefault="000B71FE" w:rsidP="000B71FE">
      <w:pPr>
        <w:pStyle w:val="ListBullet"/>
      </w:pPr>
      <w:r>
        <w:t xml:space="preserve">As of </w:t>
      </w:r>
      <w:r w:rsidRPr="00FC5178">
        <w:t>November 2020</w:t>
      </w:r>
      <w:r>
        <w:t>, t</w:t>
      </w:r>
      <w:r w:rsidRPr="00F0449C">
        <w:t xml:space="preserve">here </w:t>
      </w:r>
      <w:r>
        <w:t>were</w:t>
      </w:r>
      <w:r w:rsidRPr="00F0449C">
        <w:t xml:space="preserve"> </w:t>
      </w:r>
      <w:r w:rsidRPr="00FC5178">
        <w:t>no</w:t>
      </w:r>
      <w:r w:rsidRPr="00F0449C">
        <w:t xml:space="preserve"> products containing </w:t>
      </w:r>
      <w:r w:rsidRPr="00B808C2">
        <w:t>nitrous</w:t>
      </w:r>
      <w:r>
        <w:t xml:space="preserve"> oxide</w:t>
      </w:r>
      <w:r w:rsidRPr="00F0449C">
        <w:t xml:space="preserve"> listed on the </w:t>
      </w:r>
      <w:hyperlink r:id="rId148"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14"/>
      </w:r>
    </w:p>
    <w:p w14:paraId="30187A67" w14:textId="77777777" w:rsidR="000B71FE" w:rsidRPr="00CB687C" w:rsidRDefault="000B71FE" w:rsidP="000B71FE">
      <w:pPr>
        <w:pStyle w:val="Heading4"/>
      </w:pPr>
      <w:r>
        <w:t>International regulations</w:t>
      </w:r>
    </w:p>
    <w:p w14:paraId="361C8B99" w14:textId="77777777" w:rsidR="000B71FE" w:rsidRPr="0023449A" w:rsidRDefault="000B71FE" w:rsidP="000B71FE">
      <w:pPr>
        <w:pStyle w:val="ListBullet"/>
      </w:pPr>
      <w:r>
        <w:t xml:space="preserve">According to the </w:t>
      </w:r>
      <w:hyperlink r:id="rId149" w:history="1">
        <w:r w:rsidRPr="00FC5178">
          <w:rPr>
            <w:rStyle w:val="Hyperlink"/>
          </w:rPr>
          <w:t>Food and Drugs Administration Approved Drugs Database</w:t>
        </w:r>
      </w:hyperlink>
      <w:r>
        <w:rPr>
          <w:rStyle w:val="FootnoteReference"/>
        </w:rPr>
        <w:footnoteReference w:id="115"/>
      </w:r>
      <w:r>
        <w:t xml:space="preserve">, nitrous oxide </w:t>
      </w:r>
      <w:r w:rsidRPr="00340615">
        <w:t>is a prescription medicine.</w:t>
      </w:r>
    </w:p>
    <w:p w14:paraId="00243FAF" w14:textId="6C6186CB" w:rsidR="000B71FE" w:rsidRPr="0023449A" w:rsidRDefault="000B71FE" w:rsidP="000B71FE">
      <w:pPr>
        <w:pStyle w:val="ListBullet"/>
        <w:rPr>
          <w:u w:val="single"/>
        </w:rPr>
      </w:pPr>
      <w:r w:rsidRPr="0023449A">
        <w:t>T</w:t>
      </w:r>
      <w:r w:rsidRPr="00340615">
        <w:t xml:space="preserve">he </w:t>
      </w:r>
      <w:hyperlink r:id="rId150" w:history="1">
        <w:r w:rsidRPr="00FC5178">
          <w:rPr>
            <w:rStyle w:val="Hyperlink"/>
          </w:rPr>
          <w:t>Health Canada Drug Product Database</w:t>
        </w:r>
      </w:hyperlink>
      <w:r>
        <w:rPr>
          <w:rStyle w:val="FootnoteReference"/>
        </w:rPr>
        <w:footnoteReference w:id="116"/>
      </w:r>
      <w:r>
        <w:t xml:space="preserve"> lists nitrous oxide as an </w:t>
      </w:r>
      <w:r w:rsidRPr="00B808C2">
        <w:t>ethical</w:t>
      </w:r>
      <w:r>
        <w:t xml:space="preserve"> medicine, i.e. an unscheduled non-prescriptio</w:t>
      </w:r>
      <w:r w:rsidR="0023449A">
        <w:t>n product for professional use.</w:t>
      </w:r>
    </w:p>
    <w:p w14:paraId="09ABBA8D" w14:textId="77777777" w:rsidR="000B71FE" w:rsidRPr="0023449A" w:rsidRDefault="000B71FE" w:rsidP="000B71FE">
      <w:pPr>
        <w:pStyle w:val="ListBullet"/>
        <w:rPr>
          <w:u w:val="single"/>
        </w:rPr>
      </w:pPr>
      <w:r w:rsidRPr="0023449A">
        <w:t>Ac</w:t>
      </w:r>
      <w:r>
        <w:t xml:space="preserve">cording to the </w:t>
      </w:r>
      <w:hyperlink r:id="rId151" w:history="1">
        <w:r w:rsidRPr="003444C1">
          <w:rPr>
            <w:rStyle w:val="Hyperlink"/>
          </w:rPr>
          <w:t>Medsafe Medicines Classification Database</w:t>
        </w:r>
      </w:hyperlink>
      <w:r>
        <w:rPr>
          <w:rStyle w:val="FootnoteReference"/>
        </w:rPr>
        <w:footnoteReference w:id="117"/>
      </w:r>
      <w:r>
        <w:t xml:space="preserve">, </w:t>
      </w:r>
      <w:r w:rsidRPr="00B808C2">
        <w:t>nitrous</w:t>
      </w:r>
      <w:r>
        <w:t xml:space="preserve"> oxide is regulated as a prescripti</w:t>
      </w:r>
      <w:r w:rsidRPr="003444C1">
        <w:t>on medicine when supplied for inhalation.</w:t>
      </w:r>
    </w:p>
    <w:p w14:paraId="0DFD549A" w14:textId="08DC2961" w:rsidR="000B71FE" w:rsidRDefault="000B71FE" w:rsidP="000B71FE">
      <w:r>
        <w:t xml:space="preserve">The </w:t>
      </w:r>
      <w:hyperlink r:id="rId152" w:history="1">
        <w:r w:rsidRPr="002E3DA3">
          <w:rPr>
            <w:rStyle w:val="Hyperlink"/>
          </w:rPr>
          <w:t>Health Products Regulatory Authority</w:t>
        </w:r>
      </w:hyperlink>
      <w:r>
        <w:rPr>
          <w:rStyle w:val="FootnoteReference"/>
        </w:rPr>
        <w:footnoteReference w:id="118"/>
      </w:r>
      <w:r>
        <w:t xml:space="preserve"> of Ireland </w:t>
      </w:r>
      <w:r w:rsidRPr="00B808C2">
        <w:t>regulates</w:t>
      </w:r>
      <w:r>
        <w:t xml:space="preserve"> nitrous oxide as a prescription only medicine.</w:t>
      </w:r>
    </w:p>
    <w:p w14:paraId="2F17BA27" w14:textId="64A0F5AA" w:rsidR="00A25978" w:rsidRDefault="00A25978" w:rsidP="00A25978">
      <w:pPr>
        <w:pStyle w:val="Heading3"/>
      </w:pPr>
      <w:bookmarkStart w:id="31" w:name="_Toc59540959"/>
      <w:r>
        <w:t>Hemp seed oil</w:t>
      </w:r>
      <w:bookmarkEnd w:id="30"/>
      <w:bookmarkEnd w:id="31"/>
    </w:p>
    <w:p w14:paraId="3C4D371F" w14:textId="77777777" w:rsidR="00A25978" w:rsidRDefault="00A25978" w:rsidP="00A25978">
      <w:pPr>
        <w:pStyle w:val="Heading4"/>
      </w:pPr>
      <w:r>
        <w:t>Proposal</w:t>
      </w:r>
    </w:p>
    <w:p w14:paraId="79487424" w14:textId="77777777" w:rsidR="00A25978" w:rsidRPr="0002236D" w:rsidRDefault="00A25978" w:rsidP="00A25978">
      <w:r>
        <w:t>Amendment of the existing Schedule 9 entries for CANNABIS and TETRAHYDROCANNABINOLS to exclude hemp seed oil for oral consumption from scheduling when compliant with the Food and Standards Code.</w:t>
      </w:r>
    </w:p>
    <w:p w14:paraId="6B9C835C" w14:textId="77777777" w:rsidR="00A25978" w:rsidRPr="003639D9" w:rsidRDefault="00A25978" w:rsidP="00A25978">
      <w:pPr>
        <w:pStyle w:val="Heading4"/>
      </w:pPr>
      <w:r>
        <w:t>CAS Number:</w:t>
      </w:r>
    </w:p>
    <w:p w14:paraId="6E684B0B" w14:textId="77777777" w:rsidR="00A25978" w:rsidRDefault="00A25978" w:rsidP="00A25978">
      <w:r>
        <w:t>N/A</w:t>
      </w:r>
    </w:p>
    <w:p w14:paraId="3213D11E" w14:textId="77777777" w:rsidR="00A25978" w:rsidRDefault="00A25978" w:rsidP="00A25978">
      <w:pPr>
        <w:pStyle w:val="Heading4"/>
      </w:pPr>
      <w:r>
        <w:t>Alternative names</w:t>
      </w:r>
    </w:p>
    <w:p w14:paraId="3D4A49EF" w14:textId="77777777" w:rsidR="00A25978" w:rsidRPr="00D67617" w:rsidRDefault="00A25978" w:rsidP="00A25978">
      <w:pPr>
        <w:rPr>
          <w:i/>
        </w:rPr>
      </w:pPr>
      <w:r>
        <w:t>N/A</w:t>
      </w:r>
    </w:p>
    <w:p w14:paraId="66032E16" w14:textId="77777777" w:rsidR="00A25978" w:rsidRDefault="00A25978" w:rsidP="00A25978">
      <w:pPr>
        <w:pStyle w:val="Heading4"/>
      </w:pPr>
      <w:r>
        <w:t>Applicant</w:t>
      </w:r>
    </w:p>
    <w:p w14:paraId="230C0126" w14:textId="77777777" w:rsidR="00A25978" w:rsidRPr="003639D9" w:rsidRDefault="00A25978" w:rsidP="00A25978">
      <w:r w:rsidRPr="00D93C9D">
        <w:t>Private applicant</w:t>
      </w:r>
    </w:p>
    <w:p w14:paraId="1E94CBA6" w14:textId="77777777" w:rsidR="00A25978" w:rsidRDefault="00A25978" w:rsidP="00A25978">
      <w:pPr>
        <w:pStyle w:val="Heading4"/>
      </w:pPr>
      <w:r>
        <w:t>Current scheduling</w:t>
      </w:r>
    </w:p>
    <w:p w14:paraId="4D5565A9" w14:textId="77777777" w:rsidR="00A25978" w:rsidRDefault="00A25978" w:rsidP="00A25978">
      <w:r>
        <w:t xml:space="preserve">Hemp seed oil </w:t>
      </w:r>
      <w:r w:rsidRPr="00AF12F6">
        <w:t xml:space="preserve">is currently </w:t>
      </w:r>
      <w:r>
        <w:t xml:space="preserve">included </w:t>
      </w:r>
      <w:r w:rsidRPr="00AF12F6">
        <w:t xml:space="preserve">in </w:t>
      </w:r>
      <w:r>
        <w:t xml:space="preserve">the following </w:t>
      </w:r>
      <w:r w:rsidRPr="00AF12F6">
        <w:t xml:space="preserve">Schedule </w:t>
      </w:r>
      <w:r>
        <w:t>9 entries of the Poisons Standard (with exceptions):</w:t>
      </w:r>
    </w:p>
    <w:p w14:paraId="6029F3BD" w14:textId="77777777" w:rsidR="00A25978" w:rsidRPr="006D5C84" w:rsidRDefault="00A25978" w:rsidP="00A25978">
      <w:pPr>
        <w:ind w:left="426"/>
        <w:rPr>
          <w:b/>
        </w:rPr>
      </w:pPr>
      <w:r w:rsidRPr="006D5C84">
        <w:rPr>
          <w:b/>
        </w:rPr>
        <w:t xml:space="preserve">Schedule </w:t>
      </w:r>
      <w:r>
        <w:rPr>
          <w:b/>
        </w:rPr>
        <w:t>9</w:t>
      </w:r>
    </w:p>
    <w:p w14:paraId="4478705A" w14:textId="77777777" w:rsidR="00A25978" w:rsidRPr="00D67617" w:rsidRDefault="00A25978" w:rsidP="00A25978">
      <w:pPr>
        <w:ind w:left="426"/>
      </w:pPr>
      <w:r w:rsidRPr="00D67617">
        <w:t>CANNABIS (including seeds, extracts, resins, and the plant and any part of the plant when packed or prepared), </w:t>
      </w:r>
      <w:r w:rsidRPr="00D67617">
        <w:rPr>
          <w:b/>
          <w:bCs/>
        </w:rPr>
        <w:t>except</w:t>
      </w:r>
      <w:r>
        <w:rPr>
          <w:b/>
          <w:bCs/>
        </w:rPr>
        <w:t xml:space="preserve"> </w:t>
      </w:r>
      <w:r w:rsidRPr="00D67617">
        <w:t>when in hemp seed oil for purposes other than internal human use containing 50 mg/kg or less of cannabinoids, including 20 mg/kg or less of tetrahydrocannabinols, when labelled with either of the following warning statements:</w:t>
      </w:r>
    </w:p>
    <w:p w14:paraId="5B7B0C9A" w14:textId="4446C736" w:rsidR="00A25978" w:rsidRPr="00D67617" w:rsidRDefault="00A25978" w:rsidP="0067078D">
      <w:pPr>
        <w:pStyle w:val="Numberbullet3i"/>
        <w:numPr>
          <w:ilvl w:val="0"/>
          <w:numId w:val="24"/>
        </w:numPr>
        <w:ind w:left="993" w:hanging="425"/>
      </w:pPr>
      <w:r w:rsidRPr="00D67617">
        <w:t>Not for internal use; or</w:t>
      </w:r>
    </w:p>
    <w:p w14:paraId="1A9F5CF8" w14:textId="19FA7687" w:rsidR="00A25978" w:rsidRDefault="00A25978" w:rsidP="0067078D">
      <w:pPr>
        <w:pStyle w:val="Numberbullet3i"/>
        <w:ind w:left="993"/>
      </w:pPr>
      <w:r w:rsidRPr="00D67617">
        <w:t>Not to be taken.</w:t>
      </w:r>
    </w:p>
    <w:p w14:paraId="6EBE5495" w14:textId="77777777" w:rsidR="00A25978" w:rsidRPr="00D67617" w:rsidRDefault="00A25978" w:rsidP="00A25978">
      <w:pPr>
        <w:ind w:left="426"/>
      </w:pPr>
      <w:r w:rsidRPr="00D67617">
        <w:t>TETRAHYDROCANNABINOLS and their alkyl homologues, </w:t>
      </w:r>
      <w:r w:rsidRPr="00D67617">
        <w:rPr>
          <w:b/>
          <w:bCs/>
        </w:rPr>
        <w:t>except</w:t>
      </w:r>
      <w:r>
        <w:t xml:space="preserve"> </w:t>
      </w:r>
      <w:r w:rsidRPr="00D67617">
        <w:t>in hemp seed oil for purposes other than internal human use containing 50 mg/kg or less of total cannabinoids, including 20 mg/kg or less of tetrahydrocannabinols, when labelled with either</w:t>
      </w:r>
      <w:r>
        <w:t xml:space="preserve"> </w:t>
      </w:r>
      <w:r w:rsidRPr="00D67617">
        <w:t>of the following warning statements:</w:t>
      </w:r>
    </w:p>
    <w:p w14:paraId="16BFC4B4" w14:textId="2B7213F0" w:rsidR="00A25978" w:rsidRPr="00D67617" w:rsidRDefault="00A25978" w:rsidP="0067078D">
      <w:pPr>
        <w:pStyle w:val="Numberbullet3i"/>
        <w:numPr>
          <w:ilvl w:val="0"/>
          <w:numId w:val="25"/>
        </w:numPr>
        <w:ind w:left="993" w:hanging="425"/>
      </w:pPr>
      <w:r w:rsidRPr="00D67617">
        <w:t>Not for internal use; or</w:t>
      </w:r>
    </w:p>
    <w:p w14:paraId="55E9E882" w14:textId="6B6715C7" w:rsidR="00A25978" w:rsidRPr="00D67617" w:rsidRDefault="00A25978" w:rsidP="0067078D">
      <w:pPr>
        <w:pStyle w:val="Numberbullet3i"/>
        <w:ind w:left="993"/>
      </w:pPr>
      <w:r w:rsidRPr="00D67617">
        <w:t>Not to be taken.</w:t>
      </w:r>
    </w:p>
    <w:p w14:paraId="0989A922" w14:textId="77777777" w:rsidR="00A25978" w:rsidRDefault="00A25978" w:rsidP="00A25978">
      <w:pPr>
        <w:pStyle w:val="Heading4"/>
      </w:pPr>
      <w:r>
        <w:t xml:space="preserve">Proposed </w:t>
      </w:r>
      <w:r w:rsidRPr="002E3DA3">
        <w:t>scheduling</w:t>
      </w:r>
    </w:p>
    <w:p w14:paraId="012A3208" w14:textId="77777777" w:rsidR="00A25978" w:rsidRPr="00885259" w:rsidRDefault="00A25978" w:rsidP="00A25978">
      <w:pPr>
        <w:ind w:left="426"/>
        <w:rPr>
          <w:b/>
          <w:bCs/>
        </w:rPr>
      </w:pPr>
      <w:r w:rsidRPr="00885259">
        <w:rPr>
          <w:b/>
          <w:bCs/>
        </w:rPr>
        <w:t>Schedule 9 –</w:t>
      </w:r>
      <w:r>
        <w:rPr>
          <w:b/>
          <w:bCs/>
        </w:rPr>
        <w:t xml:space="preserve"> Amend Entry</w:t>
      </w:r>
    </w:p>
    <w:p w14:paraId="6ABE5D70" w14:textId="77777777" w:rsidR="00533C0C" w:rsidRDefault="00A25978" w:rsidP="00533C0C">
      <w:pPr>
        <w:spacing w:line="240" w:lineRule="auto"/>
        <w:ind w:left="426"/>
      </w:pPr>
      <w:r w:rsidRPr="00885259">
        <w:t>CANNABIS (including seeds, extracts, resins, and the plant and any part of the plant when</w:t>
      </w:r>
      <w:r>
        <w:t xml:space="preserve"> </w:t>
      </w:r>
      <w:r w:rsidRPr="00885259">
        <w:t xml:space="preserve">packed or prepared), </w:t>
      </w:r>
      <w:r w:rsidRPr="00885259">
        <w:rPr>
          <w:bCs/>
        </w:rPr>
        <w:t>except</w:t>
      </w:r>
      <w:r w:rsidR="00533C0C">
        <w:t>:</w:t>
      </w:r>
    </w:p>
    <w:p w14:paraId="5C940594" w14:textId="67ED2B58" w:rsidR="00A25978" w:rsidRPr="00885259" w:rsidRDefault="00A25978" w:rsidP="00711DA6">
      <w:pPr>
        <w:pStyle w:val="Numberbullet2a"/>
        <w:numPr>
          <w:ilvl w:val="0"/>
          <w:numId w:val="26"/>
        </w:numPr>
        <w:ind w:left="851" w:hanging="425"/>
      </w:pPr>
      <w:r w:rsidRPr="00885259">
        <w:t>when separately specified in these Schedules; or</w:t>
      </w:r>
    </w:p>
    <w:p w14:paraId="35A6DE73" w14:textId="3C1B22BB" w:rsidR="00A25978" w:rsidRPr="00885259" w:rsidRDefault="00A25978" w:rsidP="00711DA6">
      <w:pPr>
        <w:pStyle w:val="Numberbullet2a"/>
      </w:pPr>
      <w:r w:rsidRPr="00885259">
        <w:t>processed hemp fibre containing 0.1 per cent or less of tetrahydrocannabinols and</w:t>
      </w:r>
      <w:r>
        <w:t xml:space="preserve"> </w:t>
      </w:r>
      <w:r w:rsidRPr="00885259">
        <w:t>hemp fibre products manufactured from such fibre; or</w:t>
      </w:r>
    </w:p>
    <w:p w14:paraId="5DB0B9E4" w14:textId="318D56D6" w:rsidR="00A25978" w:rsidRPr="00885259" w:rsidRDefault="00A25978" w:rsidP="00711DA6">
      <w:pPr>
        <w:pStyle w:val="Numberbullet2a"/>
      </w:pPr>
      <w:r w:rsidRPr="00885259">
        <w:t>when in hemp seed oil for purposes other than internal human use containing 50</w:t>
      </w:r>
      <w:r>
        <w:t xml:space="preserve"> </w:t>
      </w:r>
      <w:r w:rsidRPr="00885259">
        <w:t>mg/kg or less of cannabinoids, including 20 mg/kg or</w:t>
      </w:r>
      <w:r>
        <w:t xml:space="preserve"> less of tetrahydrocannabinols, </w:t>
      </w:r>
      <w:r w:rsidRPr="00885259">
        <w:t>when labelled with either of the following warning statements:</w:t>
      </w:r>
    </w:p>
    <w:p w14:paraId="5FD8510B" w14:textId="5FBFAA1C" w:rsidR="00A25978" w:rsidRPr="00885259" w:rsidRDefault="00A25978" w:rsidP="0067078D">
      <w:pPr>
        <w:pStyle w:val="Numberbullet3i"/>
        <w:numPr>
          <w:ilvl w:val="0"/>
          <w:numId w:val="27"/>
        </w:numPr>
        <w:ind w:left="1276" w:hanging="425"/>
      </w:pPr>
      <w:r w:rsidRPr="00885259">
        <w:t>Not for internal use; or</w:t>
      </w:r>
    </w:p>
    <w:p w14:paraId="08A9FE72" w14:textId="274C6756" w:rsidR="00A25978" w:rsidRPr="00885259" w:rsidRDefault="00A25978" w:rsidP="0067078D">
      <w:pPr>
        <w:pStyle w:val="Numberbullet3i"/>
      </w:pPr>
      <w:r w:rsidRPr="00885259">
        <w:t xml:space="preserve">Not to be taken.; </w:t>
      </w:r>
      <w:r w:rsidRPr="00885259">
        <w:rPr>
          <w:color w:val="FF0000"/>
        </w:rPr>
        <w:t>or</w:t>
      </w:r>
    </w:p>
    <w:p w14:paraId="3366B334" w14:textId="64FB7816" w:rsidR="00A25978" w:rsidRPr="00885259" w:rsidRDefault="00A25978" w:rsidP="00711DA6">
      <w:pPr>
        <w:pStyle w:val="Numberbulletreda"/>
        <w:ind w:left="851" w:hanging="425"/>
      </w:pPr>
      <w:r w:rsidRPr="00885259">
        <w:t xml:space="preserve">when in hemp seed oil preparations extracted from the seed of low THC </w:t>
      </w:r>
      <w:r w:rsidRPr="00885259">
        <w:rPr>
          <w:i/>
          <w:iCs/>
        </w:rPr>
        <w:t>Cannabis</w:t>
      </w:r>
      <w:r>
        <w:rPr>
          <w:i/>
          <w:iCs/>
        </w:rPr>
        <w:t xml:space="preserve"> </w:t>
      </w:r>
      <w:r w:rsidRPr="00885259">
        <w:rPr>
          <w:i/>
          <w:iCs/>
        </w:rPr>
        <w:t xml:space="preserve">sativa </w:t>
      </w:r>
      <w:r w:rsidRPr="00885259">
        <w:t>for oral use containing levels of cannabinoids permitted for oral consumption</w:t>
      </w:r>
      <w:r>
        <w:t xml:space="preserve"> </w:t>
      </w:r>
      <w:r w:rsidRPr="00885259">
        <w:t>as a food for sale or an ingredient in a food for sale by the Australia New Zealand</w:t>
      </w:r>
      <w:r>
        <w:t xml:space="preserve"> </w:t>
      </w:r>
      <w:r w:rsidRPr="00885259">
        <w:t>Food Standards Code (as amended from time to time).</w:t>
      </w:r>
    </w:p>
    <w:p w14:paraId="05F5AB6F" w14:textId="77777777" w:rsidR="00A25978" w:rsidRPr="00885259" w:rsidRDefault="00A25978" w:rsidP="00A25978">
      <w:pPr>
        <w:ind w:left="426"/>
        <w:rPr>
          <w:b/>
          <w:bCs/>
        </w:rPr>
      </w:pPr>
      <w:r>
        <w:rPr>
          <w:b/>
          <w:bCs/>
        </w:rPr>
        <w:t>Schedule 9 – Amend Entry</w:t>
      </w:r>
    </w:p>
    <w:p w14:paraId="3CBE7720" w14:textId="77777777" w:rsidR="00A25978" w:rsidRPr="00885259" w:rsidRDefault="00A25978" w:rsidP="00A25978">
      <w:pPr>
        <w:ind w:left="426"/>
      </w:pPr>
      <w:r w:rsidRPr="00885259">
        <w:t xml:space="preserve">TETRAHYDROCANNABINOLS and their alkyl homologues, </w:t>
      </w:r>
      <w:r w:rsidRPr="00885259">
        <w:rPr>
          <w:bCs/>
        </w:rPr>
        <w:t>except</w:t>
      </w:r>
      <w:r w:rsidRPr="00885259">
        <w:t>:</w:t>
      </w:r>
    </w:p>
    <w:p w14:paraId="71ECCA22" w14:textId="7FF79F5B" w:rsidR="00A25978" w:rsidRPr="00885259" w:rsidRDefault="00A25978" w:rsidP="0067078D">
      <w:pPr>
        <w:pStyle w:val="Numberbullet2a"/>
        <w:numPr>
          <w:ilvl w:val="0"/>
          <w:numId w:val="28"/>
        </w:numPr>
        <w:ind w:left="851" w:hanging="425"/>
      </w:pPr>
      <w:r w:rsidRPr="00885259">
        <w:t>when included in Schedule 4 or Schedule 8; or</w:t>
      </w:r>
    </w:p>
    <w:p w14:paraId="24136D72" w14:textId="6991644A" w:rsidR="00A25978" w:rsidRPr="00885259" w:rsidRDefault="00A25978" w:rsidP="0067078D">
      <w:pPr>
        <w:pStyle w:val="Numberbullet2a"/>
      </w:pPr>
      <w:r w:rsidRPr="00885259">
        <w:t>processed hemp fibre containing 0.1 per cent or less of tetrahydrocannabinols, and</w:t>
      </w:r>
      <w:r>
        <w:t xml:space="preserve"> </w:t>
      </w:r>
      <w:r w:rsidRPr="00885259">
        <w:t>hemp fibre products manufactured from such fibre; or</w:t>
      </w:r>
    </w:p>
    <w:p w14:paraId="185A61E4" w14:textId="0BC47CAD" w:rsidR="00A25978" w:rsidRPr="00885259" w:rsidRDefault="00A25978" w:rsidP="0067078D">
      <w:pPr>
        <w:pStyle w:val="Numberbullet2a"/>
      </w:pPr>
      <w:r w:rsidRPr="00885259">
        <w:t>in hemp seed oil for purposes other than internal human use containing 50 mg/kg or</w:t>
      </w:r>
      <w:r>
        <w:t xml:space="preserve"> </w:t>
      </w:r>
      <w:r w:rsidRPr="00885259">
        <w:t>less of total cannabinoids, including 20 mg/kg or</w:t>
      </w:r>
      <w:r>
        <w:t xml:space="preserve"> less of tetrahydrocannabinols, </w:t>
      </w:r>
      <w:r w:rsidRPr="00885259">
        <w:t>when labelled with either of the following warning statements:</w:t>
      </w:r>
    </w:p>
    <w:p w14:paraId="5E6A3980" w14:textId="59F30922" w:rsidR="00A25978" w:rsidRPr="00885259" w:rsidRDefault="00A25978" w:rsidP="0067078D">
      <w:pPr>
        <w:pStyle w:val="Numberbullet3i"/>
        <w:numPr>
          <w:ilvl w:val="0"/>
          <w:numId w:val="29"/>
        </w:numPr>
        <w:ind w:left="1276" w:hanging="425"/>
      </w:pPr>
      <w:r w:rsidRPr="00885259">
        <w:t>Not for internal use; or</w:t>
      </w:r>
    </w:p>
    <w:p w14:paraId="2C2CBCE4" w14:textId="4E2F1D47" w:rsidR="00A25978" w:rsidRPr="00885259" w:rsidRDefault="00A25978" w:rsidP="0067078D">
      <w:pPr>
        <w:pStyle w:val="Numberbullet3i"/>
      </w:pPr>
      <w:r w:rsidRPr="00885259">
        <w:t xml:space="preserve">Not to be taken.; </w:t>
      </w:r>
      <w:r w:rsidRPr="00885259">
        <w:rPr>
          <w:color w:val="FF0000"/>
        </w:rPr>
        <w:t>or</w:t>
      </w:r>
    </w:p>
    <w:p w14:paraId="4B57450E" w14:textId="6F9B7639" w:rsidR="00A25978" w:rsidRPr="00E82708" w:rsidRDefault="00A25978" w:rsidP="0067078D">
      <w:pPr>
        <w:pStyle w:val="Numberbulletreda"/>
        <w:numPr>
          <w:ilvl w:val="0"/>
          <w:numId w:val="30"/>
        </w:numPr>
        <w:ind w:left="851" w:hanging="425"/>
      </w:pPr>
      <w:r w:rsidRPr="00885259">
        <w:t xml:space="preserve">when in hemp seed oil preparations extracted from the seed of low THC </w:t>
      </w:r>
      <w:r w:rsidRPr="0067078D">
        <w:rPr>
          <w:i/>
          <w:iCs/>
        </w:rPr>
        <w:t xml:space="preserve">Cannabis sativa </w:t>
      </w:r>
      <w:r w:rsidRPr="00885259">
        <w:t xml:space="preserve">for oral use containing levels of </w:t>
      </w:r>
      <w:r>
        <w:t xml:space="preserve">cannabinoids permitted for oral </w:t>
      </w:r>
      <w:r w:rsidRPr="00885259">
        <w:t>consumption as a food for sale or an ingredient in a</w:t>
      </w:r>
      <w:r>
        <w:t xml:space="preserve"> food for sale by the Australia </w:t>
      </w:r>
      <w:r w:rsidRPr="00885259">
        <w:t>New Zealand Food Standards Code (as amended from time to time).</w:t>
      </w:r>
    </w:p>
    <w:p w14:paraId="6E00F5D6" w14:textId="77777777" w:rsidR="00A25978" w:rsidRPr="00C46F90" w:rsidRDefault="00A25978" w:rsidP="00A25978">
      <w:pPr>
        <w:pStyle w:val="Heading4"/>
      </w:pPr>
      <w:r w:rsidRPr="00C46F90">
        <w:t>Key uses / expected use</w:t>
      </w:r>
    </w:p>
    <w:p w14:paraId="35E40515" w14:textId="77777777" w:rsidR="00A25978" w:rsidRDefault="00A25978" w:rsidP="00A25978">
      <w:r>
        <w:t>Food</w:t>
      </w:r>
    </w:p>
    <w:p w14:paraId="07A3D7AA" w14:textId="77777777" w:rsidR="00A25978" w:rsidRPr="00F16117" w:rsidRDefault="00A25978" w:rsidP="00A25978">
      <w:pPr>
        <w:pStyle w:val="Heading4"/>
      </w:pPr>
      <w:r>
        <w:t>Application summary - reasons for proposal</w:t>
      </w:r>
    </w:p>
    <w:p w14:paraId="339550DA" w14:textId="77777777" w:rsidR="00A25978" w:rsidRPr="00C54B04" w:rsidRDefault="00A25978" w:rsidP="00DC6EC8">
      <w:pPr>
        <w:pStyle w:val="ListBullet"/>
      </w:pPr>
      <w:r>
        <w:t>T</w:t>
      </w:r>
      <w:r w:rsidRPr="00C54B04">
        <w:t xml:space="preserve">he Poisons Standard </w:t>
      </w:r>
      <w:r>
        <w:t>defines hemp seed oil (</w:t>
      </w:r>
      <w:r w:rsidRPr="00C54B04">
        <w:t>HSO</w:t>
      </w:r>
      <w:r>
        <w:t>)</w:t>
      </w:r>
      <w:r w:rsidRPr="00C54B04">
        <w:t xml:space="preserve"> as being “obtained by cold expression from the ripened fruits (seeds) of </w:t>
      </w:r>
      <w:r w:rsidRPr="00E62F06">
        <w:rPr>
          <w:i/>
        </w:rPr>
        <w:t>Cannabis sativa</w:t>
      </w:r>
      <w:r w:rsidRPr="00C54B04">
        <w:t>”. Unlike other part</w:t>
      </w:r>
      <w:r>
        <w:t>s</w:t>
      </w:r>
      <w:r w:rsidRPr="00C54B04">
        <w:t xml:space="preserve"> of the </w:t>
      </w:r>
      <w:r w:rsidRPr="00C54B04">
        <w:rPr>
          <w:i/>
          <w:iCs/>
        </w:rPr>
        <w:t>Cannabis</w:t>
      </w:r>
      <w:r w:rsidRPr="00C54B04">
        <w:t xml:space="preserve"> </w:t>
      </w:r>
      <w:r w:rsidRPr="00C54B04">
        <w:rPr>
          <w:i/>
          <w:iCs/>
        </w:rPr>
        <w:t xml:space="preserve">sativa </w:t>
      </w:r>
      <w:r w:rsidRPr="00C54B04">
        <w:t>plant, hemp seeds do not naturally contain cannabinoids such as cannabidiol (CBD) or tetrahydrocannabinol (THC), though trace amounts may be present due to cross-contamination of the seed hull with cannabinoid-containing resins in bracts and leaves during maturation, harvesting and processing.</w:t>
      </w:r>
    </w:p>
    <w:p w14:paraId="024B889A" w14:textId="77777777" w:rsidR="00A25978" w:rsidRDefault="00A25978" w:rsidP="00DC6EC8">
      <w:pPr>
        <w:pStyle w:val="ListBullet"/>
      </w:pPr>
      <w:r w:rsidRPr="00C54B04">
        <w:t>Whilst being naturally low in CBD and THC, HSO is considered to be of particular importance and nutritional value due to its balance of omega-3 and omega-6 fatty acids</w:t>
      </w:r>
      <w:r>
        <w:t>.</w:t>
      </w:r>
    </w:p>
    <w:p w14:paraId="26C42169" w14:textId="77777777" w:rsidR="00A25978" w:rsidRDefault="0099313B" w:rsidP="00DC6EC8">
      <w:pPr>
        <w:pStyle w:val="ListBullet"/>
      </w:pPr>
      <w:hyperlink r:id="rId153" w:history="1">
        <w:r w:rsidR="00A25978" w:rsidRPr="00634BA3">
          <w:rPr>
            <w:rStyle w:val="Hyperlink"/>
          </w:rPr>
          <w:t>The Office of Drug Control</w:t>
        </w:r>
      </w:hyperlink>
      <w:r w:rsidR="00A25978">
        <w:t xml:space="preserve"> allows importation of HSO without a licence or permit under the Prohibited Import Regulations, provided that the substance meets specified content criteria.</w:t>
      </w:r>
    </w:p>
    <w:p w14:paraId="4D428C18" w14:textId="77777777" w:rsidR="00A25978" w:rsidRDefault="00A25978" w:rsidP="00DC6EC8">
      <w:pPr>
        <w:pStyle w:val="ListBullet"/>
      </w:pPr>
      <w:r>
        <w:t xml:space="preserve">The oral consumption of hemp seed foods, including hemp seed oil, was endorsed by </w:t>
      </w:r>
      <w:hyperlink r:id="rId154" w:history="1">
        <w:r w:rsidRPr="00634BA3">
          <w:rPr>
            <w:rStyle w:val="Hyperlink"/>
          </w:rPr>
          <w:t>Food Standards Australia New Zealand (FSANZ)</w:t>
        </w:r>
      </w:hyperlink>
      <w:r>
        <w:t xml:space="preserve"> in 2017 as being safe for human consumption.</w:t>
      </w:r>
    </w:p>
    <w:p w14:paraId="0D054220" w14:textId="77777777" w:rsidR="00A25978" w:rsidRDefault="00A25978" w:rsidP="00DC6EC8">
      <w:pPr>
        <w:pStyle w:val="ListBullet"/>
      </w:pPr>
      <w:r>
        <w:t>Removal of HSO from the Poisons Standard would enable consideration for inclusion as a therapeutic good, however such use would still be subject to additional regulatory requirements and approvals.</w:t>
      </w:r>
    </w:p>
    <w:p w14:paraId="1DC66B17" w14:textId="77777777" w:rsidR="00A25978" w:rsidRDefault="00A25978" w:rsidP="00A25978">
      <w:pPr>
        <w:pStyle w:val="Heading4"/>
      </w:pPr>
      <w:r w:rsidRPr="00DC5AE0">
        <w:t xml:space="preserve">Australian </w:t>
      </w:r>
      <w:r>
        <w:t>regulations</w:t>
      </w:r>
      <w:r w:rsidRPr="00DC5AE0">
        <w:t xml:space="preserve"> </w:t>
      </w:r>
    </w:p>
    <w:p w14:paraId="6007244D" w14:textId="77777777" w:rsidR="00A25978" w:rsidRPr="00A879A4" w:rsidRDefault="00A25978" w:rsidP="00DC6EC8">
      <w:pPr>
        <w:pStyle w:val="ListBullet"/>
      </w:pPr>
      <w:r>
        <w:t xml:space="preserve">The </w:t>
      </w:r>
      <w:hyperlink r:id="rId155" w:history="1">
        <w:r w:rsidRPr="00C66C5E">
          <w:rPr>
            <w:rStyle w:val="Hyperlink"/>
          </w:rPr>
          <w:t xml:space="preserve">TGA </w:t>
        </w:r>
        <w:r>
          <w:rPr>
            <w:rStyle w:val="Hyperlink"/>
          </w:rPr>
          <w:t xml:space="preserve">Ingredient </w:t>
        </w:r>
        <w:r w:rsidRPr="00C66C5E">
          <w:rPr>
            <w:rStyle w:val="Hyperlink"/>
          </w:rPr>
          <w:t>Database</w:t>
        </w:r>
      </w:hyperlink>
      <w:r>
        <w:rPr>
          <w:rStyle w:val="FootnoteReference"/>
        </w:rPr>
        <w:footnoteReference w:id="119"/>
      </w:r>
      <w:r w:rsidRPr="00E82708">
        <w:rPr>
          <w:rStyle w:val="Hyperlink"/>
        </w:rPr>
        <w:t xml:space="preserve"> does not include h</w:t>
      </w:r>
      <w:r>
        <w:t>emp seed oil.</w:t>
      </w:r>
    </w:p>
    <w:p w14:paraId="0D087ABD" w14:textId="098DD314" w:rsidR="00A25978" w:rsidRDefault="00A25978" w:rsidP="00DC6EC8">
      <w:pPr>
        <w:pStyle w:val="ListBullet"/>
      </w:pPr>
      <w:r>
        <w:t xml:space="preserve">As of </w:t>
      </w:r>
      <w:r w:rsidRPr="00F16117">
        <w:t>November 2020</w:t>
      </w:r>
      <w:r>
        <w:t>, t</w:t>
      </w:r>
      <w:r w:rsidRPr="00881DFE">
        <w:t xml:space="preserve">here </w:t>
      </w:r>
      <w:r>
        <w:t>were</w:t>
      </w:r>
      <w:r w:rsidRPr="00881DFE">
        <w:t xml:space="preserve"> </w:t>
      </w:r>
      <w:r w:rsidRPr="00F16117">
        <w:t>no</w:t>
      </w:r>
      <w:r>
        <w:t xml:space="preserve"> medicine</w:t>
      </w:r>
      <w:r w:rsidRPr="00881DFE">
        <w:t xml:space="preserve">s currently active on the </w:t>
      </w:r>
      <w:hyperlink r:id="rId156" w:history="1">
        <w:r w:rsidRPr="00293CCA">
          <w:rPr>
            <w:rStyle w:val="Hyperlink"/>
          </w:rPr>
          <w:t>Australian Register of Therapeutic Goods (ARTG)</w:t>
        </w:r>
      </w:hyperlink>
      <w:r>
        <w:rPr>
          <w:rStyle w:val="FootnoteReference"/>
        </w:rPr>
        <w:footnoteReference w:id="120"/>
      </w:r>
      <w:r>
        <w:t xml:space="preserve"> that contain</w:t>
      </w:r>
      <w:r w:rsidRPr="00881DFE">
        <w:t xml:space="preserve"> </w:t>
      </w:r>
      <w:r>
        <w:t>hemp seed oil as an active ingredient</w:t>
      </w:r>
      <w:r w:rsidRPr="00881DFE">
        <w:t>.</w:t>
      </w:r>
    </w:p>
    <w:p w14:paraId="19595331" w14:textId="77777777" w:rsidR="00A25978" w:rsidRPr="00F16117" w:rsidRDefault="00A25978" w:rsidP="00DC6EC8">
      <w:pPr>
        <w:pStyle w:val="ListBullet"/>
      </w:pPr>
      <w:r>
        <w:t>Hemp seed oil</w:t>
      </w:r>
      <w:r w:rsidRPr="009C55D5">
        <w:t xml:space="preserve"> is not permitted to be included in listed medicines </w:t>
      </w:r>
      <w:r>
        <w:t xml:space="preserve">as it is not included in the </w:t>
      </w:r>
      <w:hyperlink r:id="rId157" w:history="1">
        <w:r w:rsidRPr="00824CAC">
          <w:rPr>
            <w:rStyle w:val="Hyperlink"/>
          </w:rPr>
          <w:t>Therapeutic Goods (Permissible Ingredients) Determination</w:t>
        </w:r>
      </w:hyperlink>
      <w:r>
        <w:rPr>
          <w:rStyle w:val="FootnoteReference"/>
        </w:rPr>
        <w:footnoteReference w:id="121"/>
      </w:r>
      <w:r w:rsidRPr="009C55D5">
        <w:t xml:space="preserve"> No.</w:t>
      </w:r>
      <w:r w:rsidRPr="00F16117">
        <w:t>3 of 2020</w:t>
      </w:r>
      <w:r>
        <w:t>.</w:t>
      </w:r>
    </w:p>
    <w:p w14:paraId="12D950ED" w14:textId="77777777" w:rsidR="00A25978" w:rsidRDefault="00A25978" w:rsidP="00DC6EC8">
      <w:pPr>
        <w:pStyle w:val="ListBullet"/>
      </w:pPr>
      <w:r>
        <w:t xml:space="preserve">The </w:t>
      </w:r>
      <w:hyperlink r:id="rId15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22"/>
      </w:r>
      <w:r>
        <w:t xml:space="preserve"> does not include an entry for hemp seed oil.</w:t>
      </w:r>
    </w:p>
    <w:p w14:paraId="36024A92" w14:textId="2CAA277E" w:rsidR="00A25978" w:rsidRDefault="00A25978" w:rsidP="00DC6EC8">
      <w:pPr>
        <w:pStyle w:val="ListBullet"/>
      </w:pPr>
      <w:r>
        <w:t xml:space="preserve">There are no </w:t>
      </w:r>
      <w:r w:rsidRPr="00A30084">
        <w:t xml:space="preserve">warning statements pertaining </w:t>
      </w:r>
      <w:r>
        <w:t xml:space="preserve">to hemp seed oil in the </w:t>
      </w:r>
      <w:hyperlink r:id="rId159" w:history="1">
        <w:r w:rsidRPr="00AB7BF5">
          <w:rPr>
            <w:rStyle w:val="Hyperlink"/>
          </w:rPr>
          <w:t>Therapeutic Goods (Medicines Advisory Statements) Specification 2019</w:t>
        </w:r>
      </w:hyperlink>
      <w:r>
        <w:rPr>
          <w:rStyle w:val="FootnoteReference"/>
        </w:rPr>
        <w:footnoteReference w:id="123"/>
      </w:r>
      <w:r w:rsidR="0067078D" w:rsidRPr="0067078D">
        <w:rPr>
          <w:rStyle w:val="Hyperlink"/>
          <w:color w:val="auto"/>
          <w:u w:val="none"/>
        </w:rPr>
        <w:t>.</w:t>
      </w:r>
    </w:p>
    <w:p w14:paraId="10F39EE8" w14:textId="2BFB7C42" w:rsidR="00A25978" w:rsidRPr="00F16117" w:rsidRDefault="00A25978" w:rsidP="00DC6EC8">
      <w:pPr>
        <w:pStyle w:val="ListBullet"/>
      </w:pPr>
      <w:r>
        <w:t xml:space="preserve">As of </w:t>
      </w:r>
      <w:r w:rsidRPr="00F16117">
        <w:t>November 2020</w:t>
      </w:r>
      <w:r>
        <w:t>, there were</w:t>
      </w:r>
      <w:r w:rsidRPr="009C55D5">
        <w:t xml:space="preserve"> </w:t>
      </w:r>
      <w:r>
        <w:t>no</w:t>
      </w:r>
      <w:r w:rsidRPr="009C55D5">
        <w:t xml:space="preserve"> reports of adverse events for products containing </w:t>
      </w:r>
      <w:r>
        <w:t>hemp seed oil</w:t>
      </w:r>
      <w:r w:rsidRPr="009C55D5">
        <w:t xml:space="preserve"> as an active ingredient</w:t>
      </w:r>
      <w:r>
        <w:t xml:space="preserve"> on the </w:t>
      </w:r>
      <w:hyperlink r:id="rId160" w:history="1">
        <w:r w:rsidRPr="00F0449C">
          <w:rPr>
            <w:rStyle w:val="Hyperlink"/>
          </w:rPr>
          <w:t>Database of Adverse Event Notifications (DAEN)</w:t>
        </w:r>
      </w:hyperlink>
      <w:r>
        <w:t>.</w:t>
      </w:r>
      <w:r w:rsidRPr="00F0449C">
        <w:rPr>
          <w:rStyle w:val="FootnoteReference"/>
        </w:rPr>
        <w:footnoteReference w:id="124"/>
      </w:r>
    </w:p>
    <w:p w14:paraId="6D23D1EA" w14:textId="77777777" w:rsidR="00A25978" w:rsidRPr="00EA2338" w:rsidRDefault="00A25978" w:rsidP="00DC6EC8">
      <w:pPr>
        <w:pStyle w:val="ListBullet"/>
      </w:pPr>
      <w:r>
        <w:t xml:space="preserve">As of </w:t>
      </w:r>
      <w:r w:rsidRPr="00F16117">
        <w:t>November 2020</w:t>
      </w:r>
      <w:r>
        <w:t>, t</w:t>
      </w:r>
      <w:r w:rsidRPr="00F0449C">
        <w:t xml:space="preserve">here </w:t>
      </w:r>
      <w:r>
        <w:t>were</w:t>
      </w:r>
      <w:r w:rsidRPr="00F0449C">
        <w:t xml:space="preserve"> </w:t>
      </w:r>
      <w:r w:rsidRPr="00F16117">
        <w:t>no</w:t>
      </w:r>
      <w:r w:rsidRPr="00F0449C">
        <w:t xml:space="preserve"> products containing </w:t>
      </w:r>
      <w:r>
        <w:t xml:space="preserve">hemp seed oil </w:t>
      </w:r>
      <w:r w:rsidRPr="00F0449C">
        <w:t xml:space="preserve">listed on the </w:t>
      </w:r>
      <w:hyperlink r:id="rId16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25"/>
      </w:r>
    </w:p>
    <w:p w14:paraId="12390196" w14:textId="77777777" w:rsidR="00A25978" w:rsidRDefault="00A25978" w:rsidP="00DC6EC8">
      <w:pPr>
        <w:pStyle w:val="ListBullet"/>
      </w:pPr>
      <w:r>
        <w:t xml:space="preserve">Hemp seed oil is permitted for import without permission by the </w:t>
      </w:r>
      <w:hyperlink r:id="rId162" w:history="1">
        <w:r w:rsidRPr="00EA2338">
          <w:rPr>
            <w:rStyle w:val="Hyperlink"/>
          </w:rPr>
          <w:t>Office for Drug Control</w:t>
        </w:r>
      </w:hyperlink>
      <w:r>
        <w:rPr>
          <w:rStyle w:val="FootnoteReference"/>
        </w:rPr>
        <w:footnoteReference w:id="126"/>
      </w:r>
      <w:r>
        <w:t xml:space="preserve"> provided the total cannabidiol (CBD) content is not more than 0.0075% by weight, and the total tetrahydrocannabinol (THC) content is not more than 0.005% by weight.</w:t>
      </w:r>
    </w:p>
    <w:p w14:paraId="2FFE8978" w14:textId="77777777" w:rsidR="00A25978" w:rsidRPr="00CB687C" w:rsidRDefault="00A25978" w:rsidP="00A25978">
      <w:pPr>
        <w:pStyle w:val="Heading4"/>
      </w:pPr>
      <w:r>
        <w:t>International regulations</w:t>
      </w:r>
    </w:p>
    <w:p w14:paraId="52ECA05A" w14:textId="77777777" w:rsidR="00A25978" w:rsidRDefault="00A25978" w:rsidP="00DC6EC8">
      <w:pPr>
        <w:pStyle w:val="ListBullet"/>
      </w:pPr>
      <w:r>
        <w:t xml:space="preserve">There is no entry for hemp seed oil on the </w:t>
      </w:r>
      <w:hyperlink r:id="rId163" w:history="1">
        <w:r w:rsidRPr="00BF18DB">
          <w:rPr>
            <w:rStyle w:val="Hyperlink"/>
          </w:rPr>
          <w:t>Food and Drug Administration Approved Drugs Database</w:t>
        </w:r>
      </w:hyperlink>
      <w:r>
        <w:rPr>
          <w:rStyle w:val="FootnoteReference"/>
        </w:rPr>
        <w:footnoteReference w:id="127"/>
      </w:r>
      <w:r>
        <w:t xml:space="preserve">, the </w:t>
      </w:r>
      <w:hyperlink r:id="rId164" w:history="1">
        <w:r w:rsidRPr="00BF18DB">
          <w:rPr>
            <w:rStyle w:val="Hyperlink"/>
          </w:rPr>
          <w:t>Health Canada Drug Product Database</w:t>
        </w:r>
      </w:hyperlink>
      <w:r>
        <w:rPr>
          <w:rStyle w:val="FootnoteReference"/>
        </w:rPr>
        <w:footnoteReference w:id="128"/>
      </w:r>
      <w:r>
        <w:t xml:space="preserve">, or the </w:t>
      </w:r>
      <w:hyperlink r:id="rId165" w:history="1">
        <w:r w:rsidRPr="00BF18DB">
          <w:rPr>
            <w:rStyle w:val="Hyperlink"/>
          </w:rPr>
          <w:t>Medsafe Medicines Classification Database</w:t>
        </w:r>
      </w:hyperlink>
      <w:r>
        <w:rPr>
          <w:rStyle w:val="FootnoteReference"/>
        </w:rPr>
        <w:footnoteReference w:id="129"/>
      </w:r>
      <w:r>
        <w:t>.</w:t>
      </w:r>
    </w:p>
    <w:p w14:paraId="5AD07BC7" w14:textId="77777777" w:rsidR="00A25978" w:rsidRDefault="00A25978" w:rsidP="00DC6EC8">
      <w:pPr>
        <w:pStyle w:val="ListBullet"/>
      </w:pPr>
      <w:r>
        <w:t xml:space="preserve">The </w:t>
      </w:r>
      <w:hyperlink r:id="rId166" w:history="1">
        <w:r w:rsidRPr="002921DD">
          <w:rPr>
            <w:rStyle w:val="Hyperlink"/>
          </w:rPr>
          <w:t>Australia New Zealand Food Standards Code</w:t>
        </w:r>
      </w:hyperlink>
      <w:r>
        <w:t xml:space="preserve"> was amended in 2017 to permit low-tetrahydrocannabinol hemp seed to be a food.</w:t>
      </w:r>
    </w:p>
    <w:p w14:paraId="0B296E64" w14:textId="77777777" w:rsidR="00A25978" w:rsidRPr="00D22DD2" w:rsidRDefault="0099313B" w:rsidP="00DC6EC8">
      <w:pPr>
        <w:pStyle w:val="ListBullet"/>
      </w:pPr>
      <w:hyperlink r:id="rId167" w:anchor="a9" w:history="1">
        <w:r w:rsidR="00A25978" w:rsidRPr="002921DD">
          <w:rPr>
            <w:rStyle w:val="Hyperlink"/>
          </w:rPr>
          <w:t>Hemp seed oil is permitted to be marketed in Canada</w:t>
        </w:r>
      </w:hyperlink>
      <w:r w:rsidR="00A25978">
        <w:rPr>
          <w:rStyle w:val="FootnoteReference"/>
        </w:rPr>
        <w:footnoteReference w:id="130"/>
      </w:r>
      <w:r w:rsidR="00A25978" w:rsidRPr="0067078D">
        <w:rPr>
          <w:rStyle w:val="Hyperlink"/>
          <w:color w:val="auto"/>
          <w:u w:val="none"/>
        </w:rPr>
        <w:t xml:space="preserve"> </w:t>
      </w:r>
      <w:r w:rsidR="00A25978" w:rsidRPr="00D22DD2">
        <w:t>as a food, cosmetic and health product, provided it does not contain more than 10 parts per million of tetrahydrocannabinol.</w:t>
      </w:r>
    </w:p>
    <w:p w14:paraId="301AF2F4" w14:textId="46C7822F" w:rsidR="00A25978" w:rsidRDefault="00A25978" w:rsidP="00DC6EC8">
      <w:pPr>
        <w:pStyle w:val="ListBullet"/>
      </w:pPr>
      <w:r>
        <w:rPr>
          <w:rStyle w:val="Hyperlink"/>
        </w:rPr>
        <w:t xml:space="preserve">In 2018, the </w:t>
      </w:r>
      <w:hyperlink r:id="rId168" w:history="1">
        <w:r w:rsidRPr="00756E13">
          <w:rPr>
            <w:rStyle w:val="Hyperlink"/>
          </w:rPr>
          <w:t>Food and Drug Administration evaluated hemp seed oil</w:t>
        </w:r>
      </w:hyperlink>
      <w:r>
        <w:rPr>
          <w:rStyle w:val="FootnoteReference"/>
        </w:rPr>
        <w:footnoteReference w:id="131"/>
      </w:r>
      <w:r w:rsidRPr="00895F4A">
        <w:rPr>
          <w:rStyle w:val="Hyperlink"/>
        </w:rPr>
        <w:t xml:space="preserve"> </w:t>
      </w:r>
      <w:r w:rsidRPr="00D22DD2">
        <w:t>as “generally regarded as safe” (GRAS) f</w:t>
      </w:r>
      <w:r w:rsidR="00533C0C">
        <w:t>or use as an ingredient in food.</w:t>
      </w:r>
    </w:p>
    <w:p w14:paraId="1E3FDA4F" w14:textId="7D33323B" w:rsidR="00EE6F07" w:rsidRDefault="00EE6F07" w:rsidP="00EE6F07">
      <w:pPr>
        <w:pStyle w:val="Heading2"/>
      </w:pPr>
      <w:bookmarkStart w:id="32" w:name="_Toc59540960"/>
      <w:r>
        <w:t>How to respond</w:t>
      </w:r>
      <w:bookmarkEnd w:id="32"/>
    </w:p>
    <w:p w14:paraId="2B4BFC91" w14:textId="516C2FF6" w:rsidR="00EE6F07" w:rsidRDefault="00EE6F07" w:rsidP="00DC6EC8">
      <w:pPr>
        <w:pStyle w:val="ListBullet"/>
        <w:numPr>
          <w:ilvl w:val="0"/>
          <w:numId w:val="0"/>
        </w:numPr>
      </w:pPr>
      <w:r>
        <w:t>Submissions must</w:t>
      </w:r>
      <w:r w:rsidR="00C06018">
        <w:t xml:space="preserve"> be </w:t>
      </w:r>
      <w:r w:rsidR="000E2238">
        <w:t xml:space="preserve">provided </w:t>
      </w:r>
      <w:r>
        <w:t xml:space="preserve">by the closing date of </w:t>
      </w:r>
      <w:r w:rsidR="00293414">
        <w:rPr>
          <w:b/>
        </w:rPr>
        <w:t>27</w:t>
      </w:r>
      <w:r w:rsidR="008E75DB" w:rsidRPr="00C06018">
        <w:rPr>
          <w:b/>
        </w:rPr>
        <w:t xml:space="preserve"> January 2021</w:t>
      </w:r>
      <w:r>
        <w:t xml:space="preserve"> </w:t>
      </w:r>
      <w:r w:rsidR="00972C2F" w:rsidRPr="00972C2F">
        <w:t>through our </w:t>
      </w:r>
      <w:hyperlink r:id="rId169" w:tgtFrame="_blank" w:history="1">
        <w:r w:rsidR="00972C2F" w:rsidRPr="00972C2F">
          <w:rPr>
            <w:rStyle w:val="Hyperlink"/>
          </w:rPr>
          <w:t>consultation hub</w:t>
        </w:r>
      </w:hyperlink>
      <w:r w:rsidR="00972C2F" w:rsidRPr="00972C2F">
        <w:t>. Any submission about any of the proposals to amend the Poisons Standard will be considered at the next meeting of the </w:t>
      </w:r>
      <w:hyperlink r:id="rId170" w:history="1">
        <w:r w:rsidR="00972C2F" w:rsidRPr="00972C2F">
          <w:rPr>
            <w:rStyle w:val="Hyperlink"/>
          </w:rPr>
          <w:t>Advisory Committee on Medicines Scheduling (ACMS)</w:t>
        </w:r>
      </w:hyperlink>
      <w:r w:rsidR="00972C2F" w:rsidRPr="00972C2F">
        <w:t>, meeting of the </w:t>
      </w:r>
      <w:hyperlink r:id="rId171" w:history="1">
        <w:r w:rsidR="00972C2F" w:rsidRPr="00972C2F">
          <w:rPr>
            <w:rStyle w:val="Hyperlink"/>
          </w:rPr>
          <w:t>Advisory Committee on Chemicals Scheduling (ACCS)</w:t>
        </w:r>
      </w:hyperlink>
      <w:r w:rsidR="00972C2F" w:rsidRPr="00972C2F">
        <w:t xml:space="preserve">, or a joint </w:t>
      </w:r>
      <w:r w:rsidR="0067078D">
        <w:t>meeting of these two committees.</w:t>
      </w:r>
    </w:p>
    <w:p w14:paraId="1D25228A" w14:textId="58EF4555" w:rsidR="00EE6F07" w:rsidRDefault="00EE6F07" w:rsidP="00EE6F07">
      <w:pPr>
        <w:pStyle w:val="Heading2"/>
      </w:pPr>
      <w:bookmarkStart w:id="33" w:name="_Toc59540961"/>
      <w:r>
        <w:t>What will happen</w:t>
      </w:r>
      <w:bookmarkEnd w:id="33"/>
    </w:p>
    <w:p w14:paraId="34AAD622" w14:textId="77777777" w:rsidR="00EE6F07" w:rsidRDefault="00EE6F07" w:rsidP="00EE6F07">
      <w:r>
        <w:t xml:space="preserve">All public submissions will be published on the TGA website at </w:t>
      </w:r>
      <w:hyperlink r:id="rId172"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
    <w:p w14:paraId="18E5B391" w14:textId="4687043B" w:rsidR="00EE6F07" w:rsidRDefault="00EE6F07" w:rsidP="00EE6F07">
      <w:r>
        <w:t xml:space="preserve">Following consideration of public submissions received before the closing date and advice from the expert advisory committee/s, decisions on the proposed amendments will be published as interim decisions on the TGA website: </w:t>
      </w:r>
      <w:hyperlink r:id="rId173" w:history="1">
        <w:r w:rsidRPr="00E25E60">
          <w:rPr>
            <w:rStyle w:val="Hyperlink"/>
          </w:rPr>
          <w:t xml:space="preserve">Scheduling delegate's </w:t>
        </w:r>
        <w:r w:rsidRPr="00DB6580">
          <w:rPr>
            <w:rStyle w:val="Hyperlink"/>
            <w:b/>
          </w:rPr>
          <w:t>interim decisions</w:t>
        </w:r>
        <w:r w:rsidRPr="00E25E60">
          <w:rPr>
            <w:rStyle w:val="Hyperlink"/>
          </w:rPr>
          <w:t xml:space="preserve"> &amp; invitations for further comment</w:t>
        </w:r>
      </w:hyperlink>
      <w:r>
        <w:t xml:space="preserve"> on </w:t>
      </w:r>
      <w:r w:rsidR="00BF6460" w:rsidRPr="00BF6460">
        <w:rPr>
          <w:b/>
        </w:rPr>
        <w:t>3 June 2021</w:t>
      </w:r>
      <w:r>
        <w:t>.</w:t>
      </w:r>
    </w:p>
    <w:sectPr w:rsidR="00EE6F07" w:rsidSect="003A48A2">
      <w:headerReference w:type="default" r:id="rId174"/>
      <w:footerReference w:type="default" r:id="rId175"/>
      <w:headerReference w:type="first" r:id="rId176"/>
      <w:footerReference w:type="first" r:id="rId177"/>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8460" w14:textId="77777777" w:rsidR="009A49EF" w:rsidRDefault="009A49EF" w:rsidP="00C40A36">
      <w:pPr>
        <w:spacing w:after="0"/>
      </w:pPr>
      <w:r>
        <w:separator/>
      </w:r>
    </w:p>
  </w:endnote>
  <w:endnote w:type="continuationSeparator" w:id="0">
    <w:p w14:paraId="6A7270D4" w14:textId="77777777" w:rsidR="009A49EF" w:rsidRDefault="009A49E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9A49EF" w:rsidRPr="00257138" w14:paraId="14B40608" w14:textId="77777777" w:rsidTr="009B00CC">
      <w:trPr>
        <w:trHeight w:val="423"/>
      </w:trPr>
      <w:tc>
        <w:tcPr>
          <w:tcW w:w="7338" w:type="dxa"/>
          <w:tcBorders>
            <w:top w:val="single" w:sz="4" w:space="0" w:color="auto"/>
          </w:tcBorders>
        </w:tcPr>
        <w:p w14:paraId="5C7A2176" w14:textId="59738D77" w:rsidR="009A49EF" w:rsidRPr="00257138" w:rsidRDefault="009A49EF" w:rsidP="003F3095">
          <w:pPr>
            <w:pStyle w:val="Footer"/>
          </w:pP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9A49EF" w:rsidRDefault="009A49EF" w:rsidP="00782870">
              <w:pPr>
                <w:pStyle w:val="Footer"/>
                <w:jc w:val="right"/>
              </w:pPr>
            </w:p>
            <w:p w14:paraId="650BE744" w14:textId="65E7CBCB" w:rsidR="009A49EF" w:rsidRPr="00257138" w:rsidRDefault="009A49EF"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99313B">
                <w:fldChar w:fldCharType="begin"/>
              </w:r>
              <w:r w:rsidR="0099313B">
                <w:instrText xml:space="preserve"> NUMPAGES  </w:instrText>
              </w:r>
              <w:r w:rsidR="0099313B">
                <w:fldChar w:fldCharType="separate"/>
              </w:r>
              <w:r>
                <w:rPr>
                  <w:noProof/>
                </w:rPr>
                <w:t>48</w:t>
              </w:r>
              <w:r w:rsidR="0099313B">
                <w:rPr>
                  <w:noProof/>
                </w:rPr>
                <w:fldChar w:fldCharType="end"/>
              </w:r>
            </w:p>
          </w:sdtContent>
        </w:sdt>
      </w:tc>
    </w:tr>
    <w:tr w:rsidR="009A49EF" w:rsidRPr="00257138" w14:paraId="10AB8BED" w14:textId="77777777" w:rsidTr="009B00CC">
      <w:trPr>
        <w:trHeight w:val="263"/>
      </w:trPr>
      <w:tc>
        <w:tcPr>
          <w:tcW w:w="7338" w:type="dxa"/>
        </w:tcPr>
        <w:p w14:paraId="59580AB7" w14:textId="19B73688" w:rsidR="009A49EF" w:rsidRPr="00257138" w:rsidRDefault="009A49EF" w:rsidP="00782870">
          <w:pPr>
            <w:pStyle w:val="Footer"/>
          </w:pPr>
        </w:p>
      </w:tc>
      <w:tc>
        <w:tcPr>
          <w:tcW w:w="1382" w:type="dxa"/>
        </w:tcPr>
        <w:p w14:paraId="219FF5F5" w14:textId="77777777" w:rsidR="009A49EF" w:rsidRPr="00257138" w:rsidRDefault="009A49EF" w:rsidP="00782870">
          <w:pPr>
            <w:pStyle w:val="Footer"/>
            <w:jc w:val="right"/>
          </w:pPr>
        </w:p>
      </w:tc>
    </w:tr>
  </w:tbl>
  <w:p w14:paraId="2023C75C" w14:textId="77777777" w:rsidR="009A49EF" w:rsidRPr="00826007" w:rsidRDefault="009A49EF"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9A49EF" w:rsidRPr="00257138" w14:paraId="11075AFF" w14:textId="77777777" w:rsidTr="009468C6">
      <w:trPr>
        <w:trHeight w:val="423"/>
      </w:trPr>
      <w:tc>
        <w:tcPr>
          <w:tcW w:w="7338" w:type="dxa"/>
        </w:tcPr>
        <w:p w14:paraId="040C6440" w14:textId="638DC9EC" w:rsidR="009A49EF" w:rsidRDefault="009A49EF" w:rsidP="003639D9">
          <w:pPr>
            <w:pStyle w:val="Footer"/>
          </w:pPr>
          <w:r>
            <w:t>Proposed amendments to Poisons Standard – submissions (ACCS#30, ACMS#33, Joint ACMS-ACCS #27, March 2021)</w:t>
          </w:r>
        </w:p>
        <w:p w14:paraId="13E7B9DF" w14:textId="2D8F9E81" w:rsidR="009A49EF" w:rsidRPr="00257138" w:rsidRDefault="009A49EF" w:rsidP="0079442D">
          <w:pPr>
            <w:pStyle w:val="Footer"/>
          </w:pPr>
          <w:r>
            <w:t>24 December 2020</w:t>
          </w:r>
        </w:p>
      </w:tc>
      <w:tc>
        <w:tcPr>
          <w:tcW w:w="1382" w:type="dxa"/>
        </w:tcPr>
        <w:sdt>
          <w:sdtPr>
            <w:id w:val="6788836"/>
            <w:docPartObj>
              <w:docPartGallery w:val="Page Numbers (Top of Page)"/>
              <w:docPartUnique/>
            </w:docPartObj>
          </w:sdtPr>
          <w:sdtEndPr/>
          <w:sdtContent>
            <w:p w14:paraId="3BD26206" w14:textId="7A0EDBB4" w:rsidR="009A49EF" w:rsidRPr="00257138" w:rsidRDefault="009A49EF" w:rsidP="009468C6">
              <w:pPr>
                <w:pStyle w:val="Footer"/>
                <w:jc w:val="right"/>
              </w:pPr>
              <w:r w:rsidRPr="00257138">
                <w:t xml:space="preserve">Page </w:t>
              </w:r>
              <w:r>
                <w:fldChar w:fldCharType="begin"/>
              </w:r>
              <w:r>
                <w:instrText xml:space="preserve"> PAGE </w:instrText>
              </w:r>
              <w:r>
                <w:fldChar w:fldCharType="separate"/>
              </w:r>
              <w:r w:rsidR="0099313B">
                <w:rPr>
                  <w:noProof/>
                </w:rPr>
                <w:t>20</w:t>
              </w:r>
              <w:r>
                <w:fldChar w:fldCharType="end"/>
              </w:r>
              <w:r w:rsidRPr="00257138">
                <w:t xml:space="preserve"> of </w:t>
              </w:r>
              <w:r w:rsidR="0099313B">
                <w:fldChar w:fldCharType="begin"/>
              </w:r>
              <w:r w:rsidR="0099313B">
                <w:instrText xml:space="preserve"> NUMPAGES  </w:instrText>
              </w:r>
              <w:r w:rsidR="0099313B">
                <w:fldChar w:fldCharType="separate"/>
              </w:r>
              <w:r w:rsidR="0099313B">
                <w:rPr>
                  <w:noProof/>
                </w:rPr>
                <w:t>47</w:t>
              </w:r>
              <w:r w:rsidR="0099313B">
                <w:rPr>
                  <w:noProof/>
                </w:rPr>
                <w:fldChar w:fldCharType="end"/>
              </w:r>
            </w:p>
          </w:sdtContent>
        </w:sdt>
      </w:tc>
    </w:tr>
  </w:tbl>
  <w:p w14:paraId="623AA1CE" w14:textId="77777777" w:rsidR="009A49EF" w:rsidRPr="00826007" w:rsidRDefault="009A49EF"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9A49EF" w:rsidRPr="00257138" w14:paraId="76052F65" w14:textId="77777777" w:rsidTr="003A48A2">
      <w:trPr>
        <w:trHeight w:val="423"/>
      </w:trPr>
      <w:tc>
        <w:tcPr>
          <w:tcW w:w="7338" w:type="dxa"/>
        </w:tcPr>
        <w:p w14:paraId="668CDD90" w14:textId="0317931D" w:rsidR="009A49EF" w:rsidRDefault="009A49EF" w:rsidP="00E81BC9">
          <w:pPr>
            <w:pStyle w:val="Footer"/>
          </w:pPr>
          <w:r>
            <w:t>Proposed amendments to Poisons Standard – submissions (ACMS#33, ACCS#30, Joint ACMS-ACCS #27, March 2021)</w:t>
          </w:r>
        </w:p>
        <w:p w14:paraId="6A331473" w14:textId="648B2728" w:rsidR="009A49EF" w:rsidRPr="00257138" w:rsidRDefault="009A49EF" w:rsidP="0079442D">
          <w:pPr>
            <w:pStyle w:val="Footer"/>
          </w:pPr>
          <w:r>
            <w:t>24 December 2021</w:t>
          </w:r>
        </w:p>
      </w:tc>
      <w:tc>
        <w:tcPr>
          <w:tcW w:w="1382" w:type="dxa"/>
        </w:tcPr>
        <w:sdt>
          <w:sdtPr>
            <w:id w:val="5342774"/>
            <w:docPartObj>
              <w:docPartGallery w:val="Page Numbers (Top of Page)"/>
              <w:docPartUnique/>
            </w:docPartObj>
          </w:sdtPr>
          <w:sdtEndPr/>
          <w:sdtContent>
            <w:p w14:paraId="44A48167" w14:textId="2B1AFBBB" w:rsidR="009A49EF" w:rsidRPr="00257138" w:rsidRDefault="009A49EF" w:rsidP="003A48A2">
              <w:pPr>
                <w:pStyle w:val="Footer"/>
                <w:jc w:val="right"/>
              </w:pPr>
              <w:r w:rsidRPr="00257138">
                <w:t xml:space="preserve">Page </w:t>
              </w:r>
              <w:r>
                <w:fldChar w:fldCharType="begin"/>
              </w:r>
              <w:r>
                <w:instrText xml:space="preserve"> PAGE </w:instrText>
              </w:r>
              <w:r>
                <w:fldChar w:fldCharType="separate"/>
              </w:r>
              <w:r w:rsidR="0099313B">
                <w:rPr>
                  <w:noProof/>
                </w:rPr>
                <w:t>2</w:t>
              </w:r>
              <w:r>
                <w:rPr>
                  <w:noProof/>
                </w:rPr>
                <w:fldChar w:fldCharType="end"/>
              </w:r>
              <w:r w:rsidRPr="00257138">
                <w:t xml:space="preserve"> of </w:t>
              </w:r>
              <w:r w:rsidR="0099313B">
                <w:fldChar w:fldCharType="begin"/>
              </w:r>
              <w:r w:rsidR="0099313B">
                <w:instrText xml:space="preserve"> NUMPAGES  </w:instrText>
              </w:r>
              <w:r w:rsidR="0099313B">
                <w:fldChar w:fldCharType="separate"/>
              </w:r>
              <w:r w:rsidR="0099313B">
                <w:rPr>
                  <w:noProof/>
                </w:rPr>
                <w:t>47</w:t>
              </w:r>
              <w:r w:rsidR="0099313B">
                <w:rPr>
                  <w:noProof/>
                </w:rPr>
                <w:fldChar w:fldCharType="end"/>
              </w:r>
            </w:p>
          </w:sdtContent>
        </w:sdt>
      </w:tc>
    </w:tr>
  </w:tbl>
  <w:p w14:paraId="3FF833DF" w14:textId="77777777" w:rsidR="009A49EF" w:rsidRDefault="009A4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7E9" w14:textId="77777777" w:rsidR="009A49EF" w:rsidRDefault="009A49EF" w:rsidP="00C40A36">
      <w:pPr>
        <w:spacing w:after="0"/>
      </w:pPr>
      <w:r>
        <w:separator/>
      </w:r>
    </w:p>
  </w:footnote>
  <w:footnote w:type="continuationSeparator" w:id="0">
    <w:p w14:paraId="6D1B11C1" w14:textId="77777777" w:rsidR="009A49EF" w:rsidRDefault="009A49EF" w:rsidP="00C40A36">
      <w:pPr>
        <w:spacing w:after="0"/>
      </w:pPr>
      <w:r>
        <w:continuationSeparator/>
      </w:r>
    </w:p>
  </w:footnote>
  <w:footnote w:id="1">
    <w:p w14:paraId="23198EC0" w14:textId="098745F0" w:rsidR="009A49EF" w:rsidRDefault="009A49EF">
      <w:pPr>
        <w:pStyle w:val="FootnoteText"/>
      </w:pPr>
      <w:r>
        <w:rPr>
          <w:rStyle w:val="FootnoteReference"/>
        </w:rPr>
        <w:footnoteRef/>
      </w:r>
      <w:r>
        <w:t xml:space="preserve"> </w:t>
      </w:r>
      <w:r w:rsidRPr="00D45AC7">
        <w:rPr>
          <w:noProof/>
        </w:rPr>
        <w:t>https://www.ncbi.nlm.nih.gov/pmc/articles/PMC5438233/</w:t>
      </w:r>
    </w:p>
  </w:footnote>
  <w:footnote w:id="2">
    <w:p w14:paraId="572FF13F" w14:textId="358421DE" w:rsidR="009A49EF" w:rsidRDefault="009A49EF" w:rsidP="00090869">
      <w:pPr>
        <w:pStyle w:val="FootnoteText"/>
      </w:pPr>
      <w:r>
        <w:rPr>
          <w:rStyle w:val="FootnoteReference"/>
        </w:rPr>
        <w:footnoteRef/>
      </w:r>
      <w:r>
        <w:t xml:space="preserve"> </w:t>
      </w:r>
      <w:r w:rsidRPr="00C81411">
        <w:t>TGA Ingredient Database</w:t>
      </w:r>
      <w:r>
        <w:t xml:space="preserve"> </w:t>
      </w:r>
      <w:hyperlink r:id="rId1" w:history="1">
        <w:r w:rsidRPr="0079442D">
          <w:rPr>
            <w:rStyle w:val="Hyperlink"/>
          </w:rPr>
          <w:t>https://www.ebs.tga.gov.au/</w:t>
        </w:r>
      </w:hyperlink>
    </w:p>
  </w:footnote>
  <w:footnote w:id="3">
    <w:p w14:paraId="6546F52C" w14:textId="4FEF907C" w:rsidR="009A49EF" w:rsidRDefault="009A49EF" w:rsidP="00090869">
      <w:pPr>
        <w:pStyle w:val="FootnoteText"/>
      </w:pPr>
      <w:r>
        <w:rPr>
          <w:rStyle w:val="FootnoteReference"/>
        </w:rPr>
        <w:footnoteRef/>
      </w:r>
      <w:r>
        <w:t xml:space="preserve"> ARTG database </w:t>
      </w:r>
      <w:hyperlink r:id="rId2" w:history="1">
        <w:r w:rsidRPr="00025BAA">
          <w:rPr>
            <w:rStyle w:val="Hyperlink"/>
          </w:rPr>
          <w:t>https://www.tga.gov.au/artg</w:t>
        </w:r>
      </w:hyperlink>
    </w:p>
  </w:footnote>
  <w:footnote w:id="4">
    <w:p w14:paraId="6E38796A" w14:textId="73BD4349" w:rsidR="009A49EF" w:rsidRDefault="009A49EF" w:rsidP="00090869">
      <w:pPr>
        <w:pStyle w:val="FootnoteText"/>
      </w:pPr>
      <w:r>
        <w:rPr>
          <w:rStyle w:val="FootnoteReference"/>
        </w:rPr>
        <w:footnoteRef/>
      </w:r>
      <w:r>
        <w:t xml:space="preserve"> </w:t>
      </w:r>
      <w:r w:rsidRPr="007F3638">
        <w:t>Therapeutic Goods (Permissible Ingredients) Determination</w:t>
      </w:r>
      <w:r>
        <w:t xml:space="preserve"> </w:t>
      </w:r>
      <w:hyperlink r:id="rId3" w:history="1">
        <w:r w:rsidRPr="00C51833">
          <w:rPr>
            <w:rStyle w:val="Hyperlink"/>
          </w:rPr>
          <w:t>https://www.legislation.gov.au/Search/Therapeutic%20Goods%20$LB$Permissible%20Ingredients$RB$%20Determination</w:t>
        </w:r>
      </w:hyperlink>
    </w:p>
  </w:footnote>
  <w:footnote w:id="5">
    <w:p w14:paraId="6BC7AD50" w14:textId="2473550A" w:rsidR="009A49EF" w:rsidRPr="002F1C5C" w:rsidRDefault="009A49EF" w:rsidP="00090869">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 w:history="1">
        <w:r w:rsidRPr="00E974A4">
          <w:rPr>
            <w:rStyle w:val="Hyperlink"/>
            <w:szCs w:val="16"/>
          </w:rPr>
          <w:t>https://www.tga.gov.au/prescribing-medicines-pregnancy-database</w:t>
        </w:r>
      </w:hyperlink>
    </w:p>
  </w:footnote>
  <w:footnote w:id="6">
    <w:p w14:paraId="6650B632" w14:textId="63D9C6CB" w:rsidR="009A49EF" w:rsidRDefault="009A49EF" w:rsidP="00090869">
      <w:pPr>
        <w:pStyle w:val="FootnoteText"/>
      </w:pPr>
      <w:r>
        <w:rPr>
          <w:rStyle w:val="FootnoteReference"/>
        </w:rPr>
        <w:footnoteRef/>
      </w:r>
      <w:r>
        <w:t xml:space="preserve"> </w:t>
      </w:r>
      <w:r w:rsidRPr="007F3638">
        <w:t>Therapeutic Goods (Medicines Advisory Statements) Specification 2019</w:t>
      </w:r>
      <w:r>
        <w:t xml:space="preserve"> </w:t>
      </w:r>
      <w:hyperlink r:id="rId5" w:history="1">
        <w:r w:rsidRPr="00FC5165">
          <w:rPr>
            <w:rStyle w:val="Hyperlink"/>
          </w:rPr>
          <w:t>https://www.legislation.gov.au/Details/F2019L00213</w:t>
        </w:r>
      </w:hyperlink>
    </w:p>
  </w:footnote>
  <w:footnote w:id="7">
    <w:p w14:paraId="2C82D2EF" w14:textId="358A091F" w:rsidR="009A49EF" w:rsidRDefault="009A49EF" w:rsidP="00090869">
      <w:pPr>
        <w:pStyle w:val="FootnoteText"/>
      </w:pPr>
      <w:r>
        <w:rPr>
          <w:rStyle w:val="FootnoteReference"/>
        </w:rPr>
        <w:footnoteRef/>
      </w:r>
      <w:r>
        <w:t xml:space="preserve"> </w:t>
      </w:r>
      <w:r w:rsidRPr="00C81411">
        <w:t>Database of Adverse Event Notifications (DAEN)</w:t>
      </w:r>
      <w:r>
        <w:t xml:space="preserve"> </w:t>
      </w:r>
      <w:hyperlink r:id="rId6" w:history="1">
        <w:r w:rsidRPr="007C3A78">
          <w:rPr>
            <w:rStyle w:val="Hyperlink"/>
          </w:rPr>
          <w:t>https://apps.tga.gov.au/Prod/daen/daen-entry.aspx</w:t>
        </w:r>
      </w:hyperlink>
    </w:p>
  </w:footnote>
  <w:footnote w:id="8">
    <w:p w14:paraId="31E2DE09" w14:textId="5DAD43A0" w:rsidR="009A49EF" w:rsidRDefault="009A49EF" w:rsidP="00090869">
      <w:pPr>
        <w:pStyle w:val="FootnoteText"/>
      </w:pPr>
      <w:r>
        <w:rPr>
          <w:rStyle w:val="FootnoteReference"/>
        </w:rPr>
        <w:footnoteRef/>
      </w:r>
      <w:r>
        <w:t xml:space="preserve"> </w:t>
      </w:r>
      <w:r w:rsidRPr="00F53A0E">
        <w:t>Public Chemical Registration Information System Search (PubCRIS)</w:t>
      </w:r>
      <w:r>
        <w:t xml:space="preserve"> </w:t>
      </w:r>
      <w:hyperlink r:id="rId7" w:history="1">
        <w:r w:rsidRPr="007C3A78">
          <w:rPr>
            <w:rStyle w:val="Hyperlink"/>
          </w:rPr>
          <w:t>https://portal.apvma.gov.au/pubcris</w:t>
        </w:r>
      </w:hyperlink>
    </w:p>
  </w:footnote>
  <w:footnote w:id="9">
    <w:p w14:paraId="3DC83A78" w14:textId="103B671F" w:rsidR="009A49EF" w:rsidRDefault="009A49EF" w:rsidP="009B3A75">
      <w:pPr>
        <w:pStyle w:val="FootnoteText"/>
      </w:pPr>
      <w:r>
        <w:rPr>
          <w:rStyle w:val="FootnoteReference"/>
        </w:rPr>
        <w:footnoteRef/>
      </w:r>
      <w:r>
        <w:t xml:space="preserve"> </w:t>
      </w:r>
      <w:r w:rsidRPr="00361C74">
        <w:t>APVMA Adverse Experience Reporting Program</w:t>
      </w:r>
      <w:r>
        <w:t xml:space="preserve"> </w:t>
      </w:r>
      <w:r>
        <w:rPr>
          <w:rStyle w:val="Hyperlink"/>
        </w:rPr>
        <w:t>database (AERP)</w:t>
      </w:r>
      <w:r>
        <w:t xml:space="preserve"> </w:t>
      </w:r>
      <w:hyperlink r:id="rId8" w:history="1">
        <w:r w:rsidRPr="00417A9C">
          <w:rPr>
            <w:rStyle w:val="Hyperlink"/>
          </w:rPr>
          <w:t>https://apvma.gov.au/node/10946</w:t>
        </w:r>
      </w:hyperlink>
    </w:p>
  </w:footnote>
  <w:footnote w:id="10">
    <w:p w14:paraId="39C7291A" w14:textId="0FB5EE1B" w:rsidR="009A49EF" w:rsidRDefault="009A49EF">
      <w:pPr>
        <w:pStyle w:val="FootnoteText"/>
      </w:pPr>
      <w:r>
        <w:rPr>
          <w:rStyle w:val="FootnoteReference"/>
        </w:rPr>
        <w:footnoteRef/>
      </w:r>
      <w:r>
        <w:t xml:space="preserve"> EMA recommends changes to the use of metoclopramide </w:t>
      </w:r>
      <w:hyperlink r:id="rId9" w:history="1">
        <w:r w:rsidRPr="001C3E83">
          <w:rPr>
            <w:rStyle w:val="Hyperlink"/>
          </w:rPr>
          <w:t>https://www.ema.europa.eu/en/documents/press-release/european-medicines-agency-recommends-changes-use-metoclopramide_en.pdf</w:t>
        </w:r>
      </w:hyperlink>
    </w:p>
  </w:footnote>
  <w:footnote w:id="11">
    <w:p w14:paraId="59F987AF" w14:textId="720C62F3" w:rsidR="009A49EF" w:rsidRDefault="009A49EF">
      <w:pPr>
        <w:pStyle w:val="FootnoteText"/>
      </w:pPr>
      <w:r>
        <w:rPr>
          <w:rStyle w:val="FootnoteReference"/>
        </w:rPr>
        <w:footnoteRef/>
      </w:r>
      <w:r>
        <w:t xml:space="preserve"> Health Products Regulatory Authority </w:t>
      </w:r>
      <w:hyperlink r:id="rId10" w:history="1">
        <w:r w:rsidRPr="002150D3">
          <w:rPr>
            <w:rStyle w:val="Hyperlink"/>
          </w:rPr>
          <w:t>https://www.hpra.ie/homepage/medicines/medicines-information/find-a-medicine/results?query=Metoclopramide+hydrochloride&amp;field=ACTIVESUBSTANCES</w:t>
        </w:r>
      </w:hyperlink>
    </w:p>
  </w:footnote>
  <w:footnote w:id="12">
    <w:p w14:paraId="49545ADF" w14:textId="74F803E3" w:rsidR="009A49EF" w:rsidRDefault="009A49EF">
      <w:pPr>
        <w:pStyle w:val="FootnoteText"/>
      </w:pPr>
      <w:r>
        <w:rPr>
          <w:rStyle w:val="FootnoteReference"/>
        </w:rPr>
        <w:footnoteRef/>
      </w:r>
      <w:r>
        <w:t xml:space="preserve"> Food and Drugs Administration Approved Drugs Database: </w:t>
      </w:r>
      <w:hyperlink r:id="rId11" w:history="1">
        <w:r w:rsidRPr="007E5A33">
          <w:rPr>
            <w:rStyle w:val="Hyperlink"/>
          </w:rPr>
          <w:t>https://www.accessdata.fda.gov/scripts/cder/daf/</w:t>
        </w:r>
      </w:hyperlink>
    </w:p>
  </w:footnote>
  <w:footnote w:id="13">
    <w:p w14:paraId="496EEB66" w14:textId="3C7FBB03" w:rsidR="009A49EF" w:rsidRDefault="009A49EF">
      <w:pPr>
        <w:pStyle w:val="FootnoteText"/>
      </w:pPr>
      <w:r>
        <w:rPr>
          <w:rStyle w:val="FootnoteReference"/>
        </w:rPr>
        <w:footnoteRef/>
      </w:r>
      <w:r>
        <w:t xml:space="preserve"> Health Canada Drug Product Database: </w:t>
      </w:r>
      <w:hyperlink r:id="rId12" w:history="1">
        <w:r w:rsidRPr="007E5A33">
          <w:rPr>
            <w:rStyle w:val="Hyperlink"/>
          </w:rPr>
          <w:t>https://health-products.canada.ca/dpd-bdpp/index-eng.jsp</w:t>
        </w:r>
      </w:hyperlink>
    </w:p>
  </w:footnote>
  <w:footnote w:id="14">
    <w:p w14:paraId="713CDA26" w14:textId="64253841" w:rsidR="009A49EF" w:rsidRDefault="009A49EF">
      <w:pPr>
        <w:pStyle w:val="FootnoteText"/>
      </w:pPr>
      <w:r>
        <w:rPr>
          <w:rStyle w:val="FootnoteReference"/>
        </w:rPr>
        <w:footnoteRef/>
      </w:r>
      <w:r>
        <w:t xml:space="preserve"> Medsafe Medicine Classification Database: </w:t>
      </w:r>
      <w:hyperlink r:id="rId13" w:history="1">
        <w:r w:rsidRPr="007E5A33">
          <w:rPr>
            <w:rStyle w:val="Hyperlink"/>
          </w:rPr>
          <w:t>https://www.medsafe.govt.nz/profs/class/classintro.asp</w:t>
        </w:r>
      </w:hyperlink>
    </w:p>
  </w:footnote>
  <w:footnote w:id="15">
    <w:p w14:paraId="0B23B1A9" w14:textId="071E79A4" w:rsidR="009A49EF" w:rsidRDefault="009A49EF">
      <w:pPr>
        <w:pStyle w:val="FootnoteText"/>
      </w:pPr>
      <w:r>
        <w:rPr>
          <w:rStyle w:val="FootnoteReference"/>
        </w:rPr>
        <w:footnoteRef/>
      </w:r>
      <w:r>
        <w:t xml:space="preserve"> Restricted medicines in NZ are also referred to as Pharmacist Only medicines. See </w:t>
      </w:r>
      <w:hyperlink r:id="rId14" w:history="1">
        <w:r w:rsidRPr="00A60801">
          <w:rPr>
            <w:rStyle w:val="Hyperlink"/>
          </w:rPr>
          <w:t>https://www.medsafe.govt.nz/Consumers/PharmOnly.asp</w:t>
        </w:r>
      </w:hyperlink>
      <w:r>
        <w:t xml:space="preserve"> for details</w:t>
      </w:r>
    </w:p>
  </w:footnote>
  <w:footnote w:id="16">
    <w:p w14:paraId="0700DC40" w14:textId="77777777" w:rsidR="009A49EF" w:rsidRDefault="009A49EF" w:rsidP="00945723">
      <w:pPr>
        <w:pStyle w:val="FootnoteText"/>
      </w:pPr>
      <w:r>
        <w:rPr>
          <w:rStyle w:val="FootnoteReference"/>
        </w:rPr>
        <w:footnoteRef/>
      </w:r>
      <w:r>
        <w:t xml:space="preserve"> </w:t>
      </w:r>
      <w:r w:rsidRPr="00C81411">
        <w:t>TGA Ingredient Database</w:t>
      </w:r>
      <w:r>
        <w:t xml:space="preserve"> </w:t>
      </w:r>
      <w:hyperlink r:id="rId15" w:history="1">
        <w:r w:rsidRPr="0079442D">
          <w:rPr>
            <w:rStyle w:val="Hyperlink"/>
          </w:rPr>
          <w:t>https://www.ebs.tga.gov.au/</w:t>
        </w:r>
      </w:hyperlink>
    </w:p>
  </w:footnote>
  <w:footnote w:id="17">
    <w:p w14:paraId="470E4A0F" w14:textId="6112AA4C" w:rsidR="009A49EF" w:rsidRDefault="009A49EF" w:rsidP="00945723">
      <w:pPr>
        <w:pStyle w:val="FootnoteText"/>
      </w:pPr>
      <w:r>
        <w:rPr>
          <w:rStyle w:val="FootnoteReference"/>
        </w:rPr>
        <w:footnoteRef/>
      </w:r>
      <w:r>
        <w:t xml:space="preserve"> ARTG database </w:t>
      </w:r>
      <w:hyperlink r:id="rId16" w:history="1">
        <w:r w:rsidRPr="00025BAA">
          <w:rPr>
            <w:rStyle w:val="Hyperlink"/>
          </w:rPr>
          <w:t>https://www.tga.gov.au/artg</w:t>
        </w:r>
      </w:hyperlink>
    </w:p>
  </w:footnote>
  <w:footnote w:id="18">
    <w:p w14:paraId="0A3BEDE1" w14:textId="14D3E87D" w:rsidR="009A49EF" w:rsidRDefault="009A49EF" w:rsidP="00945723">
      <w:pPr>
        <w:pStyle w:val="FootnoteText"/>
      </w:pPr>
      <w:r>
        <w:rPr>
          <w:rStyle w:val="FootnoteReference"/>
        </w:rPr>
        <w:footnoteRef/>
      </w:r>
      <w:r>
        <w:t xml:space="preserve"> </w:t>
      </w:r>
      <w:r w:rsidRPr="007F3638">
        <w:t>Therapeutic Goods (Permissible Ingredients) Determination</w:t>
      </w:r>
      <w:r>
        <w:t xml:space="preserve"> </w:t>
      </w:r>
      <w:hyperlink r:id="rId17" w:history="1">
        <w:r w:rsidRPr="00C51833">
          <w:rPr>
            <w:rStyle w:val="Hyperlink"/>
          </w:rPr>
          <w:t>https://www.legislation.gov.au/Search/Therapeutic%20Goods%20$LB$Permissible%20Ingredients$RB$%20Determination</w:t>
        </w:r>
      </w:hyperlink>
    </w:p>
  </w:footnote>
  <w:footnote w:id="19">
    <w:p w14:paraId="7A6C718B" w14:textId="4BDB21BD" w:rsidR="009A49EF" w:rsidRPr="002F1C5C" w:rsidRDefault="009A49EF" w:rsidP="00945723">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8" w:history="1">
        <w:r w:rsidRPr="00E974A4">
          <w:rPr>
            <w:rStyle w:val="Hyperlink"/>
            <w:szCs w:val="16"/>
          </w:rPr>
          <w:t>https://www.tga.gov.au/prescribing-medicines-pregnancy-database</w:t>
        </w:r>
      </w:hyperlink>
    </w:p>
  </w:footnote>
  <w:footnote w:id="20">
    <w:p w14:paraId="2D4CDFC0" w14:textId="3F2C997E" w:rsidR="009A49EF" w:rsidRDefault="009A49EF" w:rsidP="00945723">
      <w:pPr>
        <w:pStyle w:val="FootnoteText"/>
      </w:pPr>
      <w:r>
        <w:rPr>
          <w:rStyle w:val="FootnoteReference"/>
        </w:rPr>
        <w:footnoteRef/>
      </w:r>
      <w:r>
        <w:t xml:space="preserve"> </w:t>
      </w:r>
      <w:r w:rsidRPr="007F3638">
        <w:t>Therapeutic Goods (Medicines Advisory Statements) Specification 2019</w:t>
      </w:r>
      <w:r>
        <w:t xml:space="preserve"> </w:t>
      </w:r>
      <w:hyperlink r:id="rId19" w:history="1">
        <w:r w:rsidRPr="00FC5165">
          <w:rPr>
            <w:rStyle w:val="Hyperlink"/>
          </w:rPr>
          <w:t>https://www.legislation.gov.au/Details/F2019L00213</w:t>
        </w:r>
      </w:hyperlink>
    </w:p>
  </w:footnote>
  <w:footnote w:id="21">
    <w:p w14:paraId="5A3C0821" w14:textId="039935D5" w:rsidR="009A49EF" w:rsidRDefault="009A49EF" w:rsidP="00945723">
      <w:pPr>
        <w:pStyle w:val="FootnoteText"/>
      </w:pPr>
      <w:r>
        <w:rPr>
          <w:rStyle w:val="FootnoteReference"/>
        </w:rPr>
        <w:footnoteRef/>
      </w:r>
      <w:r>
        <w:t xml:space="preserve"> </w:t>
      </w:r>
      <w:r w:rsidRPr="00C81411">
        <w:t>Database of Adverse Event Notifications (DAEN)</w:t>
      </w:r>
      <w:r>
        <w:t xml:space="preserve"> </w:t>
      </w:r>
      <w:hyperlink r:id="rId20" w:history="1">
        <w:r w:rsidRPr="007C3A78">
          <w:rPr>
            <w:rStyle w:val="Hyperlink"/>
          </w:rPr>
          <w:t>https://apps.tga.gov.au/Prod/daen/daen-entry.aspx</w:t>
        </w:r>
      </w:hyperlink>
    </w:p>
  </w:footnote>
  <w:footnote w:id="22">
    <w:p w14:paraId="4C10C0B7" w14:textId="1EEDCDE5" w:rsidR="009A49EF" w:rsidRDefault="009A49EF" w:rsidP="00945723">
      <w:pPr>
        <w:pStyle w:val="FootnoteText"/>
      </w:pPr>
      <w:r>
        <w:rPr>
          <w:rStyle w:val="FootnoteReference"/>
        </w:rPr>
        <w:footnoteRef/>
      </w:r>
      <w:r>
        <w:t xml:space="preserve"> </w:t>
      </w:r>
      <w:r w:rsidRPr="00F53A0E">
        <w:t>Public Chemical Registration Information System Search (PubCRIS)</w:t>
      </w:r>
      <w:r>
        <w:t xml:space="preserve"> </w:t>
      </w:r>
      <w:hyperlink r:id="rId21" w:history="1">
        <w:r w:rsidRPr="007C3A78">
          <w:rPr>
            <w:rStyle w:val="Hyperlink"/>
          </w:rPr>
          <w:t>https://portal.apvma.gov.au/pubcris</w:t>
        </w:r>
      </w:hyperlink>
    </w:p>
  </w:footnote>
  <w:footnote w:id="23">
    <w:p w14:paraId="6B981299" w14:textId="31A3F19D" w:rsidR="009A49EF" w:rsidRDefault="009A49EF" w:rsidP="00325FCD">
      <w:pPr>
        <w:pStyle w:val="FootnoteText"/>
      </w:pPr>
      <w:r>
        <w:rPr>
          <w:rStyle w:val="FootnoteReference"/>
        </w:rPr>
        <w:footnoteRef/>
      </w:r>
      <w:r>
        <w:t xml:space="preserve"> </w:t>
      </w:r>
      <w:r w:rsidRPr="00361C74">
        <w:t>APVMA Adverse Experience Reporting Program</w:t>
      </w:r>
      <w:r>
        <w:rPr>
          <w:rStyle w:val="Hyperlink"/>
        </w:rPr>
        <w:t xml:space="preserve"> database (AERP)</w:t>
      </w:r>
      <w:r>
        <w:t xml:space="preserve"> </w:t>
      </w:r>
      <w:hyperlink r:id="rId22" w:history="1">
        <w:r w:rsidRPr="00417A9C">
          <w:rPr>
            <w:rStyle w:val="Hyperlink"/>
          </w:rPr>
          <w:t>https://apvma.gov.au/node/10946</w:t>
        </w:r>
      </w:hyperlink>
    </w:p>
  </w:footnote>
  <w:footnote w:id="24">
    <w:p w14:paraId="78B1040B" w14:textId="3F87F86A" w:rsidR="009A49EF" w:rsidRDefault="009A49EF">
      <w:pPr>
        <w:pStyle w:val="FootnoteText"/>
      </w:pPr>
      <w:r>
        <w:rPr>
          <w:rStyle w:val="FootnoteReference"/>
        </w:rPr>
        <w:footnoteRef/>
      </w:r>
      <w:r>
        <w:t xml:space="preserve"> Food and Drug Administration Approved Drugs Database: </w:t>
      </w:r>
      <w:hyperlink r:id="rId23" w:history="1">
        <w:r w:rsidRPr="00987670">
          <w:rPr>
            <w:rStyle w:val="Hyperlink"/>
          </w:rPr>
          <w:t>https://www.accessdata.fda.gov/scripts/cder/daf/</w:t>
        </w:r>
      </w:hyperlink>
    </w:p>
  </w:footnote>
  <w:footnote w:id="25">
    <w:p w14:paraId="358C3698" w14:textId="11B9A0E5" w:rsidR="009A49EF" w:rsidRDefault="009A49EF">
      <w:pPr>
        <w:pStyle w:val="FootnoteText"/>
      </w:pPr>
      <w:r>
        <w:rPr>
          <w:rStyle w:val="FootnoteReference"/>
        </w:rPr>
        <w:footnoteRef/>
      </w:r>
      <w:r>
        <w:t xml:space="preserve"> Health Canada Drug Product Database: </w:t>
      </w:r>
      <w:hyperlink r:id="rId24" w:history="1">
        <w:r w:rsidRPr="00987670">
          <w:rPr>
            <w:rStyle w:val="Hyperlink"/>
          </w:rPr>
          <w:t>https://health-products.canada.ca/dpd-bdpp/index-eng.jsp</w:t>
        </w:r>
      </w:hyperlink>
    </w:p>
  </w:footnote>
  <w:footnote w:id="26">
    <w:p w14:paraId="4FCCD99A" w14:textId="51E66E2B" w:rsidR="009A49EF" w:rsidRDefault="009A49EF">
      <w:pPr>
        <w:pStyle w:val="FootnoteText"/>
      </w:pPr>
      <w:r>
        <w:rPr>
          <w:rStyle w:val="FootnoteReference"/>
        </w:rPr>
        <w:footnoteRef/>
      </w:r>
      <w:r>
        <w:t xml:space="preserve"> Health Products Regulatory Authority </w:t>
      </w:r>
      <w:hyperlink r:id="rId25" w:history="1">
        <w:r w:rsidRPr="0063798D">
          <w:rPr>
            <w:rStyle w:val="Hyperlink"/>
          </w:rPr>
          <w:t>https://www.hpra.ie/homepage/medicines/medicines-information/find-a-medicine/results?query=Chloramphenicol&amp;field=ACTIVESUBSTANCES</w:t>
        </w:r>
      </w:hyperlink>
    </w:p>
  </w:footnote>
  <w:footnote w:id="27">
    <w:p w14:paraId="4015A2E2" w14:textId="4B3F1F56" w:rsidR="009A49EF" w:rsidRDefault="009A49EF">
      <w:pPr>
        <w:pStyle w:val="FootnoteText"/>
      </w:pPr>
      <w:r>
        <w:rPr>
          <w:rStyle w:val="FootnoteReference"/>
        </w:rPr>
        <w:footnoteRef/>
      </w:r>
      <w:r>
        <w:t xml:space="preserve"> Medsafe Medicine Classification Database: </w:t>
      </w:r>
      <w:hyperlink r:id="rId26" w:history="1">
        <w:r w:rsidRPr="00987670">
          <w:rPr>
            <w:rStyle w:val="Hyperlink"/>
          </w:rPr>
          <w:t>https://www.medsafe.govt.nz/profs/class/classintro.asp</w:t>
        </w:r>
      </w:hyperlink>
    </w:p>
  </w:footnote>
  <w:footnote w:id="28">
    <w:p w14:paraId="41C4B399" w14:textId="37EC1737" w:rsidR="009A49EF" w:rsidRDefault="009A49EF">
      <w:pPr>
        <w:pStyle w:val="FootnoteText"/>
      </w:pPr>
      <w:r>
        <w:rPr>
          <w:rStyle w:val="FootnoteReference"/>
        </w:rPr>
        <w:footnoteRef/>
      </w:r>
      <w:r>
        <w:t xml:space="preserve"> Restricted medicines in NZ are also referred to as Pharmacist Only medicines. See </w:t>
      </w:r>
      <w:hyperlink r:id="rId27" w:history="1">
        <w:r w:rsidRPr="00A60801">
          <w:rPr>
            <w:rStyle w:val="Hyperlink"/>
          </w:rPr>
          <w:t>https://www.medsafe.govt.nz/Consumers/PharmOnly.asp</w:t>
        </w:r>
      </w:hyperlink>
      <w:r>
        <w:t xml:space="preserve"> for details</w:t>
      </w:r>
    </w:p>
  </w:footnote>
  <w:footnote w:id="29">
    <w:p w14:paraId="0ABE4D57" w14:textId="77777777" w:rsidR="009A49EF" w:rsidRDefault="009A49EF" w:rsidP="003242DF">
      <w:pPr>
        <w:pStyle w:val="FootnoteText"/>
      </w:pPr>
      <w:r>
        <w:rPr>
          <w:rStyle w:val="FootnoteReference"/>
        </w:rPr>
        <w:footnoteRef/>
      </w:r>
      <w:r>
        <w:t xml:space="preserve"> </w:t>
      </w:r>
      <w:r w:rsidRPr="00C81411">
        <w:t>TGA Ingredient Database</w:t>
      </w:r>
      <w:r>
        <w:t xml:space="preserve"> </w:t>
      </w:r>
      <w:hyperlink r:id="rId28" w:history="1">
        <w:r w:rsidRPr="006A36C1">
          <w:rPr>
            <w:rStyle w:val="Hyperlink"/>
          </w:rPr>
          <w:t>https://www.ebs.tga.gov.au/</w:t>
        </w:r>
      </w:hyperlink>
    </w:p>
  </w:footnote>
  <w:footnote w:id="30">
    <w:p w14:paraId="41A9BA94" w14:textId="15ADA4C1" w:rsidR="009A49EF" w:rsidRDefault="009A49EF" w:rsidP="003242DF">
      <w:pPr>
        <w:pStyle w:val="FootnoteText"/>
      </w:pPr>
      <w:r>
        <w:rPr>
          <w:rStyle w:val="FootnoteReference"/>
        </w:rPr>
        <w:footnoteRef/>
      </w:r>
      <w:r>
        <w:t xml:space="preserve"> ARTG database </w:t>
      </w:r>
      <w:hyperlink r:id="rId29" w:history="1">
        <w:r w:rsidRPr="00025BAA">
          <w:rPr>
            <w:rStyle w:val="Hyperlink"/>
          </w:rPr>
          <w:t>https://www.tga.gov.au/artg</w:t>
        </w:r>
      </w:hyperlink>
    </w:p>
  </w:footnote>
  <w:footnote w:id="31">
    <w:p w14:paraId="27678D8B" w14:textId="665DAE27" w:rsidR="009A49EF" w:rsidRDefault="009A49EF" w:rsidP="003242DF">
      <w:pPr>
        <w:pStyle w:val="FootnoteText"/>
      </w:pPr>
      <w:r>
        <w:rPr>
          <w:rStyle w:val="FootnoteReference"/>
        </w:rPr>
        <w:footnoteRef/>
      </w:r>
      <w:r>
        <w:t xml:space="preserve"> </w:t>
      </w:r>
      <w:r w:rsidRPr="007F3638">
        <w:t>Therapeutic Goods (Permissible Ingredients) Determination</w:t>
      </w:r>
      <w:r>
        <w:t xml:space="preserve"> </w:t>
      </w:r>
      <w:hyperlink r:id="rId30" w:history="1">
        <w:r w:rsidRPr="00C51833">
          <w:rPr>
            <w:rStyle w:val="Hyperlink"/>
          </w:rPr>
          <w:t>https://www.legislation.gov.au/Search/Therapeutic%20Goods%20$LB$Permissible%20Ingredients$RB$%20Determination</w:t>
        </w:r>
      </w:hyperlink>
    </w:p>
  </w:footnote>
  <w:footnote w:id="32">
    <w:p w14:paraId="09EFFE2E" w14:textId="58F52EC1" w:rsidR="009A49EF" w:rsidRPr="002F1C5C" w:rsidRDefault="009A49EF" w:rsidP="003242DF">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31" w:history="1">
        <w:r w:rsidRPr="00E974A4">
          <w:rPr>
            <w:rStyle w:val="Hyperlink"/>
            <w:szCs w:val="16"/>
          </w:rPr>
          <w:t>https://www.tga.gov.au/prescribing-medicines-pregnancy-database</w:t>
        </w:r>
      </w:hyperlink>
    </w:p>
  </w:footnote>
  <w:footnote w:id="33">
    <w:p w14:paraId="586EA0D5" w14:textId="24B2E65E" w:rsidR="009A49EF" w:rsidRDefault="009A49EF" w:rsidP="003242DF">
      <w:pPr>
        <w:pStyle w:val="FootnoteText"/>
      </w:pPr>
      <w:r>
        <w:rPr>
          <w:rStyle w:val="FootnoteReference"/>
        </w:rPr>
        <w:footnoteRef/>
      </w:r>
      <w:r>
        <w:t xml:space="preserve"> </w:t>
      </w:r>
      <w:r w:rsidRPr="007F3638">
        <w:t>Therapeutic Goods (Medicines Advisory Statements) Specification 2019</w:t>
      </w:r>
      <w:r>
        <w:t xml:space="preserve"> </w:t>
      </w:r>
      <w:hyperlink r:id="rId32" w:history="1">
        <w:r w:rsidRPr="00FC5165">
          <w:rPr>
            <w:rStyle w:val="Hyperlink"/>
          </w:rPr>
          <w:t>https://www.legislation.gov.au/Details/F2019L00213</w:t>
        </w:r>
      </w:hyperlink>
    </w:p>
  </w:footnote>
  <w:footnote w:id="34">
    <w:p w14:paraId="271CE991" w14:textId="67224F44" w:rsidR="009A49EF" w:rsidRDefault="009A49EF" w:rsidP="003242DF">
      <w:pPr>
        <w:pStyle w:val="FootnoteText"/>
      </w:pPr>
      <w:r>
        <w:rPr>
          <w:rStyle w:val="FootnoteReference"/>
        </w:rPr>
        <w:footnoteRef/>
      </w:r>
      <w:r>
        <w:t xml:space="preserve"> </w:t>
      </w:r>
      <w:r w:rsidRPr="00C81411">
        <w:t>Database of Adverse Event Notifications (DAEN)</w:t>
      </w:r>
      <w:r>
        <w:t xml:space="preserve"> </w:t>
      </w:r>
      <w:hyperlink r:id="rId33" w:history="1">
        <w:r w:rsidRPr="007C3A78">
          <w:rPr>
            <w:rStyle w:val="Hyperlink"/>
          </w:rPr>
          <w:t>https://apps.tga.gov.au/Prod/daen/daen-entry.aspx</w:t>
        </w:r>
      </w:hyperlink>
      <w:r>
        <w:t xml:space="preserve"> </w:t>
      </w:r>
    </w:p>
  </w:footnote>
  <w:footnote w:id="35">
    <w:p w14:paraId="1B391F84" w14:textId="01FA5911" w:rsidR="009A49EF" w:rsidRDefault="009A49EF" w:rsidP="003242DF">
      <w:pPr>
        <w:pStyle w:val="FootnoteText"/>
      </w:pPr>
      <w:r>
        <w:rPr>
          <w:rStyle w:val="FootnoteReference"/>
        </w:rPr>
        <w:footnoteRef/>
      </w:r>
      <w:r>
        <w:t xml:space="preserve"> </w:t>
      </w:r>
      <w:r w:rsidRPr="00F53A0E">
        <w:t>Public Chemical Registration Information System Search (PubCRIS)</w:t>
      </w:r>
      <w:r>
        <w:t xml:space="preserve"> </w:t>
      </w:r>
      <w:hyperlink r:id="rId34" w:history="1">
        <w:r w:rsidRPr="007C3A78">
          <w:rPr>
            <w:rStyle w:val="Hyperlink"/>
          </w:rPr>
          <w:t>https://portal.apvma.gov.au/pubcris</w:t>
        </w:r>
      </w:hyperlink>
    </w:p>
  </w:footnote>
  <w:footnote w:id="36">
    <w:p w14:paraId="69530DF4" w14:textId="41E5D51B" w:rsidR="009A49EF" w:rsidRDefault="009A49EF">
      <w:pPr>
        <w:pStyle w:val="FootnoteText"/>
      </w:pPr>
      <w:r>
        <w:rPr>
          <w:rStyle w:val="FootnoteReference"/>
        </w:rPr>
        <w:footnoteRef/>
      </w:r>
      <w:r>
        <w:t xml:space="preserve"> Food and Drug Administration Approved Drugs Database: </w:t>
      </w:r>
      <w:hyperlink r:id="rId35" w:history="1">
        <w:r w:rsidRPr="00703525">
          <w:rPr>
            <w:rStyle w:val="Hyperlink"/>
          </w:rPr>
          <w:t>https://www.accessdata.fda.gov/scripts/cder/daf/</w:t>
        </w:r>
      </w:hyperlink>
    </w:p>
  </w:footnote>
  <w:footnote w:id="37">
    <w:p w14:paraId="6069DBF0" w14:textId="3137A6CE" w:rsidR="009A49EF" w:rsidRDefault="009A49EF">
      <w:pPr>
        <w:pStyle w:val="FootnoteText"/>
      </w:pPr>
      <w:r>
        <w:rPr>
          <w:rStyle w:val="FootnoteReference"/>
        </w:rPr>
        <w:footnoteRef/>
      </w:r>
      <w:r>
        <w:t xml:space="preserve"> Health Canada Drug Product Database: </w:t>
      </w:r>
      <w:hyperlink r:id="rId36" w:history="1">
        <w:r w:rsidRPr="00703525">
          <w:rPr>
            <w:rStyle w:val="Hyperlink"/>
          </w:rPr>
          <w:t>https://health-products.canada.ca/dpd-bdpp/index-eng.jsp</w:t>
        </w:r>
      </w:hyperlink>
    </w:p>
  </w:footnote>
  <w:footnote w:id="38">
    <w:p w14:paraId="392C77C5" w14:textId="491CFC01" w:rsidR="009A49EF" w:rsidRDefault="009A49EF">
      <w:pPr>
        <w:pStyle w:val="FootnoteText"/>
      </w:pPr>
      <w:r>
        <w:rPr>
          <w:rStyle w:val="FootnoteReference"/>
        </w:rPr>
        <w:footnoteRef/>
      </w:r>
      <w:r>
        <w:t xml:space="preserve"> Health Products Regulatory Authority </w:t>
      </w:r>
      <w:hyperlink r:id="rId37" w:history="1">
        <w:r w:rsidRPr="0063798D">
          <w:rPr>
            <w:rStyle w:val="Hyperlink"/>
          </w:rPr>
          <w:t>https://www.hpra.ie/homepage/medicines/medicines-information/find-a-medicine/results/item?pano=PA0540/127/005&amp;t=Stemetil%205mg%20Tablets</w:t>
        </w:r>
      </w:hyperlink>
    </w:p>
  </w:footnote>
  <w:footnote w:id="39">
    <w:p w14:paraId="2416FAB8" w14:textId="70E867AC" w:rsidR="009A49EF" w:rsidRDefault="009A49EF">
      <w:pPr>
        <w:pStyle w:val="FootnoteText"/>
      </w:pPr>
      <w:r>
        <w:rPr>
          <w:rStyle w:val="FootnoteReference"/>
        </w:rPr>
        <w:footnoteRef/>
      </w:r>
      <w:r>
        <w:t xml:space="preserve"> Medsafe Medicines Classification Database: </w:t>
      </w:r>
      <w:hyperlink r:id="rId38" w:history="1">
        <w:r w:rsidRPr="00703525">
          <w:rPr>
            <w:rStyle w:val="Hyperlink"/>
          </w:rPr>
          <w:t>https://health-products.canada.ca/dpd-bdpp/index-eng.jsp</w:t>
        </w:r>
      </w:hyperlink>
    </w:p>
  </w:footnote>
  <w:footnote w:id="40">
    <w:p w14:paraId="2470F138" w14:textId="56EFFFF3" w:rsidR="009A49EF" w:rsidRDefault="009A49EF">
      <w:pPr>
        <w:pStyle w:val="FootnoteText"/>
      </w:pPr>
      <w:r>
        <w:rPr>
          <w:rStyle w:val="FootnoteReference"/>
        </w:rPr>
        <w:footnoteRef/>
      </w:r>
      <w:r>
        <w:t xml:space="preserve"> Restricted medicines in NZ are also referred to as Pharmacist Only medicines. See </w:t>
      </w:r>
      <w:hyperlink r:id="rId39" w:history="1">
        <w:r w:rsidRPr="00A60801">
          <w:rPr>
            <w:rStyle w:val="Hyperlink"/>
          </w:rPr>
          <w:t>https://www.medsafe.govt.nz/Consumers/PharmOnly.asp</w:t>
        </w:r>
      </w:hyperlink>
      <w:r>
        <w:t xml:space="preserve"> for details</w:t>
      </w:r>
    </w:p>
  </w:footnote>
  <w:footnote w:id="41">
    <w:p w14:paraId="7FCD044D" w14:textId="77777777" w:rsidR="009A49EF" w:rsidRDefault="009A49EF" w:rsidP="007B2894">
      <w:pPr>
        <w:pStyle w:val="FootnoteText"/>
      </w:pPr>
      <w:r>
        <w:rPr>
          <w:rStyle w:val="FootnoteReference"/>
        </w:rPr>
        <w:footnoteRef/>
      </w:r>
      <w:r>
        <w:t xml:space="preserve"> </w:t>
      </w:r>
      <w:r w:rsidRPr="00C81411">
        <w:t>TGA Ingredient Database</w:t>
      </w:r>
      <w:r>
        <w:t xml:space="preserve"> </w:t>
      </w:r>
      <w:hyperlink r:id="rId40" w:history="1">
        <w:r w:rsidRPr="00155822">
          <w:rPr>
            <w:rStyle w:val="Hyperlink"/>
          </w:rPr>
          <w:t>https://www.ebs.tga.gov.au/</w:t>
        </w:r>
      </w:hyperlink>
    </w:p>
  </w:footnote>
  <w:footnote w:id="42">
    <w:p w14:paraId="772AF52E" w14:textId="77777777" w:rsidR="009A49EF" w:rsidRDefault="009A49EF" w:rsidP="007B2894">
      <w:pPr>
        <w:pStyle w:val="FootnoteText"/>
      </w:pPr>
      <w:r>
        <w:rPr>
          <w:rStyle w:val="FootnoteReference"/>
        </w:rPr>
        <w:footnoteRef/>
      </w:r>
      <w:r>
        <w:t xml:space="preserve"> ARTG database </w:t>
      </w:r>
      <w:hyperlink r:id="rId41" w:history="1">
        <w:r w:rsidRPr="00025BAA">
          <w:rPr>
            <w:rStyle w:val="Hyperlink"/>
          </w:rPr>
          <w:t>https://www.tga.gov.au/artg</w:t>
        </w:r>
      </w:hyperlink>
      <w:r>
        <w:t xml:space="preserve"> </w:t>
      </w:r>
    </w:p>
  </w:footnote>
  <w:footnote w:id="43">
    <w:p w14:paraId="77D19445" w14:textId="4510537E" w:rsidR="009A49EF" w:rsidRDefault="009A49EF" w:rsidP="007B2894">
      <w:pPr>
        <w:pStyle w:val="FootnoteText"/>
      </w:pPr>
      <w:r>
        <w:rPr>
          <w:rStyle w:val="FootnoteReference"/>
        </w:rPr>
        <w:footnoteRef/>
      </w:r>
      <w:r>
        <w:t xml:space="preserve"> </w:t>
      </w:r>
      <w:r w:rsidRPr="007F3638">
        <w:t xml:space="preserve">Therapeutic Goods (Permissible Ingredients) Determination  </w:t>
      </w:r>
      <w:hyperlink r:id="rId42" w:history="1">
        <w:r w:rsidRPr="007C3A78">
          <w:rPr>
            <w:rStyle w:val="Hyperlink"/>
          </w:rPr>
          <w:t>https://www.legislation.gov.au/Search/Therapeutic%20Goods%20$LB$Permissible%20Ingredients$RB$%20Determination</w:t>
        </w:r>
      </w:hyperlink>
    </w:p>
  </w:footnote>
  <w:footnote w:id="44">
    <w:p w14:paraId="3E320BE9" w14:textId="1DFA5F2D" w:rsidR="009A49EF" w:rsidRPr="002F1C5C" w:rsidRDefault="009A49EF" w:rsidP="007B2894">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3" w:history="1">
        <w:r w:rsidRPr="00E974A4">
          <w:rPr>
            <w:rStyle w:val="Hyperlink"/>
            <w:szCs w:val="16"/>
          </w:rPr>
          <w:t>https://www.tga.gov.au/prescribing-medicines-pregnancy-database</w:t>
        </w:r>
      </w:hyperlink>
    </w:p>
  </w:footnote>
  <w:footnote w:id="45">
    <w:p w14:paraId="0C6BDB35" w14:textId="299A3B3D" w:rsidR="009A49EF" w:rsidRDefault="009A49EF" w:rsidP="007B2894">
      <w:pPr>
        <w:pStyle w:val="FootnoteText"/>
      </w:pPr>
      <w:r>
        <w:rPr>
          <w:rStyle w:val="FootnoteReference"/>
        </w:rPr>
        <w:footnoteRef/>
      </w:r>
      <w:r>
        <w:t xml:space="preserve"> </w:t>
      </w:r>
      <w:r w:rsidRPr="007F3638">
        <w:t>Therapeutic Goods (Medicines Advisory Statements) Specification 2019</w:t>
      </w:r>
      <w:r>
        <w:t xml:space="preserve"> </w:t>
      </w:r>
      <w:hyperlink r:id="rId44" w:history="1">
        <w:r w:rsidRPr="00FC5165">
          <w:rPr>
            <w:rStyle w:val="Hyperlink"/>
          </w:rPr>
          <w:t>https://www.legislation.gov.au/Details/F2019L00213</w:t>
        </w:r>
      </w:hyperlink>
      <w:r>
        <w:t xml:space="preserve"> </w:t>
      </w:r>
    </w:p>
  </w:footnote>
  <w:footnote w:id="46">
    <w:p w14:paraId="20C5462A" w14:textId="1501B485" w:rsidR="009A49EF" w:rsidRDefault="009A49EF" w:rsidP="007B2894">
      <w:pPr>
        <w:pStyle w:val="FootnoteText"/>
      </w:pPr>
      <w:r>
        <w:rPr>
          <w:rStyle w:val="FootnoteReference"/>
        </w:rPr>
        <w:footnoteRef/>
      </w:r>
      <w:r>
        <w:t xml:space="preserve"> </w:t>
      </w:r>
      <w:r w:rsidRPr="00C81411">
        <w:t>Database of Adverse Event Notifications (DAEN)</w:t>
      </w:r>
      <w:r>
        <w:t xml:space="preserve"> </w:t>
      </w:r>
      <w:hyperlink r:id="rId45" w:history="1">
        <w:r w:rsidRPr="007C3A78">
          <w:rPr>
            <w:rStyle w:val="Hyperlink"/>
          </w:rPr>
          <w:t>https://apps.tga.gov.au/Prod/daen/daen-entry.aspx</w:t>
        </w:r>
      </w:hyperlink>
    </w:p>
  </w:footnote>
  <w:footnote w:id="47">
    <w:p w14:paraId="4B217ECA" w14:textId="77777777" w:rsidR="009A49EF" w:rsidRDefault="009A49EF" w:rsidP="007B2894">
      <w:pPr>
        <w:pStyle w:val="FootnoteText"/>
      </w:pPr>
      <w:r>
        <w:rPr>
          <w:rStyle w:val="FootnoteReference"/>
        </w:rPr>
        <w:footnoteRef/>
      </w:r>
      <w:r>
        <w:t xml:space="preserve"> </w:t>
      </w:r>
      <w:r w:rsidRPr="00F53A0E">
        <w:t>Public Chemical Registration Information System Search (PubCRIS)</w:t>
      </w:r>
      <w:r>
        <w:t xml:space="preserve"> </w:t>
      </w:r>
      <w:hyperlink r:id="rId46" w:history="1">
        <w:r w:rsidRPr="007C3A78">
          <w:rPr>
            <w:rStyle w:val="Hyperlink"/>
          </w:rPr>
          <w:t>https://portal.apvma.gov.au/pubcris</w:t>
        </w:r>
      </w:hyperlink>
      <w:r>
        <w:t xml:space="preserve"> </w:t>
      </w:r>
    </w:p>
  </w:footnote>
  <w:footnote w:id="48">
    <w:p w14:paraId="021B7959" w14:textId="21039653" w:rsidR="009A49EF" w:rsidRDefault="009A49EF">
      <w:pPr>
        <w:pStyle w:val="FootnoteText"/>
      </w:pPr>
      <w:r>
        <w:rPr>
          <w:rStyle w:val="FootnoteReference"/>
        </w:rPr>
        <w:footnoteRef/>
      </w:r>
      <w:r>
        <w:t xml:space="preserve"> Food and Drugs Administration Approved Drugs Database </w:t>
      </w:r>
      <w:hyperlink r:id="rId47" w:history="1">
        <w:r w:rsidRPr="005D5806">
          <w:rPr>
            <w:rStyle w:val="Hyperlink"/>
          </w:rPr>
          <w:t>https://www.accessdata.fda.gov/scripts/cder/daf/</w:t>
        </w:r>
      </w:hyperlink>
    </w:p>
  </w:footnote>
  <w:footnote w:id="49">
    <w:p w14:paraId="16B3A9B5" w14:textId="7AE4DF1E" w:rsidR="009A49EF" w:rsidRDefault="009A49EF">
      <w:pPr>
        <w:pStyle w:val="FootnoteText"/>
      </w:pPr>
      <w:r>
        <w:rPr>
          <w:rStyle w:val="FootnoteReference"/>
        </w:rPr>
        <w:footnoteRef/>
      </w:r>
      <w:r>
        <w:t xml:space="preserve"> Health Canada Drug Product Database </w:t>
      </w:r>
      <w:hyperlink r:id="rId48" w:history="1">
        <w:r w:rsidRPr="005D5806">
          <w:rPr>
            <w:rStyle w:val="Hyperlink"/>
          </w:rPr>
          <w:t>https://www.accessdata.fda.gov/scripts/cder/daf/</w:t>
        </w:r>
      </w:hyperlink>
    </w:p>
  </w:footnote>
  <w:footnote w:id="50">
    <w:p w14:paraId="05DA8294" w14:textId="2E67399A" w:rsidR="009A49EF" w:rsidRDefault="009A49EF">
      <w:pPr>
        <w:pStyle w:val="FootnoteText"/>
      </w:pPr>
      <w:r>
        <w:rPr>
          <w:rStyle w:val="FootnoteReference"/>
        </w:rPr>
        <w:footnoteRef/>
      </w:r>
      <w:r>
        <w:t xml:space="preserve"> Medsafe Medicines Classification Database </w:t>
      </w:r>
      <w:hyperlink r:id="rId49" w:history="1">
        <w:r w:rsidRPr="00D15A61">
          <w:rPr>
            <w:rStyle w:val="Hyperlink"/>
          </w:rPr>
          <w:t>https://www.medsafe.govt.nz/profs/class/classintro.asp</w:t>
        </w:r>
      </w:hyperlink>
    </w:p>
  </w:footnote>
  <w:footnote w:id="51">
    <w:p w14:paraId="74ADFD52" w14:textId="77777777" w:rsidR="009A49EF" w:rsidRDefault="009A49EF" w:rsidP="00C36465">
      <w:pPr>
        <w:pStyle w:val="FootnoteText"/>
      </w:pPr>
      <w:r>
        <w:rPr>
          <w:rStyle w:val="FootnoteReference"/>
        </w:rPr>
        <w:footnoteRef/>
      </w:r>
      <w:r>
        <w:t xml:space="preserve"> </w:t>
      </w:r>
      <w:r w:rsidRPr="00C81411">
        <w:t>TGA Ingredient Database</w:t>
      </w:r>
      <w:r>
        <w:t xml:space="preserve"> </w:t>
      </w:r>
      <w:hyperlink r:id="rId50" w:history="1">
        <w:r w:rsidRPr="00C81411">
          <w:rPr>
            <w:rStyle w:val="Hyperlink"/>
            <w:color w:val="002C47" w:themeColor="text2"/>
          </w:rPr>
          <w:t>https://www.ebs.tga.gov.au/</w:t>
        </w:r>
      </w:hyperlink>
    </w:p>
  </w:footnote>
  <w:footnote w:id="52">
    <w:p w14:paraId="51DC2C52" w14:textId="4466E336" w:rsidR="009A49EF" w:rsidRDefault="009A49EF" w:rsidP="00C36465">
      <w:pPr>
        <w:pStyle w:val="FootnoteText"/>
      </w:pPr>
      <w:r>
        <w:rPr>
          <w:rStyle w:val="FootnoteReference"/>
        </w:rPr>
        <w:footnoteRef/>
      </w:r>
      <w:r>
        <w:t xml:space="preserve"> ARTG database </w:t>
      </w:r>
      <w:hyperlink r:id="rId51" w:history="1">
        <w:r w:rsidRPr="00025BAA">
          <w:rPr>
            <w:rStyle w:val="Hyperlink"/>
          </w:rPr>
          <w:t>https://www.tga.gov.au/artg</w:t>
        </w:r>
      </w:hyperlink>
    </w:p>
  </w:footnote>
  <w:footnote w:id="53">
    <w:p w14:paraId="069D379C" w14:textId="2D4A2B84" w:rsidR="009A49EF" w:rsidRDefault="009A49EF" w:rsidP="00C36465">
      <w:pPr>
        <w:pStyle w:val="FootnoteText"/>
      </w:pPr>
      <w:r>
        <w:rPr>
          <w:rStyle w:val="FootnoteReference"/>
        </w:rPr>
        <w:footnoteRef/>
      </w:r>
      <w:r>
        <w:t xml:space="preserve"> </w:t>
      </w:r>
      <w:r w:rsidRPr="007F3638">
        <w:t>Therapeutic Goods (Permissi</w:t>
      </w:r>
      <w:r>
        <w:t xml:space="preserve">ble Ingredients) Determination </w:t>
      </w:r>
      <w:hyperlink r:id="rId52" w:history="1">
        <w:r w:rsidRPr="007C3A78">
          <w:rPr>
            <w:rStyle w:val="Hyperlink"/>
          </w:rPr>
          <w:t>https://www.legislation.gov.au/Search/Therapeutic%20Goods%20$LB$Permissible%20Ingredients$RB$%20Determination</w:t>
        </w:r>
      </w:hyperlink>
    </w:p>
  </w:footnote>
  <w:footnote w:id="54">
    <w:p w14:paraId="586B0BC6" w14:textId="353D1AC7" w:rsidR="009A49EF" w:rsidRPr="002F1C5C" w:rsidRDefault="009A49EF" w:rsidP="00C36465">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53" w:history="1">
        <w:r w:rsidRPr="00E974A4">
          <w:rPr>
            <w:rStyle w:val="Hyperlink"/>
            <w:szCs w:val="16"/>
          </w:rPr>
          <w:t>https://www.tga.gov.au/prescribing-medicines-pregnancy-database</w:t>
        </w:r>
      </w:hyperlink>
    </w:p>
  </w:footnote>
  <w:footnote w:id="55">
    <w:p w14:paraId="1DAF9C4C" w14:textId="69091C97" w:rsidR="009A49EF" w:rsidRDefault="009A49EF" w:rsidP="00C36465">
      <w:pPr>
        <w:pStyle w:val="FootnoteText"/>
      </w:pPr>
      <w:r>
        <w:rPr>
          <w:rStyle w:val="FootnoteReference"/>
        </w:rPr>
        <w:footnoteRef/>
      </w:r>
      <w:r>
        <w:t xml:space="preserve"> </w:t>
      </w:r>
      <w:r w:rsidRPr="007F3638">
        <w:t>Therapeutic Goods (Medicines Advisory Statements) Specification 2019</w:t>
      </w:r>
      <w:r>
        <w:t xml:space="preserve"> </w:t>
      </w:r>
      <w:hyperlink r:id="rId54" w:history="1">
        <w:r w:rsidRPr="00FC5165">
          <w:rPr>
            <w:rStyle w:val="Hyperlink"/>
          </w:rPr>
          <w:t>https://www.legislation.gov.au/Details/F2019L00213</w:t>
        </w:r>
      </w:hyperlink>
    </w:p>
  </w:footnote>
  <w:footnote w:id="56">
    <w:p w14:paraId="750BE2A1" w14:textId="53313082" w:rsidR="009A49EF" w:rsidRDefault="009A49EF" w:rsidP="00C36465">
      <w:pPr>
        <w:pStyle w:val="FootnoteText"/>
      </w:pPr>
      <w:r>
        <w:rPr>
          <w:rStyle w:val="FootnoteReference"/>
        </w:rPr>
        <w:footnoteRef/>
      </w:r>
      <w:r>
        <w:t xml:space="preserve"> </w:t>
      </w:r>
      <w:r w:rsidRPr="00C81411">
        <w:t>Database of Adverse Event Notifications (DAEN)</w:t>
      </w:r>
      <w:r>
        <w:t xml:space="preserve"> </w:t>
      </w:r>
      <w:hyperlink r:id="rId55" w:history="1">
        <w:r w:rsidRPr="007C3A78">
          <w:rPr>
            <w:rStyle w:val="Hyperlink"/>
          </w:rPr>
          <w:t>https://apps.tga.gov.au/Prod/daen/daen-entry.aspx</w:t>
        </w:r>
      </w:hyperlink>
      <w:r>
        <w:t xml:space="preserve"> </w:t>
      </w:r>
    </w:p>
  </w:footnote>
  <w:footnote w:id="57">
    <w:p w14:paraId="64021E37" w14:textId="327ED355" w:rsidR="009A49EF" w:rsidRDefault="009A49EF" w:rsidP="00C36465">
      <w:pPr>
        <w:pStyle w:val="FootnoteText"/>
      </w:pPr>
      <w:r>
        <w:rPr>
          <w:rStyle w:val="FootnoteReference"/>
        </w:rPr>
        <w:footnoteRef/>
      </w:r>
      <w:r>
        <w:t xml:space="preserve"> </w:t>
      </w:r>
      <w:r w:rsidRPr="00F53A0E">
        <w:t>Public Chemical Registration Information System Search (PubCRIS)</w:t>
      </w:r>
      <w:r>
        <w:t xml:space="preserve"> </w:t>
      </w:r>
      <w:hyperlink r:id="rId56" w:history="1">
        <w:r w:rsidRPr="007C3A78">
          <w:rPr>
            <w:rStyle w:val="Hyperlink"/>
          </w:rPr>
          <w:t>https://portal.apvma.gov.au/pubcris</w:t>
        </w:r>
      </w:hyperlink>
    </w:p>
  </w:footnote>
  <w:footnote w:id="58">
    <w:p w14:paraId="404E1B31" w14:textId="4307618A" w:rsidR="009A49EF" w:rsidRDefault="009A49EF" w:rsidP="00C36465">
      <w:pPr>
        <w:pStyle w:val="FootnoteText"/>
      </w:pPr>
      <w:r>
        <w:rPr>
          <w:rStyle w:val="FootnoteReference"/>
        </w:rPr>
        <w:footnoteRef/>
      </w:r>
      <w:r>
        <w:t xml:space="preserve"> </w:t>
      </w:r>
      <w:r w:rsidRPr="00361C74">
        <w:t>APVMA Adverse Experience Reporting Program</w:t>
      </w:r>
      <w:r>
        <w:rPr>
          <w:rStyle w:val="Hyperlink"/>
        </w:rPr>
        <w:t xml:space="preserve"> database (AERP)</w:t>
      </w:r>
      <w:r>
        <w:t xml:space="preserve"> </w:t>
      </w:r>
      <w:hyperlink r:id="rId57" w:history="1">
        <w:r w:rsidRPr="00417A9C">
          <w:rPr>
            <w:rStyle w:val="Hyperlink"/>
          </w:rPr>
          <w:t>https://apvma.gov.au/node/10946</w:t>
        </w:r>
      </w:hyperlink>
    </w:p>
  </w:footnote>
  <w:footnote w:id="59">
    <w:p w14:paraId="0F760045" w14:textId="77777777" w:rsidR="009A49EF" w:rsidRDefault="009A49EF" w:rsidP="00C36465">
      <w:pPr>
        <w:pStyle w:val="FootnoteText"/>
      </w:pPr>
      <w:r>
        <w:rPr>
          <w:rStyle w:val="FootnoteReference"/>
        </w:rPr>
        <w:footnoteRef/>
      </w:r>
      <w:r>
        <w:t xml:space="preserve"> Food and Drugs Administration Approved Drugs Database </w:t>
      </w:r>
      <w:hyperlink r:id="rId58" w:history="1">
        <w:r w:rsidRPr="005D5806">
          <w:rPr>
            <w:rStyle w:val="Hyperlink"/>
          </w:rPr>
          <w:t>https://www.accessdata.fda.gov/scripts/cder/daf/</w:t>
        </w:r>
      </w:hyperlink>
    </w:p>
  </w:footnote>
  <w:footnote w:id="60">
    <w:p w14:paraId="3CF505E6" w14:textId="77777777" w:rsidR="009A49EF" w:rsidRDefault="009A49EF" w:rsidP="00C36465">
      <w:pPr>
        <w:pStyle w:val="FootnoteText"/>
      </w:pPr>
      <w:r>
        <w:rPr>
          <w:rStyle w:val="FootnoteReference"/>
        </w:rPr>
        <w:footnoteRef/>
      </w:r>
      <w:r>
        <w:t xml:space="preserve"> Health Canada Drug Product Database </w:t>
      </w:r>
      <w:hyperlink r:id="rId59" w:history="1">
        <w:r w:rsidRPr="005D5806">
          <w:rPr>
            <w:rStyle w:val="Hyperlink"/>
          </w:rPr>
          <w:t>https://www.accessdata.fda.gov/scripts/cder/daf/</w:t>
        </w:r>
      </w:hyperlink>
    </w:p>
  </w:footnote>
  <w:footnote w:id="61">
    <w:p w14:paraId="1EF01030" w14:textId="77777777" w:rsidR="009A49EF" w:rsidRDefault="009A49EF" w:rsidP="00C36465">
      <w:pPr>
        <w:pStyle w:val="FootnoteText"/>
      </w:pPr>
      <w:r>
        <w:rPr>
          <w:rStyle w:val="FootnoteReference"/>
        </w:rPr>
        <w:footnoteRef/>
      </w:r>
      <w:r>
        <w:t xml:space="preserve"> Medsafe Medicines Classification Database </w:t>
      </w:r>
      <w:hyperlink r:id="rId60" w:history="1">
        <w:r w:rsidRPr="00D15A61">
          <w:rPr>
            <w:rStyle w:val="Hyperlink"/>
          </w:rPr>
          <w:t>https://www.medsafe.govt.nz/profs/class/classintro.asp</w:t>
        </w:r>
      </w:hyperlink>
    </w:p>
  </w:footnote>
  <w:footnote w:id="62">
    <w:p w14:paraId="7AA9CDC9" w14:textId="77777777" w:rsidR="009A49EF" w:rsidRDefault="009A49EF" w:rsidP="00C36465">
      <w:pPr>
        <w:pStyle w:val="FootnoteText"/>
      </w:pPr>
      <w:r>
        <w:rPr>
          <w:rStyle w:val="FootnoteReference"/>
        </w:rPr>
        <w:footnoteRef/>
      </w:r>
      <w:r>
        <w:t xml:space="preserve"> European Chemicals Agency </w:t>
      </w:r>
      <w:hyperlink r:id="rId61" w:history="1">
        <w:r w:rsidRPr="000B466A">
          <w:rPr>
            <w:rStyle w:val="Hyperlink"/>
          </w:rPr>
          <w:t>https://echa.europa.eu/substance-information/-/substanceinfo/100.028.273</w:t>
        </w:r>
      </w:hyperlink>
    </w:p>
  </w:footnote>
  <w:footnote w:id="63">
    <w:p w14:paraId="5F489BBE" w14:textId="77777777" w:rsidR="009A49EF" w:rsidRDefault="009A49EF" w:rsidP="00C36465">
      <w:pPr>
        <w:pStyle w:val="FootnoteText"/>
      </w:pPr>
      <w:r>
        <w:rPr>
          <w:rStyle w:val="FootnoteReference"/>
        </w:rPr>
        <w:footnoteRef/>
      </w:r>
      <w:r>
        <w:t xml:space="preserve"> Health Safety Authority </w:t>
      </w:r>
      <w:hyperlink r:id="rId62" w:history="1">
        <w:r w:rsidRPr="001A1312">
          <w:rPr>
            <w:rStyle w:val="Hyperlink"/>
          </w:rPr>
          <w:t>https://www.hsa.ie/eng/Topics/Business_Licensing_and_Notification_Requirements/Chemicals/</w:t>
        </w:r>
      </w:hyperlink>
    </w:p>
  </w:footnote>
  <w:footnote w:id="64">
    <w:p w14:paraId="7F8BAE72" w14:textId="77777777" w:rsidR="009A49EF" w:rsidRDefault="009A49EF" w:rsidP="00C36465">
      <w:pPr>
        <w:pStyle w:val="FootnoteText"/>
      </w:pPr>
      <w:r>
        <w:rPr>
          <w:rStyle w:val="FootnoteReference"/>
        </w:rPr>
        <w:footnoteRef/>
      </w:r>
      <w:r>
        <w:t xml:space="preserve"> Consumer Product Safety Commission </w:t>
      </w:r>
      <w:hyperlink r:id="rId63" w:history="1">
        <w:r w:rsidRPr="001A1312">
          <w:rPr>
            <w:rStyle w:val="Hyperlink"/>
          </w:rPr>
          <w:t>https://www.cpsc.gov/Business--Manufacturing/Business-Education/Lead/Lead-in-Paint</w:t>
        </w:r>
      </w:hyperlink>
    </w:p>
  </w:footnote>
  <w:footnote w:id="65">
    <w:p w14:paraId="2CB0573B" w14:textId="77777777" w:rsidR="009A49EF" w:rsidRDefault="009A49EF" w:rsidP="00C36465">
      <w:pPr>
        <w:pStyle w:val="FootnoteText"/>
      </w:pPr>
      <w:r>
        <w:rPr>
          <w:rStyle w:val="FootnoteReference"/>
        </w:rPr>
        <w:footnoteRef/>
      </w:r>
      <w:r>
        <w:t xml:space="preserve"> </w:t>
      </w:r>
      <w:r w:rsidRPr="00C81411">
        <w:t>TGA Ingredient Database</w:t>
      </w:r>
      <w:r>
        <w:t xml:space="preserve"> </w:t>
      </w:r>
      <w:hyperlink r:id="rId64" w:history="1">
        <w:r w:rsidRPr="00992CBB">
          <w:rPr>
            <w:rStyle w:val="Hyperlink"/>
          </w:rPr>
          <w:t>https://www.ebs.tga.gov.au/</w:t>
        </w:r>
      </w:hyperlink>
    </w:p>
  </w:footnote>
  <w:footnote w:id="66">
    <w:p w14:paraId="040F4A2E" w14:textId="2E1E8CF3" w:rsidR="009A49EF" w:rsidRDefault="009A49EF" w:rsidP="00C36465">
      <w:pPr>
        <w:pStyle w:val="FootnoteText"/>
      </w:pPr>
      <w:r>
        <w:rPr>
          <w:rStyle w:val="FootnoteReference"/>
        </w:rPr>
        <w:footnoteRef/>
      </w:r>
      <w:r>
        <w:t xml:space="preserve"> ARTG database </w:t>
      </w:r>
      <w:hyperlink r:id="rId65" w:history="1">
        <w:r w:rsidRPr="00025BAA">
          <w:rPr>
            <w:rStyle w:val="Hyperlink"/>
          </w:rPr>
          <w:t>https://www.tga.gov.au/artg</w:t>
        </w:r>
      </w:hyperlink>
    </w:p>
  </w:footnote>
  <w:footnote w:id="67">
    <w:p w14:paraId="599D6EB9" w14:textId="4FD24163" w:rsidR="009A49EF" w:rsidRDefault="009A49EF" w:rsidP="00C36465">
      <w:pPr>
        <w:pStyle w:val="FootnoteText"/>
      </w:pPr>
      <w:r>
        <w:rPr>
          <w:rStyle w:val="FootnoteReference"/>
        </w:rPr>
        <w:footnoteRef/>
      </w:r>
      <w:r>
        <w:t xml:space="preserve"> </w:t>
      </w:r>
      <w:r w:rsidRPr="00F53A0E">
        <w:t>Public Chemical Registration Information System Search (PubCRIS)</w:t>
      </w:r>
      <w:r>
        <w:t xml:space="preserve"> </w:t>
      </w:r>
      <w:hyperlink r:id="rId66" w:history="1">
        <w:r w:rsidRPr="007C3A78">
          <w:rPr>
            <w:rStyle w:val="Hyperlink"/>
          </w:rPr>
          <w:t>https://portal.apvma.gov.au/pubcris</w:t>
        </w:r>
      </w:hyperlink>
    </w:p>
  </w:footnote>
  <w:footnote w:id="68">
    <w:p w14:paraId="07AD88E6" w14:textId="77777777" w:rsidR="009A49EF" w:rsidRDefault="009A49EF" w:rsidP="00C36465">
      <w:pPr>
        <w:pStyle w:val="FootnoteText"/>
      </w:pPr>
      <w:r>
        <w:rPr>
          <w:rStyle w:val="FootnoteReference"/>
        </w:rPr>
        <w:footnoteRef/>
      </w:r>
      <w:r>
        <w:t xml:space="preserve"> European Chemicals Agency </w:t>
      </w:r>
      <w:hyperlink r:id="rId67" w:history="1">
        <w:r w:rsidRPr="00C24EB7">
          <w:rPr>
            <w:rStyle w:val="Hyperlink"/>
          </w:rPr>
          <w:t>https://echa.europa.eu/substance-information/-/substanceinfo/100.170.873</w:t>
        </w:r>
      </w:hyperlink>
    </w:p>
  </w:footnote>
  <w:footnote w:id="69">
    <w:p w14:paraId="2769A34B" w14:textId="77777777" w:rsidR="009A49EF" w:rsidRDefault="009A49EF" w:rsidP="00C36465">
      <w:pPr>
        <w:pStyle w:val="FootnoteText"/>
      </w:pPr>
      <w:r>
        <w:rPr>
          <w:rStyle w:val="FootnoteReference"/>
        </w:rPr>
        <w:footnoteRef/>
      </w:r>
      <w:r>
        <w:t xml:space="preserve"> US Environmental Protection Agency </w:t>
      </w:r>
      <w:hyperlink r:id="rId68" w:history="1">
        <w:r w:rsidRPr="00152675">
          <w:rPr>
            <w:rStyle w:val="Hyperlink"/>
          </w:rPr>
          <w:t>https://iaspub.epa.gov/apex/pesticides/f?p=CHEMICALSEARCH:3::::1,3,31,7,12,25:P3_XCHEMICAL_ID:1490</w:t>
        </w:r>
      </w:hyperlink>
    </w:p>
  </w:footnote>
  <w:footnote w:id="70">
    <w:p w14:paraId="1AAA2F84" w14:textId="77777777" w:rsidR="009A49EF" w:rsidRDefault="009A49EF" w:rsidP="00C36465">
      <w:pPr>
        <w:pStyle w:val="FootnoteText"/>
      </w:pPr>
      <w:r>
        <w:rPr>
          <w:rStyle w:val="FootnoteReference"/>
        </w:rPr>
        <w:footnoteRef/>
      </w:r>
      <w:r>
        <w:t xml:space="preserve"> New Zealand Inventory of Chemicals </w:t>
      </w:r>
      <w:hyperlink r:id="rId69" w:history="1">
        <w:r w:rsidRPr="00972154">
          <w:rPr>
            <w:rStyle w:val="Hyperlink"/>
          </w:rPr>
          <w:t>https://www.epa.govt.nz/database-search/new-zealand-inventory-of-chemicals-nzioc/</w:t>
        </w:r>
      </w:hyperlink>
    </w:p>
  </w:footnote>
  <w:footnote w:id="71">
    <w:p w14:paraId="0DEDA86F" w14:textId="77777777" w:rsidR="009A49EF" w:rsidRDefault="009A49EF" w:rsidP="00C36465">
      <w:pPr>
        <w:pStyle w:val="FootnoteText"/>
      </w:pPr>
      <w:r>
        <w:rPr>
          <w:rStyle w:val="FootnoteReference"/>
        </w:rPr>
        <w:footnoteRef/>
      </w:r>
      <w:r>
        <w:t xml:space="preserve"> EU Pesticides Database </w:t>
      </w:r>
      <w:hyperlink r:id="rId70" w:history="1">
        <w:r w:rsidRPr="003216FD">
          <w:rPr>
            <w:rStyle w:val="Hyperlink"/>
          </w:rPr>
          <w:t>https://ec.europa.eu/food/plant/pesticides/eu-pesticides-database/public/?event=activesubstance.detail&amp;language=EN&amp;selectedID=2082</w:t>
        </w:r>
      </w:hyperlink>
    </w:p>
  </w:footnote>
  <w:footnote w:id="72">
    <w:p w14:paraId="716356C1" w14:textId="77777777" w:rsidR="009A49EF" w:rsidRDefault="009A49EF" w:rsidP="00C36465">
      <w:pPr>
        <w:pStyle w:val="FootnoteText"/>
      </w:pPr>
      <w:r>
        <w:rPr>
          <w:rStyle w:val="FootnoteReference"/>
        </w:rPr>
        <w:footnoteRef/>
      </w:r>
      <w:r>
        <w:t xml:space="preserve"> </w:t>
      </w:r>
      <w:r w:rsidRPr="00C81411">
        <w:t>TGA Ingredient Database</w:t>
      </w:r>
      <w:r>
        <w:t xml:space="preserve"> </w:t>
      </w:r>
      <w:hyperlink r:id="rId71" w:history="1">
        <w:r w:rsidRPr="00CD309B">
          <w:rPr>
            <w:rStyle w:val="Hyperlink"/>
          </w:rPr>
          <w:t>https://www.ebs.tga.gov.au/</w:t>
        </w:r>
      </w:hyperlink>
    </w:p>
  </w:footnote>
  <w:footnote w:id="73">
    <w:p w14:paraId="0B041F4E" w14:textId="511F4FFA" w:rsidR="009A49EF" w:rsidRDefault="009A49EF" w:rsidP="00C36465">
      <w:pPr>
        <w:pStyle w:val="FootnoteText"/>
      </w:pPr>
      <w:r>
        <w:rPr>
          <w:rStyle w:val="FootnoteReference"/>
        </w:rPr>
        <w:footnoteRef/>
      </w:r>
      <w:r>
        <w:t xml:space="preserve"> ARTG database </w:t>
      </w:r>
      <w:hyperlink r:id="rId72" w:history="1">
        <w:r w:rsidRPr="00025BAA">
          <w:rPr>
            <w:rStyle w:val="Hyperlink"/>
          </w:rPr>
          <w:t>https://www.tga.gov.au/artg</w:t>
        </w:r>
      </w:hyperlink>
    </w:p>
  </w:footnote>
  <w:footnote w:id="74">
    <w:p w14:paraId="3831AA1C" w14:textId="5EA4D731" w:rsidR="009A49EF" w:rsidRDefault="009A49EF" w:rsidP="00C36465">
      <w:pPr>
        <w:pStyle w:val="FootnoteText"/>
      </w:pPr>
      <w:r>
        <w:rPr>
          <w:rStyle w:val="FootnoteReference"/>
        </w:rPr>
        <w:footnoteRef/>
      </w:r>
      <w:r>
        <w:t xml:space="preserve"> </w:t>
      </w:r>
      <w:r w:rsidRPr="00F53A0E">
        <w:t>Public Chemical Registration Information System Search (PubCRIS)</w:t>
      </w:r>
      <w:r>
        <w:t xml:space="preserve"> </w:t>
      </w:r>
      <w:hyperlink r:id="rId73" w:history="1">
        <w:r w:rsidRPr="007C3A78">
          <w:rPr>
            <w:rStyle w:val="Hyperlink"/>
          </w:rPr>
          <w:t>https://portal.apvma.gov.au/pubcris</w:t>
        </w:r>
      </w:hyperlink>
    </w:p>
  </w:footnote>
  <w:footnote w:id="75">
    <w:p w14:paraId="6457C58B" w14:textId="77777777" w:rsidR="009A49EF" w:rsidRDefault="009A49EF" w:rsidP="00C36465">
      <w:pPr>
        <w:pStyle w:val="FootnoteText"/>
      </w:pPr>
      <w:r>
        <w:rPr>
          <w:rStyle w:val="FootnoteReference"/>
        </w:rPr>
        <w:footnoteRef/>
      </w:r>
      <w:r>
        <w:t xml:space="preserve"> </w:t>
      </w:r>
      <w:hyperlink r:id="rId74" w:history="1">
        <w:r w:rsidRPr="00482EF1">
          <w:rPr>
            <w:rStyle w:val="Hyperlink"/>
          </w:rPr>
          <w:t>https://echa.europa.eu/search-for-chemicals?p_p_id=disssimplesearch_WAR_disssearchportlet&amp;p_p_lifecycle=0&amp;_disssimplesearch_WAR_disssearchportlet_searchOccurred=true&amp;_disssimplesearch_WAR_disssearchportlet_sessionCriteriaId=dissSimpleSearchSessionParam101401563842726334</w:t>
        </w:r>
      </w:hyperlink>
    </w:p>
  </w:footnote>
  <w:footnote w:id="76">
    <w:p w14:paraId="16424961" w14:textId="77777777" w:rsidR="009A49EF" w:rsidRDefault="009A49EF" w:rsidP="00C36465">
      <w:pPr>
        <w:pStyle w:val="FootnoteText"/>
      </w:pPr>
      <w:r>
        <w:rPr>
          <w:rStyle w:val="FootnoteReference"/>
        </w:rPr>
        <w:footnoteRef/>
      </w:r>
      <w:r>
        <w:t xml:space="preserve"> </w:t>
      </w:r>
      <w:hyperlink r:id="rId75" w:history="1">
        <w:r w:rsidRPr="00482EF1">
          <w:rPr>
            <w:rStyle w:val="Hyperlink"/>
          </w:rPr>
          <w:t>https://www.efsa.europa.eu/en/search/site/bixlozone</w:t>
        </w:r>
      </w:hyperlink>
    </w:p>
  </w:footnote>
  <w:footnote w:id="77">
    <w:p w14:paraId="0805C697" w14:textId="77777777" w:rsidR="009A49EF" w:rsidRDefault="009A49EF" w:rsidP="00C36465">
      <w:pPr>
        <w:pStyle w:val="FootnoteText"/>
      </w:pPr>
      <w:r>
        <w:rPr>
          <w:rStyle w:val="FootnoteReference"/>
        </w:rPr>
        <w:footnoteRef/>
      </w:r>
      <w:r>
        <w:t xml:space="preserve"> Office of Pesticide Programs </w:t>
      </w:r>
      <w:hyperlink r:id="rId76" w:history="1">
        <w:r w:rsidRPr="00482EF1">
          <w:rPr>
            <w:rStyle w:val="Hyperlink"/>
          </w:rPr>
          <w:t>https://iaspub.epa.gov/apex/pesticides/f?p=chemicalsearch:1</w:t>
        </w:r>
      </w:hyperlink>
    </w:p>
  </w:footnote>
  <w:footnote w:id="78">
    <w:p w14:paraId="60A032BF" w14:textId="77777777" w:rsidR="009A49EF" w:rsidRDefault="009A49EF" w:rsidP="00C36465">
      <w:pPr>
        <w:pStyle w:val="FootnoteText"/>
      </w:pPr>
      <w:r>
        <w:rPr>
          <w:rStyle w:val="FootnoteReference"/>
        </w:rPr>
        <w:footnoteRef/>
      </w:r>
      <w:r>
        <w:t xml:space="preserve"> Pest Management Regulatory Agency </w:t>
      </w:r>
      <w:hyperlink r:id="rId77" w:history="1">
        <w:r w:rsidRPr="00482EF1">
          <w:rPr>
            <w:rStyle w:val="Hyperlink"/>
          </w:rPr>
          <w:t>https://pesticide-registry.canada.ca/en/active-ingredient-search.html</w:t>
        </w:r>
      </w:hyperlink>
    </w:p>
  </w:footnote>
  <w:footnote w:id="79">
    <w:p w14:paraId="7CC7A372" w14:textId="77777777" w:rsidR="009A49EF" w:rsidRDefault="009A49EF" w:rsidP="00C36465">
      <w:pPr>
        <w:pStyle w:val="FootnoteText"/>
      </w:pPr>
      <w:r>
        <w:rPr>
          <w:rStyle w:val="FootnoteReference"/>
        </w:rPr>
        <w:footnoteRef/>
      </w:r>
      <w:r>
        <w:t xml:space="preserve"> New Zealand Inventory of Chemicals </w:t>
      </w:r>
      <w:hyperlink r:id="rId78" w:history="1">
        <w:r w:rsidRPr="00482EF1">
          <w:rPr>
            <w:rStyle w:val="Hyperlink"/>
          </w:rPr>
          <w:t>https://epa.govt.nz/database-search/new-zealand-inventory-of-chemicals-nzioc/DatabaseSearchForm/?SiteDatabaseSearchFilters=36&amp;Keyword=bizlozone&amp;DatabaseType=NZIOC</w:t>
        </w:r>
      </w:hyperlink>
    </w:p>
  </w:footnote>
  <w:footnote w:id="80">
    <w:p w14:paraId="11D6595B" w14:textId="77777777" w:rsidR="009A49EF" w:rsidRDefault="009A49EF" w:rsidP="00C36465">
      <w:pPr>
        <w:pStyle w:val="FootnoteText"/>
      </w:pPr>
      <w:r>
        <w:rPr>
          <w:rStyle w:val="FootnoteReference"/>
        </w:rPr>
        <w:footnoteRef/>
      </w:r>
      <w:r>
        <w:t xml:space="preserve"> </w:t>
      </w:r>
      <w:r w:rsidRPr="00C81411">
        <w:t>TGA Ingredient Database</w:t>
      </w:r>
      <w:r>
        <w:t xml:space="preserve"> </w:t>
      </w:r>
      <w:hyperlink r:id="rId79" w:history="1">
        <w:r w:rsidRPr="002558F8">
          <w:rPr>
            <w:rStyle w:val="Hyperlink"/>
          </w:rPr>
          <w:t>https://www.ebs.tga.gov.au/</w:t>
        </w:r>
      </w:hyperlink>
    </w:p>
  </w:footnote>
  <w:footnote w:id="81">
    <w:p w14:paraId="672EC528" w14:textId="57924174" w:rsidR="009A49EF" w:rsidRDefault="009A49EF" w:rsidP="00C36465">
      <w:pPr>
        <w:pStyle w:val="FootnoteText"/>
      </w:pPr>
      <w:r>
        <w:rPr>
          <w:rStyle w:val="FootnoteReference"/>
        </w:rPr>
        <w:footnoteRef/>
      </w:r>
      <w:r>
        <w:t xml:space="preserve"> ARTG database </w:t>
      </w:r>
      <w:hyperlink r:id="rId80" w:history="1">
        <w:r w:rsidRPr="00025BAA">
          <w:rPr>
            <w:rStyle w:val="Hyperlink"/>
          </w:rPr>
          <w:t>https://www.tga.gov.au/artg</w:t>
        </w:r>
      </w:hyperlink>
    </w:p>
  </w:footnote>
  <w:footnote w:id="82">
    <w:p w14:paraId="084E8C37" w14:textId="13313DA8" w:rsidR="009A49EF" w:rsidRDefault="009A49EF" w:rsidP="00C36465">
      <w:pPr>
        <w:pStyle w:val="FootnoteText"/>
      </w:pPr>
      <w:r>
        <w:rPr>
          <w:rStyle w:val="FootnoteReference"/>
        </w:rPr>
        <w:footnoteRef/>
      </w:r>
      <w:r>
        <w:t xml:space="preserve"> </w:t>
      </w:r>
      <w:r w:rsidRPr="007F3638">
        <w:t>Therapeutic Goods (Permissible Ingredients) Determination</w:t>
      </w:r>
      <w:r>
        <w:t xml:space="preserve"> </w:t>
      </w:r>
      <w:hyperlink r:id="rId81" w:history="1">
        <w:r w:rsidRPr="00C51833">
          <w:rPr>
            <w:rStyle w:val="Hyperlink"/>
          </w:rPr>
          <w:t>https://www.legislation.gov.au/Search/Therapeutic%20Goods%20$LB$Permissible%20Ingredients$RB$%20Determination</w:t>
        </w:r>
      </w:hyperlink>
    </w:p>
  </w:footnote>
  <w:footnote w:id="83">
    <w:p w14:paraId="4865D70C" w14:textId="0EA3C807" w:rsidR="009A49EF" w:rsidRPr="002F1C5C" w:rsidRDefault="009A49EF" w:rsidP="00C36465">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82" w:history="1">
        <w:r w:rsidRPr="00E974A4">
          <w:rPr>
            <w:rStyle w:val="Hyperlink"/>
            <w:szCs w:val="16"/>
          </w:rPr>
          <w:t>https://www.tga.gov.au/prescribing-medicines-pregnancy-database</w:t>
        </w:r>
      </w:hyperlink>
    </w:p>
  </w:footnote>
  <w:footnote w:id="84">
    <w:p w14:paraId="05F7C2A0" w14:textId="3035E7A9" w:rsidR="009A49EF" w:rsidRDefault="009A49EF" w:rsidP="00C36465">
      <w:pPr>
        <w:pStyle w:val="FootnoteText"/>
      </w:pPr>
      <w:r>
        <w:rPr>
          <w:rStyle w:val="FootnoteReference"/>
        </w:rPr>
        <w:footnoteRef/>
      </w:r>
      <w:r>
        <w:t xml:space="preserve"> </w:t>
      </w:r>
      <w:r w:rsidRPr="007F3638">
        <w:t>Therapeutic Goods (Medicines Advisory Statements) Specification 2019</w:t>
      </w:r>
      <w:r>
        <w:t xml:space="preserve"> </w:t>
      </w:r>
      <w:hyperlink r:id="rId83" w:history="1">
        <w:r w:rsidRPr="00FC5165">
          <w:rPr>
            <w:rStyle w:val="Hyperlink"/>
          </w:rPr>
          <w:t>https://www.legislation.gov.au/Details/F2019L00213</w:t>
        </w:r>
      </w:hyperlink>
    </w:p>
  </w:footnote>
  <w:footnote w:id="85">
    <w:p w14:paraId="0CF230BF" w14:textId="26A0229C" w:rsidR="009A49EF" w:rsidRDefault="009A49EF" w:rsidP="00C36465">
      <w:pPr>
        <w:pStyle w:val="FootnoteText"/>
      </w:pPr>
      <w:r>
        <w:rPr>
          <w:rStyle w:val="FootnoteReference"/>
        </w:rPr>
        <w:footnoteRef/>
      </w:r>
      <w:r>
        <w:t xml:space="preserve"> </w:t>
      </w:r>
      <w:r w:rsidRPr="00C81411">
        <w:t>Database of Adverse Event Notifications (DAEN)</w:t>
      </w:r>
      <w:r>
        <w:t xml:space="preserve"> </w:t>
      </w:r>
      <w:hyperlink r:id="rId84" w:history="1">
        <w:r w:rsidRPr="007C3A78">
          <w:rPr>
            <w:rStyle w:val="Hyperlink"/>
          </w:rPr>
          <w:t>https://apps.tga.gov.au/Prod/daen/daen-entry.aspx</w:t>
        </w:r>
      </w:hyperlink>
      <w:r>
        <w:t xml:space="preserve"> </w:t>
      </w:r>
    </w:p>
  </w:footnote>
  <w:footnote w:id="86">
    <w:p w14:paraId="4244C0D7" w14:textId="47C2D267" w:rsidR="009A49EF" w:rsidRDefault="009A49EF" w:rsidP="00C36465">
      <w:pPr>
        <w:pStyle w:val="FootnoteText"/>
      </w:pPr>
      <w:r>
        <w:rPr>
          <w:rStyle w:val="FootnoteReference"/>
        </w:rPr>
        <w:footnoteRef/>
      </w:r>
      <w:r>
        <w:t xml:space="preserve"> </w:t>
      </w:r>
      <w:r w:rsidRPr="00F53A0E">
        <w:t>Public Chemical Registration Information System Search (PubCRIS)</w:t>
      </w:r>
      <w:r>
        <w:t xml:space="preserve"> </w:t>
      </w:r>
      <w:hyperlink r:id="rId85" w:history="1">
        <w:r w:rsidRPr="007C3A78">
          <w:rPr>
            <w:rStyle w:val="Hyperlink"/>
          </w:rPr>
          <w:t>https://portal.apvma.gov.au/pubcris</w:t>
        </w:r>
      </w:hyperlink>
    </w:p>
  </w:footnote>
  <w:footnote w:id="87">
    <w:p w14:paraId="62A6CD72" w14:textId="77777777" w:rsidR="009A49EF" w:rsidRDefault="009A49EF" w:rsidP="00C36465">
      <w:pPr>
        <w:pStyle w:val="FootnoteText"/>
      </w:pPr>
      <w:r>
        <w:rPr>
          <w:rStyle w:val="FootnoteReference"/>
        </w:rPr>
        <w:footnoteRef/>
      </w:r>
      <w:r>
        <w:t xml:space="preserve"> European Chemicals Agency </w:t>
      </w:r>
      <w:hyperlink r:id="rId86" w:history="1">
        <w:r w:rsidRPr="00E44C87">
          <w:rPr>
            <w:rStyle w:val="Hyperlink"/>
          </w:rPr>
          <w:t>https://echa.europa.eu/substance-information/-/substanceinfo/100.204.505</w:t>
        </w:r>
      </w:hyperlink>
    </w:p>
  </w:footnote>
  <w:footnote w:id="88">
    <w:p w14:paraId="34248A59" w14:textId="77777777" w:rsidR="009A49EF" w:rsidRDefault="009A49EF" w:rsidP="00C36465">
      <w:pPr>
        <w:pStyle w:val="FootnoteText"/>
      </w:pPr>
      <w:r>
        <w:rPr>
          <w:rStyle w:val="FootnoteReference"/>
        </w:rPr>
        <w:footnoteRef/>
      </w:r>
      <w:r>
        <w:t xml:space="preserve"> European Commission’s CosIng </w:t>
      </w:r>
      <w:hyperlink r:id="rId87" w:history="1">
        <w:r w:rsidRPr="00F16EFA">
          <w:rPr>
            <w:rStyle w:val="Hyperlink"/>
          </w:rPr>
          <w:t>https://ec.europa.eu/growth/tools-databases/cosing/index.cfm?fuseaction=search.details_v2&amp;id=93725</w:t>
        </w:r>
      </w:hyperlink>
    </w:p>
  </w:footnote>
  <w:footnote w:id="89">
    <w:p w14:paraId="78DC3C70" w14:textId="77777777" w:rsidR="009A49EF" w:rsidRDefault="009A49EF" w:rsidP="00C36465">
      <w:pPr>
        <w:pStyle w:val="FootnoteText"/>
      </w:pPr>
      <w:r>
        <w:rPr>
          <w:rStyle w:val="FootnoteReference"/>
        </w:rPr>
        <w:footnoteRef/>
      </w:r>
      <w:r>
        <w:t xml:space="preserve"> New Zealand Inventory of Chemicals </w:t>
      </w:r>
      <w:hyperlink r:id="rId88" w:history="1">
        <w:r w:rsidRPr="00694CFE">
          <w:rPr>
            <w:rStyle w:val="Hyperlink"/>
          </w:rPr>
          <w:t>https://www.epa.govt.nz/database-search/new-zealand-inventory-of-chemicals-nzioc/</w:t>
        </w:r>
      </w:hyperlink>
    </w:p>
  </w:footnote>
  <w:footnote w:id="90">
    <w:p w14:paraId="61D11760" w14:textId="77777777" w:rsidR="009A49EF" w:rsidRDefault="009A49EF" w:rsidP="00A25978">
      <w:pPr>
        <w:pStyle w:val="FootnoteText"/>
      </w:pPr>
      <w:r>
        <w:rPr>
          <w:rStyle w:val="FootnoteReference"/>
        </w:rPr>
        <w:footnoteRef/>
      </w:r>
      <w:r>
        <w:t xml:space="preserve"> </w:t>
      </w:r>
      <w:r w:rsidRPr="00C81411">
        <w:t>TGA Ingredient Database</w:t>
      </w:r>
      <w:r>
        <w:t xml:space="preserve"> </w:t>
      </w:r>
      <w:hyperlink r:id="rId89" w:history="1">
        <w:r w:rsidRPr="009A49EF">
          <w:rPr>
            <w:rStyle w:val="Hyperlink"/>
          </w:rPr>
          <w:t>https://www.ebs.tga.gov.au/</w:t>
        </w:r>
      </w:hyperlink>
    </w:p>
  </w:footnote>
  <w:footnote w:id="91">
    <w:p w14:paraId="2D7A995D" w14:textId="035BB504" w:rsidR="009A49EF" w:rsidRDefault="009A49EF" w:rsidP="00A25978">
      <w:pPr>
        <w:pStyle w:val="FootnoteText"/>
      </w:pPr>
      <w:r>
        <w:rPr>
          <w:rStyle w:val="FootnoteReference"/>
        </w:rPr>
        <w:footnoteRef/>
      </w:r>
      <w:r>
        <w:t xml:space="preserve"> ARTG database </w:t>
      </w:r>
      <w:hyperlink r:id="rId90" w:history="1">
        <w:r w:rsidRPr="00025BAA">
          <w:rPr>
            <w:rStyle w:val="Hyperlink"/>
          </w:rPr>
          <w:t>https://www.tga.gov.au/artg</w:t>
        </w:r>
      </w:hyperlink>
    </w:p>
  </w:footnote>
  <w:footnote w:id="92">
    <w:p w14:paraId="535A564E" w14:textId="44E469BE" w:rsidR="009A49EF" w:rsidRDefault="009A49EF" w:rsidP="00A25978">
      <w:pPr>
        <w:pStyle w:val="FootnoteText"/>
      </w:pPr>
      <w:r>
        <w:rPr>
          <w:rStyle w:val="FootnoteReference"/>
        </w:rPr>
        <w:footnoteRef/>
      </w:r>
      <w:r>
        <w:t xml:space="preserve"> </w:t>
      </w:r>
      <w:r w:rsidRPr="007F3638">
        <w:t>Therapeutic Goods (Permissible Ingredients) Determination</w:t>
      </w:r>
      <w:r>
        <w:t xml:space="preserve"> </w:t>
      </w:r>
      <w:hyperlink r:id="rId91" w:history="1">
        <w:r w:rsidRPr="00C51833">
          <w:rPr>
            <w:rStyle w:val="Hyperlink"/>
          </w:rPr>
          <w:t>https://www.legislation.gov.au/Search/Therapeutic%20Goods%20$LB$Permissible%20Ingredients$RB$%20Determination</w:t>
        </w:r>
      </w:hyperlink>
    </w:p>
  </w:footnote>
  <w:footnote w:id="93">
    <w:p w14:paraId="4BADE027" w14:textId="77777777" w:rsidR="009A49EF" w:rsidRPr="002F1C5C" w:rsidRDefault="009A49EF" w:rsidP="00A2597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92" w:history="1">
        <w:r w:rsidRPr="00E974A4">
          <w:rPr>
            <w:rStyle w:val="Hyperlink"/>
            <w:szCs w:val="16"/>
          </w:rPr>
          <w:t>https://www.tga.gov.au/prescribing-medicines-pregnancy-database</w:t>
        </w:r>
      </w:hyperlink>
      <w:r>
        <w:rPr>
          <w:szCs w:val="16"/>
        </w:rPr>
        <w:t xml:space="preserve"> </w:t>
      </w:r>
    </w:p>
  </w:footnote>
  <w:footnote w:id="94">
    <w:p w14:paraId="687D0EA2" w14:textId="77777777" w:rsidR="009A49EF" w:rsidRDefault="009A49EF" w:rsidP="00A2597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93" w:history="1">
        <w:r w:rsidRPr="00FC5165">
          <w:rPr>
            <w:rStyle w:val="Hyperlink"/>
          </w:rPr>
          <w:t>https://www.legislation.gov.au/Details/F2019L00213</w:t>
        </w:r>
      </w:hyperlink>
      <w:r>
        <w:t xml:space="preserve"> </w:t>
      </w:r>
    </w:p>
  </w:footnote>
  <w:footnote w:id="95">
    <w:p w14:paraId="20A74E38" w14:textId="77777777" w:rsidR="009A49EF" w:rsidRDefault="009A49EF" w:rsidP="00A25978">
      <w:pPr>
        <w:pStyle w:val="FootnoteText"/>
      </w:pPr>
      <w:r>
        <w:rPr>
          <w:rStyle w:val="FootnoteReference"/>
        </w:rPr>
        <w:footnoteRef/>
      </w:r>
      <w:r>
        <w:t xml:space="preserve"> </w:t>
      </w:r>
      <w:r w:rsidRPr="00C81411">
        <w:t>Database of Adverse Event Notifications (DAEN)</w:t>
      </w:r>
      <w:r>
        <w:t xml:space="preserve">  </w:t>
      </w:r>
      <w:hyperlink r:id="rId94" w:history="1">
        <w:r w:rsidRPr="007C3A78">
          <w:rPr>
            <w:rStyle w:val="Hyperlink"/>
          </w:rPr>
          <w:t>https://apps.tga.gov.au/Prod/daen/daen-entry.aspx</w:t>
        </w:r>
      </w:hyperlink>
      <w:r>
        <w:t xml:space="preserve"> </w:t>
      </w:r>
    </w:p>
  </w:footnote>
  <w:footnote w:id="96">
    <w:p w14:paraId="4D708D5D" w14:textId="77777777" w:rsidR="009A49EF" w:rsidRDefault="009A49EF" w:rsidP="00A25978">
      <w:pPr>
        <w:pStyle w:val="FootnoteText"/>
      </w:pPr>
      <w:r>
        <w:rPr>
          <w:rStyle w:val="FootnoteReference"/>
        </w:rPr>
        <w:footnoteRef/>
      </w:r>
      <w:r>
        <w:t xml:space="preserve"> </w:t>
      </w:r>
      <w:r w:rsidRPr="00F53A0E">
        <w:t>Public Chemical Registration Information System Search (PubCRIS)</w:t>
      </w:r>
      <w:r>
        <w:t xml:space="preserve"> </w:t>
      </w:r>
      <w:hyperlink r:id="rId95" w:history="1">
        <w:r w:rsidRPr="007C3A78">
          <w:rPr>
            <w:rStyle w:val="Hyperlink"/>
          </w:rPr>
          <w:t>https://portal.apvma.gov.au/pubcris</w:t>
        </w:r>
      </w:hyperlink>
      <w:r>
        <w:t xml:space="preserve"> </w:t>
      </w:r>
    </w:p>
  </w:footnote>
  <w:footnote w:id="97">
    <w:p w14:paraId="71EC0C83" w14:textId="77777777" w:rsidR="009A49EF" w:rsidRDefault="009A49EF" w:rsidP="00A25978">
      <w:pPr>
        <w:pStyle w:val="FootnoteText"/>
      </w:pPr>
      <w:r>
        <w:rPr>
          <w:rStyle w:val="FootnoteReference"/>
        </w:rPr>
        <w:footnoteRef/>
      </w:r>
      <w:r>
        <w:t xml:space="preserve"> </w:t>
      </w:r>
      <w:r w:rsidRPr="00C81411">
        <w:t>TGA Ingredient Database</w:t>
      </w:r>
      <w:r>
        <w:t xml:space="preserve"> </w:t>
      </w:r>
      <w:hyperlink r:id="rId96" w:history="1">
        <w:r w:rsidRPr="00522086">
          <w:rPr>
            <w:rStyle w:val="Hyperlink"/>
          </w:rPr>
          <w:t>https://www.ebs.tga.gov.au/</w:t>
        </w:r>
      </w:hyperlink>
    </w:p>
  </w:footnote>
  <w:footnote w:id="98">
    <w:p w14:paraId="07A8F4BB" w14:textId="6970FB78" w:rsidR="009A49EF" w:rsidRDefault="009A49EF" w:rsidP="00A25978">
      <w:pPr>
        <w:pStyle w:val="FootnoteText"/>
      </w:pPr>
      <w:r>
        <w:rPr>
          <w:rStyle w:val="FootnoteReference"/>
        </w:rPr>
        <w:footnoteRef/>
      </w:r>
      <w:r>
        <w:t xml:space="preserve"> ARTG database </w:t>
      </w:r>
      <w:hyperlink r:id="rId97" w:history="1">
        <w:r w:rsidRPr="00025BAA">
          <w:rPr>
            <w:rStyle w:val="Hyperlink"/>
          </w:rPr>
          <w:t>https://www.tga.gov.au/artg</w:t>
        </w:r>
      </w:hyperlink>
    </w:p>
  </w:footnote>
  <w:footnote w:id="99">
    <w:p w14:paraId="77C15637" w14:textId="3BBAA08B" w:rsidR="009A49EF" w:rsidRDefault="009A49EF" w:rsidP="00A25978">
      <w:pPr>
        <w:pStyle w:val="FootnoteText"/>
      </w:pPr>
      <w:r>
        <w:rPr>
          <w:rStyle w:val="FootnoteReference"/>
        </w:rPr>
        <w:footnoteRef/>
      </w:r>
      <w:r>
        <w:t xml:space="preserve"> </w:t>
      </w:r>
      <w:r w:rsidRPr="007F3638">
        <w:t>Therapeutic Goods (Permissible Ingredients) Determination</w:t>
      </w:r>
      <w:r>
        <w:t xml:space="preserve"> </w:t>
      </w:r>
      <w:hyperlink r:id="rId98" w:history="1">
        <w:r w:rsidRPr="00C51833">
          <w:rPr>
            <w:rStyle w:val="Hyperlink"/>
          </w:rPr>
          <w:t>https://www.legislation.gov.au/Search/Therapeutic%20Goods%20$LB$Permissible%20Ingredients$RB$%20Determination</w:t>
        </w:r>
      </w:hyperlink>
    </w:p>
  </w:footnote>
  <w:footnote w:id="100">
    <w:p w14:paraId="4F15633B" w14:textId="49BE535C" w:rsidR="009A49EF" w:rsidRPr="002F1C5C" w:rsidRDefault="009A49EF" w:rsidP="00A2597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99" w:history="1">
        <w:r w:rsidRPr="00E974A4">
          <w:rPr>
            <w:rStyle w:val="Hyperlink"/>
            <w:szCs w:val="16"/>
          </w:rPr>
          <w:t>https://www.tga.gov.au/prescribing-medicines-pregnancy-database</w:t>
        </w:r>
      </w:hyperlink>
    </w:p>
  </w:footnote>
  <w:footnote w:id="101">
    <w:p w14:paraId="028CB3F7" w14:textId="3AEE83AA" w:rsidR="009A49EF" w:rsidRDefault="009A49EF" w:rsidP="00A25978">
      <w:pPr>
        <w:pStyle w:val="FootnoteText"/>
      </w:pPr>
      <w:r>
        <w:rPr>
          <w:rStyle w:val="FootnoteReference"/>
        </w:rPr>
        <w:footnoteRef/>
      </w:r>
      <w:r>
        <w:t xml:space="preserve"> </w:t>
      </w:r>
      <w:r w:rsidRPr="007F3638">
        <w:t>Therapeutic Goods (Medicines Advisory Statements) Specification 2019</w:t>
      </w:r>
      <w:r>
        <w:t xml:space="preserve"> </w:t>
      </w:r>
      <w:hyperlink r:id="rId100" w:history="1">
        <w:r w:rsidRPr="00FC5165">
          <w:rPr>
            <w:rStyle w:val="Hyperlink"/>
          </w:rPr>
          <w:t>https://www.legislation.gov.au/Details/F2019L00213</w:t>
        </w:r>
      </w:hyperlink>
    </w:p>
  </w:footnote>
  <w:footnote w:id="102">
    <w:p w14:paraId="6AE0C2ED" w14:textId="3FD9158F" w:rsidR="009A49EF" w:rsidRDefault="009A49EF" w:rsidP="00A25978">
      <w:pPr>
        <w:pStyle w:val="FootnoteText"/>
      </w:pPr>
      <w:r>
        <w:rPr>
          <w:rStyle w:val="FootnoteReference"/>
        </w:rPr>
        <w:footnoteRef/>
      </w:r>
      <w:r>
        <w:t xml:space="preserve"> </w:t>
      </w:r>
      <w:r w:rsidRPr="00C81411">
        <w:t>Database of Adverse Event Notifications (DAEN)</w:t>
      </w:r>
      <w:r w:rsidR="0023449A">
        <w:t xml:space="preserve"> </w:t>
      </w:r>
      <w:hyperlink r:id="rId101" w:history="1">
        <w:r w:rsidRPr="007C3A78">
          <w:rPr>
            <w:rStyle w:val="Hyperlink"/>
          </w:rPr>
          <w:t>https://apps.tga.gov.au/Prod/daen/daen-entry.aspx</w:t>
        </w:r>
      </w:hyperlink>
    </w:p>
  </w:footnote>
  <w:footnote w:id="103">
    <w:p w14:paraId="4BA2E0C8" w14:textId="3387338E" w:rsidR="009A49EF" w:rsidRDefault="009A49EF" w:rsidP="00A25978">
      <w:pPr>
        <w:pStyle w:val="FootnoteText"/>
      </w:pPr>
      <w:r>
        <w:rPr>
          <w:rStyle w:val="FootnoteReference"/>
        </w:rPr>
        <w:footnoteRef/>
      </w:r>
      <w:r>
        <w:t xml:space="preserve"> </w:t>
      </w:r>
      <w:r w:rsidRPr="00F53A0E">
        <w:t>Public Chemical Registration Information System Search (PubCRIS)</w:t>
      </w:r>
      <w:r>
        <w:t xml:space="preserve"> </w:t>
      </w:r>
      <w:hyperlink r:id="rId102" w:history="1">
        <w:r w:rsidRPr="007C3A78">
          <w:rPr>
            <w:rStyle w:val="Hyperlink"/>
          </w:rPr>
          <w:t>https://portal.apvma.gov.au/pubcris</w:t>
        </w:r>
      </w:hyperlink>
    </w:p>
  </w:footnote>
  <w:footnote w:id="104">
    <w:p w14:paraId="42962B9A" w14:textId="77777777" w:rsidR="009A49EF" w:rsidRDefault="009A49EF" w:rsidP="00A25978">
      <w:pPr>
        <w:pStyle w:val="FootnoteText"/>
      </w:pPr>
      <w:r>
        <w:rPr>
          <w:rStyle w:val="FootnoteReference"/>
        </w:rPr>
        <w:footnoteRef/>
      </w:r>
      <w:r>
        <w:t xml:space="preserve"> Food and Drug Administration Approved Drugs Database: </w:t>
      </w:r>
      <w:hyperlink r:id="rId103" w:history="1">
        <w:r w:rsidRPr="00703525">
          <w:rPr>
            <w:rStyle w:val="Hyperlink"/>
          </w:rPr>
          <w:t>https://www.accessdata.fda.gov/scripts/cder/daf/</w:t>
        </w:r>
      </w:hyperlink>
    </w:p>
  </w:footnote>
  <w:footnote w:id="105">
    <w:p w14:paraId="16138FB6" w14:textId="77777777" w:rsidR="009A49EF" w:rsidRDefault="009A49EF" w:rsidP="00A25978">
      <w:pPr>
        <w:pStyle w:val="FootnoteText"/>
      </w:pPr>
      <w:r>
        <w:rPr>
          <w:rStyle w:val="FootnoteReference"/>
        </w:rPr>
        <w:footnoteRef/>
      </w:r>
      <w:r>
        <w:t xml:space="preserve"> Health Canada Drug Product Database: </w:t>
      </w:r>
      <w:hyperlink r:id="rId104" w:history="1">
        <w:r w:rsidRPr="00703525">
          <w:rPr>
            <w:rStyle w:val="Hyperlink"/>
          </w:rPr>
          <w:t>https://health-products.canada.ca/dpd-bdpp/index-eng.jsp</w:t>
        </w:r>
      </w:hyperlink>
    </w:p>
  </w:footnote>
  <w:footnote w:id="106">
    <w:p w14:paraId="077CE7A7" w14:textId="77777777" w:rsidR="009A49EF" w:rsidRDefault="009A49EF" w:rsidP="00A25978">
      <w:pPr>
        <w:pStyle w:val="FootnoteText"/>
      </w:pPr>
      <w:r>
        <w:rPr>
          <w:rStyle w:val="FootnoteReference"/>
        </w:rPr>
        <w:footnoteRef/>
      </w:r>
      <w:r>
        <w:t xml:space="preserve"> Health Products Regulatory Authority </w:t>
      </w:r>
      <w:hyperlink r:id="rId105" w:history="1">
        <w:r w:rsidRPr="00FD6E3E">
          <w:rPr>
            <w:rStyle w:val="Hyperlink"/>
          </w:rPr>
          <w:t>https://www.hpra.ie/homepage/medicines/medicines-information/find-a-medicine/results?page=1&amp;field=ACTIVESUBSTANCES&amp;query=Lidocaine</w:t>
        </w:r>
      </w:hyperlink>
    </w:p>
  </w:footnote>
  <w:footnote w:id="107">
    <w:p w14:paraId="5DCF9D6D" w14:textId="77777777" w:rsidR="009A49EF" w:rsidRDefault="009A49EF" w:rsidP="00A25978">
      <w:pPr>
        <w:pStyle w:val="FootnoteText"/>
      </w:pPr>
      <w:r>
        <w:rPr>
          <w:rStyle w:val="FootnoteReference"/>
        </w:rPr>
        <w:footnoteRef/>
      </w:r>
      <w:r>
        <w:t xml:space="preserve"> Medsafe Medicine Classification Database: </w:t>
      </w:r>
      <w:hyperlink r:id="rId106" w:history="1">
        <w:r w:rsidRPr="00703525">
          <w:rPr>
            <w:rStyle w:val="Hyperlink"/>
          </w:rPr>
          <w:t>https://health-products.canada.ca/dpd-bdpp/index-eng.jsp</w:t>
        </w:r>
      </w:hyperlink>
    </w:p>
  </w:footnote>
  <w:footnote w:id="108">
    <w:p w14:paraId="40018509" w14:textId="77777777" w:rsidR="009A49EF" w:rsidRDefault="009A49EF" w:rsidP="000B71FE">
      <w:pPr>
        <w:pStyle w:val="FootnoteText"/>
      </w:pPr>
      <w:r>
        <w:rPr>
          <w:rStyle w:val="FootnoteReference"/>
        </w:rPr>
        <w:footnoteRef/>
      </w:r>
      <w:r>
        <w:t xml:space="preserve"> </w:t>
      </w:r>
      <w:r w:rsidRPr="00C81411">
        <w:t>TGA Ingredient Database</w:t>
      </w:r>
      <w:r>
        <w:t xml:space="preserve"> </w:t>
      </w:r>
      <w:hyperlink r:id="rId107" w:history="1">
        <w:r w:rsidRPr="0023449A">
          <w:rPr>
            <w:rStyle w:val="Hyperlink"/>
          </w:rPr>
          <w:t>https://www.ebs.tga.gov.au/</w:t>
        </w:r>
      </w:hyperlink>
    </w:p>
  </w:footnote>
  <w:footnote w:id="109">
    <w:p w14:paraId="15597324" w14:textId="77777777" w:rsidR="009A49EF" w:rsidRDefault="009A49EF" w:rsidP="000B71FE">
      <w:pPr>
        <w:pStyle w:val="FootnoteText"/>
      </w:pPr>
      <w:r>
        <w:rPr>
          <w:rStyle w:val="FootnoteReference"/>
        </w:rPr>
        <w:footnoteRef/>
      </w:r>
      <w:r>
        <w:t xml:space="preserve"> ARTG database </w:t>
      </w:r>
      <w:hyperlink r:id="rId108" w:history="1">
        <w:r w:rsidRPr="00025BAA">
          <w:rPr>
            <w:rStyle w:val="Hyperlink"/>
          </w:rPr>
          <w:t>https://www.tga.gov.au/artg</w:t>
        </w:r>
      </w:hyperlink>
      <w:r>
        <w:t xml:space="preserve"> </w:t>
      </w:r>
    </w:p>
  </w:footnote>
  <w:footnote w:id="110">
    <w:p w14:paraId="23A2E52D" w14:textId="18A99870" w:rsidR="009A49EF" w:rsidRDefault="009A49EF" w:rsidP="000B71FE">
      <w:pPr>
        <w:pStyle w:val="FootnoteText"/>
      </w:pPr>
      <w:r>
        <w:rPr>
          <w:rStyle w:val="FootnoteReference"/>
        </w:rPr>
        <w:footnoteRef/>
      </w:r>
      <w:r>
        <w:t xml:space="preserve"> </w:t>
      </w:r>
      <w:r w:rsidRPr="007F3638">
        <w:t>Therapeutic Goods (Permissible Ingredients) Determination</w:t>
      </w:r>
      <w:r>
        <w:t xml:space="preserve"> </w:t>
      </w:r>
      <w:hyperlink r:id="rId109" w:history="1">
        <w:r w:rsidRPr="00C51833">
          <w:rPr>
            <w:rStyle w:val="Hyperlink"/>
          </w:rPr>
          <w:t>https://www.legislation.gov.au/Search/Therapeutic%20Goods%20$LB$Permissible%20Ingredients$RB$%20Determination</w:t>
        </w:r>
      </w:hyperlink>
    </w:p>
  </w:footnote>
  <w:footnote w:id="111">
    <w:p w14:paraId="3B3EB28F" w14:textId="0FD81EEF" w:rsidR="009A49EF" w:rsidRPr="002F1C5C" w:rsidRDefault="009A49EF" w:rsidP="000B71FE">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10" w:history="1">
        <w:r w:rsidRPr="00E974A4">
          <w:rPr>
            <w:rStyle w:val="Hyperlink"/>
          </w:rPr>
          <w:t>https://www.tga.gov.au/prescribing-medicines-pregnancy-database</w:t>
        </w:r>
      </w:hyperlink>
    </w:p>
  </w:footnote>
  <w:footnote w:id="112">
    <w:p w14:paraId="6F54EF2A" w14:textId="6BB06A47" w:rsidR="009A49EF" w:rsidRDefault="009A49EF" w:rsidP="000B71FE">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11" w:history="1">
        <w:r w:rsidRPr="00FC5165">
          <w:rPr>
            <w:rStyle w:val="Hyperlink"/>
          </w:rPr>
          <w:t>https://www.legislation.gov.au/Details/F2019L00213</w:t>
        </w:r>
      </w:hyperlink>
    </w:p>
  </w:footnote>
  <w:footnote w:id="113">
    <w:p w14:paraId="28680895" w14:textId="24FFCF06" w:rsidR="009A49EF" w:rsidRDefault="009A49EF" w:rsidP="000B71FE">
      <w:pPr>
        <w:pStyle w:val="FootnoteText"/>
      </w:pPr>
      <w:r>
        <w:rPr>
          <w:rStyle w:val="FootnoteReference"/>
        </w:rPr>
        <w:footnoteRef/>
      </w:r>
      <w:r>
        <w:t xml:space="preserve"> </w:t>
      </w:r>
      <w:r w:rsidRPr="00C81411">
        <w:t>Database of Adverse Event Notifications (DAEN)</w:t>
      </w:r>
      <w:r>
        <w:t xml:space="preserve"> </w:t>
      </w:r>
      <w:hyperlink r:id="rId112" w:history="1">
        <w:r w:rsidRPr="007C3A78">
          <w:rPr>
            <w:rStyle w:val="Hyperlink"/>
          </w:rPr>
          <w:t>https://apps.tga.gov.au/Prod/daen/daen-entry.aspx</w:t>
        </w:r>
      </w:hyperlink>
    </w:p>
  </w:footnote>
  <w:footnote w:id="114">
    <w:p w14:paraId="3A1E0C61" w14:textId="40FC1A8A" w:rsidR="009A49EF" w:rsidRDefault="009A49EF" w:rsidP="000B71FE">
      <w:pPr>
        <w:pStyle w:val="FootnoteText"/>
      </w:pPr>
      <w:r>
        <w:rPr>
          <w:rStyle w:val="FootnoteReference"/>
        </w:rPr>
        <w:footnoteRef/>
      </w:r>
      <w:r>
        <w:t xml:space="preserve"> </w:t>
      </w:r>
      <w:r w:rsidRPr="00F53A0E">
        <w:t>Public Chemical Registration Information System Search (PubCRIS)</w:t>
      </w:r>
      <w:r>
        <w:t xml:space="preserve"> </w:t>
      </w:r>
      <w:hyperlink r:id="rId113" w:history="1">
        <w:r w:rsidRPr="007C3A78">
          <w:rPr>
            <w:rStyle w:val="Hyperlink"/>
          </w:rPr>
          <w:t>https://portal.apvma.gov.au/pubcris</w:t>
        </w:r>
      </w:hyperlink>
    </w:p>
  </w:footnote>
  <w:footnote w:id="115">
    <w:p w14:paraId="2DCDAD52" w14:textId="77777777" w:rsidR="009A49EF" w:rsidRDefault="009A49EF" w:rsidP="000B71FE">
      <w:pPr>
        <w:pStyle w:val="FootnoteText"/>
      </w:pPr>
      <w:r>
        <w:rPr>
          <w:rStyle w:val="FootnoteReference"/>
        </w:rPr>
        <w:footnoteRef/>
      </w:r>
      <w:r>
        <w:t xml:space="preserve"> Food and Drugs Administration Approved Drugs Database </w:t>
      </w:r>
      <w:hyperlink r:id="rId114" w:history="1">
        <w:r w:rsidRPr="00FC5178">
          <w:rPr>
            <w:rStyle w:val="Hyperlink"/>
          </w:rPr>
          <w:t>https://www.accessdata.fda.gov/scripts/cder/daf/index.cfm</w:t>
        </w:r>
      </w:hyperlink>
    </w:p>
  </w:footnote>
  <w:footnote w:id="116">
    <w:p w14:paraId="467EF296" w14:textId="77777777" w:rsidR="009A49EF" w:rsidRDefault="009A49EF" w:rsidP="000B71FE">
      <w:pPr>
        <w:pStyle w:val="FootnoteText"/>
      </w:pPr>
      <w:r>
        <w:rPr>
          <w:rStyle w:val="FootnoteReference"/>
        </w:rPr>
        <w:footnoteRef/>
      </w:r>
      <w:r>
        <w:t xml:space="preserve"> Health Canada Drug Product Database </w:t>
      </w:r>
      <w:hyperlink r:id="rId115" w:history="1">
        <w:r w:rsidRPr="00FC5178">
          <w:rPr>
            <w:rStyle w:val="Hyperlink"/>
          </w:rPr>
          <w:t>https://health-products.canada.ca/dpd-bdpp/index-eng.jsp</w:t>
        </w:r>
      </w:hyperlink>
    </w:p>
  </w:footnote>
  <w:footnote w:id="117">
    <w:p w14:paraId="0F2D4F7E" w14:textId="77777777" w:rsidR="009A49EF" w:rsidRDefault="009A49EF" w:rsidP="000B71FE">
      <w:pPr>
        <w:pStyle w:val="FootnoteText"/>
      </w:pPr>
      <w:r>
        <w:rPr>
          <w:rStyle w:val="FootnoteReference"/>
        </w:rPr>
        <w:footnoteRef/>
      </w:r>
      <w:r>
        <w:t xml:space="preserve"> Medsafe Medicines Classification Database </w:t>
      </w:r>
      <w:hyperlink r:id="rId116" w:history="1">
        <w:r w:rsidRPr="003444C1">
          <w:rPr>
            <w:rStyle w:val="Hyperlink"/>
          </w:rPr>
          <w:t>https://www.medsafe.govt.nz/profs/class/classintro.asp</w:t>
        </w:r>
      </w:hyperlink>
    </w:p>
  </w:footnote>
  <w:footnote w:id="118">
    <w:p w14:paraId="584F56EF" w14:textId="77777777" w:rsidR="009A49EF" w:rsidRDefault="009A49EF" w:rsidP="000B71FE">
      <w:pPr>
        <w:pStyle w:val="FootnoteText"/>
      </w:pPr>
      <w:r>
        <w:rPr>
          <w:rStyle w:val="FootnoteReference"/>
        </w:rPr>
        <w:footnoteRef/>
      </w:r>
      <w:r>
        <w:t xml:space="preserve"> Health Products Regulatory Authority </w:t>
      </w:r>
      <w:hyperlink r:id="rId117" w:history="1">
        <w:r w:rsidRPr="002E3DA3">
          <w:rPr>
            <w:rStyle w:val="Hyperlink"/>
          </w:rPr>
          <w:t>https://www.hpra.ie/homepage/medicines</w:t>
        </w:r>
      </w:hyperlink>
    </w:p>
  </w:footnote>
  <w:footnote w:id="119">
    <w:p w14:paraId="1443574D" w14:textId="77777777" w:rsidR="009A49EF" w:rsidRPr="0067078D" w:rsidRDefault="009A49EF" w:rsidP="00A25978">
      <w:pPr>
        <w:pStyle w:val="FootnoteText"/>
      </w:pPr>
      <w:r>
        <w:rPr>
          <w:rStyle w:val="FootnoteReference"/>
        </w:rPr>
        <w:footnoteRef/>
      </w:r>
      <w:r>
        <w:t xml:space="preserve"> </w:t>
      </w:r>
      <w:r w:rsidRPr="00C81411">
        <w:t>TGA Ingredient Database</w:t>
      </w:r>
      <w:r>
        <w:t xml:space="preserve"> </w:t>
      </w:r>
      <w:hyperlink r:id="rId118" w:history="1">
        <w:r w:rsidRPr="0067078D">
          <w:rPr>
            <w:rStyle w:val="Hyperlink"/>
          </w:rPr>
          <w:t>https://www.ebs.tga.gov.au/</w:t>
        </w:r>
      </w:hyperlink>
    </w:p>
  </w:footnote>
  <w:footnote w:id="120">
    <w:p w14:paraId="7678D6B9" w14:textId="1559DDE2" w:rsidR="009A49EF" w:rsidRDefault="009A49EF" w:rsidP="00A25978">
      <w:pPr>
        <w:pStyle w:val="FootnoteText"/>
      </w:pPr>
      <w:r>
        <w:rPr>
          <w:rStyle w:val="FootnoteReference"/>
        </w:rPr>
        <w:footnoteRef/>
      </w:r>
      <w:r>
        <w:t xml:space="preserve"> ARTG database </w:t>
      </w:r>
      <w:hyperlink r:id="rId119" w:history="1">
        <w:r w:rsidRPr="00025BAA">
          <w:rPr>
            <w:rStyle w:val="Hyperlink"/>
          </w:rPr>
          <w:t>https://www.tga.gov.au/artg</w:t>
        </w:r>
      </w:hyperlink>
    </w:p>
  </w:footnote>
  <w:footnote w:id="121">
    <w:p w14:paraId="14D2686D" w14:textId="57503B05" w:rsidR="009A49EF" w:rsidRDefault="009A49EF" w:rsidP="00A25978">
      <w:pPr>
        <w:pStyle w:val="FootnoteText"/>
      </w:pPr>
      <w:r>
        <w:rPr>
          <w:rStyle w:val="FootnoteReference"/>
        </w:rPr>
        <w:footnoteRef/>
      </w:r>
      <w:r>
        <w:t xml:space="preserve"> </w:t>
      </w:r>
      <w:r w:rsidRPr="007F3638">
        <w:t>Therapeutic Goods (Permissible Ingredients) Determination</w:t>
      </w:r>
      <w:r>
        <w:t xml:space="preserve"> </w:t>
      </w:r>
      <w:hyperlink r:id="rId120" w:history="1">
        <w:r w:rsidRPr="00C51833">
          <w:rPr>
            <w:rStyle w:val="Hyperlink"/>
          </w:rPr>
          <w:t>https://www.legislation.gov.au/Search/Therapeutic%20Goods%20$LB$Permissible%20Ingredients$RB$%20Determination</w:t>
        </w:r>
      </w:hyperlink>
    </w:p>
  </w:footnote>
  <w:footnote w:id="122">
    <w:p w14:paraId="66FCE2C1" w14:textId="7B0FA175" w:rsidR="009A49EF" w:rsidRPr="002F1C5C" w:rsidRDefault="009A49EF" w:rsidP="00A2597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21" w:history="1">
        <w:r w:rsidRPr="00E974A4">
          <w:rPr>
            <w:rStyle w:val="Hyperlink"/>
            <w:szCs w:val="16"/>
          </w:rPr>
          <w:t>https://www.tga.gov.au/prescribing-medicines-pregnancy-database</w:t>
        </w:r>
      </w:hyperlink>
    </w:p>
  </w:footnote>
  <w:footnote w:id="123">
    <w:p w14:paraId="0E93F90E" w14:textId="42AF9CAD" w:rsidR="009A49EF" w:rsidRDefault="009A49EF" w:rsidP="00A25978">
      <w:pPr>
        <w:pStyle w:val="FootnoteText"/>
      </w:pPr>
      <w:r>
        <w:rPr>
          <w:rStyle w:val="FootnoteReference"/>
        </w:rPr>
        <w:footnoteRef/>
      </w:r>
      <w:r>
        <w:t xml:space="preserve"> </w:t>
      </w:r>
      <w:r w:rsidRPr="007F3638">
        <w:t>Therapeutic Goods (Medicines Advisory Statements) Specification 2019</w:t>
      </w:r>
      <w:r>
        <w:t xml:space="preserve"> </w:t>
      </w:r>
      <w:hyperlink r:id="rId122" w:history="1">
        <w:r w:rsidRPr="00FC5165">
          <w:rPr>
            <w:rStyle w:val="Hyperlink"/>
          </w:rPr>
          <w:t>https://www.legislation.gov.au/Details/F2019L00213</w:t>
        </w:r>
      </w:hyperlink>
    </w:p>
  </w:footnote>
  <w:footnote w:id="124">
    <w:p w14:paraId="5DC659FD" w14:textId="012EE222" w:rsidR="009A49EF" w:rsidRDefault="009A49EF" w:rsidP="00A25978">
      <w:pPr>
        <w:pStyle w:val="FootnoteText"/>
      </w:pPr>
      <w:r>
        <w:rPr>
          <w:rStyle w:val="FootnoteReference"/>
        </w:rPr>
        <w:footnoteRef/>
      </w:r>
      <w:r>
        <w:t xml:space="preserve"> </w:t>
      </w:r>
      <w:r w:rsidRPr="00C81411">
        <w:t>Database of Adverse Event Notifications (DAEN)</w:t>
      </w:r>
      <w:r w:rsidR="0067078D">
        <w:t xml:space="preserve"> </w:t>
      </w:r>
      <w:hyperlink r:id="rId123" w:history="1">
        <w:r w:rsidRPr="007C3A78">
          <w:rPr>
            <w:rStyle w:val="Hyperlink"/>
          </w:rPr>
          <w:t>https://apps.tga.gov.au/Prod/daen/daen-entry.aspx</w:t>
        </w:r>
      </w:hyperlink>
    </w:p>
  </w:footnote>
  <w:footnote w:id="125">
    <w:p w14:paraId="1D7718D4" w14:textId="0A6C860B" w:rsidR="009A49EF" w:rsidRDefault="009A49EF" w:rsidP="00A25978">
      <w:pPr>
        <w:pStyle w:val="FootnoteText"/>
      </w:pPr>
      <w:r>
        <w:rPr>
          <w:rStyle w:val="FootnoteReference"/>
        </w:rPr>
        <w:footnoteRef/>
      </w:r>
      <w:r>
        <w:t xml:space="preserve"> </w:t>
      </w:r>
      <w:r w:rsidRPr="00F53A0E">
        <w:t>Public Chemical Registration Information System Search (PubCRIS)</w:t>
      </w:r>
      <w:r>
        <w:t xml:space="preserve"> </w:t>
      </w:r>
      <w:hyperlink r:id="rId124" w:history="1">
        <w:r w:rsidRPr="007C3A78">
          <w:rPr>
            <w:rStyle w:val="Hyperlink"/>
          </w:rPr>
          <w:t>https://portal.apvma.gov.au/pubcris</w:t>
        </w:r>
      </w:hyperlink>
    </w:p>
  </w:footnote>
  <w:footnote w:id="126">
    <w:p w14:paraId="7D002F4A" w14:textId="77777777" w:rsidR="009A49EF" w:rsidRDefault="009A49EF" w:rsidP="00A25978">
      <w:pPr>
        <w:pStyle w:val="FootnoteText"/>
      </w:pPr>
      <w:r>
        <w:rPr>
          <w:rStyle w:val="FootnoteReference"/>
        </w:rPr>
        <w:footnoteRef/>
      </w:r>
      <w:r>
        <w:t xml:space="preserve"> ODC page on hemp seed product regulation </w:t>
      </w:r>
      <w:hyperlink r:id="rId125" w:history="1">
        <w:r w:rsidRPr="00EA2338">
          <w:rPr>
            <w:rStyle w:val="Hyperlink"/>
          </w:rPr>
          <w:t>https://www.odc.gov.au/hemp-products</w:t>
        </w:r>
      </w:hyperlink>
    </w:p>
  </w:footnote>
  <w:footnote w:id="127">
    <w:p w14:paraId="0B232585" w14:textId="77777777" w:rsidR="009A49EF" w:rsidRDefault="009A49EF" w:rsidP="00A25978">
      <w:pPr>
        <w:pStyle w:val="FootnoteText"/>
      </w:pPr>
      <w:r>
        <w:rPr>
          <w:rStyle w:val="FootnoteReference"/>
        </w:rPr>
        <w:footnoteRef/>
      </w:r>
      <w:r>
        <w:t xml:space="preserve"> Food and Drugs Administration Approved Drugs Database </w:t>
      </w:r>
      <w:hyperlink r:id="rId126" w:history="1">
        <w:r w:rsidRPr="00BF18DB">
          <w:rPr>
            <w:rStyle w:val="Hyperlink"/>
          </w:rPr>
          <w:t>https://www.accessdata.fda.gov/scripts/cder/daf/</w:t>
        </w:r>
      </w:hyperlink>
    </w:p>
  </w:footnote>
  <w:footnote w:id="128">
    <w:p w14:paraId="5E6307B4" w14:textId="77777777" w:rsidR="009A49EF" w:rsidRDefault="009A49EF" w:rsidP="00A25978">
      <w:pPr>
        <w:pStyle w:val="FootnoteText"/>
      </w:pPr>
      <w:r>
        <w:rPr>
          <w:rStyle w:val="FootnoteReference"/>
        </w:rPr>
        <w:footnoteRef/>
      </w:r>
      <w:r>
        <w:t xml:space="preserve"> Health Canada Drug Product Database </w:t>
      </w:r>
      <w:hyperlink r:id="rId127" w:history="1">
        <w:r w:rsidRPr="00BF18DB">
          <w:rPr>
            <w:rStyle w:val="Hyperlink"/>
          </w:rPr>
          <w:t>https://health-products.canada.ca/dpd-bdpp/index-eng.jsp</w:t>
        </w:r>
      </w:hyperlink>
    </w:p>
  </w:footnote>
  <w:footnote w:id="129">
    <w:p w14:paraId="182B5A90" w14:textId="77777777" w:rsidR="009A49EF" w:rsidRDefault="009A49EF" w:rsidP="00A25978">
      <w:pPr>
        <w:pStyle w:val="FootnoteText"/>
      </w:pPr>
      <w:r>
        <w:rPr>
          <w:rStyle w:val="FootnoteReference"/>
        </w:rPr>
        <w:footnoteRef/>
      </w:r>
      <w:r>
        <w:t xml:space="preserve"> Medsafe Medicines Classification Database </w:t>
      </w:r>
      <w:hyperlink r:id="rId128" w:history="1">
        <w:r w:rsidRPr="00BF18DB">
          <w:rPr>
            <w:rStyle w:val="Hyperlink"/>
          </w:rPr>
          <w:t>https://www.medsafe.govt.nz/profs/class/classintro.asp</w:t>
        </w:r>
      </w:hyperlink>
    </w:p>
  </w:footnote>
  <w:footnote w:id="130">
    <w:p w14:paraId="523DF571" w14:textId="77777777" w:rsidR="009A49EF" w:rsidRDefault="009A49EF" w:rsidP="00A25978">
      <w:pPr>
        <w:pStyle w:val="FootnoteText"/>
      </w:pPr>
      <w:r>
        <w:rPr>
          <w:rStyle w:val="FootnoteReference"/>
        </w:rPr>
        <w:footnoteRef/>
      </w:r>
      <w:r>
        <w:t xml:space="preserve"> Health Canada statement regarding CBD and hemp seed oil </w:t>
      </w:r>
      <w:hyperlink r:id="rId129" w:history="1">
        <w:r w:rsidRPr="002921DD">
          <w:rPr>
            <w:rStyle w:val="Hyperlink"/>
          </w:rPr>
          <w:t>https://www.canada.ca/en/health-canada/services/drugs-medication/cannabis/about/cannabidiol.html#a9</w:t>
        </w:r>
      </w:hyperlink>
    </w:p>
  </w:footnote>
  <w:footnote w:id="131">
    <w:p w14:paraId="2DFDD38F" w14:textId="77777777" w:rsidR="009A49EF" w:rsidRDefault="009A49EF" w:rsidP="00A25978">
      <w:pPr>
        <w:pStyle w:val="FootnoteText"/>
      </w:pPr>
      <w:r>
        <w:rPr>
          <w:rStyle w:val="FootnoteReference"/>
        </w:rPr>
        <w:footnoteRef/>
      </w:r>
      <w:r>
        <w:t xml:space="preserve"> FDA evaluation of hemp seed oil as a food ingredient </w:t>
      </w:r>
      <w:hyperlink r:id="rId130" w:history="1">
        <w:r w:rsidRPr="00756E13">
          <w:rPr>
            <w:rStyle w:val="Hyperlink"/>
          </w:rPr>
          <w:t>https://www.fda.gov/food/cfsan-constituent-updates/fda-responds-three-gras-notices-hemp-seed-derived-ingredients-use-human-food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9A49EF" w:rsidRPr="00DA24C7" w14:paraId="081A8C01" w14:textId="77777777" w:rsidTr="00F923D6">
      <w:trPr>
        <w:trHeight w:val="709"/>
      </w:trPr>
      <w:tc>
        <w:tcPr>
          <w:tcW w:w="4035" w:type="dxa"/>
        </w:tcPr>
        <w:p w14:paraId="32A34B13" w14:textId="3E969794" w:rsidR="009A49EF" w:rsidRPr="00DA24C7" w:rsidRDefault="009A49EF" w:rsidP="00DA24C7">
          <w:pPr>
            <w:rPr>
              <w:rStyle w:val="HeaderChar"/>
              <w:sz w:val="32"/>
            </w:rPr>
          </w:pPr>
        </w:p>
      </w:tc>
      <w:tc>
        <w:tcPr>
          <w:tcW w:w="4685" w:type="dxa"/>
          <w:tcBorders>
            <w:bottom w:val="single" w:sz="4" w:space="0" w:color="auto"/>
          </w:tcBorders>
          <w:vAlign w:val="bottom"/>
        </w:tcPr>
        <w:p w14:paraId="3D83E5FA" w14:textId="77777777" w:rsidR="009A49EF" w:rsidRPr="000F5176" w:rsidRDefault="009A49EF" w:rsidP="000F5176">
          <w:pPr>
            <w:pStyle w:val="HeaderNoLine"/>
            <w:rPr>
              <w:rStyle w:val="HeaderChar"/>
            </w:rPr>
          </w:pPr>
          <w:r w:rsidRPr="000F5176">
            <w:t>Therapeutic Goods Administration</w:t>
          </w:r>
        </w:p>
      </w:tc>
    </w:tr>
  </w:tbl>
  <w:p w14:paraId="7D79B037" w14:textId="77777777" w:rsidR="009A49EF" w:rsidRDefault="009A49EF" w:rsidP="00F923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14CE" w14:textId="28BF94E3" w:rsidR="009A49EF" w:rsidRDefault="009A49EF"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9A49EF" w:rsidRPr="00DE02AE" w14:paraId="6C8DF45D" w14:textId="77777777" w:rsidTr="00782870">
      <w:trPr>
        <w:trHeight w:hRule="exact" w:val="8845"/>
      </w:trPr>
      <w:tc>
        <w:tcPr>
          <w:tcW w:w="11964" w:type="dxa"/>
        </w:tcPr>
        <w:p w14:paraId="1F71D1E5" w14:textId="67D8554C" w:rsidR="009A49EF" w:rsidRPr="00DE02AE" w:rsidRDefault="009A49EF"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showingPlcHdr/>
              <w:picture/>
            </w:sdtPr>
            <w:sdtEndPr/>
            <w:sdtContent>
              <w:r>
                <w:rPr>
                  <w:noProof/>
                  <w:lang w:eastAsia="en-AU"/>
                </w:rPr>
                <w:drawing>
                  <wp:inline distT="0" distB="0" distL="0" distR="0" wp14:anchorId="0196F78A" wp14:editId="17A31771">
                    <wp:extent cx="7610475" cy="56388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CE47A24" w14:textId="6D657221" w:rsidR="009A49EF" w:rsidRDefault="009A49EF" w:rsidP="006D03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9A49EF" w:rsidRPr="00DA24C7" w14:paraId="7C724D59" w14:textId="77777777" w:rsidTr="00C6376F">
      <w:trPr>
        <w:trHeight w:val="558"/>
      </w:trPr>
      <w:tc>
        <w:tcPr>
          <w:tcW w:w="4035" w:type="dxa"/>
          <w:vAlign w:val="center"/>
        </w:tcPr>
        <w:p w14:paraId="047292FC" w14:textId="62B95FE3" w:rsidR="009A49EF" w:rsidRPr="00EB74A7" w:rsidRDefault="009A49EF" w:rsidP="00C6376F">
          <w:pPr>
            <w:rPr>
              <w:rStyle w:val="HeaderChar"/>
              <w:rFonts w:ascii="Arial" w:hAnsi="Arial" w:cs="Arial"/>
              <w:b/>
              <w:sz w:val="28"/>
              <w:szCs w:val="28"/>
            </w:rPr>
          </w:pPr>
        </w:p>
      </w:tc>
      <w:tc>
        <w:tcPr>
          <w:tcW w:w="4685" w:type="dxa"/>
          <w:vAlign w:val="center"/>
        </w:tcPr>
        <w:p w14:paraId="3A7D855E" w14:textId="77777777" w:rsidR="009A49EF" w:rsidRPr="000F5176" w:rsidRDefault="009A49EF" w:rsidP="00C6376F">
          <w:pPr>
            <w:pStyle w:val="HeaderNoLine"/>
            <w:rPr>
              <w:rStyle w:val="HeaderChar"/>
            </w:rPr>
          </w:pPr>
          <w:r w:rsidRPr="000F5176">
            <w:t>Therapeutic Goods Administration</w:t>
          </w:r>
        </w:p>
      </w:tc>
    </w:tr>
  </w:tbl>
  <w:p w14:paraId="480E463E" w14:textId="77777777" w:rsidR="009A49EF" w:rsidRPr="0079442D" w:rsidRDefault="009A49EF" w:rsidP="0079442D">
    <w:pPr>
      <w:spacing w:before="0" w:after="0"/>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9A49EF" w:rsidRPr="00DA24C7" w14:paraId="28E03D4B" w14:textId="77777777" w:rsidTr="00C6376F">
      <w:trPr>
        <w:trHeight w:val="558"/>
      </w:trPr>
      <w:tc>
        <w:tcPr>
          <w:tcW w:w="4035" w:type="dxa"/>
        </w:tcPr>
        <w:p w14:paraId="02A4F856" w14:textId="69123A4C" w:rsidR="009A49EF" w:rsidRPr="00EB74A7" w:rsidRDefault="009A49EF" w:rsidP="00C6376F">
          <w:pPr>
            <w:pStyle w:val="HeaderNoLine"/>
            <w:jc w:val="left"/>
            <w:rPr>
              <w:rStyle w:val="HeaderChar"/>
              <w:rFonts w:ascii="Arial" w:hAnsi="Arial" w:cs="Arial"/>
              <w:b/>
              <w:sz w:val="28"/>
              <w:szCs w:val="28"/>
            </w:rPr>
          </w:pPr>
        </w:p>
      </w:tc>
      <w:tc>
        <w:tcPr>
          <w:tcW w:w="4685" w:type="dxa"/>
          <w:vAlign w:val="center"/>
        </w:tcPr>
        <w:p w14:paraId="0DD7BFA8" w14:textId="77777777" w:rsidR="009A49EF" w:rsidRPr="000F5176" w:rsidRDefault="009A49EF" w:rsidP="00C6376F">
          <w:pPr>
            <w:pStyle w:val="HeaderNoLine"/>
            <w:rPr>
              <w:rStyle w:val="HeaderChar"/>
            </w:rPr>
          </w:pPr>
          <w:r w:rsidRPr="000F5176">
            <w:t>Therapeutic Goods Administration</w:t>
          </w:r>
        </w:p>
      </w:tc>
    </w:tr>
  </w:tbl>
  <w:p w14:paraId="3D9C25A3" w14:textId="77777777" w:rsidR="009A49EF" w:rsidRPr="0079442D" w:rsidRDefault="009A49EF" w:rsidP="0079442D">
    <w:pPr>
      <w:spacing w:before="0"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1C6A59B6"/>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1211"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924211"/>
    <w:multiLevelType w:val="hybridMultilevel"/>
    <w:tmpl w:val="64322C46"/>
    <w:lvl w:ilvl="0" w:tplc="CE9E13BA">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302A79B8"/>
    <w:multiLevelType w:val="hybridMultilevel"/>
    <w:tmpl w:val="8D1CE282"/>
    <w:lvl w:ilvl="0" w:tplc="40488EE0">
      <w:start w:val="4"/>
      <w:numFmt w:val="lowerLetter"/>
      <w:pStyle w:val="Numberbulletreda"/>
      <w:lvlText w:val="%1)"/>
      <w:lvlJc w:val="left"/>
      <w:pPr>
        <w:ind w:left="1146" w:hanging="360"/>
      </w:pPr>
      <w:rPr>
        <w:rFonts w:ascii="Cambria" w:hAnsi="Cambria" w:hint="default"/>
        <w:b w:val="0"/>
        <w:i w:val="0"/>
        <w:color w:val="FF0000"/>
        <w:sz w:val="22"/>
        <w:u w:color="FF000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4C6E6499"/>
    <w:multiLevelType w:val="hybridMultilevel"/>
    <w:tmpl w:val="D310B5D4"/>
    <w:lvl w:ilvl="0" w:tplc="3196C4F2">
      <w:start w:val="1"/>
      <w:numFmt w:val="lowerLetter"/>
      <w:pStyle w:val="Numberbullet2a"/>
      <w:lvlText w:val="%1)"/>
      <w:lvlJc w:val="left"/>
      <w:pPr>
        <w:ind w:left="360" w:hanging="360"/>
      </w:pPr>
      <w:rPr>
        <w:rFonts w:hint="default"/>
        <w:color w:val="auto"/>
        <w:u w:color="FF000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73F66DF5"/>
    <w:multiLevelType w:val="hybridMultilevel"/>
    <w:tmpl w:val="3BBAA6C0"/>
    <w:lvl w:ilvl="0" w:tplc="5744512E">
      <w:start w:val="1"/>
      <w:numFmt w:val="decimal"/>
      <w:pStyle w:val="Numberbulletred1"/>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8A5279F"/>
    <w:multiLevelType w:val="hybridMultilevel"/>
    <w:tmpl w:val="DD4E847A"/>
    <w:lvl w:ilvl="0" w:tplc="B89CD46E">
      <w:start w:val="1"/>
      <w:numFmt w:val="lowerRoman"/>
      <w:pStyle w:val="Numberbullet3i"/>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
    <w:lvlOverride w:ilvl="0">
      <w:lvl w:ilvl="0">
        <w:start w:val="1"/>
        <w:numFmt w:val="bullet"/>
        <w:pStyle w:val="ListBullet"/>
        <w:lvlText w:val=""/>
        <w:lvlJc w:val="left"/>
        <w:pPr>
          <w:ind w:left="360" w:hanging="360"/>
        </w:pPr>
        <w:rPr>
          <w:rFonts w:ascii="Symbol" w:hAnsi="Symbol" w:hint="default"/>
          <w:color w:val="auto"/>
        </w:rPr>
      </w:lvl>
    </w:lvlOverride>
  </w:num>
  <w:num w:numId="2">
    <w:abstractNumId w:val="0"/>
  </w:num>
  <w:num w:numId="3">
    <w:abstractNumId w:val="1"/>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
    <w:abstractNumId w:val="0"/>
  </w:num>
  <w:num w:numId="5">
    <w:abstractNumId w:val="3"/>
  </w:num>
  <w:num w:numId="6">
    <w:abstractNumId w:val="4"/>
  </w:num>
  <w:num w:numId="7">
    <w:abstractNumId w:val="2"/>
  </w:num>
  <w:num w:numId="8">
    <w:abstractNumId w:val="1"/>
  </w:num>
  <w:num w:numId="9">
    <w:abstractNumId w:val="6"/>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5"/>
  </w:num>
  <w:num w:numId="14">
    <w:abstractNumId w:val="5"/>
    <w:lvlOverride w:ilvl="0">
      <w:startOverride w:val="3"/>
    </w:lvlOverride>
  </w:num>
  <w:num w:numId="15">
    <w:abstractNumId w:val="7"/>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8"/>
  </w:num>
  <w:num w:numId="20">
    <w:abstractNumId w:val="6"/>
    <w:lvlOverride w:ilvl="0">
      <w:startOverride w:val="1"/>
    </w:lvlOverride>
  </w:num>
  <w:num w:numId="21">
    <w:abstractNumId w:val="6"/>
    <w:lvlOverride w:ilvl="0">
      <w:startOverride w:val="1"/>
    </w:lvlOverride>
  </w:num>
  <w:num w:numId="22">
    <w:abstractNumId w:val="8"/>
    <w:lvlOverride w:ilvl="0">
      <w:startOverride w:val="1"/>
    </w:lvlOverride>
  </w:num>
  <w:num w:numId="23">
    <w:abstractNumId w:val="5"/>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6"/>
    <w:lvlOverride w:ilvl="0">
      <w:startOverride w:val="1"/>
    </w:lvlOverride>
  </w:num>
  <w:num w:numId="27">
    <w:abstractNumId w:val="8"/>
    <w:lvlOverride w:ilvl="0">
      <w:startOverride w:val="1"/>
    </w:lvlOverride>
  </w:num>
  <w:num w:numId="28">
    <w:abstractNumId w:val="6"/>
    <w:lvlOverride w:ilvl="0">
      <w:startOverride w:val="1"/>
    </w:lvlOverride>
  </w:num>
  <w:num w:numId="29">
    <w:abstractNumId w:val="8"/>
    <w:lvlOverride w:ilvl="0">
      <w:startOverride w:val="1"/>
    </w:lvlOverride>
  </w:num>
  <w:num w:numId="30">
    <w:abstractNumId w:val="5"/>
    <w:lvlOverride w:ilvl="0">
      <w:startOverride w:val="4"/>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691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130B2"/>
    <w:rsid w:val="00013CCE"/>
    <w:rsid w:val="00020549"/>
    <w:rsid w:val="00020F7C"/>
    <w:rsid w:val="00021E8D"/>
    <w:rsid w:val="00023C6E"/>
    <w:rsid w:val="00023FBA"/>
    <w:rsid w:val="000246AE"/>
    <w:rsid w:val="00025266"/>
    <w:rsid w:val="00025C67"/>
    <w:rsid w:val="0003018D"/>
    <w:rsid w:val="000335FC"/>
    <w:rsid w:val="00033F14"/>
    <w:rsid w:val="00037A5A"/>
    <w:rsid w:val="00041297"/>
    <w:rsid w:val="00042424"/>
    <w:rsid w:val="00042573"/>
    <w:rsid w:val="000465B5"/>
    <w:rsid w:val="0005081A"/>
    <w:rsid w:val="000522AE"/>
    <w:rsid w:val="00052322"/>
    <w:rsid w:val="00053C6C"/>
    <w:rsid w:val="0005559E"/>
    <w:rsid w:val="00056156"/>
    <w:rsid w:val="00057FFC"/>
    <w:rsid w:val="00061765"/>
    <w:rsid w:val="0006427F"/>
    <w:rsid w:val="00065585"/>
    <w:rsid w:val="00065D1A"/>
    <w:rsid w:val="00072D02"/>
    <w:rsid w:val="00074EBD"/>
    <w:rsid w:val="0007542B"/>
    <w:rsid w:val="000755F8"/>
    <w:rsid w:val="00077548"/>
    <w:rsid w:val="00077775"/>
    <w:rsid w:val="0008417D"/>
    <w:rsid w:val="00085DD5"/>
    <w:rsid w:val="000860B4"/>
    <w:rsid w:val="000869F6"/>
    <w:rsid w:val="00090471"/>
    <w:rsid w:val="00090869"/>
    <w:rsid w:val="000938CF"/>
    <w:rsid w:val="00095207"/>
    <w:rsid w:val="000A56BE"/>
    <w:rsid w:val="000B0759"/>
    <w:rsid w:val="000B2D2C"/>
    <w:rsid w:val="000B337A"/>
    <w:rsid w:val="000B3532"/>
    <w:rsid w:val="000B3A75"/>
    <w:rsid w:val="000B420A"/>
    <w:rsid w:val="000B56DE"/>
    <w:rsid w:val="000B7084"/>
    <w:rsid w:val="000B71FE"/>
    <w:rsid w:val="000B7FBF"/>
    <w:rsid w:val="000C31F2"/>
    <w:rsid w:val="000C3C6E"/>
    <w:rsid w:val="000C3FAB"/>
    <w:rsid w:val="000C5F0B"/>
    <w:rsid w:val="000C6B99"/>
    <w:rsid w:val="000D0ABB"/>
    <w:rsid w:val="000D2B49"/>
    <w:rsid w:val="000D391B"/>
    <w:rsid w:val="000D3D6D"/>
    <w:rsid w:val="000D45F7"/>
    <w:rsid w:val="000D4FC7"/>
    <w:rsid w:val="000E15E2"/>
    <w:rsid w:val="000E2238"/>
    <w:rsid w:val="000F04C4"/>
    <w:rsid w:val="000F3A5D"/>
    <w:rsid w:val="000F4869"/>
    <w:rsid w:val="000F5176"/>
    <w:rsid w:val="000F5B42"/>
    <w:rsid w:val="000F6E6F"/>
    <w:rsid w:val="000F7281"/>
    <w:rsid w:val="001003F2"/>
    <w:rsid w:val="00101762"/>
    <w:rsid w:val="00103131"/>
    <w:rsid w:val="00103C57"/>
    <w:rsid w:val="0010601F"/>
    <w:rsid w:val="00106BF9"/>
    <w:rsid w:val="00110AE1"/>
    <w:rsid w:val="00110EA5"/>
    <w:rsid w:val="00112440"/>
    <w:rsid w:val="00115240"/>
    <w:rsid w:val="001157F7"/>
    <w:rsid w:val="00116990"/>
    <w:rsid w:val="001169AC"/>
    <w:rsid w:val="00117127"/>
    <w:rsid w:val="00123BB2"/>
    <w:rsid w:val="00125091"/>
    <w:rsid w:val="00125148"/>
    <w:rsid w:val="00125318"/>
    <w:rsid w:val="0012669D"/>
    <w:rsid w:val="00126757"/>
    <w:rsid w:val="001268BE"/>
    <w:rsid w:val="001305A2"/>
    <w:rsid w:val="00130EB7"/>
    <w:rsid w:val="001327EC"/>
    <w:rsid w:val="00133238"/>
    <w:rsid w:val="00140FE3"/>
    <w:rsid w:val="0014197B"/>
    <w:rsid w:val="00143B58"/>
    <w:rsid w:val="001447CD"/>
    <w:rsid w:val="00150A66"/>
    <w:rsid w:val="001516B1"/>
    <w:rsid w:val="0015241F"/>
    <w:rsid w:val="001525B4"/>
    <w:rsid w:val="00152DD7"/>
    <w:rsid w:val="00155651"/>
    <w:rsid w:val="00155822"/>
    <w:rsid w:val="00156316"/>
    <w:rsid w:val="00156847"/>
    <w:rsid w:val="00157601"/>
    <w:rsid w:val="001578C5"/>
    <w:rsid w:val="00161226"/>
    <w:rsid w:val="00161A1E"/>
    <w:rsid w:val="00164A0B"/>
    <w:rsid w:val="00165389"/>
    <w:rsid w:val="001653CE"/>
    <w:rsid w:val="00170A19"/>
    <w:rsid w:val="00170F51"/>
    <w:rsid w:val="001710CB"/>
    <w:rsid w:val="00171C1D"/>
    <w:rsid w:val="00173C6A"/>
    <w:rsid w:val="0017693F"/>
    <w:rsid w:val="00176CB0"/>
    <w:rsid w:val="001773B8"/>
    <w:rsid w:val="00177D86"/>
    <w:rsid w:val="0018056A"/>
    <w:rsid w:val="0018110E"/>
    <w:rsid w:val="00181684"/>
    <w:rsid w:val="00181904"/>
    <w:rsid w:val="00182A4A"/>
    <w:rsid w:val="001843C6"/>
    <w:rsid w:val="001850E0"/>
    <w:rsid w:val="00185CE9"/>
    <w:rsid w:val="001864C1"/>
    <w:rsid w:val="00186517"/>
    <w:rsid w:val="00191360"/>
    <w:rsid w:val="001913A4"/>
    <w:rsid w:val="00193183"/>
    <w:rsid w:val="00196F1F"/>
    <w:rsid w:val="001A19E8"/>
    <w:rsid w:val="001A3925"/>
    <w:rsid w:val="001A525F"/>
    <w:rsid w:val="001A5FFE"/>
    <w:rsid w:val="001B09F9"/>
    <w:rsid w:val="001B0F8B"/>
    <w:rsid w:val="001B5CE3"/>
    <w:rsid w:val="001B6448"/>
    <w:rsid w:val="001C0D8C"/>
    <w:rsid w:val="001C17F5"/>
    <w:rsid w:val="001C2A9E"/>
    <w:rsid w:val="001C2D91"/>
    <w:rsid w:val="001C3352"/>
    <w:rsid w:val="001C3E83"/>
    <w:rsid w:val="001C5266"/>
    <w:rsid w:val="001C6580"/>
    <w:rsid w:val="001C7F0A"/>
    <w:rsid w:val="001D4516"/>
    <w:rsid w:val="001E07CF"/>
    <w:rsid w:val="001E51C6"/>
    <w:rsid w:val="001E5555"/>
    <w:rsid w:val="001E5786"/>
    <w:rsid w:val="001E59F1"/>
    <w:rsid w:val="001E6BA7"/>
    <w:rsid w:val="001F04D7"/>
    <w:rsid w:val="001F32EC"/>
    <w:rsid w:val="001F49EB"/>
    <w:rsid w:val="001F6CBA"/>
    <w:rsid w:val="002001F1"/>
    <w:rsid w:val="0020028B"/>
    <w:rsid w:val="00200A9C"/>
    <w:rsid w:val="00201D4E"/>
    <w:rsid w:val="00202086"/>
    <w:rsid w:val="00204DF0"/>
    <w:rsid w:val="0020793B"/>
    <w:rsid w:val="002101CA"/>
    <w:rsid w:val="002147E0"/>
    <w:rsid w:val="002150D3"/>
    <w:rsid w:val="00220B8A"/>
    <w:rsid w:val="002226DD"/>
    <w:rsid w:val="002257F3"/>
    <w:rsid w:val="00231A66"/>
    <w:rsid w:val="0023267B"/>
    <w:rsid w:val="00233456"/>
    <w:rsid w:val="002339A5"/>
    <w:rsid w:val="0023449A"/>
    <w:rsid w:val="00236140"/>
    <w:rsid w:val="00240781"/>
    <w:rsid w:val="00242707"/>
    <w:rsid w:val="002445F4"/>
    <w:rsid w:val="002458D4"/>
    <w:rsid w:val="00245CF3"/>
    <w:rsid w:val="00247223"/>
    <w:rsid w:val="0025120A"/>
    <w:rsid w:val="002558F8"/>
    <w:rsid w:val="0025660C"/>
    <w:rsid w:val="00257138"/>
    <w:rsid w:val="00257848"/>
    <w:rsid w:val="002638F8"/>
    <w:rsid w:val="00267925"/>
    <w:rsid w:val="0027084A"/>
    <w:rsid w:val="00275590"/>
    <w:rsid w:val="002860D6"/>
    <w:rsid w:val="00286434"/>
    <w:rsid w:val="00286C59"/>
    <w:rsid w:val="002921DD"/>
    <w:rsid w:val="002929C2"/>
    <w:rsid w:val="00292BB3"/>
    <w:rsid w:val="00293414"/>
    <w:rsid w:val="002942D1"/>
    <w:rsid w:val="00296F1C"/>
    <w:rsid w:val="002A0556"/>
    <w:rsid w:val="002A3961"/>
    <w:rsid w:val="002A4B51"/>
    <w:rsid w:val="002A5857"/>
    <w:rsid w:val="002A5F56"/>
    <w:rsid w:val="002A6E38"/>
    <w:rsid w:val="002B0E0E"/>
    <w:rsid w:val="002B1638"/>
    <w:rsid w:val="002B3304"/>
    <w:rsid w:val="002C07AF"/>
    <w:rsid w:val="002C0BF3"/>
    <w:rsid w:val="002C1418"/>
    <w:rsid w:val="002C383A"/>
    <w:rsid w:val="002C43C3"/>
    <w:rsid w:val="002C48BF"/>
    <w:rsid w:val="002C6D34"/>
    <w:rsid w:val="002D0B05"/>
    <w:rsid w:val="002E4C9A"/>
    <w:rsid w:val="002E56D2"/>
    <w:rsid w:val="002E5C31"/>
    <w:rsid w:val="002E69BE"/>
    <w:rsid w:val="002F11F8"/>
    <w:rsid w:val="002F2582"/>
    <w:rsid w:val="002F3F56"/>
    <w:rsid w:val="002F44B5"/>
    <w:rsid w:val="002F53E0"/>
    <w:rsid w:val="00302504"/>
    <w:rsid w:val="00303789"/>
    <w:rsid w:val="00303CBB"/>
    <w:rsid w:val="0030508C"/>
    <w:rsid w:val="003055BD"/>
    <w:rsid w:val="00311AC0"/>
    <w:rsid w:val="00314331"/>
    <w:rsid w:val="00316F8D"/>
    <w:rsid w:val="003208A0"/>
    <w:rsid w:val="003242DF"/>
    <w:rsid w:val="003251D0"/>
    <w:rsid w:val="00325FCD"/>
    <w:rsid w:val="003261C8"/>
    <w:rsid w:val="00331DBB"/>
    <w:rsid w:val="00332ED6"/>
    <w:rsid w:val="00334439"/>
    <w:rsid w:val="00335BEC"/>
    <w:rsid w:val="003367E4"/>
    <w:rsid w:val="00340615"/>
    <w:rsid w:val="00343736"/>
    <w:rsid w:val="003444C1"/>
    <w:rsid w:val="00344B58"/>
    <w:rsid w:val="003521E8"/>
    <w:rsid w:val="00352734"/>
    <w:rsid w:val="00352A2E"/>
    <w:rsid w:val="00353AC2"/>
    <w:rsid w:val="00354E5E"/>
    <w:rsid w:val="003555D7"/>
    <w:rsid w:val="00356F04"/>
    <w:rsid w:val="00360648"/>
    <w:rsid w:val="00360DFD"/>
    <w:rsid w:val="00362473"/>
    <w:rsid w:val="00362F16"/>
    <w:rsid w:val="003639D9"/>
    <w:rsid w:val="003662D5"/>
    <w:rsid w:val="003664BF"/>
    <w:rsid w:val="0036794C"/>
    <w:rsid w:val="0037036E"/>
    <w:rsid w:val="003713CA"/>
    <w:rsid w:val="00371968"/>
    <w:rsid w:val="0037215C"/>
    <w:rsid w:val="003728F3"/>
    <w:rsid w:val="00373D31"/>
    <w:rsid w:val="00375E82"/>
    <w:rsid w:val="00380495"/>
    <w:rsid w:val="0038110B"/>
    <w:rsid w:val="00382768"/>
    <w:rsid w:val="00385DA6"/>
    <w:rsid w:val="00386152"/>
    <w:rsid w:val="00390900"/>
    <w:rsid w:val="00396131"/>
    <w:rsid w:val="003964E2"/>
    <w:rsid w:val="00397439"/>
    <w:rsid w:val="003A0110"/>
    <w:rsid w:val="003A0B29"/>
    <w:rsid w:val="003A0B68"/>
    <w:rsid w:val="003A19BA"/>
    <w:rsid w:val="003A284D"/>
    <w:rsid w:val="003A48A2"/>
    <w:rsid w:val="003B153C"/>
    <w:rsid w:val="003B1FAD"/>
    <w:rsid w:val="003B3601"/>
    <w:rsid w:val="003B629A"/>
    <w:rsid w:val="003B6E20"/>
    <w:rsid w:val="003B7E39"/>
    <w:rsid w:val="003C04B2"/>
    <w:rsid w:val="003C0B32"/>
    <w:rsid w:val="003C1BBB"/>
    <w:rsid w:val="003C3431"/>
    <w:rsid w:val="003C58DC"/>
    <w:rsid w:val="003C62FC"/>
    <w:rsid w:val="003C7673"/>
    <w:rsid w:val="003D1DEC"/>
    <w:rsid w:val="003D26B4"/>
    <w:rsid w:val="003D497F"/>
    <w:rsid w:val="003D5D86"/>
    <w:rsid w:val="003D5DE6"/>
    <w:rsid w:val="003E0E6A"/>
    <w:rsid w:val="003E1945"/>
    <w:rsid w:val="003E2889"/>
    <w:rsid w:val="003E3208"/>
    <w:rsid w:val="003E33D4"/>
    <w:rsid w:val="003E3CA3"/>
    <w:rsid w:val="003E7390"/>
    <w:rsid w:val="003F0B04"/>
    <w:rsid w:val="003F3092"/>
    <w:rsid w:val="003F3095"/>
    <w:rsid w:val="003F48DD"/>
    <w:rsid w:val="003F4A0B"/>
    <w:rsid w:val="0040134E"/>
    <w:rsid w:val="00402EF6"/>
    <w:rsid w:val="00403D3E"/>
    <w:rsid w:val="00404AD5"/>
    <w:rsid w:val="0040598C"/>
    <w:rsid w:val="004068D9"/>
    <w:rsid w:val="00406E1E"/>
    <w:rsid w:val="0040726C"/>
    <w:rsid w:val="004072A5"/>
    <w:rsid w:val="00411710"/>
    <w:rsid w:val="0041244F"/>
    <w:rsid w:val="00412E40"/>
    <w:rsid w:val="00414BA2"/>
    <w:rsid w:val="00421B7E"/>
    <w:rsid w:val="00423F10"/>
    <w:rsid w:val="004247DA"/>
    <w:rsid w:val="004302D7"/>
    <w:rsid w:val="0043074F"/>
    <w:rsid w:val="00430AAA"/>
    <w:rsid w:val="00432CDD"/>
    <w:rsid w:val="00433211"/>
    <w:rsid w:val="00435B13"/>
    <w:rsid w:val="00436C41"/>
    <w:rsid w:val="004407B2"/>
    <w:rsid w:val="00440A2D"/>
    <w:rsid w:val="00441DCA"/>
    <w:rsid w:val="004422DF"/>
    <w:rsid w:val="004432FB"/>
    <w:rsid w:val="004446E3"/>
    <w:rsid w:val="004454B4"/>
    <w:rsid w:val="0044589C"/>
    <w:rsid w:val="0044722D"/>
    <w:rsid w:val="0044785B"/>
    <w:rsid w:val="00455ECA"/>
    <w:rsid w:val="004564A7"/>
    <w:rsid w:val="00457FE3"/>
    <w:rsid w:val="004617BF"/>
    <w:rsid w:val="004618AB"/>
    <w:rsid w:val="00461999"/>
    <w:rsid w:val="0046335C"/>
    <w:rsid w:val="00463FC6"/>
    <w:rsid w:val="00464DFB"/>
    <w:rsid w:val="0046516E"/>
    <w:rsid w:val="004658BC"/>
    <w:rsid w:val="004662D8"/>
    <w:rsid w:val="00470EC2"/>
    <w:rsid w:val="00471C8A"/>
    <w:rsid w:val="00471EFF"/>
    <w:rsid w:val="00472080"/>
    <w:rsid w:val="00482BFC"/>
    <w:rsid w:val="00484BAB"/>
    <w:rsid w:val="00485BFD"/>
    <w:rsid w:val="00487716"/>
    <w:rsid w:val="0049179B"/>
    <w:rsid w:val="004923FF"/>
    <w:rsid w:val="00494E60"/>
    <w:rsid w:val="0049546D"/>
    <w:rsid w:val="004970FD"/>
    <w:rsid w:val="00497759"/>
    <w:rsid w:val="004A1C37"/>
    <w:rsid w:val="004A2400"/>
    <w:rsid w:val="004A40C1"/>
    <w:rsid w:val="004A6F05"/>
    <w:rsid w:val="004B1A6E"/>
    <w:rsid w:val="004B21D7"/>
    <w:rsid w:val="004B2BD3"/>
    <w:rsid w:val="004B2F7A"/>
    <w:rsid w:val="004B4C5C"/>
    <w:rsid w:val="004B545E"/>
    <w:rsid w:val="004B6701"/>
    <w:rsid w:val="004B7B76"/>
    <w:rsid w:val="004C0070"/>
    <w:rsid w:val="004C241F"/>
    <w:rsid w:val="004C3BFD"/>
    <w:rsid w:val="004C4791"/>
    <w:rsid w:val="004C60B4"/>
    <w:rsid w:val="004D51A6"/>
    <w:rsid w:val="004D6739"/>
    <w:rsid w:val="004D722C"/>
    <w:rsid w:val="004E449B"/>
    <w:rsid w:val="004E5523"/>
    <w:rsid w:val="004F0F38"/>
    <w:rsid w:val="004F4580"/>
    <w:rsid w:val="00501179"/>
    <w:rsid w:val="00501921"/>
    <w:rsid w:val="00501CBA"/>
    <w:rsid w:val="005042C1"/>
    <w:rsid w:val="00511BB4"/>
    <w:rsid w:val="0051565E"/>
    <w:rsid w:val="005164BD"/>
    <w:rsid w:val="005168C9"/>
    <w:rsid w:val="00516E40"/>
    <w:rsid w:val="00520F6C"/>
    <w:rsid w:val="00521BEF"/>
    <w:rsid w:val="00522086"/>
    <w:rsid w:val="005220E5"/>
    <w:rsid w:val="005221E1"/>
    <w:rsid w:val="005232D5"/>
    <w:rsid w:val="005274DA"/>
    <w:rsid w:val="005302F5"/>
    <w:rsid w:val="00530354"/>
    <w:rsid w:val="00533970"/>
    <w:rsid w:val="00533C0C"/>
    <w:rsid w:val="00534871"/>
    <w:rsid w:val="00534A99"/>
    <w:rsid w:val="0053538C"/>
    <w:rsid w:val="0053781A"/>
    <w:rsid w:val="00541352"/>
    <w:rsid w:val="0054163A"/>
    <w:rsid w:val="005434C6"/>
    <w:rsid w:val="00543B39"/>
    <w:rsid w:val="00550096"/>
    <w:rsid w:val="00551F1D"/>
    <w:rsid w:val="00552DB2"/>
    <w:rsid w:val="005540F9"/>
    <w:rsid w:val="005576C9"/>
    <w:rsid w:val="00557FF9"/>
    <w:rsid w:val="00560BAF"/>
    <w:rsid w:val="00561B1B"/>
    <w:rsid w:val="00563037"/>
    <w:rsid w:val="005729B0"/>
    <w:rsid w:val="00575A6D"/>
    <w:rsid w:val="00576378"/>
    <w:rsid w:val="00577E38"/>
    <w:rsid w:val="005824DB"/>
    <w:rsid w:val="00584867"/>
    <w:rsid w:val="00585069"/>
    <w:rsid w:val="00585322"/>
    <w:rsid w:val="0058774D"/>
    <w:rsid w:val="00591975"/>
    <w:rsid w:val="00591D5F"/>
    <w:rsid w:val="00593AD1"/>
    <w:rsid w:val="005955CF"/>
    <w:rsid w:val="00596778"/>
    <w:rsid w:val="00597B50"/>
    <w:rsid w:val="005A1131"/>
    <w:rsid w:val="005A3F2F"/>
    <w:rsid w:val="005A5916"/>
    <w:rsid w:val="005A5A5E"/>
    <w:rsid w:val="005A6611"/>
    <w:rsid w:val="005B1DEF"/>
    <w:rsid w:val="005B4052"/>
    <w:rsid w:val="005B5423"/>
    <w:rsid w:val="005B5CBE"/>
    <w:rsid w:val="005C03F2"/>
    <w:rsid w:val="005C0499"/>
    <w:rsid w:val="005C1D90"/>
    <w:rsid w:val="005C22EA"/>
    <w:rsid w:val="005C2732"/>
    <w:rsid w:val="005C2FB2"/>
    <w:rsid w:val="005C3414"/>
    <w:rsid w:val="005C5570"/>
    <w:rsid w:val="005C6864"/>
    <w:rsid w:val="005C6D87"/>
    <w:rsid w:val="005C79A4"/>
    <w:rsid w:val="005D060C"/>
    <w:rsid w:val="005D16DC"/>
    <w:rsid w:val="005D3871"/>
    <w:rsid w:val="005D4E06"/>
    <w:rsid w:val="005D5442"/>
    <w:rsid w:val="005D5806"/>
    <w:rsid w:val="005E0215"/>
    <w:rsid w:val="005E06A4"/>
    <w:rsid w:val="005E1A89"/>
    <w:rsid w:val="005E3393"/>
    <w:rsid w:val="005E5885"/>
    <w:rsid w:val="005E6395"/>
    <w:rsid w:val="005F3EA0"/>
    <w:rsid w:val="00600DBB"/>
    <w:rsid w:val="00601594"/>
    <w:rsid w:val="00601FD3"/>
    <w:rsid w:val="0060581D"/>
    <w:rsid w:val="00605EFD"/>
    <w:rsid w:val="00612B30"/>
    <w:rsid w:val="006131AB"/>
    <w:rsid w:val="00613211"/>
    <w:rsid w:val="006132E8"/>
    <w:rsid w:val="0061748D"/>
    <w:rsid w:val="00617E05"/>
    <w:rsid w:val="006210F2"/>
    <w:rsid w:val="0062266E"/>
    <w:rsid w:val="00623676"/>
    <w:rsid w:val="006238C7"/>
    <w:rsid w:val="0062690C"/>
    <w:rsid w:val="00630FDD"/>
    <w:rsid w:val="00631A20"/>
    <w:rsid w:val="00632D4C"/>
    <w:rsid w:val="00634B40"/>
    <w:rsid w:val="006352D8"/>
    <w:rsid w:val="0063798D"/>
    <w:rsid w:val="006400CB"/>
    <w:rsid w:val="00640FC3"/>
    <w:rsid w:val="00642020"/>
    <w:rsid w:val="006443B1"/>
    <w:rsid w:val="00647831"/>
    <w:rsid w:val="00650434"/>
    <w:rsid w:val="00651313"/>
    <w:rsid w:val="00651316"/>
    <w:rsid w:val="00652CEE"/>
    <w:rsid w:val="0065337B"/>
    <w:rsid w:val="0065419D"/>
    <w:rsid w:val="006604D8"/>
    <w:rsid w:val="00664A5B"/>
    <w:rsid w:val="00664E3A"/>
    <w:rsid w:val="00664FE1"/>
    <w:rsid w:val="006664CB"/>
    <w:rsid w:val="00667942"/>
    <w:rsid w:val="0067078D"/>
    <w:rsid w:val="006733CD"/>
    <w:rsid w:val="006744DB"/>
    <w:rsid w:val="00674BA2"/>
    <w:rsid w:val="006753B1"/>
    <w:rsid w:val="00677050"/>
    <w:rsid w:val="006804A8"/>
    <w:rsid w:val="00680C08"/>
    <w:rsid w:val="0068543D"/>
    <w:rsid w:val="00686C19"/>
    <w:rsid w:val="0068741A"/>
    <w:rsid w:val="00691DBE"/>
    <w:rsid w:val="006931B1"/>
    <w:rsid w:val="00693426"/>
    <w:rsid w:val="006A0105"/>
    <w:rsid w:val="006A15C0"/>
    <w:rsid w:val="006A1C00"/>
    <w:rsid w:val="006A1DC0"/>
    <w:rsid w:val="006A36C1"/>
    <w:rsid w:val="006A64F4"/>
    <w:rsid w:val="006A7FD9"/>
    <w:rsid w:val="006B1BCF"/>
    <w:rsid w:val="006B361E"/>
    <w:rsid w:val="006B3B74"/>
    <w:rsid w:val="006B3CF2"/>
    <w:rsid w:val="006C0A51"/>
    <w:rsid w:val="006C18B8"/>
    <w:rsid w:val="006C1A83"/>
    <w:rsid w:val="006C1AD9"/>
    <w:rsid w:val="006C1F3B"/>
    <w:rsid w:val="006C3B34"/>
    <w:rsid w:val="006C3E2A"/>
    <w:rsid w:val="006C450D"/>
    <w:rsid w:val="006C57B7"/>
    <w:rsid w:val="006C642F"/>
    <w:rsid w:val="006C65A1"/>
    <w:rsid w:val="006D03E5"/>
    <w:rsid w:val="006D08C1"/>
    <w:rsid w:val="006D5D3E"/>
    <w:rsid w:val="006D61CA"/>
    <w:rsid w:val="006D6A23"/>
    <w:rsid w:val="006E08B3"/>
    <w:rsid w:val="006E5071"/>
    <w:rsid w:val="006E5916"/>
    <w:rsid w:val="006E749B"/>
    <w:rsid w:val="006F01FE"/>
    <w:rsid w:val="006F1A67"/>
    <w:rsid w:val="006F572E"/>
    <w:rsid w:val="006F65A9"/>
    <w:rsid w:val="00703525"/>
    <w:rsid w:val="007046D6"/>
    <w:rsid w:val="00705DB0"/>
    <w:rsid w:val="00706AFE"/>
    <w:rsid w:val="007105C8"/>
    <w:rsid w:val="00711BAE"/>
    <w:rsid w:val="00711DA6"/>
    <w:rsid w:val="007127A7"/>
    <w:rsid w:val="00716774"/>
    <w:rsid w:val="00717545"/>
    <w:rsid w:val="00717B5D"/>
    <w:rsid w:val="007249F8"/>
    <w:rsid w:val="00731FB6"/>
    <w:rsid w:val="0073205A"/>
    <w:rsid w:val="00732B06"/>
    <w:rsid w:val="0073345D"/>
    <w:rsid w:val="00736B85"/>
    <w:rsid w:val="00736EFA"/>
    <w:rsid w:val="00737627"/>
    <w:rsid w:val="0074253D"/>
    <w:rsid w:val="0074429B"/>
    <w:rsid w:val="00745548"/>
    <w:rsid w:val="007477F8"/>
    <w:rsid w:val="00747DD7"/>
    <w:rsid w:val="00750368"/>
    <w:rsid w:val="007560C5"/>
    <w:rsid w:val="00756E13"/>
    <w:rsid w:val="007615BC"/>
    <w:rsid w:val="00761AA7"/>
    <w:rsid w:val="00762F05"/>
    <w:rsid w:val="007637F0"/>
    <w:rsid w:val="00763BB7"/>
    <w:rsid w:val="007652FF"/>
    <w:rsid w:val="00765C7B"/>
    <w:rsid w:val="00766729"/>
    <w:rsid w:val="00766888"/>
    <w:rsid w:val="00766B09"/>
    <w:rsid w:val="00771329"/>
    <w:rsid w:val="00773EF7"/>
    <w:rsid w:val="007748DC"/>
    <w:rsid w:val="00774E1D"/>
    <w:rsid w:val="0077675A"/>
    <w:rsid w:val="00780355"/>
    <w:rsid w:val="00782870"/>
    <w:rsid w:val="00783116"/>
    <w:rsid w:val="00784124"/>
    <w:rsid w:val="007851C8"/>
    <w:rsid w:val="00785721"/>
    <w:rsid w:val="00786E03"/>
    <w:rsid w:val="00787AC6"/>
    <w:rsid w:val="007907BF"/>
    <w:rsid w:val="00793A59"/>
    <w:rsid w:val="0079442D"/>
    <w:rsid w:val="00794519"/>
    <w:rsid w:val="007954D4"/>
    <w:rsid w:val="00796FE2"/>
    <w:rsid w:val="00797C67"/>
    <w:rsid w:val="007A2162"/>
    <w:rsid w:val="007A2B0B"/>
    <w:rsid w:val="007A4076"/>
    <w:rsid w:val="007A58C5"/>
    <w:rsid w:val="007B0412"/>
    <w:rsid w:val="007B0A15"/>
    <w:rsid w:val="007B1ED1"/>
    <w:rsid w:val="007B2894"/>
    <w:rsid w:val="007B6836"/>
    <w:rsid w:val="007B7F38"/>
    <w:rsid w:val="007C0F3D"/>
    <w:rsid w:val="007C1AF7"/>
    <w:rsid w:val="007D2CFA"/>
    <w:rsid w:val="007D31C7"/>
    <w:rsid w:val="007D404B"/>
    <w:rsid w:val="007D4385"/>
    <w:rsid w:val="007D44F8"/>
    <w:rsid w:val="007D71BC"/>
    <w:rsid w:val="007D7441"/>
    <w:rsid w:val="007D7B54"/>
    <w:rsid w:val="007E29E1"/>
    <w:rsid w:val="007E3E3E"/>
    <w:rsid w:val="007E4DCE"/>
    <w:rsid w:val="007E5A33"/>
    <w:rsid w:val="007E662C"/>
    <w:rsid w:val="00802261"/>
    <w:rsid w:val="008030CD"/>
    <w:rsid w:val="00804357"/>
    <w:rsid w:val="0080449A"/>
    <w:rsid w:val="008109E0"/>
    <w:rsid w:val="00811949"/>
    <w:rsid w:val="00812029"/>
    <w:rsid w:val="008122AC"/>
    <w:rsid w:val="00813E46"/>
    <w:rsid w:val="00815795"/>
    <w:rsid w:val="00817471"/>
    <w:rsid w:val="00821454"/>
    <w:rsid w:val="00821776"/>
    <w:rsid w:val="008226C2"/>
    <w:rsid w:val="00826007"/>
    <w:rsid w:val="0082653E"/>
    <w:rsid w:val="008266E2"/>
    <w:rsid w:val="0083209C"/>
    <w:rsid w:val="008321F5"/>
    <w:rsid w:val="00832369"/>
    <w:rsid w:val="00832486"/>
    <w:rsid w:val="0083329F"/>
    <w:rsid w:val="00834660"/>
    <w:rsid w:val="008357ED"/>
    <w:rsid w:val="00836BC2"/>
    <w:rsid w:val="00840A43"/>
    <w:rsid w:val="0084109D"/>
    <w:rsid w:val="00842325"/>
    <w:rsid w:val="008423DC"/>
    <w:rsid w:val="00846E23"/>
    <w:rsid w:val="0085641B"/>
    <w:rsid w:val="00857136"/>
    <w:rsid w:val="008617CA"/>
    <w:rsid w:val="008702B3"/>
    <w:rsid w:val="008707DF"/>
    <w:rsid w:val="00871E49"/>
    <w:rsid w:val="00872807"/>
    <w:rsid w:val="00876EAC"/>
    <w:rsid w:val="008779B8"/>
    <w:rsid w:val="00881EA0"/>
    <w:rsid w:val="0088496A"/>
    <w:rsid w:val="00885259"/>
    <w:rsid w:val="0088678E"/>
    <w:rsid w:val="0089392A"/>
    <w:rsid w:val="00893C5D"/>
    <w:rsid w:val="0089422C"/>
    <w:rsid w:val="00896018"/>
    <w:rsid w:val="00896C03"/>
    <w:rsid w:val="00896E1F"/>
    <w:rsid w:val="008A00FE"/>
    <w:rsid w:val="008A2B9D"/>
    <w:rsid w:val="008A2D18"/>
    <w:rsid w:val="008A5E0B"/>
    <w:rsid w:val="008A69D0"/>
    <w:rsid w:val="008A6A7F"/>
    <w:rsid w:val="008A6B96"/>
    <w:rsid w:val="008A6D59"/>
    <w:rsid w:val="008B0015"/>
    <w:rsid w:val="008B2B27"/>
    <w:rsid w:val="008B412C"/>
    <w:rsid w:val="008B4B03"/>
    <w:rsid w:val="008B596F"/>
    <w:rsid w:val="008B7C43"/>
    <w:rsid w:val="008C0C69"/>
    <w:rsid w:val="008C159F"/>
    <w:rsid w:val="008C1623"/>
    <w:rsid w:val="008C51A9"/>
    <w:rsid w:val="008C5225"/>
    <w:rsid w:val="008C7E46"/>
    <w:rsid w:val="008D0620"/>
    <w:rsid w:val="008D1287"/>
    <w:rsid w:val="008D3724"/>
    <w:rsid w:val="008D3FCE"/>
    <w:rsid w:val="008D4E90"/>
    <w:rsid w:val="008D51A3"/>
    <w:rsid w:val="008D67F7"/>
    <w:rsid w:val="008D7BD4"/>
    <w:rsid w:val="008E59A7"/>
    <w:rsid w:val="008E6463"/>
    <w:rsid w:val="008E75DB"/>
    <w:rsid w:val="008F1CCC"/>
    <w:rsid w:val="008F2967"/>
    <w:rsid w:val="008F2AD4"/>
    <w:rsid w:val="008F4A62"/>
    <w:rsid w:val="008F57B4"/>
    <w:rsid w:val="0090088D"/>
    <w:rsid w:val="0091165D"/>
    <w:rsid w:val="00915525"/>
    <w:rsid w:val="00917AB4"/>
    <w:rsid w:val="00920330"/>
    <w:rsid w:val="00920FF4"/>
    <w:rsid w:val="009219D7"/>
    <w:rsid w:val="00922D53"/>
    <w:rsid w:val="00923B70"/>
    <w:rsid w:val="0092465F"/>
    <w:rsid w:val="00924FB8"/>
    <w:rsid w:val="00925333"/>
    <w:rsid w:val="0092600B"/>
    <w:rsid w:val="00926BE5"/>
    <w:rsid w:val="00926F1C"/>
    <w:rsid w:val="00930237"/>
    <w:rsid w:val="009310B4"/>
    <w:rsid w:val="009318F5"/>
    <w:rsid w:val="0093749E"/>
    <w:rsid w:val="00942751"/>
    <w:rsid w:val="00943A3F"/>
    <w:rsid w:val="00944B14"/>
    <w:rsid w:val="00945041"/>
    <w:rsid w:val="00945723"/>
    <w:rsid w:val="009468C6"/>
    <w:rsid w:val="0094783F"/>
    <w:rsid w:val="00951677"/>
    <w:rsid w:val="00952C3D"/>
    <w:rsid w:val="00953EA8"/>
    <w:rsid w:val="00955A46"/>
    <w:rsid w:val="009628B7"/>
    <w:rsid w:val="00963C08"/>
    <w:rsid w:val="00963C0D"/>
    <w:rsid w:val="00966970"/>
    <w:rsid w:val="00967C5A"/>
    <w:rsid w:val="00970367"/>
    <w:rsid w:val="00972C2F"/>
    <w:rsid w:val="009741DD"/>
    <w:rsid w:val="009752DD"/>
    <w:rsid w:val="00975379"/>
    <w:rsid w:val="0098143C"/>
    <w:rsid w:val="00981AC6"/>
    <w:rsid w:val="00981D0A"/>
    <w:rsid w:val="009835B6"/>
    <w:rsid w:val="00984CAD"/>
    <w:rsid w:val="00987670"/>
    <w:rsid w:val="00987D65"/>
    <w:rsid w:val="009927F3"/>
    <w:rsid w:val="00992CBB"/>
    <w:rsid w:val="0099313B"/>
    <w:rsid w:val="009933BF"/>
    <w:rsid w:val="00993AB0"/>
    <w:rsid w:val="009A001C"/>
    <w:rsid w:val="009A190E"/>
    <w:rsid w:val="009A40E1"/>
    <w:rsid w:val="009A4825"/>
    <w:rsid w:val="009A49EF"/>
    <w:rsid w:val="009A4CED"/>
    <w:rsid w:val="009B00CC"/>
    <w:rsid w:val="009B1D12"/>
    <w:rsid w:val="009B20A0"/>
    <w:rsid w:val="009B2B3C"/>
    <w:rsid w:val="009B3475"/>
    <w:rsid w:val="009B3A75"/>
    <w:rsid w:val="009B416B"/>
    <w:rsid w:val="009B6348"/>
    <w:rsid w:val="009C2C0A"/>
    <w:rsid w:val="009C4BD5"/>
    <w:rsid w:val="009C5F04"/>
    <w:rsid w:val="009C683C"/>
    <w:rsid w:val="009D0801"/>
    <w:rsid w:val="009D0A6D"/>
    <w:rsid w:val="009D0DC8"/>
    <w:rsid w:val="009D2144"/>
    <w:rsid w:val="009D2E04"/>
    <w:rsid w:val="009D7B77"/>
    <w:rsid w:val="009E0BB0"/>
    <w:rsid w:val="009E0D3D"/>
    <w:rsid w:val="009E37F8"/>
    <w:rsid w:val="009E3FBB"/>
    <w:rsid w:val="009E63F3"/>
    <w:rsid w:val="009F018D"/>
    <w:rsid w:val="009F01FD"/>
    <w:rsid w:val="009F207B"/>
    <w:rsid w:val="009F20E4"/>
    <w:rsid w:val="00A0156E"/>
    <w:rsid w:val="00A07042"/>
    <w:rsid w:val="00A10C68"/>
    <w:rsid w:val="00A1235B"/>
    <w:rsid w:val="00A14DF7"/>
    <w:rsid w:val="00A22E19"/>
    <w:rsid w:val="00A25978"/>
    <w:rsid w:val="00A27B10"/>
    <w:rsid w:val="00A31294"/>
    <w:rsid w:val="00A3246D"/>
    <w:rsid w:val="00A32C51"/>
    <w:rsid w:val="00A342E4"/>
    <w:rsid w:val="00A34868"/>
    <w:rsid w:val="00A36E8D"/>
    <w:rsid w:val="00A36FA7"/>
    <w:rsid w:val="00A40944"/>
    <w:rsid w:val="00A41E88"/>
    <w:rsid w:val="00A437CB"/>
    <w:rsid w:val="00A462B7"/>
    <w:rsid w:val="00A46A96"/>
    <w:rsid w:val="00A47209"/>
    <w:rsid w:val="00A475B7"/>
    <w:rsid w:val="00A47AF7"/>
    <w:rsid w:val="00A47C3E"/>
    <w:rsid w:val="00A50226"/>
    <w:rsid w:val="00A50992"/>
    <w:rsid w:val="00A52E61"/>
    <w:rsid w:val="00A5425B"/>
    <w:rsid w:val="00A60BAD"/>
    <w:rsid w:val="00A62DB1"/>
    <w:rsid w:val="00A62EBE"/>
    <w:rsid w:val="00A73339"/>
    <w:rsid w:val="00A737A1"/>
    <w:rsid w:val="00A73A8D"/>
    <w:rsid w:val="00A748B8"/>
    <w:rsid w:val="00A77C79"/>
    <w:rsid w:val="00A8051A"/>
    <w:rsid w:val="00A806AE"/>
    <w:rsid w:val="00A842D2"/>
    <w:rsid w:val="00A8571D"/>
    <w:rsid w:val="00A87334"/>
    <w:rsid w:val="00A9032D"/>
    <w:rsid w:val="00A92BB4"/>
    <w:rsid w:val="00A92E6D"/>
    <w:rsid w:val="00A934D5"/>
    <w:rsid w:val="00A957C4"/>
    <w:rsid w:val="00A963F7"/>
    <w:rsid w:val="00AA34FC"/>
    <w:rsid w:val="00AB201E"/>
    <w:rsid w:val="00AB3F92"/>
    <w:rsid w:val="00AB42C4"/>
    <w:rsid w:val="00AB581C"/>
    <w:rsid w:val="00AB5C96"/>
    <w:rsid w:val="00AC262B"/>
    <w:rsid w:val="00AC2B40"/>
    <w:rsid w:val="00AC2BB2"/>
    <w:rsid w:val="00AC2C3C"/>
    <w:rsid w:val="00AC3BD9"/>
    <w:rsid w:val="00AC44FA"/>
    <w:rsid w:val="00AC54D1"/>
    <w:rsid w:val="00AC6EBE"/>
    <w:rsid w:val="00AD0E2E"/>
    <w:rsid w:val="00AD272E"/>
    <w:rsid w:val="00AD3DF0"/>
    <w:rsid w:val="00AD4722"/>
    <w:rsid w:val="00AD58C6"/>
    <w:rsid w:val="00AD657F"/>
    <w:rsid w:val="00AD7E78"/>
    <w:rsid w:val="00AE2270"/>
    <w:rsid w:val="00AE4205"/>
    <w:rsid w:val="00AE6155"/>
    <w:rsid w:val="00AE65EB"/>
    <w:rsid w:val="00AE670F"/>
    <w:rsid w:val="00AF1D94"/>
    <w:rsid w:val="00AF27F0"/>
    <w:rsid w:val="00AF316D"/>
    <w:rsid w:val="00AF3A8C"/>
    <w:rsid w:val="00AF60C5"/>
    <w:rsid w:val="00B009C6"/>
    <w:rsid w:val="00B01548"/>
    <w:rsid w:val="00B074B7"/>
    <w:rsid w:val="00B138BE"/>
    <w:rsid w:val="00B15AE2"/>
    <w:rsid w:val="00B15C1C"/>
    <w:rsid w:val="00B17A0B"/>
    <w:rsid w:val="00B17CB3"/>
    <w:rsid w:val="00B17D39"/>
    <w:rsid w:val="00B21D29"/>
    <w:rsid w:val="00B21FC5"/>
    <w:rsid w:val="00B2445D"/>
    <w:rsid w:val="00B25034"/>
    <w:rsid w:val="00B261E6"/>
    <w:rsid w:val="00B27B29"/>
    <w:rsid w:val="00B27EA3"/>
    <w:rsid w:val="00B325C7"/>
    <w:rsid w:val="00B33863"/>
    <w:rsid w:val="00B34F51"/>
    <w:rsid w:val="00B3503F"/>
    <w:rsid w:val="00B37D17"/>
    <w:rsid w:val="00B40EE7"/>
    <w:rsid w:val="00B4175E"/>
    <w:rsid w:val="00B4454F"/>
    <w:rsid w:val="00B50EE7"/>
    <w:rsid w:val="00B510E1"/>
    <w:rsid w:val="00B53128"/>
    <w:rsid w:val="00B54C25"/>
    <w:rsid w:val="00B55E71"/>
    <w:rsid w:val="00B57049"/>
    <w:rsid w:val="00B572B2"/>
    <w:rsid w:val="00B57D3B"/>
    <w:rsid w:val="00B60801"/>
    <w:rsid w:val="00B617EA"/>
    <w:rsid w:val="00B62819"/>
    <w:rsid w:val="00B6409A"/>
    <w:rsid w:val="00B6677B"/>
    <w:rsid w:val="00B71B18"/>
    <w:rsid w:val="00B7359B"/>
    <w:rsid w:val="00B7672F"/>
    <w:rsid w:val="00B76B91"/>
    <w:rsid w:val="00B83FC7"/>
    <w:rsid w:val="00B8473E"/>
    <w:rsid w:val="00B84910"/>
    <w:rsid w:val="00B86F81"/>
    <w:rsid w:val="00B874C8"/>
    <w:rsid w:val="00B929EB"/>
    <w:rsid w:val="00B94276"/>
    <w:rsid w:val="00B94618"/>
    <w:rsid w:val="00B978A9"/>
    <w:rsid w:val="00BA0867"/>
    <w:rsid w:val="00BA696C"/>
    <w:rsid w:val="00BB0BD8"/>
    <w:rsid w:val="00BB538A"/>
    <w:rsid w:val="00BB6DFC"/>
    <w:rsid w:val="00BB7F56"/>
    <w:rsid w:val="00BC14E1"/>
    <w:rsid w:val="00BC1CAB"/>
    <w:rsid w:val="00BC2009"/>
    <w:rsid w:val="00BC50DB"/>
    <w:rsid w:val="00BC526C"/>
    <w:rsid w:val="00BC5AC3"/>
    <w:rsid w:val="00BC5AE6"/>
    <w:rsid w:val="00BC622A"/>
    <w:rsid w:val="00BD328B"/>
    <w:rsid w:val="00BD48EC"/>
    <w:rsid w:val="00BE0440"/>
    <w:rsid w:val="00BE0A78"/>
    <w:rsid w:val="00BE79F0"/>
    <w:rsid w:val="00BF046D"/>
    <w:rsid w:val="00BF18DB"/>
    <w:rsid w:val="00BF46E4"/>
    <w:rsid w:val="00BF5D04"/>
    <w:rsid w:val="00BF6460"/>
    <w:rsid w:val="00BF6D2F"/>
    <w:rsid w:val="00C007D3"/>
    <w:rsid w:val="00C019E6"/>
    <w:rsid w:val="00C0357E"/>
    <w:rsid w:val="00C05467"/>
    <w:rsid w:val="00C06018"/>
    <w:rsid w:val="00C1305B"/>
    <w:rsid w:val="00C13563"/>
    <w:rsid w:val="00C15B55"/>
    <w:rsid w:val="00C16CCE"/>
    <w:rsid w:val="00C17E00"/>
    <w:rsid w:val="00C24035"/>
    <w:rsid w:val="00C25FC2"/>
    <w:rsid w:val="00C31D44"/>
    <w:rsid w:val="00C32A88"/>
    <w:rsid w:val="00C33FDE"/>
    <w:rsid w:val="00C3534F"/>
    <w:rsid w:val="00C3536F"/>
    <w:rsid w:val="00C36465"/>
    <w:rsid w:val="00C364D5"/>
    <w:rsid w:val="00C36810"/>
    <w:rsid w:val="00C404A6"/>
    <w:rsid w:val="00C40A36"/>
    <w:rsid w:val="00C430C9"/>
    <w:rsid w:val="00C434EA"/>
    <w:rsid w:val="00C437F5"/>
    <w:rsid w:val="00C44419"/>
    <w:rsid w:val="00C45E7B"/>
    <w:rsid w:val="00C471B1"/>
    <w:rsid w:val="00C54222"/>
    <w:rsid w:val="00C55437"/>
    <w:rsid w:val="00C55B87"/>
    <w:rsid w:val="00C55C1A"/>
    <w:rsid w:val="00C5608C"/>
    <w:rsid w:val="00C6204C"/>
    <w:rsid w:val="00C6316B"/>
    <w:rsid w:val="00C634A9"/>
    <w:rsid w:val="00C6376F"/>
    <w:rsid w:val="00C651B1"/>
    <w:rsid w:val="00C669EE"/>
    <w:rsid w:val="00C73315"/>
    <w:rsid w:val="00C741A3"/>
    <w:rsid w:val="00C7437B"/>
    <w:rsid w:val="00C74DD6"/>
    <w:rsid w:val="00C7666A"/>
    <w:rsid w:val="00C76E42"/>
    <w:rsid w:val="00C772FF"/>
    <w:rsid w:val="00C77C7D"/>
    <w:rsid w:val="00C801AF"/>
    <w:rsid w:val="00C80256"/>
    <w:rsid w:val="00C81696"/>
    <w:rsid w:val="00C87CA5"/>
    <w:rsid w:val="00C93228"/>
    <w:rsid w:val="00C94239"/>
    <w:rsid w:val="00C9491D"/>
    <w:rsid w:val="00C95D76"/>
    <w:rsid w:val="00CA0678"/>
    <w:rsid w:val="00CA068B"/>
    <w:rsid w:val="00CA0F79"/>
    <w:rsid w:val="00CA3A38"/>
    <w:rsid w:val="00CA62E0"/>
    <w:rsid w:val="00CA7F0E"/>
    <w:rsid w:val="00CA7F35"/>
    <w:rsid w:val="00CB0088"/>
    <w:rsid w:val="00CB0174"/>
    <w:rsid w:val="00CB27FE"/>
    <w:rsid w:val="00CB4F76"/>
    <w:rsid w:val="00CB6BC0"/>
    <w:rsid w:val="00CC1B7C"/>
    <w:rsid w:val="00CC314F"/>
    <w:rsid w:val="00CC50DE"/>
    <w:rsid w:val="00CC6398"/>
    <w:rsid w:val="00CC727F"/>
    <w:rsid w:val="00CD309B"/>
    <w:rsid w:val="00CD6EB8"/>
    <w:rsid w:val="00CE1594"/>
    <w:rsid w:val="00CE5BB0"/>
    <w:rsid w:val="00CE5E4B"/>
    <w:rsid w:val="00CF15C3"/>
    <w:rsid w:val="00CF2B6F"/>
    <w:rsid w:val="00CF3BC4"/>
    <w:rsid w:val="00CF6340"/>
    <w:rsid w:val="00D00E4F"/>
    <w:rsid w:val="00D0122F"/>
    <w:rsid w:val="00D017ED"/>
    <w:rsid w:val="00D02AD9"/>
    <w:rsid w:val="00D035F9"/>
    <w:rsid w:val="00D07496"/>
    <w:rsid w:val="00D07BFC"/>
    <w:rsid w:val="00D100C3"/>
    <w:rsid w:val="00D11329"/>
    <w:rsid w:val="00D135F8"/>
    <w:rsid w:val="00D153B1"/>
    <w:rsid w:val="00D15A61"/>
    <w:rsid w:val="00D1617A"/>
    <w:rsid w:val="00D170A1"/>
    <w:rsid w:val="00D224FE"/>
    <w:rsid w:val="00D229BA"/>
    <w:rsid w:val="00D24C02"/>
    <w:rsid w:val="00D25360"/>
    <w:rsid w:val="00D45AC7"/>
    <w:rsid w:val="00D46E56"/>
    <w:rsid w:val="00D46E89"/>
    <w:rsid w:val="00D47415"/>
    <w:rsid w:val="00D51CD8"/>
    <w:rsid w:val="00D52B0B"/>
    <w:rsid w:val="00D55A5F"/>
    <w:rsid w:val="00D6198F"/>
    <w:rsid w:val="00D624D6"/>
    <w:rsid w:val="00D63084"/>
    <w:rsid w:val="00D63F91"/>
    <w:rsid w:val="00D6493E"/>
    <w:rsid w:val="00D67617"/>
    <w:rsid w:val="00D67FB5"/>
    <w:rsid w:val="00D7274B"/>
    <w:rsid w:val="00D72783"/>
    <w:rsid w:val="00D739CE"/>
    <w:rsid w:val="00D73C01"/>
    <w:rsid w:val="00D74637"/>
    <w:rsid w:val="00D763E2"/>
    <w:rsid w:val="00D80DD3"/>
    <w:rsid w:val="00D810B6"/>
    <w:rsid w:val="00D82F24"/>
    <w:rsid w:val="00D834EE"/>
    <w:rsid w:val="00D84A25"/>
    <w:rsid w:val="00D855AE"/>
    <w:rsid w:val="00D86C12"/>
    <w:rsid w:val="00D87F31"/>
    <w:rsid w:val="00D92FDD"/>
    <w:rsid w:val="00D9380B"/>
    <w:rsid w:val="00D93C9D"/>
    <w:rsid w:val="00D94D98"/>
    <w:rsid w:val="00D97D00"/>
    <w:rsid w:val="00DA1124"/>
    <w:rsid w:val="00DA24C7"/>
    <w:rsid w:val="00DA2BE7"/>
    <w:rsid w:val="00DA3BFE"/>
    <w:rsid w:val="00DA4C6A"/>
    <w:rsid w:val="00DA5B9B"/>
    <w:rsid w:val="00DA780B"/>
    <w:rsid w:val="00DA7A0C"/>
    <w:rsid w:val="00DB33CF"/>
    <w:rsid w:val="00DB34F5"/>
    <w:rsid w:val="00DC38FE"/>
    <w:rsid w:val="00DC55B7"/>
    <w:rsid w:val="00DC6EC8"/>
    <w:rsid w:val="00DC7746"/>
    <w:rsid w:val="00DC79D6"/>
    <w:rsid w:val="00DC7EE4"/>
    <w:rsid w:val="00DD120C"/>
    <w:rsid w:val="00DD75A3"/>
    <w:rsid w:val="00DE02AE"/>
    <w:rsid w:val="00DE438A"/>
    <w:rsid w:val="00DE6A0C"/>
    <w:rsid w:val="00DE6C04"/>
    <w:rsid w:val="00DE6DD5"/>
    <w:rsid w:val="00DE7DA7"/>
    <w:rsid w:val="00DF1D7F"/>
    <w:rsid w:val="00DF2F50"/>
    <w:rsid w:val="00DF5AFC"/>
    <w:rsid w:val="00E0205A"/>
    <w:rsid w:val="00E02FB4"/>
    <w:rsid w:val="00E05B04"/>
    <w:rsid w:val="00E06A1B"/>
    <w:rsid w:val="00E1165A"/>
    <w:rsid w:val="00E13033"/>
    <w:rsid w:val="00E1340C"/>
    <w:rsid w:val="00E2020C"/>
    <w:rsid w:val="00E20571"/>
    <w:rsid w:val="00E207D9"/>
    <w:rsid w:val="00E21651"/>
    <w:rsid w:val="00E235F7"/>
    <w:rsid w:val="00E239D4"/>
    <w:rsid w:val="00E30352"/>
    <w:rsid w:val="00E313A8"/>
    <w:rsid w:val="00E320FC"/>
    <w:rsid w:val="00E40B22"/>
    <w:rsid w:val="00E40BD2"/>
    <w:rsid w:val="00E41AD2"/>
    <w:rsid w:val="00E42068"/>
    <w:rsid w:val="00E4307C"/>
    <w:rsid w:val="00E4588F"/>
    <w:rsid w:val="00E46DA3"/>
    <w:rsid w:val="00E476C8"/>
    <w:rsid w:val="00E53933"/>
    <w:rsid w:val="00E56EB2"/>
    <w:rsid w:val="00E57B71"/>
    <w:rsid w:val="00E61650"/>
    <w:rsid w:val="00E64C04"/>
    <w:rsid w:val="00E72FC4"/>
    <w:rsid w:val="00E734E8"/>
    <w:rsid w:val="00E81BC9"/>
    <w:rsid w:val="00E82203"/>
    <w:rsid w:val="00E85439"/>
    <w:rsid w:val="00E85D5D"/>
    <w:rsid w:val="00E860E0"/>
    <w:rsid w:val="00E86A1F"/>
    <w:rsid w:val="00E8778C"/>
    <w:rsid w:val="00E9008E"/>
    <w:rsid w:val="00E9579B"/>
    <w:rsid w:val="00E960B7"/>
    <w:rsid w:val="00E97275"/>
    <w:rsid w:val="00EA0A0F"/>
    <w:rsid w:val="00EA16DE"/>
    <w:rsid w:val="00EA2338"/>
    <w:rsid w:val="00EA406B"/>
    <w:rsid w:val="00EA5776"/>
    <w:rsid w:val="00EB0798"/>
    <w:rsid w:val="00EB28AE"/>
    <w:rsid w:val="00EB2F97"/>
    <w:rsid w:val="00EB34F1"/>
    <w:rsid w:val="00EB40AD"/>
    <w:rsid w:val="00EB4571"/>
    <w:rsid w:val="00EB586E"/>
    <w:rsid w:val="00EB5991"/>
    <w:rsid w:val="00EB5FC8"/>
    <w:rsid w:val="00EB74A7"/>
    <w:rsid w:val="00EC384E"/>
    <w:rsid w:val="00EC4910"/>
    <w:rsid w:val="00EC580A"/>
    <w:rsid w:val="00EC5A70"/>
    <w:rsid w:val="00ED5A41"/>
    <w:rsid w:val="00ED5D05"/>
    <w:rsid w:val="00ED6B23"/>
    <w:rsid w:val="00EE00CA"/>
    <w:rsid w:val="00EE2CC3"/>
    <w:rsid w:val="00EE34C0"/>
    <w:rsid w:val="00EE3577"/>
    <w:rsid w:val="00EE6F07"/>
    <w:rsid w:val="00EF071F"/>
    <w:rsid w:val="00EF1963"/>
    <w:rsid w:val="00EF3C6A"/>
    <w:rsid w:val="00EF40CE"/>
    <w:rsid w:val="00EF578B"/>
    <w:rsid w:val="00EF7B95"/>
    <w:rsid w:val="00F033EC"/>
    <w:rsid w:val="00F03B2F"/>
    <w:rsid w:val="00F04298"/>
    <w:rsid w:val="00F0438D"/>
    <w:rsid w:val="00F049A1"/>
    <w:rsid w:val="00F04F68"/>
    <w:rsid w:val="00F06A6D"/>
    <w:rsid w:val="00F10A73"/>
    <w:rsid w:val="00F10BD8"/>
    <w:rsid w:val="00F12670"/>
    <w:rsid w:val="00F14B27"/>
    <w:rsid w:val="00F16117"/>
    <w:rsid w:val="00F171A6"/>
    <w:rsid w:val="00F20118"/>
    <w:rsid w:val="00F22B52"/>
    <w:rsid w:val="00F23105"/>
    <w:rsid w:val="00F23F9C"/>
    <w:rsid w:val="00F25577"/>
    <w:rsid w:val="00F2700C"/>
    <w:rsid w:val="00F3148D"/>
    <w:rsid w:val="00F32D36"/>
    <w:rsid w:val="00F3509E"/>
    <w:rsid w:val="00F35298"/>
    <w:rsid w:val="00F3529E"/>
    <w:rsid w:val="00F41DCE"/>
    <w:rsid w:val="00F42FD8"/>
    <w:rsid w:val="00F443FD"/>
    <w:rsid w:val="00F46F9A"/>
    <w:rsid w:val="00F47D14"/>
    <w:rsid w:val="00F47E37"/>
    <w:rsid w:val="00F50ADC"/>
    <w:rsid w:val="00F50B5E"/>
    <w:rsid w:val="00F53E24"/>
    <w:rsid w:val="00F56D63"/>
    <w:rsid w:val="00F57897"/>
    <w:rsid w:val="00F630EC"/>
    <w:rsid w:val="00F640B6"/>
    <w:rsid w:val="00F647EA"/>
    <w:rsid w:val="00F65B15"/>
    <w:rsid w:val="00F70540"/>
    <w:rsid w:val="00F76802"/>
    <w:rsid w:val="00F77560"/>
    <w:rsid w:val="00F80E40"/>
    <w:rsid w:val="00F82FD4"/>
    <w:rsid w:val="00F91585"/>
    <w:rsid w:val="00F923D6"/>
    <w:rsid w:val="00F942E9"/>
    <w:rsid w:val="00F95481"/>
    <w:rsid w:val="00F95CA6"/>
    <w:rsid w:val="00F9705F"/>
    <w:rsid w:val="00F97C0C"/>
    <w:rsid w:val="00FA029A"/>
    <w:rsid w:val="00FA05B0"/>
    <w:rsid w:val="00FA144A"/>
    <w:rsid w:val="00FA2018"/>
    <w:rsid w:val="00FA3338"/>
    <w:rsid w:val="00FA5B82"/>
    <w:rsid w:val="00FA639E"/>
    <w:rsid w:val="00FA7DF1"/>
    <w:rsid w:val="00FB1B89"/>
    <w:rsid w:val="00FB3817"/>
    <w:rsid w:val="00FC03C8"/>
    <w:rsid w:val="00FC25E4"/>
    <w:rsid w:val="00FC42B9"/>
    <w:rsid w:val="00FC4EF7"/>
    <w:rsid w:val="00FC5178"/>
    <w:rsid w:val="00FC574F"/>
    <w:rsid w:val="00FC59CE"/>
    <w:rsid w:val="00FD03B4"/>
    <w:rsid w:val="00FD56A0"/>
    <w:rsid w:val="00FD5947"/>
    <w:rsid w:val="00FD5D5C"/>
    <w:rsid w:val="00FD62E3"/>
    <w:rsid w:val="00FD6E3E"/>
    <w:rsid w:val="00FD77FF"/>
    <w:rsid w:val="00FE1DEE"/>
    <w:rsid w:val="00FE328D"/>
    <w:rsid w:val="00FE705F"/>
    <w:rsid w:val="00FE70A0"/>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645E7007"/>
  <w15:docId w15:val="{93064882-CE13-43FB-8785-94FDC947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C6EC8"/>
    <w:pPr>
      <w:numPr>
        <w:numId w:val="3"/>
      </w:numPr>
      <w:spacing w:line="240" w:lineRule="auto"/>
    </w:pPr>
  </w:style>
  <w:style w:type="paragraph" w:styleId="ListBullet2">
    <w:name w:val="List Bullet 2"/>
    <w:basedOn w:val="Normal"/>
    <w:uiPriority w:val="2"/>
    <w:qFormat/>
    <w:rsid w:val="00E30352"/>
    <w:pPr>
      <w:numPr>
        <w:ilvl w:val="1"/>
        <w:numId w:val="1"/>
      </w:numPr>
      <w:spacing w:before="0" w:after="200" w:line="240" w:lineRule="auto"/>
      <w:ind w:left="850" w:hanging="425"/>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8"/>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F40CE"/>
    <w:rPr>
      <w:i/>
      <w:iCs/>
    </w:rPr>
  </w:style>
  <w:style w:type="paragraph" w:styleId="NoSpacing">
    <w:name w:val="No Spacing"/>
    <w:uiPriority w:val="1"/>
    <w:qFormat/>
    <w:rsid w:val="00BC14E1"/>
    <w:pPr>
      <w:jc w:val="both"/>
    </w:pPr>
    <w:rPr>
      <w:rFonts w:asciiTheme="minorHAnsi" w:eastAsiaTheme="minorEastAsia" w:hAnsiTheme="minorHAnsi" w:cstheme="minorBidi"/>
      <w:sz w:val="22"/>
      <w:szCs w:val="22"/>
    </w:rPr>
  </w:style>
  <w:style w:type="table" w:customStyle="1" w:styleId="TableTGAblue1">
    <w:name w:val="Table TGA blue1"/>
    <w:basedOn w:val="TableNormal"/>
    <w:uiPriority w:val="99"/>
    <w:qFormat/>
    <w:rsid w:val="00C3646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Paragraph">
    <w:name w:val="Table Paragraph"/>
    <w:basedOn w:val="Normal"/>
    <w:uiPriority w:val="1"/>
    <w:qFormat/>
    <w:rsid w:val="00A25978"/>
    <w:pPr>
      <w:widowControl w:val="0"/>
      <w:autoSpaceDE w:val="0"/>
      <w:autoSpaceDN w:val="0"/>
      <w:spacing w:before="126" w:after="0" w:line="240" w:lineRule="auto"/>
      <w:ind w:left="109"/>
    </w:pPr>
    <w:rPr>
      <w:rFonts w:asciiTheme="minorHAnsi" w:eastAsiaTheme="minorHAnsi" w:hAnsiTheme="minorHAnsi" w:cs="Cambria"/>
      <w:sz w:val="20"/>
      <w:szCs w:val="22"/>
      <w:lang w:val="en-US"/>
    </w:rPr>
  </w:style>
  <w:style w:type="paragraph" w:styleId="ListNumber">
    <w:name w:val="List Number"/>
    <w:basedOn w:val="Normal"/>
    <w:uiPriority w:val="99"/>
    <w:unhideWhenUsed/>
    <w:rsid w:val="00A25978"/>
    <w:pPr>
      <w:tabs>
        <w:tab w:val="num" w:pos="432"/>
        <w:tab w:val="num" w:pos="720"/>
        <w:tab w:val="left" w:pos="1440"/>
      </w:tabs>
      <w:spacing w:before="0" w:after="240" w:line="240" w:lineRule="auto"/>
      <w:ind w:left="360" w:hanging="360"/>
      <w:contextualSpacing/>
    </w:pPr>
    <w:rPr>
      <w:rFonts w:asciiTheme="majorHAnsi" w:eastAsia="Times New Roman" w:hAnsiTheme="majorHAnsi" w:cstheme="minorBidi"/>
      <w:szCs w:val="22"/>
      <w:lang w:eastAsia="en-AU"/>
    </w:rPr>
  </w:style>
  <w:style w:type="paragraph" w:customStyle="1" w:styleId="Numberbullet2a">
    <w:name w:val="Number bullet 2 a)"/>
    <w:basedOn w:val="Normal"/>
    <w:uiPriority w:val="1"/>
    <w:qFormat/>
    <w:rsid w:val="006A36C1"/>
    <w:pPr>
      <w:numPr>
        <w:numId w:val="9"/>
      </w:numPr>
      <w:ind w:left="851" w:hanging="425"/>
    </w:pPr>
    <w:rPr>
      <w:rFonts w:asciiTheme="minorHAnsi" w:hAnsiTheme="minorHAnsi" w:cstheme="minorHAnsi"/>
    </w:rPr>
  </w:style>
  <w:style w:type="paragraph" w:customStyle="1" w:styleId="Numberbulletreda">
    <w:name w:val="Number bullet red a)"/>
    <w:basedOn w:val="Normal"/>
    <w:uiPriority w:val="1"/>
    <w:qFormat/>
    <w:rsid w:val="001E6BA7"/>
    <w:pPr>
      <w:numPr>
        <w:numId w:val="13"/>
      </w:numPr>
    </w:pPr>
    <w:rPr>
      <w:rFonts w:asciiTheme="minorHAnsi" w:hAnsiTheme="minorHAnsi" w:cstheme="minorHAnsi"/>
      <w:color w:val="FF0000"/>
    </w:rPr>
  </w:style>
  <w:style w:type="paragraph" w:customStyle="1" w:styleId="Numberbulletred1">
    <w:name w:val="Number bullet red 1)"/>
    <w:basedOn w:val="Normal"/>
    <w:uiPriority w:val="1"/>
    <w:qFormat/>
    <w:rsid w:val="005D3871"/>
    <w:pPr>
      <w:numPr>
        <w:numId w:val="15"/>
      </w:numPr>
    </w:pPr>
    <w:rPr>
      <w:color w:val="FF0000"/>
    </w:rPr>
  </w:style>
  <w:style w:type="paragraph" w:customStyle="1" w:styleId="Numberbullet3i">
    <w:name w:val="Number bullet 3 i)"/>
    <w:basedOn w:val="Normal"/>
    <w:uiPriority w:val="1"/>
    <w:qFormat/>
    <w:rsid w:val="009A49EF"/>
    <w:pPr>
      <w:numPr>
        <w:numId w:val="19"/>
      </w:numPr>
      <w:ind w:left="1276" w:hanging="425"/>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2637">
      <w:bodyDiv w:val="1"/>
      <w:marLeft w:val="0"/>
      <w:marRight w:val="0"/>
      <w:marTop w:val="0"/>
      <w:marBottom w:val="0"/>
      <w:divBdr>
        <w:top w:val="none" w:sz="0" w:space="0" w:color="auto"/>
        <w:left w:val="none" w:sz="0" w:space="0" w:color="auto"/>
        <w:bottom w:val="none" w:sz="0" w:space="0" w:color="auto"/>
        <w:right w:val="none" w:sz="0" w:space="0" w:color="auto"/>
      </w:divBdr>
    </w:div>
    <w:div w:id="144932044">
      <w:bodyDiv w:val="1"/>
      <w:marLeft w:val="0"/>
      <w:marRight w:val="0"/>
      <w:marTop w:val="0"/>
      <w:marBottom w:val="0"/>
      <w:divBdr>
        <w:top w:val="none" w:sz="0" w:space="0" w:color="auto"/>
        <w:left w:val="none" w:sz="0" w:space="0" w:color="auto"/>
        <w:bottom w:val="none" w:sz="0" w:space="0" w:color="auto"/>
        <w:right w:val="none" w:sz="0" w:space="0" w:color="auto"/>
      </w:divBdr>
    </w:div>
    <w:div w:id="152645727">
      <w:bodyDiv w:val="1"/>
      <w:marLeft w:val="0"/>
      <w:marRight w:val="0"/>
      <w:marTop w:val="0"/>
      <w:marBottom w:val="0"/>
      <w:divBdr>
        <w:top w:val="none" w:sz="0" w:space="0" w:color="auto"/>
        <w:left w:val="none" w:sz="0" w:space="0" w:color="auto"/>
        <w:bottom w:val="none" w:sz="0" w:space="0" w:color="auto"/>
        <w:right w:val="none" w:sz="0" w:space="0" w:color="auto"/>
      </w:divBdr>
    </w:div>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404492615">
      <w:bodyDiv w:val="1"/>
      <w:marLeft w:val="0"/>
      <w:marRight w:val="0"/>
      <w:marTop w:val="0"/>
      <w:marBottom w:val="0"/>
      <w:divBdr>
        <w:top w:val="none" w:sz="0" w:space="0" w:color="auto"/>
        <w:left w:val="none" w:sz="0" w:space="0" w:color="auto"/>
        <w:bottom w:val="none" w:sz="0" w:space="0" w:color="auto"/>
        <w:right w:val="none" w:sz="0" w:space="0" w:color="auto"/>
      </w:divBdr>
    </w:div>
    <w:div w:id="409036448">
      <w:bodyDiv w:val="1"/>
      <w:marLeft w:val="0"/>
      <w:marRight w:val="0"/>
      <w:marTop w:val="0"/>
      <w:marBottom w:val="0"/>
      <w:divBdr>
        <w:top w:val="none" w:sz="0" w:space="0" w:color="auto"/>
        <w:left w:val="none" w:sz="0" w:space="0" w:color="auto"/>
        <w:bottom w:val="none" w:sz="0" w:space="0" w:color="auto"/>
        <w:right w:val="none" w:sz="0" w:space="0" w:color="auto"/>
      </w:divBdr>
    </w:div>
    <w:div w:id="442966082">
      <w:bodyDiv w:val="1"/>
      <w:marLeft w:val="0"/>
      <w:marRight w:val="0"/>
      <w:marTop w:val="0"/>
      <w:marBottom w:val="0"/>
      <w:divBdr>
        <w:top w:val="none" w:sz="0" w:space="0" w:color="auto"/>
        <w:left w:val="none" w:sz="0" w:space="0" w:color="auto"/>
        <w:bottom w:val="none" w:sz="0" w:space="0" w:color="auto"/>
        <w:right w:val="none" w:sz="0" w:space="0" w:color="auto"/>
      </w:divBdr>
    </w:div>
    <w:div w:id="587424693">
      <w:bodyDiv w:val="1"/>
      <w:marLeft w:val="0"/>
      <w:marRight w:val="0"/>
      <w:marTop w:val="0"/>
      <w:marBottom w:val="0"/>
      <w:divBdr>
        <w:top w:val="none" w:sz="0" w:space="0" w:color="auto"/>
        <w:left w:val="none" w:sz="0" w:space="0" w:color="auto"/>
        <w:bottom w:val="none" w:sz="0" w:space="0" w:color="auto"/>
        <w:right w:val="none" w:sz="0" w:space="0" w:color="auto"/>
      </w:divBdr>
    </w:div>
    <w:div w:id="667514570">
      <w:bodyDiv w:val="1"/>
      <w:marLeft w:val="0"/>
      <w:marRight w:val="0"/>
      <w:marTop w:val="0"/>
      <w:marBottom w:val="0"/>
      <w:divBdr>
        <w:top w:val="none" w:sz="0" w:space="0" w:color="auto"/>
        <w:left w:val="none" w:sz="0" w:space="0" w:color="auto"/>
        <w:bottom w:val="none" w:sz="0" w:space="0" w:color="auto"/>
        <w:right w:val="none" w:sz="0" w:space="0" w:color="auto"/>
      </w:divBdr>
    </w:div>
    <w:div w:id="681248888">
      <w:bodyDiv w:val="1"/>
      <w:marLeft w:val="0"/>
      <w:marRight w:val="0"/>
      <w:marTop w:val="0"/>
      <w:marBottom w:val="0"/>
      <w:divBdr>
        <w:top w:val="none" w:sz="0" w:space="0" w:color="auto"/>
        <w:left w:val="none" w:sz="0" w:space="0" w:color="auto"/>
        <w:bottom w:val="none" w:sz="0" w:space="0" w:color="auto"/>
        <w:right w:val="none" w:sz="0" w:space="0" w:color="auto"/>
      </w:divBdr>
    </w:div>
    <w:div w:id="875433776">
      <w:bodyDiv w:val="1"/>
      <w:marLeft w:val="0"/>
      <w:marRight w:val="0"/>
      <w:marTop w:val="0"/>
      <w:marBottom w:val="0"/>
      <w:divBdr>
        <w:top w:val="none" w:sz="0" w:space="0" w:color="auto"/>
        <w:left w:val="none" w:sz="0" w:space="0" w:color="auto"/>
        <w:bottom w:val="none" w:sz="0" w:space="0" w:color="auto"/>
        <w:right w:val="none" w:sz="0" w:space="0" w:color="auto"/>
      </w:divBdr>
    </w:div>
    <w:div w:id="904491151">
      <w:bodyDiv w:val="1"/>
      <w:marLeft w:val="0"/>
      <w:marRight w:val="0"/>
      <w:marTop w:val="0"/>
      <w:marBottom w:val="0"/>
      <w:divBdr>
        <w:top w:val="none" w:sz="0" w:space="0" w:color="auto"/>
        <w:left w:val="none" w:sz="0" w:space="0" w:color="auto"/>
        <w:bottom w:val="none" w:sz="0" w:space="0" w:color="auto"/>
        <w:right w:val="none" w:sz="0" w:space="0" w:color="auto"/>
      </w:divBdr>
    </w:div>
    <w:div w:id="1003317079">
      <w:bodyDiv w:val="1"/>
      <w:marLeft w:val="0"/>
      <w:marRight w:val="0"/>
      <w:marTop w:val="0"/>
      <w:marBottom w:val="0"/>
      <w:divBdr>
        <w:top w:val="none" w:sz="0" w:space="0" w:color="auto"/>
        <w:left w:val="none" w:sz="0" w:space="0" w:color="auto"/>
        <w:bottom w:val="none" w:sz="0" w:space="0" w:color="auto"/>
        <w:right w:val="none" w:sz="0" w:space="0" w:color="auto"/>
      </w:divBdr>
    </w:div>
    <w:div w:id="1090538469">
      <w:bodyDiv w:val="1"/>
      <w:marLeft w:val="0"/>
      <w:marRight w:val="0"/>
      <w:marTop w:val="0"/>
      <w:marBottom w:val="0"/>
      <w:divBdr>
        <w:top w:val="none" w:sz="0" w:space="0" w:color="auto"/>
        <w:left w:val="none" w:sz="0" w:space="0" w:color="auto"/>
        <w:bottom w:val="none" w:sz="0" w:space="0" w:color="auto"/>
        <w:right w:val="none" w:sz="0" w:space="0" w:color="auto"/>
      </w:divBdr>
    </w:div>
    <w:div w:id="1149520493">
      <w:bodyDiv w:val="1"/>
      <w:marLeft w:val="0"/>
      <w:marRight w:val="0"/>
      <w:marTop w:val="0"/>
      <w:marBottom w:val="0"/>
      <w:divBdr>
        <w:top w:val="none" w:sz="0" w:space="0" w:color="auto"/>
        <w:left w:val="none" w:sz="0" w:space="0" w:color="auto"/>
        <w:bottom w:val="none" w:sz="0" w:space="0" w:color="auto"/>
        <w:right w:val="none" w:sz="0" w:space="0" w:color="auto"/>
      </w:divBdr>
    </w:div>
    <w:div w:id="1224290656">
      <w:bodyDiv w:val="1"/>
      <w:marLeft w:val="0"/>
      <w:marRight w:val="0"/>
      <w:marTop w:val="0"/>
      <w:marBottom w:val="0"/>
      <w:divBdr>
        <w:top w:val="none" w:sz="0" w:space="0" w:color="auto"/>
        <w:left w:val="none" w:sz="0" w:space="0" w:color="auto"/>
        <w:bottom w:val="none" w:sz="0" w:space="0" w:color="auto"/>
        <w:right w:val="none" w:sz="0" w:space="0" w:color="auto"/>
      </w:divBdr>
    </w:div>
    <w:div w:id="1237320543">
      <w:bodyDiv w:val="1"/>
      <w:marLeft w:val="0"/>
      <w:marRight w:val="0"/>
      <w:marTop w:val="0"/>
      <w:marBottom w:val="0"/>
      <w:divBdr>
        <w:top w:val="none" w:sz="0" w:space="0" w:color="auto"/>
        <w:left w:val="none" w:sz="0" w:space="0" w:color="auto"/>
        <w:bottom w:val="none" w:sz="0" w:space="0" w:color="auto"/>
        <w:right w:val="none" w:sz="0" w:space="0" w:color="auto"/>
      </w:divBdr>
    </w:div>
    <w:div w:id="1262449232">
      <w:bodyDiv w:val="1"/>
      <w:marLeft w:val="0"/>
      <w:marRight w:val="0"/>
      <w:marTop w:val="0"/>
      <w:marBottom w:val="0"/>
      <w:divBdr>
        <w:top w:val="none" w:sz="0" w:space="0" w:color="auto"/>
        <w:left w:val="none" w:sz="0" w:space="0" w:color="auto"/>
        <w:bottom w:val="none" w:sz="0" w:space="0" w:color="auto"/>
        <w:right w:val="none" w:sz="0" w:space="0" w:color="auto"/>
      </w:divBdr>
    </w:div>
    <w:div w:id="1334576912">
      <w:bodyDiv w:val="1"/>
      <w:marLeft w:val="0"/>
      <w:marRight w:val="0"/>
      <w:marTop w:val="0"/>
      <w:marBottom w:val="0"/>
      <w:divBdr>
        <w:top w:val="none" w:sz="0" w:space="0" w:color="auto"/>
        <w:left w:val="none" w:sz="0" w:space="0" w:color="auto"/>
        <w:bottom w:val="none" w:sz="0" w:space="0" w:color="auto"/>
        <w:right w:val="none" w:sz="0" w:space="0" w:color="auto"/>
      </w:divBdr>
    </w:div>
    <w:div w:id="1385180548">
      <w:bodyDiv w:val="1"/>
      <w:marLeft w:val="0"/>
      <w:marRight w:val="0"/>
      <w:marTop w:val="0"/>
      <w:marBottom w:val="0"/>
      <w:divBdr>
        <w:top w:val="none" w:sz="0" w:space="0" w:color="auto"/>
        <w:left w:val="none" w:sz="0" w:space="0" w:color="auto"/>
        <w:bottom w:val="none" w:sz="0" w:space="0" w:color="auto"/>
        <w:right w:val="none" w:sz="0" w:space="0" w:color="auto"/>
      </w:divBdr>
    </w:div>
    <w:div w:id="1441219190">
      <w:bodyDiv w:val="1"/>
      <w:marLeft w:val="0"/>
      <w:marRight w:val="0"/>
      <w:marTop w:val="0"/>
      <w:marBottom w:val="0"/>
      <w:divBdr>
        <w:top w:val="none" w:sz="0" w:space="0" w:color="auto"/>
        <w:left w:val="none" w:sz="0" w:space="0" w:color="auto"/>
        <w:bottom w:val="none" w:sz="0" w:space="0" w:color="auto"/>
        <w:right w:val="none" w:sz="0" w:space="0" w:color="auto"/>
      </w:divBdr>
    </w:div>
    <w:div w:id="1491554155">
      <w:bodyDiv w:val="1"/>
      <w:marLeft w:val="0"/>
      <w:marRight w:val="0"/>
      <w:marTop w:val="0"/>
      <w:marBottom w:val="0"/>
      <w:divBdr>
        <w:top w:val="none" w:sz="0" w:space="0" w:color="auto"/>
        <w:left w:val="none" w:sz="0" w:space="0" w:color="auto"/>
        <w:bottom w:val="none" w:sz="0" w:space="0" w:color="auto"/>
        <w:right w:val="none" w:sz="0" w:space="0" w:color="auto"/>
      </w:divBdr>
    </w:div>
    <w:div w:id="1497723170">
      <w:bodyDiv w:val="1"/>
      <w:marLeft w:val="0"/>
      <w:marRight w:val="0"/>
      <w:marTop w:val="0"/>
      <w:marBottom w:val="0"/>
      <w:divBdr>
        <w:top w:val="none" w:sz="0" w:space="0" w:color="auto"/>
        <w:left w:val="none" w:sz="0" w:space="0" w:color="auto"/>
        <w:bottom w:val="none" w:sz="0" w:space="0" w:color="auto"/>
        <w:right w:val="none" w:sz="0" w:space="0" w:color="auto"/>
      </w:divBdr>
    </w:div>
    <w:div w:id="1501849862">
      <w:bodyDiv w:val="1"/>
      <w:marLeft w:val="0"/>
      <w:marRight w:val="0"/>
      <w:marTop w:val="0"/>
      <w:marBottom w:val="0"/>
      <w:divBdr>
        <w:top w:val="none" w:sz="0" w:space="0" w:color="auto"/>
        <w:left w:val="none" w:sz="0" w:space="0" w:color="auto"/>
        <w:bottom w:val="none" w:sz="0" w:space="0" w:color="auto"/>
        <w:right w:val="none" w:sz="0" w:space="0" w:color="auto"/>
      </w:divBdr>
    </w:div>
    <w:div w:id="1558711345">
      <w:bodyDiv w:val="1"/>
      <w:marLeft w:val="0"/>
      <w:marRight w:val="0"/>
      <w:marTop w:val="0"/>
      <w:marBottom w:val="0"/>
      <w:divBdr>
        <w:top w:val="none" w:sz="0" w:space="0" w:color="auto"/>
        <w:left w:val="none" w:sz="0" w:space="0" w:color="auto"/>
        <w:bottom w:val="none" w:sz="0" w:space="0" w:color="auto"/>
        <w:right w:val="none" w:sz="0" w:space="0" w:color="auto"/>
      </w:divBdr>
    </w:div>
    <w:div w:id="1569029673">
      <w:bodyDiv w:val="1"/>
      <w:marLeft w:val="0"/>
      <w:marRight w:val="0"/>
      <w:marTop w:val="0"/>
      <w:marBottom w:val="0"/>
      <w:divBdr>
        <w:top w:val="none" w:sz="0" w:space="0" w:color="auto"/>
        <w:left w:val="none" w:sz="0" w:space="0" w:color="auto"/>
        <w:bottom w:val="none" w:sz="0" w:space="0" w:color="auto"/>
        <w:right w:val="none" w:sz="0" w:space="0" w:color="auto"/>
      </w:divBdr>
    </w:div>
    <w:div w:id="1592619899">
      <w:bodyDiv w:val="1"/>
      <w:marLeft w:val="0"/>
      <w:marRight w:val="0"/>
      <w:marTop w:val="0"/>
      <w:marBottom w:val="0"/>
      <w:divBdr>
        <w:top w:val="none" w:sz="0" w:space="0" w:color="auto"/>
        <w:left w:val="none" w:sz="0" w:space="0" w:color="auto"/>
        <w:bottom w:val="none" w:sz="0" w:space="0" w:color="auto"/>
        <w:right w:val="none" w:sz="0" w:space="0" w:color="auto"/>
      </w:divBdr>
    </w:div>
    <w:div w:id="1600992603">
      <w:bodyDiv w:val="1"/>
      <w:marLeft w:val="0"/>
      <w:marRight w:val="0"/>
      <w:marTop w:val="0"/>
      <w:marBottom w:val="0"/>
      <w:divBdr>
        <w:top w:val="none" w:sz="0" w:space="0" w:color="auto"/>
        <w:left w:val="none" w:sz="0" w:space="0" w:color="auto"/>
        <w:bottom w:val="none" w:sz="0" w:space="0" w:color="auto"/>
        <w:right w:val="none" w:sz="0" w:space="0" w:color="auto"/>
      </w:divBdr>
    </w:div>
    <w:div w:id="1686206421">
      <w:bodyDiv w:val="1"/>
      <w:marLeft w:val="0"/>
      <w:marRight w:val="0"/>
      <w:marTop w:val="0"/>
      <w:marBottom w:val="0"/>
      <w:divBdr>
        <w:top w:val="none" w:sz="0" w:space="0" w:color="auto"/>
        <w:left w:val="none" w:sz="0" w:space="0" w:color="auto"/>
        <w:bottom w:val="none" w:sz="0" w:space="0" w:color="auto"/>
        <w:right w:val="none" w:sz="0" w:space="0" w:color="auto"/>
      </w:divBdr>
    </w:div>
    <w:div w:id="1759211523">
      <w:bodyDiv w:val="1"/>
      <w:marLeft w:val="0"/>
      <w:marRight w:val="0"/>
      <w:marTop w:val="0"/>
      <w:marBottom w:val="0"/>
      <w:divBdr>
        <w:top w:val="none" w:sz="0" w:space="0" w:color="auto"/>
        <w:left w:val="none" w:sz="0" w:space="0" w:color="auto"/>
        <w:bottom w:val="none" w:sz="0" w:space="0" w:color="auto"/>
        <w:right w:val="none" w:sz="0" w:space="0" w:color="auto"/>
      </w:divBdr>
    </w:div>
    <w:div w:id="1856310515">
      <w:bodyDiv w:val="1"/>
      <w:marLeft w:val="0"/>
      <w:marRight w:val="0"/>
      <w:marTop w:val="0"/>
      <w:marBottom w:val="0"/>
      <w:divBdr>
        <w:top w:val="none" w:sz="0" w:space="0" w:color="auto"/>
        <w:left w:val="none" w:sz="0" w:space="0" w:color="auto"/>
        <w:bottom w:val="none" w:sz="0" w:space="0" w:color="auto"/>
        <w:right w:val="none" w:sz="0" w:space="0" w:color="auto"/>
      </w:divBdr>
    </w:div>
    <w:div w:id="18974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ccessdata.fda.gov/scripts/cder/daf/" TargetMode="External"/><Relationship Id="rId117" Type="http://schemas.openxmlformats.org/officeDocument/2006/relationships/hyperlink" Target="https://www.legislation.gov.au/Search/Therapeutic%20Goods%20$LB$Permissible%20Ingredients$RB$%20Determination" TargetMode="External"/><Relationship Id="rId21" Type="http://schemas.openxmlformats.org/officeDocument/2006/relationships/hyperlink" Target="https://portal.apvma.gov.au/pubcris" TargetMode="External"/><Relationship Id="rId42" Type="http://schemas.openxmlformats.org/officeDocument/2006/relationships/hyperlink" Target="https://www.accessdata.fda.gov/scripts/cder/daf/" TargetMode="External"/><Relationship Id="rId47" Type="http://schemas.openxmlformats.org/officeDocument/2006/relationships/hyperlink" Target="https://apps.tga.gov.au/PROD/DAEN/daen-entry.aspx" TargetMode="External"/><Relationship Id="rId63" Type="http://schemas.openxmlformats.org/officeDocument/2006/relationships/hyperlink" Target="https://www.legislation.gov.au/Details/F2019L00213" TargetMode="External"/><Relationship Id="rId68" Type="http://schemas.openxmlformats.org/officeDocument/2006/relationships/hyperlink" Target="https://www.medsafe.govt.nz/profs/class/classintro.asp" TargetMode="External"/><Relationship Id="rId84" Type="http://schemas.openxmlformats.org/officeDocument/2006/relationships/hyperlink" Target="https://www.hsa.ie/eng/Topics/Business_Licensing_and_Notification_Requirements/Chemicals/" TargetMode="External"/><Relationship Id="rId89" Type="http://schemas.openxmlformats.org/officeDocument/2006/relationships/hyperlink" Target="https://echa.europa.eu/substance-information/-/substanceinfo/100.170.873" TargetMode="External"/><Relationship Id="rId112" Type="http://schemas.openxmlformats.org/officeDocument/2006/relationships/hyperlink" Target="https://echa.europa.eu/substance-information/-/substanceinfo/100.204.505" TargetMode="External"/><Relationship Id="rId133" Type="http://schemas.openxmlformats.org/officeDocument/2006/relationships/hyperlink" Target="https://www.legislation.gov.au/Details/F2019L00213" TargetMode="External"/><Relationship Id="rId138" Type="http://schemas.openxmlformats.org/officeDocument/2006/relationships/hyperlink" Target="https://www.hpra.ie/homepage/medicines/medicines-information/find-a-medicine/results?page=1&amp;field=ACTIVESUBSTANCES&amp;query=Lidocaine" TargetMode="External"/><Relationship Id="rId154" Type="http://schemas.openxmlformats.org/officeDocument/2006/relationships/hyperlink" Target="https://www.foodstandards.gov.au/consumer/generalissues/hemp/Pages/default.aspx" TargetMode="External"/><Relationship Id="rId159" Type="http://schemas.openxmlformats.org/officeDocument/2006/relationships/hyperlink" Target="https://www.legislation.gov.au/Details/F2019L00213" TargetMode="External"/><Relationship Id="rId175" Type="http://schemas.openxmlformats.org/officeDocument/2006/relationships/footer" Target="footer2.xml"/><Relationship Id="rId170" Type="http://schemas.openxmlformats.org/officeDocument/2006/relationships/hyperlink" Target="https://www.tga.gov.au/committee/advisory-committee-medicines-scheduling-acms" TargetMode="External"/><Relationship Id="rId16" Type="http://schemas.openxmlformats.org/officeDocument/2006/relationships/hyperlink" Target="https://www.tga.gov.au/artg" TargetMode="External"/><Relationship Id="rId107" Type="http://schemas.openxmlformats.org/officeDocument/2006/relationships/hyperlink" Target="https://www.legislation.gov.au/Search/Therapeutic%20Goods%20$LB$Permissible%20Ingredients$RB$%20Determination" TargetMode="External"/><Relationship Id="rId11" Type="http://schemas.openxmlformats.org/officeDocument/2006/relationships/hyperlink" Target="mailto:tga.copyright@tga.gov.au" TargetMode="External"/><Relationship Id="rId32" Type="http://schemas.openxmlformats.org/officeDocument/2006/relationships/hyperlink" Target="https://www.tga.gov.au/artg" TargetMode="External"/><Relationship Id="rId37" Type="http://schemas.openxmlformats.org/officeDocument/2006/relationships/hyperlink" Target="https://portal.apvma.gov.au/pubcris" TargetMode="External"/><Relationship Id="rId53" Type="http://schemas.openxmlformats.org/officeDocument/2006/relationships/hyperlink" Target="https://apps.tga.gov.au/Prod/daen/daen-entry.aspx" TargetMode="External"/><Relationship Id="rId58" Type="http://schemas.openxmlformats.org/officeDocument/2006/relationships/hyperlink" Target="https://www.medsafe.govt.nz/profs/class/classintro.asp" TargetMode="External"/><Relationship Id="rId74" Type="http://schemas.openxmlformats.org/officeDocument/2006/relationships/hyperlink" Target="https://www.legislation.gov.au/Search/Therapeutic%20Goods%20$LB$Permissible%20Ingredients$RB$%20Determination" TargetMode="External"/><Relationship Id="rId79" Type="http://schemas.openxmlformats.org/officeDocument/2006/relationships/hyperlink" Target="https://apvma.gov.au/node/10946" TargetMode="External"/><Relationship Id="rId102" Type="http://schemas.openxmlformats.org/officeDocument/2006/relationships/hyperlink" Target="https://iaspub.epa.gov/apex/pesticides/f?p=chemicalsearch:1" TargetMode="External"/><Relationship Id="rId123" Type="http://schemas.openxmlformats.org/officeDocument/2006/relationships/hyperlink" Target="https://health-products.canada.ca/dpd-bdpp/index-eng.jsp" TargetMode="External"/><Relationship Id="rId128" Type="http://schemas.openxmlformats.org/officeDocument/2006/relationships/hyperlink" Target="http://www.animalwelfarestandards.net.au/" TargetMode="External"/><Relationship Id="rId144" Type="http://schemas.openxmlformats.org/officeDocument/2006/relationships/hyperlink" Target="https://www.legislation.gov.au/Search/Therapeutic%20Goods%20$LB$Permissible%20Ingredients$RB$%20Determination" TargetMode="External"/><Relationship Id="rId149" Type="http://schemas.openxmlformats.org/officeDocument/2006/relationships/hyperlink" Target="https://www.accessdata.fda.gov/scripts/cder/daf/index.cfm" TargetMode="External"/><Relationship Id="rId5" Type="http://schemas.openxmlformats.org/officeDocument/2006/relationships/webSettings" Target="webSettings.xml"/><Relationship Id="rId90" Type="http://schemas.openxmlformats.org/officeDocument/2006/relationships/hyperlink" Target="https://iaspub.epa.gov/apex/pesticides/f?p=CHEMICALSEARCH:3::::1,3,31,7,12,25:P3_XCHEMICAL_ID:1490" TargetMode="External"/><Relationship Id="rId95" Type="http://schemas.openxmlformats.org/officeDocument/2006/relationships/hyperlink" Target="https://www.tga.gov.au/book-page/52-lotilaner" TargetMode="External"/><Relationship Id="rId160" Type="http://schemas.openxmlformats.org/officeDocument/2006/relationships/hyperlink" Target="https://apps.tga.gov.au/Prod/daen/daen-entry.aspx" TargetMode="External"/><Relationship Id="rId165" Type="http://schemas.openxmlformats.org/officeDocument/2006/relationships/hyperlink" Target="https://www.medsafe.govt.nz/profs/class/classintro.asp" TargetMode="External"/><Relationship Id="rId22" Type="http://schemas.openxmlformats.org/officeDocument/2006/relationships/hyperlink" Target="https://apvma.gov.au/node/10946" TargetMode="External"/><Relationship Id="rId27" Type="http://schemas.openxmlformats.org/officeDocument/2006/relationships/hyperlink" Target="https://health-products.canada.ca/dpd-bdpp/index-eng.jsp" TargetMode="External"/><Relationship Id="rId43" Type="http://schemas.openxmlformats.org/officeDocument/2006/relationships/hyperlink" Target="https://health-products.canada.ca/dpd-bdpp/index-eng.jsp" TargetMode="External"/><Relationship Id="rId48" Type="http://schemas.openxmlformats.org/officeDocument/2006/relationships/hyperlink" Target="https://www.ebs.tga.gov.au/" TargetMode="External"/><Relationship Id="rId64" Type="http://schemas.openxmlformats.org/officeDocument/2006/relationships/hyperlink" Target="https://apps.tga.gov.au/Prod/daen/daen-entry.aspx" TargetMode="External"/><Relationship Id="rId69" Type="http://schemas.openxmlformats.org/officeDocument/2006/relationships/hyperlink" Target="https://www.who.int/ipcs/assessment/public_health/framework.pdf?ua=1" TargetMode="External"/><Relationship Id="rId113" Type="http://schemas.openxmlformats.org/officeDocument/2006/relationships/hyperlink" Target="https://ec.europa.eu/growth/tools-databases/cosing/index.cfm?fuseaction=search.details_v2&amp;id=93725" TargetMode="External"/><Relationship Id="rId118" Type="http://schemas.openxmlformats.org/officeDocument/2006/relationships/hyperlink" Target="https://www.tga.gov.au/prescribing-medicines-pregnancy-database" TargetMode="External"/><Relationship Id="rId134" Type="http://schemas.openxmlformats.org/officeDocument/2006/relationships/hyperlink" Target="https://apps.tga.gov.au/Prod/daen/daen-entry.aspx" TargetMode="External"/><Relationship Id="rId139" Type="http://schemas.openxmlformats.org/officeDocument/2006/relationships/hyperlink" Target="https://www.medsafe.govt.nz/profs/class/classintro.asp" TargetMode="External"/><Relationship Id="rId80" Type="http://schemas.openxmlformats.org/officeDocument/2006/relationships/hyperlink" Target="https://www.accessdata.fda.gov/scripts/cder/daf/" TargetMode="External"/><Relationship Id="rId85" Type="http://schemas.openxmlformats.org/officeDocument/2006/relationships/hyperlink" Target="https://www.cpsc.gov/Business--Manufacturing/Business-Education/Lead/Lead-in-Paint" TargetMode="External"/><Relationship Id="rId150" Type="http://schemas.openxmlformats.org/officeDocument/2006/relationships/hyperlink" Target="https://health-products.canada.ca/dpd-bdpp/index-eng.jsp" TargetMode="External"/><Relationship Id="rId155" Type="http://schemas.openxmlformats.org/officeDocument/2006/relationships/hyperlink" Target="https://www.ebs.tga.gov.au/" TargetMode="External"/><Relationship Id="rId171" Type="http://schemas.openxmlformats.org/officeDocument/2006/relationships/hyperlink" Target="https://www.tga.gov.au/committee/advisory-committee-chemicals-scheduling-accs" TargetMode="External"/><Relationship Id="rId176" Type="http://schemas.openxmlformats.org/officeDocument/2006/relationships/header" Target="header4.xml"/><Relationship Id="rId12" Type="http://schemas.openxmlformats.org/officeDocument/2006/relationships/hyperlink" Target="https://www.tga.gov.au/sites/default/files/consultation-proposed-schedule-3-substances-to-be-added-to-appendix-h-of-the-poisons-standard.pdf" TargetMode="External"/><Relationship Id="rId17" Type="http://schemas.openxmlformats.org/officeDocument/2006/relationships/hyperlink" Target="https://www.legislation.gov.au/Search/Therapeutic%20Goods%20$LB$Permissible%20Ingredients$RB$%20Determination" TargetMode="External"/><Relationship Id="rId33" Type="http://schemas.openxmlformats.org/officeDocument/2006/relationships/hyperlink" Target="https://www.legislation.gov.au/Search/Therapeutic%20Goods%20$LB$Permissible%20Ingredients$RB$%20Determination" TargetMode="External"/><Relationship Id="rId38" Type="http://schemas.openxmlformats.org/officeDocument/2006/relationships/hyperlink" Target="https://apvma.gov.au/node/10946" TargetMode="External"/><Relationship Id="rId59" Type="http://schemas.openxmlformats.org/officeDocument/2006/relationships/hyperlink" Target="https://www.ebs.tga.gov.au/" TargetMode="External"/><Relationship Id="rId103" Type="http://schemas.openxmlformats.org/officeDocument/2006/relationships/hyperlink" Target="https://pesticide-registry.canada.ca/en/active-ingredient-search.html" TargetMode="External"/><Relationship Id="rId108" Type="http://schemas.openxmlformats.org/officeDocument/2006/relationships/hyperlink" Target="https://www.tga.gov.au/prescribing-medicines-pregnancy-database" TargetMode="External"/><Relationship Id="rId124" Type="http://schemas.openxmlformats.org/officeDocument/2006/relationships/hyperlink" Target="https://www.medsafe.govt.nz/profs/class/classintro.asp" TargetMode="External"/><Relationship Id="rId129" Type="http://schemas.openxmlformats.org/officeDocument/2006/relationships/hyperlink" Target="https://www.ebs.tga.gov.au/" TargetMode="External"/><Relationship Id="rId54" Type="http://schemas.openxmlformats.org/officeDocument/2006/relationships/hyperlink" Target="https://portal.apvma.gov.au/pubcris" TargetMode="External"/><Relationship Id="rId70" Type="http://schemas.openxmlformats.org/officeDocument/2006/relationships/hyperlink" Target="https://wedocs.unep.org/bitstream/handle/20.500.11822/30110/2019_Global_Update.pdf?sequence=1&amp;isAllowed=y" TargetMode="External"/><Relationship Id="rId75" Type="http://schemas.openxmlformats.org/officeDocument/2006/relationships/hyperlink" Target="https://www.tga.gov.au/prescribing-medicines-pregnancy-database" TargetMode="External"/><Relationship Id="rId91" Type="http://schemas.openxmlformats.org/officeDocument/2006/relationships/hyperlink" Target="https://www.epa.govt.nz/database-search/new-zealand-inventory-of-chemicals-nzioc/DatabaseSearchForm/?SiteDatabaseSearchFilters=36&amp;Keyword=cyflumetofen&amp;DatabaseType=NZIOC" TargetMode="External"/><Relationship Id="rId96" Type="http://schemas.openxmlformats.org/officeDocument/2006/relationships/hyperlink" Target="https://www.tga.gov.au/book-page/31-sarolaner" TargetMode="External"/><Relationship Id="rId140" Type="http://schemas.openxmlformats.org/officeDocument/2006/relationships/hyperlink" Target="https://ndarc.med.unsw.edu.au/sites/default/files/National%20EDRS%20Interview%20Report%202018_4.pdf" TargetMode="External"/><Relationship Id="rId145" Type="http://schemas.openxmlformats.org/officeDocument/2006/relationships/hyperlink" Target="https://www.tga.gov.au/prescribing-medicines-pregnancy-database" TargetMode="External"/><Relationship Id="rId161" Type="http://schemas.openxmlformats.org/officeDocument/2006/relationships/hyperlink" Target="https://portal.apvma.gov.au/pubcris" TargetMode="External"/><Relationship Id="rId166" Type="http://schemas.openxmlformats.org/officeDocument/2006/relationships/hyperlink" Target="https://www.mpi.govt.nz/growing-and-harvesting/plant-products/hemp-seeds-as-foo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ho.int/publications/i/item/WHOMVPEMPIAU2019.06" TargetMode="External"/><Relationship Id="rId28" Type="http://schemas.openxmlformats.org/officeDocument/2006/relationships/hyperlink" Target="https://www.medsafe.govt.nz/profs/class/classintro.asp" TargetMode="External"/><Relationship Id="rId49" Type="http://schemas.openxmlformats.org/officeDocument/2006/relationships/hyperlink" Target="https://www.tga.gov.au/artg" TargetMode="External"/><Relationship Id="rId114" Type="http://schemas.openxmlformats.org/officeDocument/2006/relationships/hyperlink" Target="https://www.epa.govt.nz/database-search/new-zealand-inventory-of-chemicals-nzioc/DatabaseSearchForm/?SiteDatabaseSearchFilters=36&amp;Keyword=cyflumetofen&amp;DatabaseType=NZIOC" TargetMode="External"/><Relationship Id="rId119" Type="http://schemas.openxmlformats.org/officeDocument/2006/relationships/hyperlink" Target="https://www.legislation.gov.au/Details/F2019L00213" TargetMode="External"/><Relationship Id="rId10" Type="http://schemas.openxmlformats.org/officeDocument/2006/relationships/header" Target="header2.xml"/><Relationship Id="rId31" Type="http://schemas.openxmlformats.org/officeDocument/2006/relationships/hyperlink" Target="https://www.ebs.tga.gov.au/" TargetMode="External"/><Relationship Id="rId44" Type="http://schemas.openxmlformats.org/officeDocument/2006/relationships/hyperlink" Target="https://www.hpra.ie/homepage/medicines/medicines-information/find-a-medicine/results?query=Chloramphenicol&amp;field=ACTIVESUBSTANCES" TargetMode="External"/><Relationship Id="rId52" Type="http://schemas.openxmlformats.org/officeDocument/2006/relationships/hyperlink" Target="https://www.legislation.gov.au/Details/F2019L00213" TargetMode="External"/><Relationship Id="rId60" Type="http://schemas.openxmlformats.org/officeDocument/2006/relationships/hyperlink" Target="https://www.tga.gov.au/artg" TargetMode="External"/><Relationship Id="rId65" Type="http://schemas.openxmlformats.org/officeDocument/2006/relationships/hyperlink" Target="https://portal.apvma.gov.au/pubcris" TargetMode="External"/><Relationship Id="rId73" Type="http://schemas.openxmlformats.org/officeDocument/2006/relationships/hyperlink" Target="https://www.tga.gov.au/artg" TargetMode="External"/><Relationship Id="rId78" Type="http://schemas.openxmlformats.org/officeDocument/2006/relationships/hyperlink" Target="https://portal.apvma.gov.au/pubcris" TargetMode="External"/><Relationship Id="rId81" Type="http://schemas.openxmlformats.org/officeDocument/2006/relationships/hyperlink" Target="https://health-products.canada.ca/dpd-bdpp/dispatch-repartition.do" TargetMode="External"/><Relationship Id="rId86" Type="http://schemas.openxmlformats.org/officeDocument/2006/relationships/hyperlink" Target="https://www.ebs.tga.gov.au/" TargetMode="External"/><Relationship Id="rId94" Type="http://schemas.openxmlformats.org/officeDocument/2006/relationships/hyperlink" Target="https://www.tga.gov.au/book-page/31-fluralaner-0" TargetMode="External"/><Relationship Id="rId99" Type="http://schemas.openxmlformats.org/officeDocument/2006/relationships/hyperlink" Target="https://portal.apvma.gov.au/pubcris" TargetMode="External"/><Relationship Id="rId101" Type="http://schemas.openxmlformats.org/officeDocument/2006/relationships/hyperlink" Target="https://www.efsa.europa.eu/en/search/site/bixlozone" TargetMode="External"/><Relationship Id="rId122" Type="http://schemas.openxmlformats.org/officeDocument/2006/relationships/hyperlink" Target="https://www.accessdata.fda.gov/scripts/cder/daf/" TargetMode="External"/><Relationship Id="rId130" Type="http://schemas.openxmlformats.org/officeDocument/2006/relationships/hyperlink" Target="https://www.tga.gov.au/artg" TargetMode="External"/><Relationship Id="rId135" Type="http://schemas.openxmlformats.org/officeDocument/2006/relationships/hyperlink" Target="https://portal.apvma.gov.au/pubcris" TargetMode="External"/><Relationship Id="rId143" Type="http://schemas.openxmlformats.org/officeDocument/2006/relationships/hyperlink" Target="https://www.tga.gov.au/artg" TargetMode="External"/><Relationship Id="rId148" Type="http://schemas.openxmlformats.org/officeDocument/2006/relationships/hyperlink" Target="https://portal.apvma.gov.au/pubcris" TargetMode="External"/><Relationship Id="rId151" Type="http://schemas.openxmlformats.org/officeDocument/2006/relationships/hyperlink" Target="https://www.medsafe.govt.nz/profs/class/classintro.asp" TargetMode="External"/><Relationship Id="rId156" Type="http://schemas.openxmlformats.org/officeDocument/2006/relationships/hyperlink" Target="https://www.tga.gov.au/artg" TargetMode="External"/><Relationship Id="rId164" Type="http://schemas.openxmlformats.org/officeDocument/2006/relationships/hyperlink" Target="https://health-products.canada.ca/dpd-bdpp/index-eng.jsp" TargetMode="External"/><Relationship Id="rId169" Type="http://schemas.openxmlformats.org/officeDocument/2006/relationships/hyperlink" Target="https://consultations.health.gov.au/tga/march_2021" TargetMode="External"/><Relationship Id="rId177"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yperlink" Target="https://www.tga.gov.au/public-submissions-scheduling-matters" TargetMode="External"/><Relationship Id="rId13" Type="http://schemas.openxmlformats.org/officeDocument/2006/relationships/hyperlink" Target="https://apps.tga.gov.au/PROD/DAEN/daen-entry.aspx" TargetMode="External"/><Relationship Id="rId18" Type="http://schemas.openxmlformats.org/officeDocument/2006/relationships/hyperlink" Target="https://www.tga.gov.au/prescribing-medicines-pregnancy-database" TargetMode="External"/><Relationship Id="rId39" Type="http://schemas.openxmlformats.org/officeDocument/2006/relationships/hyperlink" Target="https://www.safetyandquality.gov.au/sites/default/files/2020-04/priority_antibacterial_list_for_amr_containment_-_mar_2020.pdf" TargetMode="External"/><Relationship Id="rId109" Type="http://schemas.openxmlformats.org/officeDocument/2006/relationships/hyperlink" Target="https://www.legislation.gov.au/Details/F2019L00213" TargetMode="External"/><Relationship Id="rId34" Type="http://schemas.openxmlformats.org/officeDocument/2006/relationships/hyperlink" Target="https://www.tga.gov.au/prescribing-medicines-pregnancy-database" TargetMode="External"/><Relationship Id="rId50" Type="http://schemas.openxmlformats.org/officeDocument/2006/relationships/hyperlink" Target="https://www.legislation.gov.au/Search/Therapeutic%20Goods%20$LB$Permissible%20Ingredients$RB$%20Determination" TargetMode="External"/><Relationship Id="rId55" Type="http://schemas.openxmlformats.org/officeDocument/2006/relationships/hyperlink" Target="https://www.accessdata.fda.gov/scripts/cder/daf/" TargetMode="External"/><Relationship Id="rId76" Type="http://schemas.openxmlformats.org/officeDocument/2006/relationships/hyperlink" Target="https://www.legislation.gov.au/Details/F2019L00213" TargetMode="External"/><Relationship Id="rId97" Type="http://schemas.openxmlformats.org/officeDocument/2006/relationships/hyperlink" Target="https://www.ebs.tga.gov.au/" TargetMode="External"/><Relationship Id="rId104" Type="http://schemas.openxmlformats.org/officeDocument/2006/relationships/hyperlink" Target="https://epa.govt.nz/database-search/new-zealand-inventory-of-chemicals-nzioc/DatabaseSearchForm/?SiteDatabaseSearchFilters=36&amp;Keyword=bizlozone&amp;DatabaseType=NZIOC" TargetMode="External"/><Relationship Id="rId120" Type="http://schemas.openxmlformats.org/officeDocument/2006/relationships/hyperlink" Target="https://apps.tga.gov.au/Prod/daen/daen-entry.aspx" TargetMode="External"/><Relationship Id="rId125" Type="http://schemas.openxmlformats.org/officeDocument/2006/relationships/hyperlink" Target="https://www.hpra.ie/" TargetMode="External"/><Relationship Id="rId141" Type="http://schemas.openxmlformats.org/officeDocument/2006/relationships/hyperlink" Target="https://www.fda.gov/regulatory-information/laws-enforced-fda/federal-food-drug-and-cosmetic-act-fdc-act" TargetMode="External"/><Relationship Id="rId146" Type="http://schemas.openxmlformats.org/officeDocument/2006/relationships/hyperlink" Target="https://www.legislation.gov.au/Details/F2019L00213" TargetMode="External"/><Relationship Id="rId167" Type="http://schemas.openxmlformats.org/officeDocument/2006/relationships/hyperlink" Target="https://www.canada.ca/en/health-canada/services/drugs-medication/cannabis/about/cannabidiol.html" TargetMode="External"/><Relationship Id="rId7" Type="http://schemas.openxmlformats.org/officeDocument/2006/relationships/endnotes" Target="endnotes.xml"/><Relationship Id="rId71" Type="http://schemas.openxmlformats.org/officeDocument/2006/relationships/hyperlink" Target="https://wedocs.unep.org/bitstream/handle/20.500.11822/30110/2019_Global_Update.pdf?sequence=1&amp;isAllowed=y" TargetMode="External"/><Relationship Id="rId92" Type="http://schemas.openxmlformats.org/officeDocument/2006/relationships/hyperlink" Target="https://ec.europa.eu/food/plant/pesticides/eu-pesticides-database/public/?event=activesubstance.detail&amp;language=EN&amp;selectedID=2082" TargetMode="External"/><Relationship Id="rId162" Type="http://schemas.openxmlformats.org/officeDocument/2006/relationships/hyperlink" Target="https://www.odc.gov.au/hemp-products" TargetMode="External"/><Relationship Id="rId2" Type="http://schemas.openxmlformats.org/officeDocument/2006/relationships/numbering" Target="numbering.xml"/><Relationship Id="rId29" Type="http://schemas.openxmlformats.org/officeDocument/2006/relationships/hyperlink" Target="https://www.tga.gov.au/sites/default/files/consultation-proposed-schedule-3-substances-to-be-added-to-appendix-h-of-the-poisons-standard.pdf" TargetMode="External"/><Relationship Id="rId24" Type="http://schemas.openxmlformats.org/officeDocument/2006/relationships/hyperlink" Target="https://www.ema.europa.eu/en/documents/press-release/european-medicines-agency-recommends-changes-use-metoclopramide_en.pdf" TargetMode="External"/><Relationship Id="rId40" Type="http://schemas.openxmlformats.org/officeDocument/2006/relationships/hyperlink" Target="https://www.safetyandquality.gov.au/sites/default/files/2019-05/aura-2017-second-australian-report-on-antimicrobial-use-and-resistance-in-human-health.pdf" TargetMode="External"/><Relationship Id="rId45" Type="http://schemas.openxmlformats.org/officeDocument/2006/relationships/hyperlink" Target="https://www.medsafe.govt.nz/profs/class/classintro.asp" TargetMode="External"/><Relationship Id="rId66" Type="http://schemas.openxmlformats.org/officeDocument/2006/relationships/hyperlink" Target="https://www.accessdata.fda.gov/scripts/cder/daf/" TargetMode="External"/><Relationship Id="rId87" Type="http://schemas.openxmlformats.org/officeDocument/2006/relationships/hyperlink" Target="https://www.tga.gov.au/artg" TargetMode="External"/><Relationship Id="rId110" Type="http://schemas.openxmlformats.org/officeDocument/2006/relationships/hyperlink" Target="https://apps.tga.gov.au/Prod/daen/daen-entry.aspx" TargetMode="External"/><Relationship Id="rId115" Type="http://schemas.openxmlformats.org/officeDocument/2006/relationships/hyperlink" Target="https://www.ebs.tga.gov.au/" TargetMode="External"/><Relationship Id="rId131" Type="http://schemas.openxmlformats.org/officeDocument/2006/relationships/hyperlink" Target="https://www.legislation.gov.au/Search/Therapeutic%20Goods%20$LB$Permissible%20Ingredients$RB$%20Determination" TargetMode="External"/><Relationship Id="rId136" Type="http://schemas.openxmlformats.org/officeDocument/2006/relationships/hyperlink" Target="https://www.accessdata.fda.gov/scripts/cder/daf/" TargetMode="External"/><Relationship Id="rId157" Type="http://schemas.openxmlformats.org/officeDocument/2006/relationships/hyperlink" Target="https://www.legislation.gov.au/Search/Therapeutic%20Goods%20$LB$Permissible%20Ingredients$RB$%20Determination" TargetMode="External"/><Relationship Id="rId178" Type="http://schemas.openxmlformats.org/officeDocument/2006/relationships/fontTable" Target="fontTable.xml"/><Relationship Id="rId61" Type="http://schemas.openxmlformats.org/officeDocument/2006/relationships/hyperlink" Target="https://www.legislation.gov.au/Search/Therapeutic%20Goods%20$LB$Permissible%20Ingredients$RB$%20Determination" TargetMode="External"/><Relationship Id="rId82" Type="http://schemas.openxmlformats.org/officeDocument/2006/relationships/hyperlink" Target="https://www.medsafe.govt.nz/profs/class/classintro.asp" TargetMode="External"/><Relationship Id="rId152" Type="http://schemas.openxmlformats.org/officeDocument/2006/relationships/hyperlink" Target="https://www.hpra.ie/homepage/medicines" TargetMode="External"/><Relationship Id="rId173" Type="http://schemas.openxmlformats.org/officeDocument/2006/relationships/hyperlink" Target="https://www.tga.gov.au/scheduling-delegates-interim-decisions-invitations-further-comment" TargetMode="External"/><Relationship Id="rId19" Type="http://schemas.openxmlformats.org/officeDocument/2006/relationships/hyperlink" Target="https://www.legislation.gov.au/Details/F2019L00213" TargetMode="External"/><Relationship Id="rId14" Type="http://schemas.openxmlformats.org/officeDocument/2006/relationships/hyperlink" Target="https://www.ncbi.nlm.nih.gov/pmc/articles/PMC5438233/" TargetMode="External"/><Relationship Id="rId30" Type="http://schemas.openxmlformats.org/officeDocument/2006/relationships/hyperlink" Target="https://apps.tga.gov.au/PROD/DAEN/daen-entry.aspx" TargetMode="External"/><Relationship Id="rId35" Type="http://schemas.openxmlformats.org/officeDocument/2006/relationships/hyperlink" Target="https://www.legislation.gov.au/Details/F2019L00213" TargetMode="External"/><Relationship Id="rId56" Type="http://schemas.openxmlformats.org/officeDocument/2006/relationships/hyperlink" Target="https://health-products.canada.ca/dpd-bdpp/index-eng.jsp" TargetMode="External"/><Relationship Id="rId77" Type="http://schemas.openxmlformats.org/officeDocument/2006/relationships/hyperlink" Target="https://apps.tga.gov.au/Prod/daen/daen-entry.aspx" TargetMode="External"/><Relationship Id="rId100" Type="http://schemas.openxmlformats.org/officeDocument/2006/relationships/hyperlink" Target="https://echa.europa.eu/search-for-chemicals?p_p_id=disssimplesearch_WAR_disssearchportlet&amp;p_p_lifecycle=0&amp;_disssimplesearch_WAR_disssearchportlet_searchOccurred=true&amp;_disssimplesearch_WAR_disssearchportlet_sessionCriteriaId=dissSimpleSearchSessionParam101401563842726334" TargetMode="External"/><Relationship Id="rId105" Type="http://schemas.openxmlformats.org/officeDocument/2006/relationships/hyperlink" Target="https://www.ebs.tga.gov.au/" TargetMode="External"/><Relationship Id="rId126" Type="http://schemas.openxmlformats.org/officeDocument/2006/relationships/hyperlink" Target="http://www.epa.gov" TargetMode="External"/><Relationship Id="rId147" Type="http://schemas.openxmlformats.org/officeDocument/2006/relationships/hyperlink" Target="https://apps.tga.gov.au/Prod/daen/daen-entry.aspx" TargetMode="External"/><Relationship Id="rId168" Type="http://schemas.openxmlformats.org/officeDocument/2006/relationships/hyperlink" Target="https://www.fda.gov/food/cfsan-constituent-updates/fda-responds-three-gras-notices-hemp-seed-derived-ingredients-use-human-food" TargetMode="External"/><Relationship Id="rId8" Type="http://schemas.openxmlformats.org/officeDocument/2006/relationships/header" Target="header1.xml"/><Relationship Id="rId51" Type="http://schemas.openxmlformats.org/officeDocument/2006/relationships/hyperlink" Target="https://www.tga.gov.au/prescribing-medicines-pregnancy-database" TargetMode="External"/><Relationship Id="rId72" Type="http://schemas.openxmlformats.org/officeDocument/2006/relationships/hyperlink" Target="https://www.ebs.tga.gov.au/" TargetMode="External"/><Relationship Id="rId93" Type="http://schemas.openxmlformats.org/officeDocument/2006/relationships/hyperlink" Target="https://www.tga.gov.au/book-page/31-afoxolaner-and-milbemycin-oxime" TargetMode="External"/><Relationship Id="rId98" Type="http://schemas.openxmlformats.org/officeDocument/2006/relationships/hyperlink" Target="https://www.tga.gov.au/artg" TargetMode="External"/><Relationship Id="rId121" Type="http://schemas.openxmlformats.org/officeDocument/2006/relationships/hyperlink" Target="https://portal.apvma.gov.au/pubcris" TargetMode="External"/><Relationship Id="rId142" Type="http://schemas.openxmlformats.org/officeDocument/2006/relationships/hyperlink" Target="https://www.ebs.tga.gov.au/" TargetMode="External"/><Relationship Id="rId163" Type="http://schemas.openxmlformats.org/officeDocument/2006/relationships/hyperlink" Target="https://www.accessdata.fda.gov/scripts/cder/daf/" TargetMode="External"/><Relationship Id="rId3" Type="http://schemas.openxmlformats.org/officeDocument/2006/relationships/styles" Target="styles.xml"/><Relationship Id="rId25" Type="http://schemas.openxmlformats.org/officeDocument/2006/relationships/hyperlink" Target="https://www.hpra.ie/homepage/medicines/medicines-information/find-a-medicine/results?query=Metoclopramide+hydrochloride&amp;field=ACTIVESUBSTANCES" TargetMode="External"/><Relationship Id="rId46" Type="http://schemas.openxmlformats.org/officeDocument/2006/relationships/hyperlink" Target="https://www.tga.gov.au/sites/default/files/consultation-proposed-schedule-3-substances-to-be-added-to-appendix-h-of-the-poisons-standard.pdf" TargetMode="External"/><Relationship Id="rId67" Type="http://schemas.openxmlformats.org/officeDocument/2006/relationships/hyperlink" Target="https://health-products.canada.ca/dpd-bdpp/dispatch-repartition.do" TargetMode="External"/><Relationship Id="rId116" Type="http://schemas.openxmlformats.org/officeDocument/2006/relationships/hyperlink" Target="https://www.tga.gov.au/artg" TargetMode="External"/><Relationship Id="rId137" Type="http://schemas.openxmlformats.org/officeDocument/2006/relationships/hyperlink" Target="https://health-products.canada.ca/dpd-bdpp/index-eng.jsp" TargetMode="External"/><Relationship Id="rId158" Type="http://schemas.openxmlformats.org/officeDocument/2006/relationships/hyperlink" Target="https://www.tga.gov.au/prescribing-medicines-pregnancy-database" TargetMode="External"/><Relationship Id="rId20" Type="http://schemas.openxmlformats.org/officeDocument/2006/relationships/hyperlink" Target="https://apps.tga.gov.au/Prod/daen/daen-entry.aspx" TargetMode="External"/><Relationship Id="rId41" Type="http://schemas.openxmlformats.org/officeDocument/2006/relationships/hyperlink" Target="https://www.who.int/publications/i/item/WHOMVPEMPIAU2019.06" TargetMode="External"/><Relationship Id="rId62" Type="http://schemas.openxmlformats.org/officeDocument/2006/relationships/hyperlink" Target="https://www.tga.gov.au/prescribing-medicines-pregnancy-database" TargetMode="External"/><Relationship Id="rId83" Type="http://schemas.openxmlformats.org/officeDocument/2006/relationships/hyperlink" Target="https://echa.europa.eu/substance-information/-/substanceinfo/100.028.273" TargetMode="External"/><Relationship Id="rId88" Type="http://schemas.openxmlformats.org/officeDocument/2006/relationships/hyperlink" Target="https://portal.apvma.gov.au/pubcris" TargetMode="External"/><Relationship Id="rId111" Type="http://schemas.openxmlformats.org/officeDocument/2006/relationships/hyperlink" Target="https://portal.apvma.gov.au/pubcris" TargetMode="External"/><Relationship Id="rId132" Type="http://schemas.openxmlformats.org/officeDocument/2006/relationships/hyperlink" Target="https://www.tga.gov.au/prescribing-medicines-pregnancy-database" TargetMode="External"/><Relationship Id="rId153" Type="http://schemas.openxmlformats.org/officeDocument/2006/relationships/hyperlink" Target="https://www.odc.gov.au/hemp-products" TargetMode="External"/><Relationship Id="rId174" Type="http://schemas.openxmlformats.org/officeDocument/2006/relationships/header" Target="header3.xml"/><Relationship Id="rId179" Type="http://schemas.openxmlformats.org/officeDocument/2006/relationships/theme" Target="theme/theme1.xml"/><Relationship Id="rId15" Type="http://schemas.openxmlformats.org/officeDocument/2006/relationships/hyperlink" Target="https://www.ebs.tga.gov.au/" TargetMode="External"/><Relationship Id="rId36" Type="http://schemas.openxmlformats.org/officeDocument/2006/relationships/hyperlink" Target="https://apps.tga.gov.au/Prod/daen/daen-entry.aspx" TargetMode="External"/><Relationship Id="rId57" Type="http://schemas.openxmlformats.org/officeDocument/2006/relationships/hyperlink" Target="https://www.hpra.ie/homepage/medicines/medicines-information/find-a-medicine/results/item?pano=PA0540/127/005&amp;t=Stemetil%205mg%20Tablets" TargetMode="External"/><Relationship Id="rId106" Type="http://schemas.openxmlformats.org/officeDocument/2006/relationships/hyperlink" Target="https://www.tga.gov.au/artg" TargetMode="External"/><Relationship Id="rId127" Type="http://schemas.openxmlformats.org/officeDocument/2006/relationships/hyperlink" Target="https://echa.europa.e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medsafe.govt.nz/profs/class/classintro.asp" TargetMode="External"/><Relationship Id="rId117" Type="http://schemas.openxmlformats.org/officeDocument/2006/relationships/hyperlink" Target="https://www.hpra.ie/homepage/medicines" TargetMode="External"/><Relationship Id="rId21" Type="http://schemas.openxmlformats.org/officeDocument/2006/relationships/hyperlink" Target="https://portal.apvma.gov.au/pubcris" TargetMode="External"/><Relationship Id="rId42" Type="http://schemas.openxmlformats.org/officeDocument/2006/relationships/hyperlink" Target="https://www.legislation.gov.au/Search/Therapeutic%20Goods%20$LB$Permissible%20Ingredients$RB$%20Determination" TargetMode="External"/><Relationship Id="rId47" Type="http://schemas.openxmlformats.org/officeDocument/2006/relationships/hyperlink" Target="https://www.accessdata.fda.gov/scripts/cder/daf/" TargetMode="External"/><Relationship Id="rId63" Type="http://schemas.openxmlformats.org/officeDocument/2006/relationships/hyperlink" Target="https://www.cpsc.gov/Business--Manufacturing/Business-Education/Lead/Lead-in-Paint" TargetMode="External"/><Relationship Id="rId68" Type="http://schemas.openxmlformats.org/officeDocument/2006/relationships/hyperlink" Target="https://iaspub.epa.gov/apex/pesticides/f?p=CHEMICALSEARCH:3::::1,3,31,7,12,25:P3_XCHEMICAL_ID:1490" TargetMode="External"/><Relationship Id="rId84" Type="http://schemas.openxmlformats.org/officeDocument/2006/relationships/hyperlink" Target="https://apps.tga.gov.au/Prod/daen/daen-entry.aspx" TargetMode="External"/><Relationship Id="rId89" Type="http://schemas.openxmlformats.org/officeDocument/2006/relationships/hyperlink" Target="https://www.ebs.tga.gov.au/" TargetMode="External"/><Relationship Id="rId112" Type="http://schemas.openxmlformats.org/officeDocument/2006/relationships/hyperlink" Target="https://apps.tga.gov.au/Prod/daen/daen-entry.aspx" TargetMode="External"/><Relationship Id="rId16" Type="http://schemas.openxmlformats.org/officeDocument/2006/relationships/hyperlink" Target="https://www.tga.gov.au/artg" TargetMode="External"/><Relationship Id="rId107" Type="http://schemas.openxmlformats.org/officeDocument/2006/relationships/hyperlink" Target="https://www.ebs.tga.gov.au/" TargetMode="External"/><Relationship Id="rId11" Type="http://schemas.openxmlformats.org/officeDocument/2006/relationships/hyperlink" Target="https://www.accessdata.fda.gov/scripts/cder/daf/" TargetMode="External"/><Relationship Id="rId32" Type="http://schemas.openxmlformats.org/officeDocument/2006/relationships/hyperlink" Target="https://www.legislation.gov.au/Details/F2019L00213" TargetMode="External"/><Relationship Id="rId37" Type="http://schemas.openxmlformats.org/officeDocument/2006/relationships/hyperlink" Target="https://www.hpra.ie/homepage/medicines/medicines-information/find-a-medicine/results/item?pano=PA0540/127/005&amp;t=Stemetil%205mg%20Tablets" TargetMode="External"/><Relationship Id="rId53" Type="http://schemas.openxmlformats.org/officeDocument/2006/relationships/hyperlink" Target="https://www.tga.gov.au/prescribing-medicines-pregnancy-database" TargetMode="External"/><Relationship Id="rId58" Type="http://schemas.openxmlformats.org/officeDocument/2006/relationships/hyperlink" Target="https://www.accessdata.fda.gov/scripts/cder/daf/" TargetMode="External"/><Relationship Id="rId74" Type="http://schemas.openxmlformats.org/officeDocument/2006/relationships/hyperlink" Target="https://echa.europa.eu/search-for-chemicals?p_p_id=disssimplesearch_WAR_disssearchportlet&amp;p_p_lifecycle=0&amp;_disssimplesearch_WAR_disssearchportlet_searchOccurred=true&amp;_disssimplesearch_WAR_disssearchportlet_sessionCriteriaId=dissSimpleSearchSessionParam101401563842726334" TargetMode="External"/><Relationship Id="rId79" Type="http://schemas.openxmlformats.org/officeDocument/2006/relationships/hyperlink" Target="https://www.ebs.tga.gov.au/" TargetMode="External"/><Relationship Id="rId102" Type="http://schemas.openxmlformats.org/officeDocument/2006/relationships/hyperlink" Target="https://portal.apvma.gov.au/pubcris" TargetMode="External"/><Relationship Id="rId123" Type="http://schemas.openxmlformats.org/officeDocument/2006/relationships/hyperlink" Target="https://apps.tga.gov.au/Prod/daen/daen-entry.aspx" TargetMode="External"/><Relationship Id="rId128" Type="http://schemas.openxmlformats.org/officeDocument/2006/relationships/hyperlink" Target="https://www.medsafe.govt.nz/profs/class/classintro.asp" TargetMode="External"/><Relationship Id="rId5" Type="http://schemas.openxmlformats.org/officeDocument/2006/relationships/hyperlink" Target="https://www.legislation.gov.au/Details/F2019L00213" TargetMode="External"/><Relationship Id="rId90" Type="http://schemas.openxmlformats.org/officeDocument/2006/relationships/hyperlink" Target="https://www.tga.gov.au/artg" TargetMode="External"/><Relationship Id="rId95" Type="http://schemas.openxmlformats.org/officeDocument/2006/relationships/hyperlink" Target="https://portal.apvma.gov.au/pubcris" TargetMode="External"/><Relationship Id="rId19" Type="http://schemas.openxmlformats.org/officeDocument/2006/relationships/hyperlink" Target="https://www.legislation.gov.au/Details/F2019L00213" TargetMode="External"/><Relationship Id="rId14" Type="http://schemas.openxmlformats.org/officeDocument/2006/relationships/hyperlink" Target="https://www.medsafe.govt.nz/Consumers/PharmOnly.asp" TargetMode="External"/><Relationship Id="rId22" Type="http://schemas.openxmlformats.org/officeDocument/2006/relationships/hyperlink" Target="https://apvma.gov.au/node/10946" TargetMode="External"/><Relationship Id="rId27" Type="http://schemas.openxmlformats.org/officeDocument/2006/relationships/hyperlink" Target="https://www.medsafe.govt.nz/Consumers/PharmOnly.asp" TargetMode="External"/><Relationship Id="rId30" Type="http://schemas.openxmlformats.org/officeDocument/2006/relationships/hyperlink" Target="https://www.legislation.gov.au/Search/Therapeutic%20Goods%20$LB$Permissible%20Ingredients$RB$%20Determination" TargetMode="External"/><Relationship Id="rId35" Type="http://schemas.openxmlformats.org/officeDocument/2006/relationships/hyperlink" Target="https://www.accessdata.fda.gov/scripts/cder/daf/" TargetMode="External"/><Relationship Id="rId43" Type="http://schemas.openxmlformats.org/officeDocument/2006/relationships/hyperlink" Target="https://www.tga.gov.au/prescribing-medicines-pregnancy-database" TargetMode="External"/><Relationship Id="rId48" Type="http://schemas.openxmlformats.org/officeDocument/2006/relationships/hyperlink" Target="https://www.accessdata.fda.gov/scripts/cder/daf/" TargetMode="External"/><Relationship Id="rId56" Type="http://schemas.openxmlformats.org/officeDocument/2006/relationships/hyperlink" Target="https://portal.apvma.gov.au/pubcris" TargetMode="External"/><Relationship Id="rId64" Type="http://schemas.openxmlformats.org/officeDocument/2006/relationships/hyperlink" Target="https://www.ebs.tga.gov.au/" TargetMode="External"/><Relationship Id="rId69" Type="http://schemas.openxmlformats.org/officeDocument/2006/relationships/hyperlink" Target="https://www.epa.govt.nz/database-search/new-zealand-inventory-of-chemicals-nzioc/" TargetMode="External"/><Relationship Id="rId77" Type="http://schemas.openxmlformats.org/officeDocument/2006/relationships/hyperlink" Target="https://pesticide-registry.canada.ca/en/active-ingredient-search.html" TargetMode="External"/><Relationship Id="rId100" Type="http://schemas.openxmlformats.org/officeDocument/2006/relationships/hyperlink" Target="https://www.legislation.gov.au/Details/F2019L00213" TargetMode="External"/><Relationship Id="rId105" Type="http://schemas.openxmlformats.org/officeDocument/2006/relationships/hyperlink" Target="https://www.hpra.ie/homepage/medicines/medicines-information/find-a-medicine/results?page=1&amp;field=ACTIVESUBSTANCES&amp;query=Lidocaine" TargetMode="External"/><Relationship Id="rId113" Type="http://schemas.openxmlformats.org/officeDocument/2006/relationships/hyperlink" Target="https://portal.apvma.gov.au/pubcris" TargetMode="External"/><Relationship Id="rId118" Type="http://schemas.openxmlformats.org/officeDocument/2006/relationships/hyperlink" Target="https://www.ebs.tga.gov.au/" TargetMode="External"/><Relationship Id="rId126" Type="http://schemas.openxmlformats.org/officeDocument/2006/relationships/hyperlink" Target="https://www.accessdata.fda.gov/scripts/cder/daf/" TargetMode="External"/><Relationship Id="rId8" Type="http://schemas.openxmlformats.org/officeDocument/2006/relationships/hyperlink" Target="https://apvma.gov.au/node/10946" TargetMode="External"/><Relationship Id="rId51" Type="http://schemas.openxmlformats.org/officeDocument/2006/relationships/hyperlink" Target="https://www.tga.gov.au/artg" TargetMode="External"/><Relationship Id="rId72" Type="http://schemas.openxmlformats.org/officeDocument/2006/relationships/hyperlink" Target="https://www.tga.gov.au/artg" TargetMode="External"/><Relationship Id="rId80" Type="http://schemas.openxmlformats.org/officeDocument/2006/relationships/hyperlink" Target="https://www.tga.gov.au/artg" TargetMode="External"/><Relationship Id="rId85" Type="http://schemas.openxmlformats.org/officeDocument/2006/relationships/hyperlink" Target="https://portal.apvma.gov.au/pubcris" TargetMode="External"/><Relationship Id="rId93" Type="http://schemas.openxmlformats.org/officeDocument/2006/relationships/hyperlink" Target="https://www.legislation.gov.au/Details/F2019L00213" TargetMode="External"/><Relationship Id="rId98" Type="http://schemas.openxmlformats.org/officeDocument/2006/relationships/hyperlink" Target="https://www.legislation.gov.au/Search/Therapeutic%20Goods%20$LB$Permissible%20Ingredients$RB$%20Determination" TargetMode="External"/><Relationship Id="rId121" Type="http://schemas.openxmlformats.org/officeDocument/2006/relationships/hyperlink" Target="https://www.tga.gov.au/prescribing-medicines-pregnancy-database" TargetMode="External"/><Relationship Id="rId3" Type="http://schemas.openxmlformats.org/officeDocument/2006/relationships/hyperlink" Target="https://www.legislation.gov.au/Search/Therapeutic%20Goods%20$LB$Permissible%20Ingredients$RB$%20Determination" TargetMode="External"/><Relationship Id="rId12" Type="http://schemas.openxmlformats.org/officeDocument/2006/relationships/hyperlink" Target="https://health-products.canada.ca/dpd-bdpp/index-eng.jsp" TargetMode="External"/><Relationship Id="rId17" Type="http://schemas.openxmlformats.org/officeDocument/2006/relationships/hyperlink" Target="https://www.legislation.gov.au/Search/Therapeutic%20Goods%20$LB$Permissible%20Ingredients$RB$%20Determination" TargetMode="External"/><Relationship Id="rId25" Type="http://schemas.openxmlformats.org/officeDocument/2006/relationships/hyperlink" Target="https://www.hpra.ie/homepage/medicines/medicines-information/find-a-medicine/results?query=Chloramphenicol&amp;field=ACTIVESUBSTANCES" TargetMode="External"/><Relationship Id="rId33" Type="http://schemas.openxmlformats.org/officeDocument/2006/relationships/hyperlink" Target="https://apps.tga.gov.au/Prod/daen/daen-entry.aspx" TargetMode="External"/><Relationship Id="rId38" Type="http://schemas.openxmlformats.org/officeDocument/2006/relationships/hyperlink" Target="https://health-products.canada.ca/dpd-bdpp/index-eng.jsp" TargetMode="External"/><Relationship Id="rId46" Type="http://schemas.openxmlformats.org/officeDocument/2006/relationships/hyperlink" Target="https://portal.apvma.gov.au/pubcris" TargetMode="External"/><Relationship Id="rId59" Type="http://schemas.openxmlformats.org/officeDocument/2006/relationships/hyperlink" Target="https://www.accessdata.fda.gov/scripts/cder/daf/" TargetMode="External"/><Relationship Id="rId67" Type="http://schemas.openxmlformats.org/officeDocument/2006/relationships/hyperlink" Target="https://echa.europa.eu/substance-information/-/substanceinfo/100.170.873" TargetMode="External"/><Relationship Id="rId103" Type="http://schemas.openxmlformats.org/officeDocument/2006/relationships/hyperlink" Target="https://www.accessdata.fda.gov/scripts/cder/daf/" TargetMode="External"/><Relationship Id="rId108" Type="http://schemas.openxmlformats.org/officeDocument/2006/relationships/hyperlink" Target="https://www.tga.gov.au/artg" TargetMode="External"/><Relationship Id="rId116" Type="http://schemas.openxmlformats.org/officeDocument/2006/relationships/hyperlink" Target="https://www.medsafe.govt.nz/profs/class/classintro.asp" TargetMode="External"/><Relationship Id="rId124" Type="http://schemas.openxmlformats.org/officeDocument/2006/relationships/hyperlink" Target="https://portal.apvma.gov.au/pubcris" TargetMode="External"/><Relationship Id="rId129" Type="http://schemas.openxmlformats.org/officeDocument/2006/relationships/hyperlink" Target="https://www.canada.ca/en/health-canada/services/drugs-medication/cannabis/about/cannabidiol.html%23a9" TargetMode="External"/><Relationship Id="rId20" Type="http://schemas.openxmlformats.org/officeDocument/2006/relationships/hyperlink" Target="https://apps.tga.gov.au/Prod/daen/daen-entry.aspx" TargetMode="External"/><Relationship Id="rId41" Type="http://schemas.openxmlformats.org/officeDocument/2006/relationships/hyperlink" Target="https://www.tga.gov.au/artg" TargetMode="External"/><Relationship Id="rId54" Type="http://schemas.openxmlformats.org/officeDocument/2006/relationships/hyperlink" Target="https://www.legislation.gov.au/Details/F2019L00213" TargetMode="External"/><Relationship Id="rId62" Type="http://schemas.openxmlformats.org/officeDocument/2006/relationships/hyperlink" Target="https://www.hsa.ie/eng/Topics/Business_Licensing_and_Notification_Requirements/Chemicals/" TargetMode="External"/><Relationship Id="rId70" Type="http://schemas.openxmlformats.org/officeDocument/2006/relationships/hyperlink" Target="https://ec.europa.eu/food/plant/pesticides/eu-pesticides-database/public/?event=activesubstance.detail&amp;language=EN&amp;selectedID=2082" TargetMode="External"/><Relationship Id="rId75" Type="http://schemas.openxmlformats.org/officeDocument/2006/relationships/hyperlink" Target="https://www.efsa.europa.eu/en/search/site/bixlozone" TargetMode="External"/><Relationship Id="rId83" Type="http://schemas.openxmlformats.org/officeDocument/2006/relationships/hyperlink" Target="https://www.legislation.gov.au/Details/F2019L00213" TargetMode="External"/><Relationship Id="rId88" Type="http://schemas.openxmlformats.org/officeDocument/2006/relationships/hyperlink" Target="https://www.epa.govt.nz/database-search/new-zealand-inventory-of-chemicals-nzioc/" TargetMode="External"/><Relationship Id="rId91" Type="http://schemas.openxmlformats.org/officeDocument/2006/relationships/hyperlink" Target="https://www.legislation.gov.au/Search/Therapeutic%20Goods%20$LB$Permissible%20Ingredients$RB$%20Determination" TargetMode="External"/><Relationship Id="rId96" Type="http://schemas.openxmlformats.org/officeDocument/2006/relationships/hyperlink" Target="https://www.ebs.tga.gov.au/" TargetMode="External"/><Relationship Id="rId111" Type="http://schemas.openxmlformats.org/officeDocument/2006/relationships/hyperlink" Target="https://www.legislation.gov.au/Details/F2019L00213" TargetMode="External"/><Relationship Id="rId1" Type="http://schemas.openxmlformats.org/officeDocument/2006/relationships/hyperlink" Target="https://www.ebs.tga.gov.au/" TargetMode="External"/><Relationship Id="rId6" Type="http://schemas.openxmlformats.org/officeDocument/2006/relationships/hyperlink" Target="https://apps.tga.gov.au/Prod/daen/daen-entry.aspx" TargetMode="External"/><Relationship Id="rId15" Type="http://schemas.openxmlformats.org/officeDocument/2006/relationships/hyperlink" Target="https://www.ebs.tga.gov.au/" TargetMode="External"/><Relationship Id="rId23" Type="http://schemas.openxmlformats.org/officeDocument/2006/relationships/hyperlink" Target="https://www.accessdata.fda.gov/scripts/cder/daf/" TargetMode="External"/><Relationship Id="rId28" Type="http://schemas.openxmlformats.org/officeDocument/2006/relationships/hyperlink" Target="https://www.ebs.tga.gov.au/" TargetMode="External"/><Relationship Id="rId36" Type="http://schemas.openxmlformats.org/officeDocument/2006/relationships/hyperlink" Target="https://health-products.canada.ca/dpd-bdpp/index-eng.jsp" TargetMode="External"/><Relationship Id="rId49" Type="http://schemas.openxmlformats.org/officeDocument/2006/relationships/hyperlink" Target="https://www.medsafe.govt.nz/profs/class/classintro.asp" TargetMode="External"/><Relationship Id="rId57" Type="http://schemas.openxmlformats.org/officeDocument/2006/relationships/hyperlink" Target="https://apvma.gov.au/node/10946" TargetMode="External"/><Relationship Id="rId106" Type="http://schemas.openxmlformats.org/officeDocument/2006/relationships/hyperlink" Target="https://health-products.canada.ca/dpd-bdpp/index-eng.jsp" TargetMode="External"/><Relationship Id="rId114" Type="http://schemas.openxmlformats.org/officeDocument/2006/relationships/hyperlink" Target="https://www.accessdata.fda.gov/scripts/cder/daf/index.cfm" TargetMode="External"/><Relationship Id="rId119" Type="http://schemas.openxmlformats.org/officeDocument/2006/relationships/hyperlink" Target="https://www.tga.gov.au/artg" TargetMode="External"/><Relationship Id="rId127" Type="http://schemas.openxmlformats.org/officeDocument/2006/relationships/hyperlink" Target="https://health-products.canada.ca/dpd-bdpp/index-eng.jsp" TargetMode="External"/><Relationship Id="rId10" Type="http://schemas.openxmlformats.org/officeDocument/2006/relationships/hyperlink" Target="https://www.hpra.ie/homepage/medicines/medicines-information/find-a-medicine/results?query=Metoclopramide+hydrochloride&amp;field=ACTIVESUBSTANCES" TargetMode="External"/><Relationship Id="rId31" Type="http://schemas.openxmlformats.org/officeDocument/2006/relationships/hyperlink" Target="https://www.tga.gov.au/prescribing-medicines-pregnancy-database" TargetMode="External"/><Relationship Id="rId44" Type="http://schemas.openxmlformats.org/officeDocument/2006/relationships/hyperlink" Target="https://www.legislation.gov.au/Details/F2019L00213" TargetMode="External"/><Relationship Id="rId52" Type="http://schemas.openxmlformats.org/officeDocument/2006/relationships/hyperlink" Target="https://www.legislation.gov.au/Search/Therapeutic%20Goods%20$LB$Permissible%20Ingredients$RB$%20Determination" TargetMode="External"/><Relationship Id="rId60" Type="http://schemas.openxmlformats.org/officeDocument/2006/relationships/hyperlink" Target="https://www.medsafe.govt.nz/profs/class/classintro.asp" TargetMode="External"/><Relationship Id="rId65" Type="http://schemas.openxmlformats.org/officeDocument/2006/relationships/hyperlink" Target="https://www.tga.gov.au/artg" TargetMode="External"/><Relationship Id="rId73" Type="http://schemas.openxmlformats.org/officeDocument/2006/relationships/hyperlink" Target="https://portal.apvma.gov.au/pubcris" TargetMode="External"/><Relationship Id="rId78" Type="http://schemas.openxmlformats.org/officeDocument/2006/relationships/hyperlink" Target="https://epa.govt.nz/database-search/new-zealand-inventory-of-chemicals-nzioc/DatabaseSearchForm/?SiteDatabaseSearchFilters=36&amp;Keyword=bizlozone&amp;DatabaseType=NZIOC" TargetMode="External"/><Relationship Id="rId81" Type="http://schemas.openxmlformats.org/officeDocument/2006/relationships/hyperlink" Target="https://www.legislation.gov.au/Search/Therapeutic%20Goods%20$LB$Permissible%20Ingredients$RB$%20Determination" TargetMode="External"/><Relationship Id="rId86" Type="http://schemas.openxmlformats.org/officeDocument/2006/relationships/hyperlink" Target="https://echa.europa.eu/substance-information/-/substanceinfo/100.204.505" TargetMode="External"/><Relationship Id="rId94" Type="http://schemas.openxmlformats.org/officeDocument/2006/relationships/hyperlink" Target="https://apps.tga.gov.au/Prod/daen/daen-entry.aspx" TargetMode="External"/><Relationship Id="rId99" Type="http://schemas.openxmlformats.org/officeDocument/2006/relationships/hyperlink" Target="https://www.tga.gov.au/prescribing-medicines-pregnancy-database" TargetMode="External"/><Relationship Id="rId101" Type="http://schemas.openxmlformats.org/officeDocument/2006/relationships/hyperlink" Target="https://apps.tga.gov.au/Prod/daen/daen-entry.aspx" TargetMode="External"/><Relationship Id="rId122" Type="http://schemas.openxmlformats.org/officeDocument/2006/relationships/hyperlink" Target="https://www.legislation.gov.au/Details/F2019L00213" TargetMode="External"/><Relationship Id="rId130" Type="http://schemas.openxmlformats.org/officeDocument/2006/relationships/hyperlink" Target="https://www.fda.gov/food/cfsan-constituent-updates/fda-responds-three-gras-notices-hemp-seed-derived-ingredients-use-human-food" TargetMode="External"/><Relationship Id="rId4" Type="http://schemas.openxmlformats.org/officeDocument/2006/relationships/hyperlink" Target="https://www.tga.gov.au/prescribing-medicines-pregnancy-database" TargetMode="External"/><Relationship Id="rId9" Type="http://schemas.openxmlformats.org/officeDocument/2006/relationships/hyperlink" Target="https://www.ema.europa.eu/en/documents/press-release/european-medicines-agency-recommends-changes-use-metoclopramide_en.pdf" TargetMode="External"/><Relationship Id="rId13" Type="http://schemas.openxmlformats.org/officeDocument/2006/relationships/hyperlink" Target="https://www.medsafe.govt.nz/profs/class/classintro.asp" TargetMode="External"/><Relationship Id="rId18" Type="http://schemas.openxmlformats.org/officeDocument/2006/relationships/hyperlink" Target="https://www.tga.gov.au/prescribing-medicines-pregnancy-database" TargetMode="External"/><Relationship Id="rId39" Type="http://schemas.openxmlformats.org/officeDocument/2006/relationships/hyperlink" Target="https://www.medsafe.govt.nz/Consumers/PharmOnly.asp" TargetMode="External"/><Relationship Id="rId109" Type="http://schemas.openxmlformats.org/officeDocument/2006/relationships/hyperlink" Target="https://www.legislation.gov.au/Search/Therapeutic%20Goods%20$LB$Permissible%20Ingredients$RB$%20Determination" TargetMode="External"/><Relationship Id="rId34" Type="http://schemas.openxmlformats.org/officeDocument/2006/relationships/hyperlink" Target="https://portal.apvma.gov.au/pubcris" TargetMode="External"/><Relationship Id="rId50" Type="http://schemas.openxmlformats.org/officeDocument/2006/relationships/hyperlink" Target="https://www.ebs.tga.gov.au/" TargetMode="External"/><Relationship Id="rId55" Type="http://schemas.openxmlformats.org/officeDocument/2006/relationships/hyperlink" Target="https://apps.tga.gov.au/Prod/daen/daen-entry.aspx" TargetMode="External"/><Relationship Id="rId76" Type="http://schemas.openxmlformats.org/officeDocument/2006/relationships/hyperlink" Target="https://iaspub.epa.gov/apex/pesticides/f?p=chemicalsearch:1" TargetMode="External"/><Relationship Id="rId97" Type="http://schemas.openxmlformats.org/officeDocument/2006/relationships/hyperlink" Target="https://www.tga.gov.au/artg" TargetMode="External"/><Relationship Id="rId104" Type="http://schemas.openxmlformats.org/officeDocument/2006/relationships/hyperlink" Target="https://health-products.canada.ca/dpd-bdpp/index-eng.jsp" TargetMode="External"/><Relationship Id="rId120" Type="http://schemas.openxmlformats.org/officeDocument/2006/relationships/hyperlink" Target="https://www.legislation.gov.au/Search/Therapeutic%20Goods%20$LB$Permissible%20Ingredients$RB$%20Determination" TargetMode="External"/><Relationship Id="rId125" Type="http://schemas.openxmlformats.org/officeDocument/2006/relationships/hyperlink" Target="https://www.odc.gov.au/hemp-products" TargetMode="External"/><Relationship Id="rId7" Type="http://schemas.openxmlformats.org/officeDocument/2006/relationships/hyperlink" Target="https://portal.apvma.gov.au/pubcris" TargetMode="External"/><Relationship Id="rId71" Type="http://schemas.openxmlformats.org/officeDocument/2006/relationships/hyperlink" Target="https://www.ebs.tga.gov.au/" TargetMode="External"/><Relationship Id="rId92" Type="http://schemas.openxmlformats.org/officeDocument/2006/relationships/hyperlink" Target="https://www.tga.gov.au/prescribing-medicines-pregnancy-database" TargetMode="External"/><Relationship Id="rId2" Type="http://schemas.openxmlformats.org/officeDocument/2006/relationships/hyperlink" Target="https://www.tga.gov.au/artg" TargetMode="External"/><Relationship Id="rId29" Type="http://schemas.openxmlformats.org/officeDocument/2006/relationships/hyperlink" Target="https://www.tga.gov.au/artg" TargetMode="External"/><Relationship Id="rId24" Type="http://schemas.openxmlformats.org/officeDocument/2006/relationships/hyperlink" Target="https://health-products.canada.ca/dpd-bdpp/index-eng.jsp" TargetMode="External"/><Relationship Id="rId40" Type="http://schemas.openxmlformats.org/officeDocument/2006/relationships/hyperlink" Target="https://www.ebs.tga.gov.au/" TargetMode="External"/><Relationship Id="rId45" Type="http://schemas.openxmlformats.org/officeDocument/2006/relationships/hyperlink" Target="https://apps.tga.gov.au/Prod/daen/daen-entry.aspx" TargetMode="External"/><Relationship Id="rId66" Type="http://schemas.openxmlformats.org/officeDocument/2006/relationships/hyperlink" Target="https://portal.apvma.gov.au/pubcris" TargetMode="External"/><Relationship Id="rId87" Type="http://schemas.openxmlformats.org/officeDocument/2006/relationships/hyperlink" Target="https://ec.europa.eu/growth/tools-databases/cosing/index.cfm?fuseaction=search.details_v2&amp;id=93725" TargetMode="External"/><Relationship Id="rId110" Type="http://schemas.openxmlformats.org/officeDocument/2006/relationships/hyperlink" Target="https://www.tga.gov.au/prescribing-medicines-pregnancy-database" TargetMode="External"/><Relationship Id="rId115" Type="http://schemas.openxmlformats.org/officeDocument/2006/relationships/hyperlink" Target="https://health-products.canada.ca/dpd-bdpp/index-eng.jsp" TargetMode="External"/><Relationship Id="rId61" Type="http://schemas.openxmlformats.org/officeDocument/2006/relationships/hyperlink" Target="https://echa.europa.eu/substance-information/-/substanceinfo/100.028.273" TargetMode="External"/><Relationship Id="rId82" Type="http://schemas.openxmlformats.org/officeDocument/2006/relationships/hyperlink" Target="https://www.tga.gov.au/prescribing-medicines-pregnancy-databas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23689-9913-452C-AFA9-0697AE4C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512</TotalTime>
  <Pages>47</Pages>
  <Words>14110</Words>
  <Characters>80429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ACMS, ACCS and Joint ACMS/ACCS meetings, March 2021</dc:title>
  <dc:subject>scheduling</dc:subject>
  <dc:creator>Therapeutic Goods Administration</dc:creator>
  <cp:keywords/>
  <dc:description/>
  <cp:lastPrinted>2020-05-01T05:17:00Z</cp:lastPrinted>
  <dcterms:created xsi:type="dcterms:W3CDTF">2020-12-09T22:09:00Z</dcterms:created>
  <dcterms:modified xsi:type="dcterms:W3CDTF">2020-12-24T00:35:00Z</dcterms:modified>
</cp:coreProperties>
</file>