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EA59E4B" w14:textId="77777777" w:rsidTr="00ED0C8B">
        <w:tc>
          <w:tcPr>
            <w:tcW w:w="8720" w:type="dxa"/>
          </w:tcPr>
          <w:p w14:paraId="466C55AA" w14:textId="77777777" w:rsidR="00C50C4D" w:rsidRDefault="00207FDD" w:rsidP="00ED0C8B">
            <w:pPr>
              <w:pStyle w:val="Title"/>
            </w:pPr>
            <w:bookmarkStart w:id="0" w:name="_Hlk81902272"/>
            <w:r>
              <w:t xml:space="preserve">Consultation: Proposed amendments to the Poisons Standard – ACCS, ACMS and joint ACCS/ACMS meetings, </w:t>
            </w:r>
          </w:p>
          <w:p w14:paraId="3084B878" w14:textId="0ECF6BEE" w:rsidR="001D480A" w:rsidRPr="009401F6" w:rsidRDefault="00C50C4D" w:rsidP="00ED0C8B">
            <w:pPr>
              <w:pStyle w:val="Title"/>
            </w:pPr>
            <w:r>
              <w:t>November</w:t>
            </w:r>
            <w:r w:rsidR="00207FDD">
              <w:t xml:space="preserve"> 20</w:t>
            </w:r>
            <w:r>
              <w:t>21</w:t>
            </w:r>
            <w:bookmarkEnd w:id="0"/>
          </w:p>
        </w:tc>
      </w:tr>
      <w:tr w:rsidR="00ED0C8B" w:rsidRPr="009401F6" w14:paraId="14361E1D" w14:textId="77777777" w:rsidTr="00ED0C8B">
        <w:trPr>
          <w:trHeight w:val="1387"/>
        </w:trPr>
        <w:tc>
          <w:tcPr>
            <w:tcW w:w="8720" w:type="dxa"/>
          </w:tcPr>
          <w:p w14:paraId="62B6A71E" w14:textId="41AD2B86" w:rsidR="001D480A" w:rsidRPr="009401F6" w:rsidRDefault="001D480A" w:rsidP="00ED0C8B">
            <w:pPr>
              <w:pStyle w:val="Subtitle"/>
              <w:ind w:left="0"/>
              <w:rPr>
                <w:lang w:eastAsia="en-AU"/>
              </w:rPr>
            </w:pPr>
          </w:p>
        </w:tc>
      </w:tr>
      <w:tr w:rsidR="00ED0C8B" w:rsidRPr="009401F6" w14:paraId="30D49EC8" w14:textId="77777777" w:rsidTr="00ED0C8B">
        <w:tc>
          <w:tcPr>
            <w:tcW w:w="8720" w:type="dxa"/>
          </w:tcPr>
          <w:p w14:paraId="7B2E0DCE" w14:textId="2B6B80DB" w:rsidR="00ED0C8B" w:rsidRPr="009401F6" w:rsidRDefault="00ED0C8B" w:rsidP="00EB182C">
            <w:pPr>
              <w:pStyle w:val="Date"/>
              <w:rPr>
                <w:lang w:eastAsia="en-AU"/>
              </w:rPr>
            </w:pPr>
          </w:p>
        </w:tc>
      </w:tr>
    </w:tbl>
    <w:p w14:paraId="67DC3DBD" w14:textId="77777777" w:rsidR="00BA6FF1" w:rsidRPr="009401F6" w:rsidRDefault="00BA6FF1" w:rsidP="007C7B5B">
      <w:pPr>
        <w:rPr>
          <w:lang w:eastAsia="en-AU"/>
        </w:rPr>
      </w:pPr>
    </w:p>
    <w:p w14:paraId="073968C2"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0749FEF" w14:textId="77777777" w:rsidR="00BA6FF1" w:rsidRPr="005D4EA1" w:rsidRDefault="00BA6FF1" w:rsidP="00FE1941">
      <w:pPr>
        <w:pStyle w:val="LegalSubheading"/>
        <w:pageBreakBefore/>
      </w:pPr>
      <w:r w:rsidRPr="00691723">
        <w:lastRenderedPageBreak/>
        <w:t>Copyright</w:t>
      </w:r>
    </w:p>
    <w:p w14:paraId="55287C46" w14:textId="7777777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0D346B37" w14:textId="77777777" w:rsidR="008D2B09" w:rsidRPr="009401F6" w:rsidRDefault="008D2B09" w:rsidP="00611B57">
      <w:pPr>
        <w:pStyle w:val="LegalSubheading"/>
      </w:pPr>
      <w:r w:rsidRPr="009401F6">
        <w:t>Confidentiality</w:t>
      </w:r>
    </w:p>
    <w:p w14:paraId="2F01D208"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EndPr/>
      <w:sdtContent>
        <w:p w14:paraId="73E34775" w14:textId="77777777" w:rsidR="00B92C72" w:rsidRPr="009401F6" w:rsidRDefault="00B92C72" w:rsidP="00B92C72">
          <w:pPr>
            <w:pStyle w:val="NonTOCheading2"/>
          </w:pPr>
          <w:r w:rsidRPr="009401F6">
            <w:t>Contents</w:t>
          </w:r>
        </w:p>
        <w:p w14:paraId="3A10D4D7" w14:textId="5E162FC0" w:rsidR="009B6554" w:rsidRDefault="006C626D">
          <w:pPr>
            <w:pStyle w:val="TOC1"/>
            <w:tabs>
              <w:tab w:val="left" w:pos="425"/>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81903285" w:history="1">
            <w:r w:rsidR="009B6554" w:rsidRPr="00477F2B">
              <w:rPr>
                <w:rStyle w:val="Hyperlink"/>
                <w:noProof/>
              </w:rPr>
              <w:t>1</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Proposed amendments referred for scheduling advice to ACMS #35</w:t>
            </w:r>
            <w:r w:rsidR="009B6554">
              <w:rPr>
                <w:noProof/>
                <w:webHidden/>
              </w:rPr>
              <w:tab/>
            </w:r>
            <w:r w:rsidR="009B6554">
              <w:rPr>
                <w:noProof/>
                <w:webHidden/>
              </w:rPr>
              <w:fldChar w:fldCharType="begin"/>
            </w:r>
            <w:r w:rsidR="009B6554">
              <w:rPr>
                <w:noProof/>
                <w:webHidden/>
              </w:rPr>
              <w:instrText xml:space="preserve"> PAGEREF _Toc81903285 \h </w:instrText>
            </w:r>
            <w:r w:rsidR="009B6554">
              <w:rPr>
                <w:noProof/>
                <w:webHidden/>
              </w:rPr>
            </w:r>
            <w:r w:rsidR="009B6554">
              <w:rPr>
                <w:noProof/>
                <w:webHidden/>
              </w:rPr>
              <w:fldChar w:fldCharType="separate"/>
            </w:r>
            <w:r w:rsidR="009B6554">
              <w:rPr>
                <w:noProof/>
                <w:webHidden/>
              </w:rPr>
              <w:t>8</w:t>
            </w:r>
            <w:r w:rsidR="009B6554">
              <w:rPr>
                <w:noProof/>
                <w:webHidden/>
              </w:rPr>
              <w:fldChar w:fldCharType="end"/>
            </w:r>
          </w:hyperlink>
        </w:p>
        <w:p w14:paraId="32C20AEF" w14:textId="0C3E268A" w:rsidR="009B6554" w:rsidRDefault="00672188">
          <w:pPr>
            <w:pStyle w:val="TOC2"/>
            <w:tabs>
              <w:tab w:val="left" w:pos="1276"/>
            </w:tabs>
            <w:rPr>
              <w:rFonts w:asciiTheme="minorHAnsi" w:eastAsiaTheme="minorEastAsia" w:hAnsiTheme="minorHAnsi" w:cstheme="minorBidi"/>
              <w:b w:val="0"/>
              <w:noProof/>
              <w:sz w:val="22"/>
              <w:szCs w:val="22"/>
              <w:lang w:eastAsia="en-AU"/>
            </w:rPr>
          </w:pPr>
          <w:hyperlink w:anchor="_Toc81903286" w:history="1">
            <w:r w:rsidR="009B6554" w:rsidRPr="00477F2B">
              <w:rPr>
                <w:rStyle w:val="Hyperlink"/>
                <w:noProof/>
              </w:rPr>
              <w:t>1.1</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Astodrimer sodium</w:t>
            </w:r>
            <w:r w:rsidR="009B6554">
              <w:rPr>
                <w:noProof/>
                <w:webHidden/>
              </w:rPr>
              <w:tab/>
            </w:r>
            <w:r w:rsidR="009B6554">
              <w:rPr>
                <w:noProof/>
                <w:webHidden/>
              </w:rPr>
              <w:fldChar w:fldCharType="begin"/>
            </w:r>
            <w:r w:rsidR="009B6554">
              <w:rPr>
                <w:noProof/>
                <w:webHidden/>
              </w:rPr>
              <w:instrText xml:space="preserve"> PAGEREF _Toc81903286 \h </w:instrText>
            </w:r>
            <w:r w:rsidR="009B6554">
              <w:rPr>
                <w:noProof/>
                <w:webHidden/>
              </w:rPr>
            </w:r>
            <w:r w:rsidR="009B6554">
              <w:rPr>
                <w:noProof/>
                <w:webHidden/>
              </w:rPr>
              <w:fldChar w:fldCharType="separate"/>
            </w:r>
            <w:r w:rsidR="009B6554">
              <w:rPr>
                <w:noProof/>
                <w:webHidden/>
              </w:rPr>
              <w:t>8</w:t>
            </w:r>
            <w:r w:rsidR="009B6554">
              <w:rPr>
                <w:noProof/>
                <w:webHidden/>
              </w:rPr>
              <w:fldChar w:fldCharType="end"/>
            </w:r>
          </w:hyperlink>
        </w:p>
        <w:p w14:paraId="592A350F" w14:textId="4350ED51" w:rsidR="009B6554" w:rsidRDefault="00672188">
          <w:pPr>
            <w:pStyle w:val="TOC3"/>
            <w:rPr>
              <w:rFonts w:asciiTheme="minorHAnsi" w:eastAsiaTheme="minorEastAsia" w:hAnsiTheme="minorHAnsi" w:cstheme="minorBidi"/>
              <w:b w:val="0"/>
              <w:noProof/>
              <w:szCs w:val="22"/>
              <w:lang w:eastAsia="en-AU"/>
            </w:rPr>
          </w:pPr>
          <w:hyperlink w:anchor="_Toc81903287" w:history="1">
            <w:r w:rsidR="009B6554" w:rsidRPr="00477F2B">
              <w:rPr>
                <w:rStyle w:val="Hyperlink"/>
                <w:noProof/>
              </w:rPr>
              <w:t>Proposal</w:t>
            </w:r>
            <w:r w:rsidR="009B6554">
              <w:rPr>
                <w:noProof/>
                <w:webHidden/>
              </w:rPr>
              <w:tab/>
            </w:r>
            <w:r w:rsidR="009B6554">
              <w:rPr>
                <w:noProof/>
                <w:webHidden/>
              </w:rPr>
              <w:fldChar w:fldCharType="begin"/>
            </w:r>
            <w:r w:rsidR="009B6554">
              <w:rPr>
                <w:noProof/>
                <w:webHidden/>
              </w:rPr>
              <w:instrText xml:space="preserve"> PAGEREF _Toc81903287 \h </w:instrText>
            </w:r>
            <w:r w:rsidR="009B6554">
              <w:rPr>
                <w:noProof/>
                <w:webHidden/>
              </w:rPr>
            </w:r>
            <w:r w:rsidR="009B6554">
              <w:rPr>
                <w:noProof/>
                <w:webHidden/>
              </w:rPr>
              <w:fldChar w:fldCharType="separate"/>
            </w:r>
            <w:r w:rsidR="009B6554">
              <w:rPr>
                <w:noProof/>
                <w:webHidden/>
              </w:rPr>
              <w:t>8</w:t>
            </w:r>
            <w:r w:rsidR="009B6554">
              <w:rPr>
                <w:noProof/>
                <w:webHidden/>
              </w:rPr>
              <w:fldChar w:fldCharType="end"/>
            </w:r>
          </w:hyperlink>
        </w:p>
        <w:p w14:paraId="4342702B" w14:textId="720AB2D4" w:rsidR="009B6554" w:rsidRDefault="00672188">
          <w:pPr>
            <w:pStyle w:val="TOC3"/>
            <w:rPr>
              <w:rFonts w:asciiTheme="minorHAnsi" w:eastAsiaTheme="minorEastAsia" w:hAnsiTheme="minorHAnsi" w:cstheme="minorBidi"/>
              <w:b w:val="0"/>
              <w:noProof/>
              <w:szCs w:val="22"/>
              <w:lang w:eastAsia="en-AU"/>
            </w:rPr>
          </w:pPr>
          <w:hyperlink w:anchor="_Toc81903288" w:history="1">
            <w:r w:rsidR="009B6554" w:rsidRPr="00477F2B">
              <w:rPr>
                <w:rStyle w:val="Hyperlink"/>
                <w:noProof/>
              </w:rPr>
              <w:t>CAS Number:</w:t>
            </w:r>
            <w:r w:rsidR="009B6554">
              <w:rPr>
                <w:noProof/>
                <w:webHidden/>
              </w:rPr>
              <w:tab/>
            </w:r>
            <w:r w:rsidR="009B6554">
              <w:rPr>
                <w:noProof/>
                <w:webHidden/>
              </w:rPr>
              <w:fldChar w:fldCharType="begin"/>
            </w:r>
            <w:r w:rsidR="009B6554">
              <w:rPr>
                <w:noProof/>
                <w:webHidden/>
              </w:rPr>
              <w:instrText xml:space="preserve"> PAGEREF _Toc81903288 \h </w:instrText>
            </w:r>
            <w:r w:rsidR="009B6554">
              <w:rPr>
                <w:noProof/>
                <w:webHidden/>
              </w:rPr>
            </w:r>
            <w:r w:rsidR="009B6554">
              <w:rPr>
                <w:noProof/>
                <w:webHidden/>
              </w:rPr>
              <w:fldChar w:fldCharType="separate"/>
            </w:r>
            <w:r w:rsidR="009B6554">
              <w:rPr>
                <w:noProof/>
                <w:webHidden/>
              </w:rPr>
              <w:t>8</w:t>
            </w:r>
            <w:r w:rsidR="009B6554">
              <w:rPr>
                <w:noProof/>
                <w:webHidden/>
              </w:rPr>
              <w:fldChar w:fldCharType="end"/>
            </w:r>
          </w:hyperlink>
        </w:p>
        <w:p w14:paraId="66D5F4CA" w14:textId="62588DAC" w:rsidR="009B6554" w:rsidRDefault="00672188">
          <w:pPr>
            <w:pStyle w:val="TOC3"/>
            <w:rPr>
              <w:rFonts w:asciiTheme="minorHAnsi" w:eastAsiaTheme="minorEastAsia" w:hAnsiTheme="minorHAnsi" w:cstheme="minorBidi"/>
              <w:b w:val="0"/>
              <w:noProof/>
              <w:szCs w:val="22"/>
              <w:lang w:eastAsia="en-AU"/>
            </w:rPr>
          </w:pPr>
          <w:hyperlink w:anchor="_Toc81903289" w:history="1">
            <w:r w:rsidR="009B6554" w:rsidRPr="00477F2B">
              <w:rPr>
                <w:rStyle w:val="Hyperlink"/>
                <w:noProof/>
              </w:rPr>
              <w:t>Alternative names</w:t>
            </w:r>
            <w:r w:rsidR="009B6554">
              <w:rPr>
                <w:noProof/>
                <w:webHidden/>
              </w:rPr>
              <w:tab/>
            </w:r>
            <w:r w:rsidR="009B6554">
              <w:rPr>
                <w:noProof/>
                <w:webHidden/>
              </w:rPr>
              <w:fldChar w:fldCharType="begin"/>
            </w:r>
            <w:r w:rsidR="009B6554">
              <w:rPr>
                <w:noProof/>
                <w:webHidden/>
              </w:rPr>
              <w:instrText xml:space="preserve"> PAGEREF _Toc81903289 \h </w:instrText>
            </w:r>
            <w:r w:rsidR="009B6554">
              <w:rPr>
                <w:noProof/>
                <w:webHidden/>
              </w:rPr>
            </w:r>
            <w:r w:rsidR="009B6554">
              <w:rPr>
                <w:noProof/>
                <w:webHidden/>
              </w:rPr>
              <w:fldChar w:fldCharType="separate"/>
            </w:r>
            <w:r w:rsidR="009B6554">
              <w:rPr>
                <w:noProof/>
                <w:webHidden/>
              </w:rPr>
              <w:t>8</w:t>
            </w:r>
            <w:r w:rsidR="009B6554">
              <w:rPr>
                <w:noProof/>
                <w:webHidden/>
              </w:rPr>
              <w:fldChar w:fldCharType="end"/>
            </w:r>
          </w:hyperlink>
        </w:p>
        <w:p w14:paraId="391CDB0D" w14:textId="12C400BC" w:rsidR="009B6554" w:rsidRDefault="00672188">
          <w:pPr>
            <w:pStyle w:val="TOC3"/>
            <w:rPr>
              <w:rFonts w:asciiTheme="minorHAnsi" w:eastAsiaTheme="minorEastAsia" w:hAnsiTheme="minorHAnsi" w:cstheme="minorBidi"/>
              <w:b w:val="0"/>
              <w:noProof/>
              <w:szCs w:val="22"/>
              <w:lang w:eastAsia="en-AU"/>
            </w:rPr>
          </w:pPr>
          <w:hyperlink w:anchor="_Toc81903290" w:history="1">
            <w:r w:rsidR="009B6554" w:rsidRPr="00477F2B">
              <w:rPr>
                <w:rStyle w:val="Hyperlink"/>
                <w:noProof/>
              </w:rPr>
              <w:t>Applicant</w:t>
            </w:r>
            <w:r w:rsidR="009B6554">
              <w:rPr>
                <w:noProof/>
                <w:webHidden/>
              </w:rPr>
              <w:tab/>
            </w:r>
            <w:r w:rsidR="009B6554">
              <w:rPr>
                <w:noProof/>
                <w:webHidden/>
              </w:rPr>
              <w:fldChar w:fldCharType="begin"/>
            </w:r>
            <w:r w:rsidR="009B6554">
              <w:rPr>
                <w:noProof/>
                <w:webHidden/>
              </w:rPr>
              <w:instrText xml:space="preserve"> PAGEREF _Toc81903290 \h </w:instrText>
            </w:r>
            <w:r w:rsidR="009B6554">
              <w:rPr>
                <w:noProof/>
                <w:webHidden/>
              </w:rPr>
            </w:r>
            <w:r w:rsidR="009B6554">
              <w:rPr>
                <w:noProof/>
                <w:webHidden/>
              </w:rPr>
              <w:fldChar w:fldCharType="separate"/>
            </w:r>
            <w:r w:rsidR="009B6554">
              <w:rPr>
                <w:noProof/>
                <w:webHidden/>
              </w:rPr>
              <w:t>8</w:t>
            </w:r>
            <w:r w:rsidR="009B6554">
              <w:rPr>
                <w:noProof/>
                <w:webHidden/>
              </w:rPr>
              <w:fldChar w:fldCharType="end"/>
            </w:r>
          </w:hyperlink>
        </w:p>
        <w:p w14:paraId="230C4A41" w14:textId="5C30BA91" w:rsidR="009B6554" w:rsidRDefault="00672188">
          <w:pPr>
            <w:pStyle w:val="TOC3"/>
            <w:rPr>
              <w:rFonts w:asciiTheme="minorHAnsi" w:eastAsiaTheme="minorEastAsia" w:hAnsiTheme="minorHAnsi" w:cstheme="minorBidi"/>
              <w:b w:val="0"/>
              <w:noProof/>
              <w:szCs w:val="22"/>
              <w:lang w:eastAsia="en-AU"/>
            </w:rPr>
          </w:pPr>
          <w:hyperlink w:anchor="_Toc81903291" w:history="1">
            <w:r w:rsidR="009B6554" w:rsidRPr="00477F2B">
              <w:rPr>
                <w:rStyle w:val="Hyperlink"/>
                <w:noProof/>
              </w:rPr>
              <w:t>Current scheduling</w:t>
            </w:r>
            <w:r w:rsidR="009B6554">
              <w:rPr>
                <w:noProof/>
                <w:webHidden/>
              </w:rPr>
              <w:tab/>
            </w:r>
            <w:r w:rsidR="009B6554">
              <w:rPr>
                <w:noProof/>
                <w:webHidden/>
              </w:rPr>
              <w:fldChar w:fldCharType="begin"/>
            </w:r>
            <w:r w:rsidR="009B6554">
              <w:rPr>
                <w:noProof/>
                <w:webHidden/>
              </w:rPr>
              <w:instrText xml:space="preserve"> PAGEREF _Toc81903291 \h </w:instrText>
            </w:r>
            <w:r w:rsidR="009B6554">
              <w:rPr>
                <w:noProof/>
                <w:webHidden/>
              </w:rPr>
            </w:r>
            <w:r w:rsidR="009B6554">
              <w:rPr>
                <w:noProof/>
                <w:webHidden/>
              </w:rPr>
              <w:fldChar w:fldCharType="separate"/>
            </w:r>
            <w:r w:rsidR="009B6554">
              <w:rPr>
                <w:noProof/>
                <w:webHidden/>
              </w:rPr>
              <w:t>8</w:t>
            </w:r>
            <w:r w:rsidR="009B6554">
              <w:rPr>
                <w:noProof/>
                <w:webHidden/>
              </w:rPr>
              <w:fldChar w:fldCharType="end"/>
            </w:r>
          </w:hyperlink>
        </w:p>
        <w:p w14:paraId="298972DC" w14:textId="7A35B7F8" w:rsidR="009B6554" w:rsidRDefault="00672188">
          <w:pPr>
            <w:pStyle w:val="TOC3"/>
            <w:rPr>
              <w:rFonts w:asciiTheme="minorHAnsi" w:eastAsiaTheme="minorEastAsia" w:hAnsiTheme="minorHAnsi" w:cstheme="minorBidi"/>
              <w:b w:val="0"/>
              <w:noProof/>
              <w:szCs w:val="22"/>
              <w:lang w:eastAsia="en-AU"/>
            </w:rPr>
          </w:pPr>
          <w:hyperlink w:anchor="_Toc81903292" w:history="1">
            <w:r w:rsidR="009B6554" w:rsidRPr="00477F2B">
              <w:rPr>
                <w:rStyle w:val="Hyperlink"/>
                <w:noProof/>
              </w:rPr>
              <w:t>Proposed scheduling</w:t>
            </w:r>
            <w:r w:rsidR="009B6554">
              <w:rPr>
                <w:noProof/>
                <w:webHidden/>
              </w:rPr>
              <w:tab/>
            </w:r>
            <w:r w:rsidR="009B6554">
              <w:rPr>
                <w:noProof/>
                <w:webHidden/>
              </w:rPr>
              <w:fldChar w:fldCharType="begin"/>
            </w:r>
            <w:r w:rsidR="009B6554">
              <w:rPr>
                <w:noProof/>
                <w:webHidden/>
              </w:rPr>
              <w:instrText xml:space="preserve"> PAGEREF _Toc81903292 \h </w:instrText>
            </w:r>
            <w:r w:rsidR="009B6554">
              <w:rPr>
                <w:noProof/>
                <w:webHidden/>
              </w:rPr>
            </w:r>
            <w:r w:rsidR="009B6554">
              <w:rPr>
                <w:noProof/>
                <w:webHidden/>
              </w:rPr>
              <w:fldChar w:fldCharType="separate"/>
            </w:r>
            <w:r w:rsidR="009B6554">
              <w:rPr>
                <w:noProof/>
                <w:webHidden/>
              </w:rPr>
              <w:t>9</w:t>
            </w:r>
            <w:r w:rsidR="009B6554">
              <w:rPr>
                <w:noProof/>
                <w:webHidden/>
              </w:rPr>
              <w:fldChar w:fldCharType="end"/>
            </w:r>
          </w:hyperlink>
        </w:p>
        <w:p w14:paraId="19083432" w14:textId="1F9CB2AF" w:rsidR="009B6554" w:rsidRDefault="00672188">
          <w:pPr>
            <w:pStyle w:val="TOC3"/>
            <w:rPr>
              <w:rFonts w:asciiTheme="minorHAnsi" w:eastAsiaTheme="minorEastAsia" w:hAnsiTheme="minorHAnsi" w:cstheme="minorBidi"/>
              <w:b w:val="0"/>
              <w:noProof/>
              <w:szCs w:val="22"/>
              <w:lang w:eastAsia="en-AU"/>
            </w:rPr>
          </w:pPr>
          <w:hyperlink w:anchor="_Toc81903293" w:history="1">
            <w:r w:rsidR="009B6554" w:rsidRPr="00477F2B">
              <w:rPr>
                <w:rStyle w:val="Hyperlink"/>
                <w:noProof/>
              </w:rPr>
              <w:t>Key uses / expected use</w:t>
            </w:r>
            <w:r w:rsidR="009B6554">
              <w:rPr>
                <w:noProof/>
                <w:webHidden/>
              </w:rPr>
              <w:tab/>
            </w:r>
            <w:r w:rsidR="009B6554">
              <w:rPr>
                <w:noProof/>
                <w:webHidden/>
              </w:rPr>
              <w:fldChar w:fldCharType="begin"/>
            </w:r>
            <w:r w:rsidR="009B6554">
              <w:rPr>
                <w:noProof/>
                <w:webHidden/>
              </w:rPr>
              <w:instrText xml:space="preserve"> PAGEREF _Toc81903293 \h </w:instrText>
            </w:r>
            <w:r w:rsidR="009B6554">
              <w:rPr>
                <w:noProof/>
                <w:webHidden/>
              </w:rPr>
            </w:r>
            <w:r w:rsidR="009B6554">
              <w:rPr>
                <w:noProof/>
                <w:webHidden/>
              </w:rPr>
              <w:fldChar w:fldCharType="separate"/>
            </w:r>
            <w:r w:rsidR="009B6554">
              <w:rPr>
                <w:noProof/>
                <w:webHidden/>
              </w:rPr>
              <w:t>10</w:t>
            </w:r>
            <w:r w:rsidR="009B6554">
              <w:rPr>
                <w:noProof/>
                <w:webHidden/>
              </w:rPr>
              <w:fldChar w:fldCharType="end"/>
            </w:r>
          </w:hyperlink>
        </w:p>
        <w:p w14:paraId="6AC72692" w14:textId="500B7E54" w:rsidR="009B6554" w:rsidRDefault="00672188">
          <w:pPr>
            <w:pStyle w:val="TOC3"/>
            <w:rPr>
              <w:rFonts w:asciiTheme="minorHAnsi" w:eastAsiaTheme="minorEastAsia" w:hAnsiTheme="minorHAnsi" w:cstheme="minorBidi"/>
              <w:b w:val="0"/>
              <w:noProof/>
              <w:szCs w:val="22"/>
              <w:lang w:eastAsia="en-AU"/>
            </w:rPr>
          </w:pPr>
          <w:hyperlink w:anchor="_Toc81903294" w:history="1">
            <w:r w:rsidR="009B6554" w:rsidRPr="00477F2B">
              <w:rPr>
                <w:rStyle w:val="Hyperlink"/>
                <w:noProof/>
              </w:rPr>
              <w:t>Application summary - reasons for proposal</w:t>
            </w:r>
            <w:r w:rsidR="009B6554">
              <w:rPr>
                <w:noProof/>
                <w:webHidden/>
              </w:rPr>
              <w:tab/>
            </w:r>
            <w:r w:rsidR="009B6554">
              <w:rPr>
                <w:noProof/>
                <w:webHidden/>
              </w:rPr>
              <w:fldChar w:fldCharType="begin"/>
            </w:r>
            <w:r w:rsidR="009B6554">
              <w:rPr>
                <w:noProof/>
                <w:webHidden/>
              </w:rPr>
              <w:instrText xml:space="preserve"> PAGEREF _Toc81903294 \h </w:instrText>
            </w:r>
            <w:r w:rsidR="009B6554">
              <w:rPr>
                <w:noProof/>
                <w:webHidden/>
              </w:rPr>
            </w:r>
            <w:r w:rsidR="009B6554">
              <w:rPr>
                <w:noProof/>
                <w:webHidden/>
              </w:rPr>
              <w:fldChar w:fldCharType="separate"/>
            </w:r>
            <w:r w:rsidR="009B6554">
              <w:rPr>
                <w:noProof/>
                <w:webHidden/>
              </w:rPr>
              <w:t>10</w:t>
            </w:r>
            <w:r w:rsidR="009B6554">
              <w:rPr>
                <w:noProof/>
                <w:webHidden/>
              </w:rPr>
              <w:fldChar w:fldCharType="end"/>
            </w:r>
          </w:hyperlink>
        </w:p>
        <w:p w14:paraId="751FA905" w14:textId="6CCA1764" w:rsidR="009B6554" w:rsidRDefault="00672188">
          <w:pPr>
            <w:pStyle w:val="TOC3"/>
            <w:rPr>
              <w:rFonts w:asciiTheme="minorHAnsi" w:eastAsiaTheme="minorEastAsia" w:hAnsiTheme="minorHAnsi" w:cstheme="minorBidi"/>
              <w:b w:val="0"/>
              <w:noProof/>
              <w:szCs w:val="22"/>
              <w:lang w:eastAsia="en-AU"/>
            </w:rPr>
          </w:pPr>
          <w:hyperlink w:anchor="_Toc81903295" w:history="1">
            <w:r w:rsidR="009B6554" w:rsidRPr="00477F2B">
              <w:rPr>
                <w:rStyle w:val="Hyperlink"/>
                <w:noProof/>
              </w:rPr>
              <w:t>Australian regulations</w:t>
            </w:r>
            <w:r w:rsidR="009B6554">
              <w:rPr>
                <w:noProof/>
                <w:webHidden/>
              </w:rPr>
              <w:tab/>
            </w:r>
            <w:r w:rsidR="009B6554">
              <w:rPr>
                <w:noProof/>
                <w:webHidden/>
              </w:rPr>
              <w:fldChar w:fldCharType="begin"/>
            </w:r>
            <w:r w:rsidR="009B6554">
              <w:rPr>
                <w:noProof/>
                <w:webHidden/>
              </w:rPr>
              <w:instrText xml:space="preserve"> PAGEREF _Toc81903295 \h </w:instrText>
            </w:r>
            <w:r w:rsidR="009B6554">
              <w:rPr>
                <w:noProof/>
                <w:webHidden/>
              </w:rPr>
            </w:r>
            <w:r w:rsidR="009B6554">
              <w:rPr>
                <w:noProof/>
                <w:webHidden/>
              </w:rPr>
              <w:fldChar w:fldCharType="separate"/>
            </w:r>
            <w:r w:rsidR="009B6554">
              <w:rPr>
                <w:noProof/>
                <w:webHidden/>
              </w:rPr>
              <w:t>10</w:t>
            </w:r>
            <w:r w:rsidR="009B6554">
              <w:rPr>
                <w:noProof/>
                <w:webHidden/>
              </w:rPr>
              <w:fldChar w:fldCharType="end"/>
            </w:r>
          </w:hyperlink>
        </w:p>
        <w:p w14:paraId="5AA419EE" w14:textId="0C863AB0" w:rsidR="009B6554" w:rsidRDefault="00672188">
          <w:pPr>
            <w:pStyle w:val="TOC3"/>
            <w:rPr>
              <w:rFonts w:asciiTheme="minorHAnsi" w:eastAsiaTheme="minorEastAsia" w:hAnsiTheme="minorHAnsi" w:cstheme="minorBidi"/>
              <w:b w:val="0"/>
              <w:noProof/>
              <w:szCs w:val="22"/>
              <w:lang w:eastAsia="en-AU"/>
            </w:rPr>
          </w:pPr>
          <w:hyperlink w:anchor="_Toc81903296" w:history="1">
            <w:r w:rsidR="009B6554" w:rsidRPr="00477F2B">
              <w:rPr>
                <w:rStyle w:val="Hyperlink"/>
                <w:noProof/>
              </w:rPr>
              <w:t>International regulations</w:t>
            </w:r>
            <w:r w:rsidR="009B6554">
              <w:rPr>
                <w:noProof/>
                <w:webHidden/>
              </w:rPr>
              <w:tab/>
            </w:r>
            <w:r w:rsidR="009B6554">
              <w:rPr>
                <w:noProof/>
                <w:webHidden/>
              </w:rPr>
              <w:fldChar w:fldCharType="begin"/>
            </w:r>
            <w:r w:rsidR="009B6554">
              <w:rPr>
                <w:noProof/>
                <w:webHidden/>
              </w:rPr>
              <w:instrText xml:space="preserve"> PAGEREF _Toc81903296 \h </w:instrText>
            </w:r>
            <w:r w:rsidR="009B6554">
              <w:rPr>
                <w:noProof/>
                <w:webHidden/>
              </w:rPr>
            </w:r>
            <w:r w:rsidR="009B6554">
              <w:rPr>
                <w:noProof/>
                <w:webHidden/>
              </w:rPr>
              <w:fldChar w:fldCharType="separate"/>
            </w:r>
            <w:r w:rsidR="009B6554">
              <w:rPr>
                <w:noProof/>
                <w:webHidden/>
              </w:rPr>
              <w:t>11</w:t>
            </w:r>
            <w:r w:rsidR="009B6554">
              <w:rPr>
                <w:noProof/>
                <w:webHidden/>
              </w:rPr>
              <w:fldChar w:fldCharType="end"/>
            </w:r>
          </w:hyperlink>
        </w:p>
        <w:p w14:paraId="648395B4" w14:textId="547DA0EB" w:rsidR="009B6554" w:rsidRDefault="00672188">
          <w:pPr>
            <w:pStyle w:val="TOC2"/>
            <w:tabs>
              <w:tab w:val="left" w:pos="1276"/>
            </w:tabs>
            <w:rPr>
              <w:rFonts w:asciiTheme="minorHAnsi" w:eastAsiaTheme="minorEastAsia" w:hAnsiTheme="minorHAnsi" w:cstheme="minorBidi"/>
              <w:b w:val="0"/>
              <w:noProof/>
              <w:sz w:val="22"/>
              <w:szCs w:val="22"/>
              <w:lang w:eastAsia="en-AU"/>
            </w:rPr>
          </w:pPr>
          <w:hyperlink w:anchor="_Toc81903297" w:history="1">
            <w:r w:rsidR="009B6554" w:rsidRPr="00477F2B">
              <w:rPr>
                <w:rStyle w:val="Hyperlink"/>
                <w:noProof/>
              </w:rPr>
              <w:t>1.2</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Flurbiprofen</w:t>
            </w:r>
            <w:r w:rsidR="009B6554">
              <w:rPr>
                <w:noProof/>
                <w:webHidden/>
              </w:rPr>
              <w:tab/>
            </w:r>
            <w:r w:rsidR="009B6554">
              <w:rPr>
                <w:noProof/>
                <w:webHidden/>
              </w:rPr>
              <w:fldChar w:fldCharType="begin"/>
            </w:r>
            <w:r w:rsidR="009B6554">
              <w:rPr>
                <w:noProof/>
                <w:webHidden/>
              </w:rPr>
              <w:instrText xml:space="preserve"> PAGEREF _Toc81903297 \h </w:instrText>
            </w:r>
            <w:r w:rsidR="009B6554">
              <w:rPr>
                <w:noProof/>
                <w:webHidden/>
              </w:rPr>
            </w:r>
            <w:r w:rsidR="009B6554">
              <w:rPr>
                <w:noProof/>
                <w:webHidden/>
              </w:rPr>
              <w:fldChar w:fldCharType="separate"/>
            </w:r>
            <w:r w:rsidR="009B6554">
              <w:rPr>
                <w:noProof/>
                <w:webHidden/>
              </w:rPr>
              <w:t>11</w:t>
            </w:r>
            <w:r w:rsidR="009B6554">
              <w:rPr>
                <w:noProof/>
                <w:webHidden/>
              </w:rPr>
              <w:fldChar w:fldCharType="end"/>
            </w:r>
          </w:hyperlink>
        </w:p>
        <w:p w14:paraId="2712F6DB" w14:textId="2DDF94A6" w:rsidR="009B6554" w:rsidRDefault="00672188">
          <w:pPr>
            <w:pStyle w:val="TOC3"/>
            <w:rPr>
              <w:rFonts w:asciiTheme="minorHAnsi" w:eastAsiaTheme="minorEastAsia" w:hAnsiTheme="minorHAnsi" w:cstheme="minorBidi"/>
              <w:b w:val="0"/>
              <w:noProof/>
              <w:szCs w:val="22"/>
              <w:lang w:eastAsia="en-AU"/>
            </w:rPr>
          </w:pPr>
          <w:hyperlink w:anchor="_Toc81903298" w:history="1">
            <w:r w:rsidR="009B6554" w:rsidRPr="00477F2B">
              <w:rPr>
                <w:rStyle w:val="Hyperlink"/>
                <w:noProof/>
              </w:rPr>
              <w:t>Proposal</w:t>
            </w:r>
            <w:r w:rsidR="009B6554">
              <w:rPr>
                <w:noProof/>
                <w:webHidden/>
              </w:rPr>
              <w:tab/>
            </w:r>
            <w:r w:rsidR="009B6554">
              <w:rPr>
                <w:noProof/>
                <w:webHidden/>
              </w:rPr>
              <w:fldChar w:fldCharType="begin"/>
            </w:r>
            <w:r w:rsidR="009B6554">
              <w:rPr>
                <w:noProof/>
                <w:webHidden/>
              </w:rPr>
              <w:instrText xml:space="preserve"> PAGEREF _Toc81903298 \h </w:instrText>
            </w:r>
            <w:r w:rsidR="009B6554">
              <w:rPr>
                <w:noProof/>
                <w:webHidden/>
              </w:rPr>
            </w:r>
            <w:r w:rsidR="009B6554">
              <w:rPr>
                <w:noProof/>
                <w:webHidden/>
              </w:rPr>
              <w:fldChar w:fldCharType="separate"/>
            </w:r>
            <w:r w:rsidR="009B6554">
              <w:rPr>
                <w:noProof/>
                <w:webHidden/>
              </w:rPr>
              <w:t>11</w:t>
            </w:r>
            <w:r w:rsidR="009B6554">
              <w:rPr>
                <w:noProof/>
                <w:webHidden/>
              </w:rPr>
              <w:fldChar w:fldCharType="end"/>
            </w:r>
          </w:hyperlink>
        </w:p>
        <w:p w14:paraId="1D94E895" w14:textId="240DAFFB" w:rsidR="009B6554" w:rsidRDefault="00672188">
          <w:pPr>
            <w:pStyle w:val="TOC3"/>
            <w:rPr>
              <w:rFonts w:asciiTheme="minorHAnsi" w:eastAsiaTheme="minorEastAsia" w:hAnsiTheme="minorHAnsi" w:cstheme="minorBidi"/>
              <w:b w:val="0"/>
              <w:noProof/>
              <w:szCs w:val="22"/>
              <w:lang w:eastAsia="en-AU"/>
            </w:rPr>
          </w:pPr>
          <w:hyperlink w:anchor="_Toc81903299" w:history="1">
            <w:r w:rsidR="009B6554" w:rsidRPr="00477F2B">
              <w:rPr>
                <w:rStyle w:val="Hyperlink"/>
                <w:noProof/>
              </w:rPr>
              <w:t>CAS number:</w:t>
            </w:r>
            <w:r w:rsidR="009B6554">
              <w:rPr>
                <w:noProof/>
                <w:webHidden/>
              </w:rPr>
              <w:tab/>
            </w:r>
            <w:r w:rsidR="009B6554">
              <w:rPr>
                <w:noProof/>
                <w:webHidden/>
              </w:rPr>
              <w:fldChar w:fldCharType="begin"/>
            </w:r>
            <w:r w:rsidR="009B6554">
              <w:rPr>
                <w:noProof/>
                <w:webHidden/>
              </w:rPr>
              <w:instrText xml:space="preserve"> PAGEREF _Toc81903299 \h </w:instrText>
            </w:r>
            <w:r w:rsidR="009B6554">
              <w:rPr>
                <w:noProof/>
                <w:webHidden/>
              </w:rPr>
            </w:r>
            <w:r w:rsidR="009B6554">
              <w:rPr>
                <w:noProof/>
                <w:webHidden/>
              </w:rPr>
              <w:fldChar w:fldCharType="separate"/>
            </w:r>
            <w:r w:rsidR="009B6554">
              <w:rPr>
                <w:noProof/>
                <w:webHidden/>
              </w:rPr>
              <w:t>12</w:t>
            </w:r>
            <w:r w:rsidR="009B6554">
              <w:rPr>
                <w:noProof/>
                <w:webHidden/>
              </w:rPr>
              <w:fldChar w:fldCharType="end"/>
            </w:r>
          </w:hyperlink>
        </w:p>
        <w:p w14:paraId="74AB585E" w14:textId="3EE2953C" w:rsidR="009B6554" w:rsidRDefault="00672188">
          <w:pPr>
            <w:pStyle w:val="TOC3"/>
            <w:rPr>
              <w:rFonts w:asciiTheme="minorHAnsi" w:eastAsiaTheme="minorEastAsia" w:hAnsiTheme="minorHAnsi" w:cstheme="minorBidi"/>
              <w:b w:val="0"/>
              <w:noProof/>
              <w:szCs w:val="22"/>
              <w:lang w:eastAsia="en-AU"/>
            </w:rPr>
          </w:pPr>
          <w:hyperlink w:anchor="_Toc81903300" w:history="1">
            <w:r w:rsidR="009B6554" w:rsidRPr="00477F2B">
              <w:rPr>
                <w:rStyle w:val="Hyperlink"/>
                <w:noProof/>
              </w:rPr>
              <w:t>Alternative names</w:t>
            </w:r>
            <w:r w:rsidR="009B6554">
              <w:rPr>
                <w:noProof/>
                <w:webHidden/>
              </w:rPr>
              <w:tab/>
            </w:r>
            <w:r w:rsidR="009B6554">
              <w:rPr>
                <w:noProof/>
                <w:webHidden/>
              </w:rPr>
              <w:fldChar w:fldCharType="begin"/>
            </w:r>
            <w:r w:rsidR="009B6554">
              <w:rPr>
                <w:noProof/>
                <w:webHidden/>
              </w:rPr>
              <w:instrText xml:space="preserve"> PAGEREF _Toc81903300 \h </w:instrText>
            </w:r>
            <w:r w:rsidR="009B6554">
              <w:rPr>
                <w:noProof/>
                <w:webHidden/>
              </w:rPr>
            </w:r>
            <w:r w:rsidR="009B6554">
              <w:rPr>
                <w:noProof/>
                <w:webHidden/>
              </w:rPr>
              <w:fldChar w:fldCharType="separate"/>
            </w:r>
            <w:r w:rsidR="009B6554">
              <w:rPr>
                <w:noProof/>
                <w:webHidden/>
              </w:rPr>
              <w:t>12</w:t>
            </w:r>
            <w:r w:rsidR="009B6554">
              <w:rPr>
                <w:noProof/>
                <w:webHidden/>
              </w:rPr>
              <w:fldChar w:fldCharType="end"/>
            </w:r>
          </w:hyperlink>
        </w:p>
        <w:p w14:paraId="6C6A0FD9" w14:textId="4AE85F65" w:rsidR="009B6554" w:rsidRDefault="00672188">
          <w:pPr>
            <w:pStyle w:val="TOC3"/>
            <w:rPr>
              <w:rFonts w:asciiTheme="minorHAnsi" w:eastAsiaTheme="minorEastAsia" w:hAnsiTheme="minorHAnsi" w:cstheme="minorBidi"/>
              <w:b w:val="0"/>
              <w:noProof/>
              <w:szCs w:val="22"/>
              <w:lang w:eastAsia="en-AU"/>
            </w:rPr>
          </w:pPr>
          <w:hyperlink w:anchor="_Toc81903301" w:history="1">
            <w:r w:rsidR="009B6554" w:rsidRPr="00477F2B">
              <w:rPr>
                <w:rStyle w:val="Hyperlink"/>
                <w:noProof/>
              </w:rPr>
              <w:t>Applicant</w:t>
            </w:r>
            <w:r w:rsidR="009B6554">
              <w:rPr>
                <w:noProof/>
                <w:webHidden/>
              </w:rPr>
              <w:tab/>
            </w:r>
            <w:r w:rsidR="009B6554">
              <w:rPr>
                <w:noProof/>
                <w:webHidden/>
              </w:rPr>
              <w:fldChar w:fldCharType="begin"/>
            </w:r>
            <w:r w:rsidR="009B6554">
              <w:rPr>
                <w:noProof/>
                <w:webHidden/>
              </w:rPr>
              <w:instrText xml:space="preserve"> PAGEREF _Toc81903301 \h </w:instrText>
            </w:r>
            <w:r w:rsidR="009B6554">
              <w:rPr>
                <w:noProof/>
                <w:webHidden/>
              </w:rPr>
            </w:r>
            <w:r w:rsidR="009B6554">
              <w:rPr>
                <w:noProof/>
                <w:webHidden/>
              </w:rPr>
              <w:fldChar w:fldCharType="separate"/>
            </w:r>
            <w:r w:rsidR="009B6554">
              <w:rPr>
                <w:noProof/>
                <w:webHidden/>
              </w:rPr>
              <w:t>12</w:t>
            </w:r>
            <w:r w:rsidR="009B6554">
              <w:rPr>
                <w:noProof/>
                <w:webHidden/>
              </w:rPr>
              <w:fldChar w:fldCharType="end"/>
            </w:r>
          </w:hyperlink>
        </w:p>
        <w:p w14:paraId="3BEEE1DB" w14:textId="63D2E7A8" w:rsidR="009B6554" w:rsidRDefault="00672188">
          <w:pPr>
            <w:pStyle w:val="TOC3"/>
            <w:rPr>
              <w:rFonts w:asciiTheme="minorHAnsi" w:eastAsiaTheme="minorEastAsia" w:hAnsiTheme="minorHAnsi" w:cstheme="minorBidi"/>
              <w:b w:val="0"/>
              <w:noProof/>
              <w:szCs w:val="22"/>
              <w:lang w:eastAsia="en-AU"/>
            </w:rPr>
          </w:pPr>
          <w:hyperlink w:anchor="_Toc81903302" w:history="1">
            <w:r w:rsidR="009B6554" w:rsidRPr="00477F2B">
              <w:rPr>
                <w:rStyle w:val="Hyperlink"/>
                <w:noProof/>
              </w:rPr>
              <w:t>Current scheduling</w:t>
            </w:r>
            <w:r w:rsidR="009B6554">
              <w:rPr>
                <w:noProof/>
                <w:webHidden/>
              </w:rPr>
              <w:tab/>
            </w:r>
            <w:r w:rsidR="009B6554">
              <w:rPr>
                <w:noProof/>
                <w:webHidden/>
              </w:rPr>
              <w:fldChar w:fldCharType="begin"/>
            </w:r>
            <w:r w:rsidR="009B6554">
              <w:rPr>
                <w:noProof/>
                <w:webHidden/>
              </w:rPr>
              <w:instrText xml:space="preserve"> PAGEREF _Toc81903302 \h </w:instrText>
            </w:r>
            <w:r w:rsidR="009B6554">
              <w:rPr>
                <w:noProof/>
                <w:webHidden/>
              </w:rPr>
            </w:r>
            <w:r w:rsidR="009B6554">
              <w:rPr>
                <w:noProof/>
                <w:webHidden/>
              </w:rPr>
              <w:fldChar w:fldCharType="separate"/>
            </w:r>
            <w:r w:rsidR="009B6554">
              <w:rPr>
                <w:noProof/>
                <w:webHidden/>
              </w:rPr>
              <w:t>12</w:t>
            </w:r>
            <w:r w:rsidR="009B6554">
              <w:rPr>
                <w:noProof/>
                <w:webHidden/>
              </w:rPr>
              <w:fldChar w:fldCharType="end"/>
            </w:r>
          </w:hyperlink>
        </w:p>
        <w:p w14:paraId="565B694C" w14:textId="104B63D3" w:rsidR="009B6554" w:rsidRDefault="00672188">
          <w:pPr>
            <w:pStyle w:val="TOC3"/>
            <w:rPr>
              <w:rFonts w:asciiTheme="minorHAnsi" w:eastAsiaTheme="minorEastAsia" w:hAnsiTheme="minorHAnsi" w:cstheme="minorBidi"/>
              <w:b w:val="0"/>
              <w:noProof/>
              <w:szCs w:val="22"/>
              <w:lang w:eastAsia="en-AU"/>
            </w:rPr>
          </w:pPr>
          <w:hyperlink w:anchor="_Toc81903303" w:history="1">
            <w:r w:rsidR="009B6554" w:rsidRPr="00477F2B">
              <w:rPr>
                <w:rStyle w:val="Hyperlink"/>
                <w:noProof/>
              </w:rPr>
              <w:t>Proposed scheduling</w:t>
            </w:r>
            <w:r w:rsidR="009B6554">
              <w:rPr>
                <w:noProof/>
                <w:webHidden/>
              </w:rPr>
              <w:tab/>
            </w:r>
            <w:r w:rsidR="009B6554">
              <w:rPr>
                <w:noProof/>
                <w:webHidden/>
              </w:rPr>
              <w:fldChar w:fldCharType="begin"/>
            </w:r>
            <w:r w:rsidR="009B6554">
              <w:rPr>
                <w:noProof/>
                <w:webHidden/>
              </w:rPr>
              <w:instrText xml:space="preserve"> PAGEREF _Toc81903303 \h </w:instrText>
            </w:r>
            <w:r w:rsidR="009B6554">
              <w:rPr>
                <w:noProof/>
                <w:webHidden/>
              </w:rPr>
            </w:r>
            <w:r w:rsidR="009B6554">
              <w:rPr>
                <w:noProof/>
                <w:webHidden/>
              </w:rPr>
              <w:fldChar w:fldCharType="separate"/>
            </w:r>
            <w:r w:rsidR="009B6554">
              <w:rPr>
                <w:noProof/>
                <w:webHidden/>
              </w:rPr>
              <w:t>12</w:t>
            </w:r>
            <w:r w:rsidR="009B6554">
              <w:rPr>
                <w:noProof/>
                <w:webHidden/>
              </w:rPr>
              <w:fldChar w:fldCharType="end"/>
            </w:r>
          </w:hyperlink>
        </w:p>
        <w:p w14:paraId="0BE3612E" w14:textId="55ED5998" w:rsidR="009B6554" w:rsidRDefault="00672188">
          <w:pPr>
            <w:pStyle w:val="TOC3"/>
            <w:rPr>
              <w:rFonts w:asciiTheme="minorHAnsi" w:eastAsiaTheme="minorEastAsia" w:hAnsiTheme="minorHAnsi" w:cstheme="minorBidi"/>
              <w:b w:val="0"/>
              <w:noProof/>
              <w:szCs w:val="22"/>
              <w:lang w:eastAsia="en-AU"/>
            </w:rPr>
          </w:pPr>
          <w:hyperlink w:anchor="_Toc81903304" w:history="1">
            <w:r w:rsidR="009B6554" w:rsidRPr="00477F2B">
              <w:rPr>
                <w:rStyle w:val="Hyperlink"/>
                <w:noProof/>
              </w:rPr>
              <w:t>Application summary - reasons for proposal</w:t>
            </w:r>
            <w:r w:rsidR="009B6554">
              <w:rPr>
                <w:noProof/>
                <w:webHidden/>
              </w:rPr>
              <w:tab/>
            </w:r>
            <w:r w:rsidR="009B6554">
              <w:rPr>
                <w:noProof/>
                <w:webHidden/>
              </w:rPr>
              <w:fldChar w:fldCharType="begin"/>
            </w:r>
            <w:r w:rsidR="009B6554">
              <w:rPr>
                <w:noProof/>
                <w:webHidden/>
              </w:rPr>
              <w:instrText xml:space="preserve"> PAGEREF _Toc81903304 \h </w:instrText>
            </w:r>
            <w:r w:rsidR="009B6554">
              <w:rPr>
                <w:noProof/>
                <w:webHidden/>
              </w:rPr>
            </w:r>
            <w:r w:rsidR="009B6554">
              <w:rPr>
                <w:noProof/>
                <w:webHidden/>
              </w:rPr>
              <w:fldChar w:fldCharType="separate"/>
            </w:r>
            <w:r w:rsidR="009B6554">
              <w:rPr>
                <w:noProof/>
                <w:webHidden/>
              </w:rPr>
              <w:t>13</w:t>
            </w:r>
            <w:r w:rsidR="009B6554">
              <w:rPr>
                <w:noProof/>
                <w:webHidden/>
              </w:rPr>
              <w:fldChar w:fldCharType="end"/>
            </w:r>
          </w:hyperlink>
        </w:p>
        <w:p w14:paraId="2D13C9A6" w14:textId="1D54EDA9" w:rsidR="009B6554" w:rsidRDefault="00672188">
          <w:pPr>
            <w:pStyle w:val="TOC3"/>
            <w:rPr>
              <w:rFonts w:asciiTheme="minorHAnsi" w:eastAsiaTheme="minorEastAsia" w:hAnsiTheme="minorHAnsi" w:cstheme="minorBidi"/>
              <w:b w:val="0"/>
              <w:noProof/>
              <w:szCs w:val="22"/>
              <w:lang w:eastAsia="en-AU"/>
            </w:rPr>
          </w:pPr>
          <w:hyperlink w:anchor="_Toc81903305" w:history="1">
            <w:r w:rsidR="009B6554" w:rsidRPr="00477F2B">
              <w:rPr>
                <w:rStyle w:val="Hyperlink"/>
                <w:noProof/>
              </w:rPr>
              <w:t>Key uses / expected use</w:t>
            </w:r>
            <w:r w:rsidR="009B6554">
              <w:rPr>
                <w:noProof/>
                <w:webHidden/>
              </w:rPr>
              <w:tab/>
            </w:r>
            <w:r w:rsidR="009B6554">
              <w:rPr>
                <w:noProof/>
                <w:webHidden/>
              </w:rPr>
              <w:fldChar w:fldCharType="begin"/>
            </w:r>
            <w:r w:rsidR="009B6554">
              <w:rPr>
                <w:noProof/>
                <w:webHidden/>
              </w:rPr>
              <w:instrText xml:space="preserve"> PAGEREF _Toc81903305 \h </w:instrText>
            </w:r>
            <w:r w:rsidR="009B6554">
              <w:rPr>
                <w:noProof/>
                <w:webHidden/>
              </w:rPr>
            </w:r>
            <w:r w:rsidR="009B6554">
              <w:rPr>
                <w:noProof/>
                <w:webHidden/>
              </w:rPr>
              <w:fldChar w:fldCharType="separate"/>
            </w:r>
            <w:r w:rsidR="009B6554">
              <w:rPr>
                <w:noProof/>
                <w:webHidden/>
              </w:rPr>
              <w:t>14</w:t>
            </w:r>
            <w:r w:rsidR="009B6554">
              <w:rPr>
                <w:noProof/>
                <w:webHidden/>
              </w:rPr>
              <w:fldChar w:fldCharType="end"/>
            </w:r>
          </w:hyperlink>
        </w:p>
        <w:p w14:paraId="6B2BB806" w14:textId="7DE4C475" w:rsidR="009B6554" w:rsidRDefault="00672188">
          <w:pPr>
            <w:pStyle w:val="TOC3"/>
            <w:rPr>
              <w:rFonts w:asciiTheme="minorHAnsi" w:eastAsiaTheme="minorEastAsia" w:hAnsiTheme="minorHAnsi" w:cstheme="minorBidi"/>
              <w:b w:val="0"/>
              <w:noProof/>
              <w:szCs w:val="22"/>
              <w:lang w:eastAsia="en-AU"/>
            </w:rPr>
          </w:pPr>
          <w:hyperlink w:anchor="_Toc81903306" w:history="1">
            <w:r w:rsidR="009B6554" w:rsidRPr="00477F2B">
              <w:rPr>
                <w:rStyle w:val="Hyperlink"/>
                <w:noProof/>
              </w:rPr>
              <w:t>Australian regulations</w:t>
            </w:r>
            <w:r w:rsidR="009B6554">
              <w:rPr>
                <w:noProof/>
                <w:webHidden/>
              </w:rPr>
              <w:tab/>
            </w:r>
            <w:r w:rsidR="009B6554">
              <w:rPr>
                <w:noProof/>
                <w:webHidden/>
              </w:rPr>
              <w:fldChar w:fldCharType="begin"/>
            </w:r>
            <w:r w:rsidR="009B6554">
              <w:rPr>
                <w:noProof/>
                <w:webHidden/>
              </w:rPr>
              <w:instrText xml:space="preserve"> PAGEREF _Toc81903306 \h </w:instrText>
            </w:r>
            <w:r w:rsidR="009B6554">
              <w:rPr>
                <w:noProof/>
                <w:webHidden/>
              </w:rPr>
            </w:r>
            <w:r w:rsidR="009B6554">
              <w:rPr>
                <w:noProof/>
                <w:webHidden/>
              </w:rPr>
              <w:fldChar w:fldCharType="separate"/>
            </w:r>
            <w:r w:rsidR="009B6554">
              <w:rPr>
                <w:noProof/>
                <w:webHidden/>
              </w:rPr>
              <w:t>14</w:t>
            </w:r>
            <w:r w:rsidR="009B6554">
              <w:rPr>
                <w:noProof/>
                <w:webHidden/>
              </w:rPr>
              <w:fldChar w:fldCharType="end"/>
            </w:r>
          </w:hyperlink>
        </w:p>
        <w:p w14:paraId="073FAC67" w14:textId="42783366" w:rsidR="009B6554" w:rsidRDefault="00672188">
          <w:pPr>
            <w:pStyle w:val="TOC3"/>
            <w:rPr>
              <w:rFonts w:asciiTheme="minorHAnsi" w:eastAsiaTheme="minorEastAsia" w:hAnsiTheme="minorHAnsi" w:cstheme="minorBidi"/>
              <w:b w:val="0"/>
              <w:noProof/>
              <w:szCs w:val="22"/>
              <w:lang w:eastAsia="en-AU"/>
            </w:rPr>
          </w:pPr>
          <w:hyperlink w:anchor="_Toc81903307" w:history="1">
            <w:r w:rsidR="009B6554" w:rsidRPr="00477F2B">
              <w:rPr>
                <w:rStyle w:val="Hyperlink"/>
                <w:noProof/>
              </w:rPr>
              <w:t>International regulations</w:t>
            </w:r>
            <w:r w:rsidR="009B6554">
              <w:rPr>
                <w:noProof/>
                <w:webHidden/>
              </w:rPr>
              <w:tab/>
            </w:r>
            <w:r w:rsidR="009B6554">
              <w:rPr>
                <w:noProof/>
                <w:webHidden/>
              </w:rPr>
              <w:fldChar w:fldCharType="begin"/>
            </w:r>
            <w:r w:rsidR="009B6554">
              <w:rPr>
                <w:noProof/>
                <w:webHidden/>
              </w:rPr>
              <w:instrText xml:space="preserve"> PAGEREF _Toc81903307 \h </w:instrText>
            </w:r>
            <w:r w:rsidR="009B6554">
              <w:rPr>
                <w:noProof/>
                <w:webHidden/>
              </w:rPr>
            </w:r>
            <w:r w:rsidR="009B6554">
              <w:rPr>
                <w:noProof/>
                <w:webHidden/>
              </w:rPr>
              <w:fldChar w:fldCharType="separate"/>
            </w:r>
            <w:r w:rsidR="009B6554">
              <w:rPr>
                <w:noProof/>
                <w:webHidden/>
              </w:rPr>
              <w:t>16</w:t>
            </w:r>
            <w:r w:rsidR="009B6554">
              <w:rPr>
                <w:noProof/>
                <w:webHidden/>
              </w:rPr>
              <w:fldChar w:fldCharType="end"/>
            </w:r>
          </w:hyperlink>
        </w:p>
        <w:p w14:paraId="30C5A663" w14:textId="08C81535" w:rsidR="009B6554" w:rsidRDefault="00672188">
          <w:pPr>
            <w:pStyle w:val="TOC1"/>
            <w:tabs>
              <w:tab w:val="left" w:pos="425"/>
            </w:tabs>
            <w:rPr>
              <w:rFonts w:asciiTheme="minorHAnsi" w:eastAsiaTheme="minorEastAsia" w:hAnsiTheme="minorHAnsi" w:cstheme="minorBidi"/>
              <w:b w:val="0"/>
              <w:noProof/>
              <w:sz w:val="22"/>
              <w:szCs w:val="22"/>
              <w:lang w:eastAsia="en-AU"/>
            </w:rPr>
          </w:pPr>
          <w:hyperlink w:anchor="_Toc81903308" w:history="1">
            <w:r w:rsidR="009B6554" w:rsidRPr="00477F2B">
              <w:rPr>
                <w:rStyle w:val="Hyperlink"/>
                <w:noProof/>
              </w:rPr>
              <w:t>2</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Proposed amendments referred for scheduling advice to ACCS #32</w:t>
            </w:r>
            <w:r w:rsidR="009B6554">
              <w:rPr>
                <w:noProof/>
                <w:webHidden/>
              </w:rPr>
              <w:tab/>
            </w:r>
            <w:r w:rsidR="009B6554">
              <w:rPr>
                <w:noProof/>
                <w:webHidden/>
              </w:rPr>
              <w:fldChar w:fldCharType="begin"/>
            </w:r>
            <w:r w:rsidR="009B6554">
              <w:rPr>
                <w:noProof/>
                <w:webHidden/>
              </w:rPr>
              <w:instrText xml:space="preserve"> PAGEREF _Toc81903308 \h </w:instrText>
            </w:r>
            <w:r w:rsidR="009B6554">
              <w:rPr>
                <w:noProof/>
                <w:webHidden/>
              </w:rPr>
            </w:r>
            <w:r w:rsidR="009B6554">
              <w:rPr>
                <w:noProof/>
                <w:webHidden/>
              </w:rPr>
              <w:fldChar w:fldCharType="separate"/>
            </w:r>
            <w:r w:rsidR="009B6554">
              <w:rPr>
                <w:noProof/>
                <w:webHidden/>
              </w:rPr>
              <w:t>17</w:t>
            </w:r>
            <w:r w:rsidR="009B6554">
              <w:rPr>
                <w:noProof/>
                <w:webHidden/>
              </w:rPr>
              <w:fldChar w:fldCharType="end"/>
            </w:r>
          </w:hyperlink>
        </w:p>
        <w:p w14:paraId="298CFBEF" w14:textId="5938BB9C" w:rsidR="009B6554" w:rsidRDefault="00672188">
          <w:pPr>
            <w:pStyle w:val="TOC2"/>
            <w:tabs>
              <w:tab w:val="left" w:pos="1276"/>
            </w:tabs>
            <w:rPr>
              <w:rFonts w:asciiTheme="minorHAnsi" w:eastAsiaTheme="minorEastAsia" w:hAnsiTheme="minorHAnsi" w:cstheme="minorBidi"/>
              <w:b w:val="0"/>
              <w:noProof/>
              <w:sz w:val="22"/>
              <w:szCs w:val="22"/>
              <w:lang w:eastAsia="en-AU"/>
            </w:rPr>
          </w:pPr>
          <w:hyperlink w:anchor="_Toc81903309" w:history="1">
            <w:r w:rsidR="009B6554" w:rsidRPr="00477F2B">
              <w:rPr>
                <w:rStyle w:val="Hyperlink"/>
                <w:noProof/>
              </w:rPr>
              <w:t>2.1</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Chromates and chromium trioxide</w:t>
            </w:r>
            <w:r w:rsidR="009B6554">
              <w:rPr>
                <w:noProof/>
                <w:webHidden/>
              </w:rPr>
              <w:tab/>
            </w:r>
            <w:r w:rsidR="009B6554">
              <w:rPr>
                <w:noProof/>
                <w:webHidden/>
              </w:rPr>
              <w:fldChar w:fldCharType="begin"/>
            </w:r>
            <w:r w:rsidR="009B6554">
              <w:rPr>
                <w:noProof/>
                <w:webHidden/>
              </w:rPr>
              <w:instrText xml:space="preserve"> PAGEREF _Toc81903309 \h </w:instrText>
            </w:r>
            <w:r w:rsidR="009B6554">
              <w:rPr>
                <w:noProof/>
                <w:webHidden/>
              </w:rPr>
            </w:r>
            <w:r w:rsidR="009B6554">
              <w:rPr>
                <w:noProof/>
                <w:webHidden/>
              </w:rPr>
              <w:fldChar w:fldCharType="separate"/>
            </w:r>
            <w:r w:rsidR="009B6554">
              <w:rPr>
                <w:noProof/>
                <w:webHidden/>
              </w:rPr>
              <w:t>17</w:t>
            </w:r>
            <w:r w:rsidR="009B6554">
              <w:rPr>
                <w:noProof/>
                <w:webHidden/>
              </w:rPr>
              <w:fldChar w:fldCharType="end"/>
            </w:r>
          </w:hyperlink>
        </w:p>
        <w:p w14:paraId="20A9BCBE" w14:textId="13D99414" w:rsidR="009B6554" w:rsidRDefault="00672188">
          <w:pPr>
            <w:pStyle w:val="TOC3"/>
            <w:rPr>
              <w:rFonts w:asciiTheme="minorHAnsi" w:eastAsiaTheme="minorEastAsia" w:hAnsiTheme="minorHAnsi" w:cstheme="minorBidi"/>
              <w:b w:val="0"/>
              <w:noProof/>
              <w:szCs w:val="22"/>
              <w:lang w:eastAsia="en-AU"/>
            </w:rPr>
          </w:pPr>
          <w:hyperlink w:anchor="_Toc81903310" w:history="1">
            <w:r w:rsidR="009B6554" w:rsidRPr="00477F2B">
              <w:rPr>
                <w:rStyle w:val="Hyperlink"/>
                <w:noProof/>
              </w:rPr>
              <w:t>Proposal</w:t>
            </w:r>
            <w:r w:rsidR="009B6554">
              <w:rPr>
                <w:noProof/>
                <w:webHidden/>
              </w:rPr>
              <w:tab/>
            </w:r>
            <w:r w:rsidR="009B6554">
              <w:rPr>
                <w:noProof/>
                <w:webHidden/>
              </w:rPr>
              <w:fldChar w:fldCharType="begin"/>
            </w:r>
            <w:r w:rsidR="009B6554">
              <w:rPr>
                <w:noProof/>
                <w:webHidden/>
              </w:rPr>
              <w:instrText xml:space="preserve"> PAGEREF _Toc81903310 \h </w:instrText>
            </w:r>
            <w:r w:rsidR="009B6554">
              <w:rPr>
                <w:noProof/>
                <w:webHidden/>
              </w:rPr>
            </w:r>
            <w:r w:rsidR="009B6554">
              <w:rPr>
                <w:noProof/>
                <w:webHidden/>
              </w:rPr>
              <w:fldChar w:fldCharType="separate"/>
            </w:r>
            <w:r w:rsidR="009B6554">
              <w:rPr>
                <w:noProof/>
                <w:webHidden/>
              </w:rPr>
              <w:t>17</w:t>
            </w:r>
            <w:r w:rsidR="009B6554">
              <w:rPr>
                <w:noProof/>
                <w:webHidden/>
              </w:rPr>
              <w:fldChar w:fldCharType="end"/>
            </w:r>
          </w:hyperlink>
        </w:p>
        <w:p w14:paraId="2ABA925A" w14:textId="4446833D" w:rsidR="009B6554" w:rsidRDefault="00672188">
          <w:pPr>
            <w:pStyle w:val="TOC3"/>
            <w:rPr>
              <w:rFonts w:asciiTheme="minorHAnsi" w:eastAsiaTheme="minorEastAsia" w:hAnsiTheme="minorHAnsi" w:cstheme="minorBidi"/>
              <w:b w:val="0"/>
              <w:noProof/>
              <w:szCs w:val="22"/>
              <w:lang w:eastAsia="en-AU"/>
            </w:rPr>
          </w:pPr>
          <w:hyperlink w:anchor="_Toc81903311" w:history="1">
            <w:r w:rsidR="009B6554" w:rsidRPr="00477F2B">
              <w:rPr>
                <w:rStyle w:val="Hyperlink"/>
                <w:noProof/>
              </w:rPr>
              <w:t>CAS Number:</w:t>
            </w:r>
            <w:r w:rsidR="009B6554">
              <w:rPr>
                <w:noProof/>
                <w:webHidden/>
              </w:rPr>
              <w:tab/>
            </w:r>
            <w:r w:rsidR="009B6554">
              <w:rPr>
                <w:noProof/>
                <w:webHidden/>
              </w:rPr>
              <w:fldChar w:fldCharType="begin"/>
            </w:r>
            <w:r w:rsidR="009B6554">
              <w:rPr>
                <w:noProof/>
                <w:webHidden/>
              </w:rPr>
              <w:instrText xml:space="preserve"> PAGEREF _Toc81903311 \h </w:instrText>
            </w:r>
            <w:r w:rsidR="009B6554">
              <w:rPr>
                <w:noProof/>
                <w:webHidden/>
              </w:rPr>
            </w:r>
            <w:r w:rsidR="009B6554">
              <w:rPr>
                <w:noProof/>
                <w:webHidden/>
              </w:rPr>
              <w:fldChar w:fldCharType="separate"/>
            </w:r>
            <w:r w:rsidR="009B6554">
              <w:rPr>
                <w:noProof/>
                <w:webHidden/>
              </w:rPr>
              <w:t>17</w:t>
            </w:r>
            <w:r w:rsidR="009B6554">
              <w:rPr>
                <w:noProof/>
                <w:webHidden/>
              </w:rPr>
              <w:fldChar w:fldCharType="end"/>
            </w:r>
          </w:hyperlink>
        </w:p>
        <w:p w14:paraId="528D4B8E" w14:textId="63D92948" w:rsidR="009B6554" w:rsidRDefault="00672188">
          <w:pPr>
            <w:pStyle w:val="TOC3"/>
            <w:rPr>
              <w:rFonts w:asciiTheme="minorHAnsi" w:eastAsiaTheme="minorEastAsia" w:hAnsiTheme="minorHAnsi" w:cstheme="minorBidi"/>
              <w:b w:val="0"/>
              <w:noProof/>
              <w:szCs w:val="22"/>
              <w:lang w:eastAsia="en-AU"/>
            </w:rPr>
          </w:pPr>
          <w:hyperlink w:anchor="_Toc81903312" w:history="1">
            <w:r w:rsidR="009B6554" w:rsidRPr="00477F2B">
              <w:rPr>
                <w:rStyle w:val="Hyperlink"/>
                <w:noProof/>
              </w:rPr>
              <w:t>Applicant</w:t>
            </w:r>
            <w:r w:rsidR="009B6554">
              <w:rPr>
                <w:noProof/>
                <w:webHidden/>
              </w:rPr>
              <w:tab/>
            </w:r>
            <w:r w:rsidR="009B6554">
              <w:rPr>
                <w:noProof/>
                <w:webHidden/>
              </w:rPr>
              <w:fldChar w:fldCharType="begin"/>
            </w:r>
            <w:r w:rsidR="009B6554">
              <w:rPr>
                <w:noProof/>
                <w:webHidden/>
              </w:rPr>
              <w:instrText xml:space="preserve"> PAGEREF _Toc81903312 \h </w:instrText>
            </w:r>
            <w:r w:rsidR="009B6554">
              <w:rPr>
                <w:noProof/>
                <w:webHidden/>
              </w:rPr>
            </w:r>
            <w:r w:rsidR="009B6554">
              <w:rPr>
                <w:noProof/>
                <w:webHidden/>
              </w:rPr>
              <w:fldChar w:fldCharType="separate"/>
            </w:r>
            <w:r w:rsidR="009B6554">
              <w:rPr>
                <w:noProof/>
                <w:webHidden/>
              </w:rPr>
              <w:t>17</w:t>
            </w:r>
            <w:r w:rsidR="009B6554">
              <w:rPr>
                <w:noProof/>
                <w:webHidden/>
              </w:rPr>
              <w:fldChar w:fldCharType="end"/>
            </w:r>
          </w:hyperlink>
        </w:p>
        <w:p w14:paraId="11985DA8" w14:textId="448109E8" w:rsidR="009B6554" w:rsidRDefault="00672188">
          <w:pPr>
            <w:pStyle w:val="TOC3"/>
            <w:rPr>
              <w:rFonts w:asciiTheme="minorHAnsi" w:eastAsiaTheme="minorEastAsia" w:hAnsiTheme="minorHAnsi" w:cstheme="minorBidi"/>
              <w:b w:val="0"/>
              <w:noProof/>
              <w:szCs w:val="22"/>
              <w:lang w:eastAsia="en-AU"/>
            </w:rPr>
          </w:pPr>
          <w:hyperlink w:anchor="_Toc81903313" w:history="1">
            <w:r w:rsidR="009B6554" w:rsidRPr="00477F2B">
              <w:rPr>
                <w:rStyle w:val="Hyperlink"/>
                <w:noProof/>
              </w:rPr>
              <w:t>Current scheduling</w:t>
            </w:r>
            <w:r w:rsidR="009B6554">
              <w:rPr>
                <w:noProof/>
                <w:webHidden/>
              </w:rPr>
              <w:tab/>
            </w:r>
            <w:r w:rsidR="009B6554">
              <w:rPr>
                <w:noProof/>
                <w:webHidden/>
              </w:rPr>
              <w:fldChar w:fldCharType="begin"/>
            </w:r>
            <w:r w:rsidR="009B6554">
              <w:rPr>
                <w:noProof/>
                <w:webHidden/>
              </w:rPr>
              <w:instrText xml:space="preserve"> PAGEREF _Toc81903313 \h </w:instrText>
            </w:r>
            <w:r w:rsidR="009B6554">
              <w:rPr>
                <w:noProof/>
                <w:webHidden/>
              </w:rPr>
            </w:r>
            <w:r w:rsidR="009B6554">
              <w:rPr>
                <w:noProof/>
                <w:webHidden/>
              </w:rPr>
              <w:fldChar w:fldCharType="separate"/>
            </w:r>
            <w:r w:rsidR="009B6554">
              <w:rPr>
                <w:noProof/>
                <w:webHidden/>
              </w:rPr>
              <w:t>17</w:t>
            </w:r>
            <w:r w:rsidR="009B6554">
              <w:rPr>
                <w:noProof/>
                <w:webHidden/>
              </w:rPr>
              <w:fldChar w:fldCharType="end"/>
            </w:r>
          </w:hyperlink>
        </w:p>
        <w:p w14:paraId="1D4DAC0F" w14:textId="36695828" w:rsidR="009B6554" w:rsidRDefault="00672188">
          <w:pPr>
            <w:pStyle w:val="TOC3"/>
            <w:rPr>
              <w:rFonts w:asciiTheme="minorHAnsi" w:eastAsiaTheme="minorEastAsia" w:hAnsiTheme="minorHAnsi" w:cstheme="minorBidi"/>
              <w:b w:val="0"/>
              <w:noProof/>
              <w:szCs w:val="22"/>
              <w:lang w:eastAsia="en-AU"/>
            </w:rPr>
          </w:pPr>
          <w:hyperlink w:anchor="_Toc81903314" w:history="1">
            <w:r w:rsidR="009B6554" w:rsidRPr="00477F2B">
              <w:rPr>
                <w:rStyle w:val="Hyperlink"/>
                <w:noProof/>
              </w:rPr>
              <w:t>Proposed scheduling</w:t>
            </w:r>
            <w:r w:rsidR="009B6554">
              <w:rPr>
                <w:noProof/>
                <w:webHidden/>
              </w:rPr>
              <w:tab/>
            </w:r>
            <w:r w:rsidR="009B6554">
              <w:rPr>
                <w:noProof/>
                <w:webHidden/>
              </w:rPr>
              <w:fldChar w:fldCharType="begin"/>
            </w:r>
            <w:r w:rsidR="009B6554">
              <w:rPr>
                <w:noProof/>
                <w:webHidden/>
              </w:rPr>
              <w:instrText xml:space="preserve"> PAGEREF _Toc81903314 \h </w:instrText>
            </w:r>
            <w:r w:rsidR="009B6554">
              <w:rPr>
                <w:noProof/>
                <w:webHidden/>
              </w:rPr>
            </w:r>
            <w:r w:rsidR="009B6554">
              <w:rPr>
                <w:noProof/>
                <w:webHidden/>
              </w:rPr>
              <w:fldChar w:fldCharType="separate"/>
            </w:r>
            <w:r w:rsidR="009B6554">
              <w:rPr>
                <w:noProof/>
                <w:webHidden/>
              </w:rPr>
              <w:t>19</w:t>
            </w:r>
            <w:r w:rsidR="009B6554">
              <w:rPr>
                <w:noProof/>
                <w:webHidden/>
              </w:rPr>
              <w:fldChar w:fldCharType="end"/>
            </w:r>
          </w:hyperlink>
        </w:p>
        <w:p w14:paraId="47CE6D80" w14:textId="59A6AF22" w:rsidR="009B6554" w:rsidRDefault="00672188">
          <w:pPr>
            <w:pStyle w:val="TOC3"/>
            <w:rPr>
              <w:rFonts w:asciiTheme="minorHAnsi" w:eastAsiaTheme="minorEastAsia" w:hAnsiTheme="minorHAnsi" w:cstheme="minorBidi"/>
              <w:b w:val="0"/>
              <w:noProof/>
              <w:szCs w:val="22"/>
              <w:lang w:eastAsia="en-AU"/>
            </w:rPr>
          </w:pPr>
          <w:hyperlink w:anchor="_Toc81903315" w:history="1">
            <w:r w:rsidR="009B6554" w:rsidRPr="00477F2B">
              <w:rPr>
                <w:rStyle w:val="Hyperlink"/>
                <w:noProof/>
              </w:rPr>
              <w:t>Key uses / expected use</w:t>
            </w:r>
            <w:r w:rsidR="009B6554">
              <w:rPr>
                <w:noProof/>
                <w:webHidden/>
              </w:rPr>
              <w:tab/>
            </w:r>
            <w:r w:rsidR="009B6554">
              <w:rPr>
                <w:noProof/>
                <w:webHidden/>
              </w:rPr>
              <w:fldChar w:fldCharType="begin"/>
            </w:r>
            <w:r w:rsidR="009B6554">
              <w:rPr>
                <w:noProof/>
                <w:webHidden/>
              </w:rPr>
              <w:instrText xml:space="preserve"> PAGEREF _Toc81903315 \h </w:instrText>
            </w:r>
            <w:r w:rsidR="009B6554">
              <w:rPr>
                <w:noProof/>
                <w:webHidden/>
              </w:rPr>
            </w:r>
            <w:r w:rsidR="009B6554">
              <w:rPr>
                <w:noProof/>
                <w:webHidden/>
              </w:rPr>
              <w:fldChar w:fldCharType="separate"/>
            </w:r>
            <w:r w:rsidR="009B6554">
              <w:rPr>
                <w:noProof/>
                <w:webHidden/>
              </w:rPr>
              <w:t>20</w:t>
            </w:r>
            <w:r w:rsidR="009B6554">
              <w:rPr>
                <w:noProof/>
                <w:webHidden/>
              </w:rPr>
              <w:fldChar w:fldCharType="end"/>
            </w:r>
          </w:hyperlink>
        </w:p>
        <w:p w14:paraId="554BAE3A" w14:textId="443324E8" w:rsidR="009B6554" w:rsidRDefault="00672188">
          <w:pPr>
            <w:pStyle w:val="TOC3"/>
            <w:rPr>
              <w:rFonts w:asciiTheme="minorHAnsi" w:eastAsiaTheme="minorEastAsia" w:hAnsiTheme="minorHAnsi" w:cstheme="minorBidi"/>
              <w:b w:val="0"/>
              <w:noProof/>
              <w:szCs w:val="22"/>
              <w:lang w:eastAsia="en-AU"/>
            </w:rPr>
          </w:pPr>
          <w:hyperlink w:anchor="_Toc81903316" w:history="1">
            <w:r w:rsidR="009B6554" w:rsidRPr="00477F2B">
              <w:rPr>
                <w:rStyle w:val="Hyperlink"/>
                <w:noProof/>
              </w:rPr>
              <w:t>Application summary - reasons for proposal</w:t>
            </w:r>
            <w:r w:rsidR="009B6554">
              <w:rPr>
                <w:noProof/>
                <w:webHidden/>
              </w:rPr>
              <w:tab/>
            </w:r>
            <w:r w:rsidR="009B6554">
              <w:rPr>
                <w:noProof/>
                <w:webHidden/>
              </w:rPr>
              <w:fldChar w:fldCharType="begin"/>
            </w:r>
            <w:r w:rsidR="009B6554">
              <w:rPr>
                <w:noProof/>
                <w:webHidden/>
              </w:rPr>
              <w:instrText xml:space="preserve"> PAGEREF _Toc81903316 \h </w:instrText>
            </w:r>
            <w:r w:rsidR="009B6554">
              <w:rPr>
                <w:noProof/>
                <w:webHidden/>
              </w:rPr>
            </w:r>
            <w:r w:rsidR="009B6554">
              <w:rPr>
                <w:noProof/>
                <w:webHidden/>
              </w:rPr>
              <w:fldChar w:fldCharType="separate"/>
            </w:r>
            <w:r w:rsidR="009B6554">
              <w:rPr>
                <w:noProof/>
                <w:webHidden/>
              </w:rPr>
              <w:t>20</w:t>
            </w:r>
            <w:r w:rsidR="009B6554">
              <w:rPr>
                <w:noProof/>
                <w:webHidden/>
              </w:rPr>
              <w:fldChar w:fldCharType="end"/>
            </w:r>
          </w:hyperlink>
        </w:p>
        <w:p w14:paraId="5367C208" w14:textId="36AFDA5D" w:rsidR="009B6554" w:rsidRDefault="00672188">
          <w:pPr>
            <w:pStyle w:val="TOC3"/>
            <w:rPr>
              <w:rFonts w:asciiTheme="minorHAnsi" w:eastAsiaTheme="minorEastAsia" w:hAnsiTheme="minorHAnsi" w:cstheme="minorBidi"/>
              <w:b w:val="0"/>
              <w:noProof/>
              <w:szCs w:val="22"/>
              <w:lang w:eastAsia="en-AU"/>
            </w:rPr>
          </w:pPr>
          <w:hyperlink w:anchor="_Toc81903317" w:history="1">
            <w:r w:rsidR="009B6554" w:rsidRPr="00477F2B">
              <w:rPr>
                <w:rStyle w:val="Hyperlink"/>
                <w:noProof/>
              </w:rPr>
              <w:t>Australian regulations</w:t>
            </w:r>
            <w:r w:rsidR="009B6554">
              <w:rPr>
                <w:noProof/>
                <w:webHidden/>
              </w:rPr>
              <w:tab/>
            </w:r>
            <w:r w:rsidR="009B6554">
              <w:rPr>
                <w:noProof/>
                <w:webHidden/>
              </w:rPr>
              <w:fldChar w:fldCharType="begin"/>
            </w:r>
            <w:r w:rsidR="009B6554">
              <w:rPr>
                <w:noProof/>
                <w:webHidden/>
              </w:rPr>
              <w:instrText xml:space="preserve"> PAGEREF _Toc81903317 \h </w:instrText>
            </w:r>
            <w:r w:rsidR="009B6554">
              <w:rPr>
                <w:noProof/>
                <w:webHidden/>
              </w:rPr>
            </w:r>
            <w:r w:rsidR="009B6554">
              <w:rPr>
                <w:noProof/>
                <w:webHidden/>
              </w:rPr>
              <w:fldChar w:fldCharType="separate"/>
            </w:r>
            <w:r w:rsidR="009B6554">
              <w:rPr>
                <w:noProof/>
                <w:webHidden/>
              </w:rPr>
              <w:t>20</w:t>
            </w:r>
            <w:r w:rsidR="009B6554">
              <w:rPr>
                <w:noProof/>
                <w:webHidden/>
              </w:rPr>
              <w:fldChar w:fldCharType="end"/>
            </w:r>
          </w:hyperlink>
        </w:p>
        <w:p w14:paraId="4E8B9A60" w14:textId="4AB130D6" w:rsidR="009B6554" w:rsidRDefault="00672188">
          <w:pPr>
            <w:pStyle w:val="TOC3"/>
            <w:rPr>
              <w:rFonts w:asciiTheme="minorHAnsi" w:eastAsiaTheme="minorEastAsia" w:hAnsiTheme="minorHAnsi" w:cstheme="minorBidi"/>
              <w:b w:val="0"/>
              <w:noProof/>
              <w:szCs w:val="22"/>
              <w:lang w:eastAsia="en-AU"/>
            </w:rPr>
          </w:pPr>
          <w:hyperlink w:anchor="_Toc81903318" w:history="1">
            <w:r w:rsidR="009B6554" w:rsidRPr="00477F2B">
              <w:rPr>
                <w:rStyle w:val="Hyperlink"/>
                <w:noProof/>
              </w:rPr>
              <w:t>International regulations</w:t>
            </w:r>
            <w:r w:rsidR="009B6554">
              <w:rPr>
                <w:noProof/>
                <w:webHidden/>
              </w:rPr>
              <w:tab/>
            </w:r>
            <w:r w:rsidR="009B6554">
              <w:rPr>
                <w:noProof/>
                <w:webHidden/>
              </w:rPr>
              <w:fldChar w:fldCharType="begin"/>
            </w:r>
            <w:r w:rsidR="009B6554">
              <w:rPr>
                <w:noProof/>
                <w:webHidden/>
              </w:rPr>
              <w:instrText xml:space="preserve"> PAGEREF _Toc81903318 \h </w:instrText>
            </w:r>
            <w:r w:rsidR="009B6554">
              <w:rPr>
                <w:noProof/>
                <w:webHidden/>
              </w:rPr>
            </w:r>
            <w:r w:rsidR="009B6554">
              <w:rPr>
                <w:noProof/>
                <w:webHidden/>
              </w:rPr>
              <w:fldChar w:fldCharType="separate"/>
            </w:r>
            <w:r w:rsidR="009B6554">
              <w:rPr>
                <w:noProof/>
                <w:webHidden/>
              </w:rPr>
              <w:t>21</w:t>
            </w:r>
            <w:r w:rsidR="009B6554">
              <w:rPr>
                <w:noProof/>
                <w:webHidden/>
              </w:rPr>
              <w:fldChar w:fldCharType="end"/>
            </w:r>
          </w:hyperlink>
        </w:p>
        <w:p w14:paraId="5CAE3D2C" w14:textId="3DDC3785" w:rsidR="009B6554" w:rsidRDefault="00672188">
          <w:pPr>
            <w:pStyle w:val="TOC1"/>
            <w:tabs>
              <w:tab w:val="left" w:pos="425"/>
            </w:tabs>
            <w:rPr>
              <w:rFonts w:asciiTheme="minorHAnsi" w:eastAsiaTheme="minorEastAsia" w:hAnsiTheme="minorHAnsi" w:cstheme="minorBidi"/>
              <w:b w:val="0"/>
              <w:noProof/>
              <w:sz w:val="22"/>
              <w:szCs w:val="22"/>
              <w:lang w:eastAsia="en-AU"/>
            </w:rPr>
          </w:pPr>
          <w:hyperlink w:anchor="_Toc81903319" w:history="1">
            <w:r w:rsidR="009B6554" w:rsidRPr="00477F2B">
              <w:rPr>
                <w:rStyle w:val="Hyperlink"/>
                <w:noProof/>
              </w:rPr>
              <w:t>3</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Proposed amendments referred for scheduling advice to the Joint ACMS-ACCS #29</w:t>
            </w:r>
            <w:r w:rsidR="009B6554">
              <w:rPr>
                <w:noProof/>
                <w:webHidden/>
              </w:rPr>
              <w:tab/>
            </w:r>
            <w:r w:rsidR="009B6554">
              <w:rPr>
                <w:noProof/>
                <w:webHidden/>
              </w:rPr>
              <w:fldChar w:fldCharType="begin"/>
            </w:r>
            <w:r w:rsidR="009B6554">
              <w:rPr>
                <w:noProof/>
                <w:webHidden/>
              </w:rPr>
              <w:instrText xml:space="preserve"> PAGEREF _Toc81903319 \h </w:instrText>
            </w:r>
            <w:r w:rsidR="009B6554">
              <w:rPr>
                <w:noProof/>
                <w:webHidden/>
              </w:rPr>
            </w:r>
            <w:r w:rsidR="009B6554">
              <w:rPr>
                <w:noProof/>
                <w:webHidden/>
              </w:rPr>
              <w:fldChar w:fldCharType="separate"/>
            </w:r>
            <w:r w:rsidR="009B6554">
              <w:rPr>
                <w:noProof/>
                <w:webHidden/>
              </w:rPr>
              <w:t>23</w:t>
            </w:r>
            <w:r w:rsidR="009B6554">
              <w:rPr>
                <w:noProof/>
                <w:webHidden/>
              </w:rPr>
              <w:fldChar w:fldCharType="end"/>
            </w:r>
          </w:hyperlink>
        </w:p>
        <w:p w14:paraId="236DBB32" w14:textId="5AEE72F2" w:rsidR="009B6554" w:rsidRDefault="00672188">
          <w:pPr>
            <w:pStyle w:val="TOC2"/>
            <w:tabs>
              <w:tab w:val="left" w:pos="1276"/>
            </w:tabs>
            <w:rPr>
              <w:rFonts w:asciiTheme="minorHAnsi" w:eastAsiaTheme="minorEastAsia" w:hAnsiTheme="minorHAnsi" w:cstheme="minorBidi"/>
              <w:b w:val="0"/>
              <w:noProof/>
              <w:sz w:val="22"/>
              <w:szCs w:val="22"/>
              <w:lang w:eastAsia="en-AU"/>
            </w:rPr>
          </w:pPr>
          <w:hyperlink w:anchor="_Toc81903320" w:history="1">
            <w:r w:rsidR="009B6554" w:rsidRPr="00477F2B">
              <w:rPr>
                <w:rStyle w:val="Hyperlink"/>
                <w:noProof/>
              </w:rPr>
              <w:t>3.1</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Cis-jasmone</w:t>
            </w:r>
            <w:r w:rsidR="009B6554">
              <w:rPr>
                <w:noProof/>
                <w:webHidden/>
              </w:rPr>
              <w:tab/>
            </w:r>
            <w:r w:rsidR="009B6554">
              <w:rPr>
                <w:noProof/>
                <w:webHidden/>
              </w:rPr>
              <w:fldChar w:fldCharType="begin"/>
            </w:r>
            <w:r w:rsidR="009B6554">
              <w:rPr>
                <w:noProof/>
                <w:webHidden/>
              </w:rPr>
              <w:instrText xml:space="preserve"> PAGEREF _Toc81903320 \h </w:instrText>
            </w:r>
            <w:r w:rsidR="009B6554">
              <w:rPr>
                <w:noProof/>
                <w:webHidden/>
              </w:rPr>
            </w:r>
            <w:r w:rsidR="009B6554">
              <w:rPr>
                <w:noProof/>
                <w:webHidden/>
              </w:rPr>
              <w:fldChar w:fldCharType="separate"/>
            </w:r>
            <w:r w:rsidR="009B6554">
              <w:rPr>
                <w:noProof/>
                <w:webHidden/>
              </w:rPr>
              <w:t>23</w:t>
            </w:r>
            <w:r w:rsidR="009B6554">
              <w:rPr>
                <w:noProof/>
                <w:webHidden/>
              </w:rPr>
              <w:fldChar w:fldCharType="end"/>
            </w:r>
          </w:hyperlink>
        </w:p>
        <w:p w14:paraId="43B32A75" w14:textId="5FF97D7C" w:rsidR="009B6554" w:rsidRDefault="00672188">
          <w:pPr>
            <w:pStyle w:val="TOC3"/>
            <w:rPr>
              <w:rFonts w:asciiTheme="minorHAnsi" w:eastAsiaTheme="minorEastAsia" w:hAnsiTheme="minorHAnsi" w:cstheme="minorBidi"/>
              <w:b w:val="0"/>
              <w:noProof/>
              <w:szCs w:val="22"/>
              <w:lang w:eastAsia="en-AU"/>
            </w:rPr>
          </w:pPr>
          <w:hyperlink w:anchor="_Toc81903321" w:history="1">
            <w:r w:rsidR="009B6554" w:rsidRPr="00477F2B">
              <w:rPr>
                <w:rStyle w:val="Hyperlink"/>
                <w:noProof/>
              </w:rPr>
              <w:t>Proposal</w:t>
            </w:r>
            <w:r w:rsidR="009B6554">
              <w:rPr>
                <w:noProof/>
                <w:webHidden/>
              </w:rPr>
              <w:tab/>
            </w:r>
            <w:r w:rsidR="009B6554">
              <w:rPr>
                <w:noProof/>
                <w:webHidden/>
              </w:rPr>
              <w:fldChar w:fldCharType="begin"/>
            </w:r>
            <w:r w:rsidR="009B6554">
              <w:rPr>
                <w:noProof/>
                <w:webHidden/>
              </w:rPr>
              <w:instrText xml:space="preserve"> PAGEREF _Toc81903321 \h </w:instrText>
            </w:r>
            <w:r w:rsidR="009B6554">
              <w:rPr>
                <w:noProof/>
                <w:webHidden/>
              </w:rPr>
            </w:r>
            <w:r w:rsidR="009B6554">
              <w:rPr>
                <w:noProof/>
                <w:webHidden/>
              </w:rPr>
              <w:fldChar w:fldCharType="separate"/>
            </w:r>
            <w:r w:rsidR="009B6554">
              <w:rPr>
                <w:noProof/>
                <w:webHidden/>
              </w:rPr>
              <w:t>23</w:t>
            </w:r>
            <w:r w:rsidR="009B6554">
              <w:rPr>
                <w:noProof/>
                <w:webHidden/>
              </w:rPr>
              <w:fldChar w:fldCharType="end"/>
            </w:r>
          </w:hyperlink>
        </w:p>
        <w:p w14:paraId="4B70944F" w14:textId="4825D1C3" w:rsidR="009B6554" w:rsidRDefault="00672188">
          <w:pPr>
            <w:pStyle w:val="TOC3"/>
            <w:rPr>
              <w:rFonts w:asciiTheme="minorHAnsi" w:eastAsiaTheme="minorEastAsia" w:hAnsiTheme="minorHAnsi" w:cstheme="minorBidi"/>
              <w:b w:val="0"/>
              <w:noProof/>
              <w:szCs w:val="22"/>
              <w:lang w:eastAsia="en-AU"/>
            </w:rPr>
          </w:pPr>
          <w:hyperlink w:anchor="_Toc81903322" w:history="1">
            <w:r w:rsidR="009B6554" w:rsidRPr="00477F2B">
              <w:rPr>
                <w:rStyle w:val="Hyperlink"/>
                <w:noProof/>
              </w:rPr>
              <w:t>CAS Number:</w:t>
            </w:r>
            <w:r w:rsidR="009B6554">
              <w:rPr>
                <w:noProof/>
                <w:webHidden/>
              </w:rPr>
              <w:tab/>
            </w:r>
            <w:r w:rsidR="009B6554">
              <w:rPr>
                <w:noProof/>
                <w:webHidden/>
              </w:rPr>
              <w:fldChar w:fldCharType="begin"/>
            </w:r>
            <w:r w:rsidR="009B6554">
              <w:rPr>
                <w:noProof/>
                <w:webHidden/>
              </w:rPr>
              <w:instrText xml:space="preserve"> PAGEREF _Toc81903322 \h </w:instrText>
            </w:r>
            <w:r w:rsidR="009B6554">
              <w:rPr>
                <w:noProof/>
                <w:webHidden/>
              </w:rPr>
            </w:r>
            <w:r w:rsidR="009B6554">
              <w:rPr>
                <w:noProof/>
                <w:webHidden/>
              </w:rPr>
              <w:fldChar w:fldCharType="separate"/>
            </w:r>
            <w:r w:rsidR="009B6554">
              <w:rPr>
                <w:noProof/>
                <w:webHidden/>
              </w:rPr>
              <w:t>23</w:t>
            </w:r>
            <w:r w:rsidR="009B6554">
              <w:rPr>
                <w:noProof/>
                <w:webHidden/>
              </w:rPr>
              <w:fldChar w:fldCharType="end"/>
            </w:r>
          </w:hyperlink>
        </w:p>
        <w:p w14:paraId="38F67151" w14:textId="60A5237B" w:rsidR="009B6554" w:rsidRDefault="00672188">
          <w:pPr>
            <w:pStyle w:val="TOC3"/>
            <w:rPr>
              <w:rFonts w:asciiTheme="minorHAnsi" w:eastAsiaTheme="minorEastAsia" w:hAnsiTheme="minorHAnsi" w:cstheme="minorBidi"/>
              <w:b w:val="0"/>
              <w:noProof/>
              <w:szCs w:val="22"/>
              <w:lang w:eastAsia="en-AU"/>
            </w:rPr>
          </w:pPr>
          <w:hyperlink w:anchor="_Toc81903323" w:history="1">
            <w:r w:rsidR="009B6554" w:rsidRPr="00477F2B">
              <w:rPr>
                <w:rStyle w:val="Hyperlink"/>
                <w:noProof/>
              </w:rPr>
              <w:t>Alternative names</w:t>
            </w:r>
            <w:r w:rsidR="009B6554">
              <w:rPr>
                <w:noProof/>
                <w:webHidden/>
              </w:rPr>
              <w:tab/>
            </w:r>
            <w:r w:rsidR="009B6554">
              <w:rPr>
                <w:noProof/>
                <w:webHidden/>
              </w:rPr>
              <w:fldChar w:fldCharType="begin"/>
            </w:r>
            <w:r w:rsidR="009B6554">
              <w:rPr>
                <w:noProof/>
                <w:webHidden/>
              </w:rPr>
              <w:instrText xml:space="preserve"> PAGEREF _Toc81903323 \h </w:instrText>
            </w:r>
            <w:r w:rsidR="009B6554">
              <w:rPr>
                <w:noProof/>
                <w:webHidden/>
              </w:rPr>
            </w:r>
            <w:r w:rsidR="009B6554">
              <w:rPr>
                <w:noProof/>
                <w:webHidden/>
              </w:rPr>
              <w:fldChar w:fldCharType="separate"/>
            </w:r>
            <w:r w:rsidR="009B6554">
              <w:rPr>
                <w:noProof/>
                <w:webHidden/>
              </w:rPr>
              <w:t>23</w:t>
            </w:r>
            <w:r w:rsidR="009B6554">
              <w:rPr>
                <w:noProof/>
                <w:webHidden/>
              </w:rPr>
              <w:fldChar w:fldCharType="end"/>
            </w:r>
          </w:hyperlink>
        </w:p>
        <w:p w14:paraId="6166095D" w14:textId="3A441B74" w:rsidR="009B6554" w:rsidRDefault="00672188">
          <w:pPr>
            <w:pStyle w:val="TOC3"/>
            <w:rPr>
              <w:rFonts w:asciiTheme="minorHAnsi" w:eastAsiaTheme="minorEastAsia" w:hAnsiTheme="minorHAnsi" w:cstheme="minorBidi"/>
              <w:b w:val="0"/>
              <w:noProof/>
              <w:szCs w:val="22"/>
              <w:lang w:eastAsia="en-AU"/>
            </w:rPr>
          </w:pPr>
          <w:hyperlink w:anchor="_Toc81903324" w:history="1">
            <w:r w:rsidR="009B6554" w:rsidRPr="00477F2B">
              <w:rPr>
                <w:rStyle w:val="Hyperlink"/>
                <w:noProof/>
              </w:rPr>
              <w:t>Applicant</w:t>
            </w:r>
            <w:r w:rsidR="009B6554">
              <w:rPr>
                <w:noProof/>
                <w:webHidden/>
              </w:rPr>
              <w:tab/>
            </w:r>
            <w:r w:rsidR="009B6554">
              <w:rPr>
                <w:noProof/>
                <w:webHidden/>
              </w:rPr>
              <w:fldChar w:fldCharType="begin"/>
            </w:r>
            <w:r w:rsidR="009B6554">
              <w:rPr>
                <w:noProof/>
                <w:webHidden/>
              </w:rPr>
              <w:instrText xml:space="preserve"> PAGEREF _Toc81903324 \h </w:instrText>
            </w:r>
            <w:r w:rsidR="009B6554">
              <w:rPr>
                <w:noProof/>
                <w:webHidden/>
              </w:rPr>
            </w:r>
            <w:r w:rsidR="009B6554">
              <w:rPr>
                <w:noProof/>
                <w:webHidden/>
              </w:rPr>
              <w:fldChar w:fldCharType="separate"/>
            </w:r>
            <w:r w:rsidR="009B6554">
              <w:rPr>
                <w:noProof/>
                <w:webHidden/>
              </w:rPr>
              <w:t>23</w:t>
            </w:r>
            <w:r w:rsidR="009B6554">
              <w:rPr>
                <w:noProof/>
                <w:webHidden/>
              </w:rPr>
              <w:fldChar w:fldCharType="end"/>
            </w:r>
          </w:hyperlink>
        </w:p>
        <w:p w14:paraId="228225EE" w14:textId="4CA721F6" w:rsidR="009B6554" w:rsidRDefault="00672188">
          <w:pPr>
            <w:pStyle w:val="TOC3"/>
            <w:rPr>
              <w:rFonts w:asciiTheme="minorHAnsi" w:eastAsiaTheme="minorEastAsia" w:hAnsiTheme="minorHAnsi" w:cstheme="minorBidi"/>
              <w:b w:val="0"/>
              <w:noProof/>
              <w:szCs w:val="22"/>
              <w:lang w:eastAsia="en-AU"/>
            </w:rPr>
          </w:pPr>
          <w:hyperlink w:anchor="_Toc81903325" w:history="1">
            <w:r w:rsidR="009B6554" w:rsidRPr="00477F2B">
              <w:rPr>
                <w:rStyle w:val="Hyperlink"/>
                <w:noProof/>
              </w:rPr>
              <w:t>Current scheduling</w:t>
            </w:r>
            <w:r w:rsidR="009B6554">
              <w:rPr>
                <w:noProof/>
                <w:webHidden/>
              </w:rPr>
              <w:tab/>
            </w:r>
            <w:r w:rsidR="009B6554">
              <w:rPr>
                <w:noProof/>
                <w:webHidden/>
              </w:rPr>
              <w:fldChar w:fldCharType="begin"/>
            </w:r>
            <w:r w:rsidR="009B6554">
              <w:rPr>
                <w:noProof/>
                <w:webHidden/>
              </w:rPr>
              <w:instrText xml:space="preserve"> PAGEREF _Toc81903325 \h </w:instrText>
            </w:r>
            <w:r w:rsidR="009B6554">
              <w:rPr>
                <w:noProof/>
                <w:webHidden/>
              </w:rPr>
            </w:r>
            <w:r w:rsidR="009B6554">
              <w:rPr>
                <w:noProof/>
                <w:webHidden/>
              </w:rPr>
              <w:fldChar w:fldCharType="separate"/>
            </w:r>
            <w:r w:rsidR="009B6554">
              <w:rPr>
                <w:noProof/>
                <w:webHidden/>
              </w:rPr>
              <w:t>23</w:t>
            </w:r>
            <w:r w:rsidR="009B6554">
              <w:rPr>
                <w:noProof/>
                <w:webHidden/>
              </w:rPr>
              <w:fldChar w:fldCharType="end"/>
            </w:r>
          </w:hyperlink>
        </w:p>
        <w:p w14:paraId="75F5D993" w14:textId="37532BA5" w:rsidR="009B6554" w:rsidRDefault="00672188">
          <w:pPr>
            <w:pStyle w:val="TOC3"/>
            <w:rPr>
              <w:rFonts w:asciiTheme="minorHAnsi" w:eastAsiaTheme="minorEastAsia" w:hAnsiTheme="minorHAnsi" w:cstheme="minorBidi"/>
              <w:b w:val="0"/>
              <w:noProof/>
              <w:szCs w:val="22"/>
              <w:lang w:eastAsia="en-AU"/>
            </w:rPr>
          </w:pPr>
          <w:hyperlink w:anchor="_Toc81903326" w:history="1">
            <w:r w:rsidR="009B6554" w:rsidRPr="00477F2B">
              <w:rPr>
                <w:rStyle w:val="Hyperlink"/>
                <w:noProof/>
              </w:rPr>
              <w:t>Proposed scheduling</w:t>
            </w:r>
            <w:r w:rsidR="009B6554">
              <w:rPr>
                <w:noProof/>
                <w:webHidden/>
              </w:rPr>
              <w:tab/>
            </w:r>
            <w:r w:rsidR="009B6554">
              <w:rPr>
                <w:noProof/>
                <w:webHidden/>
              </w:rPr>
              <w:fldChar w:fldCharType="begin"/>
            </w:r>
            <w:r w:rsidR="009B6554">
              <w:rPr>
                <w:noProof/>
                <w:webHidden/>
              </w:rPr>
              <w:instrText xml:space="preserve"> PAGEREF _Toc81903326 \h </w:instrText>
            </w:r>
            <w:r w:rsidR="009B6554">
              <w:rPr>
                <w:noProof/>
                <w:webHidden/>
              </w:rPr>
            </w:r>
            <w:r w:rsidR="009B6554">
              <w:rPr>
                <w:noProof/>
                <w:webHidden/>
              </w:rPr>
              <w:fldChar w:fldCharType="separate"/>
            </w:r>
            <w:r w:rsidR="009B6554">
              <w:rPr>
                <w:noProof/>
                <w:webHidden/>
              </w:rPr>
              <w:t>23</w:t>
            </w:r>
            <w:r w:rsidR="009B6554">
              <w:rPr>
                <w:noProof/>
                <w:webHidden/>
              </w:rPr>
              <w:fldChar w:fldCharType="end"/>
            </w:r>
          </w:hyperlink>
        </w:p>
        <w:p w14:paraId="73A8CC7E" w14:textId="6E0BCEDA" w:rsidR="009B6554" w:rsidRDefault="00672188">
          <w:pPr>
            <w:pStyle w:val="TOC3"/>
            <w:rPr>
              <w:rFonts w:asciiTheme="minorHAnsi" w:eastAsiaTheme="minorEastAsia" w:hAnsiTheme="minorHAnsi" w:cstheme="minorBidi"/>
              <w:b w:val="0"/>
              <w:noProof/>
              <w:szCs w:val="22"/>
              <w:lang w:eastAsia="en-AU"/>
            </w:rPr>
          </w:pPr>
          <w:hyperlink w:anchor="_Toc81903327" w:history="1">
            <w:r w:rsidR="009B6554" w:rsidRPr="00477F2B">
              <w:rPr>
                <w:rStyle w:val="Hyperlink"/>
                <w:noProof/>
              </w:rPr>
              <w:t>Key uses / expected use</w:t>
            </w:r>
            <w:r w:rsidR="009B6554">
              <w:rPr>
                <w:noProof/>
                <w:webHidden/>
              </w:rPr>
              <w:tab/>
            </w:r>
            <w:r w:rsidR="009B6554">
              <w:rPr>
                <w:noProof/>
                <w:webHidden/>
              </w:rPr>
              <w:fldChar w:fldCharType="begin"/>
            </w:r>
            <w:r w:rsidR="009B6554">
              <w:rPr>
                <w:noProof/>
                <w:webHidden/>
              </w:rPr>
              <w:instrText xml:space="preserve"> PAGEREF _Toc81903327 \h </w:instrText>
            </w:r>
            <w:r w:rsidR="009B6554">
              <w:rPr>
                <w:noProof/>
                <w:webHidden/>
              </w:rPr>
            </w:r>
            <w:r w:rsidR="009B6554">
              <w:rPr>
                <w:noProof/>
                <w:webHidden/>
              </w:rPr>
              <w:fldChar w:fldCharType="separate"/>
            </w:r>
            <w:r w:rsidR="009B6554">
              <w:rPr>
                <w:noProof/>
                <w:webHidden/>
              </w:rPr>
              <w:t>23</w:t>
            </w:r>
            <w:r w:rsidR="009B6554">
              <w:rPr>
                <w:noProof/>
                <w:webHidden/>
              </w:rPr>
              <w:fldChar w:fldCharType="end"/>
            </w:r>
          </w:hyperlink>
        </w:p>
        <w:p w14:paraId="2DB9F3C9" w14:textId="1546587B" w:rsidR="009B6554" w:rsidRDefault="00672188">
          <w:pPr>
            <w:pStyle w:val="TOC3"/>
            <w:rPr>
              <w:rFonts w:asciiTheme="minorHAnsi" w:eastAsiaTheme="minorEastAsia" w:hAnsiTheme="minorHAnsi" w:cstheme="minorBidi"/>
              <w:b w:val="0"/>
              <w:noProof/>
              <w:szCs w:val="22"/>
              <w:lang w:eastAsia="en-AU"/>
            </w:rPr>
          </w:pPr>
          <w:hyperlink w:anchor="_Toc81903328" w:history="1">
            <w:r w:rsidR="009B6554" w:rsidRPr="00477F2B">
              <w:rPr>
                <w:rStyle w:val="Hyperlink"/>
                <w:noProof/>
              </w:rPr>
              <w:t>Application summary - reasons for proposal</w:t>
            </w:r>
            <w:r w:rsidR="009B6554">
              <w:rPr>
                <w:noProof/>
                <w:webHidden/>
              </w:rPr>
              <w:tab/>
            </w:r>
            <w:r w:rsidR="009B6554">
              <w:rPr>
                <w:noProof/>
                <w:webHidden/>
              </w:rPr>
              <w:fldChar w:fldCharType="begin"/>
            </w:r>
            <w:r w:rsidR="009B6554">
              <w:rPr>
                <w:noProof/>
                <w:webHidden/>
              </w:rPr>
              <w:instrText xml:space="preserve"> PAGEREF _Toc81903328 \h </w:instrText>
            </w:r>
            <w:r w:rsidR="009B6554">
              <w:rPr>
                <w:noProof/>
                <w:webHidden/>
              </w:rPr>
            </w:r>
            <w:r w:rsidR="009B6554">
              <w:rPr>
                <w:noProof/>
                <w:webHidden/>
              </w:rPr>
              <w:fldChar w:fldCharType="separate"/>
            </w:r>
            <w:r w:rsidR="009B6554">
              <w:rPr>
                <w:noProof/>
                <w:webHidden/>
              </w:rPr>
              <w:t>24</w:t>
            </w:r>
            <w:r w:rsidR="009B6554">
              <w:rPr>
                <w:noProof/>
                <w:webHidden/>
              </w:rPr>
              <w:fldChar w:fldCharType="end"/>
            </w:r>
          </w:hyperlink>
        </w:p>
        <w:p w14:paraId="51CA4328" w14:textId="43FFBF3C" w:rsidR="009B6554" w:rsidRDefault="00672188">
          <w:pPr>
            <w:pStyle w:val="TOC3"/>
            <w:rPr>
              <w:rFonts w:asciiTheme="minorHAnsi" w:eastAsiaTheme="minorEastAsia" w:hAnsiTheme="minorHAnsi" w:cstheme="minorBidi"/>
              <w:b w:val="0"/>
              <w:noProof/>
              <w:szCs w:val="22"/>
              <w:lang w:eastAsia="en-AU"/>
            </w:rPr>
          </w:pPr>
          <w:hyperlink w:anchor="_Toc81903329" w:history="1">
            <w:r w:rsidR="009B6554" w:rsidRPr="00477F2B">
              <w:rPr>
                <w:rStyle w:val="Hyperlink"/>
                <w:noProof/>
              </w:rPr>
              <w:t>Australian regulations</w:t>
            </w:r>
            <w:r w:rsidR="009B6554">
              <w:rPr>
                <w:noProof/>
                <w:webHidden/>
              </w:rPr>
              <w:tab/>
            </w:r>
            <w:r w:rsidR="009B6554">
              <w:rPr>
                <w:noProof/>
                <w:webHidden/>
              </w:rPr>
              <w:fldChar w:fldCharType="begin"/>
            </w:r>
            <w:r w:rsidR="009B6554">
              <w:rPr>
                <w:noProof/>
                <w:webHidden/>
              </w:rPr>
              <w:instrText xml:space="preserve"> PAGEREF _Toc81903329 \h </w:instrText>
            </w:r>
            <w:r w:rsidR="009B6554">
              <w:rPr>
                <w:noProof/>
                <w:webHidden/>
              </w:rPr>
            </w:r>
            <w:r w:rsidR="009B6554">
              <w:rPr>
                <w:noProof/>
                <w:webHidden/>
              </w:rPr>
              <w:fldChar w:fldCharType="separate"/>
            </w:r>
            <w:r w:rsidR="009B6554">
              <w:rPr>
                <w:noProof/>
                <w:webHidden/>
              </w:rPr>
              <w:t>24</w:t>
            </w:r>
            <w:r w:rsidR="009B6554">
              <w:rPr>
                <w:noProof/>
                <w:webHidden/>
              </w:rPr>
              <w:fldChar w:fldCharType="end"/>
            </w:r>
          </w:hyperlink>
        </w:p>
        <w:p w14:paraId="577F26E7" w14:textId="3313D2BB" w:rsidR="009B6554" w:rsidRDefault="00672188">
          <w:pPr>
            <w:pStyle w:val="TOC3"/>
            <w:rPr>
              <w:rFonts w:asciiTheme="minorHAnsi" w:eastAsiaTheme="minorEastAsia" w:hAnsiTheme="minorHAnsi" w:cstheme="minorBidi"/>
              <w:b w:val="0"/>
              <w:noProof/>
              <w:szCs w:val="22"/>
              <w:lang w:eastAsia="en-AU"/>
            </w:rPr>
          </w:pPr>
          <w:hyperlink w:anchor="_Toc81903330" w:history="1">
            <w:r w:rsidR="009B6554" w:rsidRPr="00477F2B">
              <w:rPr>
                <w:rStyle w:val="Hyperlink"/>
                <w:noProof/>
              </w:rPr>
              <w:t>International regulations</w:t>
            </w:r>
            <w:r w:rsidR="009B6554">
              <w:rPr>
                <w:noProof/>
                <w:webHidden/>
              </w:rPr>
              <w:tab/>
            </w:r>
            <w:r w:rsidR="009B6554">
              <w:rPr>
                <w:noProof/>
                <w:webHidden/>
              </w:rPr>
              <w:fldChar w:fldCharType="begin"/>
            </w:r>
            <w:r w:rsidR="009B6554">
              <w:rPr>
                <w:noProof/>
                <w:webHidden/>
              </w:rPr>
              <w:instrText xml:space="preserve"> PAGEREF _Toc81903330 \h </w:instrText>
            </w:r>
            <w:r w:rsidR="009B6554">
              <w:rPr>
                <w:noProof/>
                <w:webHidden/>
              </w:rPr>
            </w:r>
            <w:r w:rsidR="009B6554">
              <w:rPr>
                <w:noProof/>
                <w:webHidden/>
              </w:rPr>
              <w:fldChar w:fldCharType="separate"/>
            </w:r>
            <w:r w:rsidR="009B6554">
              <w:rPr>
                <w:noProof/>
                <w:webHidden/>
              </w:rPr>
              <w:t>25</w:t>
            </w:r>
            <w:r w:rsidR="009B6554">
              <w:rPr>
                <w:noProof/>
                <w:webHidden/>
              </w:rPr>
              <w:fldChar w:fldCharType="end"/>
            </w:r>
          </w:hyperlink>
        </w:p>
        <w:p w14:paraId="44044FCC" w14:textId="12040A23" w:rsidR="009B6554" w:rsidRDefault="00672188">
          <w:pPr>
            <w:pStyle w:val="TOC2"/>
            <w:tabs>
              <w:tab w:val="left" w:pos="1276"/>
            </w:tabs>
            <w:rPr>
              <w:rFonts w:asciiTheme="minorHAnsi" w:eastAsiaTheme="minorEastAsia" w:hAnsiTheme="minorHAnsi" w:cstheme="minorBidi"/>
              <w:b w:val="0"/>
              <w:noProof/>
              <w:sz w:val="22"/>
              <w:szCs w:val="22"/>
              <w:lang w:eastAsia="en-AU"/>
            </w:rPr>
          </w:pPr>
          <w:hyperlink w:anchor="_Toc81903331" w:history="1">
            <w:r w:rsidR="009B6554" w:rsidRPr="00477F2B">
              <w:rPr>
                <w:rStyle w:val="Hyperlink"/>
                <w:noProof/>
              </w:rPr>
              <w:t>3.2</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Cannabis and tetrahydrocannabinols</w:t>
            </w:r>
            <w:r w:rsidR="009B6554">
              <w:rPr>
                <w:noProof/>
                <w:webHidden/>
              </w:rPr>
              <w:tab/>
            </w:r>
            <w:r w:rsidR="009B6554">
              <w:rPr>
                <w:noProof/>
                <w:webHidden/>
              </w:rPr>
              <w:fldChar w:fldCharType="begin"/>
            </w:r>
            <w:r w:rsidR="009B6554">
              <w:rPr>
                <w:noProof/>
                <w:webHidden/>
              </w:rPr>
              <w:instrText xml:space="preserve"> PAGEREF _Toc81903331 \h </w:instrText>
            </w:r>
            <w:r w:rsidR="009B6554">
              <w:rPr>
                <w:noProof/>
                <w:webHidden/>
              </w:rPr>
            </w:r>
            <w:r w:rsidR="009B6554">
              <w:rPr>
                <w:noProof/>
                <w:webHidden/>
              </w:rPr>
              <w:fldChar w:fldCharType="separate"/>
            </w:r>
            <w:r w:rsidR="009B6554">
              <w:rPr>
                <w:noProof/>
                <w:webHidden/>
              </w:rPr>
              <w:t>26</w:t>
            </w:r>
            <w:r w:rsidR="009B6554">
              <w:rPr>
                <w:noProof/>
                <w:webHidden/>
              </w:rPr>
              <w:fldChar w:fldCharType="end"/>
            </w:r>
          </w:hyperlink>
        </w:p>
        <w:p w14:paraId="747623D1" w14:textId="64960AD1" w:rsidR="009B6554" w:rsidRDefault="00672188">
          <w:pPr>
            <w:pStyle w:val="TOC3"/>
            <w:rPr>
              <w:rFonts w:asciiTheme="minorHAnsi" w:eastAsiaTheme="minorEastAsia" w:hAnsiTheme="minorHAnsi" w:cstheme="minorBidi"/>
              <w:b w:val="0"/>
              <w:noProof/>
              <w:szCs w:val="22"/>
              <w:lang w:eastAsia="en-AU"/>
            </w:rPr>
          </w:pPr>
          <w:hyperlink w:anchor="_Toc81903332" w:history="1">
            <w:r w:rsidR="009B6554" w:rsidRPr="00477F2B">
              <w:rPr>
                <w:rStyle w:val="Hyperlink"/>
                <w:noProof/>
              </w:rPr>
              <w:t>Proposal</w:t>
            </w:r>
            <w:r w:rsidR="009B6554">
              <w:rPr>
                <w:noProof/>
                <w:webHidden/>
              </w:rPr>
              <w:tab/>
            </w:r>
            <w:r w:rsidR="009B6554">
              <w:rPr>
                <w:noProof/>
                <w:webHidden/>
              </w:rPr>
              <w:fldChar w:fldCharType="begin"/>
            </w:r>
            <w:r w:rsidR="009B6554">
              <w:rPr>
                <w:noProof/>
                <w:webHidden/>
              </w:rPr>
              <w:instrText xml:space="preserve"> PAGEREF _Toc81903332 \h </w:instrText>
            </w:r>
            <w:r w:rsidR="009B6554">
              <w:rPr>
                <w:noProof/>
                <w:webHidden/>
              </w:rPr>
            </w:r>
            <w:r w:rsidR="009B6554">
              <w:rPr>
                <w:noProof/>
                <w:webHidden/>
              </w:rPr>
              <w:fldChar w:fldCharType="separate"/>
            </w:r>
            <w:r w:rsidR="009B6554">
              <w:rPr>
                <w:noProof/>
                <w:webHidden/>
              </w:rPr>
              <w:t>26</w:t>
            </w:r>
            <w:r w:rsidR="009B6554">
              <w:rPr>
                <w:noProof/>
                <w:webHidden/>
              </w:rPr>
              <w:fldChar w:fldCharType="end"/>
            </w:r>
          </w:hyperlink>
        </w:p>
        <w:p w14:paraId="7348F98A" w14:textId="257FA60B" w:rsidR="009B6554" w:rsidRDefault="00672188">
          <w:pPr>
            <w:pStyle w:val="TOC3"/>
            <w:rPr>
              <w:rFonts w:asciiTheme="minorHAnsi" w:eastAsiaTheme="minorEastAsia" w:hAnsiTheme="minorHAnsi" w:cstheme="minorBidi"/>
              <w:b w:val="0"/>
              <w:noProof/>
              <w:szCs w:val="22"/>
              <w:lang w:eastAsia="en-AU"/>
            </w:rPr>
          </w:pPr>
          <w:hyperlink w:anchor="_Toc81903333" w:history="1">
            <w:r w:rsidR="009B6554" w:rsidRPr="00477F2B">
              <w:rPr>
                <w:rStyle w:val="Hyperlink"/>
                <w:noProof/>
              </w:rPr>
              <w:t>CAS Number:</w:t>
            </w:r>
            <w:r w:rsidR="009B6554">
              <w:rPr>
                <w:noProof/>
                <w:webHidden/>
              </w:rPr>
              <w:tab/>
            </w:r>
            <w:r w:rsidR="009B6554">
              <w:rPr>
                <w:noProof/>
                <w:webHidden/>
              </w:rPr>
              <w:fldChar w:fldCharType="begin"/>
            </w:r>
            <w:r w:rsidR="009B6554">
              <w:rPr>
                <w:noProof/>
                <w:webHidden/>
              </w:rPr>
              <w:instrText xml:space="preserve"> PAGEREF _Toc81903333 \h </w:instrText>
            </w:r>
            <w:r w:rsidR="009B6554">
              <w:rPr>
                <w:noProof/>
                <w:webHidden/>
              </w:rPr>
            </w:r>
            <w:r w:rsidR="009B6554">
              <w:rPr>
                <w:noProof/>
                <w:webHidden/>
              </w:rPr>
              <w:fldChar w:fldCharType="separate"/>
            </w:r>
            <w:r w:rsidR="009B6554">
              <w:rPr>
                <w:noProof/>
                <w:webHidden/>
              </w:rPr>
              <w:t>26</w:t>
            </w:r>
            <w:r w:rsidR="009B6554">
              <w:rPr>
                <w:noProof/>
                <w:webHidden/>
              </w:rPr>
              <w:fldChar w:fldCharType="end"/>
            </w:r>
          </w:hyperlink>
        </w:p>
        <w:p w14:paraId="519A23A2" w14:textId="44CD9D0A" w:rsidR="009B6554" w:rsidRDefault="00672188">
          <w:pPr>
            <w:pStyle w:val="TOC3"/>
            <w:rPr>
              <w:rFonts w:asciiTheme="minorHAnsi" w:eastAsiaTheme="minorEastAsia" w:hAnsiTheme="minorHAnsi" w:cstheme="minorBidi"/>
              <w:b w:val="0"/>
              <w:noProof/>
              <w:szCs w:val="22"/>
              <w:lang w:eastAsia="en-AU"/>
            </w:rPr>
          </w:pPr>
          <w:hyperlink w:anchor="_Toc81903334" w:history="1">
            <w:r w:rsidR="009B6554" w:rsidRPr="00477F2B">
              <w:rPr>
                <w:rStyle w:val="Hyperlink"/>
                <w:noProof/>
              </w:rPr>
              <w:t>Alternative names</w:t>
            </w:r>
            <w:r w:rsidR="009B6554">
              <w:rPr>
                <w:noProof/>
                <w:webHidden/>
              </w:rPr>
              <w:tab/>
            </w:r>
            <w:r w:rsidR="009B6554">
              <w:rPr>
                <w:noProof/>
                <w:webHidden/>
              </w:rPr>
              <w:fldChar w:fldCharType="begin"/>
            </w:r>
            <w:r w:rsidR="009B6554">
              <w:rPr>
                <w:noProof/>
                <w:webHidden/>
              </w:rPr>
              <w:instrText xml:space="preserve"> PAGEREF _Toc81903334 \h </w:instrText>
            </w:r>
            <w:r w:rsidR="009B6554">
              <w:rPr>
                <w:noProof/>
                <w:webHidden/>
              </w:rPr>
            </w:r>
            <w:r w:rsidR="009B6554">
              <w:rPr>
                <w:noProof/>
                <w:webHidden/>
              </w:rPr>
              <w:fldChar w:fldCharType="separate"/>
            </w:r>
            <w:r w:rsidR="009B6554">
              <w:rPr>
                <w:noProof/>
                <w:webHidden/>
              </w:rPr>
              <w:t>26</w:t>
            </w:r>
            <w:r w:rsidR="009B6554">
              <w:rPr>
                <w:noProof/>
                <w:webHidden/>
              </w:rPr>
              <w:fldChar w:fldCharType="end"/>
            </w:r>
          </w:hyperlink>
        </w:p>
        <w:p w14:paraId="2155EB79" w14:textId="7CDD19D7" w:rsidR="009B6554" w:rsidRDefault="00672188">
          <w:pPr>
            <w:pStyle w:val="TOC3"/>
            <w:rPr>
              <w:rFonts w:asciiTheme="minorHAnsi" w:eastAsiaTheme="minorEastAsia" w:hAnsiTheme="minorHAnsi" w:cstheme="minorBidi"/>
              <w:b w:val="0"/>
              <w:noProof/>
              <w:szCs w:val="22"/>
              <w:lang w:eastAsia="en-AU"/>
            </w:rPr>
          </w:pPr>
          <w:hyperlink w:anchor="_Toc81903335" w:history="1">
            <w:r w:rsidR="009B6554" w:rsidRPr="00477F2B">
              <w:rPr>
                <w:rStyle w:val="Hyperlink"/>
                <w:noProof/>
              </w:rPr>
              <w:t>Applicant</w:t>
            </w:r>
            <w:r w:rsidR="009B6554">
              <w:rPr>
                <w:noProof/>
                <w:webHidden/>
              </w:rPr>
              <w:tab/>
            </w:r>
            <w:r w:rsidR="009B6554">
              <w:rPr>
                <w:noProof/>
                <w:webHidden/>
              </w:rPr>
              <w:fldChar w:fldCharType="begin"/>
            </w:r>
            <w:r w:rsidR="009B6554">
              <w:rPr>
                <w:noProof/>
                <w:webHidden/>
              </w:rPr>
              <w:instrText xml:space="preserve"> PAGEREF _Toc81903335 \h </w:instrText>
            </w:r>
            <w:r w:rsidR="009B6554">
              <w:rPr>
                <w:noProof/>
                <w:webHidden/>
              </w:rPr>
            </w:r>
            <w:r w:rsidR="009B6554">
              <w:rPr>
                <w:noProof/>
                <w:webHidden/>
              </w:rPr>
              <w:fldChar w:fldCharType="separate"/>
            </w:r>
            <w:r w:rsidR="009B6554">
              <w:rPr>
                <w:noProof/>
                <w:webHidden/>
              </w:rPr>
              <w:t>26</w:t>
            </w:r>
            <w:r w:rsidR="009B6554">
              <w:rPr>
                <w:noProof/>
                <w:webHidden/>
              </w:rPr>
              <w:fldChar w:fldCharType="end"/>
            </w:r>
          </w:hyperlink>
        </w:p>
        <w:p w14:paraId="783750D4" w14:textId="1C3A4AC4" w:rsidR="009B6554" w:rsidRDefault="00672188">
          <w:pPr>
            <w:pStyle w:val="TOC3"/>
            <w:rPr>
              <w:rFonts w:asciiTheme="minorHAnsi" w:eastAsiaTheme="minorEastAsia" w:hAnsiTheme="minorHAnsi" w:cstheme="minorBidi"/>
              <w:b w:val="0"/>
              <w:noProof/>
              <w:szCs w:val="22"/>
              <w:lang w:eastAsia="en-AU"/>
            </w:rPr>
          </w:pPr>
          <w:hyperlink w:anchor="_Toc81903336" w:history="1">
            <w:r w:rsidR="009B6554" w:rsidRPr="00477F2B">
              <w:rPr>
                <w:rStyle w:val="Hyperlink"/>
                <w:noProof/>
              </w:rPr>
              <w:t>Current scheduling</w:t>
            </w:r>
            <w:r w:rsidR="009B6554">
              <w:rPr>
                <w:noProof/>
                <w:webHidden/>
              </w:rPr>
              <w:tab/>
            </w:r>
            <w:r w:rsidR="009B6554">
              <w:rPr>
                <w:noProof/>
                <w:webHidden/>
              </w:rPr>
              <w:fldChar w:fldCharType="begin"/>
            </w:r>
            <w:r w:rsidR="009B6554">
              <w:rPr>
                <w:noProof/>
                <w:webHidden/>
              </w:rPr>
              <w:instrText xml:space="preserve"> PAGEREF _Toc81903336 \h </w:instrText>
            </w:r>
            <w:r w:rsidR="009B6554">
              <w:rPr>
                <w:noProof/>
                <w:webHidden/>
              </w:rPr>
            </w:r>
            <w:r w:rsidR="009B6554">
              <w:rPr>
                <w:noProof/>
                <w:webHidden/>
              </w:rPr>
              <w:fldChar w:fldCharType="separate"/>
            </w:r>
            <w:r w:rsidR="009B6554">
              <w:rPr>
                <w:noProof/>
                <w:webHidden/>
              </w:rPr>
              <w:t>27</w:t>
            </w:r>
            <w:r w:rsidR="009B6554">
              <w:rPr>
                <w:noProof/>
                <w:webHidden/>
              </w:rPr>
              <w:fldChar w:fldCharType="end"/>
            </w:r>
          </w:hyperlink>
        </w:p>
        <w:p w14:paraId="7D24C6FA" w14:textId="705411E5" w:rsidR="009B6554" w:rsidRDefault="00672188">
          <w:pPr>
            <w:pStyle w:val="TOC3"/>
            <w:rPr>
              <w:rFonts w:asciiTheme="minorHAnsi" w:eastAsiaTheme="minorEastAsia" w:hAnsiTheme="minorHAnsi" w:cstheme="minorBidi"/>
              <w:b w:val="0"/>
              <w:noProof/>
              <w:szCs w:val="22"/>
              <w:lang w:eastAsia="en-AU"/>
            </w:rPr>
          </w:pPr>
          <w:hyperlink w:anchor="_Toc81903337" w:history="1">
            <w:r w:rsidR="009B6554" w:rsidRPr="00477F2B">
              <w:rPr>
                <w:rStyle w:val="Hyperlink"/>
                <w:noProof/>
              </w:rPr>
              <w:t>Proposed scheduling</w:t>
            </w:r>
            <w:r w:rsidR="009B6554">
              <w:rPr>
                <w:noProof/>
                <w:webHidden/>
              </w:rPr>
              <w:tab/>
            </w:r>
            <w:r w:rsidR="009B6554">
              <w:rPr>
                <w:noProof/>
                <w:webHidden/>
              </w:rPr>
              <w:fldChar w:fldCharType="begin"/>
            </w:r>
            <w:r w:rsidR="009B6554">
              <w:rPr>
                <w:noProof/>
                <w:webHidden/>
              </w:rPr>
              <w:instrText xml:space="preserve"> PAGEREF _Toc81903337 \h </w:instrText>
            </w:r>
            <w:r w:rsidR="009B6554">
              <w:rPr>
                <w:noProof/>
                <w:webHidden/>
              </w:rPr>
            </w:r>
            <w:r w:rsidR="009B6554">
              <w:rPr>
                <w:noProof/>
                <w:webHidden/>
              </w:rPr>
              <w:fldChar w:fldCharType="separate"/>
            </w:r>
            <w:r w:rsidR="009B6554">
              <w:rPr>
                <w:noProof/>
                <w:webHidden/>
              </w:rPr>
              <w:t>28</w:t>
            </w:r>
            <w:r w:rsidR="009B6554">
              <w:rPr>
                <w:noProof/>
                <w:webHidden/>
              </w:rPr>
              <w:fldChar w:fldCharType="end"/>
            </w:r>
          </w:hyperlink>
        </w:p>
        <w:p w14:paraId="06F26FAB" w14:textId="4626D653" w:rsidR="009B6554" w:rsidRDefault="00672188">
          <w:pPr>
            <w:pStyle w:val="TOC3"/>
            <w:rPr>
              <w:rFonts w:asciiTheme="minorHAnsi" w:eastAsiaTheme="minorEastAsia" w:hAnsiTheme="minorHAnsi" w:cstheme="minorBidi"/>
              <w:b w:val="0"/>
              <w:noProof/>
              <w:szCs w:val="22"/>
              <w:lang w:eastAsia="en-AU"/>
            </w:rPr>
          </w:pPr>
          <w:hyperlink w:anchor="_Toc81903338" w:history="1">
            <w:r w:rsidR="009B6554" w:rsidRPr="00477F2B">
              <w:rPr>
                <w:rStyle w:val="Hyperlink"/>
                <w:noProof/>
              </w:rPr>
              <w:t>Key uses / expected use</w:t>
            </w:r>
            <w:r w:rsidR="009B6554">
              <w:rPr>
                <w:noProof/>
                <w:webHidden/>
              </w:rPr>
              <w:tab/>
            </w:r>
            <w:r w:rsidR="009B6554">
              <w:rPr>
                <w:noProof/>
                <w:webHidden/>
              </w:rPr>
              <w:fldChar w:fldCharType="begin"/>
            </w:r>
            <w:r w:rsidR="009B6554">
              <w:rPr>
                <w:noProof/>
                <w:webHidden/>
              </w:rPr>
              <w:instrText xml:space="preserve"> PAGEREF _Toc81903338 \h </w:instrText>
            </w:r>
            <w:r w:rsidR="009B6554">
              <w:rPr>
                <w:noProof/>
                <w:webHidden/>
              </w:rPr>
            </w:r>
            <w:r w:rsidR="009B6554">
              <w:rPr>
                <w:noProof/>
                <w:webHidden/>
              </w:rPr>
              <w:fldChar w:fldCharType="separate"/>
            </w:r>
            <w:r w:rsidR="009B6554">
              <w:rPr>
                <w:noProof/>
                <w:webHidden/>
              </w:rPr>
              <w:t>29</w:t>
            </w:r>
            <w:r w:rsidR="009B6554">
              <w:rPr>
                <w:noProof/>
                <w:webHidden/>
              </w:rPr>
              <w:fldChar w:fldCharType="end"/>
            </w:r>
          </w:hyperlink>
        </w:p>
        <w:p w14:paraId="1DB29691" w14:textId="6FBCADD2" w:rsidR="009B6554" w:rsidRDefault="00672188">
          <w:pPr>
            <w:pStyle w:val="TOC3"/>
            <w:rPr>
              <w:rFonts w:asciiTheme="minorHAnsi" w:eastAsiaTheme="minorEastAsia" w:hAnsiTheme="minorHAnsi" w:cstheme="minorBidi"/>
              <w:b w:val="0"/>
              <w:noProof/>
              <w:szCs w:val="22"/>
              <w:lang w:eastAsia="en-AU"/>
            </w:rPr>
          </w:pPr>
          <w:hyperlink w:anchor="_Toc81903339" w:history="1">
            <w:r w:rsidR="009B6554" w:rsidRPr="00477F2B">
              <w:rPr>
                <w:rStyle w:val="Hyperlink"/>
                <w:noProof/>
              </w:rPr>
              <w:t>Application summary - reasons for proposal</w:t>
            </w:r>
            <w:r w:rsidR="009B6554">
              <w:rPr>
                <w:noProof/>
                <w:webHidden/>
              </w:rPr>
              <w:tab/>
            </w:r>
            <w:r w:rsidR="009B6554">
              <w:rPr>
                <w:noProof/>
                <w:webHidden/>
              </w:rPr>
              <w:fldChar w:fldCharType="begin"/>
            </w:r>
            <w:r w:rsidR="009B6554">
              <w:rPr>
                <w:noProof/>
                <w:webHidden/>
              </w:rPr>
              <w:instrText xml:space="preserve"> PAGEREF _Toc81903339 \h </w:instrText>
            </w:r>
            <w:r w:rsidR="009B6554">
              <w:rPr>
                <w:noProof/>
                <w:webHidden/>
              </w:rPr>
            </w:r>
            <w:r w:rsidR="009B6554">
              <w:rPr>
                <w:noProof/>
                <w:webHidden/>
              </w:rPr>
              <w:fldChar w:fldCharType="separate"/>
            </w:r>
            <w:r w:rsidR="009B6554">
              <w:rPr>
                <w:noProof/>
                <w:webHidden/>
              </w:rPr>
              <w:t>29</w:t>
            </w:r>
            <w:r w:rsidR="009B6554">
              <w:rPr>
                <w:noProof/>
                <w:webHidden/>
              </w:rPr>
              <w:fldChar w:fldCharType="end"/>
            </w:r>
          </w:hyperlink>
        </w:p>
        <w:p w14:paraId="6746E8ED" w14:textId="7BD09F1E" w:rsidR="009B6554" w:rsidRDefault="00672188">
          <w:pPr>
            <w:pStyle w:val="TOC3"/>
            <w:rPr>
              <w:rFonts w:asciiTheme="minorHAnsi" w:eastAsiaTheme="minorEastAsia" w:hAnsiTheme="minorHAnsi" w:cstheme="minorBidi"/>
              <w:b w:val="0"/>
              <w:noProof/>
              <w:szCs w:val="22"/>
              <w:lang w:eastAsia="en-AU"/>
            </w:rPr>
          </w:pPr>
          <w:hyperlink w:anchor="_Toc81903340" w:history="1">
            <w:r w:rsidR="009B6554" w:rsidRPr="00477F2B">
              <w:rPr>
                <w:rStyle w:val="Hyperlink"/>
                <w:noProof/>
              </w:rPr>
              <w:t>Australian regulations</w:t>
            </w:r>
            <w:r w:rsidR="009B6554">
              <w:rPr>
                <w:noProof/>
                <w:webHidden/>
              </w:rPr>
              <w:tab/>
            </w:r>
            <w:r w:rsidR="009B6554">
              <w:rPr>
                <w:noProof/>
                <w:webHidden/>
              </w:rPr>
              <w:fldChar w:fldCharType="begin"/>
            </w:r>
            <w:r w:rsidR="009B6554">
              <w:rPr>
                <w:noProof/>
                <w:webHidden/>
              </w:rPr>
              <w:instrText xml:space="preserve"> PAGEREF _Toc81903340 \h </w:instrText>
            </w:r>
            <w:r w:rsidR="009B6554">
              <w:rPr>
                <w:noProof/>
                <w:webHidden/>
              </w:rPr>
            </w:r>
            <w:r w:rsidR="009B6554">
              <w:rPr>
                <w:noProof/>
                <w:webHidden/>
              </w:rPr>
              <w:fldChar w:fldCharType="separate"/>
            </w:r>
            <w:r w:rsidR="009B6554">
              <w:rPr>
                <w:noProof/>
                <w:webHidden/>
              </w:rPr>
              <w:t>30</w:t>
            </w:r>
            <w:r w:rsidR="009B6554">
              <w:rPr>
                <w:noProof/>
                <w:webHidden/>
              </w:rPr>
              <w:fldChar w:fldCharType="end"/>
            </w:r>
          </w:hyperlink>
        </w:p>
        <w:p w14:paraId="2662CB67" w14:textId="5DBE24A1" w:rsidR="009B6554" w:rsidRDefault="00672188">
          <w:pPr>
            <w:pStyle w:val="TOC3"/>
            <w:rPr>
              <w:rFonts w:asciiTheme="minorHAnsi" w:eastAsiaTheme="minorEastAsia" w:hAnsiTheme="minorHAnsi" w:cstheme="minorBidi"/>
              <w:b w:val="0"/>
              <w:noProof/>
              <w:szCs w:val="22"/>
              <w:lang w:eastAsia="en-AU"/>
            </w:rPr>
          </w:pPr>
          <w:hyperlink w:anchor="_Toc81903341" w:history="1">
            <w:r w:rsidR="009B6554" w:rsidRPr="00477F2B">
              <w:rPr>
                <w:rStyle w:val="Hyperlink"/>
                <w:noProof/>
              </w:rPr>
              <w:t>International regulations</w:t>
            </w:r>
            <w:r w:rsidR="009B6554">
              <w:rPr>
                <w:noProof/>
                <w:webHidden/>
              </w:rPr>
              <w:tab/>
            </w:r>
            <w:r w:rsidR="009B6554">
              <w:rPr>
                <w:noProof/>
                <w:webHidden/>
              </w:rPr>
              <w:fldChar w:fldCharType="begin"/>
            </w:r>
            <w:r w:rsidR="009B6554">
              <w:rPr>
                <w:noProof/>
                <w:webHidden/>
              </w:rPr>
              <w:instrText xml:space="preserve"> PAGEREF _Toc81903341 \h </w:instrText>
            </w:r>
            <w:r w:rsidR="009B6554">
              <w:rPr>
                <w:noProof/>
                <w:webHidden/>
              </w:rPr>
            </w:r>
            <w:r w:rsidR="009B6554">
              <w:rPr>
                <w:noProof/>
                <w:webHidden/>
              </w:rPr>
              <w:fldChar w:fldCharType="separate"/>
            </w:r>
            <w:r w:rsidR="009B6554">
              <w:rPr>
                <w:noProof/>
                <w:webHidden/>
              </w:rPr>
              <w:t>31</w:t>
            </w:r>
            <w:r w:rsidR="009B6554">
              <w:rPr>
                <w:noProof/>
                <w:webHidden/>
              </w:rPr>
              <w:fldChar w:fldCharType="end"/>
            </w:r>
          </w:hyperlink>
        </w:p>
        <w:p w14:paraId="3721F933" w14:textId="29EEA127" w:rsidR="009B6554" w:rsidRDefault="00672188">
          <w:pPr>
            <w:pStyle w:val="TOC2"/>
            <w:tabs>
              <w:tab w:val="left" w:pos="1276"/>
            </w:tabs>
            <w:rPr>
              <w:rFonts w:asciiTheme="minorHAnsi" w:eastAsiaTheme="minorEastAsia" w:hAnsiTheme="minorHAnsi" w:cstheme="minorBidi"/>
              <w:b w:val="0"/>
              <w:noProof/>
              <w:sz w:val="22"/>
              <w:szCs w:val="22"/>
              <w:lang w:eastAsia="en-AU"/>
            </w:rPr>
          </w:pPr>
          <w:hyperlink w:anchor="_Toc81903342" w:history="1">
            <w:r w:rsidR="009B6554" w:rsidRPr="00477F2B">
              <w:rPr>
                <w:rStyle w:val="Hyperlink"/>
                <w:noProof/>
              </w:rPr>
              <w:t>3.3</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Meloxicam</w:t>
            </w:r>
            <w:r w:rsidR="009B6554">
              <w:rPr>
                <w:noProof/>
                <w:webHidden/>
              </w:rPr>
              <w:tab/>
            </w:r>
            <w:r w:rsidR="009B6554">
              <w:rPr>
                <w:noProof/>
                <w:webHidden/>
              </w:rPr>
              <w:fldChar w:fldCharType="begin"/>
            </w:r>
            <w:r w:rsidR="009B6554">
              <w:rPr>
                <w:noProof/>
                <w:webHidden/>
              </w:rPr>
              <w:instrText xml:space="preserve"> PAGEREF _Toc81903342 \h </w:instrText>
            </w:r>
            <w:r w:rsidR="009B6554">
              <w:rPr>
                <w:noProof/>
                <w:webHidden/>
              </w:rPr>
            </w:r>
            <w:r w:rsidR="009B6554">
              <w:rPr>
                <w:noProof/>
                <w:webHidden/>
              </w:rPr>
              <w:fldChar w:fldCharType="separate"/>
            </w:r>
            <w:r w:rsidR="009B6554">
              <w:rPr>
                <w:noProof/>
                <w:webHidden/>
              </w:rPr>
              <w:t>32</w:t>
            </w:r>
            <w:r w:rsidR="009B6554">
              <w:rPr>
                <w:noProof/>
                <w:webHidden/>
              </w:rPr>
              <w:fldChar w:fldCharType="end"/>
            </w:r>
          </w:hyperlink>
        </w:p>
        <w:p w14:paraId="2D61D7A5" w14:textId="61918857" w:rsidR="009B6554" w:rsidRDefault="00672188">
          <w:pPr>
            <w:pStyle w:val="TOC3"/>
            <w:rPr>
              <w:rFonts w:asciiTheme="minorHAnsi" w:eastAsiaTheme="minorEastAsia" w:hAnsiTheme="minorHAnsi" w:cstheme="minorBidi"/>
              <w:b w:val="0"/>
              <w:noProof/>
              <w:szCs w:val="22"/>
              <w:lang w:eastAsia="en-AU"/>
            </w:rPr>
          </w:pPr>
          <w:hyperlink w:anchor="_Toc81903343" w:history="1">
            <w:r w:rsidR="009B6554" w:rsidRPr="00477F2B">
              <w:rPr>
                <w:rStyle w:val="Hyperlink"/>
                <w:noProof/>
              </w:rPr>
              <w:t>Proposal</w:t>
            </w:r>
            <w:r w:rsidR="009B6554">
              <w:rPr>
                <w:noProof/>
                <w:webHidden/>
              </w:rPr>
              <w:tab/>
            </w:r>
            <w:r w:rsidR="009B6554">
              <w:rPr>
                <w:noProof/>
                <w:webHidden/>
              </w:rPr>
              <w:fldChar w:fldCharType="begin"/>
            </w:r>
            <w:r w:rsidR="009B6554">
              <w:rPr>
                <w:noProof/>
                <w:webHidden/>
              </w:rPr>
              <w:instrText xml:space="preserve"> PAGEREF _Toc81903343 \h </w:instrText>
            </w:r>
            <w:r w:rsidR="009B6554">
              <w:rPr>
                <w:noProof/>
                <w:webHidden/>
              </w:rPr>
            </w:r>
            <w:r w:rsidR="009B6554">
              <w:rPr>
                <w:noProof/>
                <w:webHidden/>
              </w:rPr>
              <w:fldChar w:fldCharType="separate"/>
            </w:r>
            <w:r w:rsidR="009B6554">
              <w:rPr>
                <w:noProof/>
                <w:webHidden/>
              </w:rPr>
              <w:t>32</w:t>
            </w:r>
            <w:r w:rsidR="009B6554">
              <w:rPr>
                <w:noProof/>
                <w:webHidden/>
              </w:rPr>
              <w:fldChar w:fldCharType="end"/>
            </w:r>
          </w:hyperlink>
        </w:p>
        <w:p w14:paraId="1D9A9EAC" w14:textId="22965398" w:rsidR="009B6554" w:rsidRDefault="00672188">
          <w:pPr>
            <w:pStyle w:val="TOC3"/>
            <w:rPr>
              <w:rFonts w:asciiTheme="minorHAnsi" w:eastAsiaTheme="minorEastAsia" w:hAnsiTheme="minorHAnsi" w:cstheme="minorBidi"/>
              <w:b w:val="0"/>
              <w:noProof/>
              <w:szCs w:val="22"/>
              <w:lang w:eastAsia="en-AU"/>
            </w:rPr>
          </w:pPr>
          <w:hyperlink w:anchor="_Toc81903344" w:history="1">
            <w:r w:rsidR="009B6554" w:rsidRPr="00477F2B">
              <w:rPr>
                <w:rStyle w:val="Hyperlink"/>
                <w:noProof/>
              </w:rPr>
              <w:t>CAS Number:</w:t>
            </w:r>
            <w:r w:rsidR="009B6554">
              <w:rPr>
                <w:noProof/>
                <w:webHidden/>
              </w:rPr>
              <w:tab/>
            </w:r>
            <w:r w:rsidR="009B6554">
              <w:rPr>
                <w:noProof/>
                <w:webHidden/>
              </w:rPr>
              <w:fldChar w:fldCharType="begin"/>
            </w:r>
            <w:r w:rsidR="009B6554">
              <w:rPr>
                <w:noProof/>
                <w:webHidden/>
              </w:rPr>
              <w:instrText xml:space="preserve"> PAGEREF _Toc81903344 \h </w:instrText>
            </w:r>
            <w:r w:rsidR="009B6554">
              <w:rPr>
                <w:noProof/>
                <w:webHidden/>
              </w:rPr>
            </w:r>
            <w:r w:rsidR="009B6554">
              <w:rPr>
                <w:noProof/>
                <w:webHidden/>
              </w:rPr>
              <w:fldChar w:fldCharType="separate"/>
            </w:r>
            <w:r w:rsidR="009B6554">
              <w:rPr>
                <w:noProof/>
                <w:webHidden/>
              </w:rPr>
              <w:t>32</w:t>
            </w:r>
            <w:r w:rsidR="009B6554">
              <w:rPr>
                <w:noProof/>
                <w:webHidden/>
              </w:rPr>
              <w:fldChar w:fldCharType="end"/>
            </w:r>
          </w:hyperlink>
        </w:p>
        <w:p w14:paraId="4FC5FC22" w14:textId="6F7C4671" w:rsidR="009B6554" w:rsidRDefault="00672188">
          <w:pPr>
            <w:pStyle w:val="TOC3"/>
            <w:rPr>
              <w:rFonts w:asciiTheme="minorHAnsi" w:eastAsiaTheme="minorEastAsia" w:hAnsiTheme="minorHAnsi" w:cstheme="minorBidi"/>
              <w:b w:val="0"/>
              <w:noProof/>
              <w:szCs w:val="22"/>
              <w:lang w:eastAsia="en-AU"/>
            </w:rPr>
          </w:pPr>
          <w:hyperlink w:anchor="_Toc81903345" w:history="1">
            <w:r w:rsidR="009B6554" w:rsidRPr="00477F2B">
              <w:rPr>
                <w:rStyle w:val="Hyperlink"/>
                <w:noProof/>
              </w:rPr>
              <w:t>Alternative names</w:t>
            </w:r>
            <w:r w:rsidR="009B6554">
              <w:rPr>
                <w:noProof/>
                <w:webHidden/>
              </w:rPr>
              <w:tab/>
            </w:r>
            <w:r w:rsidR="009B6554">
              <w:rPr>
                <w:noProof/>
                <w:webHidden/>
              </w:rPr>
              <w:fldChar w:fldCharType="begin"/>
            </w:r>
            <w:r w:rsidR="009B6554">
              <w:rPr>
                <w:noProof/>
                <w:webHidden/>
              </w:rPr>
              <w:instrText xml:space="preserve"> PAGEREF _Toc81903345 \h </w:instrText>
            </w:r>
            <w:r w:rsidR="009B6554">
              <w:rPr>
                <w:noProof/>
                <w:webHidden/>
              </w:rPr>
            </w:r>
            <w:r w:rsidR="009B6554">
              <w:rPr>
                <w:noProof/>
                <w:webHidden/>
              </w:rPr>
              <w:fldChar w:fldCharType="separate"/>
            </w:r>
            <w:r w:rsidR="009B6554">
              <w:rPr>
                <w:noProof/>
                <w:webHidden/>
              </w:rPr>
              <w:t>32</w:t>
            </w:r>
            <w:r w:rsidR="009B6554">
              <w:rPr>
                <w:noProof/>
                <w:webHidden/>
              </w:rPr>
              <w:fldChar w:fldCharType="end"/>
            </w:r>
          </w:hyperlink>
        </w:p>
        <w:p w14:paraId="79668169" w14:textId="210E7262" w:rsidR="009B6554" w:rsidRDefault="00672188">
          <w:pPr>
            <w:pStyle w:val="TOC3"/>
            <w:rPr>
              <w:rFonts w:asciiTheme="minorHAnsi" w:eastAsiaTheme="minorEastAsia" w:hAnsiTheme="minorHAnsi" w:cstheme="minorBidi"/>
              <w:b w:val="0"/>
              <w:noProof/>
              <w:szCs w:val="22"/>
              <w:lang w:eastAsia="en-AU"/>
            </w:rPr>
          </w:pPr>
          <w:hyperlink w:anchor="_Toc81903346" w:history="1">
            <w:r w:rsidR="009B6554" w:rsidRPr="00477F2B">
              <w:rPr>
                <w:rStyle w:val="Hyperlink"/>
                <w:noProof/>
              </w:rPr>
              <w:t>Applicant</w:t>
            </w:r>
            <w:r w:rsidR="009B6554">
              <w:rPr>
                <w:noProof/>
                <w:webHidden/>
              </w:rPr>
              <w:tab/>
            </w:r>
            <w:r w:rsidR="009B6554">
              <w:rPr>
                <w:noProof/>
                <w:webHidden/>
              </w:rPr>
              <w:fldChar w:fldCharType="begin"/>
            </w:r>
            <w:r w:rsidR="009B6554">
              <w:rPr>
                <w:noProof/>
                <w:webHidden/>
              </w:rPr>
              <w:instrText xml:space="preserve"> PAGEREF _Toc81903346 \h </w:instrText>
            </w:r>
            <w:r w:rsidR="009B6554">
              <w:rPr>
                <w:noProof/>
                <w:webHidden/>
              </w:rPr>
            </w:r>
            <w:r w:rsidR="009B6554">
              <w:rPr>
                <w:noProof/>
                <w:webHidden/>
              </w:rPr>
              <w:fldChar w:fldCharType="separate"/>
            </w:r>
            <w:r w:rsidR="009B6554">
              <w:rPr>
                <w:noProof/>
                <w:webHidden/>
              </w:rPr>
              <w:t>32</w:t>
            </w:r>
            <w:r w:rsidR="009B6554">
              <w:rPr>
                <w:noProof/>
                <w:webHidden/>
              </w:rPr>
              <w:fldChar w:fldCharType="end"/>
            </w:r>
          </w:hyperlink>
        </w:p>
        <w:p w14:paraId="6C7F89E9" w14:textId="25061F02" w:rsidR="009B6554" w:rsidRDefault="00672188">
          <w:pPr>
            <w:pStyle w:val="TOC3"/>
            <w:rPr>
              <w:rFonts w:asciiTheme="minorHAnsi" w:eastAsiaTheme="minorEastAsia" w:hAnsiTheme="minorHAnsi" w:cstheme="minorBidi"/>
              <w:b w:val="0"/>
              <w:noProof/>
              <w:szCs w:val="22"/>
              <w:lang w:eastAsia="en-AU"/>
            </w:rPr>
          </w:pPr>
          <w:hyperlink w:anchor="_Toc81903347" w:history="1">
            <w:r w:rsidR="009B6554" w:rsidRPr="00477F2B">
              <w:rPr>
                <w:rStyle w:val="Hyperlink"/>
                <w:noProof/>
              </w:rPr>
              <w:t>Current scheduling</w:t>
            </w:r>
            <w:r w:rsidR="009B6554">
              <w:rPr>
                <w:noProof/>
                <w:webHidden/>
              </w:rPr>
              <w:tab/>
            </w:r>
            <w:r w:rsidR="009B6554">
              <w:rPr>
                <w:noProof/>
                <w:webHidden/>
              </w:rPr>
              <w:fldChar w:fldCharType="begin"/>
            </w:r>
            <w:r w:rsidR="009B6554">
              <w:rPr>
                <w:noProof/>
                <w:webHidden/>
              </w:rPr>
              <w:instrText xml:space="preserve"> PAGEREF _Toc81903347 \h </w:instrText>
            </w:r>
            <w:r w:rsidR="009B6554">
              <w:rPr>
                <w:noProof/>
                <w:webHidden/>
              </w:rPr>
            </w:r>
            <w:r w:rsidR="009B6554">
              <w:rPr>
                <w:noProof/>
                <w:webHidden/>
              </w:rPr>
              <w:fldChar w:fldCharType="separate"/>
            </w:r>
            <w:r w:rsidR="009B6554">
              <w:rPr>
                <w:noProof/>
                <w:webHidden/>
              </w:rPr>
              <w:t>32</w:t>
            </w:r>
            <w:r w:rsidR="009B6554">
              <w:rPr>
                <w:noProof/>
                <w:webHidden/>
              </w:rPr>
              <w:fldChar w:fldCharType="end"/>
            </w:r>
          </w:hyperlink>
        </w:p>
        <w:p w14:paraId="73DA97B8" w14:textId="6A323901" w:rsidR="009B6554" w:rsidRDefault="00672188">
          <w:pPr>
            <w:pStyle w:val="TOC3"/>
            <w:rPr>
              <w:rFonts w:asciiTheme="minorHAnsi" w:eastAsiaTheme="minorEastAsia" w:hAnsiTheme="minorHAnsi" w:cstheme="minorBidi"/>
              <w:b w:val="0"/>
              <w:noProof/>
              <w:szCs w:val="22"/>
              <w:lang w:eastAsia="en-AU"/>
            </w:rPr>
          </w:pPr>
          <w:hyperlink w:anchor="_Toc81903348" w:history="1">
            <w:r w:rsidR="009B6554" w:rsidRPr="00477F2B">
              <w:rPr>
                <w:rStyle w:val="Hyperlink"/>
                <w:noProof/>
              </w:rPr>
              <w:t>Proposed scheduling</w:t>
            </w:r>
            <w:r w:rsidR="009B6554">
              <w:rPr>
                <w:noProof/>
                <w:webHidden/>
              </w:rPr>
              <w:tab/>
            </w:r>
            <w:r w:rsidR="009B6554">
              <w:rPr>
                <w:noProof/>
                <w:webHidden/>
              </w:rPr>
              <w:fldChar w:fldCharType="begin"/>
            </w:r>
            <w:r w:rsidR="009B6554">
              <w:rPr>
                <w:noProof/>
                <w:webHidden/>
              </w:rPr>
              <w:instrText xml:space="preserve"> PAGEREF _Toc81903348 \h </w:instrText>
            </w:r>
            <w:r w:rsidR="009B6554">
              <w:rPr>
                <w:noProof/>
                <w:webHidden/>
              </w:rPr>
            </w:r>
            <w:r w:rsidR="009B6554">
              <w:rPr>
                <w:noProof/>
                <w:webHidden/>
              </w:rPr>
              <w:fldChar w:fldCharType="separate"/>
            </w:r>
            <w:r w:rsidR="009B6554">
              <w:rPr>
                <w:noProof/>
                <w:webHidden/>
              </w:rPr>
              <w:t>32</w:t>
            </w:r>
            <w:r w:rsidR="009B6554">
              <w:rPr>
                <w:noProof/>
                <w:webHidden/>
              </w:rPr>
              <w:fldChar w:fldCharType="end"/>
            </w:r>
          </w:hyperlink>
        </w:p>
        <w:p w14:paraId="23FB5339" w14:textId="530042E6" w:rsidR="009B6554" w:rsidRDefault="00672188">
          <w:pPr>
            <w:pStyle w:val="TOC3"/>
            <w:rPr>
              <w:rFonts w:asciiTheme="minorHAnsi" w:eastAsiaTheme="minorEastAsia" w:hAnsiTheme="minorHAnsi" w:cstheme="minorBidi"/>
              <w:b w:val="0"/>
              <w:noProof/>
              <w:szCs w:val="22"/>
              <w:lang w:eastAsia="en-AU"/>
            </w:rPr>
          </w:pPr>
          <w:hyperlink w:anchor="_Toc81903349" w:history="1">
            <w:r w:rsidR="009B6554" w:rsidRPr="00477F2B">
              <w:rPr>
                <w:rStyle w:val="Hyperlink"/>
                <w:noProof/>
              </w:rPr>
              <w:t>Key uses / expected use</w:t>
            </w:r>
            <w:r w:rsidR="009B6554">
              <w:rPr>
                <w:noProof/>
                <w:webHidden/>
              </w:rPr>
              <w:tab/>
            </w:r>
            <w:r w:rsidR="009B6554">
              <w:rPr>
                <w:noProof/>
                <w:webHidden/>
              </w:rPr>
              <w:fldChar w:fldCharType="begin"/>
            </w:r>
            <w:r w:rsidR="009B6554">
              <w:rPr>
                <w:noProof/>
                <w:webHidden/>
              </w:rPr>
              <w:instrText xml:space="preserve"> PAGEREF _Toc81903349 \h </w:instrText>
            </w:r>
            <w:r w:rsidR="009B6554">
              <w:rPr>
                <w:noProof/>
                <w:webHidden/>
              </w:rPr>
            </w:r>
            <w:r w:rsidR="009B6554">
              <w:rPr>
                <w:noProof/>
                <w:webHidden/>
              </w:rPr>
              <w:fldChar w:fldCharType="separate"/>
            </w:r>
            <w:r w:rsidR="009B6554">
              <w:rPr>
                <w:noProof/>
                <w:webHidden/>
              </w:rPr>
              <w:t>32</w:t>
            </w:r>
            <w:r w:rsidR="009B6554">
              <w:rPr>
                <w:noProof/>
                <w:webHidden/>
              </w:rPr>
              <w:fldChar w:fldCharType="end"/>
            </w:r>
          </w:hyperlink>
        </w:p>
        <w:p w14:paraId="7BB48267" w14:textId="3551D9B4" w:rsidR="009B6554" w:rsidRDefault="00672188">
          <w:pPr>
            <w:pStyle w:val="TOC3"/>
            <w:rPr>
              <w:rFonts w:asciiTheme="minorHAnsi" w:eastAsiaTheme="minorEastAsia" w:hAnsiTheme="minorHAnsi" w:cstheme="minorBidi"/>
              <w:b w:val="0"/>
              <w:noProof/>
              <w:szCs w:val="22"/>
              <w:lang w:eastAsia="en-AU"/>
            </w:rPr>
          </w:pPr>
          <w:hyperlink w:anchor="_Toc81903350" w:history="1">
            <w:r w:rsidR="009B6554" w:rsidRPr="00477F2B">
              <w:rPr>
                <w:rStyle w:val="Hyperlink"/>
                <w:noProof/>
              </w:rPr>
              <w:t>Application summary - reasons for proposal</w:t>
            </w:r>
            <w:r w:rsidR="009B6554">
              <w:rPr>
                <w:noProof/>
                <w:webHidden/>
              </w:rPr>
              <w:tab/>
            </w:r>
            <w:r w:rsidR="009B6554">
              <w:rPr>
                <w:noProof/>
                <w:webHidden/>
              </w:rPr>
              <w:fldChar w:fldCharType="begin"/>
            </w:r>
            <w:r w:rsidR="009B6554">
              <w:rPr>
                <w:noProof/>
                <w:webHidden/>
              </w:rPr>
              <w:instrText xml:space="preserve"> PAGEREF _Toc81903350 \h </w:instrText>
            </w:r>
            <w:r w:rsidR="009B6554">
              <w:rPr>
                <w:noProof/>
                <w:webHidden/>
              </w:rPr>
            </w:r>
            <w:r w:rsidR="009B6554">
              <w:rPr>
                <w:noProof/>
                <w:webHidden/>
              </w:rPr>
              <w:fldChar w:fldCharType="separate"/>
            </w:r>
            <w:r w:rsidR="009B6554">
              <w:rPr>
                <w:noProof/>
                <w:webHidden/>
              </w:rPr>
              <w:t>33</w:t>
            </w:r>
            <w:r w:rsidR="009B6554">
              <w:rPr>
                <w:noProof/>
                <w:webHidden/>
              </w:rPr>
              <w:fldChar w:fldCharType="end"/>
            </w:r>
          </w:hyperlink>
        </w:p>
        <w:p w14:paraId="56FB9B4F" w14:textId="5BE806A3" w:rsidR="009B6554" w:rsidRDefault="00672188">
          <w:pPr>
            <w:pStyle w:val="TOC3"/>
            <w:rPr>
              <w:rFonts w:asciiTheme="minorHAnsi" w:eastAsiaTheme="minorEastAsia" w:hAnsiTheme="minorHAnsi" w:cstheme="minorBidi"/>
              <w:b w:val="0"/>
              <w:noProof/>
              <w:szCs w:val="22"/>
              <w:lang w:eastAsia="en-AU"/>
            </w:rPr>
          </w:pPr>
          <w:hyperlink w:anchor="_Toc81903351" w:history="1">
            <w:r w:rsidR="009B6554" w:rsidRPr="00477F2B">
              <w:rPr>
                <w:rStyle w:val="Hyperlink"/>
                <w:noProof/>
              </w:rPr>
              <w:t>Australian regulations</w:t>
            </w:r>
            <w:r w:rsidR="009B6554">
              <w:rPr>
                <w:noProof/>
                <w:webHidden/>
              </w:rPr>
              <w:tab/>
            </w:r>
            <w:r w:rsidR="009B6554">
              <w:rPr>
                <w:noProof/>
                <w:webHidden/>
              </w:rPr>
              <w:fldChar w:fldCharType="begin"/>
            </w:r>
            <w:r w:rsidR="009B6554">
              <w:rPr>
                <w:noProof/>
                <w:webHidden/>
              </w:rPr>
              <w:instrText xml:space="preserve"> PAGEREF _Toc81903351 \h </w:instrText>
            </w:r>
            <w:r w:rsidR="009B6554">
              <w:rPr>
                <w:noProof/>
                <w:webHidden/>
              </w:rPr>
            </w:r>
            <w:r w:rsidR="009B6554">
              <w:rPr>
                <w:noProof/>
                <w:webHidden/>
              </w:rPr>
              <w:fldChar w:fldCharType="separate"/>
            </w:r>
            <w:r w:rsidR="009B6554">
              <w:rPr>
                <w:noProof/>
                <w:webHidden/>
              </w:rPr>
              <w:t>33</w:t>
            </w:r>
            <w:r w:rsidR="009B6554">
              <w:rPr>
                <w:noProof/>
                <w:webHidden/>
              </w:rPr>
              <w:fldChar w:fldCharType="end"/>
            </w:r>
          </w:hyperlink>
        </w:p>
        <w:p w14:paraId="0D820323" w14:textId="63FC8167" w:rsidR="009B6554" w:rsidRDefault="00672188">
          <w:pPr>
            <w:pStyle w:val="TOC3"/>
            <w:rPr>
              <w:rFonts w:asciiTheme="minorHAnsi" w:eastAsiaTheme="minorEastAsia" w:hAnsiTheme="minorHAnsi" w:cstheme="minorBidi"/>
              <w:b w:val="0"/>
              <w:noProof/>
              <w:szCs w:val="22"/>
              <w:lang w:eastAsia="en-AU"/>
            </w:rPr>
          </w:pPr>
          <w:hyperlink w:anchor="_Toc81903352" w:history="1">
            <w:r w:rsidR="009B6554" w:rsidRPr="00477F2B">
              <w:rPr>
                <w:rStyle w:val="Hyperlink"/>
                <w:noProof/>
              </w:rPr>
              <w:t>International regulations</w:t>
            </w:r>
            <w:r w:rsidR="009B6554">
              <w:rPr>
                <w:noProof/>
                <w:webHidden/>
              </w:rPr>
              <w:tab/>
            </w:r>
            <w:r w:rsidR="009B6554">
              <w:rPr>
                <w:noProof/>
                <w:webHidden/>
              </w:rPr>
              <w:fldChar w:fldCharType="begin"/>
            </w:r>
            <w:r w:rsidR="009B6554">
              <w:rPr>
                <w:noProof/>
                <w:webHidden/>
              </w:rPr>
              <w:instrText xml:space="preserve"> PAGEREF _Toc81903352 \h </w:instrText>
            </w:r>
            <w:r w:rsidR="009B6554">
              <w:rPr>
                <w:noProof/>
                <w:webHidden/>
              </w:rPr>
            </w:r>
            <w:r w:rsidR="009B6554">
              <w:rPr>
                <w:noProof/>
                <w:webHidden/>
              </w:rPr>
              <w:fldChar w:fldCharType="separate"/>
            </w:r>
            <w:r w:rsidR="009B6554">
              <w:rPr>
                <w:noProof/>
                <w:webHidden/>
              </w:rPr>
              <w:t>34</w:t>
            </w:r>
            <w:r w:rsidR="009B6554">
              <w:rPr>
                <w:noProof/>
                <w:webHidden/>
              </w:rPr>
              <w:fldChar w:fldCharType="end"/>
            </w:r>
          </w:hyperlink>
        </w:p>
        <w:p w14:paraId="4FBF1C99" w14:textId="52BEF6A1" w:rsidR="009B6554" w:rsidRDefault="00672188">
          <w:pPr>
            <w:pStyle w:val="TOC2"/>
            <w:tabs>
              <w:tab w:val="left" w:pos="1276"/>
            </w:tabs>
            <w:rPr>
              <w:rFonts w:asciiTheme="minorHAnsi" w:eastAsiaTheme="minorEastAsia" w:hAnsiTheme="minorHAnsi" w:cstheme="minorBidi"/>
              <w:b w:val="0"/>
              <w:noProof/>
              <w:sz w:val="22"/>
              <w:szCs w:val="22"/>
              <w:lang w:eastAsia="en-AU"/>
            </w:rPr>
          </w:pPr>
          <w:hyperlink w:anchor="_Toc81903353" w:history="1">
            <w:r w:rsidR="009B6554" w:rsidRPr="00477F2B">
              <w:rPr>
                <w:rStyle w:val="Hyperlink"/>
                <w:noProof/>
              </w:rPr>
              <w:t>3.4</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Choline salicylate</w:t>
            </w:r>
            <w:r w:rsidR="009B6554">
              <w:rPr>
                <w:noProof/>
                <w:webHidden/>
              </w:rPr>
              <w:tab/>
            </w:r>
            <w:r w:rsidR="009B6554">
              <w:rPr>
                <w:noProof/>
                <w:webHidden/>
              </w:rPr>
              <w:fldChar w:fldCharType="begin"/>
            </w:r>
            <w:r w:rsidR="009B6554">
              <w:rPr>
                <w:noProof/>
                <w:webHidden/>
              </w:rPr>
              <w:instrText xml:space="preserve"> PAGEREF _Toc81903353 \h </w:instrText>
            </w:r>
            <w:r w:rsidR="009B6554">
              <w:rPr>
                <w:noProof/>
                <w:webHidden/>
              </w:rPr>
            </w:r>
            <w:r w:rsidR="009B6554">
              <w:rPr>
                <w:noProof/>
                <w:webHidden/>
              </w:rPr>
              <w:fldChar w:fldCharType="separate"/>
            </w:r>
            <w:r w:rsidR="009B6554">
              <w:rPr>
                <w:noProof/>
                <w:webHidden/>
              </w:rPr>
              <w:t>35</w:t>
            </w:r>
            <w:r w:rsidR="009B6554">
              <w:rPr>
                <w:noProof/>
                <w:webHidden/>
              </w:rPr>
              <w:fldChar w:fldCharType="end"/>
            </w:r>
          </w:hyperlink>
        </w:p>
        <w:p w14:paraId="71B8ECF9" w14:textId="601F42AA" w:rsidR="009B6554" w:rsidRDefault="00672188">
          <w:pPr>
            <w:pStyle w:val="TOC3"/>
            <w:rPr>
              <w:rFonts w:asciiTheme="minorHAnsi" w:eastAsiaTheme="minorEastAsia" w:hAnsiTheme="minorHAnsi" w:cstheme="minorBidi"/>
              <w:b w:val="0"/>
              <w:noProof/>
              <w:szCs w:val="22"/>
              <w:lang w:eastAsia="en-AU"/>
            </w:rPr>
          </w:pPr>
          <w:hyperlink w:anchor="_Toc81903354" w:history="1">
            <w:r w:rsidR="009B6554" w:rsidRPr="00477F2B">
              <w:rPr>
                <w:rStyle w:val="Hyperlink"/>
                <w:noProof/>
              </w:rPr>
              <w:t>Proposal</w:t>
            </w:r>
            <w:r w:rsidR="009B6554">
              <w:rPr>
                <w:noProof/>
                <w:webHidden/>
              </w:rPr>
              <w:tab/>
            </w:r>
            <w:r w:rsidR="009B6554">
              <w:rPr>
                <w:noProof/>
                <w:webHidden/>
              </w:rPr>
              <w:fldChar w:fldCharType="begin"/>
            </w:r>
            <w:r w:rsidR="009B6554">
              <w:rPr>
                <w:noProof/>
                <w:webHidden/>
              </w:rPr>
              <w:instrText xml:space="preserve"> PAGEREF _Toc81903354 \h </w:instrText>
            </w:r>
            <w:r w:rsidR="009B6554">
              <w:rPr>
                <w:noProof/>
                <w:webHidden/>
              </w:rPr>
            </w:r>
            <w:r w:rsidR="009B6554">
              <w:rPr>
                <w:noProof/>
                <w:webHidden/>
              </w:rPr>
              <w:fldChar w:fldCharType="separate"/>
            </w:r>
            <w:r w:rsidR="009B6554">
              <w:rPr>
                <w:noProof/>
                <w:webHidden/>
              </w:rPr>
              <w:t>35</w:t>
            </w:r>
            <w:r w:rsidR="009B6554">
              <w:rPr>
                <w:noProof/>
                <w:webHidden/>
              </w:rPr>
              <w:fldChar w:fldCharType="end"/>
            </w:r>
          </w:hyperlink>
        </w:p>
        <w:p w14:paraId="5E681307" w14:textId="35CF74F5" w:rsidR="009B6554" w:rsidRDefault="00672188">
          <w:pPr>
            <w:pStyle w:val="TOC3"/>
            <w:rPr>
              <w:rFonts w:asciiTheme="minorHAnsi" w:eastAsiaTheme="minorEastAsia" w:hAnsiTheme="minorHAnsi" w:cstheme="minorBidi"/>
              <w:b w:val="0"/>
              <w:noProof/>
              <w:szCs w:val="22"/>
              <w:lang w:eastAsia="en-AU"/>
            </w:rPr>
          </w:pPr>
          <w:hyperlink w:anchor="_Toc81903355" w:history="1">
            <w:r w:rsidR="009B6554" w:rsidRPr="00477F2B">
              <w:rPr>
                <w:rStyle w:val="Hyperlink"/>
                <w:noProof/>
              </w:rPr>
              <w:t>CAS Number:</w:t>
            </w:r>
            <w:r w:rsidR="009B6554">
              <w:rPr>
                <w:noProof/>
                <w:webHidden/>
              </w:rPr>
              <w:tab/>
            </w:r>
            <w:r w:rsidR="009B6554">
              <w:rPr>
                <w:noProof/>
                <w:webHidden/>
              </w:rPr>
              <w:fldChar w:fldCharType="begin"/>
            </w:r>
            <w:r w:rsidR="009B6554">
              <w:rPr>
                <w:noProof/>
                <w:webHidden/>
              </w:rPr>
              <w:instrText xml:space="preserve"> PAGEREF _Toc81903355 \h </w:instrText>
            </w:r>
            <w:r w:rsidR="009B6554">
              <w:rPr>
                <w:noProof/>
                <w:webHidden/>
              </w:rPr>
            </w:r>
            <w:r w:rsidR="009B6554">
              <w:rPr>
                <w:noProof/>
                <w:webHidden/>
              </w:rPr>
              <w:fldChar w:fldCharType="separate"/>
            </w:r>
            <w:r w:rsidR="009B6554">
              <w:rPr>
                <w:noProof/>
                <w:webHidden/>
              </w:rPr>
              <w:t>35</w:t>
            </w:r>
            <w:r w:rsidR="009B6554">
              <w:rPr>
                <w:noProof/>
                <w:webHidden/>
              </w:rPr>
              <w:fldChar w:fldCharType="end"/>
            </w:r>
          </w:hyperlink>
        </w:p>
        <w:p w14:paraId="59AED613" w14:textId="3C53D639" w:rsidR="009B6554" w:rsidRDefault="00672188">
          <w:pPr>
            <w:pStyle w:val="TOC3"/>
            <w:rPr>
              <w:rFonts w:asciiTheme="minorHAnsi" w:eastAsiaTheme="minorEastAsia" w:hAnsiTheme="minorHAnsi" w:cstheme="minorBidi"/>
              <w:b w:val="0"/>
              <w:noProof/>
              <w:szCs w:val="22"/>
              <w:lang w:eastAsia="en-AU"/>
            </w:rPr>
          </w:pPr>
          <w:hyperlink w:anchor="_Toc81903356" w:history="1">
            <w:r w:rsidR="009B6554" w:rsidRPr="00477F2B">
              <w:rPr>
                <w:rStyle w:val="Hyperlink"/>
                <w:noProof/>
              </w:rPr>
              <w:t>Alternative names</w:t>
            </w:r>
            <w:r w:rsidR="009B6554">
              <w:rPr>
                <w:noProof/>
                <w:webHidden/>
              </w:rPr>
              <w:tab/>
            </w:r>
            <w:r w:rsidR="009B6554">
              <w:rPr>
                <w:noProof/>
                <w:webHidden/>
              </w:rPr>
              <w:fldChar w:fldCharType="begin"/>
            </w:r>
            <w:r w:rsidR="009B6554">
              <w:rPr>
                <w:noProof/>
                <w:webHidden/>
              </w:rPr>
              <w:instrText xml:space="preserve"> PAGEREF _Toc81903356 \h </w:instrText>
            </w:r>
            <w:r w:rsidR="009B6554">
              <w:rPr>
                <w:noProof/>
                <w:webHidden/>
              </w:rPr>
            </w:r>
            <w:r w:rsidR="009B6554">
              <w:rPr>
                <w:noProof/>
                <w:webHidden/>
              </w:rPr>
              <w:fldChar w:fldCharType="separate"/>
            </w:r>
            <w:r w:rsidR="009B6554">
              <w:rPr>
                <w:noProof/>
                <w:webHidden/>
              </w:rPr>
              <w:t>35</w:t>
            </w:r>
            <w:r w:rsidR="009B6554">
              <w:rPr>
                <w:noProof/>
                <w:webHidden/>
              </w:rPr>
              <w:fldChar w:fldCharType="end"/>
            </w:r>
          </w:hyperlink>
        </w:p>
        <w:p w14:paraId="23576B46" w14:textId="0D3CAD49" w:rsidR="009B6554" w:rsidRDefault="00672188">
          <w:pPr>
            <w:pStyle w:val="TOC3"/>
            <w:rPr>
              <w:rFonts w:asciiTheme="minorHAnsi" w:eastAsiaTheme="minorEastAsia" w:hAnsiTheme="minorHAnsi" w:cstheme="minorBidi"/>
              <w:b w:val="0"/>
              <w:noProof/>
              <w:szCs w:val="22"/>
              <w:lang w:eastAsia="en-AU"/>
            </w:rPr>
          </w:pPr>
          <w:hyperlink w:anchor="_Toc81903357" w:history="1">
            <w:r w:rsidR="009B6554" w:rsidRPr="00477F2B">
              <w:rPr>
                <w:rStyle w:val="Hyperlink"/>
                <w:noProof/>
              </w:rPr>
              <w:t>Applicant</w:t>
            </w:r>
            <w:r w:rsidR="009B6554">
              <w:rPr>
                <w:noProof/>
                <w:webHidden/>
              </w:rPr>
              <w:tab/>
            </w:r>
            <w:r w:rsidR="009B6554">
              <w:rPr>
                <w:noProof/>
                <w:webHidden/>
              </w:rPr>
              <w:fldChar w:fldCharType="begin"/>
            </w:r>
            <w:r w:rsidR="009B6554">
              <w:rPr>
                <w:noProof/>
                <w:webHidden/>
              </w:rPr>
              <w:instrText xml:space="preserve"> PAGEREF _Toc81903357 \h </w:instrText>
            </w:r>
            <w:r w:rsidR="009B6554">
              <w:rPr>
                <w:noProof/>
                <w:webHidden/>
              </w:rPr>
            </w:r>
            <w:r w:rsidR="009B6554">
              <w:rPr>
                <w:noProof/>
                <w:webHidden/>
              </w:rPr>
              <w:fldChar w:fldCharType="separate"/>
            </w:r>
            <w:r w:rsidR="009B6554">
              <w:rPr>
                <w:noProof/>
                <w:webHidden/>
              </w:rPr>
              <w:t>35</w:t>
            </w:r>
            <w:r w:rsidR="009B6554">
              <w:rPr>
                <w:noProof/>
                <w:webHidden/>
              </w:rPr>
              <w:fldChar w:fldCharType="end"/>
            </w:r>
          </w:hyperlink>
        </w:p>
        <w:p w14:paraId="6BBB2422" w14:textId="68467575" w:rsidR="009B6554" w:rsidRDefault="00672188">
          <w:pPr>
            <w:pStyle w:val="TOC3"/>
            <w:rPr>
              <w:rFonts w:asciiTheme="minorHAnsi" w:eastAsiaTheme="minorEastAsia" w:hAnsiTheme="minorHAnsi" w:cstheme="minorBidi"/>
              <w:b w:val="0"/>
              <w:noProof/>
              <w:szCs w:val="22"/>
              <w:lang w:eastAsia="en-AU"/>
            </w:rPr>
          </w:pPr>
          <w:hyperlink w:anchor="_Toc81903358" w:history="1">
            <w:r w:rsidR="009B6554" w:rsidRPr="00477F2B">
              <w:rPr>
                <w:rStyle w:val="Hyperlink"/>
                <w:noProof/>
              </w:rPr>
              <w:t>Current scheduling</w:t>
            </w:r>
            <w:r w:rsidR="009B6554">
              <w:rPr>
                <w:noProof/>
                <w:webHidden/>
              </w:rPr>
              <w:tab/>
            </w:r>
            <w:r w:rsidR="009B6554">
              <w:rPr>
                <w:noProof/>
                <w:webHidden/>
              </w:rPr>
              <w:fldChar w:fldCharType="begin"/>
            </w:r>
            <w:r w:rsidR="009B6554">
              <w:rPr>
                <w:noProof/>
                <w:webHidden/>
              </w:rPr>
              <w:instrText xml:space="preserve"> PAGEREF _Toc81903358 \h </w:instrText>
            </w:r>
            <w:r w:rsidR="009B6554">
              <w:rPr>
                <w:noProof/>
                <w:webHidden/>
              </w:rPr>
            </w:r>
            <w:r w:rsidR="009B6554">
              <w:rPr>
                <w:noProof/>
                <w:webHidden/>
              </w:rPr>
              <w:fldChar w:fldCharType="separate"/>
            </w:r>
            <w:r w:rsidR="009B6554">
              <w:rPr>
                <w:noProof/>
                <w:webHidden/>
              </w:rPr>
              <w:t>35</w:t>
            </w:r>
            <w:r w:rsidR="009B6554">
              <w:rPr>
                <w:noProof/>
                <w:webHidden/>
              </w:rPr>
              <w:fldChar w:fldCharType="end"/>
            </w:r>
          </w:hyperlink>
        </w:p>
        <w:p w14:paraId="0566260A" w14:textId="70B57BDA" w:rsidR="009B6554" w:rsidRDefault="00672188">
          <w:pPr>
            <w:pStyle w:val="TOC3"/>
            <w:rPr>
              <w:rFonts w:asciiTheme="minorHAnsi" w:eastAsiaTheme="minorEastAsia" w:hAnsiTheme="minorHAnsi" w:cstheme="minorBidi"/>
              <w:b w:val="0"/>
              <w:noProof/>
              <w:szCs w:val="22"/>
              <w:lang w:eastAsia="en-AU"/>
            </w:rPr>
          </w:pPr>
          <w:hyperlink w:anchor="_Toc81903359" w:history="1">
            <w:r w:rsidR="009B6554" w:rsidRPr="00477F2B">
              <w:rPr>
                <w:rStyle w:val="Hyperlink"/>
                <w:noProof/>
              </w:rPr>
              <w:t>Proposed scheduling</w:t>
            </w:r>
            <w:r w:rsidR="009B6554">
              <w:rPr>
                <w:noProof/>
                <w:webHidden/>
              </w:rPr>
              <w:tab/>
            </w:r>
            <w:r w:rsidR="009B6554">
              <w:rPr>
                <w:noProof/>
                <w:webHidden/>
              </w:rPr>
              <w:fldChar w:fldCharType="begin"/>
            </w:r>
            <w:r w:rsidR="009B6554">
              <w:rPr>
                <w:noProof/>
                <w:webHidden/>
              </w:rPr>
              <w:instrText xml:space="preserve"> PAGEREF _Toc81903359 \h </w:instrText>
            </w:r>
            <w:r w:rsidR="009B6554">
              <w:rPr>
                <w:noProof/>
                <w:webHidden/>
              </w:rPr>
            </w:r>
            <w:r w:rsidR="009B6554">
              <w:rPr>
                <w:noProof/>
                <w:webHidden/>
              </w:rPr>
              <w:fldChar w:fldCharType="separate"/>
            </w:r>
            <w:r w:rsidR="009B6554">
              <w:rPr>
                <w:noProof/>
                <w:webHidden/>
              </w:rPr>
              <w:t>35</w:t>
            </w:r>
            <w:r w:rsidR="009B6554">
              <w:rPr>
                <w:noProof/>
                <w:webHidden/>
              </w:rPr>
              <w:fldChar w:fldCharType="end"/>
            </w:r>
          </w:hyperlink>
        </w:p>
        <w:p w14:paraId="3ACE0083" w14:textId="50215036" w:rsidR="009B6554" w:rsidRDefault="00672188">
          <w:pPr>
            <w:pStyle w:val="TOC3"/>
            <w:rPr>
              <w:rFonts w:asciiTheme="minorHAnsi" w:eastAsiaTheme="minorEastAsia" w:hAnsiTheme="minorHAnsi" w:cstheme="minorBidi"/>
              <w:b w:val="0"/>
              <w:noProof/>
              <w:szCs w:val="22"/>
              <w:lang w:eastAsia="en-AU"/>
            </w:rPr>
          </w:pPr>
          <w:hyperlink w:anchor="_Toc81903360" w:history="1">
            <w:r w:rsidR="009B6554" w:rsidRPr="00477F2B">
              <w:rPr>
                <w:rStyle w:val="Hyperlink"/>
                <w:noProof/>
              </w:rPr>
              <w:t>Key uses / expected use</w:t>
            </w:r>
            <w:r w:rsidR="009B6554">
              <w:rPr>
                <w:noProof/>
                <w:webHidden/>
              </w:rPr>
              <w:tab/>
            </w:r>
            <w:r w:rsidR="009B6554">
              <w:rPr>
                <w:noProof/>
                <w:webHidden/>
              </w:rPr>
              <w:fldChar w:fldCharType="begin"/>
            </w:r>
            <w:r w:rsidR="009B6554">
              <w:rPr>
                <w:noProof/>
                <w:webHidden/>
              </w:rPr>
              <w:instrText xml:space="preserve"> PAGEREF _Toc81903360 \h </w:instrText>
            </w:r>
            <w:r w:rsidR="009B6554">
              <w:rPr>
                <w:noProof/>
                <w:webHidden/>
              </w:rPr>
            </w:r>
            <w:r w:rsidR="009B6554">
              <w:rPr>
                <w:noProof/>
                <w:webHidden/>
              </w:rPr>
              <w:fldChar w:fldCharType="separate"/>
            </w:r>
            <w:r w:rsidR="009B6554">
              <w:rPr>
                <w:noProof/>
                <w:webHidden/>
              </w:rPr>
              <w:t>35</w:t>
            </w:r>
            <w:r w:rsidR="009B6554">
              <w:rPr>
                <w:noProof/>
                <w:webHidden/>
              </w:rPr>
              <w:fldChar w:fldCharType="end"/>
            </w:r>
          </w:hyperlink>
        </w:p>
        <w:p w14:paraId="0BF661E2" w14:textId="6C34C294" w:rsidR="009B6554" w:rsidRDefault="00672188">
          <w:pPr>
            <w:pStyle w:val="TOC3"/>
            <w:rPr>
              <w:rFonts w:asciiTheme="minorHAnsi" w:eastAsiaTheme="minorEastAsia" w:hAnsiTheme="minorHAnsi" w:cstheme="minorBidi"/>
              <w:b w:val="0"/>
              <w:noProof/>
              <w:szCs w:val="22"/>
              <w:lang w:eastAsia="en-AU"/>
            </w:rPr>
          </w:pPr>
          <w:hyperlink w:anchor="_Toc81903361" w:history="1">
            <w:r w:rsidR="009B6554" w:rsidRPr="00477F2B">
              <w:rPr>
                <w:rStyle w:val="Hyperlink"/>
                <w:noProof/>
              </w:rPr>
              <w:t>Application summary - reasons for proposal</w:t>
            </w:r>
            <w:r w:rsidR="009B6554">
              <w:rPr>
                <w:noProof/>
                <w:webHidden/>
              </w:rPr>
              <w:tab/>
            </w:r>
            <w:r w:rsidR="009B6554">
              <w:rPr>
                <w:noProof/>
                <w:webHidden/>
              </w:rPr>
              <w:fldChar w:fldCharType="begin"/>
            </w:r>
            <w:r w:rsidR="009B6554">
              <w:rPr>
                <w:noProof/>
                <w:webHidden/>
              </w:rPr>
              <w:instrText xml:space="preserve"> PAGEREF _Toc81903361 \h </w:instrText>
            </w:r>
            <w:r w:rsidR="009B6554">
              <w:rPr>
                <w:noProof/>
                <w:webHidden/>
              </w:rPr>
            </w:r>
            <w:r w:rsidR="009B6554">
              <w:rPr>
                <w:noProof/>
                <w:webHidden/>
              </w:rPr>
              <w:fldChar w:fldCharType="separate"/>
            </w:r>
            <w:r w:rsidR="009B6554">
              <w:rPr>
                <w:noProof/>
                <w:webHidden/>
              </w:rPr>
              <w:t>36</w:t>
            </w:r>
            <w:r w:rsidR="009B6554">
              <w:rPr>
                <w:noProof/>
                <w:webHidden/>
              </w:rPr>
              <w:fldChar w:fldCharType="end"/>
            </w:r>
          </w:hyperlink>
        </w:p>
        <w:p w14:paraId="0615C8BD" w14:textId="0E830A51" w:rsidR="009B6554" w:rsidRDefault="00672188">
          <w:pPr>
            <w:pStyle w:val="TOC3"/>
            <w:rPr>
              <w:rFonts w:asciiTheme="minorHAnsi" w:eastAsiaTheme="minorEastAsia" w:hAnsiTheme="minorHAnsi" w:cstheme="minorBidi"/>
              <w:b w:val="0"/>
              <w:noProof/>
              <w:szCs w:val="22"/>
              <w:lang w:eastAsia="en-AU"/>
            </w:rPr>
          </w:pPr>
          <w:hyperlink w:anchor="_Toc81903362" w:history="1">
            <w:r w:rsidR="009B6554" w:rsidRPr="00477F2B">
              <w:rPr>
                <w:rStyle w:val="Hyperlink"/>
                <w:noProof/>
              </w:rPr>
              <w:t>Australian regulations</w:t>
            </w:r>
            <w:r w:rsidR="009B6554">
              <w:rPr>
                <w:noProof/>
                <w:webHidden/>
              </w:rPr>
              <w:tab/>
            </w:r>
            <w:r w:rsidR="009B6554">
              <w:rPr>
                <w:noProof/>
                <w:webHidden/>
              </w:rPr>
              <w:fldChar w:fldCharType="begin"/>
            </w:r>
            <w:r w:rsidR="009B6554">
              <w:rPr>
                <w:noProof/>
                <w:webHidden/>
              </w:rPr>
              <w:instrText xml:space="preserve"> PAGEREF _Toc81903362 \h </w:instrText>
            </w:r>
            <w:r w:rsidR="009B6554">
              <w:rPr>
                <w:noProof/>
                <w:webHidden/>
              </w:rPr>
            </w:r>
            <w:r w:rsidR="009B6554">
              <w:rPr>
                <w:noProof/>
                <w:webHidden/>
              </w:rPr>
              <w:fldChar w:fldCharType="separate"/>
            </w:r>
            <w:r w:rsidR="009B6554">
              <w:rPr>
                <w:noProof/>
                <w:webHidden/>
              </w:rPr>
              <w:t>36</w:t>
            </w:r>
            <w:r w:rsidR="009B6554">
              <w:rPr>
                <w:noProof/>
                <w:webHidden/>
              </w:rPr>
              <w:fldChar w:fldCharType="end"/>
            </w:r>
          </w:hyperlink>
        </w:p>
        <w:p w14:paraId="0CC29F87" w14:textId="50BFF886" w:rsidR="009B6554" w:rsidRDefault="00672188">
          <w:pPr>
            <w:pStyle w:val="TOC3"/>
            <w:rPr>
              <w:rFonts w:asciiTheme="minorHAnsi" w:eastAsiaTheme="minorEastAsia" w:hAnsiTheme="minorHAnsi" w:cstheme="minorBidi"/>
              <w:b w:val="0"/>
              <w:noProof/>
              <w:szCs w:val="22"/>
              <w:lang w:eastAsia="en-AU"/>
            </w:rPr>
          </w:pPr>
          <w:hyperlink w:anchor="_Toc81903363" w:history="1">
            <w:r w:rsidR="009B6554" w:rsidRPr="00477F2B">
              <w:rPr>
                <w:rStyle w:val="Hyperlink"/>
                <w:noProof/>
              </w:rPr>
              <w:t>International regulations</w:t>
            </w:r>
            <w:r w:rsidR="009B6554">
              <w:rPr>
                <w:noProof/>
                <w:webHidden/>
              </w:rPr>
              <w:tab/>
            </w:r>
            <w:r w:rsidR="009B6554">
              <w:rPr>
                <w:noProof/>
                <w:webHidden/>
              </w:rPr>
              <w:fldChar w:fldCharType="begin"/>
            </w:r>
            <w:r w:rsidR="009B6554">
              <w:rPr>
                <w:noProof/>
                <w:webHidden/>
              </w:rPr>
              <w:instrText xml:space="preserve"> PAGEREF _Toc81903363 \h </w:instrText>
            </w:r>
            <w:r w:rsidR="009B6554">
              <w:rPr>
                <w:noProof/>
                <w:webHidden/>
              </w:rPr>
            </w:r>
            <w:r w:rsidR="009B6554">
              <w:rPr>
                <w:noProof/>
                <w:webHidden/>
              </w:rPr>
              <w:fldChar w:fldCharType="separate"/>
            </w:r>
            <w:r w:rsidR="009B6554">
              <w:rPr>
                <w:noProof/>
                <w:webHidden/>
              </w:rPr>
              <w:t>37</w:t>
            </w:r>
            <w:r w:rsidR="009B6554">
              <w:rPr>
                <w:noProof/>
                <w:webHidden/>
              </w:rPr>
              <w:fldChar w:fldCharType="end"/>
            </w:r>
          </w:hyperlink>
        </w:p>
        <w:p w14:paraId="216EBF9B" w14:textId="5F502B47" w:rsidR="009B6554" w:rsidRDefault="00672188">
          <w:pPr>
            <w:pStyle w:val="TOC1"/>
            <w:tabs>
              <w:tab w:val="left" w:pos="425"/>
            </w:tabs>
            <w:rPr>
              <w:rFonts w:asciiTheme="minorHAnsi" w:eastAsiaTheme="minorEastAsia" w:hAnsiTheme="minorHAnsi" w:cstheme="minorBidi"/>
              <w:b w:val="0"/>
              <w:noProof/>
              <w:sz w:val="22"/>
              <w:szCs w:val="22"/>
              <w:lang w:eastAsia="en-AU"/>
            </w:rPr>
          </w:pPr>
          <w:hyperlink w:anchor="_Toc81903364" w:history="1">
            <w:r w:rsidR="009B6554" w:rsidRPr="00477F2B">
              <w:rPr>
                <w:rStyle w:val="Hyperlink"/>
                <w:noProof/>
              </w:rPr>
              <w:t>4</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How to respond</w:t>
            </w:r>
            <w:r w:rsidR="009B6554">
              <w:rPr>
                <w:noProof/>
                <w:webHidden/>
              </w:rPr>
              <w:tab/>
            </w:r>
            <w:r w:rsidR="009B6554">
              <w:rPr>
                <w:noProof/>
                <w:webHidden/>
              </w:rPr>
              <w:fldChar w:fldCharType="begin"/>
            </w:r>
            <w:r w:rsidR="009B6554">
              <w:rPr>
                <w:noProof/>
                <w:webHidden/>
              </w:rPr>
              <w:instrText xml:space="preserve"> PAGEREF _Toc81903364 \h </w:instrText>
            </w:r>
            <w:r w:rsidR="009B6554">
              <w:rPr>
                <w:noProof/>
                <w:webHidden/>
              </w:rPr>
            </w:r>
            <w:r w:rsidR="009B6554">
              <w:rPr>
                <w:noProof/>
                <w:webHidden/>
              </w:rPr>
              <w:fldChar w:fldCharType="separate"/>
            </w:r>
            <w:r w:rsidR="009B6554">
              <w:rPr>
                <w:noProof/>
                <w:webHidden/>
              </w:rPr>
              <w:t>38</w:t>
            </w:r>
            <w:r w:rsidR="009B6554">
              <w:rPr>
                <w:noProof/>
                <w:webHidden/>
              </w:rPr>
              <w:fldChar w:fldCharType="end"/>
            </w:r>
          </w:hyperlink>
        </w:p>
        <w:p w14:paraId="30B974AD" w14:textId="5BB2CA3E" w:rsidR="009B6554" w:rsidRDefault="00672188">
          <w:pPr>
            <w:pStyle w:val="TOC1"/>
            <w:tabs>
              <w:tab w:val="left" w:pos="425"/>
            </w:tabs>
            <w:rPr>
              <w:rFonts w:asciiTheme="minorHAnsi" w:eastAsiaTheme="minorEastAsia" w:hAnsiTheme="minorHAnsi" w:cstheme="minorBidi"/>
              <w:b w:val="0"/>
              <w:noProof/>
              <w:sz w:val="22"/>
              <w:szCs w:val="22"/>
              <w:lang w:eastAsia="en-AU"/>
            </w:rPr>
          </w:pPr>
          <w:hyperlink w:anchor="_Toc81903365" w:history="1">
            <w:r w:rsidR="009B6554" w:rsidRPr="00477F2B">
              <w:rPr>
                <w:rStyle w:val="Hyperlink"/>
                <w:noProof/>
              </w:rPr>
              <w:t>5</w:t>
            </w:r>
            <w:r w:rsidR="009B6554">
              <w:rPr>
                <w:rFonts w:asciiTheme="minorHAnsi" w:eastAsiaTheme="minorEastAsia" w:hAnsiTheme="minorHAnsi" w:cstheme="minorBidi"/>
                <w:b w:val="0"/>
                <w:noProof/>
                <w:sz w:val="22"/>
                <w:szCs w:val="22"/>
                <w:lang w:eastAsia="en-AU"/>
              </w:rPr>
              <w:tab/>
            </w:r>
            <w:r w:rsidR="009B6554" w:rsidRPr="00477F2B">
              <w:rPr>
                <w:rStyle w:val="Hyperlink"/>
                <w:noProof/>
              </w:rPr>
              <w:t>What will happen</w:t>
            </w:r>
            <w:r w:rsidR="009B6554">
              <w:rPr>
                <w:noProof/>
                <w:webHidden/>
              </w:rPr>
              <w:tab/>
            </w:r>
            <w:r w:rsidR="009B6554">
              <w:rPr>
                <w:noProof/>
                <w:webHidden/>
              </w:rPr>
              <w:fldChar w:fldCharType="begin"/>
            </w:r>
            <w:r w:rsidR="009B6554">
              <w:rPr>
                <w:noProof/>
                <w:webHidden/>
              </w:rPr>
              <w:instrText xml:space="preserve"> PAGEREF _Toc81903365 \h </w:instrText>
            </w:r>
            <w:r w:rsidR="009B6554">
              <w:rPr>
                <w:noProof/>
                <w:webHidden/>
              </w:rPr>
            </w:r>
            <w:r w:rsidR="009B6554">
              <w:rPr>
                <w:noProof/>
                <w:webHidden/>
              </w:rPr>
              <w:fldChar w:fldCharType="separate"/>
            </w:r>
            <w:r w:rsidR="009B6554">
              <w:rPr>
                <w:noProof/>
                <w:webHidden/>
              </w:rPr>
              <w:t>38</w:t>
            </w:r>
            <w:r w:rsidR="009B6554">
              <w:rPr>
                <w:noProof/>
                <w:webHidden/>
              </w:rPr>
              <w:fldChar w:fldCharType="end"/>
            </w:r>
          </w:hyperlink>
        </w:p>
        <w:p w14:paraId="7CBED58D" w14:textId="55BDE2BE" w:rsidR="00B92C72" w:rsidRPr="009401F6" w:rsidRDefault="006C626D" w:rsidP="0023397F">
          <w:r w:rsidRPr="009401F6">
            <w:fldChar w:fldCharType="end"/>
          </w:r>
        </w:p>
      </w:sdtContent>
    </w:sdt>
    <w:p w14:paraId="3A13C90F" w14:textId="77777777" w:rsidR="006807F5" w:rsidRDefault="006807F5">
      <w:pPr>
        <w:spacing w:before="0" w:after="0" w:line="240" w:lineRule="auto"/>
      </w:pPr>
      <w:r>
        <w:br w:type="page"/>
      </w:r>
    </w:p>
    <w:p w14:paraId="3196001B" w14:textId="77777777" w:rsidR="006807F5" w:rsidRPr="006807F5" w:rsidRDefault="006807F5" w:rsidP="006807F5">
      <w:pPr>
        <w:rPr>
          <w:lang w:val="en"/>
        </w:rPr>
      </w:pPr>
      <w:r w:rsidRPr="006807F5">
        <w:rPr>
          <w:lang w:val="en"/>
        </w:rPr>
        <w:lastRenderedPageBreak/>
        <w:t>We have changed the way to make submissions.</w:t>
      </w:r>
    </w:p>
    <w:p w14:paraId="628EC760" w14:textId="6DF757A5" w:rsidR="006807F5" w:rsidRPr="006807F5" w:rsidRDefault="006807F5" w:rsidP="006807F5">
      <w:pPr>
        <w:rPr>
          <w:lang w:val="en"/>
        </w:rPr>
      </w:pPr>
      <w:r w:rsidRPr="006807F5">
        <w:t>Submissions now should be provided through our</w:t>
      </w:r>
      <w:r w:rsidRPr="006807F5">
        <w:rPr>
          <w:lang w:val="en"/>
        </w:rPr>
        <w:t xml:space="preserve"> </w:t>
      </w:r>
      <w:hyperlink r:id="rId13" w:history="1">
        <w:r w:rsidRPr="009D372F">
          <w:rPr>
            <w:rStyle w:val="Hyperlink"/>
          </w:rPr>
          <w:t>consultation hub</w:t>
        </w:r>
      </w:hyperlink>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14" w:history="1">
        <w:r w:rsidRPr="006807F5">
          <w:rPr>
            <w:rStyle w:val="Hyperlink"/>
          </w:rPr>
          <w:t>Advisory Committee on Medicines Scheduling (ACMS)</w:t>
        </w:r>
      </w:hyperlink>
      <w:r w:rsidRPr="006807F5">
        <w:rPr>
          <w:lang w:val="en"/>
        </w:rPr>
        <w:t xml:space="preserve">, </w:t>
      </w:r>
      <w:r w:rsidRPr="006807F5">
        <w:t>meeting of the</w:t>
      </w:r>
      <w:r w:rsidRPr="006807F5">
        <w:rPr>
          <w:lang w:val="en"/>
        </w:rPr>
        <w:t xml:space="preserve"> </w:t>
      </w:r>
      <w:hyperlink r:id="rId15" w:history="1">
        <w:r w:rsidRPr="006807F5">
          <w:rPr>
            <w:rStyle w:val="Hyperlink"/>
          </w:rPr>
          <w:t>Advisory Committee on Chemicals Scheduling (ACCS)</w:t>
        </w:r>
      </w:hyperlink>
      <w:r w:rsidRPr="006807F5">
        <w:rPr>
          <w:lang w:val="en"/>
        </w:rPr>
        <w:t xml:space="preserve">, </w:t>
      </w:r>
      <w:r w:rsidRPr="006807F5">
        <w:t>or a joint meeting of these two committees.</w:t>
      </w:r>
    </w:p>
    <w:p w14:paraId="1A83973A" w14:textId="3BCDF3F5" w:rsidR="006807F5" w:rsidRPr="006807F5" w:rsidRDefault="006807F5" w:rsidP="006807F5">
      <w:pPr>
        <w:rPr>
          <w:b/>
          <w:lang w:val="en"/>
        </w:rPr>
      </w:pPr>
      <w:r>
        <w:rPr>
          <w:b/>
          <w:lang w:val="en"/>
        </w:rPr>
        <w:t xml:space="preserve">This consultation closes on </w:t>
      </w:r>
      <w:r w:rsidR="00FB58B0">
        <w:rPr>
          <w:b/>
          <w:lang w:val="en"/>
        </w:rPr>
        <w:t>7</w:t>
      </w:r>
      <w:r w:rsidR="00C76C51">
        <w:rPr>
          <w:b/>
          <w:lang w:val="en"/>
        </w:rPr>
        <w:t xml:space="preserve"> October</w:t>
      </w:r>
      <w:r w:rsidR="007807B3">
        <w:rPr>
          <w:b/>
          <w:lang w:val="en"/>
        </w:rPr>
        <w:t xml:space="preserve"> 2021</w:t>
      </w:r>
      <w:r w:rsidRPr="006807F5">
        <w:rPr>
          <w:b/>
          <w:lang w:val="en"/>
        </w:rPr>
        <w:t>.</w:t>
      </w:r>
    </w:p>
    <w:p w14:paraId="454D4E62" w14:textId="77777777" w:rsidR="006807F5" w:rsidRPr="006807F5" w:rsidRDefault="006807F5" w:rsidP="006807F5">
      <w:pPr>
        <w:rPr>
          <w:b/>
          <w:bCs/>
        </w:rPr>
      </w:pPr>
      <w:bookmarkStart w:id="2" w:name="_Toc71021836"/>
      <w:r w:rsidRPr="006807F5">
        <w:rPr>
          <w:b/>
          <w:bCs/>
        </w:rPr>
        <w:t>Scheduling amendments referred to expert advisory committee</w:t>
      </w:r>
      <w:bookmarkEnd w:id="2"/>
    </w:p>
    <w:p w14:paraId="41C4D5ED" w14:textId="77777777" w:rsidR="006807F5" w:rsidRPr="006807F5" w:rsidRDefault="006807F5" w:rsidP="006807F5">
      <w:r w:rsidRPr="006807F5">
        <w:t>Subdivision 3D.2 of the </w:t>
      </w:r>
      <w:r w:rsidRPr="006807F5">
        <w:rPr>
          <w:i/>
          <w:iCs/>
        </w:rPr>
        <w:t>Therapeutic Goods Regulations 1990</w:t>
      </w:r>
      <w:r w:rsidRPr="006807F5">
        <w:t> (the Regulations) sets out the procedure to be followed where the Secretary receives an application under section 52EAA of the </w:t>
      </w:r>
      <w:r w:rsidRPr="006807F5">
        <w:rPr>
          <w:i/>
          <w:iCs/>
        </w:rPr>
        <w:t>Therapeutic Goods Act 1989</w:t>
      </w:r>
      <w:r w:rsidRPr="006807F5">
        <w:t> (the Act)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374FB426" w14:textId="39BBC3D5" w:rsidR="006807F5" w:rsidRPr="006807F5" w:rsidRDefault="006807F5" w:rsidP="006807F5">
      <w:r w:rsidRPr="006807F5">
        <w:t>In accordance with regulation 42ZCZK of the Regulations, the Secretary invites public submissions on scheduling proposals referred to the June 2021 meeting of the Joint Advisory Committee on Medicines and Chemicals Scheduling (Joint ACMS-ACCS #28). Submissions must be received by close of business </w:t>
      </w:r>
      <w:r w:rsidR="00FB58B0">
        <w:rPr>
          <w:b/>
          <w:lang w:val="en"/>
        </w:rPr>
        <w:t>7</w:t>
      </w:r>
      <w:r w:rsidR="00C76C51">
        <w:rPr>
          <w:b/>
          <w:lang w:val="en"/>
        </w:rPr>
        <w:t xml:space="preserve"> October</w:t>
      </w:r>
      <w:r w:rsidR="007807B3">
        <w:rPr>
          <w:b/>
          <w:lang w:val="en"/>
        </w:rPr>
        <w:t xml:space="preserve"> 2021</w:t>
      </w:r>
      <w:r w:rsidRPr="006807F5">
        <w:t>.</w:t>
      </w:r>
    </w:p>
    <w:p w14:paraId="40137743" w14:textId="26644E0C" w:rsidR="00F8365F" w:rsidRPr="009401F6" w:rsidRDefault="00F8365F" w:rsidP="006807F5">
      <w:r w:rsidRPr="009401F6">
        <w:br w:type="page"/>
      </w:r>
    </w:p>
    <w:p w14:paraId="45D314B0" w14:textId="0F57BC4B" w:rsidR="002C1070" w:rsidRPr="00BC2009" w:rsidRDefault="002C1070" w:rsidP="002C1070">
      <w:pPr>
        <w:pStyle w:val="Heading2"/>
      </w:pPr>
      <w:bookmarkStart w:id="3" w:name="_Toc46751744"/>
      <w:bookmarkStart w:id="4" w:name="_Toc81903285"/>
      <w:bookmarkStart w:id="5" w:name="_Toc323738671"/>
      <w:bookmarkStart w:id="6" w:name="_Toc356305157"/>
      <w:bookmarkEnd w:id="1"/>
      <w:r>
        <w:lastRenderedPageBreak/>
        <w:t>Proposed amendments referred for scheduling advice to ACMS #</w:t>
      </w:r>
      <w:bookmarkEnd w:id="3"/>
      <w:r w:rsidR="00C50C4D">
        <w:t>35</w:t>
      </w:r>
      <w:bookmarkEnd w:id="4"/>
    </w:p>
    <w:p w14:paraId="4E2E8C55" w14:textId="77777777" w:rsidR="00510B15" w:rsidRDefault="00510B15" w:rsidP="00510B15">
      <w:pPr>
        <w:pStyle w:val="Heading3"/>
      </w:pPr>
      <w:bookmarkStart w:id="7" w:name="_Toc81903286"/>
      <w:bookmarkEnd w:id="5"/>
      <w:bookmarkEnd w:id="6"/>
      <w:proofErr w:type="spellStart"/>
      <w:r>
        <w:t>Astodrimer</w:t>
      </w:r>
      <w:proofErr w:type="spellEnd"/>
      <w:r>
        <w:t xml:space="preserve"> sodium</w:t>
      </w:r>
      <w:bookmarkEnd w:id="7"/>
    </w:p>
    <w:p w14:paraId="6ACA7C3B" w14:textId="77777777" w:rsidR="00510B15" w:rsidRDefault="00510B15" w:rsidP="00510B15">
      <w:pPr>
        <w:pStyle w:val="Heading4"/>
      </w:pPr>
      <w:bookmarkStart w:id="8" w:name="_Toc81903287"/>
      <w:r>
        <w:t>Proposal</w:t>
      </w:r>
      <w:bookmarkEnd w:id="8"/>
    </w:p>
    <w:p w14:paraId="750CDE17" w14:textId="37973E8B" w:rsidR="00510B15" w:rsidRPr="002B779E" w:rsidRDefault="00510B15" w:rsidP="00510B15">
      <w:r>
        <w:t xml:space="preserve">The applicant has proposed amendment of the existing Appendix F and Appendix H entries for </w:t>
      </w:r>
      <w:proofErr w:type="spellStart"/>
      <w:r>
        <w:t>astodrimer</w:t>
      </w:r>
      <w:proofErr w:type="spellEnd"/>
      <w:r>
        <w:t xml:space="preserve"> to include new warning statements </w:t>
      </w:r>
      <w:r w:rsidR="006E723A">
        <w:t xml:space="preserve">for preventative use, </w:t>
      </w:r>
      <w:r>
        <w:t xml:space="preserve">and </w:t>
      </w:r>
      <w:r w:rsidR="006E723A">
        <w:t xml:space="preserve">to </w:t>
      </w:r>
      <w:r>
        <w:t xml:space="preserve">remove </w:t>
      </w:r>
      <w:r w:rsidR="006E723A">
        <w:t xml:space="preserve">existing </w:t>
      </w:r>
      <w:r>
        <w:t>restrictions on advertising for preparations containing the substance.</w:t>
      </w:r>
    </w:p>
    <w:p w14:paraId="09B0FF89" w14:textId="77777777" w:rsidR="00510B15" w:rsidRDefault="00510B15" w:rsidP="00510B15">
      <w:pPr>
        <w:pStyle w:val="Heading4"/>
      </w:pPr>
      <w:bookmarkStart w:id="9" w:name="_Toc81903288"/>
      <w:r>
        <w:t>CAS Number:</w:t>
      </w:r>
      <w:bookmarkEnd w:id="9"/>
    </w:p>
    <w:p w14:paraId="6647E2E4" w14:textId="77777777" w:rsidR="00510B15" w:rsidRDefault="00510B15" w:rsidP="00510B15">
      <w:r>
        <w:t>676271-69-5</w:t>
      </w:r>
    </w:p>
    <w:p w14:paraId="6ED8208A" w14:textId="77777777" w:rsidR="00510B15" w:rsidRDefault="00510B15" w:rsidP="00510B15">
      <w:pPr>
        <w:pStyle w:val="Heading4"/>
      </w:pPr>
      <w:bookmarkStart w:id="10" w:name="_Toc81903289"/>
      <w:r>
        <w:t>Alternative names</w:t>
      </w:r>
      <w:bookmarkEnd w:id="10"/>
    </w:p>
    <w:p w14:paraId="7465348F" w14:textId="46B8BEED" w:rsidR="00510B15" w:rsidRDefault="00AC1B22" w:rsidP="00510B15">
      <w:r w:rsidRPr="00AC1B22">
        <w:t>2,6-Bis</w:t>
      </w:r>
      <w:proofErr w:type="gramStart"/>
      <w:r w:rsidRPr="00AC1B22">
        <w:t>-{</w:t>
      </w:r>
      <w:proofErr w:type="gramEnd"/>
      <w:r w:rsidRPr="00AC1B22">
        <w:t>(1-napthalenyl-3,6-disulfonic acid)-oxyacetamido}-2,6-bis-2,6-bis-2,6-bis-(2,6-diamino-hexanoylamino)-2,6-diamino-hexanoic acid (</w:t>
      </w:r>
      <w:proofErr w:type="spellStart"/>
      <w:r w:rsidRPr="00AC1B22">
        <w:t>diphenylmethyl</w:t>
      </w:r>
      <w:proofErr w:type="spellEnd"/>
      <w:r w:rsidRPr="00AC1B22">
        <w:t xml:space="preserve">)-amide, </w:t>
      </w:r>
      <w:proofErr w:type="spellStart"/>
      <w:r w:rsidRPr="00AC1B22">
        <w:t>polysodium</w:t>
      </w:r>
      <w:proofErr w:type="spellEnd"/>
      <w:r w:rsidRPr="00AC1B22">
        <w:t xml:space="preserve"> salt</w:t>
      </w:r>
      <w:r>
        <w:t>; SPL7013</w:t>
      </w:r>
    </w:p>
    <w:p w14:paraId="699E377A" w14:textId="77777777" w:rsidR="00510B15" w:rsidRDefault="00510B15" w:rsidP="00510B15">
      <w:pPr>
        <w:pStyle w:val="Heading4"/>
      </w:pPr>
      <w:bookmarkStart w:id="11" w:name="_Toc81903290"/>
      <w:r>
        <w:t>Applicant</w:t>
      </w:r>
      <w:bookmarkEnd w:id="11"/>
    </w:p>
    <w:p w14:paraId="75C321F4" w14:textId="77777777" w:rsidR="00510B15" w:rsidRDefault="00510B15" w:rsidP="00510B15">
      <w:r w:rsidRPr="006B619A">
        <w:t>Private applicant</w:t>
      </w:r>
    </w:p>
    <w:p w14:paraId="59FA774A" w14:textId="77777777" w:rsidR="00510B15" w:rsidRDefault="00510B15" w:rsidP="00510B15">
      <w:pPr>
        <w:pStyle w:val="Heading4"/>
      </w:pPr>
      <w:bookmarkStart w:id="12" w:name="_Toc81903291"/>
      <w:r>
        <w:t>Current scheduling</w:t>
      </w:r>
      <w:bookmarkEnd w:id="12"/>
    </w:p>
    <w:p w14:paraId="78BF3037" w14:textId="77777777" w:rsidR="00510B15" w:rsidRDefault="00510B15" w:rsidP="00510B15">
      <w:proofErr w:type="spellStart"/>
      <w:r>
        <w:t>Astodrimer</w:t>
      </w:r>
      <w:proofErr w:type="spellEnd"/>
      <w:r>
        <w:t xml:space="preserve"> sodium is currently listed in Schedule 3 of the Poisons Standard:</w:t>
      </w:r>
    </w:p>
    <w:p w14:paraId="59A9A21E" w14:textId="77777777" w:rsidR="00510B15" w:rsidRPr="00766EDB" w:rsidRDefault="00510B15" w:rsidP="00510B15">
      <w:pPr>
        <w:ind w:left="426"/>
        <w:rPr>
          <w:b/>
          <w:bCs/>
        </w:rPr>
      </w:pPr>
      <w:r w:rsidRPr="00766EDB">
        <w:rPr>
          <w:b/>
          <w:bCs/>
        </w:rPr>
        <w:t>Schedule 3</w:t>
      </w:r>
    </w:p>
    <w:p w14:paraId="5BBD47B7" w14:textId="77777777" w:rsidR="00510B15" w:rsidRDefault="00510B15" w:rsidP="00510B15">
      <w:pPr>
        <w:ind w:left="426"/>
      </w:pPr>
      <w:r>
        <w:t xml:space="preserve">ASTODRIMER SODIUM </w:t>
      </w:r>
      <w:r w:rsidRPr="00766EDB">
        <w:rPr>
          <w:b/>
          <w:bCs/>
        </w:rPr>
        <w:t>except</w:t>
      </w:r>
      <w:r>
        <w:t xml:space="preserve"> in a condom lubricant.</w:t>
      </w:r>
    </w:p>
    <w:p w14:paraId="07752A20" w14:textId="77777777" w:rsidR="00510B15" w:rsidRPr="00766EDB" w:rsidRDefault="00510B15" w:rsidP="00510B15">
      <w:pPr>
        <w:ind w:left="426"/>
        <w:rPr>
          <w:b/>
          <w:bCs/>
        </w:rPr>
      </w:pPr>
      <w:r w:rsidRPr="00766EDB">
        <w:rPr>
          <w:b/>
          <w:bCs/>
        </w:rPr>
        <w:t>Index</w:t>
      </w:r>
    </w:p>
    <w:p w14:paraId="34DDBDA8" w14:textId="77777777" w:rsidR="00510B15" w:rsidRDefault="00510B15" w:rsidP="00510B15">
      <w:pPr>
        <w:ind w:left="426"/>
      </w:pPr>
      <w:r>
        <w:t>ASTODRIMER SODIUM</w:t>
      </w:r>
    </w:p>
    <w:p w14:paraId="39C19A11" w14:textId="77777777" w:rsidR="00510B15" w:rsidRDefault="00510B15" w:rsidP="00510B15">
      <w:pPr>
        <w:ind w:left="426"/>
      </w:pPr>
      <w:r>
        <w:t>Schedule 3</w:t>
      </w:r>
      <w:r>
        <w:br/>
        <w:t>Appendix F, Part 3</w:t>
      </w:r>
      <w:r>
        <w:br/>
        <w:t>Appendix H</w:t>
      </w:r>
    </w:p>
    <w:p w14:paraId="53405551" w14:textId="77777777" w:rsidR="00510B15" w:rsidRDefault="00510B15" w:rsidP="00510B15">
      <w:r>
        <w:t>It is also included under the entries for ASTODRIMER SODIUM in Appendix F and Appendix H as follows:</w:t>
      </w:r>
    </w:p>
    <w:p w14:paraId="6615E7C7" w14:textId="77777777" w:rsidR="00510B15" w:rsidRPr="007C4877" w:rsidRDefault="00510B15" w:rsidP="00510B15">
      <w:pPr>
        <w:ind w:left="426"/>
        <w:rPr>
          <w:b/>
          <w:bCs/>
        </w:rPr>
      </w:pPr>
      <w:r w:rsidRPr="007C4877">
        <w:rPr>
          <w:b/>
          <w:bCs/>
        </w:rPr>
        <w:t>Appendix F, Part 3</w:t>
      </w:r>
    </w:p>
    <w:p w14:paraId="7169B7F3" w14:textId="53D370A9" w:rsidR="00510B15" w:rsidRPr="00D665B9" w:rsidRDefault="00D665B9" w:rsidP="00510B15">
      <w:pPr>
        <w:ind w:left="426"/>
        <w:rPr>
          <w:b/>
          <w:bCs/>
        </w:rPr>
      </w:pPr>
      <w:r>
        <w:rPr>
          <w:b/>
          <w:bCs/>
        </w:rPr>
        <w:t>WARNING STATEMENTS</w:t>
      </w:r>
    </w:p>
    <w:tbl>
      <w:tblPr>
        <w:tblStyle w:val="TableTGAblue"/>
        <w:tblW w:w="0" w:type="auto"/>
        <w:tblInd w:w="426" w:type="dxa"/>
        <w:tblLook w:val="04A0" w:firstRow="1" w:lastRow="0" w:firstColumn="1" w:lastColumn="0" w:noHBand="0" w:noVBand="1"/>
      </w:tblPr>
      <w:tblGrid>
        <w:gridCol w:w="1265"/>
        <w:gridCol w:w="7359"/>
      </w:tblGrid>
      <w:tr w:rsidR="00D665B9" w:rsidRPr="00D665B9" w14:paraId="2DABE850" w14:textId="77777777" w:rsidTr="00D665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2FCABB06" w14:textId="77777777" w:rsidR="00510B15" w:rsidRPr="00D665B9" w:rsidRDefault="00510B15" w:rsidP="00B77007">
            <w:pPr>
              <w:rPr>
                <w:b w:val="0"/>
                <w:bCs/>
                <w:color w:val="auto"/>
              </w:rPr>
            </w:pPr>
            <w:r w:rsidRPr="00D665B9">
              <w:rPr>
                <w:b w:val="0"/>
                <w:bCs/>
                <w:color w:val="auto"/>
              </w:rPr>
              <w:t>63</w:t>
            </w:r>
          </w:p>
        </w:tc>
        <w:tc>
          <w:tcPr>
            <w:tcW w:w="7359" w:type="dxa"/>
            <w:tcBorders>
              <w:top w:val="single" w:sz="4" w:space="0" w:color="auto"/>
              <w:left w:val="single" w:sz="4" w:space="0" w:color="auto"/>
              <w:bottom w:val="single" w:sz="4" w:space="0" w:color="auto"/>
              <w:right w:val="single" w:sz="4" w:space="0" w:color="auto"/>
            </w:tcBorders>
            <w:shd w:val="clear" w:color="auto" w:fill="FFFFFF" w:themeFill="background1"/>
          </w:tcPr>
          <w:p w14:paraId="0F759A44" w14:textId="77777777" w:rsidR="00510B15" w:rsidRPr="00D665B9" w:rsidRDefault="00510B15" w:rsidP="00B77007">
            <w:pPr>
              <w:cnfStyle w:val="100000000000" w:firstRow="1" w:lastRow="0" w:firstColumn="0" w:lastColumn="0" w:oddVBand="0" w:evenVBand="0" w:oddHBand="0" w:evenHBand="0" w:firstRowFirstColumn="0" w:firstRowLastColumn="0" w:lastRowFirstColumn="0" w:lastRowLastColumn="0"/>
              <w:rPr>
                <w:b w:val="0"/>
                <w:bCs/>
                <w:color w:val="auto"/>
              </w:rPr>
            </w:pPr>
            <w:r w:rsidRPr="00D665B9">
              <w:rPr>
                <w:b w:val="0"/>
                <w:bCs/>
                <w:color w:val="auto"/>
              </w:rPr>
              <w:t>See a doctor if you are pregnant or diabetic.</w:t>
            </w:r>
          </w:p>
        </w:tc>
      </w:tr>
      <w:tr w:rsidR="00510B15" w14:paraId="47EA2B91" w14:textId="77777777" w:rsidTr="00D665B9">
        <w:tc>
          <w:tcPr>
            <w:cnfStyle w:val="001000000000" w:firstRow="0" w:lastRow="0" w:firstColumn="1" w:lastColumn="0" w:oddVBand="0" w:evenVBand="0" w:oddHBand="0" w:evenHBand="0" w:firstRowFirstColumn="0" w:firstRowLastColumn="0" w:lastRowFirstColumn="0" w:lastRowLastColumn="0"/>
            <w:tcW w:w="1265" w:type="dxa"/>
            <w:tcBorders>
              <w:top w:val="single" w:sz="4" w:space="0" w:color="auto"/>
            </w:tcBorders>
          </w:tcPr>
          <w:p w14:paraId="36FC1516" w14:textId="77777777" w:rsidR="00510B15" w:rsidRDefault="00510B15" w:rsidP="00B77007">
            <w:r>
              <w:t>64</w:t>
            </w:r>
          </w:p>
        </w:tc>
        <w:tc>
          <w:tcPr>
            <w:tcW w:w="7359" w:type="dxa"/>
            <w:tcBorders>
              <w:top w:val="single" w:sz="4" w:space="0" w:color="auto"/>
            </w:tcBorders>
          </w:tcPr>
          <w:p w14:paraId="7FC1C687" w14:textId="77777777" w:rsidR="00510B15" w:rsidRDefault="00510B15" w:rsidP="00B77007">
            <w:pPr>
              <w:cnfStyle w:val="000000000000" w:firstRow="0" w:lastRow="0" w:firstColumn="0" w:lastColumn="0" w:oddVBand="0" w:evenVBand="0" w:oddHBand="0" w:evenHBand="0" w:firstRowFirstColumn="0" w:firstRowLastColumn="0" w:lastRowFirstColumn="0" w:lastRowLastColumn="0"/>
            </w:pPr>
            <w:r>
              <w:t>See a doctor (or) (dentist) if no better after (Insert number of days as per approved Product Information) days.</w:t>
            </w:r>
          </w:p>
        </w:tc>
      </w:tr>
      <w:tr w:rsidR="00510B15" w14:paraId="63B0CC0C" w14:textId="77777777" w:rsidTr="00B77007">
        <w:tc>
          <w:tcPr>
            <w:cnfStyle w:val="001000000000" w:firstRow="0" w:lastRow="0" w:firstColumn="1" w:lastColumn="0" w:oddVBand="0" w:evenVBand="0" w:oddHBand="0" w:evenHBand="0" w:firstRowFirstColumn="0" w:firstRowLastColumn="0" w:lastRowFirstColumn="0" w:lastRowLastColumn="0"/>
            <w:tcW w:w="1265" w:type="dxa"/>
          </w:tcPr>
          <w:p w14:paraId="7D9643B2" w14:textId="77777777" w:rsidR="00510B15" w:rsidRDefault="00510B15" w:rsidP="00B77007">
            <w:r>
              <w:lastRenderedPageBreak/>
              <w:t>69</w:t>
            </w:r>
          </w:p>
        </w:tc>
        <w:tc>
          <w:tcPr>
            <w:tcW w:w="7359" w:type="dxa"/>
          </w:tcPr>
          <w:p w14:paraId="08B004B2" w14:textId="77777777" w:rsidR="00510B15" w:rsidRDefault="00510B15" w:rsidP="00B77007">
            <w:pPr>
              <w:cnfStyle w:val="000000000000" w:firstRow="0" w:lastRow="0" w:firstColumn="0" w:lastColumn="0" w:oddVBand="0" w:evenVBand="0" w:oddHBand="0" w:evenHBand="0" w:firstRowFirstColumn="0" w:firstRowLastColumn="0" w:lastRowFirstColumn="0" w:lastRowLastColumn="0"/>
            </w:pPr>
            <w:r>
              <w:t>If symptoms recur within two weeks of completing the course, consult a doctor.</w:t>
            </w:r>
          </w:p>
        </w:tc>
      </w:tr>
      <w:tr w:rsidR="00510B15" w14:paraId="13D7AA68" w14:textId="77777777" w:rsidTr="00B77007">
        <w:tc>
          <w:tcPr>
            <w:cnfStyle w:val="001000000000" w:firstRow="0" w:lastRow="0" w:firstColumn="1" w:lastColumn="0" w:oddVBand="0" w:evenVBand="0" w:oddHBand="0" w:evenHBand="0" w:firstRowFirstColumn="0" w:firstRowLastColumn="0" w:lastRowFirstColumn="0" w:lastRowLastColumn="0"/>
            <w:tcW w:w="1265" w:type="dxa"/>
          </w:tcPr>
          <w:p w14:paraId="1090C8B8" w14:textId="77777777" w:rsidR="00510B15" w:rsidRDefault="00510B15" w:rsidP="00B77007">
            <w:r>
              <w:t>75</w:t>
            </w:r>
          </w:p>
        </w:tc>
        <w:tc>
          <w:tcPr>
            <w:tcW w:w="7359" w:type="dxa"/>
          </w:tcPr>
          <w:p w14:paraId="1D7104F3" w14:textId="77777777" w:rsidR="00510B15" w:rsidRDefault="00510B15" w:rsidP="00B77007">
            <w:pPr>
              <w:cnfStyle w:val="000000000000" w:firstRow="0" w:lastRow="0" w:firstColumn="0" w:lastColumn="0" w:oddVBand="0" w:evenVBand="0" w:oddHBand="0" w:evenHBand="0" w:firstRowFirstColumn="0" w:firstRowLastColumn="0" w:lastRowFirstColumn="0" w:lastRowLastColumn="0"/>
            </w:pPr>
            <w:r>
              <w:t>Do not use for more than 7 days unless a doctor has told you to.</w:t>
            </w:r>
          </w:p>
        </w:tc>
      </w:tr>
      <w:tr w:rsidR="00510B15" w14:paraId="0E67EF15" w14:textId="77777777" w:rsidTr="00B77007">
        <w:tc>
          <w:tcPr>
            <w:cnfStyle w:val="001000000000" w:firstRow="0" w:lastRow="0" w:firstColumn="1" w:lastColumn="0" w:oddVBand="0" w:evenVBand="0" w:oddHBand="0" w:evenHBand="0" w:firstRowFirstColumn="0" w:firstRowLastColumn="0" w:lastRowFirstColumn="0" w:lastRowLastColumn="0"/>
            <w:tcW w:w="1265" w:type="dxa"/>
          </w:tcPr>
          <w:p w14:paraId="53B1203C" w14:textId="77777777" w:rsidR="00510B15" w:rsidRDefault="00510B15" w:rsidP="00B77007">
            <w:r>
              <w:t>109</w:t>
            </w:r>
          </w:p>
        </w:tc>
        <w:tc>
          <w:tcPr>
            <w:tcW w:w="7359" w:type="dxa"/>
          </w:tcPr>
          <w:p w14:paraId="4D2E9070" w14:textId="77777777" w:rsidR="00510B15" w:rsidRDefault="00510B15" w:rsidP="00B77007">
            <w:pPr>
              <w:cnfStyle w:val="000000000000" w:firstRow="0" w:lastRow="0" w:firstColumn="0" w:lastColumn="0" w:oddVBand="0" w:evenVBand="0" w:oddHBand="0" w:evenHBand="0" w:firstRowFirstColumn="0" w:firstRowLastColumn="0" w:lastRowFirstColumn="0" w:lastRowLastColumn="0"/>
            </w:pPr>
            <w:r>
              <w:t>See your healthcare provider if you consider that you may be at risk of a Sexually Transmitted Infection (STI).</w:t>
            </w:r>
          </w:p>
        </w:tc>
      </w:tr>
      <w:tr w:rsidR="00510B15" w14:paraId="753D06E8" w14:textId="77777777" w:rsidTr="00B77007">
        <w:tc>
          <w:tcPr>
            <w:cnfStyle w:val="001000000000" w:firstRow="0" w:lastRow="0" w:firstColumn="1" w:lastColumn="0" w:oddVBand="0" w:evenVBand="0" w:oddHBand="0" w:evenHBand="0" w:firstRowFirstColumn="0" w:firstRowLastColumn="0" w:lastRowFirstColumn="0" w:lastRowLastColumn="0"/>
            <w:tcW w:w="1265" w:type="dxa"/>
          </w:tcPr>
          <w:p w14:paraId="444BBCAA" w14:textId="77777777" w:rsidR="00510B15" w:rsidRDefault="00510B15" w:rsidP="00B77007">
            <w:r>
              <w:t>110</w:t>
            </w:r>
          </w:p>
        </w:tc>
        <w:tc>
          <w:tcPr>
            <w:tcW w:w="7359" w:type="dxa"/>
          </w:tcPr>
          <w:p w14:paraId="28919CE7" w14:textId="77777777" w:rsidR="00510B15" w:rsidRDefault="00510B15" w:rsidP="00B77007">
            <w:pPr>
              <w:cnfStyle w:val="000000000000" w:firstRow="0" w:lastRow="0" w:firstColumn="0" w:lastColumn="0" w:oddVBand="0" w:evenVBand="0" w:oddHBand="0" w:evenHBand="0" w:firstRowFirstColumn="0" w:firstRowLastColumn="0" w:lastRowFirstColumn="0" w:lastRowLastColumn="0"/>
            </w:pPr>
            <w:r>
              <w:t xml:space="preserve">See a doctor if you plan to become </w:t>
            </w:r>
            <w:proofErr w:type="gramStart"/>
            <w:r>
              <w:t>pregnant, or</w:t>
            </w:r>
            <w:proofErr w:type="gramEnd"/>
            <w:r>
              <w:t xml:space="preserve"> are breastfeeding or plan to breastfeed.</w:t>
            </w:r>
          </w:p>
        </w:tc>
      </w:tr>
    </w:tbl>
    <w:p w14:paraId="413EECF0" w14:textId="77777777" w:rsidR="00510B15" w:rsidRPr="007C4877" w:rsidRDefault="00510B15" w:rsidP="00510B15">
      <w:pPr>
        <w:ind w:left="426"/>
        <w:rPr>
          <w:b/>
          <w:bCs/>
        </w:rPr>
      </w:pPr>
      <w:r w:rsidRPr="007C4877">
        <w:rPr>
          <w:b/>
          <w:bCs/>
        </w:rPr>
        <w:t>Appendix H</w:t>
      </w:r>
    </w:p>
    <w:p w14:paraId="26149A5E" w14:textId="77777777" w:rsidR="00510B15" w:rsidRDefault="00510B15" w:rsidP="00510B15">
      <w:pPr>
        <w:ind w:left="426"/>
      </w:pPr>
      <w:r>
        <w:t>ASTODRIMER SODIUM for the treatment and relief of bacterial vaginosis.</w:t>
      </w:r>
    </w:p>
    <w:p w14:paraId="7F72C031" w14:textId="77777777" w:rsidR="00510B15" w:rsidRDefault="00510B15" w:rsidP="00510B15">
      <w:pPr>
        <w:pStyle w:val="Heading4"/>
      </w:pPr>
      <w:bookmarkStart w:id="13" w:name="_Toc81903292"/>
      <w:r>
        <w:t>Proposed scheduling</w:t>
      </w:r>
      <w:bookmarkEnd w:id="13"/>
    </w:p>
    <w:p w14:paraId="01F8C651" w14:textId="77777777" w:rsidR="00C44D86" w:rsidRPr="00766EDB" w:rsidRDefault="00C44D86" w:rsidP="00C44D86">
      <w:pPr>
        <w:ind w:left="426"/>
        <w:rPr>
          <w:b/>
          <w:bCs/>
        </w:rPr>
      </w:pPr>
      <w:r w:rsidRPr="00766EDB">
        <w:rPr>
          <w:b/>
          <w:bCs/>
        </w:rPr>
        <w:t>Schedule 3</w:t>
      </w:r>
    </w:p>
    <w:p w14:paraId="3FDCC234" w14:textId="77777777" w:rsidR="00C44D86" w:rsidRDefault="00C44D86" w:rsidP="00C44D86">
      <w:pPr>
        <w:ind w:left="426"/>
      </w:pPr>
      <w:r>
        <w:t xml:space="preserve">ASTODRIMER SODIUM </w:t>
      </w:r>
      <w:r w:rsidRPr="00766EDB">
        <w:rPr>
          <w:b/>
          <w:bCs/>
        </w:rPr>
        <w:t>except</w:t>
      </w:r>
      <w:r>
        <w:t xml:space="preserve"> in a condom lubricant.</w:t>
      </w:r>
    </w:p>
    <w:p w14:paraId="704412E8" w14:textId="77777777" w:rsidR="00510B15" w:rsidRDefault="00510B15" w:rsidP="00510B15">
      <w:pPr>
        <w:pStyle w:val="Numberbullet3i"/>
        <w:numPr>
          <w:ilvl w:val="0"/>
          <w:numId w:val="0"/>
        </w:numPr>
        <w:ind w:left="426"/>
        <w:rPr>
          <w:b/>
          <w:bCs/>
          <w:lang w:eastAsia="en-AU"/>
        </w:rPr>
      </w:pPr>
      <w:r>
        <w:rPr>
          <w:b/>
          <w:bCs/>
          <w:lang w:eastAsia="en-AU"/>
        </w:rPr>
        <w:t>Appendix F, Part 1 – New Entries</w:t>
      </w:r>
    </w:p>
    <w:tbl>
      <w:tblPr>
        <w:tblStyle w:val="TableGrid"/>
        <w:tblW w:w="0" w:type="auto"/>
        <w:tblInd w:w="421" w:type="dxa"/>
        <w:tblLook w:val="04A0" w:firstRow="1" w:lastRow="0" w:firstColumn="1" w:lastColumn="0" w:noHBand="0" w:noVBand="1"/>
      </w:tblPr>
      <w:tblGrid>
        <w:gridCol w:w="627"/>
        <w:gridCol w:w="8012"/>
      </w:tblGrid>
      <w:tr w:rsidR="00510B15" w14:paraId="1D1977AC" w14:textId="77777777" w:rsidTr="00B77007">
        <w:tc>
          <w:tcPr>
            <w:tcW w:w="283" w:type="dxa"/>
          </w:tcPr>
          <w:p w14:paraId="7E9638E7" w14:textId="38D5BFB9" w:rsidR="00510B15" w:rsidRPr="008725AE" w:rsidRDefault="00510B15" w:rsidP="00B77007">
            <w:pPr>
              <w:pStyle w:val="Numberbullet3i"/>
              <w:numPr>
                <w:ilvl w:val="0"/>
                <w:numId w:val="0"/>
              </w:numPr>
              <w:rPr>
                <w:color w:val="00B050"/>
                <w:lang w:eastAsia="en-AU"/>
              </w:rPr>
            </w:pPr>
            <w:r w:rsidRPr="008725AE">
              <w:rPr>
                <w:color w:val="00B050"/>
                <w:lang w:eastAsia="en-AU"/>
              </w:rPr>
              <w:t>11</w:t>
            </w:r>
            <w:r w:rsidR="00AB1876">
              <w:rPr>
                <w:color w:val="00B050"/>
                <w:lang w:eastAsia="en-AU"/>
              </w:rPr>
              <w:t>3</w:t>
            </w:r>
            <w:r w:rsidRPr="008725AE">
              <w:rPr>
                <w:color w:val="00B050"/>
                <w:lang w:eastAsia="en-AU"/>
              </w:rPr>
              <w:t>.</w:t>
            </w:r>
          </w:p>
        </w:tc>
        <w:tc>
          <w:tcPr>
            <w:tcW w:w="8346" w:type="dxa"/>
          </w:tcPr>
          <w:p w14:paraId="6411E20A" w14:textId="77777777" w:rsidR="00510B15" w:rsidRPr="008725AE" w:rsidRDefault="00510B15" w:rsidP="00B77007">
            <w:pPr>
              <w:pStyle w:val="Numberbullet3i"/>
              <w:numPr>
                <w:ilvl w:val="0"/>
                <w:numId w:val="0"/>
              </w:numPr>
              <w:rPr>
                <w:bCs/>
                <w:color w:val="00B050"/>
                <w:lang w:eastAsia="en-AU"/>
              </w:rPr>
            </w:pPr>
            <w:r w:rsidRPr="008725AE">
              <w:rPr>
                <w:bCs/>
                <w:color w:val="00B050"/>
                <w:lang w:eastAsia="en-AU"/>
              </w:rPr>
              <w:t>Discuss longer periods of use (&gt;2 weeks) with a healthcare provider.</w:t>
            </w:r>
          </w:p>
        </w:tc>
      </w:tr>
      <w:tr w:rsidR="00510B15" w14:paraId="5B4F9064" w14:textId="77777777" w:rsidTr="00B77007">
        <w:tc>
          <w:tcPr>
            <w:tcW w:w="283" w:type="dxa"/>
          </w:tcPr>
          <w:p w14:paraId="7510B362" w14:textId="6C2C4AC6" w:rsidR="00510B15" w:rsidRPr="008725AE" w:rsidRDefault="00510B15" w:rsidP="00B77007">
            <w:pPr>
              <w:pStyle w:val="Numberbullet3i"/>
              <w:numPr>
                <w:ilvl w:val="0"/>
                <w:numId w:val="0"/>
              </w:numPr>
              <w:rPr>
                <w:color w:val="00B050"/>
                <w:lang w:eastAsia="en-AU"/>
              </w:rPr>
            </w:pPr>
            <w:r w:rsidRPr="008725AE">
              <w:rPr>
                <w:color w:val="00B050"/>
                <w:lang w:eastAsia="en-AU"/>
              </w:rPr>
              <w:t>11</w:t>
            </w:r>
            <w:r w:rsidR="00AB1876">
              <w:rPr>
                <w:color w:val="00B050"/>
                <w:lang w:eastAsia="en-AU"/>
              </w:rPr>
              <w:t>4</w:t>
            </w:r>
            <w:r w:rsidRPr="008725AE">
              <w:rPr>
                <w:color w:val="00B050"/>
                <w:lang w:eastAsia="en-AU"/>
              </w:rPr>
              <w:t>.</w:t>
            </w:r>
          </w:p>
        </w:tc>
        <w:tc>
          <w:tcPr>
            <w:tcW w:w="8346" w:type="dxa"/>
          </w:tcPr>
          <w:p w14:paraId="1CBEB5C2" w14:textId="77777777" w:rsidR="00510B15" w:rsidRPr="008725AE" w:rsidRDefault="00510B15" w:rsidP="00B77007">
            <w:pPr>
              <w:pStyle w:val="Numberbullet3i"/>
              <w:numPr>
                <w:ilvl w:val="0"/>
                <w:numId w:val="0"/>
              </w:numPr>
              <w:rPr>
                <w:bCs/>
                <w:color w:val="00B050"/>
                <w:lang w:eastAsia="en-AU"/>
              </w:rPr>
            </w:pPr>
            <w:r w:rsidRPr="008725AE">
              <w:rPr>
                <w:bCs/>
                <w:color w:val="00B050"/>
                <w:lang w:eastAsia="en-AU"/>
              </w:rPr>
              <w:t>Do not use for more than 16 weeks unless a doctor has told you to.</w:t>
            </w:r>
          </w:p>
        </w:tc>
      </w:tr>
    </w:tbl>
    <w:p w14:paraId="16634005" w14:textId="77777777" w:rsidR="00510B15" w:rsidRDefault="00510B15" w:rsidP="00510B15">
      <w:pPr>
        <w:pStyle w:val="Numberbullet3i"/>
        <w:numPr>
          <w:ilvl w:val="0"/>
          <w:numId w:val="0"/>
        </w:numPr>
        <w:ind w:left="426"/>
        <w:rPr>
          <w:b/>
          <w:bCs/>
          <w:lang w:eastAsia="en-AU"/>
        </w:rPr>
      </w:pPr>
      <w:r>
        <w:rPr>
          <w:b/>
          <w:bCs/>
          <w:lang w:eastAsia="en-AU"/>
        </w:rPr>
        <w:t>Appendix F, Part 3 – Amend Entry</w:t>
      </w:r>
    </w:p>
    <w:tbl>
      <w:tblPr>
        <w:tblStyle w:val="TableTGAblue"/>
        <w:tblW w:w="0" w:type="auto"/>
        <w:tblInd w:w="426" w:type="dxa"/>
        <w:tblLook w:val="04A0" w:firstRow="1" w:lastRow="0" w:firstColumn="1" w:lastColumn="0" w:noHBand="0" w:noVBand="1"/>
      </w:tblPr>
      <w:tblGrid>
        <w:gridCol w:w="2908"/>
        <w:gridCol w:w="2870"/>
        <w:gridCol w:w="2846"/>
      </w:tblGrid>
      <w:tr w:rsidR="00D665B9" w:rsidRPr="00D665B9" w14:paraId="1D49C2DA" w14:textId="77777777" w:rsidTr="00D665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6" w:type="dxa"/>
            <w:shd w:val="clear" w:color="auto" w:fill="006EA8" w:themeFill="accent1"/>
          </w:tcPr>
          <w:p w14:paraId="789BC4AC" w14:textId="77777777" w:rsidR="00510B15" w:rsidRPr="00D665B9" w:rsidRDefault="00510B15" w:rsidP="00B77007">
            <w:pPr>
              <w:pStyle w:val="Numberbullet3i"/>
              <w:numPr>
                <w:ilvl w:val="0"/>
                <w:numId w:val="0"/>
              </w:numPr>
              <w:rPr>
                <w:color w:val="FFFFFF" w:themeColor="background1"/>
                <w:lang w:eastAsia="en-AU"/>
              </w:rPr>
            </w:pPr>
            <w:r w:rsidRPr="00D665B9">
              <w:rPr>
                <w:color w:val="FFFFFF" w:themeColor="background1"/>
                <w:lang w:eastAsia="en-AU"/>
              </w:rPr>
              <w:t>POISON</w:t>
            </w:r>
          </w:p>
        </w:tc>
        <w:tc>
          <w:tcPr>
            <w:tcW w:w="3017" w:type="dxa"/>
            <w:shd w:val="clear" w:color="auto" w:fill="006EA8" w:themeFill="accent1"/>
          </w:tcPr>
          <w:p w14:paraId="0AD4F7EB" w14:textId="77777777" w:rsidR="00510B15" w:rsidRPr="00D665B9" w:rsidRDefault="00510B15" w:rsidP="00B77007">
            <w:pPr>
              <w:pStyle w:val="Numberbullet3i"/>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D665B9">
              <w:rPr>
                <w:color w:val="FFFFFF" w:themeColor="background1"/>
                <w:lang w:eastAsia="en-AU"/>
              </w:rPr>
              <w:t>WARNING STATEMENTS</w:t>
            </w:r>
          </w:p>
        </w:tc>
        <w:tc>
          <w:tcPr>
            <w:tcW w:w="3017" w:type="dxa"/>
            <w:shd w:val="clear" w:color="auto" w:fill="006EA8" w:themeFill="accent1"/>
          </w:tcPr>
          <w:p w14:paraId="2737A88C" w14:textId="77777777" w:rsidR="00510B15" w:rsidRPr="00D665B9" w:rsidRDefault="00510B15" w:rsidP="00B77007">
            <w:pPr>
              <w:pStyle w:val="Numberbullet3i"/>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D665B9">
              <w:rPr>
                <w:color w:val="FFFFFF" w:themeColor="background1"/>
                <w:lang w:eastAsia="en-AU"/>
              </w:rPr>
              <w:t>SAFETY DIRECTION</w:t>
            </w:r>
          </w:p>
        </w:tc>
      </w:tr>
      <w:tr w:rsidR="00510B15" w14:paraId="0A8B4389" w14:textId="77777777" w:rsidTr="00B77007">
        <w:tc>
          <w:tcPr>
            <w:cnfStyle w:val="001000000000" w:firstRow="0" w:lastRow="0" w:firstColumn="1" w:lastColumn="0" w:oddVBand="0" w:evenVBand="0" w:oddHBand="0" w:evenHBand="0" w:firstRowFirstColumn="0" w:firstRowLastColumn="0" w:lastRowFirstColumn="0" w:lastRowLastColumn="0"/>
            <w:tcW w:w="3016" w:type="dxa"/>
          </w:tcPr>
          <w:p w14:paraId="31C4DD51" w14:textId="77777777" w:rsidR="00510B15" w:rsidRPr="008725AE" w:rsidRDefault="00510B15" w:rsidP="00B77007">
            <w:pPr>
              <w:pStyle w:val="Numberbullet3i"/>
              <w:numPr>
                <w:ilvl w:val="0"/>
                <w:numId w:val="0"/>
              </w:numPr>
              <w:rPr>
                <w:lang w:eastAsia="en-AU"/>
              </w:rPr>
            </w:pPr>
            <w:r w:rsidRPr="008725AE">
              <w:rPr>
                <w:lang w:eastAsia="en-AU"/>
              </w:rPr>
              <w:t>ASTODRIMER SODIUM</w:t>
            </w:r>
          </w:p>
        </w:tc>
        <w:tc>
          <w:tcPr>
            <w:tcW w:w="3017" w:type="dxa"/>
          </w:tcPr>
          <w:p w14:paraId="686B4823" w14:textId="77777777" w:rsidR="00510B15" w:rsidRDefault="00510B15" w:rsidP="00B77007">
            <w:pPr>
              <w:pStyle w:val="Numberbullet3i"/>
              <w:numPr>
                <w:ilvl w:val="0"/>
                <w:numId w:val="0"/>
              </w:numPr>
              <w:cnfStyle w:val="000000000000" w:firstRow="0" w:lastRow="0" w:firstColumn="0" w:lastColumn="0" w:oddVBand="0" w:evenVBand="0" w:oddHBand="0" w:evenHBand="0" w:firstRowFirstColumn="0" w:firstRowLastColumn="0" w:lastRowFirstColumn="0" w:lastRowLastColumn="0"/>
              <w:rPr>
                <w:b/>
                <w:bCs/>
                <w:lang w:eastAsia="en-AU"/>
              </w:rPr>
            </w:pPr>
          </w:p>
        </w:tc>
        <w:tc>
          <w:tcPr>
            <w:tcW w:w="3017" w:type="dxa"/>
          </w:tcPr>
          <w:p w14:paraId="76BB4D24" w14:textId="77777777" w:rsidR="00510B15" w:rsidRDefault="00510B15" w:rsidP="00B77007">
            <w:pPr>
              <w:pStyle w:val="Numberbullet3i"/>
              <w:numPr>
                <w:ilvl w:val="0"/>
                <w:numId w:val="0"/>
              </w:numPr>
              <w:cnfStyle w:val="000000000000" w:firstRow="0" w:lastRow="0" w:firstColumn="0" w:lastColumn="0" w:oddVBand="0" w:evenVBand="0" w:oddHBand="0" w:evenHBand="0" w:firstRowFirstColumn="0" w:firstRowLastColumn="0" w:lastRowFirstColumn="0" w:lastRowLastColumn="0"/>
              <w:rPr>
                <w:b/>
                <w:bCs/>
                <w:lang w:eastAsia="en-AU"/>
              </w:rPr>
            </w:pPr>
          </w:p>
        </w:tc>
      </w:tr>
      <w:tr w:rsidR="00510B15" w14:paraId="4457893A" w14:textId="77777777" w:rsidTr="00B77007">
        <w:tc>
          <w:tcPr>
            <w:cnfStyle w:val="001000000000" w:firstRow="0" w:lastRow="0" w:firstColumn="1" w:lastColumn="0" w:oddVBand="0" w:evenVBand="0" w:oddHBand="0" w:evenHBand="0" w:firstRowFirstColumn="0" w:firstRowLastColumn="0" w:lastRowFirstColumn="0" w:lastRowLastColumn="0"/>
            <w:tcW w:w="3016" w:type="dxa"/>
          </w:tcPr>
          <w:p w14:paraId="1BAA9026" w14:textId="77777777" w:rsidR="00510B15" w:rsidRPr="008725AE" w:rsidRDefault="00510B15" w:rsidP="00BD7E45">
            <w:pPr>
              <w:pStyle w:val="Numberbullet3i"/>
              <w:numPr>
                <w:ilvl w:val="0"/>
                <w:numId w:val="31"/>
              </w:numPr>
              <w:rPr>
                <w:bCs/>
                <w:color w:val="00B050"/>
                <w:lang w:eastAsia="en-AU"/>
              </w:rPr>
            </w:pPr>
            <w:r w:rsidRPr="008725AE">
              <w:rPr>
                <w:bCs/>
                <w:color w:val="00B050"/>
                <w:lang w:eastAsia="en-AU"/>
              </w:rPr>
              <w:t>For the treatment and relief of bacterial vaginosis</w:t>
            </w:r>
          </w:p>
        </w:tc>
        <w:tc>
          <w:tcPr>
            <w:tcW w:w="3017" w:type="dxa"/>
          </w:tcPr>
          <w:p w14:paraId="7968D02D" w14:textId="77777777" w:rsidR="00510B15" w:rsidRPr="008725AE" w:rsidRDefault="00510B15" w:rsidP="00B77007">
            <w:pPr>
              <w:pStyle w:val="Numberbullet3i"/>
              <w:numPr>
                <w:ilvl w:val="0"/>
                <w:numId w:val="0"/>
              </w:numPr>
              <w:cnfStyle w:val="000000000000" w:firstRow="0" w:lastRow="0" w:firstColumn="0" w:lastColumn="0" w:oddVBand="0" w:evenVBand="0" w:oddHBand="0" w:evenHBand="0" w:firstRowFirstColumn="0" w:firstRowLastColumn="0" w:lastRowFirstColumn="0" w:lastRowLastColumn="0"/>
              <w:rPr>
                <w:lang w:eastAsia="en-AU"/>
              </w:rPr>
            </w:pPr>
            <w:r w:rsidRPr="008725AE">
              <w:rPr>
                <w:lang w:eastAsia="en-AU"/>
              </w:rPr>
              <w:t>63, 64, 69, 75, 109, 110</w:t>
            </w:r>
          </w:p>
        </w:tc>
        <w:tc>
          <w:tcPr>
            <w:tcW w:w="3017" w:type="dxa"/>
          </w:tcPr>
          <w:p w14:paraId="45074E66" w14:textId="77777777" w:rsidR="00510B15" w:rsidRDefault="00510B15" w:rsidP="00B77007">
            <w:pPr>
              <w:pStyle w:val="Numberbullet3i"/>
              <w:numPr>
                <w:ilvl w:val="0"/>
                <w:numId w:val="0"/>
              </w:numPr>
              <w:cnfStyle w:val="000000000000" w:firstRow="0" w:lastRow="0" w:firstColumn="0" w:lastColumn="0" w:oddVBand="0" w:evenVBand="0" w:oddHBand="0" w:evenHBand="0" w:firstRowFirstColumn="0" w:firstRowLastColumn="0" w:lastRowFirstColumn="0" w:lastRowLastColumn="0"/>
              <w:rPr>
                <w:b/>
                <w:bCs/>
                <w:lang w:eastAsia="en-AU"/>
              </w:rPr>
            </w:pPr>
          </w:p>
        </w:tc>
      </w:tr>
      <w:tr w:rsidR="00510B15" w14:paraId="497C6AF7" w14:textId="77777777" w:rsidTr="00B77007">
        <w:tc>
          <w:tcPr>
            <w:cnfStyle w:val="001000000000" w:firstRow="0" w:lastRow="0" w:firstColumn="1" w:lastColumn="0" w:oddVBand="0" w:evenVBand="0" w:oddHBand="0" w:evenHBand="0" w:firstRowFirstColumn="0" w:firstRowLastColumn="0" w:lastRowFirstColumn="0" w:lastRowLastColumn="0"/>
            <w:tcW w:w="3016" w:type="dxa"/>
          </w:tcPr>
          <w:p w14:paraId="6D385EAB" w14:textId="77777777" w:rsidR="00510B15" w:rsidRPr="008725AE" w:rsidRDefault="00510B15" w:rsidP="00BD7E45">
            <w:pPr>
              <w:pStyle w:val="Numberbullet3i"/>
              <w:numPr>
                <w:ilvl w:val="0"/>
                <w:numId w:val="31"/>
              </w:numPr>
              <w:rPr>
                <w:bCs/>
                <w:lang w:eastAsia="en-AU"/>
              </w:rPr>
            </w:pPr>
            <w:r w:rsidRPr="008725AE">
              <w:rPr>
                <w:bCs/>
                <w:color w:val="00B050"/>
                <w:lang w:eastAsia="en-AU"/>
              </w:rPr>
              <w:t>For the prevention of recurrent bacterial vaginosis</w:t>
            </w:r>
          </w:p>
        </w:tc>
        <w:tc>
          <w:tcPr>
            <w:tcW w:w="3017" w:type="dxa"/>
          </w:tcPr>
          <w:p w14:paraId="2694B5D7" w14:textId="6FE00C8A" w:rsidR="00510B15" w:rsidRPr="008725AE" w:rsidRDefault="00510B15" w:rsidP="00B77007">
            <w:pPr>
              <w:pStyle w:val="Numberbullet3i"/>
              <w:numPr>
                <w:ilvl w:val="0"/>
                <w:numId w:val="0"/>
              </w:numPr>
              <w:cnfStyle w:val="000000000000" w:firstRow="0" w:lastRow="0" w:firstColumn="0" w:lastColumn="0" w:oddVBand="0" w:evenVBand="0" w:oddHBand="0" w:evenHBand="0" w:firstRowFirstColumn="0" w:firstRowLastColumn="0" w:lastRowFirstColumn="0" w:lastRowLastColumn="0"/>
              <w:rPr>
                <w:color w:val="00B050"/>
                <w:lang w:eastAsia="en-AU"/>
              </w:rPr>
            </w:pPr>
            <w:r w:rsidRPr="008725AE">
              <w:rPr>
                <w:color w:val="00B050"/>
                <w:lang w:eastAsia="en-AU"/>
              </w:rPr>
              <w:t>63, 109, 110, 11</w:t>
            </w:r>
            <w:r w:rsidR="00AB1876">
              <w:rPr>
                <w:color w:val="00B050"/>
                <w:lang w:eastAsia="en-AU"/>
              </w:rPr>
              <w:t>3</w:t>
            </w:r>
            <w:r w:rsidRPr="008725AE">
              <w:rPr>
                <w:color w:val="00B050"/>
                <w:lang w:eastAsia="en-AU"/>
              </w:rPr>
              <w:t>, 11</w:t>
            </w:r>
            <w:r w:rsidR="00AB1876">
              <w:rPr>
                <w:color w:val="00B050"/>
                <w:lang w:eastAsia="en-AU"/>
              </w:rPr>
              <w:t>4</w:t>
            </w:r>
          </w:p>
        </w:tc>
        <w:tc>
          <w:tcPr>
            <w:tcW w:w="3017" w:type="dxa"/>
          </w:tcPr>
          <w:p w14:paraId="3210CC5A" w14:textId="77777777" w:rsidR="00510B15" w:rsidRDefault="00510B15" w:rsidP="00B77007">
            <w:pPr>
              <w:pStyle w:val="Numberbullet3i"/>
              <w:numPr>
                <w:ilvl w:val="0"/>
                <w:numId w:val="0"/>
              </w:numPr>
              <w:cnfStyle w:val="000000000000" w:firstRow="0" w:lastRow="0" w:firstColumn="0" w:lastColumn="0" w:oddVBand="0" w:evenVBand="0" w:oddHBand="0" w:evenHBand="0" w:firstRowFirstColumn="0" w:firstRowLastColumn="0" w:lastRowFirstColumn="0" w:lastRowLastColumn="0"/>
              <w:rPr>
                <w:b/>
                <w:bCs/>
                <w:lang w:eastAsia="en-AU"/>
              </w:rPr>
            </w:pPr>
          </w:p>
        </w:tc>
      </w:tr>
    </w:tbl>
    <w:p w14:paraId="45207081" w14:textId="77777777" w:rsidR="00510B15" w:rsidRDefault="00510B15" w:rsidP="00510B15">
      <w:pPr>
        <w:pStyle w:val="Numberbullet3i"/>
        <w:numPr>
          <w:ilvl w:val="0"/>
          <w:numId w:val="0"/>
        </w:numPr>
        <w:ind w:left="426"/>
        <w:rPr>
          <w:b/>
          <w:bCs/>
          <w:lang w:eastAsia="en-AU"/>
        </w:rPr>
      </w:pPr>
      <w:r>
        <w:rPr>
          <w:b/>
          <w:bCs/>
          <w:lang w:eastAsia="en-AU"/>
        </w:rPr>
        <w:t>Appendix H – Amend Entry</w:t>
      </w:r>
    </w:p>
    <w:p w14:paraId="0888D87D" w14:textId="437D37F2" w:rsidR="00510B15" w:rsidRDefault="00510B15" w:rsidP="00510B15">
      <w:pPr>
        <w:pStyle w:val="Numberbullet3i"/>
        <w:numPr>
          <w:ilvl w:val="0"/>
          <w:numId w:val="0"/>
        </w:numPr>
        <w:ind w:left="426"/>
        <w:rPr>
          <w:strike/>
          <w:color w:val="FF0000"/>
          <w:lang w:eastAsia="en-AU"/>
        </w:rPr>
      </w:pPr>
      <w:r w:rsidRPr="00897FE3">
        <w:rPr>
          <w:lang w:eastAsia="en-AU"/>
        </w:rPr>
        <w:t xml:space="preserve">ASTODRIMER SODIUM </w:t>
      </w:r>
      <w:r w:rsidRPr="00897FE3">
        <w:rPr>
          <w:strike/>
          <w:color w:val="FF0000"/>
          <w:lang w:eastAsia="en-AU"/>
        </w:rPr>
        <w:t>for the treatment and relief of bacterial vaginosis.</w:t>
      </w:r>
    </w:p>
    <w:p w14:paraId="56999767" w14:textId="77777777" w:rsidR="00C44D86" w:rsidRPr="00766EDB" w:rsidRDefault="00C44D86" w:rsidP="00C44D86">
      <w:pPr>
        <w:ind w:left="426"/>
        <w:rPr>
          <w:b/>
          <w:bCs/>
        </w:rPr>
      </w:pPr>
      <w:r w:rsidRPr="00766EDB">
        <w:rPr>
          <w:b/>
          <w:bCs/>
        </w:rPr>
        <w:t>Index</w:t>
      </w:r>
    </w:p>
    <w:p w14:paraId="5D52212F" w14:textId="77777777" w:rsidR="00C44D86" w:rsidRDefault="00C44D86" w:rsidP="00C44D86">
      <w:pPr>
        <w:ind w:left="426"/>
      </w:pPr>
      <w:r>
        <w:t>ASTODRIMER SODIUM</w:t>
      </w:r>
    </w:p>
    <w:p w14:paraId="32CFEEF4" w14:textId="77777777" w:rsidR="00C44D86" w:rsidRDefault="00C44D86" w:rsidP="00C44D86">
      <w:pPr>
        <w:ind w:left="426"/>
      </w:pPr>
      <w:r>
        <w:t>Schedule 3</w:t>
      </w:r>
      <w:r>
        <w:br/>
        <w:t>Appendix F, Part 3</w:t>
      </w:r>
      <w:r>
        <w:br/>
        <w:t>Appendix H</w:t>
      </w:r>
    </w:p>
    <w:p w14:paraId="35D81DB3" w14:textId="77777777" w:rsidR="00C44D86" w:rsidRDefault="00C44D86" w:rsidP="00510B15">
      <w:pPr>
        <w:pStyle w:val="Numberbullet3i"/>
        <w:numPr>
          <w:ilvl w:val="0"/>
          <w:numId w:val="0"/>
        </w:numPr>
        <w:ind w:left="426"/>
        <w:rPr>
          <w:lang w:eastAsia="en-AU"/>
        </w:rPr>
      </w:pPr>
    </w:p>
    <w:p w14:paraId="04E5DBCD" w14:textId="77777777" w:rsidR="00510B15" w:rsidRDefault="00510B15" w:rsidP="00510B15">
      <w:pPr>
        <w:pStyle w:val="Heading4"/>
      </w:pPr>
      <w:bookmarkStart w:id="14" w:name="_Toc81903293"/>
      <w:r>
        <w:t>Key uses / expected use</w:t>
      </w:r>
      <w:bookmarkEnd w:id="14"/>
    </w:p>
    <w:p w14:paraId="012DF748" w14:textId="6D49EA57" w:rsidR="00510B15" w:rsidRDefault="003A1CC6" w:rsidP="00510B15">
      <w:r>
        <w:t>Therapeutic goods</w:t>
      </w:r>
      <w:r w:rsidR="000172B3">
        <w:t>, including medical devices</w:t>
      </w:r>
    </w:p>
    <w:p w14:paraId="5B743449" w14:textId="77777777" w:rsidR="00510B15" w:rsidRDefault="00510B15" w:rsidP="00510B15">
      <w:pPr>
        <w:pStyle w:val="Heading4"/>
      </w:pPr>
      <w:bookmarkStart w:id="15" w:name="_Toc81903294"/>
      <w:r>
        <w:t>Application summary - reasons for proposal</w:t>
      </w:r>
      <w:bookmarkEnd w:id="15"/>
    </w:p>
    <w:p w14:paraId="20AEBD7F" w14:textId="61DEECC1" w:rsidR="004368D5" w:rsidRDefault="004368D5" w:rsidP="00510B15">
      <w:pPr>
        <w:pStyle w:val="ListBullet"/>
        <w:numPr>
          <w:ilvl w:val="0"/>
          <w:numId w:val="1"/>
        </w:numPr>
        <w:spacing w:before="180"/>
        <w:ind w:left="425" w:hanging="425"/>
      </w:pPr>
      <w:proofErr w:type="spellStart"/>
      <w:r w:rsidRPr="00AC1B22">
        <w:t>Astodrimer</w:t>
      </w:r>
      <w:proofErr w:type="spellEnd"/>
      <w:r w:rsidRPr="00AC1B22">
        <w:t xml:space="preserve"> sodium is currently formulated in a vaginal gel </w:t>
      </w:r>
      <w:r w:rsidR="00085996">
        <w:t xml:space="preserve">Class </w:t>
      </w:r>
      <w:proofErr w:type="spellStart"/>
      <w:r w:rsidR="00085996">
        <w:t>IIa</w:t>
      </w:r>
      <w:proofErr w:type="spellEnd"/>
      <w:r w:rsidR="00085996">
        <w:t xml:space="preserve"> medical device that is included on the ARTG, for use</w:t>
      </w:r>
      <w:r w:rsidRPr="00AC1B22">
        <w:t xml:space="preserve"> </w:t>
      </w:r>
      <w:r w:rsidR="00085996">
        <w:t>in the</w:t>
      </w:r>
      <w:r w:rsidRPr="00AC1B22">
        <w:t xml:space="preserve"> treatment</w:t>
      </w:r>
      <w:r w:rsidR="00085996">
        <w:t>,</w:t>
      </w:r>
      <w:r w:rsidRPr="00AC1B22">
        <w:t xml:space="preserve"> </w:t>
      </w:r>
      <w:proofErr w:type="gramStart"/>
      <w:r w:rsidRPr="00AC1B22">
        <w:t>relief</w:t>
      </w:r>
      <w:proofErr w:type="gramEnd"/>
      <w:r w:rsidRPr="00AC1B22">
        <w:t xml:space="preserve"> </w:t>
      </w:r>
      <w:r w:rsidR="00085996">
        <w:t>and prevention of</w:t>
      </w:r>
      <w:r w:rsidR="00085996" w:rsidRPr="00AC1B22">
        <w:t xml:space="preserve"> </w:t>
      </w:r>
      <w:r w:rsidRPr="00AC1B22">
        <w:t>bacterial vaginosis (BV)</w:t>
      </w:r>
      <w:r w:rsidR="00085996">
        <w:t xml:space="preserve">. </w:t>
      </w:r>
      <w:r w:rsidRPr="00AC1B22">
        <w:t xml:space="preserve"> </w:t>
      </w:r>
      <w:r w:rsidR="00085996">
        <w:t>The indication</w:t>
      </w:r>
      <w:r w:rsidR="007517D3">
        <w:t>s</w:t>
      </w:r>
      <w:r w:rsidR="00085996">
        <w:t xml:space="preserve"> were recently updated to include the</w:t>
      </w:r>
      <w:r w:rsidRPr="00AC1B22">
        <w:t xml:space="preserve"> </w:t>
      </w:r>
      <w:r w:rsidR="005049CA" w:rsidRPr="00AC1B22">
        <w:t>prevention of recurrent BV</w:t>
      </w:r>
      <w:r w:rsidRPr="00AC1B22">
        <w:t xml:space="preserve">. </w:t>
      </w:r>
    </w:p>
    <w:p w14:paraId="364D2666" w14:textId="3C9C02E2" w:rsidR="00085996" w:rsidRDefault="00085996" w:rsidP="00085996">
      <w:pPr>
        <w:pStyle w:val="ListBullet"/>
        <w:numPr>
          <w:ilvl w:val="0"/>
          <w:numId w:val="1"/>
        </w:numPr>
      </w:pPr>
      <w:r>
        <w:t xml:space="preserve">The applicant proposes that the existing Appendix F and Appendix H entries for </w:t>
      </w:r>
      <w:proofErr w:type="spellStart"/>
      <w:r>
        <w:t>astodrimer</w:t>
      </w:r>
      <w:proofErr w:type="spellEnd"/>
      <w:r>
        <w:t xml:space="preserve"> sodium be updated to accommodate the new broader indication for the </w:t>
      </w:r>
      <w:r w:rsidR="007517D3">
        <w:t>vaginal gel</w:t>
      </w:r>
      <w:r>
        <w:t xml:space="preserve">, including prevention of BV. The amendments </w:t>
      </w:r>
      <w:r w:rsidR="007517D3">
        <w:t xml:space="preserve">would </w:t>
      </w:r>
      <w:r>
        <w:t xml:space="preserve">allow advertising of </w:t>
      </w:r>
      <w:proofErr w:type="spellStart"/>
      <w:r>
        <w:t>astodrimer</w:t>
      </w:r>
      <w:proofErr w:type="spellEnd"/>
      <w:r>
        <w:t xml:space="preserve"> for any indication and create </w:t>
      </w:r>
      <w:r w:rsidR="0091086E">
        <w:t>new</w:t>
      </w:r>
      <w:r>
        <w:t xml:space="preserve"> label warning statements for preventative use.</w:t>
      </w:r>
    </w:p>
    <w:p w14:paraId="48C6E2A8" w14:textId="071FEB79" w:rsidR="00085996" w:rsidRDefault="00085996" w:rsidP="00085996">
      <w:pPr>
        <w:pStyle w:val="ListBullet"/>
        <w:numPr>
          <w:ilvl w:val="0"/>
          <w:numId w:val="1"/>
        </w:numPr>
      </w:pPr>
      <w:r>
        <w:t xml:space="preserve">The requested amendments to the Poisons Standard related to </w:t>
      </w:r>
      <w:proofErr w:type="spellStart"/>
      <w:r>
        <w:t>astodrimer</w:t>
      </w:r>
      <w:proofErr w:type="spellEnd"/>
      <w:r>
        <w:t xml:space="preserve"> sodium </w:t>
      </w:r>
      <w:r w:rsidR="007517D3">
        <w:t xml:space="preserve">are intended to </w:t>
      </w:r>
      <w:r>
        <w:t>enable the risks and potential benefits of a non-antibiotic vaginal gel for the prevention of recurrent BV, to be communicated to Australian women through labelling and consumer advertising.</w:t>
      </w:r>
    </w:p>
    <w:p w14:paraId="6FEEAC1B" w14:textId="6E992838" w:rsidR="007517D3" w:rsidRDefault="007517D3" w:rsidP="00510B15">
      <w:pPr>
        <w:pStyle w:val="ListBullet"/>
        <w:numPr>
          <w:ilvl w:val="0"/>
          <w:numId w:val="1"/>
        </w:numPr>
        <w:spacing w:before="180"/>
        <w:ind w:left="425" w:hanging="425"/>
      </w:pPr>
      <w:r>
        <w:t>The applicant notes that:</w:t>
      </w:r>
    </w:p>
    <w:p w14:paraId="4820B182" w14:textId="0ABAC45F" w:rsidR="00086718" w:rsidRDefault="00086718" w:rsidP="00EA27AD">
      <w:pPr>
        <w:pStyle w:val="ListBullet2"/>
        <w:numPr>
          <w:ilvl w:val="1"/>
          <w:numId w:val="1"/>
        </w:numPr>
        <w:spacing w:before="180"/>
      </w:pPr>
      <w:r>
        <w:t>For the majority of women BV is not serious, however the psychological impact on those with the condition can be significant and reports indicate that it is twice as common as vaginal candidiasis. Many women may not seek treatment from a physician due to the embarrassment caused by their symptoms.</w:t>
      </w:r>
    </w:p>
    <w:p w14:paraId="3A0C23FD" w14:textId="45FC7CCF" w:rsidR="00086718" w:rsidRDefault="00086718" w:rsidP="00EA27AD">
      <w:pPr>
        <w:pStyle w:val="ListBullet2"/>
        <w:numPr>
          <w:ilvl w:val="1"/>
          <w:numId w:val="1"/>
        </w:numPr>
        <w:spacing w:before="180"/>
      </w:pPr>
      <w:r>
        <w:t>It is common for BV to recur after treatment, and it is estimated that more than half of women who are treated for the condition will experience a recurrence within three months.</w:t>
      </w:r>
      <w:r w:rsidR="00721FB3">
        <w:t xml:space="preserve"> Recurrent BV is associated with mental health and psychosocial issues such as feeling of depression, increased </w:t>
      </w:r>
      <w:proofErr w:type="gramStart"/>
      <w:r w:rsidR="00721FB3">
        <w:t>anxiety</w:t>
      </w:r>
      <w:proofErr w:type="gramEnd"/>
      <w:r w:rsidR="00721FB3">
        <w:t xml:space="preserve"> and shame, which can impact on the sufferer’s professional and personal relationships.</w:t>
      </w:r>
    </w:p>
    <w:p w14:paraId="024CD83C" w14:textId="6906772D" w:rsidR="00721FB3" w:rsidRPr="00AC1B22" w:rsidRDefault="00721FB3" w:rsidP="00EA27AD">
      <w:pPr>
        <w:pStyle w:val="ListBullet2"/>
        <w:numPr>
          <w:ilvl w:val="1"/>
          <w:numId w:val="1"/>
        </w:numPr>
        <w:spacing w:before="180"/>
      </w:pPr>
      <w:r>
        <w:t>Antibiotics are a common treatment for symptomatic BV, however the associated side effects and potential for the development of antibiotic resistance make the repeated and prolonged use of this class of medicines unacceptable.</w:t>
      </w:r>
    </w:p>
    <w:p w14:paraId="73A48737" w14:textId="39AD17BA" w:rsidR="00510B15" w:rsidRPr="00AC1B22" w:rsidRDefault="004368D5" w:rsidP="00EA27AD">
      <w:pPr>
        <w:pStyle w:val="ListBullet2"/>
        <w:numPr>
          <w:ilvl w:val="1"/>
          <w:numId w:val="1"/>
        </w:numPr>
        <w:spacing w:before="180"/>
      </w:pPr>
      <w:proofErr w:type="spellStart"/>
      <w:r w:rsidRPr="00AC1B22">
        <w:t>Astodrimer</w:t>
      </w:r>
      <w:proofErr w:type="spellEnd"/>
      <w:r w:rsidRPr="00AC1B22">
        <w:t xml:space="preserve"> sodium is also formulated in a condom lubricant, an application which is currently exempt from scheduling in the Poisons Standard</w:t>
      </w:r>
      <w:r w:rsidR="00510B15" w:rsidRPr="00AC1B22">
        <w:t>.</w:t>
      </w:r>
    </w:p>
    <w:p w14:paraId="1B1073A0" w14:textId="204174D2" w:rsidR="00510B15" w:rsidRDefault="004368D5" w:rsidP="00EA27AD">
      <w:pPr>
        <w:pStyle w:val="ListBullet2"/>
      </w:pPr>
      <w:r w:rsidRPr="00AC1B22">
        <w:t>Due to the</w:t>
      </w:r>
      <w:r w:rsidR="00E22866">
        <w:t xml:space="preserve"> molecule’s </w:t>
      </w:r>
      <w:r w:rsidRPr="00AC1B22">
        <w:t xml:space="preserve">physical size and negative charge, </w:t>
      </w:r>
      <w:proofErr w:type="spellStart"/>
      <w:r w:rsidRPr="00AC1B22">
        <w:t>astodrimer</w:t>
      </w:r>
      <w:proofErr w:type="spellEnd"/>
      <w:r w:rsidRPr="00AC1B22">
        <w:t xml:space="preserve"> sodium is not absorbed into the bloodstream following topical application to mucosal epithelial surfaces</w:t>
      </w:r>
      <w:r w:rsidR="00510B15" w:rsidRPr="00AC1B22">
        <w:t>.</w:t>
      </w:r>
      <w:r>
        <w:t xml:space="preserve"> This translates to minimal systemic exposure and toxicity following repeat dosing in all species studied in in safety and tolerability testing. </w:t>
      </w:r>
      <w:r w:rsidR="00747E8C">
        <w:t>T</w:t>
      </w:r>
      <w:r>
        <w:t xml:space="preserve">he substance does not represent a genetic, </w:t>
      </w:r>
      <w:proofErr w:type="gramStart"/>
      <w:r>
        <w:t>carcinogenic</w:t>
      </w:r>
      <w:proofErr w:type="gramEnd"/>
      <w:r>
        <w:t xml:space="preserve"> or reproductive risk.</w:t>
      </w:r>
    </w:p>
    <w:p w14:paraId="61307A12" w14:textId="77777777" w:rsidR="00510B15" w:rsidRDefault="00510B15" w:rsidP="00510B15">
      <w:pPr>
        <w:pStyle w:val="Heading4"/>
      </w:pPr>
      <w:bookmarkStart w:id="16" w:name="_Toc81903295"/>
      <w:r w:rsidRPr="00DC5AE0">
        <w:t xml:space="preserve">Australian </w:t>
      </w:r>
      <w:r>
        <w:t>regulations</w:t>
      </w:r>
      <w:bookmarkEnd w:id="16"/>
      <w:r w:rsidRPr="00DC5AE0">
        <w:t xml:space="preserve"> </w:t>
      </w:r>
    </w:p>
    <w:p w14:paraId="11F35056" w14:textId="7D2B11FE" w:rsidR="00510B15" w:rsidRDefault="00510B15" w:rsidP="00721FB3">
      <w:pPr>
        <w:pStyle w:val="ListBullet"/>
        <w:numPr>
          <w:ilvl w:val="0"/>
          <w:numId w:val="1"/>
        </w:numPr>
      </w:pPr>
      <w:r>
        <w:t xml:space="preserve">According to the </w:t>
      </w:r>
      <w:hyperlink r:id="rId16"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
      </w:r>
      <w:r>
        <w:t xml:space="preserve"> </w:t>
      </w:r>
      <w:proofErr w:type="spellStart"/>
      <w:r w:rsidR="00721FB3">
        <w:t>astodrimer</w:t>
      </w:r>
      <w:proofErr w:type="spellEnd"/>
      <w:r w:rsidR="00721FB3">
        <w:t xml:space="preserve"> sodium</w:t>
      </w:r>
      <w:r>
        <w:t xml:space="preserve"> is:</w:t>
      </w:r>
    </w:p>
    <w:p w14:paraId="0373F780" w14:textId="22A3F9D6" w:rsidR="00721FB3" w:rsidRDefault="00721FB3" w:rsidP="00721FB3">
      <w:pPr>
        <w:pStyle w:val="ListBullet2"/>
      </w:pPr>
      <w:r>
        <w:t>Available for use as an Active Ingredient in Devices</w:t>
      </w:r>
      <w:r w:rsidR="00CD79B7">
        <w:t>.</w:t>
      </w:r>
    </w:p>
    <w:p w14:paraId="28590947" w14:textId="07B45831" w:rsidR="00721FB3" w:rsidRDefault="00721FB3" w:rsidP="00721FB3">
      <w:pPr>
        <w:pStyle w:val="ListBullet2"/>
      </w:pPr>
      <w:r>
        <w:lastRenderedPageBreak/>
        <w:t>Available for use as an Excipient in Devices</w:t>
      </w:r>
      <w:r w:rsidR="00CD79B7">
        <w:t>.</w:t>
      </w:r>
    </w:p>
    <w:p w14:paraId="3E5DB63A" w14:textId="4F18CD38" w:rsidR="00510B15" w:rsidRPr="00CD79B7" w:rsidRDefault="00721FB3" w:rsidP="00CD79B7">
      <w:pPr>
        <w:pStyle w:val="ListBullet2"/>
      </w:pPr>
      <w:r>
        <w:t>Not available as an Equivalent Ingredient in any application</w:t>
      </w:r>
      <w:r w:rsidR="00CD79B7">
        <w:t>.</w:t>
      </w:r>
    </w:p>
    <w:p w14:paraId="2C24B7BF" w14:textId="1C92CF68" w:rsidR="00510B15" w:rsidRDefault="00510B15" w:rsidP="00510B15">
      <w:pPr>
        <w:pStyle w:val="ListBullet"/>
        <w:numPr>
          <w:ilvl w:val="0"/>
          <w:numId w:val="1"/>
        </w:numPr>
      </w:pPr>
      <w:r>
        <w:t xml:space="preserve">As of </w:t>
      </w:r>
      <w:r w:rsidR="00721FB3" w:rsidRPr="00721FB3">
        <w:t>August</w:t>
      </w:r>
      <w:r w:rsidRPr="00721FB3">
        <w:t xml:space="preserve"> 20</w:t>
      </w:r>
      <w:r w:rsidR="00721FB3" w:rsidRPr="00721FB3">
        <w:t>21</w:t>
      </w:r>
      <w:r>
        <w:t>, t</w:t>
      </w:r>
      <w:r w:rsidRPr="00881DFE">
        <w:t xml:space="preserve">here </w:t>
      </w:r>
      <w:r>
        <w:t>w</w:t>
      </w:r>
      <w:r w:rsidR="00C70A65">
        <w:t>ere</w:t>
      </w:r>
      <w:r w:rsidRPr="00881DFE">
        <w:t xml:space="preserve"> </w:t>
      </w:r>
      <w:r w:rsidR="003A1CC6">
        <w:t>two</w:t>
      </w:r>
      <w:r>
        <w:t xml:space="preserve"> </w:t>
      </w:r>
      <w:r w:rsidR="00721FB3">
        <w:t>device</w:t>
      </w:r>
      <w:r w:rsidR="003A1CC6">
        <w:t>s</w:t>
      </w:r>
      <w:r w:rsidRPr="00881DFE">
        <w:t xml:space="preserve"> currently active on the </w:t>
      </w:r>
      <w:hyperlink r:id="rId17" w:history="1">
        <w:r w:rsidRPr="00293CCA">
          <w:rPr>
            <w:rStyle w:val="Hyperlink"/>
          </w:rPr>
          <w:t>Australian Register of Therapeutic Goods (ARTG)</w:t>
        </w:r>
      </w:hyperlink>
      <w:r>
        <w:rPr>
          <w:rStyle w:val="FootnoteReference"/>
        </w:rPr>
        <w:footnoteReference w:id="2"/>
      </w:r>
      <w:r>
        <w:t xml:space="preserve"> that </w:t>
      </w:r>
      <w:r w:rsidR="00721FB3">
        <w:t>include</w:t>
      </w:r>
      <w:r w:rsidRPr="00881DFE">
        <w:t xml:space="preserve"> </w:t>
      </w:r>
      <w:proofErr w:type="spellStart"/>
      <w:r w:rsidR="00721FB3">
        <w:t>astodrimer</w:t>
      </w:r>
      <w:proofErr w:type="spellEnd"/>
      <w:r w:rsidR="00721FB3">
        <w:t xml:space="preserve"> sodium</w:t>
      </w:r>
      <w:r w:rsidR="003A1CC6">
        <w:t>:</w:t>
      </w:r>
      <w:r w:rsidR="00721FB3">
        <w:t xml:space="preserve"> </w:t>
      </w:r>
      <w:r w:rsidR="00D82B3B">
        <w:t>a medicated latex condom</w:t>
      </w:r>
      <w:r w:rsidR="003A1CC6">
        <w:t xml:space="preserve"> and a</w:t>
      </w:r>
      <w:r w:rsidR="003E1229">
        <w:t xml:space="preserve"> vaginal gel.</w:t>
      </w:r>
    </w:p>
    <w:p w14:paraId="1C66DC95" w14:textId="10FF0CF5" w:rsidR="00510B15" w:rsidRPr="00D82B3B" w:rsidRDefault="00D82B3B" w:rsidP="00D82B3B">
      <w:pPr>
        <w:pStyle w:val="ListBullet"/>
        <w:numPr>
          <w:ilvl w:val="0"/>
          <w:numId w:val="1"/>
        </w:numPr>
      </w:pPr>
      <w:proofErr w:type="spellStart"/>
      <w:r>
        <w:t>Astodrimer</w:t>
      </w:r>
      <w:proofErr w:type="spellEnd"/>
      <w:r>
        <w:t xml:space="preserve"> sodium</w:t>
      </w:r>
      <w:r w:rsidR="00510B15" w:rsidRPr="009C55D5">
        <w:t xml:space="preserve"> is not permitted to be included in listed medicines </w:t>
      </w:r>
      <w:r w:rsidR="00510B15">
        <w:t xml:space="preserve">as it is not included in the </w:t>
      </w:r>
      <w:hyperlink r:id="rId18" w:history="1">
        <w:r w:rsidR="00510B15" w:rsidRPr="00824CAC">
          <w:rPr>
            <w:rStyle w:val="Hyperlink"/>
          </w:rPr>
          <w:t>Therapeutic Goods (Permissible Ingredients) Determination</w:t>
        </w:r>
      </w:hyperlink>
      <w:r w:rsidR="00510B15">
        <w:rPr>
          <w:rStyle w:val="FootnoteReference"/>
        </w:rPr>
        <w:footnoteReference w:id="3"/>
      </w:r>
      <w:r w:rsidR="00510B15" w:rsidRPr="009C55D5">
        <w:t xml:space="preserve"> No.</w:t>
      </w:r>
      <w:r>
        <w:t>1</w:t>
      </w:r>
      <w:r w:rsidR="00510B15" w:rsidRPr="009C55D5">
        <w:t xml:space="preserve"> of 20</w:t>
      </w:r>
      <w:r>
        <w:t>21</w:t>
      </w:r>
      <w:r w:rsidR="00510B15" w:rsidRPr="009C55D5">
        <w:t xml:space="preserve">. </w:t>
      </w:r>
    </w:p>
    <w:p w14:paraId="3128FBEC" w14:textId="346520F8" w:rsidR="00510B15" w:rsidRDefault="00D82B3B" w:rsidP="00510B15">
      <w:pPr>
        <w:pStyle w:val="ListBullet"/>
        <w:keepNext/>
        <w:keepLines/>
        <w:numPr>
          <w:ilvl w:val="0"/>
          <w:numId w:val="1"/>
        </w:numPr>
      </w:pPr>
      <w:proofErr w:type="spellStart"/>
      <w:r>
        <w:t>Astodrimer</w:t>
      </w:r>
      <w:proofErr w:type="spellEnd"/>
      <w:r>
        <w:t xml:space="preserve"> sodium is not included in t</w:t>
      </w:r>
      <w:r w:rsidR="00510B15">
        <w:t xml:space="preserve">he </w:t>
      </w:r>
      <w:hyperlink r:id="rId19" w:history="1">
        <w:r w:rsidR="00510B15" w:rsidRPr="00C81411">
          <w:rPr>
            <w:rStyle w:val="Hyperlink"/>
          </w:rPr>
          <w:t xml:space="preserve">TGA </w:t>
        </w:r>
        <w:r w:rsidR="00510B15">
          <w:rPr>
            <w:rStyle w:val="Hyperlink"/>
          </w:rPr>
          <w:t>p</w:t>
        </w:r>
        <w:r w:rsidR="00510B15" w:rsidRPr="00C81411">
          <w:rPr>
            <w:rStyle w:val="Hyperlink"/>
          </w:rPr>
          <w:t>rescribing medicines in pregnancy database</w:t>
        </w:r>
      </w:hyperlink>
      <w:r w:rsidR="00510B15">
        <w:rPr>
          <w:rStyle w:val="FootnoteReference"/>
        </w:rPr>
        <w:footnoteReference w:id="4"/>
      </w:r>
      <w:r>
        <w:t>.</w:t>
      </w:r>
    </w:p>
    <w:p w14:paraId="428E9830" w14:textId="5C915FDC" w:rsidR="00510B15" w:rsidRDefault="00510B15" w:rsidP="00510B15">
      <w:pPr>
        <w:pStyle w:val="ListBullet"/>
        <w:numPr>
          <w:ilvl w:val="0"/>
          <w:numId w:val="1"/>
        </w:numPr>
      </w:pPr>
      <w:r>
        <w:t xml:space="preserve">There are no </w:t>
      </w:r>
      <w:r w:rsidRPr="00A30084">
        <w:t xml:space="preserve">warning statements pertaining </w:t>
      </w:r>
      <w:r>
        <w:t xml:space="preserve">to </w:t>
      </w:r>
      <w:proofErr w:type="spellStart"/>
      <w:r w:rsidR="00D82B3B">
        <w:t>astodrimer</w:t>
      </w:r>
      <w:proofErr w:type="spellEnd"/>
      <w:r w:rsidR="00D82B3B">
        <w:t xml:space="preserve"> sodium</w:t>
      </w:r>
      <w:r>
        <w:t xml:space="preserve"> in the </w:t>
      </w:r>
      <w:hyperlink r:id="rId20" w:history="1">
        <w:r w:rsidRPr="00AB7BF5">
          <w:rPr>
            <w:rStyle w:val="Hyperlink"/>
          </w:rPr>
          <w:t>Therapeutic Goods (Medicines Advisory Statements) Specification 2019</w:t>
        </w:r>
      </w:hyperlink>
      <w:r>
        <w:rPr>
          <w:rStyle w:val="FootnoteReference"/>
        </w:rPr>
        <w:footnoteReference w:id="5"/>
      </w:r>
      <w:r w:rsidR="00D82B3B" w:rsidRPr="00D82B3B">
        <w:rPr>
          <w:rStyle w:val="Hyperlink"/>
          <w:color w:val="auto"/>
          <w:u w:val="none"/>
        </w:rPr>
        <w:t>.</w:t>
      </w:r>
    </w:p>
    <w:p w14:paraId="7A7D2F34" w14:textId="7D7A7C67" w:rsidR="00510B15" w:rsidRPr="00D82B3B" w:rsidRDefault="00510B15" w:rsidP="00D82B3B">
      <w:pPr>
        <w:pStyle w:val="ListBullet"/>
        <w:numPr>
          <w:ilvl w:val="0"/>
          <w:numId w:val="1"/>
        </w:numPr>
        <w:rPr>
          <w:i/>
          <w:color w:val="0098F6" w:themeColor="text2" w:themeTint="99"/>
        </w:rPr>
      </w:pPr>
      <w:r>
        <w:t xml:space="preserve">As of </w:t>
      </w:r>
      <w:r w:rsidR="00D82B3B" w:rsidRPr="00D82B3B">
        <w:t>August</w:t>
      </w:r>
      <w:r w:rsidRPr="00D82B3B">
        <w:t xml:space="preserve"> 20</w:t>
      </w:r>
      <w:r w:rsidR="00D82B3B" w:rsidRPr="00D82B3B">
        <w:t>21</w:t>
      </w:r>
      <w:r w:rsidRPr="00D82B3B">
        <w:t>, t</w:t>
      </w:r>
      <w:r>
        <w:t>here were</w:t>
      </w:r>
      <w:r w:rsidRPr="009C55D5">
        <w:t xml:space="preserve"> </w:t>
      </w:r>
      <w:r w:rsidR="00D82B3B">
        <w:t>no</w:t>
      </w:r>
      <w:r w:rsidRPr="009C55D5">
        <w:t xml:space="preserve"> reports of adverse events for products containing </w:t>
      </w:r>
      <w:proofErr w:type="spellStart"/>
      <w:r w:rsidR="00D82B3B">
        <w:t>astodrimer</w:t>
      </w:r>
      <w:proofErr w:type="spellEnd"/>
      <w:r w:rsidR="00D82B3B">
        <w:t xml:space="preserve"> sodium </w:t>
      </w:r>
      <w:r w:rsidRPr="009C55D5">
        <w:t>as an active ingredient</w:t>
      </w:r>
      <w:r>
        <w:t xml:space="preserve"> on the </w:t>
      </w:r>
      <w:hyperlink r:id="rId21" w:history="1">
        <w:r w:rsidRPr="00F0449C">
          <w:rPr>
            <w:rStyle w:val="Hyperlink"/>
          </w:rPr>
          <w:t>Database of Adverse Event Notifications (DAEN)</w:t>
        </w:r>
      </w:hyperlink>
      <w:r w:rsidR="00D82B3B">
        <w:t>.</w:t>
      </w:r>
      <w:r w:rsidRPr="00F0449C">
        <w:rPr>
          <w:rStyle w:val="FootnoteReference"/>
        </w:rPr>
        <w:footnoteReference w:id="6"/>
      </w:r>
    </w:p>
    <w:p w14:paraId="0F26865C" w14:textId="577CF6F0" w:rsidR="00510B15" w:rsidRPr="00390FE4" w:rsidRDefault="00510B15" w:rsidP="00D82B3B">
      <w:pPr>
        <w:pStyle w:val="ListBullet"/>
        <w:numPr>
          <w:ilvl w:val="0"/>
          <w:numId w:val="1"/>
        </w:numPr>
      </w:pPr>
      <w:r>
        <w:t xml:space="preserve">As of </w:t>
      </w:r>
      <w:r w:rsidR="00D82B3B" w:rsidRPr="00D82B3B">
        <w:t>August</w:t>
      </w:r>
      <w:r w:rsidRPr="00D82B3B">
        <w:t xml:space="preserve"> 20</w:t>
      </w:r>
      <w:r w:rsidR="00D82B3B" w:rsidRPr="00D82B3B">
        <w:t>21</w:t>
      </w:r>
      <w:r w:rsidRPr="00D82B3B">
        <w:t>, there were no</w:t>
      </w:r>
      <w:r w:rsidRPr="00F0449C">
        <w:t xml:space="preserve"> products containing </w:t>
      </w:r>
      <w:proofErr w:type="spellStart"/>
      <w:r w:rsidR="00D82B3B">
        <w:t>astodrimer</w:t>
      </w:r>
      <w:proofErr w:type="spellEnd"/>
      <w:r w:rsidR="00D82B3B">
        <w:t xml:space="preserve"> sodium </w:t>
      </w:r>
      <w:r w:rsidRPr="00F0449C">
        <w:t xml:space="preserve">listed on the </w:t>
      </w:r>
      <w:hyperlink r:id="rId22"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7"/>
      </w:r>
      <w:r>
        <w:t xml:space="preserve"> </w:t>
      </w:r>
      <w:r w:rsidRPr="00D82B3B">
        <w:rPr>
          <w:i/>
          <w:color w:val="0098F6" w:themeColor="text2" w:themeTint="99"/>
        </w:rPr>
        <w:t xml:space="preserve"> </w:t>
      </w:r>
    </w:p>
    <w:p w14:paraId="53FD341D" w14:textId="77777777" w:rsidR="00510B15" w:rsidRPr="00CB687C" w:rsidRDefault="00510B15" w:rsidP="00510B15">
      <w:pPr>
        <w:pStyle w:val="Heading4"/>
      </w:pPr>
      <w:bookmarkStart w:id="17" w:name="_Toc81903296"/>
      <w:r>
        <w:t>International regulations</w:t>
      </w:r>
      <w:bookmarkEnd w:id="17"/>
    </w:p>
    <w:p w14:paraId="7CDF4B07" w14:textId="1628690B" w:rsidR="00510B15" w:rsidRDefault="00F72A91" w:rsidP="00510B15">
      <w:pPr>
        <w:pStyle w:val="ListBullet"/>
        <w:numPr>
          <w:ilvl w:val="0"/>
          <w:numId w:val="1"/>
        </w:numPr>
      </w:pPr>
      <w:proofErr w:type="spellStart"/>
      <w:r>
        <w:t>Astodrimer</w:t>
      </w:r>
      <w:proofErr w:type="spellEnd"/>
      <w:r>
        <w:t xml:space="preserve"> sodium is not included in the </w:t>
      </w:r>
      <w:hyperlink r:id="rId23" w:history="1">
        <w:r w:rsidR="00143203" w:rsidRPr="002C3A50">
          <w:rPr>
            <w:rStyle w:val="Hyperlink"/>
          </w:rPr>
          <w:t>Health Canada drug product database</w:t>
        </w:r>
      </w:hyperlink>
      <w:r w:rsidR="005206F9">
        <w:rPr>
          <w:rStyle w:val="FootnoteReference"/>
          <w:color w:val="0000FF"/>
          <w:u w:val="single"/>
        </w:rPr>
        <w:footnoteReference w:id="8"/>
      </w:r>
      <w:r w:rsidR="00143203">
        <w:t xml:space="preserve">, the </w:t>
      </w:r>
      <w:hyperlink r:id="rId24" w:history="1">
        <w:r w:rsidR="00143203" w:rsidRPr="002C3A50">
          <w:rPr>
            <w:rStyle w:val="Hyperlink"/>
          </w:rPr>
          <w:t>United States Food and Drug Administration’s approved drug products database</w:t>
        </w:r>
      </w:hyperlink>
      <w:r w:rsidR="005206F9">
        <w:rPr>
          <w:rStyle w:val="FootnoteReference"/>
          <w:color w:val="0000FF"/>
          <w:u w:val="single"/>
        </w:rPr>
        <w:footnoteReference w:id="9"/>
      </w:r>
      <w:r w:rsidR="00143203">
        <w:t xml:space="preserve">, the </w:t>
      </w:r>
      <w:hyperlink r:id="rId25" w:history="1">
        <w:r w:rsidR="00143203" w:rsidRPr="002C3A50">
          <w:rPr>
            <w:rStyle w:val="Hyperlink"/>
          </w:rPr>
          <w:t>New Zealand Inventory of Chemicals</w:t>
        </w:r>
      </w:hyperlink>
      <w:r w:rsidR="005206F9">
        <w:rPr>
          <w:rStyle w:val="FootnoteReference"/>
          <w:color w:val="0000FF"/>
          <w:u w:val="single"/>
        </w:rPr>
        <w:footnoteReference w:id="10"/>
      </w:r>
      <w:r w:rsidR="00143203">
        <w:t xml:space="preserve">, the </w:t>
      </w:r>
      <w:hyperlink r:id="rId26" w:history="1">
        <w:r w:rsidR="00143203" w:rsidRPr="002C3A50">
          <w:rPr>
            <w:rStyle w:val="Hyperlink"/>
          </w:rPr>
          <w:t>New Zealand (</w:t>
        </w:r>
        <w:proofErr w:type="spellStart"/>
        <w:r w:rsidR="00143203" w:rsidRPr="002C3A50">
          <w:rPr>
            <w:rStyle w:val="Hyperlink"/>
          </w:rPr>
          <w:t>Medsafe</w:t>
        </w:r>
        <w:proofErr w:type="spellEnd"/>
        <w:r w:rsidR="00143203" w:rsidRPr="002C3A50">
          <w:rPr>
            <w:rStyle w:val="Hyperlink"/>
          </w:rPr>
          <w:t>) medicines classification database</w:t>
        </w:r>
      </w:hyperlink>
      <w:r w:rsidR="005206F9">
        <w:rPr>
          <w:rStyle w:val="FootnoteReference"/>
          <w:color w:val="0000FF"/>
          <w:u w:val="single"/>
        </w:rPr>
        <w:footnoteReference w:id="11"/>
      </w:r>
      <w:r w:rsidR="00143203">
        <w:t xml:space="preserve">, the </w:t>
      </w:r>
      <w:hyperlink r:id="rId27" w:history="1">
        <w:r w:rsidR="00143203" w:rsidRPr="002C3A50">
          <w:rPr>
            <w:rStyle w:val="Hyperlink"/>
          </w:rPr>
          <w:t>European Commission database for information on cosmetic substances and ingredients</w:t>
        </w:r>
      </w:hyperlink>
      <w:r w:rsidR="005206F9">
        <w:rPr>
          <w:rStyle w:val="FootnoteReference"/>
          <w:color w:val="0000FF"/>
          <w:u w:val="single"/>
        </w:rPr>
        <w:footnoteReference w:id="12"/>
      </w:r>
      <w:r w:rsidR="00143203">
        <w:t xml:space="preserve">, or Ireland’s </w:t>
      </w:r>
      <w:hyperlink r:id="rId28" w:history="1">
        <w:r w:rsidR="00143203" w:rsidRPr="002C3A50">
          <w:rPr>
            <w:rStyle w:val="Hyperlink"/>
          </w:rPr>
          <w:t>Health Products Regulatory Authority medicines database</w:t>
        </w:r>
      </w:hyperlink>
      <w:r w:rsidR="005206F9">
        <w:rPr>
          <w:rStyle w:val="FootnoteReference"/>
          <w:color w:val="0000FF"/>
          <w:u w:val="single"/>
        </w:rPr>
        <w:footnoteReference w:id="13"/>
      </w:r>
      <w:r w:rsidR="00143203">
        <w:t>.</w:t>
      </w:r>
    </w:p>
    <w:p w14:paraId="4DCD8B7D" w14:textId="7A8AF28A" w:rsidR="001525B4" w:rsidRPr="009401F6" w:rsidRDefault="00C50C4D" w:rsidP="00510B15">
      <w:pPr>
        <w:pStyle w:val="Heading3"/>
      </w:pPr>
      <w:bookmarkStart w:id="18" w:name="_Toc81903297"/>
      <w:r>
        <w:t>Flurbiprofen</w:t>
      </w:r>
      <w:bookmarkEnd w:id="18"/>
    </w:p>
    <w:p w14:paraId="713B3766" w14:textId="72A5F7E7" w:rsidR="00D75206" w:rsidRDefault="00D75206" w:rsidP="002C1070">
      <w:pPr>
        <w:pStyle w:val="Heading4"/>
      </w:pPr>
      <w:bookmarkStart w:id="19" w:name="_Toc81903298"/>
      <w:r>
        <w:t>Proposal</w:t>
      </w:r>
      <w:bookmarkEnd w:id="19"/>
    </w:p>
    <w:p w14:paraId="642453A6" w14:textId="1DA7E375" w:rsidR="00D75206" w:rsidRPr="00D75206" w:rsidRDefault="00C50C4D" w:rsidP="00D75206">
      <w:r>
        <w:t xml:space="preserve">The applicant proposes to amend the Schedule 2 entry for flurbiprofen to exempt preparations </w:t>
      </w:r>
      <w:r w:rsidR="008935CD">
        <w:t xml:space="preserve">from scheduling when presented </w:t>
      </w:r>
      <w:r>
        <w:t xml:space="preserve">in containers of 15mL or less, that contain 0.25%/10 mg </w:t>
      </w:r>
      <w:r w:rsidR="00C44D86">
        <w:t xml:space="preserve">or less </w:t>
      </w:r>
      <w:r>
        <w:t xml:space="preserve">per dose of flurbiprofen, </w:t>
      </w:r>
      <w:r w:rsidR="008935CD">
        <w:t>and</w:t>
      </w:r>
      <w:r w:rsidR="006B3BB8">
        <w:t xml:space="preserve"> are</w:t>
      </w:r>
      <w:r w:rsidR="008935CD">
        <w:t xml:space="preserve"> labelled for the treatment of adults over 18 years</w:t>
      </w:r>
      <w:r>
        <w:t>.</w:t>
      </w:r>
    </w:p>
    <w:p w14:paraId="616D154C" w14:textId="268FAF0C" w:rsidR="002C1070" w:rsidRDefault="002C1070" w:rsidP="002C1070">
      <w:pPr>
        <w:pStyle w:val="Heading4"/>
      </w:pPr>
      <w:bookmarkStart w:id="20" w:name="_Toc81903299"/>
      <w:r>
        <w:lastRenderedPageBreak/>
        <w:t>CAS number:</w:t>
      </w:r>
      <w:bookmarkEnd w:id="20"/>
    </w:p>
    <w:p w14:paraId="30D6EB1D" w14:textId="1E25D921" w:rsidR="002C1070" w:rsidRDefault="00C50C4D" w:rsidP="002C1070">
      <w:r>
        <w:t>5104-49-4</w:t>
      </w:r>
    </w:p>
    <w:p w14:paraId="40067D98" w14:textId="77777777" w:rsidR="002C1070" w:rsidRDefault="002C1070" w:rsidP="002C1070">
      <w:pPr>
        <w:pStyle w:val="Heading4"/>
      </w:pPr>
      <w:bookmarkStart w:id="21" w:name="_Toc81903300"/>
      <w:r>
        <w:t>Alternative names</w:t>
      </w:r>
      <w:bookmarkEnd w:id="21"/>
    </w:p>
    <w:p w14:paraId="150B80B9" w14:textId="39953648" w:rsidR="00C50C4D" w:rsidRDefault="00C50C4D" w:rsidP="00C50C4D">
      <w:r w:rsidRPr="00C50C4D">
        <w:t>2-Fluoro-α-methyl[1,1′-biphenyl]-4-acetic acid</w:t>
      </w:r>
      <w:r>
        <w:t xml:space="preserve">; </w:t>
      </w:r>
      <w:r w:rsidRPr="00C50C4D">
        <w:t>2-(2-fluoro-4-</w:t>
      </w:r>
      <w:proofErr w:type="gramStart"/>
      <w:r w:rsidRPr="00C50C4D">
        <w:t>biphenylyl)propionic</w:t>
      </w:r>
      <w:proofErr w:type="gramEnd"/>
      <w:r w:rsidRPr="00C50C4D">
        <w:t xml:space="preserve"> acid; 3-fluoro-4-phenylhydratropic acid</w:t>
      </w:r>
    </w:p>
    <w:p w14:paraId="12535E1E" w14:textId="2D07887A" w:rsidR="002C1070" w:rsidRPr="002C1070" w:rsidRDefault="002C1070" w:rsidP="002C1070">
      <w:pPr>
        <w:pStyle w:val="Heading4"/>
      </w:pPr>
      <w:bookmarkStart w:id="22" w:name="_Toc81903301"/>
      <w:r>
        <w:t>Applicant</w:t>
      </w:r>
      <w:bookmarkEnd w:id="22"/>
    </w:p>
    <w:p w14:paraId="234E5CF2" w14:textId="71EA4C08" w:rsidR="002C1070" w:rsidRDefault="002C1070" w:rsidP="002C1070">
      <w:r w:rsidRPr="00C50C4D">
        <w:t>Private applicant</w:t>
      </w:r>
    </w:p>
    <w:p w14:paraId="276D730F" w14:textId="77777777" w:rsidR="00C50C4D" w:rsidRDefault="00C50C4D" w:rsidP="00C50C4D">
      <w:pPr>
        <w:pStyle w:val="Heading4"/>
      </w:pPr>
      <w:bookmarkStart w:id="23" w:name="_Toc81903302"/>
      <w:r>
        <w:t>Current scheduling</w:t>
      </w:r>
      <w:bookmarkEnd w:id="23"/>
    </w:p>
    <w:p w14:paraId="14F6B9E5" w14:textId="0DCACAFA" w:rsidR="00C50C4D" w:rsidRDefault="00C50C4D" w:rsidP="00C50C4D">
      <w:pPr>
        <w:rPr>
          <w:rFonts w:asciiTheme="minorHAnsi" w:hAnsiTheme="minorHAnsi" w:cstheme="minorHAnsi"/>
        </w:rPr>
      </w:pPr>
      <w:r>
        <w:rPr>
          <w:rFonts w:asciiTheme="minorHAnsi" w:hAnsiTheme="minorHAnsi" w:cstheme="minorHAnsi"/>
        </w:rPr>
        <w:t>Flurbiprofen</w:t>
      </w:r>
      <w:r w:rsidRPr="00AF12F6">
        <w:rPr>
          <w:rFonts w:asciiTheme="minorHAnsi" w:hAnsiTheme="minorHAnsi" w:cstheme="minorHAnsi"/>
        </w:rPr>
        <w:t xml:space="preserve"> is currently listed in Schedules </w:t>
      </w:r>
      <w:r>
        <w:rPr>
          <w:rFonts w:asciiTheme="minorHAnsi" w:hAnsiTheme="minorHAnsi" w:cstheme="minorHAnsi"/>
        </w:rPr>
        <w:t>2 and 4 of the Poisons Standard as follows:</w:t>
      </w:r>
    </w:p>
    <w:p w14:paraId="584639F7" w14:textId="2EA61FC4" w:rsidR="00C50C4D" w:rsidRPr="006D5C84" w:rsidRDefault="00C50C4D" w:rsidP="00C50C4D">
      <w:pPr>
        <w:ind w:left="426"/>
        <w:rPr>
          <w:b/>
        </w:rPr>
      </w:pPr>
      <w:r w:rsidRPr="006D5C84">
        <w:rPr>
          <w:b/>
        </w:rPr>
        <w:t xml:space="preserve">Schedule </w:t>
      </w:r>
      <w:r>
        <w:rPr>
          <w:b/>
        </w:rPr>
        <w:t>4</w:t>
      </w:r>
    </w:p>
    <w:p w14:paraId="192AA647" w14:textId="494649E0" w:rsidR="00C50C4D" w:rsidRPr="0099068E" w:rsidRDefault="00C50C4D" w:rsidP="00C50C4D">
      <w:pPr>
        <w:ind w:left="426"/>
        <w:rPr>
          <w:rFonts w:cstheme="minorHAnsi"/>
        </w:rPr>
      </w:pPr>
      <w:r w:rsidRPr="0099068E">
        <w:rPr>
          <w:rFonts w:cstheme="minorHAnsi"/>
        </w:rPr>
        <w:t xml:space="preserve">FLURBIPROFEN </w:t>
      </w:r>
      <w:r w:rsidRPr="0099068E">
        <w:rPr>
          <w:rFonts w:cstheme="minorHAnsi"/>
          <w:b/>
          <w:bCs/>
        </w:rPr>
        <w:t>except</w:t>
      </w:r>
      <w:r w:rsidRPr="0099068E">
        <w:rPr>
          <w:rFonts w:cstheme="minorHAnsi"/>
        </w:rPr>
        <w:t xml:space="preserve"> when included in or expressly excluded from Schedule 2.</w:t>
      </w:r>
    </w:p>
    <w:p w14:paraId="288CF2EA" w14:textId="3B568AC4" w:rsidR="00C50C4D" w:rsidRPr="0099068E" w:rsidRDefault="00C50C4D" w:rsidP="00C50C4D">
      <w:pPr>
        <w:ind w:left="426"/>
        <w:rPr>
          <w:rFonts w:cstheme="minorHAnsi"/>
          <w:b/>
          <w:bCs/>
        </w:rPr>
      </w:pPr>
      <w:r w:rsidRPr="0099068E">
        <w:rPr>
          <w:rFonts w:cstheme="minorHAnsi"/>
          <w:b/>
          <w:bCs/>
        </w:rPr>
        <w:t>Schedule 2</w:t>
      </w:r>
    </w:p>
    <w:p w14:paraId="2F5BFEE9" w14:textId="77D65D5B" w:rsidR="00C50C4D" w:rsidRDefault="00C50C4D" w:rsidP="00C50C4D">
      <w:pPr>
        <w:ind w:left="426"/>
        <w:rPr>
          <w:bCs/>
        </w:rPr>
      </w:pPr>
      <w:r w:rsidRPr="00C50C4D">
        <w:rPr>
          <w:bCs/>
        </w:rPr>
        <w:t>FLURBIPROFEN</w:t>
      </w:r>
      <w:r>
        <w:rPr>
          <w:bCs/>
        </w:rPr>
        <w:t xml:space="preserve"> in preparations for topical oral use when:</w:t>
      </w:r>
    </w:p>
    <w:p w14:paraId="75C874A6" w14:textId="59BD3187" w:rsidR="00C50C4D" w:rsidRPr="0099068E" w:rsidRDefault="00601FFA" w:rsidP="00842FF4">
      <w:pPr>
        <w:pStyle w:val="Numberbullet2a"/>
        <w:rPr>
          <w:rFonts w:ascii="Cambria" w:hAnsi="Cambria"/>
        </w:rPr>
      </w:pPr>
      <w:r w:rsidRPr="0099068E">
        <w:rPr>
          <w:rFonts w:ascii="Cambria" w:hAnsi="Cambria"/>
        </w:rPr>
        <w:t xml:space="preserve">in divided preparations containing 10 mg or less of flurbiprofen per dosage unit </w:t>
      </w:r>
      <w:r w:rsidRPr="0099068E">
        <w:rPr>
          <w:rFonts w:ascii="Cambria" w:hAnsi="Cambria"/>
          <w:b/>
          <w:bCs/>
        </w:rPr>
        <w:t>except</w:t>
      </w:r>
      <w:r w:rsidRPr="0099068E">
        <w:rPr>
          <w:rFonts w:ascii="Cambria" w:hAnsi="Cambria"/>
        </w:rPr>
        <w:t xml:space="preserve"> when:</w:t>
      </w:r>
    </w:p>
    <w:p w14:paraId="5FD4E5C1" w14:textId="7B772361" w:rsidR="00601FFA" w:rsidRDefault="00601FFA" w:rsidP="00601FFA">
      <w:pPr>
        <w:pStyle w:val="ListBulleti"/>
      </w:pPr>
      <w:r>
        <w:t>in a primary pack containing not more than 16 dosage units; and</w:t>
      </w:r>
    </w:p>
    <w:p w14:paraId="24953F2B" w14:textId="23F3016D" w:rsidR="00601FFA" w:rsidRDefault="00601FFA" w:rsidP="00601FFA">
      <w:pPr>
        <w:pStyle w:val="ListBulleti"/>
      </w:pPr>
      <w:r>
        <w:t>labelled only for the treatment of adults and children over 12 years.</w:t>
      </w:r>
    </w:p>
    <w:p w14:paraId="3C8A7A4E" w14:textId="4C8B863C" w:rsidR="00601FFA" w:rsidRPr="00601FFA" w:rsidRDefault="00601FFA" w:rsidP="00842FF4">
      <w:pPr>
        <w:pStyle w:val="Numberbullet2a"/>
      </w:pPr>
      <w:r>
        <w:t>in undivided preparations containing 0.25 percent or less or 10 mg or less per dose of flurbiprofen.</w:t>
      </w:r>
    </w:p>
    <w:p w14:paraId="1439BAB4" w14:textId="02165F8B" w:rsidR="00C50C4D" w:rsidRPr="005133F7" w:rsidRDefault="00C50C4D" w:rsidP="00C50C4D">
      <w:pPr>
        <w:ind w:left="426"/>
        <w:rPr>
          <w:b/>
        </w:rPr>
      </w:pPr>
      <w:r>
        <w:rPr>
          <w:b/>
        </w:rPr>
        <w:t>Index</w:t>
      </w:r>
    </w:p>
    <w:p w14:paraId="05BC34C1" w14:textId="68AD84B4" w:rsidR="00C50C4D" w:rsidRDefault="00601FFA" w:rsidP="00C50C4D">
      <w:pPr>
        <w:ind w:left="426"/>
        <w:rPr>
          <w:rFonts w:asciiTheme="minorHAnsi" w:hAnsiTheme="minorHAnsi" w:cstheme="minorHAnsi"/>
        </w:rPr>
      </w:pPr>
      <w:r>
        <w:rPr>
          <w:rFonts w:asciiTheme="minorHAnsi" w:hAnsiTheme="minorHAnsi" w:cstheme="minorHAnsi"/>
        </w:rPr>
        <w:t>FLURBIPROFEN</w:t>
      </w:r>
    </w:p>
    <w:p w14:paraId="63C8DC82" w14:textId="390827AA" w:rsidR="00601FFA" w:rsidRDefault="00601FFA" w:rsidP="00C50C4D">
      <w:pPr>
        <w:ind w:left="426"/>
        <w:rPr>
          <w:rFonts w:asciiTheme="minorHAnsi" w:hAnsiTheme="minorHAnsi" w:cstheme="minorHAnsi"/>
        </w:rPr>
      </w:pPr>
      <w:r>
        <w:rPr>
          <w:rFonts w:asciiTheme="minorHAnsi" w:hAnsiTheme="minorHAnsi" w:cstheme="minorHAnsi"/>
        </w:rPr>
        <w:t>Schedule 4</w:t>
      </w:r>
      <w:r>
        <w:rPr>
          <w:rFonts w:asciiTheme="minorHAnsi" w:hAnsiTheme="minorHAnsi" w:cstheme="minorHAnsi"/>
        </w:rPr>
        <w:br/>
        <w:t>Schedule 2</w:t>
      </w:r>
    </w:p>
    <w:p w14:paraId="2447B038" w14:textId="77777777" w:rsidR="00854F57" w:rsidRDefault="00854F57" w:rsidP="00854F57">
      <w:pPr>
        <w:pStyle w:val="Heading4"/>
      </w:pPr>
      <w:bookmarkStart w:id="24" w:name="_Toc81903303"/>
      <w:r>
        <w:t>Proposed scheduling</w:t>
      </w:r>
      <w:bookmarkEnd w:id="24"/>
    </w:p>
    <w:p w14:paraId="6A3CA91E" w14:textId="3A16834A" w:rsidR="00601FFA" w:rsidRDefault="00601FFA" w:rsidP="00854F57">
      <w:pPr>
        <w:ind w:left="426"/>
        <w:rPr>
          <w:b/>
        </w:rPr>
      </w:pPr>
      <w:r>
        <w:rPr>
          <w:b/>
        </w:rPr>
        <w:t>Schedule 4</w:t>
      </w:r>
    </w:p>
    <w:p w14:paraId="0CB78A33" w14:textId="60270EA6" w:rsidR="00601FFA" w:rsidRPr="00601FFA" w:rsidRDefault="00601FFA" w:rsidP="00601FFA">
      <w:pPr>
        <w:ind w:left="426"/>
        <w:rPr>
          <w:rFonts w:asciiTheme="minorHAnsi" w:hAnsiTheme="minorHAnsi" w:cstheme="minorHAnsi"/>
        </w:rPr>
      </w:pPr>
      <w:r>
        <w:rPr>
          <w:rFonts w:asciiTheme="minorHAnsi" w:hAnsiTheme="minorHAnsi" w:cstheme="minorHAnsi"/>
        </w:rPr>
        <w:t xml:space="preserve">FLURBIPROFEN </w:t>
      </w:r>
      <w:r w:rsidRPr="00C50C4D">
        <w:rPr>
          <w:rFonts w:asciiTheme="minorHAnsi" w:hAnsiTheme="minorHAnsi" w:cstheme="minorHAnsi"/>
          <w:b/>
          <w:bCs/>
        </w:rPr>
        <w:t>except</w:t>
      </w:r>
      <w:r>
        <w:rPr>
          <w:rFonts w:asciiTheme="minorHAnsi" w:hAnsiTheme="minorHAnsi" w:cstheme="minorHAnsi"/>
        </w:rPr>
        <w:t xml:space="preserve"> when included in or expressly excluded from Schedule 2.</w:t>
      </w:r>
    </w:p>
    <w:p w14:paraId="6D400D49" w14:textId="19AAFD52" w:rsidR="00854F57" w:rsidRDefault="00854F57" w:rsidP="00854F57">
      <w:pPr>
        <w:ind w:left="426"/>
        <w:rPr>
          <w:b/>
        </w:rPr>
      </w:pPr>
      <w:r w:rsidRPr="00CD40FB">
        <w:rPr>
          <w:b/>
        </w:rPr>
        <w:t xml:space="preserve">Schedule </w:t>
      </w:r>
      <w:r w:rsidR="00601FFA">
        <w:rPr>
          <w:b/>
        </w:rPr>
        <w:t>2</w:t>
      </w:r>
      <w:r w:rsidRPr="00CD40FB">
        <w:rPr>
          <w:b/>
        </w:rPr>
        <w:t xml:space="preserve"> –</w:t>
      </w:r>
      <w:r w:rsidR="00601FFA">
        <w:rPr>
          <w:b/>
        </w:rPr>
        <w:t xml:space="preserve"> </w:t>
      </w:r>
      <w:r w:rsidRPr="00601FFA">
        <w:rPr>
          <w:b/>
        </w:rPr>
        <w:t>Amend Entry</w:t>
      </w:r>
    </w:p>
    <w:p w14:paraId="7EC9F338" w14:textId="77777777" w:rsidR="00601FFA" w:rsidRDefault="00601FFA" w:rsidP="00601FFA">
      <w:pPr>
        <w:ind w:left="426"/>
        <w:rPr>
          <w:bCs/>
        </w:rPr>
      </w:pPr>
      <w:r w:rsidRPr="00C50C4D">
        <w:rPr>
          <w:bCs/>
        </w:rPr>
        <w:t>FLURBIPROFEN</w:t>
      </w:r>
      <w:r>
        <w:rPr>
          <w:bCs/>
        </w:rPr>
        <w:t xml:space="preserve"> in preparations for topical oral use when:</w:t>
      </w:r>
    </w:p>
    <w:p w14:paraId="2484B1FE" w14:textId="77777777" w:rsidR="00601FFA" w:rsidRDefault="00601FFA" w:rsidP="00BD7E45">
      <w:pPr>
        <w:pStyle w:val="Numberbullet2a"/>
        <w:numPr>
          <w:ilvl w:val="0"/>
          <w:numId w:val="32"/>
        </w:numPr>
        <w:ind w:left="851" w:hanging="425"/>
      </w:pPr>
      <w:r>
        <w:t xml:space="preserve">in divided preparations containing 10 mg or less of flurbiprofen per dosage unit </w:t>
      </w:r>
      <w:r w:rsidRPr="008C15D7">
        <w:rPr>
          <w:b/>
          <w:bCs/>
        </w:rPr>
        <w:t>except</w:t>
      </w:r>
      <w:r>
        <w:t xml:space="preserve"> when:</w:t>
      </w:r>
    </w:p>
    <w:p w14:paraId="11AD207D" w14:textId="77777777" w:rsidR="00601FFA" w:rsidRDefault="00601FFA" w:rsidP="00BD7E45">
      <w:pPr>
        <w:pStyle w:val="ListBulleti"/>
        <w:numPr>
          <w:ilvl w:val="0"/>
          <w:numId w:val="14"/>
        </w:numPr>
      </w:pPr>
      <w:r>
        <w:t>in a primary pack containing not more than 16 dosage units; and</w:t>
      </w:r>
    </w:p>
    <w:p w14:paraId="39C40C44" w14:textId="77777777" w:rsidR="00601FFA" w:rsidRDefault="00601FFA" w:rsidP="00601FFA">
      <w:pPr>
        <w:pStyle w:val="ListBulleti"/>
      </w:pPr>
      <w:r>
        <w:t>labelled only for the treatment of adults and children over 12 years.</w:t>
      </w:r>
    </w:p>
    <w:p w14:paraId="3CB3163B" w14:textId="0CB5F1FF" w:rsidR="00C91488" w:rsidRPr="00C91488" w:rsidRDefault="00601FFA" w:rsidP="00C91488">
      <w:pPr>
        <w:pStyle w:val="Numberbullet2a"/>
        <w:rPr>
          <w:color w:val="00B050"/>
        </w:rPr>
      </w:pPr>
      <w:r>
        <w:lastRenderedPageBreak/>
        <w:t xml:space="preserve">in undivided preparations containing 0.25 percent or less or 10 mg or less per dose of flurbiprofen </w:t>
      </w:r>
      <w:r w:rsidRPr="002B35EA">
        <w:rPr>
          <w:b/>
          <w:bCs/>
          <w:color w:val="00B050"/>
        </w:rPr>
        <w:t>except</w:t>
      </w:r>
      <w:r w:rsidRPr="00601FFA">
        <w:rPr>
          <w:color w:val="00B050"/>
        </w:rPr>
        <w:t xml:space="preserve"> when:</w:t>
      </w:r>
    </w:p>
    <w:p w14:paraId="198E10A0" w14:textId="4749E5FA" w:rsidR="008935CD" w:rsidRDefault="008935CD" w:rsidP="00BD7E45">
      <w:pPr>
        <w:pStyle w:val="ListBulleti"/>
        <w:numPr>
          <w:ilvl w:val="0"/>
          <w:numId w:val="15"/>
        </w:numPr>
        <w:rPr>
          <w:color w:val="00B050"/>
        </w:rPr>
      </w:pPr>
      <w:r w:rsidRPr="006901D7">
        <w:rPr>
          <w:color w:val="00B050"/>
        </w:rPr>
        <w:t>in a primary pack containing not more than 15 millilitres</w:t>
      </w:r>
      <w:r>
        <w:rPr>
          <w:color w:val="00B050"/>
        </w:rPr>
        <w:t>; and</w:t>
      </w:r>
    </w:p>
    <w:p w14:paraId="4869DD03" w14:textId="70EB44D4" w:rsidR="006901D7" w:rsidRDefault="00601FFA" w:rsidP="00BD7E45">
      <w:pPr>
        <w:pStyle w:val="ListBulleti"/>
        <w:numPr>
          <w:ilvl w:val="0"/>
          <w:numId w:val="15"/>
        </w:numPr>
        <w:rPr>
          <w:color w:val="00B050"/>
        </w:rPr>
      </w:pPr>
      <w:r w:rsidRPr="00601FFA">
        <w:rPr>
          <w:color w:val="00B050"/>
        </w:rPr>
        <w:t xml:space="preserve">labelled </w:t>
      </w:r>
      <w:r w:rsidR="008935CD" w:rsidRPr="00601FFA">
        <w:rPr>
          <w:color w:val="00B050"/>
        </w:rPr>
        <w:t xml:space="preserve">only </w:t>
      </w:r>
      <w:r w:rsidRPr="00601FFA">
        <w:rPr>
          <w:color w:val="00B050"/>
        </w:rPr>
        <w:t>for the treatment of adults over 18 years</w:t>
      </w:r>
      <w:r w:rsidR="008935CD">
        <w:rPr>
          <w:color w:val="00B050"/>
        </w:rPr>
        <w:t>.</w:t>
      </w:r>
    </w:p>
    <w:p w14:paraId="5D3D87ED" w14:textId="77777777" w:rsidR="00C44D86" w:rsidRPr="00C44D86" w:rsidRDefault="00C44D86" w:rsidP="00F3790D">
      <w:pPr>
        <w:ind w:left="426"/>
        <w:rPr>
          <w:b/>
        </w:rPr>
      </w:pPr>
      <w:r w:rsidRPr="00C44D86">
        <w:rPr>
          <w:b/>
        </w:rPr>
        <w:t>Index</w:t>
      </w:r>
    </w:p>
    <w:p w14:paraId="1C946FD5" w14:textId="77777777" w:rsidR="00C44D86" w:rsidRPr="00F3790D" w:rsidRDefault="00C44D86" w:rsidP="00F3790D">
      <w:pPr>
        <w:ind w:left="426"/>
        <w:rPr>
          <w:bCs/>
        </w:rPr>
      </w:pPr>
      <w:r w:rsidRPr="00F3790D">
        <w:rPr>
          <w:bCs/>
        </w:rPr>
        <w:t>FLURBIPROFEN</w:t>
      </w:r>
    </w:p>
    <w:p w14:paraId="059304F7" w14:textId="77777777" w:rsidR="00C44D86" w:rsidRPr="00F3790D" w:rsidRDefault="00C44D86" w:rsidP="00F3790D">
      <w:pPr>
        <w:ind w:left="426"/>
        <w:rPr>
          <w:bCs/>
        </w:rPr>
      </w:pPr>
      <w:r w:rsidRPr="00F3790D">
        <w:rPr>
          <w:bCs/>
        </w:rPr>
        <w:t>Schedule 4</w:t>
      </w:r>
      <w:r w:rsidRPr="00F3790D">
        <w:rPr>
          <w:bCs/>
        </w:rPr>
        <w:br/>
        <w:t>Schedule 2</w:t>
      </w:r>
    </w:p>
    <w:p w14:paraId="0CBC7F37" w14:textId="77777777" w:rsidR="00C44D86" w:rsidRPr="008935CD" w:rsidRDefault="00C44D86" w:rsidP="00F3790D">
      <w:pPr>
        <w:pStyle w:val="ListBulleti"/>
        <w:numPr>
          <w:ilvl w:val="0"/>
          <w:numId w:val="0"/>
        </w:numPr>
        <w:ind w:left="1800"/>
        <w:rPr>
          <w:color w:val="00B050"/>
        </w:rPr>
      </w:pPr>
    </w:p>
    <w:p w14:paraId="1D167B05" w14:textId="6EEF7B39" w:rsidR="003C02CB" w:rsidRDefault="00D75206" w:rsidP="003C02CB">
      <w:pPr>
        <w:pStyle w:val="Heading4"/>
      </w:pPr>
      <w:bookmarkStart w:id="25" w:name="_Toc81903304"/>
      <w:r>
        <w:t>Application summary - r</w:t>
      </w:r>
      <w:r w:rsidR="003C02CB">
        <w:t>easons for proposal</w:t>
      </w:r>
      <w:bookmarkEnd w:id="25"/>
    </w:p>
    <w:p w14:paraId="2F502916" w14:textId="57723509" w:rsidR="0004492A" w:rsidRPr="00844597" w:rsidRDefault="0004492A" w:rsidP="003C02CB">
      <w:pPr>
        <w:pStyle w:val="ListBullet"/>
        <w:spacing w:before="180"/>
        <w:ind w:left="425" w:hanging="425"/>
      </w:pPr>
      <w:bookmarkStart w:id="26" w:name="_Hlk79145139"/>
      <w:r w:rsidRPr="00844597">
        <w:t xml:space="preserve">The application seeks the </w:t>
      </w:r>
      <w:r w:rsidR="00C44D86">
        <w:t xml:space="preserve">scheduling exemption of undivided </w:t>
      </w:r>
      <w:r w:rsidRPr="00844597">
        <w:t>flurbiprofen</w:t>
      </w:r>
      <w:r w:rsidR="00C44D86">
        <w:t xml:space="preserve"> preparations</w:t>
      </w:r>
      <w:r w:rsidRPr="00844597">
        <w:t xml:space="preserve"> containing 0.25 per cent o</w:t>
      </w:r>
      <w:r w:rsidR="00DC1A02">
        <w:t>r</w:t>
      </w:r>
      <w:r w:rsidRPr="00844597">
        <w:t xml:space="preserve"> less or 10 mg per d</w:t>
      </w:r>
      <w:r w:rsidR="007C02BB" w:rsidRPr="00844597">
        <w:t xml:space="preserve">ose or less </w:t>
      </w:r>
      <w:r w:rsidRPr="00844597">
        <w:t>of flurbiprofen</w:t>
      </w:r>
      <w:r w:rsidR="007C02BB" w:rsidRPr="00844597">
        <w:t xml:space="preserve">, </w:t>
      </w:r>
      <w:r w:rsidR="004B7104">
        <w:t xml:space="preserve">that </w:t>
      </w:r>
      <w:r w:rsidR="007C02BB" w:rsidRPr="00844597">
        <w:t xml:space="preserve">are labelled for the treatment of </w:t>
      </w:r>
      <w:r w:rsidR="006B3BB8">
        <w:t xml:space="preserve">adults over </w:t>
      </w:r>
      <w:r w:rsidR="007C02BB" w:rsidRPr="00844597">
        <w:t>18 years of age</w:t>
      </w:r>
      <w:r w:rsidR="004B7104">
        <w:t xml:space="preserve"> </w:t>
      </w:r>
      <w:r w:rsidR="007C02BB" w:rsidRPr="00844597">
        <w:t xml:space="preserve">in a primary pack containing not more than 15 millilitres. The proposed changes would </w:t>
      </w:r>
      <w:r w:rsidR="00C44D86">
        <w:t xml:space="preserve">move flurbiprofen throat sprays </w:t>
      </w:r>
      <w:r w:rsidR="007C02BB" w:rsidRPr="00844597">
        <w:t>from Schedule 2 to unscheduled medicines</w:t>
      </w:r>
      <w:r w:rsidR="00C44D86">
        <w:t xml:space="preserve">, which </w:t>
      </w:r>
      <w:r w:rsidR="004A263C">
        <w:t>would allow these products to be sold in general retail outlets such as supermarkets</w:t>
      </w:r>
      <w:r w:rsidR="007C02BB" w:rsidRPr="00844597">
        <w:t>.</w:t>
      </w:r>
    </w:p>
    <w:p w14:paraId="7D30000C" w14:textId="77777777" w:rsidR="00C44D86" w:rsidRDefault="00C44D86" w:rsidP="00C91488">
      <w:pPr>
        <w:pStyle w:val="ListBullet"/>
        <w:spacing w:before="180"/>
        <w:ind w:left="425" w:hanging="425"/>
      </w:pPr>
      <w:r>
        <w:t xml:space="preserve">The applicant notes: </w:t>
      </w:r>
    </w:p>
    <w:p w14:paraId="003EE3EE" w14:textId="287720BF" w:rsidR="007C02BB" w:rsidRDefault="007C02BB" w:rsidP="00F3790D">
      <w:pPr>
        <w:pStyle w:val="ListBullet2"/>
      </w:pPr>
      <w:r w:rsidRPr="00844597">
        <w:t>Flurbiprofen throat spray is used for the relief of pain</w:t>
      </w:r>
      <w:r w:rsidR="00C91488">
        <w:t>, swelling</w:t>
      </w:r>
      <w:r w:rsidRPr="00844597">
        <w:t xml:space="preserve"> and inflammation associated with sore throats. The spray is intended to treat the affected region while minimising systemic exposure.</w:t>
      </w:r>
    </w:p>
    <w:p w14:paraId="78A88114" w14:textId="4A51B615" w:rsidR="00C44D86" w:rsidRPr="00844597" w:rsidRDefault="00C44D86" w:rsidP="00F3790D">
      <w:pPr>
        <w:pStyle w:val="ListBullet2"/>
      </w:pPr>
      <w:r w:rsidRPr="00844597">
        <w:t>Flurbiprofen is an established non-steroidal anti-inflammatory drug (NSAID) of the propionic acid group</w:t>
      </w:r>
      <w:r w:rsidR="003A1CC6">
        <w:t xml:space="preserve"> which also includes </w:t>
      </w:r>
      <w:r w:rsidRPr="00844597">
        <w:t>ibuprofen.</w:t>
      </w:r>
    </w:p>
    <w:p w14:paraId="736CE1C9" w14:textId="77777777" w:rsidR="00C44D86" w:rsidRPr="00844597" w:rsidRDefault="00C44D86" w:rsidP="00F3790D">
      <w:pPr>
        <w:pStyle w:val="ListBullet2"/>
      </w:pPr>
      <w:r w:rsidRPr="00844597">
        <w:t xml:space="preserve">In humans flurbiprofen has potent analgesic, antipyretic, and anti-inflammatory properties. It is available in </w:t>
      </w:r>
      <w:proofErr w:type="gramStart"/>
      <w:r w:rsidRPr="00844597">
        <w:t>a number of</w:t>
      </w:r>
      <w:proofErr w:type="gramEnd"/>
      <w:r w:rsidRPr="00844597">
        <w:t xml:space="preserve"> formulations, including lozenges, metered dose aerosols</w:t>
      </w:r>
      <w:r>
        <w:t xml:space="preserve"> (throat sprays)</w:t>
      </w:r>
      <w:r w:rsidRPr="00844597">
        <w:t xml:space="preserve">, eye drops and </w:t>
      </w:r>
      <w:r>
        <w:t>oral tablets (overseas)</w:t>
      </w:r>
      <w:r w:rsidRPr="00844597">
        <w:t>.</w:t>
      </w:r>
    </w:p>
    <w:p w14:paraId="383C0B80" w14:textId="77777777" w:rsidR="004B7104" w:rsidRDefault="00C91488" w:rsidP="00F3790D">
      <w:pPr>
        <w:pStyle w:val="ListBullet2"/>
      </w:pPr>
      <w:r>
        <w:t>Throat sprays tend to be used in situations where consumers are seeking rapid pain relief or to relieve more severe throat pain. As severe throat pain commonly occurs at night</w:t>
      </w:r>
      <w:r w:rsidR="0003368C">
        <w:rPr>
          <w:rStyle w:val="FootnoteReference"/>
        </w:rPr>
        <w:footnoteReference w:id="14"/>
      </w:r>
      <w:r>
        <w:t>, a throat spray is likely to be a preferred dosage form</w:t>
      </w:r>
      <w:r w:rsidR="0003368C">
        <w:t xml:space="preserve">at as it allows rapid application and pain relief, without the need to stay awake whilst sucking on a lozenge. </w:t>
      </w:r>
    </w:p>
    <w:p w14:paraId="2739688E" w14:textId="7291F9C6" w:rsidR="00C91488" w:rsidRDefault="0003368C" w:rsidP="00F3790D">
      <w:pPr>
        <w:pStyle w:val="ListBullet2"/>
      </w:pPr>
      <w:r>
        <w:t>There is a consumer need and benefit for increased access to this dosage formulation outside of normal pharmacy operating hours. As an unscheduled medicine this could be purchased from supermarkets or similar stores which have longer operating hours.</w:t>
      </w:r>
    </w:p>
    <w:p w14:paraId="32B73924" w14:textId="3BC325DC" w:rsidR="004A263C" w:rsidRDefault="004B7104" w:rsidP="00F3790D">
      <w:pPr>
        <w:pStyle w:val="ListBullet2"/>
      </w:pPr>
      <w:r>
        <w:t>A similar application was rejected in 2017, after advice from the ACMS indicated that there was limited benefit to public health from the down-scheduling of these preparations, limited in-market experience with the throat spray, and concerns raised regarding a fatal hypersensitivity reaction to the substance.</w:t>
      </w:r>
    </w:p>
    <w:p w14:paraId="207C14F8" w14:textId="621E9BD8" w:rsidR="006A6F15" w:rsidRPr="00F3790D" w:rsidRDefault="006A6F15" w:rsidP="00F3790D">
      <w:pPr>
        <w:pStyle w:val="ListBullet2"/>
        <w:rPr>
          <w:rFonts w:ascii="TimesNewRomanPSMT" w:hAnsi="TimesNewRomanPSMT" w:cs="TimesNewRomanPSMT"/>
          <w:sz w:val="23"/>
          <w:szCs w:val="23"/>
          <w:lang w:eastAsia="en-AU"/>
        </w:rPr>
      </w:pPr>
      <w:r>
        <w:t xml:space="preserve">In June 2020, divided preparations of flurbiprofen were </w:t>
      </w:r>
      <w:proofErr w:type="gramStart"/>
      <w:r>
        <w:t>down-scheduled</w:t>
      </w:r>
      <w:proofErr w:type="gramEnd"/>
      <w:r>
        <w:t xml:space="preserve"> from Schedule 2 to unscheduled, in pack sizes of not more than 16 units when labelled only for the treatment of adults and children over 12 years.</w:t>
      </w:r>
      <w:r w:rsidR="004A263C">
        <w:t xml:space="preserve"> </w:t>
      </w:r>
      <w:r w:rsidR="004A263C" w:rsidRPr="004A263C">
        <w:rPr>
          <w:rFonts w:ascii="TimesNewRomanPSMT" w:hAnsi="TimesNewRomanPSMT" w:cs="TimesNewRomanPSMT"/>
          <w:sz w:val="23"/>
          <w:szCs w:val="23"/>
          <w:lang w:eastAsia="en-AU"/>
        </w:rPr>
        <w:t xml:space="preserve">The proposed limited pack size </w:t>
      </w:r>
      <w:r w:rsidR="004A263C" w:rsidRPr="004A263C">
        <w:rPr>
          <w:rFonts w:ascii="TimesNewRomanPSMT" w:hAnsi="TimesNewRomanPSMT" w:cs="TimesNewRomanPSMT"/>
          <w:sz w:val="23"/>
          <w:szCs w:val="23"/>
          <w:lang w:eastAsia="en-AU"/>
        </w:rPr>
        <w:lastRenderedPageBreak/>
        <w:t>of 15 mL represents 3 days therapy</w:t>
      </w:r>
      <w:r w:rsidR="004A263C">
        <w:rPr>
          <w:rFonts w:ascii="TimesNewRomanPSMT" w:hAnsi="TimesNewRomanPSMT" w:cs="TimesNewRomanPSMT"/>
          <w:sz w:val="23"/>
          <w:szCs w:val="23"/>
          <w:lang w:eastAsia="en-AU"/>
        </w:rPr>
        <w:t xml:space="preserve"> </w:t>
      </w:r>
      <w:r w:rsidR="004A263C" w:rsidRPr="00F3790D">
        <w:rPr>
          <w:rFonts w:ascii="TimesNewRomanPSMT" w:hAnsi="TimesNewRomanPSMT" w:cs="TimesNewRomanPSMT"/>
          <w:sz w:val="23"/>
          <w:szCs w:val="23"/>
          <w:lang w:eastAsia="en-AU"/>
        </w:rPr>
        <w:t>for patients taking the maximum dose</w:t>
      </w:r>
      <w:r w:rsidR="004A263C">
        <w:rPr>
          <w:rFonts w:ascii="TimesNewRomanPSMT" w:hAnsi="TimesNewRomanPSMT" w:cs="TimesNewRomanPSMT"/>
          <w:sz w:val="23"/>
          <w:szCs w:val="23"/>
          <w:lang w:eastAsia="en-AU"/>
        </w:rPr>
        <w:t xml:space="preserve"> of the throat spray</w:t>
      </w:r>
      <w:r w:rsidR="004A263C" w:rsidRPr="00F3790D">
        <w:rPr>
          <w:rFonts w:ascii="TimesNewRomanPSMT" w:hAnsi="TimesNewRomanPSMT" w:cs="TimesNewRomanPSMT"/>
          <w:sz w:val="23"/>
          <w:szCs w:val="23"/>
          <w:lang w:eastAsia="en-AU"/>
        </w:rPr>
        <w:t xml:space="preserve"> (5 doses per day)</w:t>
      </w:r>
      <w:r w:rsidR="004A263C">
        <w:rPr>
          <w:rFonts w:ascii="TimesNewRomanPSMT" w:hAnsi="TimesNewRomanPSMT" w:cs="TimesNewRomanPSMT"/>
          <w:sz w:val="23"/>
          <w:szCs w:val="23"/>
          <w:lang w:eastAsia="en-AU"/>
        </w:rPr>
        <w:t xml:space="preserve">, which is comparable </w:t>
      </w:r>
      <w:r w:rsidR="004A263C" w:rsidRPr="004A263C">
        <w:rPr>
          <w:rFonts w:ascii="TimesNewRomanPSMT" w:hAnsi="TimesNewRomanPSMT" w:cs="TimesNewRomanPSMT"/>
          <w:sz w:val="23"/>
          <w:szCs w:val="23"/>
          <w:lang w:eastAsia="en-AU"/>
        </w:rPr>
        <w:t>to other unscheduled analgesic options including flurbiprofen lozenges</w:t>
      </w:r>
      <w:r w:rsidR="004A263C">
        <w:rPr>
          <w:rFonts w:ascii="TimesNewRomanPSMT" w:hAnsi="TimesNewRomanPSMT" w:cs="TimesNewRomanPSMT"/>
          <w:sz w:val="23"/>
          <w:szCs w:val="23"/>
          <w:lang w:eastAsia="en-AU"/>
        </w:rPr>
        <w:t>.</w:t>
      </w:r>
    </w:p>
    <w:p w14:paraId="3054C4CF" w14:textId="77777777" w:rsidR="00465A62" w:rsidRDefault="00465A62" w:rsidP="00465A62">
      <w:pPr>
        <w:pStyle w:val="Heading4"/>
      </w:pPr>
      <w:bookmarkStart w:id="27" w:name="_Toc81903305"/>
      <w:bookmarkEnd w:id="26"/>
      <w:r>
        <w:t>Key uses / expected use</w:t>
      </w:r>
      <w:bookmarkEnd w:id="27"/>
    </w:p>
    <w:p w14:paraId="0D9EEF36" w14:textId="21A5DF2F" w:rsidR="00465A62" w:rsidRDefault="00465A62" w:rsidP="00C50C4D">
      <w:r w:rsidRPr="008935CD">
        <w:t>Medicines</w:t>
      </w:r>
    </w:p>
    <w:p w14:paraId="70677B28" w14:textId="29ED3F37" w:rsidR="003C02CB" w:rsidRDefault="003C02CB" w:rsidP="003C02CB">
      <w:pPr>
        <w:pStyle w:val="Heading4"/>
      </w:pPr>
      <w:bookmarkStart w:id="28" w:name="_Toc81903306"/>
      <w:r>
        <w:t>Australian regulations</w:t>
      </w:r>
      <w:bookmarkEnd w:id="28"/>
    </w:p>
    <w:p w14:paraId="2E718B57" w14:textId="64944BD7" w:rsidR="003C02CB" w:rsidRDefault="003C02CB" w:rsidP="003C02CB">
      <w:pPr>
        <w:pStyle w:val="ListBullet"/>
      </w:pPr>
      <w:r>
        <w:t xml:space="preserve">According to the </w:t>
      </w:r>
      <w:hyperlink r:id="rId29"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15"/>
      </w:r>
      <w:r>
        <w:t xml:space="preserve"> </w:t>
      </w:r>
      <w:r w:rsidR="00FD221D">
        <w:t>flurbiprofen</w:t>
      </w:r>
      <w:r>
        <w:t xml:space="preserve"> is:</w:t>
      </w:r>
    </w:p>
    <w:p w14:paraId="1EF81B2D" w14:textId="1F4753BB" w:rsidR="0003368C" w:rsidRDefault="0003368C" w:rsidP="0003368C">
      <w:pPr>
        <w:pStyle w:val="ListBullet2"/>
      </w:pPr>
      <w:r>
        <w:t>Available for use as an Active Ingredient in Biologicals, Export Only, Over the Counter and Prescription Medicines.</w:t>
      </w:r>
    </w:p>
    <w:p w14:paraId="0E63F578" w14:textId="4E8F00C6" w:rsidR="0003368C" w:rsidRDefault="0003368C" w:rsidP="0003368C">
      <w:pPr>
        <w:pStyle w:val="ListBullet2"/>
      </w:pPr>
      <w:r>
        <w:t>Available for use as an Excipient Ingredient in Biologicals, Devices and Prescription Medicines.</w:t>
      </w:r>
    </w:p>
    <w:p w14:paraId="61366BE4" w14:textId="4BE3557E" w:rsidR="003C02CB" w:rsidRPr="0003368C" w:rsidRDefault="0003368C" w:rsidP="0003368C">
      <w:pPr>
        <w:pStyle w:val="ListBullet2"/>
      </w:pPr>
      <w:r>
        <w:t>Not available as an Equivalent Ingredient in any application.</w:t>
      </w:r>
    </w:p>
    <w:p w14:paraId="7FD5FA71" w14:textId="49447C37" w:rsidR="003C02CB" w:rsidRDefault="003C02CB" w:rsidP="003C02CB">
      <w:pPr>
        <w:pStyle w:val="ListBullet"/>
      </w:pPr>
      <w:r>
        <w:t xml:space="preserve">As of </w:t>
      </w:r>
      <w:r w:rsidR="0003368C">
        <w:t>August 2021</w:t>
      </w:r>
      <w:r>
        <w:t>, t</w:t>
      </w:r>
      <w:r w:rsidRPr="00881DFE">
        <w:t xml:space="preserve">here </w:t>
      </w:r>
      <w:r>
        <w:t>were</w:t>
      </w:r>
      <w:r w:rsidRPr="00881DFE">
        <w:t xml:space="preserve"> </w:t>
      </w:r>
      <w:r w:rsidR="0003368C">
        <w:t>four</w:t>
      </w:r>
      <w:r>
        <w:t xml:space="preserve"> medicine</w:t>
      </w:r>
      <w:r w:rsidRPr="00881DFE">
        <w:t xml:space="preserve">s currently active on the </w:t>
      </w:r>
      <w:hyperlink r:id="rId30" w:history="1">
        <w:r w:rsidRPr="00293CCA">
          <w:rPr>
            <w:rStyle w:val="Hyperlink"/>
          </w:rPr>
          <w:t>Australian Register of Therapeutic Goods (ARTG)</w:t>
        </w:r>
      </w:hyperlink>
      <w:r>
        <w:rPr>
          <w:rStyle w:val="FootnoteReference"/>
        </w:rPr>
        <w:footnoteReference w:id="16"/>
      </w:r>
      <w:r>
        <w:t xml:space="preserve"> that contain</w:t>
      </w:r>
      <w:r w:rsidRPr="00881DFE">
        <w:t xml:space="preserve"> </w:t>
      </w:r>
      <w:r w:rsidR="0003368C">
        <w:t xml:space="preserve">flurbiprofen </w:t>
      </w:r>
      <w:r>
        <w:t>as an active ingredient</w:t>
      </w:r>
      <w:r w:rsidRPr="00881DFE">
        <w:t>.</w:t>
      </w:r>
      <w:r>
        <w:t xml:space="preserve"> These include </w:t>
      </w:r>
      <w:r w:rsidR="00EA69D0">
        <w:t xml:space="preserve">one </w:t>
      </w:r>
      <w:r>
        <w:t xml:space="preserve">prescription and </w:t>
      </w:r>
      <w:r w:rsidR="00EA69D0">
        <w:t>three</w:t>
      </w:r>
      <w:r>
        <w:t xml:space="preserve"> non-prescription medicines.</w:t>
      </w:r>
    </w:p>
    <w:p w14:paraId="7F6ABCD5" w14:textId="36EEDFD9" w:rsidR="003C02CB" w:rsidRDefault="00EA69D0" w:rsidP="003C02CB">
      <w:pPr>
        <w:pStyle w:val="ListBullet"/>
      </w:pPr>
      <w:r>
        <w:t>Flurbiprofen</w:t>
      </w:r>
      <w:r w:rsidR="003C02CB" w:rsidRPr="009C55D5">
        <w:t xml:space="preserve"> is not permitted to be included in listed medicines </w:t>
      </w:r>
      <w:r w:rsidR="003C02CB">
        <w:t xml:space="preserve">as it is not included in the </w:t>
      </w:r>
      <w:hyperlink r:id="rId31" w:history="1">
        <w:r w:rsidR="003C02CB" w:rsidRPr="00824CAC">
          <w:rPr>
            <w:rStyle w:val="Hyperlink"/>
          </w:rPr>
          <w:t>Therapeutic Goods (Permissible Ingredients) Determination</w:t>
        </w:r>
      </w:hyperlink>
      <w:r w:rsidR="003C02CB">
        <w:rPr>
          <w:rStyle w:val="FootnoteReference"/>
        </w:rPr>
        <w:footnoteReference w:id="17"/>
      </w:r>
      <w:r w:rsidR="003C02CB" w:rsidRPr="009C55D5">
        <w:t xml:space="preserve"> No.</w:t>
      </w:r>
      <w:r>
        <w:t>1</w:t>
      </w:r>
      <w:r w:rsidR="003C02CB" w:rsidRPr="009C55D5">
        <w:t xml:space="preserve"> of 20</w:t>
      </w:r>
      <w:r>
        <w:t>21</w:t>
      </w:r>
      <w:r w:rsidR="003C02CB" w:rsidRPr="009C55D5">
        <w:t xml:space="preserve"> . </w:t>
      </w:r>
    </w:p>
    <w:p w14:paraId="3425AA5F" w14:textId="35A57AAA" w:rsidR="003C02CB" w:rsidRDefault="003C02CB" w:rsidP="003C02CB">
      <w:pPr>
        <w:pStyle w:val="ListBullet"/>
        <w:keepNext/>
        <w:keepLines/>
      </w:pPr>
      <w:r>
        <w:t xml:space="preserve">The </w:t>
      </w:r>
      <w:hyperlink r:id="rId32"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18"/>
      </w:r>
      <w:r>
        <w:t xml:space="preserve"> classifies </w:t>
      </w:r>
      <w:r w:rsidR="00FD221D">
        <w:t>flurbiprofen</w:t>
      </w:r>
      <w:r>
        <w:t xml:space="preserve"> as:</w:t>
      </w:r>
    </w:p>
    <w:tbl>
      <w:tblPr>
        <w:tblStyle w:val="TableTGAblue"/>
        <w:tblW w:w="9521" w:type="dxa"/>
        <w:tblInd w:w="392" w:type="dxa"/>
        <w:tblLook w:val="04A0" w:firstRow="1" w:lastRow="0" w:firstColumn="1" w:lastColumn="0" w:noHBand="0" w:noVBand="1"/>
      </w:tblPr>
      <w:tblGrid>
        <w:gridCol w:w="1970"/>
        <w:gridCol w:w="1971"/>
        <w:gridCol w:w="1971"/>
        <w:gridCol w:w="1971"/>
        <w:gridCol w:w="1638"/>
      </w:tblGrid>
      <w:tr w:rsidR="003C02CB" w:rsidRPr="0072647D" w14:paraId="27456430" w14:textId="77777777" w:rsidTr="009B6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shd w:val="clear" w:color="auto" w:fill="006EA8" w:themeFill="accent1"/>
          </w:tcPr>
          <w:p w14:paraId="2405D20F" w14:textId="77777777" w:rsidR="003C02CB" w:rsidRPr="0072647D" w:rsidRDefault="003C02CB" w:rsidP="009B6554">
            <w:r w:rsidRPr="0072647D">
              <w:t>Drug name</w:t>
            </w:r>
          </w:p>
        </w:tc>
        <w:tc>
          <w:tcPr>
            <w:tcW w:w="1971" w:type="dxa"/>
            <w:shd w:val="clear" w:color="auto" w:fill="006EA8" w:themeFill="accent1"/>
          </w:tcPr>
          <w:p w14:paraId="0E58513C" w14:textId="77777777" w:rsidR="003C02CB" w:rsidRPr="0072647D" w:rsidRDefault="003C02CB" w:rsidP="009B6554">
            <w:pPr>
              <w:cnfStyle w:val="100000000000" w:firstRow="1" w:lastRow="0" w:firstColumn="0" w:lastColumn="0" w:oddVBand="0" w:evenVBand="0" w:oddHBand="0" w:evenHBand="0" w:firstRowFirstColumn="0" w:firstRowLastColumn="0" w:lastRowFirstColumn="0" w:lastRowLastColumn="0"/>
            </w:pPr>
            <w:r w:rsidRPr="0072647D">
              <w:t>C</w:t>
            </w:r>
            <w:r w:rsidRPr="0072647D">
              <w:rPr>
                <w:shd w:val="clear" w:color="auto" w:fill="006EA8" w:themeFill="accent1"/>
              </w:rPr>
              <w:t>ategory</w:t>
            </w:r>
          </w:p>
        </w:tc>
        <w:tc>
          <w:tcPr>
            <w:tcW w:w="1971" w:type="dxa"/>
            <w:shd w:val="clear" w:color="auto" w:fill="006EA8" w:themeFill="accent1"/>
          </w:tcPr>
          <w:p w14:paraId="6D311EB8" w14:textId="77777777" w:rsidR="003C02CB" w:rsidRPr="0072647D" w:rsidRDefault="003C02CB" w:rsidP="009B6554">
            <w:pPr>
              <w:cnfStyle w:val="100000000000" w:firstRow="1" w:lastRow="0" w:firstColumn="0" w:lastColumn="0" w:oddVBand="0" w:evenVBand="0" w:oddHBand="0" w:evenHBand="0" w:firstRowFirstColumn="0" w:firstRowLastColumn="0" w:lastRowFirstColumn="0" w:lastRowLastColumn="0"/>
            </w:pPr>
            <w:r w:rsidRPr="0072647D">
              <w:t>Classification Level 1</w:t>
            </w:r>
          </w:p>
        </w:tc>
        <w:tc>
          <w:tcPr>
            <w:tcW w:w="1971" w:type="dxa"/>
            <w:shd w:val="clear" w:color="auto" w:fill="006EA8" w:themeFill="accent1"/>
          </w:tcPr>
          <w:p w14:paraId="10747454" w14:textId="77777777" w:rsidR="003C02CB" w:rsidRPr="0072647D" w:rsidRDefault="003C02CB" w:rsidP="009B6554">
            <w:pPr>
              <w:cnfStyle w:val="100000000000" w:firstRow="1" w:lastRow="0" w:firstColumn="0" w:lastColumn="0" w:oddVBand="0" w:evenVBand="0" w:oddHBand="0" w:evenHBand="0" w:firstRowFirstColumn="0" w:firstRowLastColumn="0" w:lastRowFirstColumn="0" w:lastRowLastColumn="0"/>
            </w:pPr>
            <w:r w:rsidRPr="0072647D">
              <w:t>Classification Level 2</w:t>
            </w:r>
          </w:p>
        </w:tc>
        <w:tc>
          <w:tcPr>
            <w:tcW w:w="1638" w:type="dxa"/>
            <w:shd w:val="clear" w:color="auto" w:fill="006EA8" w:themeFill="accent1"/>
          </w:tcPr>
          <w:p w14:paraId="5E9F7B2D" w14:textId="77777777" w:rsidR="003C02CB" w:rsidRPr="0072647D" w:rsidRDefault="003C02CB" w:rsidP="009B6554">
            <w:pPr>
              <w:cnfStyle w:val="100000000000" w:firstRow="1" w:lastRow="0" w:firstColumn="0" w:lastColumn="0" w:oddVBand="0" w:evenVBand="0" w:oddHBand="0" w:evenHBand="0" w:firstRowFirstColumn="0" w:firstRowLastColumn="0" w:lastRowFirstColumn="0" w:lastRowLastColumn="0"/>
            </w:pPr>
            <w:r w:rsidRPr="0072647D">
              <w:t>Classification Level 3</w:t>
            </w:r>
          </w:p>
        </w:tc>
      </w:tr>
      <w:tr w:rsidR="003C02CB" w:rsidRPr="003346CF" w14:paraId="17BC77B6" w14:textId="77777777" w:rsidTr="009B6554">
        <w:tc>
          <w:tcPr>
            <w:cnfStyle w:val="001000000000" w:firstRow="0" w:lastRow="0" w:firstColumn="1" w:lastColumn="0" w:oddVBand="0" w:evenVBand="0" w:oddHBand="0" w:evenHBand="0" w:firstRowFirstColumn="0" w:firstRowLastColumn="0" w:lastRowFirstColumn="0" w:lastRowLastColumn="0"/>
            <w:tcW w:w="1970" w:type="dxa"/>
          </w:tcPr>
          <w:p w14:paraId="2C213C10" w14:textId="45B3BF65" w:rsidR="003C02CB" w:rsidRPr="003346CF" w:rsidRDefault="00620347" w:rsidP="009B6554">
            <w:pPr>
              <w:rPr>
                <w:sz w:val="20"/>
                <w:szCs w:val="20"/>
              </w:rPr>
            </w:pPr>
            <w:r>
              <w:rPr>
                <w:sz w:val="20"/>
                <w:szCs w:val="20"/>
              </w:rPr>
              <w:t>FLURBIPROFEN</w:t>
            </w:r>
          </w:p>
        </w:tc>
        <w:tc>
          <w:tcPr>
            <w:tcW w:w="1971" w:type="dxa"/>
          </w:tcPr>
          <w:p w14:paraId="1209F540" w14:textId="21319CFB" w:rsidR="003C02CB" w:rsidRPr="003346CF" w:rsidRDefault="00620347" w:rsidP="009B655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p>
        </w:tc>
        <w:tc>
          <w:tcPr>
            <w:tcW w:w="1971" w:type="dxa"/>
          </w:tcPr>
          <w:p w14:paraId="23125E03" w14:textId="7036B777" w:rsidR="003C02CB" w:rsidRPr="003346CF" w:rsidRDefault="00620347" w:rsidP="009B655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Ophthalmic drugs</w:t>
            </w:r>
          </w:p>
        </w:tc>
        <w:tc>
          <w:tcPr>
            <w:tcW w:w="1971" w:type="dxa"/>
          </w:tcPr>
          <w:p w14:paraId="12AD50B1" w14:textId="77777777" w:rsidR="003C02CB" w:rsidRPr="003346CF" w:rsidRDefault="003C02CB" w:rsidP="009B6554">
            <w:pPr>
              <w:cnfStyle w:val="000000000000" w:firstRow="0" w:lastRow="0" w:firstColumn="0" w:lastColumn="0" w:oddVBand="0" w:evenVBand="0" w:oddHBand="0" w:evenHBand="0" w:firstRowFirstColumn="0" w:firstRowLastColumn="0" w:lastRowFirstColumn="0" w:lastRowLastColumn="0"/>
              <w:rPr>
                <w:sz w:val="20"/>
                <w:szCs w:val="20"/>
              </w:rPr>
            </w:pPr>
          </w:p>
        </w:tc>
        <w:tc>
          <w:tcPr>
            <w:tcW w:w="1638" w:type="dxa"/>
          </w:tcPr>
          <w:p w14:paraId="1DFD413D" w14:textId="77777777" w:rsidR="003C02CB" w:rsidRPr="003346CF" w:rsidRDefault="003C02CB" w:rsidP="009B6554">
            <w:pPr>
              <w:cnfStyle w:val="000000000000" w:firstRow="0" w:lastRow="0" w:firstColumn="0" w:lastColumn="0" w:oddVBand="0" w:evenVBand="0" w:oddHBand="0" w:evenHBand="0" w:firstRowFirstColumn="0" w:firstRowLastColumn="0" w:lastRowFirstColumn="0" w:lastRowLastColumn="0"/>
              <w:rPr>
                <w:sz w:val="20"/>
                <w:szCs w:val="20"/>
              </w:rPr>
            </w:pPr>
          </w:p>
        </w:tc>
      </w:tr>
      <w:tr w:rsidR="003C02CB" w:rsidRPr="003346CF" w14:paraId="5F986235" w14:textId="77777777" w:rsidTr="009B6554">
        <w:tc>
          <w:tcPr>
            <w:cnfStyle w:val="001000000000" w:firstRow="0" w:lastRow="0" w:firstColumn="1" w:lastColumn="0" w:oddVBand="0" w:evenVBand="0" w:oddHBand="0" w:evenHBand="0" w:firstRowFirstColumn="0" w:firstRowLastColumn="0" w:lastRowFirstColumn="0" w:lastRowLastColumn="0"/>
            <w:tcW w:w="9521" w:type="dxa"/>
            <w:gridSpan w:val="5"/>
          </w:tcPr>
          <w:p w14:paraId="07082C4E" w14:textId="6BBD0B19" w:rsidR="003C02CB" w:rsidRPr="00620347" w:rsidRDefault="003C02CB" w:rsidP="009B6554">
            <w:pPr>
              <w:rPr>
                <w:sz w:val="16"/>
                <w:szCs w:val="16"/>
              </w:rPr>
            </w:pPr>
            <w:r w:rsidRPr="003C7D97">
              <w:rPr>
                <w:sz w:val="16"/>
                <w:szCs w:val="16"/>
              </w:rPr>
              <w:t xml:space="preserve">Category C – Drugs which, owing to their pharmacological effects, have </w:t>
            </w:r>
            <w:proofErr w:type="gramStart"/>
            <w:r w:rsidRPr="003C7D97">
              <w:rPr>
                <w:sz w:val="16"/>
                <w:szCs w:val="16"/>
              </w:rPr>
              <w:t>caused</w:t>
            </w:r>
            <w:proofErr w:type="gramEnd"/>
            <w:r w:rsidRPr="003C7D97">
              <w:rPr>
                <w:sz w:val="16"/>
                <w:szCs w:val="16"/>
              </w:rPr>
              <w:t xml:space="preserve"> or may be suspected of causing, harmful effects on the human foetus or neonate without causing malformations. These effects may be reversible. Accompanying texts should be consulted for further details.</w:t>
            </w:r>
          </w:p>
        </w:tc>
      </w:tr>
    </w:tbl>
    <w:p w14:paraId="73FC7C18" w14:textId="755BE839" w:rsidR="003C02CB" w:rsidRDefault="003C02CB" w:rsidP="003C02CB">
      <w:pPr>
        <w:pStyle w:val="ListBullet"/>
      </w:pPr>
      <w:r>
        <w:t>The</w:t>
      </w:r>
      <w:r w:rsidRPr="00AB7BF5">
        <w:t xml:space="preserve"> </w:t>
      </w:r>
      <w:hyperlink r:id="rId33" w:history="1">
        <w:r w:rsidRPr="00AB7BF5">
          <w:rPr>
            <w:rStyle w:val="Hyperlink"/>
          </w:rPr>
          <w:t>Therapeutic Goods (Medicines Advisory Statements) Specification 2019</w:t>
        </w:r>
      </w:hyperlink>
      <w:r>
        <w:rPr>
          <w:rStyle w:val="FootnoteReference"/>
        </w:rPr>
        <w:footnoteReference w:id="19"/>
      </w:r>
      <w:r>
        <w:t xml:space="preserve"> requires</w:t>
      </w:r>
      <w:r w:rsidRPr="00A30084">
        <w:t xml:space="preserve"> the following warning statements pertaining to </w:t>
      </w:r>
      <w:r w:rsidR="00620347">
        <w:t>flurbiprofen</w:t>
      </w:r>
      <w:r w:rsidRPr="00A30084">
        <w:t xml:space="preserve"> to be included on the labelling:</w:t>
      </w:r>
    </w:p>
    <w:tbl>
      <w:tblPr>
        <w:tblStyle w:val="TableTGAblue"/>
        <w:tblW w:w="0" w:type="auto"/>
        <w:tblInd w:w="360" w:type="dxa"/>
        <w:tblLook w:val="04A0" w:firstRow="1" w:lastRow="0" w:firstColumn="1" w:lastColumn="0" w:noHBand="0" w:noVBand="1"/>
      </w:tblPr>
      <w:tblGrid>
        <w:gridCol w:w="2040"/>
        <w:gridCol w:w="1941"/>
        <w:gridCol w:w="4709"/>
      </w:tblGrid>
      <w:tr w:rsidR="003C02CB" w:rsidRPr="0072647D" w14:paraId="2E382F77" w14:textId="77777777" w:rsidTr="0072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shd w:val="clear" w:color="auto" w:fill="006EA8" w:themeFill="accent1"/>
          </w:tcPr>
          <w:p w14:paraId="383193B0" w14:textId="77777777" w:rsidR="003C02CB" w:rsidRPr="0072647D" w:rsidRDefault="003C02CB" w:rsidP="003C02CB">
            <w:pPr>
              <w:pStyle w:val="ListBullet"/>
              <w:numPr>
                <w:ilvl w:val="0"/>
                <w:numId w:val="0"/>
              </w:numPr>
              <w:rPr>
                <w:szCs w:val="22"/>
              </w:rPr>
            </w:pPr>
            <w:r w:rsidRPr="0072647D">
              <w:rPr>
                <w:szCs w:val="22"/>
              </w:rPr>
              <w:lastRenderedPageBreak/>
              <w:t>Substance</w:t>
            </w:r>
          </w:p>
        </w:tc>
        <w:tc>
          <w:tcPr>
            <w:tcW w:w="1941" w:type="dxa"/>
            <w:shd w:val="clear" w:color="auto" w:fill="006EA8" w:themeFill="accent1"/>
          </w:tcPr>
          <w:p w14:paraId="60FBA139" w14:textId="77777777" w:rsidR="003C02CB" w:rsidRPr="0072647D" w:rsidRDefault="003C02CB" w:rsidP="003C02CB">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2"/>
              </w:rPr>
            </w:pPr>
            <w:r w:rsidRPr="0072647D">
              <w:rPr>
                <w:szCs w:val="22"/>
              </w:rPr>
              <w:t xml:space="preserve">Conditions </w:t>
            </w:r>
          </w:p>
        </w:tc>
        <w:tc>
          <w:tcPr>
            <w:tcW w:w="4709" w:type="dxa"/>
            <w:shd w:val="clear" w:color="auto" w:fill="006EA8" w:themeFill="accent1"/>
          </w:tcPr>
          <w:p w14:paraId="30650331" w14:textId="77777777" w:rsidR="003C02CB" w:rsidRPr="0072647D" w:rsidRDefault="003C02CB" w:rsidP="003C02CB">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2"/>
              </w:rPr>
            </w:pPr>
            <w:r w:rsidRPr="0072647D">
              <w:rPr>
                <w:szCs w:val="22"/>
              </w:rPr>
              <w:t xml:space="preserve">Required Statement(s) </w:t>
            </w:r>
          </w:p>
        </w:tc>
      </w:tr>
      <w:tr w:rsidR="003C02CB" w:rsidRPr="006112EA" w14:paraId="14E6EC9C" w14:textId="77777777" w:rsidTr="00620347">
        <w:tc>
          <w:tcPr>
            <w:cnfStyle w:val="001000000000" w:firstRow="0" w:lastRow="0" w:firstColumn="1" w:lastColumn="0" w:oddVBand="0" w:evenVBand="0" w:oddHBand="0" w:evenHBand="0" w:firstRowFirstColumn="0" w:firstRowLastColumn="0" w:lastRowFirstColumn="0" w:lastRowLastColumn="0"/>
            <w:tcW w:w="2040" w:type="dxa"/>
          </w:tcPr>
          <w:p w14:paraId="3C81B8B4" w14:textId="7BAF9058" w:rsidR="003C02CB" w:rsidRPr="006112EA" w:rsidRDefault="00620347" w:rsidP="003C02CB">
            <w:pPr>
              <w:rPr>
                <w:sz w:val="20"/>
                <w:szCs w:val="20"/>
              </w:rPr>
            </w:pPr>
            <w:r>
              <w:rPr>
                <w:sz w:val="20"/>
                <w:szCs w:val="20"/>
              </w:rPr>
              <w:t>Flurbiprofen (1 of 2)</w:t>
            </w:r>
          </w:p>
        </w:tc>
        <w:tc>
          <w:tcPr>
            <w:tcW w:w="1941" w:type="dxa"/>
          </w:tcPr>
          <w:p w14:paraId="5797AE60" w14:textId="29B71E49" w:rsidR="003C02CB" w:rsidRPr="006112EA" w:rsidRDefault="00620347" w:rsidP="003C02C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shd w:val="clear" w:color="auto" w:fill="FFFFFF"/>
              </w:rPr>
              <w:t>In oral preparations that do NOT include indications for use in children under 12 years of age</w:t>
            </w:r>
          </w:p>
        </w:tc>
        <w:tc>
          <w:tcPr>
            <w:tcW w:w="4709" w:type="dxa"/>
          </w:tcPr>
          <w:p w14:paraId="61D2BBCC"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Do not use if you have a stomach ulcer.</w:t>
            </w:r>
          </w:p>
          <w:p w14:paraId="6C7B6178"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Do not use if you have impaired kidney function.</w:t>
            </w:r>
          </w:p>
          <w:p w14:paraId="545719B3"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Do not use if you have heart failure.</w:t>
            </w:r>
          </w:p>
          <w:p w14:paraId="2C81D174"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asciiTheme="minorHAnsi" w:eastAsia="Times New Roman" w:hAnsiTheme="minorHAnsi"/>
                <w:sz w:val="20"/>
                <w:lang w:eastAsia="en-AU"/>
              </w:rPr>
              <w:t>Do not use if you are allergic to flurbiprofen or other anti-inflammatory medicines.</w:t>
            </w:r>
          </w:p>
          <w:p w14:paraId="0B4D186D"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asciiTheme="minorHAnsi" w:eastAsia="Times New Roman" w:hAnsiTheme="minorHAnsi"/>
                <w:sz w:val="20"/>
                <w:lang w:eastAsia="en-AU"/>
              </w:rPr>
              <w:t>If you get an allergic reaction, stop taking and see your doctor immediately.</w:t>
            </w:r>
          </w:p>
          <w:p w14:paraId="27AEB370"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Unless a doctor has told you to, do not use if you have asthma.</w:t>
            </w:r>
          </w:p>
          <w:p w14:paraId="74269F1C"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Unless advised by your doctor or pharmacist, do not use with other products containing flurbiprofen, aspirin or other anti-inflammatory medicines or with medicines that you are taking regularly.</w:t>
            </w:r>
          </w:p>
          <w:p w14:paraId="08B2E3B2"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 xml:space="preserve">Do not use for more than a few days at a time unless a doctor has told you to.  Do not exceed the recommended dose.  Excessive use can be harmful and increase the risk of heart attack, </w:t>
            </w:r>
            <w:proofErr w:type="gramStart"/>
            <w:r w:rsidRPr="00620347">
              <w:rPr>
                <w:rFonts w:eastAsia="Times New Roman"/>
                <w:sz w:val="20"/>
                <w:lang w:eastAsia="en-AU"/>
              </w:rPr>
              <w:t>stroke</w:t>
            </w:r>
            <w:proofErr w:type="gramEnd"/>
            <w:r w:rsidRPr="00620347">
              <w:rPr>
                <w:rFonts w:eastAsia="Times New Roman"/>
                <w:sz w:val="20"/>
                <w:lang w:eastAsia="en-AU"/>
              </w:rPr>
              <w:t xml:space="preserve"> or liver damage.</w:t>
            </w:r>
          </w:p>
          <w:p w14:paraId="710982AC" w14:textId="7E2E0730" w:rsidR="003C02CB"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Do not use if trying to become pregnant, or during the first 6 months of pregnancy, except on doctor’s advice.  Do not use at all during the last 3 months of pregnancy.</w:t>
            </w:r>
          </w:p>
        </w:tc>
      </w:tr>
      <w:tr w:rsidR="00620347" w:rsidRPr="006112EA" w14:paraId="753E1026" w14:textId="77777777" w:rsidTr="00620347">
        <w:tc>
          <w:tcPr>
            <w:cnfStyle w:val="001000000000" w:firstRow="0" w:lastRow="0" w:firstColumn="1" w:lastColumn="0" w:oddVBand="0" w:evenVBand="0" w:oddHBand="0" w:evenHBand="0" w:firstRowFirstColumn="0" w:firstRowLastColumn="0" w:lastRowFirstColumn="0" w:lastRowLastColumn="0"/>
            <w:tcW w:w="2040" w:type="dxa"/>
          </w:tcPr>
          <w:p w14:paraId="7046C0E0" w14:textId="1FA15DB1" w:rsidR="00620347" w:rsidRPr="006112EA" w:rsidRDefault="00620347" w:rsidP="003C02CB">
            <w:pPr>
              <w:rPr>
                <w:sz w:val="20"/>
              </w:rPr>
            </w:pPr>
            <w:r>
              <w:rPr>
                <w:sz w:val="20"/>
              </w:rPr>
              <w:t>Flurbiprofen (2 of 2)</w:t>
            </w:r>
          </w:p>
        </w:tc>
        <w:tc>
          <w:tcPr>
            <w:tcW w:w="1941" w:type="dxa"/>
          </w:tcPr>
          <w:p w14:paraId="65624690" w14:textId="1B3ABB23" w:rsidR="00620347" w:rsidRPr="006112EA" w:rsidRDefault="00620347" w:rsidP="003C02CB">
            <w:pPr>
              <w:cnfStyle w:val="000000000000" w:firstRow="0" w:lastRow="0" w:firstColumn="0" w:lastColumn="0" w:oddVBand="0" w:evenVBand="0" w:oddHBand="0" w:evenHBand="0" w:firstRowFirstColumn="0" w:firstRowLastColumn="0" w:lastRowFirstColumn="0" w:lastRowLastColumn="0"/>
              <w:rPr>
                <w:sz w:val="20"/>
              </w:rPr>
            </w:pPr>
            <w:r>
              <w:rPr>
                <w:sz w:val="20"/>
                <w:szCs w:val="20"/>
                <w:shd w:val="clear" w:color="auto" w:fill="FFFFFF"/>
              </w:rPr>
              <w:t>In oral preparations that include indications for use in children under 12 years of age</w:t>
            </w:r>
          </w:p>
        </w:tc>
        <w:tc>
          <w:tcPr>
            <w:tcW w:w="4709" w:type="dxa"/>
          </w:tcPr>
          <w:p w14:paraId="787032A7"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Do not use if you have a stomach ulcer.</w:t>
            </w:r>
          </w:p>
          <w:p w14:paraId="03541D78"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Do not use if you have impaired kidney function.</w:t>
            </w:r>
          </w:p>
          <w:p w14:paraId="4CFB2E2E"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Do not use if you have heart failure.</w:t>
            </w:r>
          </w:p>
          <w:p w14:paraId="5B276D48"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Do not use if you are allergic to flurbiprofen or other anti-inflammatory medicines.</w:t>
            </w:r>
          </w:p>
          <w:p w14:paraId="12985A72"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asciiTheme="minorHAnsi" w:eastAsia="Times New Roman" w:hAnsiTheme="minorHAnsi"/>
                <w:sz w:val="20"/>
                <w:lang w:eastAsia="en-AU"/>
              </w:rPr>
              <w:t>If you get an allergic reaction, stop taking and see your doctor immediately.</w:t>
            </w:r>
          </w:p>
          <w:p w14:paraId="79D2817B"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Unless a doctor has told you to, do not use if you have asthma.</w:t>
            </w:r>
          </w:p>
          <w:p w14:paraId="1BBE431F"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asciiTheme="minorHAnsi" w:eastAsia="Times New Roman" w:hAnsiTheme="minorHAnsi"/>
                <w:sz w:val="20"/>
                <w:lang w:eastAsia="en-AU"/>
              </w:rPr>
              <w:t>Unless advised by your doctor or pharmacist, do not use with other products containing flurbiprofen, aspirin or other anti-inflammatory medicines or with medicines that you are taking regularly.</w:t>
            </w:r>
          </w:p>
          <w:p w14:paraId="6D21C46A"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asciiTheme="minorHAnsi" w:eastAsia="Times New Roman" w:hAnsiTheme="minorHAnsi"/>
                <w:sz w:val="20"/>
                <w:lang w:eastAsia="en-AU"/>
              </w:rPr>
              <w:t xml:space="preserve">Do not use for more than a few days at a time unless a doctor has told you to.  Do not exceed the recommended dose.  Excessive use can be harmful and increase the risk of heart attack, </w:t>
            </w:r>
            <w:proofErr w:type="gramStart"/>
            <w:r w:rsidRPr="00620347">
              <w:rPr>
                <w:rFonts w:asciiTheme="minorHAnsi" w:eastAsia="Times New Roman" w:hAnsiTheme="minorHAnsi"/>
                <w:sz w:val="20"/>
                <w:lang w:eastAsia="en-AU"/>
              </w:rPr>
              <w:t>stroke</w:t>
            </w:r>
            <w:proofErr w:type="gramEnd"/>
            <w:r w:rsidRPr="00620347">
              <w:rPr>
                <w:rFonts w:asciiTheme="minorHAnsi" w:eastAsia="Times New Roman" w:hAnsiTheme="minorHAnsi"/>
                <w:sz w:val="20"/>
                <w:lang w:eastAsia="en-AU"/>
              </w:rPr>
              <w:t xml:space="preserve"> or liver damage.</w:t>
            </w:r>
          </w:p>
          <w:p w14:paraId="437913A3" w14:textId="77777777"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Do not use if trying to become pregnant, or during the first 6 months of pregnancy, except on doctor’s advice.  Do not use at all during the last 3 months of pregnancy.</w:t>
            </w:r>
          </w:p>
          <w:p w14:paraId="0639DF74" w14:textId="2E03E63E" w:rsidR="00620347" w:rsidRPr="00620347" w:rsidRDefault="00620347" w:rsidP="00620347">
            <w:pPr>
              <w:shd w:val="clear" w:color="auto" w:fill="FFFFFF"/>
              <w:spacing w:before="60"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2"/>
                <w:lang w:eastAsia="en-AU"/>
              </w:rPr>
            </w:pPr>
            <w:r w:rsidRPr="00620347">
              <w:rPr>
                <w:rFonts w:ascii="Symbol" w:eastAsia="Times New Roman" w:hAnsi="Symbol"/>
                <w:sz w:val="20"/>
                <w:lang w:eastAsia="en-AU"/>
              </w:rPr>
              <w:t>·</w:t>
            </w:r>
            <w:r w:rsidRPr="00620347">
              <w:rPr>
                <w:rFonts w:ascii="Times New Roman" w:eastAsia="Times New Roman" w:hAnsi="Times New Roman"/>
                <w:sz w:val="14"/>
                <w:szCs w:val="14"/>
                <w:lang w:eastAsia="en-AU"/>
              </w:rPr>
              <w:t>   </w:t>
            </w:r>
            <w:r w:rsidRPr="00620347">
              <w:rPr>
                <w:rFonts w:eastAsia="Times New Roman"/>
                <w:sz w:val="20"/>
                <w:lang w:eastAsia="en-AU"/>
              </w:rPr>
              <w:t>Ask your doctor or pharmacist before use of the medicine in children suffering from dehydration through diarrhoea and/or vomiting.</w:t>
            </w:r>
          </w:p>
        </w:tc>
      </w:tr>
    </w:tbl>
    <w:p w14:paraId="77A6EA5A" w14:textId="50B79A04" w:rsidR="003C02CB" w:rsidRPr="009C55D5" w:rsidRDefault="003C02CB" w:rsidP="00620347">
      <w:pPr>
        <w:pStyle w:val="ListBullet"/>
      </w:pPr>
      <w:r>
        <w:lastRenderedPageBreak/>
        <w:t xml:space="preserve">As of </w:t>
      </w:r>
      <w:r w:rsidR="009B63FA">
        <w:t>August</w:t>
      </w:r>
      <w:r w:rsidR="00F17A49">
        <w:t xml:space="preserve"> 2021, </w:t>
      </w:r>
      <w:r>
        <w:t>there were</w:t>
      </w:r>
      <w:r w:rsidRPr="009C55D5">
        <w:t xml:space="preserve"> </w:t>
      </w:r>
      <w:r w:rsidR="00F17A49">
        <w:t>six</w:t>
      </w:r>
      <w:r w:rsidRPr="009C55D5">
        <w:t xml:space="preserve"> reports of adverse events for products containing </w:t>
      </w:r>
      <w:r w:rsidR="00620347">
        <w:t>flurbiprofen</w:t>
      </w:r>
      <w:r w:rsidRPr="009C55D5">
        <w:t xml:space="preserve"> as an active ingredient</w:t>
      </w:r>
      <w:r>
        <w:t xml:space="preserve"> on the </w:t>
      </w:r>
      <w:hyperlink r:id="rId34" w:history="1">
        <w:r w:rsidRPr="00F0449C">
          <w:rPr>
            <w:rStyle w:val="Hyperlink"/>
          </w:rPr>
          <w:t>Database of Adverse Event Notifications (DAEN)</w:t>
        </w:r>
      </w:hyperlink>
      <w:r w:rsidRPr="00F0449C">
        <w:rPr>
          <w:rStyle w:val="FootnoteReference"/>
        </w:rPr>
        <w:footnoteReference w:id="20"/>
      </w:r>
      <w:r w:rsidRPr="009C55D5">
        <w:t xml:space="preserve"> with </w:t>
      </w:r>
      <w:r w:rsidR="00F17A49">
        <w:t>five</w:t>
      </w:r>
      <w:r w:rsidRPr="009C55D5">
        <w:t xml:space="preserve"> reports where </w:t>
      </w:r>
      <w:r w:rsidR="00620347">
        <w:t>flurbiprofen</w:t>
      </w:r>
      <w:r w:rsidRPr="009C55D5">
        <w:t xml:space="preserve"> was the single suspected medicine. There were </w:t>
      </w:r>
      <w:r w:rsidR="00F17A49">
        <w:t>no</w:t>
      </w:r>
      <w:r w:rsidRPr="009C55D5">
        <w:t xml:space="preserve"> reports of deaths associated with </w:t>
      </w:r>
      <w:r w:rsidR="00620347">
        <w:t>flurbiprofen</w:t>
      </w:r>
      <w:r w:rsidRPr="009C55D5">
        <w:t xml:space="preserve"> use</w:t>
      </w:r>
      <w:r w:rsidR="00620347">
        <w:t xml:space="preserve">. </w:t>
      </w:r>
    </w:p>
    <w:p w14:paraId="70F3DBB7" w14:textId="780AC405" w:rsidR="003C02CB" w:rsidRDefault="003C02CB" w:rsidP="003C02CB">
      <w:pPr>
        <w:pStyle w:val="ListBullet"/>
      </w:pPr>
      <w:r>
        <w:t xml:space="preserve">As of </w:t>
      </w:r>
      <w:r w:rsidR="00582C26">
        <w:t>August</w:t>
      </w:r>
      <w:r w:rsidR="009B63FA">
        <w:t xml:space="preserve"> 2021</w:t>
      </w:r>
      <w:r>
        <w:t>, t</w:t>
      </w:r>
      <w:r w:rsidRPr="00F0449C">
        <w:t xml:space="preserve">here </w:t>
      </w:r>
      <w:r>
        <w:t>were</w:t>
      </w:r>
      <w:r w:rsidRPr="00F0449C">
        <w:t xml:space="preserve"> </w:t>
      </w:r>
      <w:r w:rsidR="00582C26">
        <w:t>no</w:t>
      </w:r>
      <w:r w:rsidRPr="00F0449C">
        <w:t xml:space="preserve"> products containing </w:t>
      </w:r>
      <w:r w:rsidR="00F17A49">
        <w:t>flurbiprofen</w:t>
      </w:r>
      <w:r w:rsidRPr="00F0449C">
        <w:t xml:space="preserve"> </w:t>
      </w:r>
      <w:r w:rsidR="00A71659">
        <w:t xml:space="preserve">as an active ingredient/constituent or scheduled substance </w:t>
      </w:r>
      <w:r w:rsidRPr="00F0449C">
        <w:t xml:space="preserve">listed on the </w:t>
      </w:r>
      <w:hyperlink r:id="rId35"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21"/>
      </w:r>
      <w:r>
        <w:t xml:space="preserve"> </w:t>
      </w:r>
    </w:p>
    <w:p w14:paraId="5E9516E4" w14:textId="77777777" w:rsidR="003C02CB" w:rsidRPr="00CB687C" w:rsidRDefault="003C02CB" w:rsidP="003C02CB">
      <w:pPr>
        <w:pStyle w:val="Heading4"/>
      </w:pPr>
      <w:bookmarkStart w:id="29" w:name="_Toc81903307"/>
      <w:r>
        <w:t>International regulations</w:t>
      </w:r>
      <w:bookmarkEnd w:id="29"/>
    </w:p>
    <w:p w14:paraId="75AEB3C8" w14:textId="77777777" w:rsidR="00582C26" w:rsidRPr="00582C26" w:rsidRDefault="00582C26" w:rsidP="00582C26">
      <w:pPr>
        <w:pStyle w:val="CommentText"/>
        <w:rPr>
          <w:iCs/>
          <w:sz w:val="22"/>
          <w:szCs w:val="22"/>
        </w:rPr>
      </w:pPr>
      <w:r w:rsidRPr="00582C26">
        <w:rPr>
          <w:iCs/>
          <w:sz w:val="22"/>
          <w:szCs w:val="22"/>
        </w:rPr>
        <w:t>As of August 2021:</w:t>
      </w:r>
    </w:p>
    <w:p w14:paraId="4A33E88E" w14:textId="635E16B5" w:rsidR="00582C26" w:rsidRDefault="00582C26" w:rsidP="00582C26">
      <w:pPr>
        <w:pStyle w:val="ListBullet"/>
      </w:pPr>
      <w:r w:rsidRPr="00582C26">
        <w:t xml:space="preserve">Flurbiprofen is not included in the </w:t>
      </w:r>
      <w:hyperlink r:id="rId36" w:history="1">
        <w:r w:rsidRPr="00CC6398">
          <w:rPr>
            <w:rStyle w:val="Hyperlink"/>
          </w:rPr>
          <w:t>WHO Model List of Essential Medicines 2019</w:t>
        </w:r>
      </w:hyperlink>
      <w:r>
        <w:rPr>
          <w:rStyle w:val="FootnoteReference"/>
        </w:rPr>
        <w:footnoteReference w:id="22"/>
      </w:r>
      <w:r w:rsidR="000B489A" w:rsidRPr="000B489A">
        <w:rPr>
          <w:rStyle w:val="Hyperlink"/>
          <w:color w:val="auto"/>
          <w:u w:val="none"/>
        </w:rPr>
        <w:t>.</w:t>
      </w:r>
    </w:p>
    <w:p w14:paraId="446D74D0" w14:textId="77777777" w:rsidR="00582C26" w:rsidRDefault="00582C26" w:rsidP="00582C26">
      <w:pPr>
        <w:pStyle w:val="ListBullet"/>
      </w:pPr>
      <w:r w:rsidRPr="00582C26">
        <w:t>The</w:t>
      </w:r>
      <w:r>
        <w:t xml:space="preserve"> </w:t>
      </w:r>
      <w:hyperlink r:id="rId37" w:history="1">
        <w:r w:rsidRPr="002150D3">
          <w:rPr>
            <w:rStyle w:val="Hyperlink"/>
          </w:rPr>
          <w:t>Health Products Regulatory Authority of Ireland</w:t>
        </w:r>
      </w:hyperlink>
      <w:r w:rsidRPr="00582C26">
        <w:rPr>
          <w:rStyle w:val="FootnoteReference"/>
        </w:rPr>
        <w:footnoteReference w:id="23"/>
      </w:r>
      <w:r w:rsidRPr="000B489A">
        <w:rPr>
          <w:rStyle w:val="Hyperlink"/>
          <w:color w:val="auto"/>
          <w:u w:val="none"/>
        </w:rPr>
        <w:t xml:space="preserve"> </w:t>
      </w:r>
      <w:r w:rsidRPr="00582C26">
        <w:t>regulates flurbiprofen as an over-the-counter medicine supplied through pharmacies only.</w:t>
      </w:r>
    </w:p>
    <w:p w14:paraId="3627389D" w14:textId="6FEB2B37" w:rsidR="00582C26" w:rsidRDefault="00582C26" w:rsidP="00582C26">
      <w:pPr>
        <w:pStyle w:val="ListBullet"/>
      </w:pPr>
      <w:r w:rsidRPr="00582C26">
        <w:t>The</w:t>
      </w:r>
      <w:r>
        <w:t xml:space="preserve"> </w:t>
      </w:r>
      <w:hyperlink r:id="rId38" w:history="1">
        <w:r w:rsidRPr="00043773">
          <w:rPr>
            <w:rStyle w:val="Hyperlink"/>
          </w:rPr>
          <w:t>United States Food and Drug Administration Approved Drug Products</w:t>
        </w:r>
      </w:hyperlink>
      <w:r w:rsidRPr="005A27ED">
        <w:t xml:space="preserve"> </w:t>
      </w:r>
      <w:r w:rsidRPr="00582C26">
        <w:t>database (</w:t>
      </w:r>
      <w:proofErr w:type="spellStart"/>
      <w:r w:rsidRPr="00582C26">
        <w:t>Drugs@FDA</w:t>
      </w:r>
      <w:proofErr w:type="spellEnd"/>
      <w:r w:rsidRPr="00582C26">
        <w:t>)</w:t>
      </w:r>
      <w:r w:rsidRPr="00582C26">
        <w:rPr>
          <w:rStyle w:val="FootnoteReference"/>
        </w:rPr>
        <w:footnoteReference w:id="24"/>
      </w:r>
      <w:r w:rsidRPr="00582C26">
        <w:t xml:space="preserve"> approve</w:t>
      </w:r>
      <w:r w:rsidR="00DB32A9">
        <w:t>s the</w:t>
      </w:r>
      <w:r w:rsidRPr="00582C26">
        <w:t xml:space="preserve"> use of flurbiprofen oral tablets and ophthalmic solution/drops as prescription medicine</w:t>
      </w:r>
      <w:r w:rsidR="00DB32A9">
        <w:t>s</w:t>
      </w:r>
      <w:r w:rsidRPr="00582C26">
        <w:t>.</w:t>
      </w:r>
    </w:p>
    <w:p w14:paraId="19B3ABD7" w14:textId="2BE5D192" w:rsidR="00582C26" w:rsidRPr="002357AB" w:rsidRDefault="00582C26" w:rsidP="00582C26">
      <w:pPr>
        <w:pStyle w:val="ListBullet"/>
        <w:rPr>
          <w:rStyle w:val="Hyperlink"/>
          <w:color w:val="auto"/>
          <w:u w:val="none"/>
        </w:rPr>
      </w:pPr>
      <w:r w:rsidRPr="00582C26">
        <w:t xml:space="preserve">Flurbiprofen oral tablets </w:t>
      </w:r>
      <w:r w:rsidR="00DB32A9">
        <w:t>are</w:t>
      </w:r>
      <w:r w:rsidRPr="00582C26">
        <w:t xml:space="preserve"> approved for use as prescription medicine</w:t>
      </w:r>
      <w:r w:rsidR="00DB32A9">
        <w:t>s</w:t>
      </w:r>
      <w:r w:rsidRPr="00582C26">
        <w:t xml:space="preserve"> according to the </w:t>
      </w:r>
      <w:hyperlink r:id="rId39" w:history="1">
        <w:r w:rsidRPr="000B75D5">
          <w:rPr>
            <w:rStyle w:val="Hyperlink"/>
          </w:rPr>
          <w:t>Canadian (Health Canada) Drug Product Database</w:t>
        </w:r>
      </w:hyperlink>
      <w:r w:rsidRPr="00417519">
        <w:rPr>
          <w:rStyle w:val="FootnoteReference"/>
        </w:rPr>
        <w:footnoteReference w:id="25"/>
      </w:r>
      <w:r w:rsidR="000B489A" w:rsidRPr="000B489A">
        <w:rPr>
          <w:rStyle w:val="Hyperlink"/>
          <w:color w:val="auto"/>
          <w:u w:val="none"/>
        </w:rPr>
        <w:t>.</w:t>
      </w:r>
    </w:p>
    <w:p w14:paraId="2F087B88" w14:textId="40E85AA3" w:rsidR="002357AB" w:rsidRDefault="009D29F0" w:rsidP="00582C26">
      <w:pPr>
        <w:pStyle w:val="ListBullet"/>
      </w:pPr>
      <w:r>
        <w:rPr>
          <w:rStyle w:val="Hyperlink"/>
          <w:color w:val="auto"/>
          <w:u w:val="none"/>
        </w:rPr>
        <w:t>In the</w:t>
      </w:r>
      <w:r w:rsidR="002357AB">
        <w:rPr>
          <w:rStyle w:val="Hyperlink"/>
          <w:color w:val="auto"/>
          <w:u w:val="none"/>
        </w:rPr>
        <w:t xml:space="preserve"> UK </w:t>
      </w:r>
      <w:r w:rsidR="004D1459">
        <w:rPr>
          <w:rStyle w:val="Hyperlink"/>
          <w:color w:val="auto"/>
          <w:u w:val="none"/>
        </w:rPr>
        <w:t>(</w:t>
      </w:r>
      <w:r>
        <w:rPr>
          <w:rStyle w:val="Hyperlink"/>
          <w:color w:val="auto"/>
          <w:u w:val="none"/>
        </w:rPr>
        <w:t>as refer</w:t>
      </w:r>
      <w:r w:rsidR="004D1459">
        <w:rPr>
          <w:rStyle w:val="Hyperlink"/>
          <w:color w:val="auto"/>
          <w:u w:val="none"/>
        </w:rPr>
        <w:t>red to</w:t>
      </w:r>
      <w:r>
        <w:rPr>
          <w:rStyle w:val="Hyperlink"/>
          <w:color w:val="auto"/>
          <w:u w:val="none"/>
        </w:rPr>
        <w:t xml:space="preserve"> in the </w:t>
      </w:r>
      <w:hyperlink r:id="rId40" w:history="1">
        <w:r w:rsidR="002357AB" w:rsidRPr="002357AB">
          <w:rPr>
            <w:rStyle w:val="Hyperlink"/>
          </w:rPr>
          <w:t>Electronic Medicines Compendium</w:t>
        </w:r>
      </w:hyperlink>
      <w:r w:rsidR="002357AB">
        <w:rPr>
          <w:rStyle w:val="FootnoteReference"/>
        </w:rPr>
        <w:footnoteReference w:id="26"/>
      </w:r>
      <w:r w:rsidR="004D1459" w:rsidRPr="004D1459">
        <w:rPr>
          <w:rStyle w:val="Hyperlink"/>
          <w:color w:val="auto"/>
          <w:u w:val="none"/>
        </w:rPr>
        <w:t>)</w:t>
      </w:r>
      <w:r w:rsidR="002357AB">
        <w:rPr>
          <w:rStyle w:val="Hyperlink"/>
          <w:color w:val="auto"/>
          <w:u w:val="none"/>
        </w:rPr>
        <w:t xml:space="preserve"> flurbiprofen</w:t>
      </w:r>
      <w:r>
        <w:rPr>
          <w:rStyle w:val="Hyperlink"/>
          <w:color w:val="auto"/>
          <w:u w:val="none"/>
        </w:rPr>
        <w:t xml:space="preserve"> oral tablets and eye drops are prescription only medicines and lozenges are pharmacy medicines.</w:t>
      </w:r>
      <w:r w:rsidR="002357AB">
        <w:rPr>
          <w:rStyle w:val="Hyperlink"/>
          <w:color w:val="auto"/>
          <w:u w:val="none"/>
        </w:rPr>
        <w:t xml:space="preserve"> </w:t>
      </w:r>
    </w:p>
    <w:p w14:paraId="1CD4118D" w14:textId="77777777" w:rsidR="00582C26" w:rsidRPr="00EC2F6E" w:rsidRDefault="00582C26" w:rsidP="00582C26">
      <w:pPr>
        <w:pStyle w:val="ListBullet"/>
        <w:rPr>
          <w:rStyle w:val="Hyperlink"/>
          <w:color w:val="auto"/>
          <w:u w:val="none"/>
        </w:rPr>
      </w:pPr>
      <w:r w:rsidRPr="00582C26">
        <w:t xml:space="preserve">According to the </w:t>
      </w:r>
      <w:hyperlink r:id="rId41" w:history="1">
        <w:r w:rsidRPr="000B75D5">
          <w:rPr>
            <w:rStyle w:val="Hyperlink"/>
          </w:rPr>
          <w:t>New Zealand</w:t>
        </w:r>
        <w:r>
          <w:rPr>
            <w:rStyle w:val="Hyperlink"/>
          </w:rPr>
          <w:t xml:space="preserve"> Medicines and Medical Devices Safety Authority</w:t>
        </w:r>
        <w:r w:rsidRPr="000B75D5">
          <w:rPr>
            <w:rStyle w:val="Hyperlink"/>
          </w:rPr>
          <w:t xml:space="preserve"> </w:t>
        </w:r>
        <w:r>
          <w:rPr>
            <w:rStyle w:val="Hyperlink"/>
          </w:rPr>
          <w:t>(</w:t>
        </w:r>
        <w:proofErr w:type="spellStart"/>
        <w:r w:rsidRPr="000B75D5">
          <w:rPr>
            <w:rStyle w:val="Hyperlink"/>
          </w:rPr>
          <w:t>MedSafe</w:t>
        </w:r>
        <w:proofErr w:type="spellEnd"/>
      </w:hyperlink>
      <w:r>
        <w:t>)</w:t>
      </w:r>
      <w:r>
        <w:rPr>
          <w:rStyle w:val="FootnoteReference"/>
        </w:rPr>
        <w:footnoteReference w:id="27"/>
      </w:r>
      <w:r>
        <w:t xml:space="preserve"> </w:t>
      </w:r>
      <w:r w:rsidRPr="00582C26">
        <w:t>flurbiprofen is available as follows:</w:t>
      </w:r>
    </w:p>
    <w:tbl>
      <w:tblPr>
        <w:tblStyle w:val="TableTGAblue1"/>
        <w:tblW w:w="5000" w:type="pct"/>
        <w:tblInd w:w="357" w:type="dxa"/>
        <w:tblLook w:val="04A0" w:firstRow="1" w:lastRow="0" w:firstColumn="1" w:lastColumn="0" w:noHBand="0" w:noVBand="1"/>
      </w:tblPr>
      <w:tblGrid>
        <w:gridCol w:w="1694"/>
        <w:gridCol w:w="5385"/>
        <w:gridCol w:w="1971"/>
      </w:tblGrid>
      <w:tr w:rsidR="00582C26" w:rsidRPr="0072647D" w14:paraId="774122A8" w14:textId="77777777" w:rsidTr="0072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shd w:val="clear" w:color="auto" w:fill="006EA8" w:themeFill="accent1"/>
          </w:tcPr>
          <w:p w14:paraId="0EB21BC7" w14:textId="77777777" w:rsidR="00582C26" w:rsidRPr="0072647D" w:rsidRDefault="00582C26" w:rsidP="00E52F94">
            <w:pPr>
              <w:pStyle w:val="ListBullet"/>
              <w:numPr>
                <w:ilvl w:val="0"/>
                <w:numId w:val="0"/>
              </w:numPr>
              <w:rPr>
                <w:szCs w:val="22"/>
              </w:rPr>
            </w:pPr>
            <w:r w:rsidRPr="0072647D">
              <w:rPr>
                <w:szCs w:val="22"/>
              </w:rPr>
              <w:t>Ingredient</w:t>
            </w:r>
          </w:p>
        </w:tc>
        <w:tc>
          <w:tcPr>
            <w:tcW w:w="2975" w:type="pct"/>
            <w:shd w:val="clear" w:color="auto" w:fill="006EA8" w:themeFill="accent1"/>
          </w:tcPr>
          <w:p w14:paraId="61E054B1" w14:textId="77777777" w:rsidR="00582C26" w:rsidRPr="0072647D" w:rsidRDefault="00582C26" w:rsidP="00E52F94">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2"/>
              </w:rPr>
            </w:pPr>
            <w:r w:rsidRPr="0072647D">
              <w:rPr>
                <w:szCs w:val="22"/>
              </w:rPr>
              <w:t>Conditions</w:t>
            </w:r>
          </w:p>
        </w:tc>
        <w:tc>
          <w:tcPr>
            <w:tcW w:w="1089" w:type="pct"/>
            <w:shd w:val="clear" w:color="auto" w:fill="006EA8" w:themeFill="accent1"/>
          </w:tcPr>
          <w:p w14:paraId="761DFB5D" w14:textId="77777777" w:rsidR="00582C26" w:rsidRPr="0072647D" w:rsidRDefault="00582C26" w:rsidP="00E52F94">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2"/>
              </w:rPr>
            </w:pPr>
            <w:r w:rsidRPr="0072647D">
              <w:rPr>
                <w:szCs w:val="22"/>
              </w:rPr>
              <w:t>Classification</w:t>
            </w:r>
          </w:p>
        </w:tc>
      </w:tr>
      <w:tr w:rsidR="00582C26" w14:paraId="79260938" w14:textId="77777777" w:rsidTr="00E52F94">
        <w:tc>
          <w:tcPr>
            <w:cnfStyle w:val="001000000000" w:firstRow="0" w:lastRow="0" w:firstColumn="1" w:lastColumn="0" w:oddVBand="0" w:evenVBand="0" w:oddHBand="0" w:evenHBand="0" w:firstRowFirstColumn="0" w:firstRowLastColumn="0" w:lastRowFirstColumn="0" w:lastRowLastColumn="0"/>
            <w:tcW w:w="936" w:type="pct"/>
          </w:tcPr>
          <w:p w14:paraId="18DB7B3F" w14:textId="77777777" w:rsidR="00582C26" w:rsidRPr="00702170" w:rsidRDefault="00582C26" w:rsidP="00E52F94">
            <w:pPr>
              <w:pStyle w:val="ListBullet"/>
              <w:numPr>
                <w:ilvl w:val="0"/>
                <w:numId w:val="0"/>
              </w:numPr>
              <w:rPr>
                <w:szCs w:val="20"/>
              </w:rPr>
            </w:pPr>
            <w:r>
              <w:t>Flurbiprofen</w:t>
            </w:r>
          </w:p>
        </w:tc>
        <w:tc>
          <w:tcPr>
            <w:tcW w:w="2975" w:type="pct"/>
          </w:tcPr>
          <w:p w14:paraId="3713EF3D" w14:textId="77777777" w:rsidR="00582C26" w:rsidRPr="00702170" w:rsidRDefault="00582C26" w:rsidP="00E52F9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702170">
              <w:rPr>
                <w:b/>
                <w:bCs/>
              </w:rPr>
              <w:t>except</w:t>
            </w:r>
            <w:r w:rsidRPr="00702170">
              <w:t xml:space="preserve"> </w:t>
            </w:r>
            <w:r>
              <w:t xml:space="preserve">in locally acting </w:t>
            </w:r>
            <w:proofErr w:type="spellStart"/>
            <w:r>
              <w:t>oromucosal</w:t>
            </w:r>
            <w:proofErr w:type="spellEnd"/>
            <w:r>
              <w:t xml:space="preserve"> preparations containing 10 milligrams or less per dosage unit</w:t>
            </w:r>
          </w:p>
        </w:tc>
        <w:tc>
          <w:tcPr>
            <w:tcW w:w="1089" w:type="pct"/>
          </w:tcPr>
          <w:p w14:paraId="12CDB85A" w14:textId="77777777" w:rsidR="00582C26" w:rsidRPr="00702170" w:rsidRDefault="00582C26" w:rsidP="00E52F9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rsidRPr="00702170">
              <w:t>Prescription</w:t>
            </w:r>
          </w:p>
        </w:tc>
      </w:tr>
      <w:tr w:rsidR="00582C26" w14:paraId="6DF675C8" w14:textId="77777777" w:rsidTr="00E52F94">
        <w:tc>
          <w:tcPr>
            <w:cnfStyle w:val="001000000000" w:firstRow="0" w:lastRow="0" w:firstColumn="1" w:lastColumn="0" w:oddVBand="0" w:evenVBand="0" w:oddHBand="0" w:evenHBand="0" w:firstRowFirstColumn="0" w:firstRowLastColumn="0" w:lastRowFirstColumn="0" w:lastRowLastColumn="0"/>
            <w:tcW w:w="936" w:type="pct"/>
          </w:tcPr>
          <w:p w14:paraId="433C8FD9" w14:textId="77777777" w:rsidR="00582C26" w:rsidRPr="00702170" w:rsidRDefault="00582C26" w:rsidP="00E52F94">
            <w:pPr>
              <w:pStyle w:val="ListBullet"/>
              <w:numPr>
                <w:ilvl w:val="0"/>
                <w:numId w:val="0"/>
              </w:numPr>
              <w:rPr>
                <w:szCs w:val="20"/>
              </w:rPr>
            </w:pPr>
            <w:r>
              <w:t>Flurbiprofen</w:t>
            </w:r>
          </w:p>
        </w:tc>
        <w:tc>
          <w:tcPr>
            <w:tcW w:w="2975" w:type="pct"/>
          </w:tcPr>
          <w:p w14:paraId="05673DE5" w14:textId="77777777" w:rsidR="00582C26" w:rsidRPr="00702170" w:rsidRDefault="00582C26" w:rsidP="00E52F94">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in locally acting </w:t>
            </w:r>
            <w:proofErr w:type="spellStart"/>
            <w:r>
              <w:t>oromucosal</w:t>
            </w:r>
            <w:proofErr w:type="spellEnd"/>
            <w:r>
              <w:t xml:space="preserve"> preparations containing 10 milligrams or less per dosage unit</w:t>
            </w:r>
          </w:p>
        </w:tc>
        <w:tc>
          <w:tcPr>
            <w:tcW w:w="1089" w:type="pct"/>
          </w:tcPr>
          <w:p w14:paraId="64BE274C" w14:textId="77777777" w:rsidR="00582C26" w:rsidRPr="00702170" w:rsidRDefault="00582C26" w:rsidP="00E52F94">
            <w:pPr>
              <w:pStyle w:val="ListBullet"/>
              <w:numPr>
                <w:ilvl w:val="0"/>
                <w:numId w:val="0"/>
              </w:numPr>
              <w:cnfStyle w:val="000000000000" w:firstRow="0" w:lastRow="0" w:firstColumn="0" w:lastColumn="0" w:oddVBand="0" w:evenVBand="0" w:oddHBand="0" w:evenHBand="0" w:firstRowFirstColumn="0" w:firstRowLastColumn="0" w:lastRowFirstColumn="0" w:lastRowLastColumn="0"/>
              <w:rPr>
                <w:szCs w:val="20"/>
              </w:rPr>
            </w:pPr>
            <w:r>
              <w:t>Pharmacy Only</w:t>
            </w:r>
          </w:p>
        </w:tc>
      </w:tr>
    </w:tbl>
    <w:p w14:paraId="02EB3B9D" w14:textId="77777777" w:rsidR="007E331F" w:rsidRPr="00680FD7" w:rsidRDefault="003C02CB" w:rsidP="00582C26">
      <w:pPr>
        <w:pStyle w:val="ListBullet"/>
        <w:numPr>
          <w:ilvl w:val="0"/>
          <w:numId w:val="0"/>
        </w:numPr>
        <w:ind w:left="360" w:hanging="360"/>
        <w:rPr>
          <w:rStyle w:val="Hyperlink"/>
        </w:rPr>
      </w:pPr>
      <w:r>
        <w:t xml:space="preserve"> </w:t>
      </w:r>
    </w:p>
    <w:p w14:paraId="613F945B" w14:textId="2DBD0C21" w:rsidR="003C02CB" w:rsidRDefault="003C02CB" w:rsidP="003C02CB">
      <w:pPr>
        <w:pStyle w:val="Heading2"/>
      </w:pPr>
      <w:bookmarkStart w:id="30" w:name="_Toc81903308"/>
      <w:r>
        <w:lastRenderedPageBreak/>
        <w:t>Proposed amendments referred for scheduling advice to ACCS #</w:t>
      </w:r>
      <w:r w:rsidR="008935CD">
        <w:t>32</w:t>
      </w:r>
      <w:bookmarkEnd w:id="30"/>
    </w:p>
    <w:p w14:paraId="22816313" w14:textId="77777777" w:rsidR="00CA52AC" w:rsidRDefault="00CA52AC" w:rsidP="00CA52AC">
      <w:pPr>
        <w:pStyle w:val="Heading3"/>
      </w:pPr>
      <w:bookmarkStart w:id="31" w:name="_Toc81903309"/>
      <w:r>
        <w:t>Chromates and chromium trioxide</w:t>
      </w:r>
      <w:bookmarkEnd w:id="31"/>
    </w:p>
    <w:p w14:paraId="58C285A0" w14:textId="77777777" w:rsidR="00CA52AC" w:rsidRDefault="00CA52AC" w:rsidP="00CA52AC">
      <w:pPr>
        <w:pStyle w:val="Heading4"/>
      </w:pPr>
      <w:bookmarkStart w:id="32" w:name="_Toc81903310"/>
      <w:r>
        <w:t>Proposal</w:t>
      </w:r>
      <w:bookmarkEnd w:id="32"/>
    </w:p>
    <w:p w14:paraId="398D2E08" w14:textId="5144B1DF" w:rsidR="00CA52AC" w:rsidRDefault="00CA52AC" w:rsidP="00CA52AC">
      <w:r>
        <w:t>The applicant proposes to amend the Schedule 6 entries for chromates and chromium trioxide to exempt articles where the proportion of chromates (or chromium) does not exceed 0.1% w/w of the article.</w:t>
      </w:r>
      <w:r w:rsidR="004D1459">
        <w:t xml:space="preserve"> </w:t>
      </w:r>
      <w:r w:rsidR="004D5FB6">
        <w:t xml:space="preserve">In this application </w:t>
      </w:r>
      <w:r w:rsidR="009B63FA">
        <w:t>‘</w:t>
      </w:r>
      <w:r w:rsidR="004D5FB6">
        <w:t>chromates</w:t>
      </w:r>
      <w:r w:rsidR="009B63FA">
        <w:t>’</w:t>
      </w:r>
      <w:r w:rsidR="004D5FB6">
        <w:t xml:space="preserve"> refers to t</w:t>
      </w:r>
      <w:r w:rsidR="009D5A04">
        <w:t>h</w:t>
      </w:r>
      <w:r w:rsidR="009B63FA">
        <w:t>re</w:t>
      </w:r>
      <w:r w:rsidR="009D5A04">
        <w:t>e hexavalent chromium-containing compounds</w:t>
      </w:r>
      <w:r w:rsidR="009B63FA">
        <w:t>:</w:t>
      </w:r>
      <w:r w:rsidR="009D5A04">
        <w:t xml:space="preserve"> </w:t>
      </w:r>
      <w:r w:rsidR="004D1459">
        <w:t>dichromium tris (chromate), strontium chromate</w:t>
      </w:r>
      <w:r w:rsidR="00827889">
        <w:t xml:space="preserve"> </w:t>
      </w:r>
      <w:r w:rsidR="004D1459">
        <w:t>and chromic acid</w:t>
      </w:r>
      <w:r w:rsidR="004D5FB6">
        <w:t>.</w:t>
      </w:r>
    </w:p>
    <w:p w14:paraId="782BB9C0" w14:textId="44745C3E" w:rsidR="00CA52AC" w:rsidRDefault="00CA52AC" w:rsidP="00CA52AC">
      <w:pPr>
        <w:pStyle w:val="Heading4"/>
      </w:pPr>
      <w:bookmarkStart w:id="33" w:name="_Toc81903311"/>
      <w:r>
        <w:t>CAS Number:</w:t>
      </w:r>
      <w:bookmarkEnd w:id="33"/>
    </w:p>
    <w:p w14:paraId="3F038DBE" w14:textId="22627C3D" w:rsidR="004D1459" w:rsidRDefault="004D1459" w:rsidP="004D1459">
      <w:bookmarkStart w:id="34" w:name="_Hlk79567220"/>
      <w:r>
        <w:t>24613-89-6</w:t>
      </w:r>
      <w:r w:rsidR="00FA5667">
        <w:t xml:space="preserve"> (dichromium tris (chromate))</w:t>
      </w:r>
    </w:p>
    <w:p w14:paraId="30B2D33E" w14:textId="1BB55C0C" w:rsidR="004D1459" w:rsidRDefault="004D1459" w:rsidP="004D1459">
      <w:r>
        <w:t>7789-06-2</w:t>
      </w:r>
      <w:r w:rsidR="00FA5667">
        <w:t xml:space="preserve"> (strontium chromate)</w:t>
      </w:r>
    </w:p>
    <w:p w14:paraId="507E0094" w14:textId="503298B8" w:rsidR="004D1459" w:rsidRDefault="004D1459" w:rsidP="004D1459">
      <w:r>
        <w:t>1333-82-0</w:t>
      </w:r>
      <w:r w:rsidR="00FA5667">
        <w:t xml:space="preserve"> (chromium trioxide)</w:t>
      </w:r>
    </w:p>
    <w:p w14:paraId="4416374E" w14:textId="35A96780" w:rsidR="004D1459" w:rsidRPr="004D1459" w:rsidRDefault="004D1459" w:rsidP="004D1459">
      <w:r>
        <w:t>7738-94-5</w:t>
      </w:r>
      <w:r w:rsidR="00FA5667">
        <w:t xml:space="preserve"> (chromic acid)</w:t>
      </w:r>
    </w:p>
    <w:p w14:paraId="5576D51C" w14:textId="77777777" w:rsidR="00CA52AC" w:rsidRDefault="00CA52AC" w:rsidP="00CA52AC">
      <w:pPr>
        <w:pStyle w:val="Heading4"/>
      </w:pPr>
      <w:bookmarkStart w:id="35" w:name="_Toc81903312"/>
      <w:bookmarkEnd w:id="34"/>
      <w:r>
        <w:t>Applicant</w:t>
      </w:r>
      <w:bookmarkEnd w:id="35"/>
    </w:p>
    <w:p w14:paraId="4ADA68BD" w14:textId="77777777" w:rsidR="00CA52AC" w:rsidRDefault="00CA52AC" w:rsidP="00CA52AC">
      <w:r>
        <w:t>Private</w:t>
      </w:r>
    </w:p>
    <w:p w14:paraId="37F10522" w14:textId="77777777" w:rsidR="00CA52AC" w:rsidRDefault="00CA52AC" w:rsidP="00CA52AC">
      <w:pPr>
        <w:pStyle w:val="Heading4"/>
      </w:pPr>
      <w:bookmarkStart w:id="36" w:name="_Toc81903313"/>
      <w:r>
        <w:t>Current scheduling</w:t>
      </w:r>
      <w:bookmarkEnd w:id="36"/>
    </w:p>
    <w:p w14:paraId="345EC776" w14:textId="77777777" w:rsidR="00CA52AC" w:rsidRDefault="00CA52AC" w:rsidP="00CA52AC">
      <w:r>
        <w:t>Chromates are listed in Schedule 6 of the current Poisons Standard as follows:</w:t>
      </w:r>
    </w:p>
    <w:p w14:paraId="3316D91A" w14:textId="77777777" w:rsidR="00CA52AC" w:rsidRDefault="00CA52AC" w:rsidP="00CA52AC">
      <w:pPr>
        <w:ind w:left="426"/>
        <w:rPr>
          <w:b/>
          <w:bCs/>
        </w:rPr>
      </w:pPr>
      <w:r>
        <w:rPr>
          <w:b/>
          <w:bCs/>
        </w:rPr>
        <w:t>Schedule 6</w:t>
      </w:r>
    </w:p>
    <w:p w14:paraId="0E938F1E" w14:textId="77777777" w:rsidR="00CA52AC" w:rsidRDefault="00CA52AC" w:rsidP="00CA52AC">
      <w:pPr>
        <w:ind w:left="426"/>
      </w:pPr>
      <w:r>
        <w:t>CHROMATE</w:t>
      </w:r>
      <w:r w:rsidRPr="00646866">
        <w:t>S (</w:t>
      </w:r>
      <w:r>
        <w:t xml:space="preserve">including </w:t>
      </w:r>
      <w:proofErr w:type="spellStart"/>
      <w:r>
        <w:t>dichromates</w:t>
      </w:r>
      <w:proofErr w:type="spellEnd"/>
      <w:r>
        <w:t>)</w:t>
      </w:r>
      <w:r w:rsidRPr="00646866">
        <w:t xml:space="preserve"> </w:t>
      </w:r>
      <w:r w:rsidRPr="00646866">
        <w:rPr>
          <w:b/>
          <w:bCs/>
        </w:rPr>
        <w:t>except</w:t>
      </w:r>
      <w:r>
        <w:t xml:space="preserve"> in paints or tinters containing 5 per cent or less of chromium as the ammonium, barium, calcium, iron, potassium, sodium, </w:t>
      </w:r>
      <w:proofErr w:type="gramStart"/>
      <w:r>
        <w:t>strontium</w:t>
      </w:r>
      <w:proofErr w:type="gramEnd"/>
      <w:r>
        <w:t xml:space="preserve"> or zinc chromate calculated on the non-volatile content of the paint or tinter.</w:t>
      </w:r>
      <w:r w:rsidRPr="00646866">
        <w:t xml:space="preserve"> </w:t>
      </w:r>
    </w:p>
    <w:p w14:paraId="4DE62F1D" w14:textId="77777777" w:rsidR="00CA52AC" w:rsidRPr="00AE59FE" w:rsidRDefault="00CA52AC" w:rsidP="00CA52AC">
      <w:pPr>
        <w:ind w:left="426"/>
        <w:rPr>
          <w:b/>
          <w:bCs/>
        </w:rPr>
      </w:pPr>
      <w:r w:rsidRPr="00AE59FE">
        <w:rPr>
          <w:b/>
          <w:bCs/>
        </w:rPr>
        <w:t>Index</w:t>
      </w:r>
    </w:p>
    <w:p w14:paraId="12AA54BD" w14:textId="77777777" w:rsidR="00CA52AC" w:rsidRDefault="00CA52AC" w:rsidP="00CA52AC">
      <w:pPr>
        <w:ind w:left="426"/>
      </w:pPr>
      <w:r w:rsidRPr="00AE59FE">
        <w:rPr>
          <w:b/>
          <w:bCs/>
        </w:rPr>
        <w:t>CHROMATES</w:t>
      </w:r>
      <w:r>
        <w:br/>
        <w:t>cross reference: AMMONIUM CHROMATE, BARIUM CHROMATE, CHROMIUM, COPPER-CHROME-ARSENIC, DICHROMATES, POTASSIUM CHROMATE, ZINC CHROMATE, SODIUM CHROMATE, STRONTIUM CHROMATE</w:t>
      </w:r>
    </w:p>
    <w:p w14:paraId="2B818B09" w14:textId="77777777" w:rsidR="00CA52AC" w:rsidRDefault="00CA52AC" w:rsidP="00CA52AC">
      <w:pPr>
        <w:ind w:left="426"/>
      </w:pPr>
      <w:r>
        <w:t>Schedule 6</w:t>
      </w:r>
      <w:r>
        <w:br/>
        <w:t>Appendix E, Part 2</w:t>
      </w:r>
      <w:r>
        <w:br/>
        <w:t>Appendix F, Part 3</w:t>
      </w:r>
    </w:p>
    <w:p w14:paraId="23BFB0D6" w14:textId="77777777" w:rsidR="00CA52AC" w:rsidRDefault="00CA52AC" w:rsidP="00CA52AC">
      <w:r>
        <w:t>It is also included under the entry CHROMATES in Appendices E and F as follows:</w:t>
      </w:r>
    </w:p>
    <w:p w14:paraId="0BEFD00C" w14:textId="77777777" w:rsidR="00CA52AC" w:rsidRDefault="00CA52AC" w:rsidP="00CA52AC">
      <w:pPr>
        <w:ind w:left="426"/>
        <w:rPr>
          <w:b/>
          <w:bCs/>
        </w:rPr>
      </w:pPr>
      <w:bookmarkStart w:id="37" w:name="_Hlk79151942"/>
      <w:r w:rsidRPr="00AE59FE">
        <w:rPr>
          <w:b/>
          <w:bCs/>
        </w:rPr>
        <w:t>Appendix E, Part 2</w:t>
      </w:r>
    </w:p>
    <w:p w14:paraId="0A0D08B8" w14:textId="77777777" w:rsidR="00CA52AC" w:rsidRDefault="00CA52AC" w:rsidP="00CA52AC">
      <w:pPr>
        <w:ind w:left="426"/>
        <w:rPr>
          <w:b/>
          <w:bCs/>
        </w:rPr>
      </w:pPr>
      <w:r>
        <w:rPr>
          <w:b/>
          <w:bCs/>
        </w:rPr>
        <w:t>STANDARD STATEMENTS</w:t>
      </w:r>
    </w:p>
    <w:p w14:paraId="311442B4" w14:textId="77777777" w:rsidR="00CA52AC" w:rsidRDefault="00CA52AC" w:rsidP="00CA52AC">
      <w:pPr>
        <w:ind w:left="426"/>
        <w:rPr>
          <w:b/>
          <w:bCs/>
        </w:rPr>
      </w:pPr>
      <w:r>
        <w:rPr>
          <w:b/>
          <w:bCs/>
        </w:rPr>
        <w:t>Basic</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166D6A6F"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14FAE48" w14:textId="77777777" w:rsidR="00CA52AC" w:rsidRPr="0052709B" w:rsidRDefault="00CA52AC" w:rsidP="00A12CDA">
            <w:pPr>
              <w:jc w:val="center"/>
              <w:rPr>
                <w:b w:val="0"/>
                <w:bCs/>
                <w:color w:val="auto"/>
              </w:rPr>
            </w:pPr>
            <w:r>
              <w:rPr>
                <w:b w:val="0"/>
                <w:bCs/>
                <w:color w:val="auto"/>
              </w:rPr>
              <w:lastRenderedPageBreak/>
              <w:t>A</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8DDF785"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For advice, contact a Poisons Information Centre (e.g. phone Australia 13 11 26; New Zealand 0800 764 766) or a doctor (at once).</w:t>
            </w:r>
          </w:p>
        </w:tc>
      </w:tr>
    </w:tbl>
    <w:p w14:paraId="7E98D1E1" w14:textId="77777777" w:rsidR="00CA52AC" w:rsidRDefault="00CA52AC" w:rsidP="00CA52AC">
      <w:pPr>
        <w:ind w:left="426"/>
        <w:rPr>
          <w:b/>
          <w:bCs/>
        </w:rPr>
      </w:pPr>
      <w:r>
        <w:rPr>
          <w:b/>
          <w:bCs/>
        </w:rPr>
        <w:t>General</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2D2EBA75"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7B88F5C" w14:textId="77777777" w:rsidR="00CA52AC" w:rsidRPr="0052709B" w:rsidRDefault="00CA52AC" w:rsidP="00A12CDA">
            <w:pPr>
              <w:jc w:val="center"/>
              <w:rPr>
                <w:b w:val="0"/>
                <w:bCs/>
                <w:color w:val="auto"/>
              </w:rPr>
            </w:pPr>
            <w:r>
              <w:rPr>
                <w:b w:val="0"/>
                <w:bCs/>
                <w:color w:val="auto"/>
              </w:rPr>
              <w:t>G3</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E60A88C"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If swallowed, do NOT induce vomiting.</w:t>
            </w:r>
          </w:p>
        </w:tc>
      </w:tr>
    </w:tbl>
    <w:p w14:paraId="74B3EBCC" w14:textId="77777777" w:rsidR="00CA52AC" w:rsidRDefault="00CA52AC" w:rsidP="00CA52AC">
      <w:pPr>
        <w:ind w:left="426"/>
        <w:rPr>
          <w:b/>
          <w:bCs/>
        </w:rPr>
      </w:pPr>
      <w:r>
        <w:rPr>
          <w:b/>
          <w:bCs/>
        </w:rPr>
        <w:t>Eyes</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41220A34"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569F462" w14:textId="77777777" w:rsidR="00CA52AC" w:rsidRPr="0052709B" w:rsidRDefault="00CA52AC" w:rsidP="00A12CDA">
            <w:pPr>
              <w:jc w:val="center"/>
              <w:rPr>
                <w:b w:val="0"/>
                <w:bCs/>
                <w:color w:val="auto"/>
              </w:rPr>
            </w:pPr>
            <w:r>
              <w:rPr>
                <w:b w:val="0"/>
                <w:bCs/>
                <w:color w:val="auto"/>
              </w:rPr>
              <w:t>E2</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CD1366F"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If in eyes, hold eyelids apart and flush the eye continuously with running water. Continue flushing until advised to stop by a Poisons Information Centre (e.g. phone Australia 13 11 26; New Zealand 0800 764 766) or a doctor, or for at least 15 minutes.</w:t>
            </w:r>
          </w:p>
        </w:tc>
      </w:tr>
    </w:tbl>
    <w:p w14:paraId="51EE4A7A" w14:textId="77777777" w:rsidR="00CA52AC" w:rsidRDefault="00CA52AC" w:rsidP="00CA52AC">
      <w:pPr>
        <w:ind w:left="426"/>
        <w:rPr>
          <w:b/>
          <w:bCs/>
        </w:rPr>
      </w:pPr>
      <w:r>
        <w:rPr>
          <w:b/>
          <w:bCs/>
        </w:rPr>
        <w:t>Skin</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4C1F5F64"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DABFF24" w14:textId="77777777" w:rsidR="00CA52AC" w:rsidRPr="0052709B" w:rsidRDefault="00CA52AC" w:rsidP="00A12CDA">
            <w:pPr>
              <w:jc w:val="center"/>
              <w:rPr>
                <w:b w:val="0"/>
                <w:bCs/>
                <w:color w:val="auto"/>
              </w:rPr>
            </w:pPr>
            <w:r>
              <w:rPr>
                <w:b w:val="0"/>
                <w:bCs/>
                <w:color w:val="auto"/>
              </w:rPr>
              <w:t>S1</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A67D33C"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If skin or hair contact occurs, remove contaminated clothing and flush skin and hair with running water.</w:t>
            </w:r>
          </w:p>
        </w:tc>
      </w:tr>
    </w:tbl>
    <w:bookmarkEnd w:id="37"/>
    <w:p w14:paraId="6A9B5AD0" w14:textId="77777777" w:rsidR="00CA52AC" w:rsidRDefault="00CA52AC" w:rsidP="00CA52AC">
      <w:pPr>
        <w:ind w:left="426"/>
        <w:rPr>
          <w:b/>
          <w:bCs/>
        </w:rPr>
      </w:pPr>
      <w:r w:rsidRPr="003322E4">
        <w:rPr>
          <w:b/>
          <w:bCs/>
        </w:rPr>
        <w:t>Appendix F, Part 3</w:t>
      </w:r>
    </w:p>
    <w:p w14:paraId="64F7D572" w14:textId="77777777" w:rsidR="00CA52AC" w:rsidRDefault="00CA52AC" w:rsidP="00CA52AC">
      <w:pPr>
        <w:ind w:left="426"/>
        <w:rPr>
          <w:b/>
          <w:bCs/>
        </w:rPr>
      </w:pPr>
      <w:r>
        <w:rPr>
          <w:b/>
          <w:bCs/>
        </w:rPr>
        <w:t>SAFETY DIRECTIONS</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7EBAE9EB"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2C4683C" w14:textId="77777777" w:rsidR="00CA52AC" w:rsidRPr="00022BCD" w:rsidRDefault="00CA52AC" w:rsidP="00A12CDA">
            <w:pPr>
              <w:jc w:val="center"/>
              <w:rPr>
                <w:b w:val="0"/>
                <w:bCs/>
                <w:color w:val="auto"/>
              </w:rPr>
            </w:pPr>
            <w:r w:rsidRPr="00022BCD">
              <w:rPr>
                <w:b w:val="0"/>
                <w:bCs/>
                <w:color w:val="auto"/>
              </w:rPr>
              <w:t>1</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3DF75E7"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Avoid contact with eyes.</w:t>
            </w:r>
          </w:p>
        </w:tc>
      </w:tr>
      <w:tr w:rsidR="00CA52AC" w:rsidRPr="0052709B" w14:paraId="750B9F3D" w14:textId="77777777" w:rsidTr="00A12CDA">
        <w:tc>
          <w:tcPr>
            <w:cnfStyle w:val="001000000000" w:firstRow="0" w:lastRow="0" w:firstColumn="1" w:lastColumn="0" w:oddVBand="0" w:evenVBand="0" w:oddHBand="0" w:evenHBand="0" w:firstRowFirstColumn="0" w:firstRowLastColumn="0" w:lastRowFirstColumn="0" w:lastRowLastColumn="0"/>
            <w:tcW w:w="845" w:type="dxa"/>
            <w:shd w:val="clear" w:color="auto" w:fill="FFFFFF" w:themeFill="background1"/>
          </w:tcPr>
          <w:p w14:paraId="63ACD5C1" w14:textId="77777777" w:rsidR="00CA52AC" w:rsidRPr="00022BCD" w:rsidRDefault="00CA52AC" w:rsidP="00A12CDA">
            <w:pPr>
              <w:jc w:val="center"/>
              <w:rPr>
                <w:bCs/>
              </w:rPr>
            </w:pPr>
            <w:r w:rsidRPr="00022BCD">
              <w:rPr>
                <w:bCs/>
              </w:rPr>
              <w:t>4</w:t>
            </w:r>
          </w:p>
        </w:tc>
        <w:tc>
          <w:tcPr>
            <w:tcW w:w="7779" w:type="dxa"/>
            <w:shd w:val="clear" w:color="auto" w:fill="FFFFFF" w:themeFill="background1"/>
          </w:tcPr>
          <w:p w14:paraId="789130D7" w14:textId="77777777" w:rsidR="00CA52AC" w:rsidRPr="00022BCD" w:rsidRDefault="00CA52AC" w:rsidP="00A12CDA">
            <w:pPr>
              <w:cnfStyle w:val="000000000000" w:firstRow="0" w:lastRow="0" w:firstColumn="0" w:lastColumn="0" w:oddVBand="0" w:evenVBand="0" w:oddHBand="0" w:evenHBand="0" w:firstRowFirstColumn="0" w:firstRowLastColumn="0" w:lastRowFirstColumn="0" w:lastRowLastColumn="0"/>
            </w:pPr>
            <w:r>
              <w:t>Avoid contact with skin.</w:t>
            </w:r>
          </w:p>
        </w:tc>
      </w:tr>
      <w:tr w:rsidR="00CA52AC" w:rsidRPr="0052709B" w14:paraId="75800842" w14:textId="77777777" w:rsidTr="00A12CDA">
        <w:tc>
          <w:tcPr>
            <w:cnfStyle w:val="001000000000" w:firstRow="0" w:lastRow="0" w:firstColumn="1" w:lastColumn="0" w:oddVBand="0" w:evenVBand="0" w:oddHBand="0" w:evenHBand="0" w:firstRowFirstColumn="0" w:firstRowLastColumn="0" w:lastRowFirstColumn="0" w:lastRowLastColumn="0"/>
            <w:tcW w:w="845" w:type="dxa"/>
            <w:shd w:val="clear" w:color="auto" w:fill="FFFFFF" w:themeFill="background1"/>
          </w:tcPr>
          <w:p w14:paraId="59E8E02B" w14:textId="77777777" w:rsidR="00CA52AC" w:rsidRPr="00022BCD" w:rsidRDefault="00CA52AC" w:rsidP="00A12CDA">
            <w:pPr>
              <w:jc w:val="center"/>
              <w:rPr>
                <w:bCs/>
              </w:rPr>
            </w:pPr>
            <w:r w:rsidRPr="00022BCD">
              <w:rPr>
                <w:bCs/>
              </w:rPr>
              <w:t>8</w:t>
            </w:r>
          </w:p>
        </w:tc>
        <w:tc>
          <w:tcPr>
            <w:tcW w:w="7779" w:type="dxa"/>
            <w:shd w:val="clear" w:color="auto" w:fill="FFFFFF" w:themeFill="background1"/>
          </w:tcPr>
          <w:p w14:paraId="55ECB8F2" w14:textId="77777777" w:rsidR="00CA52AC" w:rsidRPr="00022BCD" w:rsidRDefault="00CA52AC" w:rsidP="00A12CDA">
            <w:pPr>
              <w:cnfStyle w:val="000000000000" w:firstRow="0" w:lastRow="0" w:firstColumn="0" w:lastColumn="0" w:oddVBand="0" w:evenVBand="0" w:oddHBand="0" w:evenHBand="0" w:firstRowFirstColumn="0" w:firstRowLastColumn="0" w:lastRowFirstColumn="0" w:lastRowLastColumn="0"/>
            </w:pPr>
            <w:r>
              <w:t>Avoid breathing dust (or) vapour (or) spray mist.</w:t>
            </w:r>
          </w:p>
        </w:tc>
      </w:tr>
    </w:tbl>
    <w:p w14:paraId="4BC9BED7" w14:textId="77777777" w:rsidR="00CA52AC" w:rsidRDefault="00CA52AC" w:rsidP="00CA52AC">
      <w:r>
        <w:t>Chromium trioxide is listed in Schedule 6 of the current Poisons Standard as follows:</w:t>
      </w:r>
    </w:p>
    <w:p w14:paraId="15AB297B" w14:textId="77777777" w:rsidR="00CA52AC" w:rsidRPr="002F1141" w:rsidRDefault="00CA52AC" w:rsidP="00CA52AC">
      <w:pPr>
        <w:ind w:left="426"/>
        <w:rPr>
          <w:b/>
          <w:bCs/>
        </w:rPr>
      </w:pPr>
      <w:r w:rsidRPr="002F1141">
        <w:rPr>
          <w:b/>
          <w:bCs/>
        </w:rPr>
        <w:t>Schedule 6</w:t>
      </w:r>
    </w:p>
    <w:p w14:paraId="62631252" w14:textId="77777777" w:rsidR="00CA52AC" w:rsidRDefault="00CA52AC" w:rsidP="00CA52AC">
      <w:pPr>
        <w:ind w:left="426"/>
      </w:pPr>
      <w:r>
        <w:t>CHROMIUM TRIOXIDE (excluding its salts and derivatives)</w:t>
      </w:r>
    </w:p>
    <w:p w14:paraId="0DC2CE4D" w14:textId="77777777" w:rsidR="00CA52AC" w:rsidRDefault="00CA52AC" w:rsidP="00CA52AC">
      <w:pPr>
        <w:ind w:left="426"/>
        <w:rPr>
          <w:b/>
          <w:bCs/>
        </w:rPr>
      </w:pPr>
      <w:r w:rsidRPr="00AE59FE">
        <w:rPr>
          <w:b/>
          <w:bCs/>
        </w:rPr>
        <w:t xml:space="preserve">Index </w:t>
      </w:r>
    </w:p>
    <w:p w14:paraId="057112C7" w14:textId="77777777" w:rsidR="00CA52AC" w:rsidRPr="00AE59FE" w:rsidRDefault="00CA52AC" w:rsidP="00CA52AC">
      <w:pPr>
        <w:ind w:left="426"/>
      </w:pPr>
      <w:r w:rsidRPr="00AE59FE">
        <w:t>CHROMIUM TRIOXIDE</w:t>
      </w:r>
    </w:p>
    <w:p w14:paraId="5DEA159D" w14:textId="77777777" w:rsidR="00CA52AC" w:rsidRDefault="00CA52AC" w:rsidP="00CA52AC">
      <w:pPr>
        <w:ind w:left="426"/>
      </w:pPr>
      <w:r w:rsidRPr="00AE59FE">
        <w:t>Schedule 6</w:t>
      </w:r>
    </w:p>
    <w:p w14:paraId="784C0026" w14:textId="77777777" w:rsidR="00CA52AC" w:rsidRDefault="00CA52AC" w:rsidP="00CA52AC">
      <w:r>
        <w:t>It is also included under the entry CHROMIUM TRIOXIDE in Appendices E and F as follows:</w:t>
      </w:r>
    </w:p>
    <w:p w14:paraId="16AEA306" w14:textId="77777777" w:rsidR="00CA52AC" w:rsidRDefault="00CA52AC" w:rsidP="00CA52AC">
      <w:pPr>
        <w:ind w:left="426"/>
        <w:rPr>
          <w:b/>
          <w:bCs/>
        </w:rPr>
      </w:pPr>
      <w:r w:rsidRPr="00AE59FE">
        <w:rPr>
          <w:b/>
          <w:bCs/>
        </w:rPr>
        <w:t>Appendix E, Part 2</w:t>
      </w:r>
    </w:p>
    <w:p w14:paraId="44B0E257" w14:textId="77777777" w:rsidR="00CA52AC" w:rsidRDefault="00CA52AC" w:rsidP="00CA52AC">
      <w:pPr>
        <w:ind w:left="426"/>
        <w:rPr>
          <w:b/>
          <w:bCs/>
        </w:rPr>
      </w:pPr>
      <w:r>
        <w:rPr>
          <w:b/>
          <w:bCs/>
        </w:rPr>
        <w:t>STANDARD STATEMENTS</w:t>
      </w:r>
    </w:p>
    <w:p w14:paraId="50E7F02E" w14:textId="77777777" w:rsidR="00CA52AC" w:rsidRDefault="00CA52AC" w:rsidP="00CA52AC">
      <w:pPr>
        <w:ind w:left="426"/>
        <w:rPr>
          <w:b/>
          <w:bCs/>
        </w:rPr>
      </w:pPr>
      <w:r>
        <w:rPr>
          <w:b/>
          <w:bCs/>
        </w:rPr>
        <w:t>Basic</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1DE8CAF0"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CF606F9" w14:textId="77777777" w:rsidR="00CA52AC" w:rsidRPr="0052709B" w:rsidRDefault="00CA52AC" w:rsidP="00A12CDA">
            <w:pPr>
              <w:jc w:val="center"/>
              <w:rPr>
                <w:b w:val="0"/>
                <w:bCs/>
                <w:color w:val="auto"/>
              </w:rPr>
            </w:pPr>
            <w:r>
              <w:rPr>
                <w:b w:val="0"/>
                <w:bCs/>
                <w:color w:val="auto"/>
              </w:rPr>
              <w:t>A</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5767EBC"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For advice, contact a Poisons Information Centre (e.g. phone Australia 13 11 26; New Zealand 0800 764 766) or a doctor (at once).</w:t>
            </w:r>
          </w:p>
        </w:tc>
      </w:tr>
    </w:tbl>
    <w:p w14:paraId="06BE2E76" w14:textId="77777777" w:rsidR="00CA52AC" w:rsidRDefault="00CA52AC" w:rsidP="00CA52AC">
      <w:pPr>
        <w:ind w:left="426"/>
        <w:rPr>
          <w:b/>
          <w:bCs/>
        </w:rPr>
      </w:pPr>
      <w:r>
        <w:rPr>
          <w:b/>
          <w:bCs/>
        </w:rPr>
        <w:t>General</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2957965F"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9090D1A" w14:textId="77777777" w:rsidR="00CA52AC" w:rsidRPr="0052709B" w:rsidRDefault="00CA52AC" w:rsidP="00A12CDA">
            <w:pPr>
              <w:jc w:val="center"/>
              <w:rPr>
                <w:b w:val="0"/>
                <w:bCs/>
                <w:color w:val="auto"/>
              </w:rPr>
            </w:pPr>
            <w:r>
              <w:rPr>
                <w:b w:val="0"/>
                <w:bCs/>
                <w:color w:val="auto"/>
              </w:rPr>
              <w:lastRenderedPageBreak/>
              <w:t>G3</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B488D09"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If swallowed, do NOT induce vomiting.</w:t>
            </w:r>
          </w:p>
        </w:tc>
      </w:tr>
    </w:tbl>
    <w:p w14:paraId="203076FB" w14:textId="77777777" w:rsidR="00CA52AC" w:rsidRDefault="00CA52AC" w:rsidP="00CA52AC">
      <w:pPr>
        <w:ind w:left="426"/>
        <w:rPr>
          <w:b/>
          <w:bCs/>
        </w:rPr>
      </w:pPr>
      <w:r>
        <w:rPr>
          <w:b/>
          <w:bCs/>
        </w:rPr>
        <w:t>Eyes</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5C59A1F2"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E51450F" w14:textId="77777777" w:rsidR="00CA52AC" w:rsidRPr="0052709B" w:rsidRDefault="00CA52AC" w:rsidP="00A12CDA">
            <w:pPr>
              <w:jc w:val="center"/>
              <w:rPr>
                <w:b w:val="0"/>
                <w:bCs/>
                <w:color w:val="auto"/>
              </w:rPr>
            </w:pPr>
            <w:r>
              <w:rPr>
                <w:b w:val="0"/>
                <w:bCs/>
                <w:color w:val="auto"/>
              </w:rPr>
              <w:t>E2</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ED35467"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If in eyes, hold eyelids apart and flush the eye continuously with running water. Continue flushing until advised to stop by a Poisons Information Centre (e.g. phone Australia 13 11 26; New Zealand 0800 764 766) or a doctor, or for at least 15 minutes.</w:t>
            </w:r>
          </w:p>
        </w:tc>
      </w:tr>
    </w:tbl>
    <w:p w14:paraId="75A6B965" w14:textId="77777777" w:rsidR="00CA52AC" w:rsidRDefault="00CA52AC" w:rsidP="00CA52AC">
      <w:pPr>
        <w:ind w:left="426"/>
        <w:rPr>
          <w:b/>
          <w:bCs/>
        </w:rPr>
      </w:pPr>
      <w:r>
        <w:rPr>
          <w:b/>
          <w:bCs/>
        </w:rPr>
        <w:t>Skin</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29570C2C"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8235AE5" w14:textId="77777777" w:rsidR="00CA52AC" w:rsidRPr="0052709B" w:rsidRDefault="00CA52AC" w:rsidP="00A12CDA">
            <w:pPr>
              <w:jc w:val="center"/>
              <w:rPr>
                <w:b w:val="0"/>
                <w:bCs/>
                <w:color w:val="auto"/>
              </w:rPr>
            </w:pPr>
            <w:r>
              <w:rPr>
                <w:b w:val="0"/>
                <w:bCs/>
                <w:color w:val="auto"/>
              </w:rPr>
              <w:t>S1</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F62B8C4"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If skin or hair contact occurs, remove contaminated clothing and flush skin and hair with running water.</w:t>
            </w:r>
          </w:p>
        </w:tc>
      </w:tr>
    </w:tbl>
    <w:p w14:paraId="0B7ACD14" w14:textId="77777777" w:rsidR="00CA52AC" w:rsidRDefault="00CA52AC" w:rsidP="00CA52AC">
      <w:pPr>
        <w:ind w:left="426"/>
        <w:rPr>
          <w:b/>
          <w:bCs/>
        </w:rPr>
      </w:pPr>
      <w:r w:rsidRPr="003322E4">
        <w:rPr>
          <w:b/>
          <w:bCs/>
        </w:rPr>
        <w:t>Appendix F, Part 3</w:t>
      </w:r>
    </w:p>
    <w:p w14:paraId="011A2A9F" w14:textId="77777777" w:rsidR="00CA52AC" w:rsidRDefault="00CA52AC" w:rsidP="00CA52AC">
      <w:pPr>
        <w:ind w:left="426"/>
        <w:rPr>
          <w:b/>
          <w:bCs/>
        </w:rPr>
      </w:pPr>
      <w:r>
        <w:rPr>
          <w:b/>
          <w:bCs/>
        </w:rPr>
        <w:t>WARNING STATEMEMTS</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11FDDEBD"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3E1CBA2" w14:textId="77777777" w:rsidR="00CA52AC" w:rsidRPr="00022BCD" w:rsidRDefault="00CA52AC" w:rsidP="00A12CDA">
            <w:pPr>
              <w:jc w:val="center"/>
              <w:rPr>
                <w:b w:val="0"/>
                <w:bCs/>
                <w:color w:val="auto"/>
              </w:rPr>
            </w:pPr>
            <w:r>
              <w:rPr>
                <w:b w:val="0"/>
                <w:bCs/>
                <w:color w:val="auto"/>
              </w:rPr>
              <w:t>2</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84DF6B1"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Corrosive.</w:t>
            </w:r>
          </w:p>
        </w:tc>
      </w:tr>
      <w:tr w:rsidR="00CA52AC" w:rsidRPr="0052709B" w14:paraId="6F065A81" w14:textId="77777777" w:rsidTr="00A12CDA">
        <w:tc>
          <w:tcPr>
            <w:cnfStyle w:val="001000000000" w:firstRow="0" w:lastRow="0" w:firstColumn="1" w:lastColumn="0" w:oddVBand="0" w:evenVBand="0" w:oddHBand="0" w:evenHBand="0" w:firstRowFirstColumn="0" w:firstRowLastColumn="0" w:lastRowFirstColumn="0" w:lastRowLastColumn="0"/>
            <w:tcW w:w="845" w:type="dxa"/>
            <w:shd w:val="clear" w:color="auto" w:fill="FFFFFF" w:themeFill="background1"/>
          </w:tcPr>
          <w:p w14:paraId="5356A47E" w14:textId="77777777" w:rsidR="00CA52AC" w:rsidRPr="00022BCD" w:rsidRDefault="00CA52AC" w:rsidP="00A12CDA">
            <w:pPr>
              <w:jc w:val="center"/>
              <w:rPr>
                <w:bCs/>
              </w:rPr>
            </w:pPr>
            <w:r>
              <w:rPr>
                <w:bCs/>
              </w:rPr>
              <w:t>1</w:t>
            </w:r>
            <w:r w:rsidRPr="00022BCD">
              <w:rPr>
                <w:bCs/>
              </w:rPr>
              <w:t>4</w:t>
            </w:r>
          </w:p>
        </w:tc>
        <w:tc>
          <w:tcPr>
            <w:tcW w:w="7779" w:type="dxa"/>
            <w:shd w:val="clear" w:color="auto" w:fill="FFFFFF" w:themeFill="background1"/>
          </w:tcPr>
          <w:p w14:paraId="3DF15994" w14:textId="77777777" w:rsidR="00CA52AC" w:rsidRPr="00022BCD" w:rsidRDefault="00CA52AC" w:rsidP="00A12CDA">
            <w:pPr>
              <w:cnfStyle w:val="000000000000" w:firstRow="0" w:lastRow="0" w:firstColumn="0" w:lastColumn="0" w:oddVBand="0" w:evenVBand="0" w:oddHBand="0" w:evenHBand="0" w:firstRowFirstColumn="0" w:firstRowLastColumn="0" w:lastRowFirstColumn="0" w:lastRowLastColumn="0"/>
            </w:pPr>
            <w:r>
              <w:t xml:space="preserve">Dust will irritate and burn eyes, </w:t>
            </w:r>
            <w:proofErr w:type="gramStart"/>
            <w:r>
              <w:t>nose</w:t>
            </w:r>
            <w:proofErr w:type="gramEnd"/>
            <w:r>
              <w:t xml:space="preserve"> and skin.</w:t>
            </w:r>
          </w:p>
        </w:tc>
      </w:tr>
      <w:tr w:rsidR="00CA52AC" w:rsidRPr="0052709B" w14:paraId="35141CB1" w14:textId="77777777" w:rsidTr="00A12CDA">
        <w:tc>
          <w:tcPr>
            <w:cnfStyle w:val="001000000000" w:firstRow="0" w:lastRow="0" w:firstColumn="1" w:lastColumn="0" w:oddVBand="0" w:evenVBand="0" w:oddHBand="0" w:evenHBand="0" w:firstRowFirstColumn="0" w:firstRowLastColumn="0" w:lastRowFirstColumn="0" w:lastRowLastColumn="0"/>
            <w:tcW w:w="845" w:type="dxa"/>
            <w:shd w:val="clear" w:color="auto" w:fill="FFFFFF" w:themeFill="background1"/>
          </w:tcPr>
          <w:p w14:paraId="61CAFB9A" w14:textId="77777777" w:rsidR="00CA52AC" w:rsidRPr="00022BCD" w:rsidRDefault="00CA52AC" w:rsidP="00A12CDA">
            <w:pPr>
              <w:jc w:val="center"/>
              <w:rPr>
                <w:bCs/>
              </w:rPr>
            </w:pPr>
            <w:r>
              <w:rPr>
                <w:bCs/>
              </w:rPr>
              <w:t>15</w:t>
            </w:r>
          </w:p>
        </w:tc>
        <w:tc>
          <w:tcPr>
            <w:tcW w:w="7779" w:type="dxa"/>
            <w:shd w:val="clear" w:color="auto" w:fill="FFFFFF" w:themeFill="background1"/>
          </w:tcPr>
          <w:p w14:paraId="43231CC9" w14:textId="77777777" w:rsidR="00CA52AC" w:rsidRPr="00022BCD" w:rsidRDefault="00CA52AC" w:rsidP="00A12CDA">
            <w:pPr>
              <w:cnfStyle w:val="000000000000" w:firstRow="0" w:lastRow="0" w:firstColumn="0" w:lastColumn="0" w:oddVBand="0" w:evenVBand="0" w:oddHBand="0" w:evenHBand="0" w:firstRowFirstColumn="0" w:firstRowLastColumn="0" w:lastRowFirstColumn="0" w:lastRowLastColumn="0"/>
            </w:pPr>
            <w:r>
              <w:t>Liquid will cause burns.</w:t>
            </w:r>
          </w:p>
        </w:tc>
      </w:tr>
      <w:tr w:rsidR="00CA52AC" w:rsidRPr="0052709B" w14:paraId="6633ADCB" w14:textId="77777777" w:rsidTr="00A12CDA">
        <w:tc>
          <w:tcPr>
            <w:cnfStyle w:val="001000000000" w:firstRow="0" w:lastRow="0" w:firstColumn="1" w:lastColumn="0" w:oddVBand="0" w:evenVBand="0" w:oddHBand="0" w:evenHBand="0" w:firstRowFirstColumn="0" w:firstRowLastColumn="0" w:lastRowFirstColumn="0" w:lastRowLastColumn="0"/>
            <w:tcW w:w="845" w:type="dxa"/>
            <w:shd w:val="clear" w:color="auto" w:fill="FFFFFF" w:themeFill="background1"/>
          </w:tcPr>
          <w:p w14:paraId="5F9D8BB0" w14:textId="77777777" w:rsidR="00CA52AC" w:rsidRPr="00022BCD" w:rsidRDefault="00CA52AC" w:rsidP="00A12CDA">
            <w:pPr>
              <w:jc w:val="center"/>
              <w:rPr>
                <w:bCs/>
              </w:rPr>
            </w:pPr>
            <w:r>
              <w:rPr>
                <w:bCs/>
              </w:rPr>
              <w:t>23</w:t>
            </w:r>
          </w:p>
        </w:tc>
        <w:tc>
          <w:tcPr>
            <w:tcW w:w="7779" w:type="dxa"/>
            <w:shd w:val="clear" w:color="auto" w:fill="FFFFFF" w:themeFill="background1"/>
          </w:tcPr>
          <w:p w14:paraId="3A04D387" w14:textId="77777777" w:rsidR="00CA52AC" w:rsidRPr="00022BCD" w:rsidRDefault="00CA52AC" w:rsidP="00A12CDA">
            <w:pPr>
              <w:cnfStyle w:val="000000000000" w:firstRow="0" w:lastRow="0" w:firstColumn="0" w:lastColumn="0" w:oddVBand="0" w:evenVBand="0" w:oddHBand="0" w:evenHBand="0" w:firstRowFirstColumn="0" w:firstRowLastColumn="0" w:lastRowFirstColumn="0" w:lastRowLastColumn="0"/>
            </w:pPr>
            <w:r>
              <w:t>May cause fire or explosion.</w:t>
            </w:r>
          </w:p>
        </w:tc>
      </w:tr>
    </w:tbl>
    <w:p w14:paraId="679F3716" w14:textId="77777777" w:rsidR="00CA52AC" w:rsidRDefault="00CA52AC" w:rsidP="00CA52AC">
      <w:pPr>
        <w:ind w:left="426"/>
        <w:rPr>
          <w:b/>
          <w:bCs/>
        </w:rPr>
      </w:pPr>
      <w:r>
        <w:rPr>
          <w:b/>
          <w:bCs/>
        </w:rPr>
        <w:t>SAFETY DIRECTIONS</w:t>
      </w:r>
    </w:p>
    <w:tbl>
      <w:tblPr>
        <w:tblStyle w:val="TableTGAblue"/>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5"/>
        <w:gridCol w:w="7779"/>
      </w:tblGrid>
      <w:tr w:rsidR="00CA52AC" w:rsidRPr="0052709B" w14:paraId="204A76D6" w14:textId="77777777" w:rsidTr="00A12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21127DF" w14:textId="77777777" w:rsidR="00CA52AC" w:rsidRPr="00022BCD" w:rsidRDefault="00CA52AC" w:rsidP="00A12CDA">
            <w:pPr>
              <w:jc w:val="center"/>
              <w:rPr>
                <w:b w:val="0"/>
                <w:bCs/>
                <w:color w:val="auto"/>
              </w:rPr>
            </w:pPr>
            <w:r w:rsidRPr="00022BCD">
              <w:rPr>
                <w:b w:val="0"/>
                <w:bCs/>
                <w:color w:val="auto"/>
              </w:rPr>
              <w:t>1</w:t>
            </w:r>
          </w:p>
        </w:tc>
        <w:tc>
          <w:tcPr>
            <w:tcW w:w="77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73390E5" w14:textId="77777777" w:rsidR="00CA52AC" w:rsidRPr="0052709B" w:rsidRDefault="00CA52AC" w:rsidP="00A12CDA">
            <w:pPr>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Avoid contact with eyes.</w:t>
            </w:r>
          </w:p>
        </w:tc>
      </w:tr>
      <w:tr w:rsidR="00CA52AC" w:rsidRPr="0052709B" w14:paraId="36A65767" w14:textId="77777777" w:rsidTr="00A12CDA">
        <w:tc>
          <w:tcPr>
            <w:cnfStyle w:val="001000000000" w:firstRow="0" w:lastRow="0" w:firstColumn="1" w:lastColumn="0" w:oddVBand="0" w:evenVBand="0" w:oddHBand="0" w:evenHBand="0" w:firstRowFirstColumn="0" w:firstRowLastColumn="0" w:lastRowFirstColumn="0" w:lastRowLastColumn="0"/>
            <w:tcW w:w="845" w:type="dxa"/>
            <w:shd w:val="clear" w:color="auto" w:fill="FFFFFF" w:themeFill="background1"/>
          </w:tcPr>
          <w:p w14:paraId="63BDBAD2" w14:textId="77777777" w:rsidR="00CA52AC" w:rsidRPr="00022BCD" w:rsidRDefault="00CA52AC" w:rsidP="00A12CDA">
            <w:pPr>
              <w:jc w:val="center"/>
              <w:rPr>
                <w:bCs/>
              </w:rPr>
            </w:pPr>
            <w:r w:rsidRPr="00022BCD">
              <w:rPr>
                <w:bCs/>
              </w:rPr>
              <w:t>4</w:t>
            </w:r>
          </w:p>
        </w:tc>
        <w:tc>
          <w:tcPr>
            <w:tcW w:w="7779" w:type="dxa"/>
            <w:shd w:val="clear" w:color="auto" w:fill="FFFFFF" w:themeFill="background1"/>
          </w:tcPr>
          <w:p w14:paraId="00B4E448" w14:textId="77777777" w:rsidR="00CA52AC" w:rsidRPr="00022BCD" w:rsidRDefault="00CA52AC" w:rsidP="00A12CDA">
            <w:pPr>
              <w:cnfStyle w:val="000000000000" w:firstRow="0" w:lastRow="0" w:firstColumn="0" w:lastColumn="0" w:oddVBand="0" w:evenVBand="0" w:oddHBand="0" w:evenHBand="0" w:firstRowFirstColumn="0" w:firstRowLastColumn="0" w:lastRowFirstColumn="0" w:lastRowLastColumn="0"/>
            </w:pPr>
            <w:r>
              <w:t>Avoid contact with skin.</w:t>
            </w:r>
          </w:p>
        </w:tc>
      </w:tr>
      <w:tr w:rsidR="00CA52AC" w:rsidRPr="0052709B" w14:paraId="37654F97" w14:textId="77777777" w:rsidTr="00A12CDA">
        <w:tc>
          <w:tcPr>
            <w:cnfStyle w:val="001000000000" w:firstRow="0" w:lastRow="0" w:firstColumn="1" w:lastColumn="0" w:oddVBand="0" w:evenVBand="0" w:oddHBand="0" w:evenHBand="0" w:firstRowFirstColumn="0" w:firstRowLastColumn="0" w:lastRowFirstColumn="0" w:lastRowLastColumn="0"/>
            <w:tcW w:w="845" w:type="dxa"/>
            <w:shd w:val="clear" w:color="auto" w:fill="FFFFFF" w:themeFill="background1"/>
          </w:tcPr>
          <w:p w14:paraId="2673DB92" w14:textId="77777777" w:rsidR="00CA52AC" w:rsidRPr="00022BCD" w:rsidRDefault="00CA52AC" w:rsidP="00A12CDA">
            <w:pPr>
              <w:jc w:val="center"/>
              <w:rPr>
                <w:bCs/>
              </w:rPr>
            </w:pPr>
            <w:r w:rsidRPr="00022BCD">
              <w:rPr>
                <w:bCs/>
              </w:rPr>
              <w:t>8</w:t>
            </w:r>
          </w:p>
        </w:tc>
        <w:tc>
          <w:tcPr>
            <w:tcW w:w="7779" w:type="dxa"/>
            <w:shd w:val="clear" w:color="auto" w:fill="FFFFFF" w:themeFill="background1"/>
          </w:tcPr>
          <w:p w14:paraId="45BB241D" w14:textId="77777777" w:rsidR="00CA52AC" w:rsidRPr="00022BCD" w:rsidRDefault="00CA52AC" w:rsidP="00A12CDA">
            <w:pPr>
              <w:cnfStyle w:val="000000000000" w:firstRow="0" w:lastRow="0" w:firstColumn="0" w:lastColumn="0" w:oddVBand="0" w:evenVBand="0" w:oddHBand="0" w:evenHBand="0" w:firstRowFirstColumn="0" w:firstRowLastColumn="0" w:lastRowFirstColumn="0" w:lastRowLastColumn="0"/>
            </w:pPr>
            <w:r>
              <w:t>Avoid breathing dust (or) vapour (or) spray mist.</w:t>
            </w:r>
          </w:p>
        </w:tc>
      </w:tr>
      <w:tr w:rsidR="00CA52AC" w:rsidRPr="0052709B" w14:paraId="20ED246B" w14:textId="77777777" w:rsidTr="00A12CDA">
        <w:tc>
          <w:tcPr>
            <w:cnfStyle w:val="001000000000" w:firstRow="0" w:lastRow="0" w:firstColumn="1" w:lastColumn="0" w:oddVBand="0" w:evenVBand="0" w:oddHBand="0" w:evenHBand="0" w:firstRowFirstColumn="0" w:firstRowLastColumn="0" w:lastRowFirstColumn="0" w:lastRowLastColumn="0"/>
            <w:tcW w:w="845" w:type="dxa"/>
            <w:shd w:val="clear" w:color="auto" w:fill="FFFFFF" w:themeFill="background1"/>
          </w:tcPr>
          <w:p w14:paraId="44AB32A4" w14:textId="77777777" w:rsidR="00CA52AC" w:rsidRPr="00022BCD" w:rsidRDefault="00CA52AC" w:rsidP="00A12CDA">
            <w:pPr>
              <w:jc w:val="center"/>
              <w:rPr>
                <w:bCs/>
              </w:rPr>
            </w:pPr>
            <w:r>
              <w:rPr>
                <w:bCs/>
              </w:rPr>
              <w:t>13</w:t>
            </w:r>
          </w:p>
        </w:tc>
        <w:tc>
          <w:tcPr>
            <w:tcW w:w="7779" w:type="dxa"/>
            <w:shd w:val="clear" w:color="auto" w:fill="FFFFFF" w:themeFill="background1"/>
          </w:tcPr>
          <w:p w14:paraId="76C28ECC" w14:textId="77777777" w:rsidR="00CA52AC" w:rsidRDefault="00CA52AC" w:rsidP="00A12CDA">
            <w:pPr>
              <w:cnfStyle w:val="000000000000" w:firstRow="0" w:lastRow="0" w:firstColumn="0" w:lastColumn="0" w:oddVBand="0" w:evenVBand="0" w:oddHBand="0" w:evenHBand="0" w:firstRowFirstColumn="0" w:firstRowLastColumn="0" w:lastRowFirstColumn="0" w:lastRowLastColumn="0"/>
            </w:pPr>
            <w:r>
              <w:t xml:space="preserve">Do not allow product to </w:t>
            </w:r>
            <w:proofErr w:type="gramStart"/>
            <w:r>
              <w:t>come into contact with</w:t>
            </w:r>
            <w:proofErr w:type="gramEnd"/>
            <w:r>
              <w:t xml:space="preserve"> combustible materials such as paper, fabric, sawdust or kerosene.</w:t>
            </w:r>
          </w:p>
        </w:tc>
      </w:tr>
    </w:tbl>
    <w:p w14:paraId="449ADD89" w14:textId="77777777" w:rsidR="00CA52AC" w:rsidRDefault="00CA52AC" w:rsidP="00CA52AC">
      <w:pPr>
        <w:pStyle w:val="Heading4"/>
      </w:pPr>
      <w:bookmarkStart w:id="38" w:name="_Toc81903314"/>
      <w:r>
        <w:t>Proposed scheduling</w:t>
      </w:r>
      <w:bookmarkEnd w:id="38"/>
      <w:r>
        <w:t xml:space="preserve"> </w:t>
      </w:r>
    </w:p>
    <w:p w14:paraId="0431A13F" w14:textId="77A95573" w:rsidR="00CA52AC" w:rsidRDefault="00CA52AC" w:rsidP="00CA52AC">
      <w:pPr>
        <w:ind w:left="426"/>
        <w:rPr>
          <w:b/>
          <w:bCs/>
        </w:rPr>
      </w:pPr>
      <w:r>
        <w:rPr>
          <w:b/>
          <w:bCs/>
        </w:rPr>
        <w:t>Schedule 6 – Amend Entr</w:t>
      </w:r>
      <w:r w:rsidR="002F144E">
        <w:rPr>
          <w:b/>
          <w:bCs/>
        </w:rPr>
        <w:t>ies</w:t>
      </w:r>
    </w:p>
    <w:p w14:paraId="7F03A482" w14:textId="77777777" w:rsidR="00CA52AC" w:rsidRDefault="00CA52AC" w:rsidP="00CA52AC">
      <w:pPr>
        <w:ind w:left="426"/>
        <w:rPr>
          <w:b/>
          <w:bCs/>
        </w:rPr>
      </w:pPr>
      <w:r>
        <w:t>CHROMATE</w:t>
      </w:r>
      <w:r w:rsidRPr="00646866">
        <w:t>S (</w:t>
      </w:r>
      <w:r>
        <w:t xml:space="preserve">including </w:t>
      </w:r>
      <w:proofErr w:type="spellStart"/>
      <w:r>
        <w:t>dichromates</w:t>
      </w:r>
      <w:proofErr w:type="spellEnd"/>
      <w:r>
        <w:t>)</w:t>
      </w:r>
      <w:r w:rsidRPr="00646866">
        <w:t xml:space="preserve"> </w:t>
      </w:r>
      <w:r w:rsidRPr="00646866">
        <w:rPr>
          <w:b/>
          <w:bCs/>
        </w:rPr>
        <w:t>except</w:t>
      </w:r>
      <w:r w:rsidRPr="002F144E">
        <w:rPr>
          <w:color w:val="00B050"/>
        </w:rPr>
        <w:t>:</w:t>
      </w:r>
    </w:p>
    <w:p w14:paraId="49CAF906" w14:textId="77777777" w:rsidR="00CA52AC" w:rsidRDefault="00CA52AC" w:rsidP="00BD7E45">
      <w:pPr>
        <w:pStyle w:val="Numberbullet2a"/>
        <w:numPr>
          <w:ilvl w:val="0"/>
          <w:numId w:val="33"/>
        </w:numPr>
      </w:pPr>
      <w:r>
        <w:t xml:space="preserve">in paints or tinters containing 5 per cent or less of chromium as the ammonium, barium, calcium, iron, potassium, sodium, </w:t>
      </w:r>
      <w:proofErr w:type="gramStart"/>
      <w:r>
        <w:t>strontium</w:t>
      </w:r>
      <w:proofErr w:type="gramEnd"/>
      <w:r>
        <w:t xml:space="preserve"> or zinc chromate calculated on the non-volatile content of the paint or tinter; or</w:t>
      </w:r>
    </w:p>
    <w:p w14:paraId="0AC0474E" w14:textId="77777777" w:rsidR="00CA52AC" w:rsidRDefault="00CA52AC" w:rsidP="00CA52AC">
      <w:pPr>
        <w:pStyle w:val="ListBulleta"/>
        <w:rPr>
          <w:color w:val="00B050"/>
        </w:rPr>
      </w:pPr>
      <w:r w:rsidRPr="00C74831">
        <w:rPr>
          <w:color w:val="00B050"/>
        </w:rPr>
        <w:t>in treatment layers of coated metal articles where the proportion of chromates does not exceed 0.1% w/w of the article.</w:t>
      </w:r>
    </w:p>
    <w:p w14:paraId="0D7C32F0" w14:textId="2D5CC6F9" w:rsidR="00CA52AC" w:rsidRDefault="00CA52AC" w:rsidP="00CA52AC">
      <w:pPr>
        <w:pStyle w:val="ListBulleta"/>
        <w:numPr>
          <w:ilvl w:val="0"/>
          <w:numId w:val="0"/>
        </w:numPr>
        <w:ind w:left="426"/>
        <w:rPr>
          <w:rFonts w:ascii="Cambria" w:hAnsi="Cambria"/>
          <w:color w:val="00B050"/>
        </w:rPr>
      </w:pPr>
      <w:r>
        <w:rPr>
          <w:rFonts w:ascii="Cambria" w:hAnsi="Cambria"/>
        </w:rPr>
        <w:lastRenderedPageBreak/>
        <w:t xml:space="preserve">CHROMIUM TRIOXIDE (excluding its salts and derivatives) </w:t>
      </w:r>
      <w:r>
        <w:rPr>
          <w:rFonts w:ascii="Cambria" w:hAnsi="Cambria"/>
          <w:b/>
          <w:bCs/>
          <w:color w:val="00B050"/>
        </w:rPr>
        <w:t xml:space="preserve">except </w:t>
      </w:r>
      <w:r>
        <w:rPr>
          <w:rFonts w:ascii="Cambria" w:hAnsi="Cambria"/>
          <w:color w:val="00B050"/>
        </w:rPr>
        <w:t>in treatment layers of coated metal articles where the proportion of chromates does not exceed 0.1% w/w of the article.</w:t>
      </w:r>
    </w:p>
    <w:p w14:paraId="5B4A00EB" w14:textId="1874723D" w:rsidR="00DF6ADC" w:rsidRPr="00C74831" w:rsidRDefault="00DF6ADC" w:rsidP="00CA52AC">
      <w:pPr>
        <w:pStyle w:val="ListBulleta"/>
        <w:numPr>
          <w:ilvl w:val="0"/>
          <w:numId w:val="0"/>
        </w:numPr>
        <w:ind w:left="426"/>
        <w:rPr>
          <w:rFonts w:ascii="Cambria" w:hAnsi="Cambria"/>
          <w:color w:val="00B050"/>
        </w:rPr>
      </w:pPr>
      <w:r>
        <w:rPr>
          <w:rFonts w:ascii="Cambria" w:hAnsi="Cambria"/>
        </w:rPr>
        <w:t xml:space="preserve">The proposal does not include any changes to the existing entries for these substances in Appendix E, Appendix </w:t>
      </w:r>
      <w:proofErr w:type="gramStart"/>
      <w:r>
        <w:rPr>
          <w:rFonts w:ascii="Cambria" w:hAnsi="Cambria"/>
        </w:rPr>
        <w:t>F</w:t>
      </w:r>
      <w:proofErr w:type="gramEnd"/>
      <w:r>
        <w:rPr>
          <w:rFonts w:ascii="Cambria" w:hAnsi="Cambria"/>
        </w:rPr>
        <w:t xml:space="preserve"> or the index.</w:t>
      </w:r>
    </w:p>
    <w:p w14:paraId="70BACC1E" w14:textId="77777777" w:rsidR="00CA52AC" w:rsidRDefault="00CA52AC" w:rsidP="00CA52AC">
      <w:pPr>
        <w:pStyle w:val="Heading4"/>
      </w:pPr>
      <w:bookmarkStart w:id="39" w:name="_Toc81903315"/>
      <w:r>
        <w:t>Key uses / expected use</w:t>
      </w:r>
      <w:bookmarkEnd w:id="39"/>
    </w:p>
    <w:p w14:paraId="49359E2C" w14:textId="77777777" w:rsidR="00CA52AC" w:rsidRDefault="00CA52AC" w:rsidP="00CA52AC">
      <w:r>
        <w:t>I</w:t>
      </w:r>
      <w:r w:rsidRPr="005E5528">
        <w:t>ndustrial use</w:t>
      </w:r>
    </w:p>
    <w:p w14:paraId="2901E0D1" w14:textId="77777777" w:rsidR="00CA52AC" w:rsidRDefault="00CA52AC" w:rsidP="00CA52AC">
      <w:pPr>
        <w:pStyle w:val="Heading4"/>
      </w:pPr>
      <w:bookmarkStart w:id="40" w:name="_Toc81903316"/>
      <w:r>
        <w:t>Application summary - reasons for proposal</w:t>
      </w:r>
      <w:bookmarkEnd w:id="40"/>
    </w:p>
    <w:p w14:paraId="481A7BCE" w14:textId="77777777" w:rsidR="00CA52AC" w:rsidRDefault="00CA52AC" w:rsidP="00CA52AC">
      <w:pPr>
        <w:pStyle w:val="ListBullet"/>
      </w:pPr>
      <w:r>
        <w:t>Chromium (VI) compounds are used in the treatment layers of pre-painted metal articles. These treatment layers do not currently meet the exception under the Schedule 6 entry for chromates. The treatment layers are very thin, and the resulting proportion of chromates is less than 0.1% w/w of the article.</w:t>
      </w:r>
    </w:p>
    <w:p w14:paraId="3B0C6B6C" w14:textId="7CD6E908" w:rsidR="00CA52AC" w:rsidRDefault="00CA52AC" w:rsidP="00CA52AC">
      <w:pPr>
        <w:pStyle w:val="ListBullet"/>
      </w:pPr>
      <w:r>
        <w:t>In galvanised metal articles chromium (VI) compounds are reacted to form a conversion coating, which is not considered a ‘paint’. This coating is very thin, and the resulting proportion of chromates is less tha</w:t>
      </w:r>
      <w:r w:rsidR="00E8615E">
        <w:t xml:space="preserve">n </w:t>
      </w:r>
      <w:r>
        <w:t>0.1% w/w of the article.</w:t>
      </w:r>
    </w:p>
    <w:p w14:paraId="6681E30D" w14:textId="77777777" w:rsidR="00CA52AC" w:rsidRDefault="00CA52AC" w:rsidP="00CA52AC">
      <w:pPr>
        <w:pStyle w:val="ListBullet"/>
      </w:pPr>
      <w:r>
        <w:t xml:space="preserve">Chromium (VI) compounds in a treatment layer are either subsequently over-coated with paint or are chemically bound to the metal surface during the manufacturing process. </w:t>
      </w:r>
    </w:p>
    <w:p w14:paraId="1FF05B3E" w14:textId="77777777" w:rsidR="00CA52AC" w:rsidRDefault="00CA52AC" w:rsidP="00CA52AC">
      <w:pPr>
        <w:pStyle w:val="ListBullet"/>
      </w:pPr>
      <w:r>
        <w:t>Substantial levels of chromium (VI) compounds are unlikely to be released from the treatment layer of a coated metal article during the recommended and normal patterns of installation and use. As a result, the exposure of human handlers to chromium (VI) compounds during installation and use is expected to be no greater than that currently allowed for exception to scheduling.</w:t>
      </w:r>
    </w:p>
    <w:p w14:paraId="62E9141E" w14:textId="77777777" w:rsidR="00CA52AC" w:rsidRDefault="00CA52AC" w:rsidP="00CA52AC">
      <w:pPr>
        <w:pStyle w:val="ListBullet"/>
      </w:pPr>
      <w:r>
        <w:t>The proposed threshold value of 0.1% w/w is aligned with both the most sensitive cut-off values for the classification of mixtures under the Globally Harmonized System of Classification and Labelling of Chemicals (GHS 2017) and the European Chemicals Agency Guidance (ECHA) on requirements for substances in articles.</w:t>
      </w:r>
    </w:p>
    <w:p w14:paraId="22B59E63" w14:textId="2DA46A4A" w:rsidR="00CA52AC" w:rsidRDefault="00CA52AC" w:rsidP="00CA52AC">
      <w:pPr>
        <w:pStyle w:val="ListBullet"/>
      </w:pPr>
      <w:r>
        <w:t>The current Schedule 6 packaging and labelling requirements are misaligned for coated metal articles.</w:t>
      </w:r>
    </w:p>
    <w:p w14:paraId="178E586D" w14:textId="2A67F7FB" w:rsidR="00947DF8" w:rsidRPr="00C23429" w:rsidRDefault="00947DF8" w:rsidP="00CA52AC">
      <w:pPr>
        <w:pStyle w:val="ListBullet"/>
      </w:pPr>
      <w:r w:rsidRPr="00F3790D">
        <w:t>The previously considered toxicity of chromium (VI) compounds remains unchanged.</w:t>
      </w:r>
    </w:p>
    <w:p w14:paraId="2C8A0D7D" w14:textId="77777777" w:rsidR="00CA52AC" w:rsidRDefault="00CA52AC" w:rsidP="00CA52AC">
      <w:pPr>
        <w:pStyle w:val="Heading4"/>
      </w:pPr>
      <w:bookmarkStart w:id="41" w:name="_Toc81903317"/>
      <w:r w:rsidRPr="00DC5AE0">
        <w:t xml:space="preserve">Australian </w:t>
      </w:r>
      <w:r>
        <w:t>regulations</w:t>
      </w:r>
      <w:bookmarkEnd w:id="41"/>
      <w:r w:rsidRPr="00DC5AE0">
        <w:t xml:space="preserve"> </w:t>
      </w:r>
    </w:p>
    <w:p w14:paraId="47343FDD" w14:textId="13764D6E" w:rsidR="00CA52AC" w:rsidRDefault="00CA52AC" w:rsidP="00CA52AC">
      <w:pPr>
        <w:pStyle w:val="ListBullet"/>
        <w:numPr>
          <w:ilvl w:val="0"/>
          <w:numId w:val="0"/>
        </w:numPr>
        <w:ind w:left="360" w:hanging="360"/>
      </w:pPr>
      <w:r>
        <w:t>As of August 2021</w:t>
      </w:r>
      <w:r w:rsidR="00AF61B9">
        <w:t>:</w:t>
      </w:r>
    </w:p>
    <w:p w14:paraId="3A82D7C1" w14:textId="77777777" w:rsidR="00CA52AC" w:rsidRPr="00383CE3" w:rsidRDefault="00CA52AC" w:rsidP="00CA52AC">
      <w:pPr>
        <w:pStyle w:val="ListBullet"/>
        <w:numPr>
          <w:ilvl w:val="0"/>
          <w:numId w:val="1"/>
        </w:numPr>
      </w:pPr>
      <w:r>
        <w:t xml:space="preserve">Chromates and chromium trioxide are not included in the </w:t>
      </w:r>
      <w:hyperlink r:id="rId42" w:history="1">
        <w:r w:rsidRPr="00C66C5E">
          <w:rPr>
            <w:rStyle w:val="Hyperlink"/>
          </w:rPr>
          <w:t xml:space="preserve">TGA </w:t>
        </w:r>
        <w:r>
          <w:rPr>
            <w:rStyle w:val="Hyperlink"/>
          </w:rPr>
          <w:t xml:space="preserve">Ingredient </w:t>
        </w:r>
        <w:r w:rsidRPr="00C66C5E">
          <w:rPr>
            <w:rStyle w:val="Hyperlink"/>
          </w:rPr>
          <w:t>Database</w:t>
        </w:r>
      </w:hyperlink>
      <w:r>
        <w:rPr>
          <w:rStyle w:val="FootnoteReference"/>
        </w:rPr>
        <w:footnoteReference w:id="28"/>
      </w:r>
      <w:r w:rsidRPr="002A2397">
        <w:rPr>
          <w:rStyle w:val="Hyperlink"/>
          <w:color w:val="auto"/>
          <w:u w:val="none"/>
        </w:rPr>
        <w:t>.</w:t>
      </w:r>
    </w:p>
    <w:p w14:paraId="489BD21E" w14:textId="4B4DA5A7" w:rsidR="00CA52AC" w:rsidRPr="00FD6272" w:rsidRDefault="00CA52AC" w:rsidP="00CA52AC">
      <w:pPr>
        <w:pStyle w:val="ListBullet"/>
        <w:numPr>
          <w:ilvl w:val="0"/>
          <w:numId w:val="1"/>
        </w:numPr>
        <w:rPr>
          <w:i/>
          <w:color w:val="002C47" w:themeColor="text2"/>
        </w:rPr>
      </w:pPr>
      <w:r>
        <w:t>There are no products i</w:t>
      </w:r>
      <w:r w:rsidRPr="00881DFE">
        <w:t xml:space="preserve">n the </w:t>
      </w:r>
      <w:hyperlink r:id="rId43" w:history="1">
        <w:r w:rsidRPr="00293CCA">
          <w:rPr>
            <w:rStyle w:val="Hyperlink"/>
          </w:rPr>
          <w:t>Australian Register of Therapeutic Goods (ARTG)</w:t>
        </w:r>
      </w:hyperlink>
      <w:r>
        <w:rPr>
          <w:rStyle w:val="FootnoteReference"/>
        </w:rPr>
        <w:footnoteReference w:id="29"/>
      </w:r>
      <w:r>
        <w:t xml:space="preserve"> that contain</w:t>
      </w:r>
      <w:r w:rsidRPr="00881DFE">
        <w:t xml:space="preserve"> </w:t>
      </w:r>
      <w:r>
        <w:t>chromium trioxide</w:t>
      </w:r>
      <w:r w:rsidR="00DF6ADC">
        <w:t xml:space="preserve"> or the chromates specified in the application</w:t>
      </w:r>
      <w:r>
        <w:t>.</w:t>
      </w:r>
    </w:p>
    <w:p w14:paraId="1CD89BEC" w14:textId="77777777" w:rsidR="00CA52AC" w:rsidRDefault="00CA52AC" w:rsidP="00CA52AC">
      <w:pPr>
        <w:pStyle w:val="ListBullet"/>
        <w:numPr>
          <w:ilvl w:val="0"/>
          <w:numId w:val="1"/>
        </w:numPr>
      </w:pPr>
      <w:r>
        <w:lastRenderedPageBreak/>
        <w:t>Chromates and chromium trioxide are</w:t>
      </w:r>
      <w:r w:rsidRPr="009C55D5">
        <w:t xml:space="preserve"> not permitted to be included in listed medicines </w:t>
      </w:r>
      <w:r>
        <w:t xml:space="preserve">as they are not included in the </w:t>
      </w:r>
      <w:hyperlink r:id="rId44" w:history="1">
        <w:r w:rsidRPr="00824CAC">
          <w:rPr>
            <w:rStyle w:val="Hyperlink"/>
          </w:rPr>
          <w:t>Therapeutic Goods (Permissible Ingredients) Determination</w:t>
        </w:r>
      </w:hyperlink>
      <w:r>
        <w:rPr>
          <w:rStyle w:val="FootnoteReference"/>
        </w:rPr>
        <w:footnoteReference w:id="30"/>
      </w:r>
      <w:r w:rsidRPr="009C55D5">
        <w:t xml:space="preserve"> No.</w:t>
      </w:r>
      <w:r>
        <w:t>1</w:t>
      </w:r>
      <w:r w:rsidRPr="009C55D5">
        <w:t xml:space="preserve"> of 20</w:t>
      </w:r>
      <w:r>
        <w:t>21</w:t>
      </w:r>
      <w:r w:rsidRPr="009C55D5">
        <w:t xml:space="preserve">. </w:t>
      </w:r>
    </w:p>
    <w:p w14:paraId="3CE26A1A" w14:textId="4F46B872" w:rsidR="00CA52AC" w:rsidRDefault="00CA52AC" w:rsidP="00CA52AC">
      <w:pPr>
        <w:pStyle w:val="ListBullet"/>
        <w:keepNext/>
        <w:keepLines/>
        <w:numPr>
          <w:ilvl w:val="0"/>
          <w:numId w:val="1"/>
        </w:numPr>
      </w:pPr>
      <w:r>
        <w:t xml:space="preserve">Chromates and chromium trioxide are not in the </w:t>
      </w:r>
      <w:hyperlink r:id="rId45"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31"/>
      </w:r>
      <w:r>
        <w:t>.</w:t>
      </w:r>
    </w:p>
    <w:p w14:paraId="550D3838" w14:textId="77777777" w:rsidR="00CA52AC" w:rsidRDefault="00CA52AC" w:rsidP="00CA52AC">
      <w:pPr>
        <w:pStyle w:val="ListBullet"/>
        <w:numPr>
          <w:ilvl w:val="0"/>
          <w:numId w:val="1"/>
        </w:numPr>
      </w:pPr>
      <w:r>
        <w:t xml:space="preserve">There are no </w:t>
      </w:r>
      <w:r w:rsidRPr="00A30084">
        <w:t xml:space="preserve">warning statements pertaining </w:t>
      </w:r>
      <w:r>
        <w:t xml:space="preserve">to chromates or chromium trioxide in the </w:t>
      </w:r>
      <w:hyperlink r:id="rId46" w:history="1">
        <w:r w:rsidRPr="00AB7BF5">
          <w:rPr>
            <w:rStyle w:val="Hyperlink"/>
          </w:rPr>
          <w:t>Therapeutic Goods (Medicines Advisory Statements) Specification 2019</w:t>
        </w:r>
      </w:hyperlink>
      <w:r>
        <w:rPr>
          <w:rStyle w:val="FootnoteReference"/>
        </w:rPr>
        <w:footnoteReference w:id="32"/>
      </w:r>
      <w:r>
        <w:rPr>
          <w:rStyle w:val="Hyperlink"/>
          <w:color w:val="auto"/>
          <w:u w:val="none"/>
        </w:rPr>
        <w:t>.</w:t>
      </w:r>
    </w:p>
    <w:p w14:paraId="77328ED6" w14:textId="70FC5336" w:rsidR="00CA52AC" w:rsidRDefault="00427F50" w:rsidP="00CA52AC">
      <w:pPr>
        <w:pStyle w:val="ListBullet"/>
        <w:numPr>
          <w:ilvl w:val="0"/>
          <w:numId w:val="1"/>
        </w:numPr>
      </w:pPr>
      <w:r>
        <w:t>There were six products containing</w:t>
      </w:r>
      <w:r w:rsidR="00CA52AC">
        <w:t xml:space="preserve"> chromates or chromium trioxide</w:t>
      </w:r>
      <w:r>
        <w:t xml:space="preserve"> </w:t>
      </w:r>
      <w:r w:rsidR="00CA52AC" w:rsidRPr="00F0449C">
        <w:t xml:space="preserve">listed on the </w:t>
      </w:r>
      <w:hyperlink r:id="rId47" w:history="1">
        <w:r w:rsidR="00CA52AC" w:rsidRPr="00F0449C">
          <w:rPr>
            <w:rStyle w:val="Hyperlink"/>
          </w:rPr>
          <w:t>Public Chemical Registration Information System Search (</w:t>
        </w:r>
        <w:proofErr w:type="spellStart"/>
        <w:r w:rsidR="00CA52AC" w:rsidRPr="00F0449C">
          <w:rPr>
            <w:rStyle w:val="Hyperlink"/>
          </w:rPr>
          <w:t>P</w:t>
        </w:r>
        <w:r w:rsidR="00CA52AC">
          <w:rPr>
            <w:rStyle w:val="Hyperlink"/>
          </w:rPr>
          <w:t>ub</w:t>
        </w:r>
        <w:r w:rsidR="00CA52AC" w:rsidRPr="00F0449C">
          <w:rPr>
            <w:rStyle w:val="Hyperlink"/>
          </w:rPr>
          <w:t>CRIS</w:t>
        </w:r>
        <w:proofErr w:type="spellEnd"/>
        <w:r w:rsidR="00CA52AC" w:rsidRPr="00F0449C">
          <w:rPr>
            <w:rStyle w:val="Hyperlink"/>
          </w:rPr>
          <w:t>)</w:t>
        </w:r>
      </w:hyperlink>
      <w:r w:rsidR="00CA52AC" w:rsidRPr="00F0449C">
        <w:t>.</w:t>
      </w:r>
      <w:r w:rsidR="00CA52AC">
        <w:rPr>
          <w:rStyle w:val="FootnoteReference"/>
        </w:rPr>
        <w:footnoteReference w:id="33"/>
      </w:r>
      <w:r w:rsidR="00CA52AC">
        <w:t xml:space="preserve"> </w:t>
      </w:r>
    </w:p>
    <w:p w14:paraId="6215B13E" w14:textId="375CC5E6" w:rsidR="004B4C57" w:rsidRPr="00C51FB5" w:rsidRDefault="005B78C0" w:rsidP="004B4C57">
      <w:pPr>
        <w:pStyle w:val="ListBullet"/>
        <w:numPr>
          <w:ilvl w:val="0"/>
          <w:numId w:val="1"/>
        </w:numPr>
        <w:rPr>
          <w:rStyle w:val="Hyperlink"/>
          <w:color w:val="auto"/>
          <w:u w:val="none"/>
        </w:rPr>
      </w:pPr>
      <w:r>
        <w:t>Between 2015-2020</w:t>
      </w:r>
      <w:r w:rsidR="004B4C57">
        <w:t xml:space="preserve"> the</w:t>
      </w:r>
      <w:r>
        <w:t>re were no</w:t>
      </w:r>
      <w:r w:rsidR="004B4C57">
        <w:t xml:space="preserve"> adverse experiences recorded for </w:t>
      </w:r>
      <w:r>
        <w:t>chromates or chromium trioxide</w:t>
      </w:r>
      <w:r w:rsidR="004B4C57">
        <w:t xml:space="preserve"> in the </w:t>
      </w:r>
      <w:hyperlink r:id="rId48" w:history="1">
        <w:r w:rsidR="004B4C57" w:rsidRPr="006B6023">
          <w:rPr>
            <w:rStyle w:val="Hyperlink"/>
          </w:rPr>
          <w:t>A</w:t>
        </w:r>
        <w:r w:rsidR="004B4C57">
          <w:rPr>
            <w:rStyle w:val="Hyperlink"/>
          </w:rPr>
          <w:t>PVMA A</w:t>
        </w:r>
        <w:r w:rsidR="004B4C57" w:rsidRPr="006B6023">
          <w:rPr>
            <w:rStyle w:val="Hyperlink"/>
          </w:rPr>
          <w:t>dverse Experience Reporting Program</w:t>
        </w:r>
      </w:hyperlink>
      <w:r w:rsidR="004B4C57">
        <w:rPr>
          <w:rStyle w:val="Hyperlink"/>
        </w:rPr>
        <w:t xml:space="preserve"> database (AERP)</w:t>
      </w:r>
      <w:r w:rsidR="004B4C57">
        <w:rPr>
          <w:rStyle w:val="FootnoteReference"/>
        </w:rPr>
        <w:footnoteReference w:id="34"/>
      </w:r>
    </w:p>
    <w:p w14:paraId="7D20DEB8" w14:textId="4E5F017C" w:rsidR="00C51FB5" w:rsidRPr="00AC0017" w:rsidRDefault="00C51FB5" w:rsidP="00C51FB5">
      <w:pPr>
        <w:pStyle w:val="ListBullet"/>
        <w:numPr>
          <w:ilvl w:val="0"/>
          <w:numId w:val="1"/>
        </w:numPr>
        <w:rPr>
          <w:rStyle w:val="Hyperlink"/>
          <w:szCs w:val="22"/>
        </w:rPr>
      </w:pPr>
      <w:r w:rsidRPr="00AC0017">
        <w:rPr>
          <w:rFonts w:cs="TimesNewRomanPSMT"/>
          <w:color w:val="000000"/>
          <w:szCs w:val="22"/>
          <w:lang w:eastAsia="en-AU"/>
        </w:rPr>
        <w:t>Chromium trioxide, sodium dichromate, potassium chromate and dichromate are included</w:t>
      </w:r>
      <w:r w:rsidR="00B021B0">
        <w:rPr>
          <w:rFonts w:cs="TimesNewRomanPSMT"/>
          <w:color w:val="000000"/>
          <w:szCs w:val="22"/>
          <w:lang w:eastAsia="en-AU"/>
        </w:rPr>
        <w:t xml:space="preserve"> on the</w:t>
      </w:r>
      <w:r w:rsidR="00B16BCF">
        <w:rPr>
          <w:rFonts w:cs="TimesNewRomanPSMT"/>
          <w:color w:val="000000"/>
          <w:szCs w:val="22"/>
          <w:lang w:eastAsia="en-AU"/>
        </w:rPr>
        <w:t xml:space="preserve"> </w:t>
      </w:r>
      <w:hyperlink r:id="rId49" w:anchor="C" w:history="1">
        <w:r w:rsidRPr="00B021B0">
          <w:rPr>
            <w:rStyle w:val="Hyperlink"/>
            <w:szCs w:val="22"/>
          </w:rPr>
          <w:t>Active constituents exempt from the requirements of APVMA approval for use in agricultural or veterinary chemical products</w:t>
        </w:r>
        <w:r w:rsidR="00B021B0" w:rsidRPr="00B021B0">
          <w:rPr>
            <w:rStyle w:val="Hyperlink"/>
            <w:szCs w:val="22"/>
          </w:rPr>
          <w:t>.</w:t>
        </w:r>
      </w:hyperlink>
      <w:r w:rsidR="00B16BCF" w:rsidRPr="00F3790D">
        <w:rPr>
          <w:rStyle w:val="FootnoteReference"/>
          <w:color w:val="0000FF"/>
          <w:szCs w:val="22"/>
        </w:rPr>
        <w:footnoteReference w:id="35"/>
      </w:r>
    </w:p>
    <w:p w14:paraId="1003B5D4" w14:textId="38981A99" w:rsidR="00C51FB5" w:rsidRPr="00C51FB5" w:rsidRDefault="00B16BCF" w:rsidP="00C51FB5">
      <w:pPr>
        <w:pStyle w:val="ListBullet"/>
        <w:numPr>
          <w:ilvl w:val="0"/>
          <w:numId w:val="1"/>
        </w:numPr>
        <w:rPr>
          <w:rStyle w:val="Hyperlink"/>
        </w:rPr>
      </w:pPr>
      <w:r>
        <w:rPr>
          <w:rStyle w:val="Hyperlink"/>
          <w:color w:val="auto"/>
          <w:u w:val="none"/>
        </w:rPr>
        <w:t xml:space="preserve">Chromium (VI) compounds are included in the </w:t>
      </w:r>
      <w:hyperlink r:id="rId50" w:history="1">
        <w:r w:rsidR="00C51FB5" w:rsidRPr="00B16BCF">
          <w:rPr>
            <w:rStyle w:val="Hyperlink"/>
          </w:rPr>
          <w:t>AICIS List of chemicals with high hazards for categorisation.</w:t>
        </w:r>
      </w:hyperlink>
      <w:r w:rsidRPr="00F3790D">
        <w:rPr>
          <w:rStyle w:val="FootnoteReference"/>
          <w:color w:val="0000FF"/>
        </w:rPr>
        <w:footnoteReference w:id="36"/>
      </w:r>
    </w:p>
    <w:p w14:paraId="4B42FF28" w14:textId="26EFA29F" w:rsidR="00C51FB5" w:rsidRDefault="00C51FB5" w:rsidP="00C51FB5">
      <w:pPr>
        <w:pStyle w:val="ListBullet"/>
        <w:numPr>
          <w:ilvl w:val="0"/>
          <w:numId w:val="1"/>
        </w:numPr>
        <w:rPr>
          <w:rStyle w:val="Hyperlink"/>
        </w:rPr>
      </w:pPr>
      <w:r w:rsidRPr="00B16BCF">
        <w:rPr>
          <w:rStyle w:val="Hyperlink"/>
          <w:color w:val="auto"/>
          <w:u w:val="none"/>
        </w:rPr>
        <w:t xml:space="preserve">All relevant compounds are existing chemicals on the </w:t>
      </w:r>
      <w:hyperlink r:id="rId51" w:history="1">
        <w:r w:rsidRPr="00B16BCF">
          <w:rPr>
            <w:rStyle w:val="Hyperlink"/>
          </w:rPr>
          <w:t>Australian Inventory of Industrial Chemicals</w:t>
        </w:r>
      </w:hyperlink>
      <w:r w:rsidR="00B16BCF" w:rsidRPr="00F3790D">
        <w:rPr>
          <w:rStyle w:val="FootnoteReference"/>
          <w:color w:val="0000FF"/>
        </w:rPr>
        <w:footnoteReference w:id="37"/>
      </w:r>
      <w:r w:rsidRPr="00B16BCF">
        <w:rPr>
          <w:rStyle w:val="Hyperlink"/>
          <w:color w:val="auto"/>
          <w:u w:val="none"/>
        </w:rPr>
        <w:t>.</w:t>
      </w:r>
    </w:p>
    <w:p w14:paraId="6E8B541A" w14:textId="44F44238" w:rsidR="00C51FB5" w:rsidRPr="00AC0017" w:rsidRDefault="00C51FB5" w:rsidP="00C51FB5">
      <w:pPr>
        <w:pStyle w:val="ListBullet"/>
        <w:numPr>
          <w:ilvl w:val="0"/>
          <w:numId w:val="1"/>
        </w:numPr>
        <w:autoSpaceDE w:val="0"/>
        <w:autoSpaceDN w:val="0"/>
        <w:adjustRightInd w:val="0"/>
        <w:spacing w:before="0" w:after="0" w:line="240" w:lineRule="auto"/>
        <w:rPr>
          <w:rFonts w:eastAsia="SymbolMT" w:cs="TimesNewRomanPSMT"/>
          <w:color w:val="000000"/>
          <w:szCs w:val="22"/>
          <w:lang w:eastAsia="en-AU"/>
        </w:rPr>
      </w:pPr>
      <w:r w:rsidRPr="00AC0017">
        <w:rPr>
          <w:rFonts w:eastAsia="SymbolMT" w:cs="TimesNewRomanPSMT"/>
          <w:color w:val="000000"/>
          <w:szCs w:val="22"/>
          <w:lang w:eastAsia="en-AU"/>
        </w:rPr>
        <w:t xml:space="preserve">The </w:t>
      </w:r>
      <w:hyperlink r:id="rId52" w:history="1">
        <w:r w:rsidRPr="00692D68">
          <w:rPr>
            <w:rStyle w:val="Hyperlink"/>
            <w:rFonts w:eastAsia="SymbolMT" w:cs="TimesNewRomanPSMT"/>
            <w:szCs w:val="22"/>
            <w:lang w:eastAsia="en-AU"/>
          </w:rPr>
          <w:t>Australian Drinking Water Guidelines (ADWG)</w:t>
        </w:r>
      </w:hyperlink>
      <w:r w:rsidR="00692D68">
        <w:rPr>
          <w:rStyle w:val="FootnoteReference"/>
          <w:rFonts w:eastAsia="SymbolMT" w:cs="TimesNewRomanPSMT"/>
          <w:color w:val="0000FF"/>
          <w:szCs w:val="22"/>
          <w:lang w:eastAsia="en-AU"/>
        </w:rPr>
        <w:footnoteReference w:id="38"/>
      </w:r>
      <w:r w:rsidRPr="00AC0017">
        <w:rPr>
          <w:rFonts w:eastAsia="SymbolMT" w:cs="TimesNewRomanPSMT"/>
          <w:color w:val="000000"/>
          <w:szCs w:val="22"/>
          <w:lang w:eastAsia="en-AU"/>
        </w:rPr>
        <w:t xml:space="preserve"> specifies a threshold limit of 0.05mg/L total </w:t>
      </w:r>
      <w:r w:rsidR="00692D68">
        <w:rPr>
          <w:rFonts w:eastAsia="SymbolMT" w:cs="TimesNewRomanPSMT"/>
          <w:color w:val="000000"/>
          <w:szCs w:val="22"/>
          <w:lang w:eastAsia="en-AU"/>
        </w:rPr>
        <w:t>c</w:t>
      </w:r>
      <w:r w:rsidRPr="00AC0017">
        <w:rPr>
          <w:rFonts w:eastAsia="SymbolMT" w:cs="TimesNewRomanPSMT"/>
          <w:color w:val="000000"/>
          <w:szCs w:val="22"/>
          <w:lang w:eastAsia="en-AU"/>
        </w:rPr>
        <w:t>hromium in drinking water.</w:t>
      </w:r>
    </w:p>
    <w:p w14:paraId="7AD2DD68" w14:textId="77777777" w:rsidR="00C51FB5" w:rsidRPr="00AC0017" w:rsidRDefault="00C51FB5" w:rsidP="00C51FB5">
      <w:pPr>
        <w:autoSpaceDE w:val="0"/>
        <w:autoSpaceDN w:val="0"/>
        <w:adjustRightInd w:val="0"/>
        <w:spacing w:before="0" w:after="0" w:line="240" w:lineRule="auto"/>
        <w:rPr>
          <w:rFonts w:eastAsia="SymbolMT" w:cs="TimesNewRomanPSMT"/>
          <w:color w:val="000000"/>
          <w:szCs w:val="22"/>
          <w:lang w:eastAsia="en-AU"/>
        </w:rPr>
      </w:pPr>
    </w:p>
    <w:p w14:paraId="72266D3E" w14:textId="77777777" w:rsidR="00C51FB5" w:rsidRPr="00AC0017" w:rsidRDefault="00C51FB5" w:rsidP="00C51FB5">
      <w:pPr>
        <w:pStyle w:val="ListBullet"/>
        <w:numPr>
          <w:ilvl w:val="0"/>
          <w:numId w:val="1"/>
        </w:numPr>
        <w:autoSpaceDE w:val="0"/>
        <w:autoSpaceDN w:val="0"/>
        <w:adjustRightInd w:val="0"/>
        <w:spacing w:before="0" w:after="0" w:line="240" w:lineRule="auto"/>
        <w:rPr>
          <w:rFonts w:eastAsia="SymbolMT" w:cs="TimesNewRomanPSMT"/>
          <w:color w:val="000000"/>
          <w:szCs w:val="22"/>
          <w:lang w:eastAsia="en-AU"/>
        </w:rPr>
      </w:pPr>
      <w:r w:rsidRPr="00AC0017">
        <w:rPr>
          <w:rFonts w:eastAsia="SymbolMT" w:cs="TimesNewRomanPSMT"/>
          <w:color w:val="000000"/>
          <w:szCs w:val="22"/>
          <w:lang w:eastAsia="en-AU"/>
        </w:rPr>
        <w:t>There are two Australian Standards for the coated metal articles used in building trades:</w:t>
      </w:r>
    </w:p>
    <w:p w14:paraId="100DC8E9" w14:textId="3DB17F6D" w:rsidR="00C51FB5" w:rsidRPr="00AC0017" w:rsidRDefault="00C51FB5" w:rsidP="00C51FB5">
      <w:pPr>
        <w:pStyle w:val="ListBullet2"/>
        <w:numPr>
          <w:ilvl w:val="1"/>
          <w:numId w:val="1"/>
        </w:numPr>
        <w:autoSpaceDE w:val="0"/>
        <w:autoSpaceDN w:val="0"/>
        <w:adjustRightInd w:val="0"/>
        <w:spacing w:before="0" w:after="0" w:line="240" w:lineRule="auto"/>
        <w:rPr>
          <w:rFonts w:eastAsia="SymbolMT" w:cs="TimesNewRomanPSMT"/>
          <w:color w:val="000000"/>
          <w:szCs w:val="22"/>
          <w:lang w:eastAsia="en-AU"/>
        </w:rPr>
      </w:pPr>
      <w:r w:rsidRPr="00AC0017">
        <w:rPr>
          <w:rFonts w:eastAsia="SymbolMT" w:cs="TimesNewRomanPSMT"/>
          <w:color w:val="000000"/>
          <w:szCs w:val="22"/>
          <w:lang w:eastAsia="en-AU"/>
        </w:rPr>
        <w:t>AS/NZS 2728:2013 Pre-finished/pre-painted sheet metal products for interior/exterior building applications - Performance requirements.</w:t>
      </w:r>
    </w:p>
    <w:p w14:paraId="11897DB8" w14:textId="03789F64" w:rsidR="00C51FB5" w:rsidRPr="00AC0017" w:rsidRDefault="00C51FB5" w:rsidP="00C51FB5">
      <w:pPr>
        <w:pStyle w:val="ListBullet2"/>
        <w:numPr>
          <w:ilvl w:val="1"/>
          <w:numId w:val="1"/>
        </w:numPr>
        <w:rPr>
          <w:rStyle w:val="Hyperlink"/>
          <w:szCs w:val="22"/>
        </w:rPr>
      </w:pPr>
      <w:r w:rsidRPr="00AC0017">
        <w:rPr>
          <w:rFonts w:eastAsia="SymbolMT" w:cs="TimesNewRomanPSMT"/>
          <w:color w:val="000000"/>
          <w:szCs w:val="22"/>
          <w:lang w:eastAsia="en-AU"/>
        </w:rPr>
        <w:t>AS1397:2011 - Minimum requirements for continuous hot-dip metallic coated steel sheet and strip.</w:t>
      </w:r>
    </w:p>
    <w:p w14:paraId="699EA76B" w14:textId="77777777" w:rsidR="00CA52AC" w:rsidRPr="00CB687C" w:rsidRDefault="00CA52AC" w:rsidP="00CA52AC">
      <w:pPr>
        <w:pStyle w:val="Heading4"/>
      </w:pPr>
      <w:bookmarkStart w:id="42" w:name="_Toc81903318"/>
      <w:r>
        <w:t>International regulations</w:t>
      </w:r>
      <w:bookmarkEnd w:id="42"/>
    </w:p>
    <w:p w14:paraId="0689A17F" w14:textId="3A364259" w:rsidR="00CA52AC" w:rsidRDefault="00CA52AC" w:rsidP="00CA52AC">
      <w:pPr>
        <w:pStyle w:val="ListBullet"/>
        <w:numPr>
          <w:ilvl w:val="0"/>
          <w:numId w:val="0"/>
        </w:numPr>
        <w:ind w:left="360" w:hanging="360"/>
      </w:pPr>
      <w:r>
        <w:t>As of August 2021</w:t>
      </w:r>
      <w:r w:rsidR="00800F5C">
        <w:t>, chromates or chromium trioxide are</w:t>
      </w:r>
      <w:r w:rsidR="006438D2">
        <w:t>:</w:t>
      </w:r>
      <w:r w:rsidR="00800F5C">
        <w:t xml:space="preserve"> </w:t>
      </w:r>
    </w:p>
    <w:p w14:paraId="73CCB79C" w14:textId="2B93D25E" w:rsidR="00800F5C" w:rsidRPr="006438D2" w:rsidRDefault="006438D2" w:rsidP="006438D2">
      <w:pPr>
        <w:pStyle w:val="ListBullet"/>
        <w:numPr>
          <w:ilvl w:val="0"/>
          <w:numId w:val="1"/>
        </w:numPr>
        <w:rPr>
          <w:color w:val="0000FF"/>
          <w:u w:val="single"/>
        </w:rPr>
      </w:pPr>
      <w:r>
        <w:lastRenderedPageBreak/>
        <w:t xml:space="preserve">Included in the </w:t>
      </w:r>
      <w:hyperlink r:id="rId53" w:history="1">
        <w:r w:rsidR="00800F5C" w:rsidRPr="00A62F1C">
          <w:rPr>
            <w:rStyle w:val="Hyperlink"/>
          </w:rPr>
          <w:t>United States Environmental Protection Agency’s (US EPA) Office of Pesticides Programs</w:t>
        </w:r>
      </w:hyperlink>
      <w:r w:rsidR="00800F5C" w:rsidRPr="00417519">
        <w:rPr>
          <w:rStyle w:val="FootnoteReference"/>
        </w:rPr>
        <w:footnoteReference w:id="39"/>
      </w:r>
      <w:r w:rsidR="00800F5C">
        <w:rPr>
          <w:rStyle w:val="Hyperlink"/>
          <w:u w:val="none"/>
        </w:rPr>
        <w:t xml:space="preserve"> </w:t>
      </w:r>
      <w:r w:rsidR="00800F5C">
        <w:t>database</w:t>
      </w:r>
      <w:r>
        <w:t xml:space="preserve">, </w:t>
      </w:r>
      <w:hyperlink r:id="rId54" w:history="1">
        <w:r w:rsidRPr="00C81411">
          <w:rPr>
            <w:rStyle w:val="Hyperlink"/>
          </w:rPr>
          <w:t>European Commission database for information on cosmetic substances and ingredients database</w:t>
        </w:r>
      </w:hyperlink>
      <w:r w:rsidRPr="00417519">
        <w:rPr>
          <w:rStyle w:val="FootnoteReference"/>
        </w:rPr>
        <w:footnoteReference w:id="40"/>
      </w:r>
      <w:r>
        <w:rPr>
          <w:rStyle w:val="Hyperlink"/>
          <w:color w:val="auto"/>
          <w:u w:val="none"/>
        </w:rPr>
        <w:t xml:space="preserve"> and </w:t>
      </w:r>
      <w:hyperlink r:id="rId55" w:history="1">
        <w:r w:rsidRPr="00682120">
          <w:rPr>
            <w:rStyle w:val="Hyperlink"/>
          </w:rPr>
          <w:t>New Zealand Inventory of Chemicals (</w:t>
        </w:r>
        <w:proofErr w:type="spellStart"/>
        <w:r w:rsidRPr="00682120">
          <w:rPr>
            <w:rStyle w:val="Hyperlink"/>
          </w:rPr>
          <w:t>NZIoC</w:t>
        </w:r>
        <w:proofErr w:type="spellEnd"/>
        <w:r w:rsidRPr="00682120">
          <w:rPr>
            <w:rStyle w:val="Hyperlink"/>
          </w:rPr>
          <w:t>)</w:t>
        </w:r>
      </w:hyperlink>
      <w:r w:rsidRPr="00417519">
        <w:rPr>
          <w:rStyle w:val="FootnoteReference"/>
        </w:rPr>
        <w:footnoteReference w:id="41"/>
      </w:r>
      <w:r>
        <w:rPr>
          <w:rStyle w:val="Hyperlink"/>
          <w:color w:val="auto"/>
          <w:u w:val="none"/>
        </w:rPr>
        <w:t>.</w:t>
      </w:r>
    </w:p>
    <w:p w14:paraId="743C83FF" w14:textId="0469F332" w:rsidR="00800F5C" w:rsidRDefault="006438D2" w:rsidP="00800F5C">
      <w:pPr>
        <w:pStyle w:val="ListBullet"/>
        <w:numPr>
          <w:ilvl w:val="0"/>
          <w:numId w:val="1"/>
        </w:numPr>
        <w:rPr>
          <w:rStyle w:val="Hyperlink"/>
          <w:color w:val="auto"/>
          <w:u w:val="none"/>
        </w:rPr>
      </w:pPr>
      <w:r>
        <w:t xml:space="preserve">Included in the </w:t>
      </w:r>
      <w:hyperlink r:id="rId56" w:history="1">
        <w:r w:rsidR="00800F5C" w:rsidRPr="00C81411">
          <w:rPr>
            <w:rStyle w:val="Hyperlink"/>
          </w:rPr>
          <w:t>European Chemicals Agency (ECHA)</w:t>
        </w:r>
      </w:hyperlink>
      <w:r w:rsidR="00800F5C" w:rsidRPr="00417519">
        <w:rPr>
          <w:rStyle w:val="FootnoteReference"/>
        </w:rPr>
        <w:footnoteReference w:id="42"/>
      </w:r>
      <w:r w:rsidR="00800F5C">
        <w:rPr>
          <w:rStyle w:val="Hyperlink"/>
          <w:u w:val="none"/>
        </w:rPr>
        <w:t xml:space="preserve"> </w:t>
      </w:r>
      <w:r w:rsidR="00800F5C">
        <w:rPr>
          <w:rStyle w:val="Hyperlink"/>
          <w:color w:val="auto"/>
          <w:u w:val="none"/>
        </w:rPr>
        <w:t xml:space="preserve">database </w:t>
      </w:r>
      <w:r w:rsidR="00BC7943">
        <w:rPr>
          <w:rStyle w:val="Hyperlink"/>
          <w:color w:val="auto"/>
          <w:u w:val="none"/>
        </w:rPr>
        <w:t xml:space="preserve">and </w:t>
      </w:r>
      <w:r w:rsidR="00191632">
        <w:rPr>
          <w:rStyle w:val="Hyperlink"/>
          <w:color w:val="auto"/>
          <w:u w:val="none"/>
        </w:rPr>
        <w:t xml:space="preserve">have the following </w:t>
      </w:r>
      <w:r w:rsidR="00BC7943">
        <w:rPr>
          <w:rStyle w:val="Hyperlink"/>
          <w:color w:val="auto"/>
          <w:u w:val="none"/>
        </w:rPr>
        <w:t xml:space="preserve">properties </w:t>
      </w:r>
      <w:r w:rsidR="00191632">
        <w:rPr>
          <w:rStyle w:val="Hyperlink"/>
          <w:color w:val="auto"/>
          <w:u w:val="none"/>
        </w:rPr>
        <w:t xml:space="preserve">which </w:t>
      </w:r>
      <w:r w:rsidR="00BC7943">
        <w:rPr>
          <w:rStyle w:val="Hyperlink"/>
          <w:color w:val="auto"/>
          <w:u w:val="none"/>
        </w:rPr>
        <w:t>are of concern</w:t>
      </w:r>
      <w:r w:rsidR="008F7243">
        <w:rPr>
          <w:rStyle w:val="Hyperlink"/>
          <w:color w:val="auto"/>
          <w:u w:val="none"/>
        </w:rPr>
        <w:t>:</w:t>
      </w:r>
      <w:r w:rsidR="00BC7943">
        <w:rPr>
          <w:rStyle w:val="Hyperlink"/>
          <w:color w:val="auto"/>
          <w:u w:val="none"/>
        </w:rPr>
        <w:t xml:space="preserve"> carcinogenic, skin sensitising, mutagenic, </w:t>
      </w:r>
      <w:r w:rsidR="00191632">
        <w:rPr>
          <w:rStyle w:val="Hyperlink"/>
          <w:color w:val="auto"/>
          <w:u w:val="none"/>
        </w:rPr>
        <w:t>respiratory sensitising and suspected to be toxic to reproduction.</w:t>
      </w:r>
    </w:p>
    <w:p w14:paraId="31AE5FA8" w14:textId="4F006E92" w:rsidR="006438D2" w:rsidRPr="00AC0017" w:rsidRDefault="003E3E29" w:rsidP="00DA051E">
      <w:pPr>
        <w:pStyle w:val="ListBullet"/>
        <w:numPr>
          <w:ilvl w:val="0"/>
          <w:numId w:val="1"/>
        </w:numPr>
        <w:autoSpaceDE w:val="0"/>
        <w:autoSpaceDN w:val="0"/>
        <w:adjustRightInd w:val="0"/>
        <w:spacing w:before="0" w:after="0" w:line="240" w:lineRule="auto"/>
        <w:rPr>
          <w:szCs w:val="22"/>
        </w:rPr>
      </w:pPr>
      <w:r w:rsidRPr="00AC0017">
        <w:rPr>
          <w:rFonts w:eastAsia="SymbolMT" w:cs="TimesNewRomanPSMT"/>
          <w:color w:val="000000"/>
          <w:szCs w:val="22"/>
          <w:lang w:eastAsia="en-AU"/>
        </w:rPr>
        <w:t>Specifically i</w:t>
      </w:r>
      <w:r w:rsidR="00E63A67" w:rsidRPr="00AC0017">
        <w:rPr>
          <w:szCs w:val="22"/>
        </w:rPr>
        <w:t xml:space="preserve">ncluded </w:t>
      </w:r>
      <w:r w:rsidR="006438D2" w:rsidRPr="00AC0017">
        <w:rPr>
          <w:szCs w:val="22"/>
        </w:rPr>
        <w:t xml:space="preserve">in the </w:t>
      </w:r>
      <w:hyperlink r:id="rId57" w:history="1">
        <w:r w:rsidR="006438D2" w:rsidRPr="00AC0017">
          <w:rPr>
            <w:rStyle w:val="Hyperlink"/>
            <w:szCs w:val="22"/>
          </w:rPr>
          <w:t>Canadian (Health Canada) Drug Product Database</w:t>
        </w:r>
      </w:hyperlink>
      <w:r w:rsidR="006438D2" w:rsidRPr="00AC0017">
        <w:rPr>
          <w:rStyle w:val="FootnoteReference"/>
          <w:szCs w:val="22"/>
        </w:rPr>
        <w:footnoteReference w:id="43"/>
      </w:r>
      <w:r w:rsidR="00E63A67" w:rsidRPr="00AC0017">
        <w:rPr>
          <w:rStyle w:val="Hyperlink"/>
          <w:color w:val="auto"/>
          <w:szCs w:val="22"/>
          <w:u w:val="none"/>
        </w:rPr>
        <w:t>, however a</w:t>
      </w:r>
      <w:r w:rsidR="00E63A67" w:rsidRPr="00AC0017">
        <w:rPr>
          <w:szCs w:val="22"/>
        </w:rPr>
        <w:t xml:space="preserve">ll products </w:t>
      </w:r>
      <w:r w:rsidR="00E63A67" w:rsidRPr="00AC0017">
        <w:rPr>
          <w:rStyle w:val="Hyperlink"/>
          <w:color w:val="auto"/>
          <w:szCs w:val="22"/>
          <w:u w:val="none"/>
        </w:rPr>
        <w:t>are listed as “</w:t>
      </w:r>
      <w:r w:rsidR="00E63A67" w:rsidRPr="00AC0017">
        <w:rPr>
          <w:szCs w:val="22"/>
        </w:rPr>
        <w:t>cancelled post-market”.</w:t>
      </w:r>
    </w:p>
    <w:p w14:paraId="1BE8B6F1" w14:textId="77777777" w:rsidR="00B54729" w:rsidRDefault="00B54729">
      <w:pPr>
        <w:spacing w:before="0" w:after="0" w:line="240" w:lineRule="auto"/>
      </w:pPr>
      <w:r>
        <w:br w:type="page"/>
      </w:r>
    </w:p>
    <w:p w14:paraId="30413B40" w14:textId="28FFF163" w:rsidR="003C02CB" w:rsidRDefault="003C02CB" w:rsidP="009D1F2D">
      <w:pPr>
        <w:pStyle w:val="Heading2"/>
      </w:pPr>
      <w:bookmarkStart w:id="43" w:name="_Toc81903319"/>
      <w:r>
        <w:lastRenderedPageBreak/>
        <w:t>Proposed amendments referred for scheduling advice to the Joint ACMS-ACCS #</w:t>
      </w:r>
      <w:r w:rsidR="002B779E">
        <w:t>29</w:t>
      </w:r>
      <w:bookmarkEnd w:id="43"/>
    </w:p>
    <w:p w14:paraId="2B6541FE" w14:textId="77777777" w:rsidR="00510B15" w:rsidRDefault="00510B15" w:rsidP="00510B15">
      <w:pPr>
        <w:pStyle w:val="Heading3"/>
      </w:pPr>
      <w:bookmarkStart w:id="44" w:name="_Toc81903320"/>
      <w:r>
        <w:t>Cis-jasmone</w:t>
      </w:r>
      <w:bookmarkEnd w:id="44"/>
    </w:p>
    <w:p w14:paraId="66A16E4F" w14:textId="77777777" w:rsidR="00510B15" w:rsidRDefault="00510B15" w:rsidP="00510B15">
      <w:pPr>
        <w:pStyle w:val="Heading4"/>
      </w:pPr>
      <w:bookmarkStart w:id="45" w:name="_Toc81903321"/>
      <w:r>
        <w:t>Proposal</w:t>
      </w:r>
      <w:bookmarkEnd w:id="45"/>
    </w:p>
    <w:p w14:paraId="5A11C003" w14:textId="77777777" w:rsidR="00510B15" w:rsidRDefault="00510B15" w:rsidP="00510B15">
      <w:r>
        <w:t xml:space="preserve">The applicant proposes to create new entries in Schedule 5 and Schedule 6 for cis-jasmone for agricultural use. </w:t>
      </w:r>
    </w:p>
    <w:p w14:paraId="760021D5" w14:textId="77777777" w:rsidR="00510B15" w:rsidRDefault="00510B15" w:rsidP="00510B15">
      <w:pPr>
        <w:pStyle w:val="Heading4"/>
      </w:pPr>
      <w:bookmarkStart w:id="46" w:name="_Toc81903322"/>
      <w:r>
        <w:t>CAS Number:</w:t>
      </w:r>
      <w:bookmarkEnd w:id="46"/>
    </w:p>
    <w:p w14:paraId="7E1ED40C" w14:textId="77777777" w:rsidR="00510B15" w:rsidRDefault="00510B15" w:rsidP="00510B15">
      <w:r>
        <w:t>488-10-8</w:t>
      </w:r>
    </w:p>
    <w:p w14:paraId="7FB9D14F" w14:textId="77777777" w:rsidR="00510B15" w:rsidRDefault="00510B15" w:rsidP="00510B15">
      <w:pPr>
        <w:pStyle w:val="Heading4"/>
      </w:pPr>
      <w:bookmarkStart w:id="47" w:name="_Toc81903323"/>
      <w:r>
        <w:t>Alternative names</w:t>
      </w:r>
      <w:bookmarkEnd w:id="47"/>
    </w:p>
    <w:p w14:paraId="169FB4C5" w14:textId="77777777" w:rsidR="00510B15" w:rsidRPr="00F40AE1" w:rsidRDefault="00510B15" w:rsidP="00510B15">
      <w:pPr>
        <w:rPr>
          <w:highlight w:val="green"/>
        </w:rPr>
      </w:pPr>
      <w:r w:rsidRPr="00F40AE1">
        <w:t>3-Methyl-2-(2</w:t>
      </w:r>
      <w:r w:rsidRPr="00F40AE1">
        <w:rPr>
          <w:i/>
          <w:iCs/>
        </w:rPr>
        <w:t>Z</w:t>
      </w:r>
      <w:r w:rsidRPr="00F40AE1">
        <w:t>)-2-penten-1-yl-2-cyclopenten-1-one</w:t>
      </w:r>
    </w:p>
    <w:p w14:paraId="07E6A0CB" w14:textId="77777777" w:rsidR="00510B15" w:rsidRDefault="00510B15" w:rsidP="00510B15">
      <w:pPr>
        <w:pStyle w:val="Heading4"/>
      </w:pPr>
      <w:bookmarkStart w:id="48" w:name="_Toc81903324"/>
      <w:r>
        <w:t>Applicant</w:t>
      </w:r>
      <w:bookmarkEnd w:id="48"/>
    </w:p>
    <w:p w14:paraId="35B33A34" w14:textId="77777777" w:rsidR="00510B15" w:rsidRDefault="00510B15" w:rsidP="00510B15">
      <w:r w:rsidRPr="00F40AE1">
        <w:t>Australian Pesticides and Veterinary Medicines Authority (APVMA)</w:t>
      </w:r>
    </w:p>
    <w:p w14:paraId="37CCA80B" w14:textId="77777777" w:rsidR="00510B15" w:rsidRDefault="00510B15" w:rsidP="00510B15">
      <w:pPr>
        <w:pStyle w:val="Heading4"/>
      </w:pPr>
      <w:bookmarkStart w:id="49" w:name="_Toc81903325"/>
      <w:r>
        <w:t>Current scheduling</w:t>
      </w:r>
      <w:bookmarkEnd w:id="49"/>
    </w:p>
    <w:p w14:paraId="41578EF4" w14:textId="77777777" w:rsidR="00510B15" w:rsidRDefault="00510B15" w:rsidP="00510B15">
      <w:r>
        <w:t xml:space="preserve">Cis-jasmone </w:t>
      </w:r>
      <w:r w:rsidRPr="00AF12F6">
        <w:t>is not specifically scheduled</w:t>
      </w:r>
      <w:r>
        <w:t xml:space="preserve"> in the current Poisons Standard</w:t>
      </w:r>
      <w:r w:rsidRPr="00AF12F6">
        <w:t>.</w:t>
      </w:r>
    </w:p>
    <w:p w14:paraId="57140221" w14:textId="77777777" w:rsidR="00510B15" w:rsidRDefault="00510B15" w:rsidP="00510B15">
      <w:pPr>
        <w:pStyle w:val="Heading4"/>
      </w:pPr>
      <w:bookmarkStart w:id="50" w:name="_Toc81903326"/>
      <w:r>
        <w:t>Proposed scheduling</w:t>
      </w:r>
      <w:bookmarkEnd w:id="50"/>
      <w:r>
        <w:t xml:space="preserve"> </w:t>
      </w:r>
    </w:p>
    <w:p w14:paraId="35A27D83" w14:textId="77777777" w:rsidR="00510B15" w:rsidRDefault="00510B15" w:rsidP="00510B15">
      <w:pPr>
        <w:ind w:left="426"/>
        <w:rPr>
          <w:b/>
          <w:bCs/>
        </w:rPr>
      </w:pPr>
      <w:r w:rsidRPr="001E7226">
        <w:rPr>
          <w:b/>
          <w:bCs/>
        </w:rPr>
        <w:t>Schedule 6</w:t>
      </w:r>
      <w:r>
        <w:rPr>
          <w:b/>
          <w:bCs/>
        </w:rPr>
        <w:t xml:space="preserve"> – New Entry</w:t>
      </w:r>
    </w:p>
    <w:p w14:paraId="35B5D60B" w14:textId="406801E2" w:rsidR="00510B15" w:rsidRPr="00D02844" w:rsidRDefault="00510B15" w:rsidP="00510B15">
      <w:pPr>
        <w:ind w:left="426"/>
        <w:rPr>
          <w:color w:val="00B050"/>
        </w:rPr>
      </w:pPr>
      <w:r w:rsidRPr="00D02844">
        <w:rPr>
          <w:color w:val="00B050"/>
        </w:rPr>
        <w:t>CIS-JASMONE for agricultural use,</w:t>
      </w:r>
      <w:r w:rsidRPr="00D02844">
        <w:rPr>
          <w:b/>
          <w:bCs/>
          <w:color w:val="00B050"/>
        </w:rPr>
        <w:t xml:space="preserve"> except </w:t>
      </w:r>
      <w:r w:rsidRPr="00D02844">
        <w:rPr>
          <w:color w:val="00B050"/>
        </w:rPr>
        <w:t>when included in Schedule 5.</w:t>
      </w:r>
    </w:p>
    <w:p w14:paraId="1BE13A77" w14:textId="477F942B" w:rsidR="00510B15" w:rsidRPr="001E7226" w:rsidRDefault="00510B15" w:rsidP="00510B15">
      <w:pPr>
        <w:ind w:left="426"/>
        <w:rPr>
          <w:b/>
          <w:bCs/>
        </w:rPr>
      </w:pPr>
      <w:r w:rsidRPr="001E7226">
        <w:rPr>
          <w:b/>
          <w:bCs/>
        </w:rPr>
        <w:t>Schedule 5</w:t>
      </w:r>
      <w:r>
        <w:rPr>
          <w:b/>
          <w:bCs/>
        </w:rPr>
        <w:t xml:space="preserve"> – New Entry</w:t>
      </w:r>
    </w:p>
    <w:p w14:paraId="5F9E1247" w14:textId="77777777" w:rsidR="00C70A65" w:rsidRDefault="00510B15" w:rsidP="00510B15">
      <w:pPr>
        <w:ind w:left="426"/>
        <w:rPr>
          <w:color w:val="00B050"/>
        </w:rPr>
      </w:pPr>
      <w:r w:rsidRPr="00D02844">
        <w:rPr>
          <w:color w:val="00B050"/>
        </w:rPr>
        <w:t>CIS-JASMONE for agricultural use, in preparations containing 1.5 per cent or less of cis-jasmone.</w:t>
      </w:r>
    </w:p>
    <w:p w14:paraId="729E7AD1" w14:textId="6B32970B" w:rsidR="00510B15" w:rsidRPr="001E7226" w:rsidRDefault="00510B15" w:rsidP="00510B15">
      <w:pPr>
        <w:ind w:left="426"/>
        <w:rPr>
          <w:b/>
          <w:bCs/>
        </w:rPr>
      </w:pPr>
      <w:r w:rsidRPr="001E7226">
        <w:rPr>
          <w:b/>
          <w:bCs/>
        </w:rPr>
        <w:t>Index</w:t>
      </w:r>
      <w:r>
        <w:rPr>
          <w:b/>
          <w:bCs/>
        </w:rPr>
        <w:t xml:space="preserve"> – New Entry</w:t>
      </w:r>
    </w:p>
    <w:p w14:paraId="44DA87A8" w14:textId="77777777" w:rsidR="00510B15" w:rsidRPr="00D02844" w:rsidRDefault="00510B15" w:rsidP="00510B15">
      <w:pPr>
        <w:ind w:left="426"/>
        <w:rPr>
          <w:color w:val="00B050"/>
        </w:rPr>
      </w:pPr>
      <w:r w:rsidRPr="00D02844">
        <w:rPr>
          <w:color w:val="00B050"/>
        </w:rPr>
        <w:t>CIS-JASMONE</w:t>
      </w:r>
    </w:p>
    <w:p w14:paraId="0E9308E2" w14:textId="33A1DB49" w:rsidR="00510B15" w:rsidRPr="00D02844" w:rsidRDefault="00510B15" w:rsidP="00510B15">
      <w:pPr>
        <w:ind w:left="426"/>
        <w:rPr>
          <w:b/>
          <w:bCs/>
          <w:color w:val="00B050"/>
        </w:rPr>
      </w:pPr>
      <w:r w:rsidRPr="00D02844">
        <w:rPr>
          <w:color w:val="00B050"/>
        </w:rPr>
        <w:t>Schedule 6</w:t>
      </w:r>
      <w:r w:rsidRPr="00D02844">
        <w:rPr>
          <w:color w:val="00B050"/>
        </w:rPr>
        <w:br/>
        <w:t>Schedule 5</w:t>
      </w:r>
    </w:p>
    <w:p w14:paraId="39C87934" w14:textId="77777777" w:rsidR="00510B15" w:rsidRDefault="00510B15" w:rsidP="00510B15">
      <w:pPr>
        <w:pStyle w:val="Heading4"/>
      </w:pPr>
      <w:bookmarkStart w:id="51" w:name="_Toc81903327"/>
      <w:r>
        <w:t>Key uses / expected use</w:t>
      </w:r>
      <w:bookmarkEnd w:id="51"/>
    </w:p>
    <w:p w14:paraId="5ADE9515" w14:textId="6BFA8004" w:rsidR="00510B15" w:rsidRDefault="00510B15" w:rsidP="00510B15">
      <w:r w:rsidRPr="00D02844">
        <w:t>Agriculture, cosmetic, domestic (e.g. cleaning products, shampoos),</w:t>
      </w:r>
      <w:r>
        <w:t xml:space="preserve"> food</w:t>
      </w:r>
      <w:r w:rsidR="00ED6670">
        <w:t>, medicines, medical devices</w:t>
      </w:r>
    </w:p>
    <w:p w14:paraId="280A34A0" w14:textId="64E50A4B" w:rsidR="00510B15" w:rsidRDefault="00510B15" w:rsidP="00510B15">
      <w:pPr>
        <w:pStyle w:val="Heading4"/>
      </w:pPr>
      <w:bookmarkStart w:id="52" w:name="_Toc81903328"/>
      <w:r>
        <w:lastRenderedPageBreak/>
        <w:t>Application summary - reasons for proposal</w:t>
      </w:r>
      <w:bookmarkEnd w:id="52"/>
    </w:p>
    <w:p w14:paraId="489F080C" w14:textId="77777777" w:rsidR="00ED6670" w:rsidRPr="00A43F82" w:rsidRDefault="00ED6670" w:rsidP="00ED6670">
      <w:pPr>
        <w:pStyle w:val="ListBullet"/>
      </w:pPr>
      <w:r>
        <w:t xml:space="preserve">Cis-jasmone is a new agricultural technical grade active constituent (TGAC) in Australia and will require scheduling for the purposes of its approval and future registration in pesticide products. </w:t>
      </w:r>
    </w:p>
    <w:p w14:paraId="5A05EE02" w14:textId="3D7D8F0C" w:rsidR="00ED6670" w:rsidRDefault="00ED6670" w:rsidP="00ED6670">
      <w:pPr>
        <w:pStyle w:val="ListBullet"/>
      </w:pPr>
      <w:r>
        <w:t xml:space="preserve">Recently cis-jasmone has been used in plant-protection, where it purportedly acts as a repellent to various types of insects through its activity as a biological pesticide. Scheduling of cis-jasmone would offer a promising addition to insect pest management strategies to try to combat the development of insect resistance from repeated use of synthetic chemical insecticides.  </w:t>
      </w:r>
    </w:p>
    <w:p w14:paraId="41C8C54C" w14:textId="1983279C" w:rsidR="00A43F82" w:rsidRDefault="00BB134C" w:rsidP="00A43F82">
      <w:pPr>
        <w:pStyle w:val="ListBullet"/>
      </w:pPr>
      <w:r>
        <w:t xml:space="preserve">Cis-jasmone is a member of the alicyclic ketone chemical class and </w:t>
      </w:r>
      <w:r w:rsidR="00C36084">
        <w:t>is found naturally in a range of edible plants. The highest concentration is found in the jasmine plant (</w:t>
      </w:r>
      <w:r w:rsidR="00C36084" w:rsidRPr="00C36084">
        <w:rPr>
          <w:i/>
          <w:iCs/>
        </w:rPr>
        <w:t xml:space="preserve">Jasminum </w:t>
      </w:r>
      <w:proofErr w:type="spellStart"/>
      <w:r w:rsidR="00C36084" w:rsidRPr="00C36084">
        <w:rPr>
          <w:i/>
          <w:iCs/>
        </w:rPr>
        <w:t>polyanthum</w:t>
      </w:r>
      <w:proofErr w:type="spellEnd"/>
      <w:r w:rsidR="00C36084">
        <w:t xml:space="preserve">) and is responsible for its characteristic </w:t>
      </w:r>
      <w:r w:rsidR="00C87095">
        <w:t>smell</w:t>
      </w:r>
      <w:r w:rsidR="00C36084">
        <w:t xml:space="preserve">. </w:t>
      </w:r>
    </w:p>
    <w:p w14:paraId="4FAA1F01" w14:textId="61407EF5" w:rsidR="00C36084" w:rsidRDefault="00C36084" w:rsidP="00A43F82">
      <w:pPr>
        <w:pStyle w:val="ListBullet"/>
      </w:pPr>
      <w:r>
        <w:t>Cis-jasmone is currently used in perfumes, cosmetics, personal and household cleaning products</w:t>
      </w:r>
      <w:r w:rsidR="00D4204A">
        <w:t xml:space="preserve">, </w:t>
      </w:r>
      <w:r>
        <w:t xml:space="preserve">and as a flavouring ingredient in food. </w:t>
      </w:r>
      <w:r w:rsidR="008D78FB">
        <w:t>Jasmine oil holds a status of “generally recognised as safe” (GRAS) according to the United States Food and Drug Administration.</w:t>
      </w:r>
    </w:p>
    <w:p w14:paraId="56F427CB" w14:textId="77777777" w:rsidR="00293956" w:rsidRPr="00293956" w:rsidRDefault="008D78FB" w:rsidP="00A43F82">
      <w:pPr>
        <w:pStyle w:val="ListBullet"/>
      </w:pPr>
      <w:r>
        <w:t xml:space="preserve">Toxicity data relating to the substance indicates that it possesses low acute oral, </w:t>
      </w:r>
      <w:proofErr w:type="gramStart"/>
      <w:r>
        <w:t>dermal</w:t>
      </w:r>
      <w:proofErr w:type="gramEnd"/>
      <w:r>
        <w:t xml:space="preserve"> and inhalational toxicity, but is a moderate eye irritant and slight skin irritant. It may also be an aspirat</w:t>
      </w:r>
      <w:r w:rsidR="00757986">
        <w:t>i</w:t>
      </w:r>
      <w:r>
        <w:t>on hazard and potential respiratory irritant.</w:t>
      </w:r>
      <w:r w:rsidR="00ED6670">
        <w:t xml:space="preserve"> </w:t>
      </w:r>
      <w:r w:rsidR="00ED6670" w:rsidRPr="0050456C">
        <w:rPr>
          <w:rFonts w:eastAsia="Yu Mincho"/>
        </w:rPr>
        <w:t xml:space="preserve">The same presumption of ‘toxicological safety’ </w:t>
      </w:r>
      <w:r w:rsidR="00ED6670">
        <w:rPr>
          <w:rFonts w:eastAsia="Yu Mincho"/>
        </w:rPr>
        <w:t xml:space="preserve">as a food additive </w:t>
      </w:r>
      <w:r w:rsidR="00ED6670" w:rsidRPr="0050456C">
        <w:rPr>
          <w:rFonts w:eastAsia="Yu Mincho"/>
        </w:rPr>
        <w:t xml:space="preserve">does not apply to </w:t>
      </w:r>
      <w:r w:rsidR="00ED6670">
        <w:rPr>
          <w:rFonts w:eastAsia="Yu Mincho"/>
        </w:rPr>
        <w:t xml:space="preserve">its </w:t>
      </w:r>
      <w:r w:rsidR="00ED6670" w:rsidRPr="0050456C">
        <w:rPr>
          <w:rFonts w:eastAsia="Yu Mincho"/>
        </w:rPr>
        <w:t>pesticidal use.</w:t>
      </w:r>
    </w:p>
    <w:p w14:paraId="0253575F" w14:textId="31957438" w:rsidR="008D78FB" w:rsidRDefault="00293956" w:rsidP="00A43F82">
      <w:pPr>
        <w:pStyle w:val="ListBullet"/>
      </w:pPr>
      <w:r>
        <w:rPr>
          <w:rFonts w:eastAsia="Yu Mincho"/>
        </w:rPr>
        <w:t xml:space="preserve">Cis-jasmone is not considered to be mutagenic, carcinogenic or to have any genotoxic potential. Based on the moderate eye irritation associated with exposure to the substance, the toxicity profile </w:t>
      </w:r>
      <w:proofErr w:type="gramStart"/>
      <w:r>
        <w:rPr>
          <w:rFonts w:eastAsia="Yu Mincho"/>
        </w:rPr>
        <w:t>is considered to be</w:t>
      </w:r>
      <w:proofErr w:type="gramEnd"/>
      <w:r>
        <w:rPr>
          <w:rFonts w:eastAsia="Yu Mincho"/>
        </w:rPr>
        <w:t xml:space="preserve"> consistent with the Schedule 6</w:t>
      </w:r>
      <w:r w:rsidR="00157BBA">
        <w:rPr>
          <w:rFonts w:eastAsia="Yu Mincho"/>
        </w:rPr>
        <w:t xml:space="preserve"> classification. A Schedule 5 entry for low concentrations can be justified by the estimated acute toxicity. </w:t>
      </w:r>
      <w:r>
        <w:rPr>
          <w:rFonts w:eastAsia="Yu Mincho"/>
        </w:rPr>
        <w:t xml:space="preserve"> </w:t>
      </w:r>
      <w:r w:rsidR="00ED6670" w:rsidRPr="0050456C">
        <w:rPr>
          <w:rFonts w:eastAsia="Yu Mincho"/>
        </w:rPr>
        <w:t xml:space="preserve">  </w:t>
      </w:r>
    </w:p>
    <w:p w14:paraId="1329A741" w14:textId="77777777" w:rsidR="00510B15" w:rsidRDefault="00510B15" w:rsidP="00510B15">
      <w:pPr>
        <w:pStyle w:val="Heading4"/>
      </w:pPr>
      <w:bookmarkStart w:id="53" w:name="_Toc81903329"/>
      <w:r w:rsidRPr="00DC5AE0">
        <w:t xml:space="preserve">Australian </w:t>
      </w:r>
      <w:r>
        <w:t>regulations</w:t>
      </w:r>
      <w:bookmarkEnd w:id="53"/>
      <w:r w:rsidRPr="00DC5AE0">
        <w:t xml:space="preserve"> </w:t>
      </w:r>
    </w:p>
    <w:p w14:paraId="40021EF0" w14:textId="77777777" w:rsidR="00510B15" w:rsidRDefault="00510B15" w:rsidP="00510B15">
      <w:pPr>
        <w:pStyle w:val="ListBullet"/>
      </w:pPr>
      <w:r w:rsidRPr="00D02844">
        <w:t>According</w:t>
      </w:r>
      <w:r>
        <w:t xml:space="preserve"> to the </w:t>
      </w:r>
      <w:hyperlink r:id="rId58"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44"/>
      </w:r>
      <w:r>
        <w:t xml:space="preserve"> cis-jasmone is:</w:t>
      </w:r>
    </w:p>
    <w:p w14:paraId="2C69AB1D" w14:textId="1A8D617B" w:rsidR="00510B15" w:rsidRDefault="00510B15" w:rsidP="00510B15">
      <w:pPr>
        <w:pStyle w:val="ListBullet2"/>
      </w:pPr>
      <w:r>
        <w:t>Available for use as an Active Ingredient in Biologicals and Prescription Medicines</w:t>
      </w:r>
      <w:r w:rsidR="00FD221D">
        <w:t>.</w:t>
      </w:r>
    </w:p>
    <w:p w14:paraId="6CD64DC6" w14:textId="3CE16FA5" w:rsidR="00510B15" w:rsidRDefault="00510B15" w:rsidP="00510B15">
      <w:pPr>
        <w:pStyle w:val="ListBullet2"/>
      </w:pPr>
      <w:r>
        <w:t>Available for use as an Excipient Ingredient in Biologicals, Devices, Listed Medicines, Over the Counter and Prescription Medicines</w:t>
      </w:r>
      <w:r w:rsidR="00FD221D">
        <w:t>.</w:t>
      </w:r>
    </w:p>
    <w:p w14:paraId="7472A7C0" w14:textId="77777777" w:rsidR="00510B15" w:rsidRDefault="00510B15" w:rsidP="00510B15">
      <w:pPr>
        <w:pStyle w:val="ListBullet2"/>
      </w:pPr>
      <w:r>
        <w:t>Not available as an Equivalent Ingredient in any application.</w:t>
      </w:r>
    </w:p>
    <w:p w14:paraId="6D9A76A5" w14:textId="03317EAC" w:rsidR="00510B15" w:rsidRDefault="00510B15" w:rsidP="00510B15">
      <w:pPr>
        <w:pStyle w:val="ListBullet"/>
        <w:numPr>
          <w:ilvl w:val="0"/>
          <w:numId w:val="1"/>
        </w:numPr>
      </w:pPr>
      <w:r>
        <w:t xml:space="preserve">As of </w:t>
      </w:r>
      <w:r w:rsidR="00FD221D">
        <w:t>August 2021</w:t>
      </w:r>
      <w:r>
        <w:t>, t</w:t>
      </w:r>
      <w:r w:rsidRPr="00881DFE">
        <w:t xml:space="preserve">here </w:t>
      </w:r>
      <w:r>
        <w:t>were</w:t>
      </w:r>
      <w:r w:rsidRPr="00881DFE">
        <w:t xml:space="preserve"> </w:t>
      </w:r>
      <w:r w:rsidR="00BD45E9">
        <w:t>no</w:t>
      </w:r>
      <w:r>
        <w:t xml:space="preserve"> medicine</w:t>
      </w:r>
      <w:r w:rsidRPr="00881DFE">
        <w:t xml:space="preserve">s currently active on the </w:t>
      </w:r>
      <w:hyperlink r:id="rId59" w:history="1">
        <w:r w:rsidRPr="00293CCA">
          <w:rPr>
            <w:rStyle w:val="Hyperlink"/>
          </w:rPr>
          <w:t>Australian Register of Therapeutic Goods (ARTG)</w:t>
        </w:r>
      </w:hyperlink>
      <w:r>
        <w:rPr>
          <w:rStyle w:val="FootnoteReference"/>
        </w:rPr>
        <w:footnoteReference w:id="45"/>
      </w:r>
      <w:r>
        <w:t xml:space="preserve"> that contain</w:t>
      </w:r>
      <w:r w:rsidRPr="00881DFE">
        <w:t xml:space="preserve"> </w:t>
      </w:r>
      <w:r>
        <w:t>cis-jasmone as an active ingredient</w:t>
      </w:r>
      <w:r w:rsidRPr="00881DFE">
        <w:t>.</w:t>
      </w:r>
      <w:r>
        <w:t xml:space="preserve"> There were 51 prescription medicines, </w:t>
      </w:r>
      <w:r w:rsidR="00FD221D">
        <w:t>20</w:t>
      </w:r>
      <w:r>
        <w:t xml:space="preserve"> non-prescription medicines, 24 listed medicines and two devices that contain cis-jasmone as an excipient or other ingredient.</w:t>
      </w:r>
    </w:p>
    <w:p w14:paraId="59C6888F" w14:textId="77777777" w:rsidR="00510B15" w:rsidRDefault="00510B15" w:rsidP="00510B15">
      <w:pPr>
        <w:pStyle w:val="ListBullet"/>
        <w:keepNext/>
        <w:keepLines/>
        <w:numPr>
          <w:ilvl w:val="0"/>
          <w:numId w:val="1"/>
        </w:numPr>
      </w:pPr>
      <w:r>
        <w:lastRenderedPageBreak/>
        <w:t xml:space="preserve">According to the </w:t>
      </w:r>
      <w:hyperlink r:id="rId60" w:history="1">
        <w:r w:rsidRPr="00824CAC">
          <w:rPr>
            <w:rStyle w:val="Hyperlink"/>
          </w:rPr>
          <w:t>Therapeutic Goods (Permissible Ingredients) Determination</w:t>
        </w:r>
      </w:hyperlink>
      <w:r>
        <w:rPr>
          <w:rStyle w:val="FootnoteReference"/>
        </w:rPr>
        <w:footnoteReference w:id="46"/>
      </w:r>
      <w:r w:rsidRPr="009C55D5">
        <w:t xml:space="preserve"> No.</w:t>
      </w:r>
      <w:r>
        <w:t>1</w:t>
      </w:r>
      <w:r w:rsidRPr="009C55D5">
        <w:t xml:space="preserve"> of 20</w:t>
      </w:r>
      <w:r>
        <w:t>21,</w:t>
      </w:r>
      <w:r w:rsidRPr="009C55D5">
        <w:t xml:space="preserve"> </w:t>
      </w:r>
      <w:r>
        <w:t>cis-jasmone is permitted to be included in listed medicines as follows:</w:t>
      </w:r>
    </w:p>
    <w:tbl>
      <w:tblPr>
        <w:tblStyle w:val="TableTGAblue"/>
        <w:tblW w:w="0" w:type="auto"/>
        <w:tblInd w:w="360" w:type="dxa"/>
        <w:tblLook w:val="04A0" w:firstRow="1" w:lastRow="0" w:firstColumn="1" w:lastColumn="0" w:noHBand="0" w:noVBand="1"/>
      </w:tblPr>
      <w:tblGrid>
        <w:gridCol w:w="755"/>
        <w:gridCol w:w="2626"/>
        <w:gridCol w:w="1093"/>
        <w:gridCol w:w="4216"/>
      </w:tblGrid>
      <w:tr w:rsidR="00510B15" w:rsidRPr="0072647D" w14:paraId="53A27616" w14:textId="77777777" w:rsidTr="0072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dxa"/>
            <w:shd w:val="clear" w:color="auto" w:fill="006EA8" w:themeFill="accent1"/>
          </w:tcPr>
          <w:p w14:paraId="3071B017" w14:textId="77777777" w:rsidR="00510B15" w:rsidRPr="0072647D" w:rsidRDefault="00510B15" w:rsidP="00B77007">
            <w:pPr>
              <w:pStyle w:val="ListBullet"/>
              <w:keepLines/>
              <w:numPr>
                <w:ilvl w:val="0"/>
                <w:numId w:val="0"/>
              </w:numPr>
              <w:rPr>
                <w:szCs w:val="22"/>
              </w:rPr>
            </w:pPr>
            <w:r w:rsidRPr="0072647D">
              <w:rPr>
                <w:szCs w:val="22"/>
              </w:rPr>
              <w:t>Item</w:t>
            </w:r>
          </w:p>
        </w:tc>
        <w:tc>
          <w:tcPr>
            <w:tcW w:w="2892" w:type="dxa"/>
            <w:shd w:val="clear" w:color="auto" w:fill="006EA8" w:themeFill="accent1"/>
          </w:tcPr>
          <w:p w14:paraId="147D298A" w14:textId="77777777" w:rsidR="00510B15" w:rsidRPr="0072647D" w:rsidRDefault="00510B15" w:rsidP="00B77007">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Cs w:val="22"/>
              </w:rPr>
            </w:pPr>
            <w:r w:rsidRPr="0072647D">
              <w:rPr>
                <w:szCs w:val="22"/>
              </w:rPr>
              <w:t>Ingredient name</w:t>
            </w:r>
          </w:p>
        </w:tc>
        <w:tc>
          <w:tcPr>
            <w:tcW w:w="1100" w:type="dxa"/>
            <w:shd w:val="clear" w:color="auto" w:fill="006EA8" w:themeFill="accent1"/>
          </w:tcPr>
          <w:p w14:paraId="20AF5C0A" w14:textId="77777777" w:rsidR="00510B15" w:rsidRPr="0072647D" w:rsidRDefault="00510B15" w:rsidP="00B77007">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Cs w:val="22"/>
              </w:rPr>
            </w:pPr>
            <w:r w:rsidRPr="0072647D">
              <w:rPr>
                <w:szCs w:val="22"/>
              </w:rPr>
              <w:t>Purpose</w:t>
            </w:r>
          </w:p>
        </w:tc>
        <w:tc>
          <w:tcPr>
            <w:tcW w:w="4734" w:type="dxa"/>
            <w:shd w:val="clear" w:color="auto" w:fill="006EA8" w:themeFill="accent1"/>
          </w:tcPr>
          <w:p w14:paraId="026ABB5C" w14:textId="77777777" w:rsidR="00510B15" w:rsidRPr="0072647D" w:rsidRDefault="00510B15" w:rsidP="00B77007">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rPr>
                <w:szCs w:val="22"/>
              </w:rPr>
            </w:pPr>
            <w:r w:rsidRPr="0072647D">
              <w:rPr>
                <w:szCs w:val="22"/>
              </w:rPr>
              <w:t>Specific requirements</w:t>
            </w:r>
          </w:p>
        </w:tc>
      </w:tr>
      <w:tr w:rsidR="00510B15" w:rsidRPr="006112EA" w14:paraId="54D16B4B" w14:textId="77777777" w:rsidTr="00B77007">
        <w:tc>
          <w:tcPr>
            <w:cnfStyle w:val="001000000000" w:firstRow="0" w:lastRow="0" w:firstColumn="1" w:lastColumn="0" w:oddVBand="0" w:evenVBand="0" w:oddHBand="0" w:evenHBand="0" w:firstRowFirstColumn="0" w:firstRowLastColumn="0" w:lastRowFirstColumn="0" w:lastRowLastColumn="0"/>
            <w:tcW w:w="768" w:type="dxa"/>
          </w:tcPr>
          <w:p w14:paraId="1A9916A5" w14:textId="77777777" w:rsidR="00510B15" w:rsidRPr="006112EA" w:rsidRDefault="00510B15" w:rsidP="00B77007">
            <w:pPr>
              <w:keepNext/>
              <w:keepLines/>
              <w:rPr>
                <w:sz w:val="20"/>
                <w:szCs w:val="20"/>
              </w:rPr>
            </w:pPr>
            <w:r>
              <w:rPr>
                <w:sz w:val="20"/>
                <w:szCs w:val="20"/>
              </w:rPr>
              <w:t>1426</w:t>
            </w:r>
          </w:p>
        </w:tc>
        <w:tc>
          <w:tcPr>
            <w:tcW w:w="2892" w:type="dxa"/>
          </w:tcPr>
          <w:p w14:paraId="7E066A97" w14:textId="77777777" w:rsidR="00510B15" w:rsidRPr="006112EA" w:rsidRDefault="00510B15" w:rsidP="00B77007">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CIS-JASMONE</w:t>
            </w:r>
          </w:p>
        </w:tc>
        <w:tc>
          <w:tcPr>
            <w:tcW w:w="1100" w:type="dxa"/>
          </w:tcPr>
          <w:p w14:paraId="57341AF7" w14:textId="77777777" w:rsidR="00510B15" w:rsidRPr="006112EA" w:rsidRDefault="00510B15" w:rsidP="00B77007">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p>
        </w:tc>
        <w:tc>
          <w:tcPr>
            <w:tcW w:w="4734" w:type="dxa"/>
          </w:tcPr>
          <w:p w14:paraId="04FB562B" w14:textId="77777777" w:rsidR="00510B15" w:rsidRDefault="00510B15" w:rsidP="00B77007">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Permitted for use only in combination with other permitted ingredients as a flavour or a fragrance.</w:t>
            </w:r>
          </w:p>
          <w:p w14:paraId="39255A55" w14:textId="77777777" w:rsidR="00510B15" w:rsidRDefault="00510B15" w:rsidP="00B77007">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If used in a flavour the total flavour concentration in a medicine must be no more than 5%.</w:t>
            </w:r>
          </w:p>
          <w:p w14:paraId="690736E2" w14:textId="77777777" w:rsidR="00510B15" w:rsidRPr="006112EA" w:rsidRDefault="00510B15" w:rsidP="00B77007">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If used in a fragrance the total fragrance concentration in a medicine must be no more than 1%.</w:t>
            </w:r>
          </w:p>
        </w:tc>
      </w:tr>
      <w:tr w:rsidR="00510B15" w:rsidRPr="006112EA" w14:paraId="12D6D6F0" w14:textId="77777777" w:rsidTr="00B77007">
        <w:tc>
          <w:tcPr>
            <w:cnfStyle w:val="001000000000" w:firstRow="0" w:lastRow="0" w:firstColumn="1" w:lastColumn="0" w:oddVBand="0" w:evenVBand="0" w:oddHBand="0" w:evenHBand="0" w:firstRowFirstColumn="0" w:firstRowLastColumn="0" w:lastRowFirstColumn="0" w:lastRowLastColumn="0"/>
            <w:tcW w:w="9494" w:type="dxa"/>
            <w:gridSpan w:val="4"/>
          </w:tcPr>
          <w:p w14:paraId="010E0B5E" w14:textId="77777777" w:rsidR="00510B15" w:rsidRDefault="00510B15" w:rsidP="00B77007">
            <w:pPr>
              <w:keepNext/>
              <w:keepLines/>
              <w:rPr>
                <w:sz w:val="20"/>
              </w:rPr>
            </w:pPr>
            <w:r w:rsidRPr="00DA08B0">
              <w:rPr>
                <w:sz w:val="16"/>
                <w:szCs w:val="16"/>
              </w:rPr>
              <w:t>E = excipient for a medicine meaning an ingredient that is not an active ingredient or a homoeopathic preparation ingredient</w:t>
            </w:r>
          </w:p>
        </w:tc>
      </w:tr>
    </w:tbl>
    <w:p w14:paraId="57007B18" w14:textId="72B71AA9" w:rsidR="00510B15" w:rsidRDefault="00510B15" w:rsidP="002E2285">
      <w:pPr>
        <w:pStyle w:val="ListBullet"/>
        <w:keepNext/>
        <w:keepLines/>
        <w:numPr>
          <w:ilvl w:val="0"/>
          <w:numId w:val="1"/>
        </w:numPr>
      </w:pPr>
      <w:r>
        <w:t xml:space="preserve">Cis-jasmone is not included in the </w:t>
      </w:r>
      <w:hyperlink r:id="rId61"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47"/>
      </w:r>
      <w:r w:rsidRPr="002E2285">
        <w:rPr>
          <w:rStyle w:val="Hyperlink"/>
          <w:color w:val="auto"/>
          <w:u w:val="none"/>
        </w:rPr>
        <w:t>.</w:t>
      </w:r>
      <w:r>
        <w:t xml:space="preserve"> </w:t>
      </w:r>
    </w:p>
    <w:p w14:paraId="487F3F1E" w14:textId="77777777" w:rsidR="00510B15" w:rsidRDefault="00510B15" w:rsidP="00121A58">
      <w:pPr>
        <w:pStyle w:val="ListBullet"/>
      </w:pPr>
      <w:r>
        <w:t xml:space="preserve">There are no </w:t>
      </w:r>
      <w:r w:rsidRPr="00A30084">
        <w:t xml:space="preserve">warning statements pertaining </w:t>
      </w:r>
      <w:r>
        <w:t xml:space="preserve">to cis-jasmone in the </w:t>
      </w:r>
      <w:hyperlink r:id="rId62" w:history="1">
        <w:r w:rsidRPr="00AB7BF5">
          <w:rPr>
            <w:rStyle w:val="Hyperlink"/>
          </w:rPr>
          <w:t>Therapeutic Goods (Medicines Advisory Statements) Specification 2019</w:t>
        </w:r>
      </w:hyperlink>
      <w:r>
        <w:rPr>
          <w:rStyle w:val="FootnoteReference"/>
        </w:rPr>
        <w:footnoteReference w:id="48"/>
      </w:r>
    </w:p>
    <w:p w14:paraId="54A53990" w14:textId="0F0EE273" w:rsidR="00510B15" w:rsidRPr="007066D4" w:rsidRDefault="00510B15" w:rsidP="00510B15">
      <w:pPr>
        <w:pStyle w:val="ListBullet"/>
        <w:numPr>
          <w:ilvl w:val="0"/>
          <w:numId w:val="1"/>
        </w:numPr>
      </w:pPr>
      <w:r>
        <w:t xml:space="preserve">As of </w:t>
      </w:r>
      <w:r w:rsidR="00121A58">
        <w:t>August</w:t>
      </w:r>
      <w:r w:rsidRPr="007066D4">
        <w:t xml:space="preserve"> 2021, there were no reports of adverse events for products containing cis-jasmone as an active ingredient on the </w:t>
      </w:r>
      <w:hyperlink r:id="rId63" w:history="1">
        <w:r w:rsidRPr="007066D4">
          <w:rPr>
            <w:rStyle w:val="Hyperlink"/>
          </w:rPr>
          <w:t>Database of Adverse Event Notifications (DAEN)</w:t>
        </w:r>
      </w:hyperlink>
      <w:r w:rsidRPr="007066D4">
        <w:rPr>
          <w:rStyle w:val="FootnoteReference"/>
        </w:rPr>
        <w:footnoteReference w:id="49"/>
      </w:r>
      <w:r w:rsidRPr="007066D4">
        <w:rPr>
          <w:rStyle w:val="Hyperlink"/>
          <w:color w:val="auto"/>
          <w:u w:val="none"/>
        </w:rPr>
        <w:t>.</w:t>
      </w:r>
    </w:p>
    <w:p w14:paraId="619E3715" w14:textId="0045A093" w:rsidR="00510B15" w:rsidRPr="007066D4" w:rsidRDefault="00510B15" w:rsidP="00510B15">
      <w:pPr>
        <w:pStyle w:val="ListBullet"/>
        <w:numPr>
          <w:ilvl w:val="0"/>
          <w:numId w:val="1"/>
        </w:numPr>
      </w:pPr>
      <w:r w:rsidRPr="007066D4">
        <w:t xml:space="preserve">As of </w:t>
      </w:r>
      <w:r w:rsidR="00C87095">
        <w:t xml:space="preserve">August </w:t>
      </w:r>
      <w:r w:rsidRPr="007066D4">
        <w:t>2021, there were no</w:t>
      </w:r>
      <w:r w:rsidRPr="00F0449C">
        <w:t xml:space="preserve"> products containing </w:t>
      </w:r>
      <w:r>
        <w:t>cis-jasmone</w:t>
      </w:r>
      <w:r w:rsidRPr="00F0449C">
        <w:t xml:space="preserve"> listed on the </w:t>
      </w:r>
      <w:hyperlink r:id="rId64"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50"/>
      </w:r>
      <w:r>
        <w:t xml:space="preserve"> </w:t>
      </w:r>
      <w:r w:rsidRPr="007066D4">
        <w:rPr>
          <w:i/>
          <w:color w:val="0098F6" w:themeColor="text2" w:themeTint="99"/>
        </w:rPr>
        <w:t xml:space="preserve"> </w:t>
      </w:r>
    </w:p>
    <w:p w14:paraId="0DB3FE71" w14:textId="77777777" w:rsidR="00510B15" w:rsidRPr="00CB687C" w:rsidRDefault="00510B15" w:rsidP="00510B15">
      <w:pPr>
        <w:pStyle w:val="Heading4"/>
      </w:pPr>
      <w:bookmarkStart w:id="54" w:name="_Toc468284153"/>
      <w:bookmarkStart w:id="55" w:name="_Toc486934451"/>
      <w:bookmarkStart w:id="56" w:name="_Toc81903330"/>
      <w:r>
        <w:t>International regulations</w:t>
      </w:r>
      <w:bookmarkEnd w:id="54"/>
      <w:bookmarkEnd w:id="55"/>
      <w:bookmarkEnd w:id="56"/>
    </w:p>
    <w:p w14:paraId="4D34F869" w14:textId="3C65C8B5" w:rsidR="00510B15" w:rsidRDefault="00510B15" w:rsidP="00510B15">
      <w:pPr>
        <w:pStyle w:val="ListBullet"/>
        <w:numPr>
          <w:ilvl w:val="0"/>
          <w:numId w:val="1"/>
        </w:numPr>
      </w:pPr>
      <w:r>
        <w:t xml:space="preserve">Cis-jasmone is included in the </w:t>
      </w:r>
      <w:hyperlink r:id="rId65" w:history="1">
        <w:r w:rsidR="00121A58" w:rsidRPr="00A62F1C">
          <w:rPr>
            <w:rStyle w:val="Hyperlink"/>
          </w:rPr>
          <w:t>United States Environmental Protection Agency’s (US EPA) Office of Pesticides Programs</w:t>
        </w:r>
      </w:hyperlink>
      <w:r w:rsidR="00121A58" w:rsidRPr="00417519">
        <w:rPr>
          <w:rStyle w:val="FootnoteReference"/>
        </w:rPr>
        <w:footnoteReference w:id="51"/>
      </w:r>
      <w:r w:rsidR="00121A58">
        <w:rPr>
          <w:rStyle w:val="Hyperlink"/>
          <w:u w:val="none"/>
        </w:rPr>
        <w:t xml:space="preserve"> </w:t>
      </w:r>
      <w:r>
        <w:t>database as “pending registration”.</w:t>
      </w:r>
    </w:p>
    <w:p w14:paraId="609F554C" w14:textId="0BEC392D" w:rsidR="00D240CD" w:rsidRDefault="00510B15" w:rsidP="00D240CD">
      <w:pPr>
        <w:pStyle w:val="ListBullet"/>
        <w:numPr>
          <w:ilvl w:val="0"/>
          <w:numId w:val="1"/>
        </w:numPr>
        <w:rPr>
          <w:rStyle w:val="Hyperlink"/>
        </w:rPr>
      </w:pPr>
      <w:r>
        <w:t xml:space="preserve">Cis-jasmone for perfuming is included in the </w:t>
      </w:r>
      <w:hyperlink r:id="rId66" w:history="1">
        <w:r w:rsidR="00D240CD" w:rsidRPr="00C81411">
          <w:rPr>
            <w:rStyle w:val="Hyperlink"/>
          </w:rPr>
          <w:t>European Commission database for information on cosmetic substances and ingredients</w:t>
        </w:r>
        <w:r w:rsidR="00D240CD">
          <w:rPr>
            <w:rStyle w:val="Hyperlink"/>
          </w:rPr>
          <w:t xml:space="preserve"> (</w:t>
        </w:r>
        <w:proofErr w:type="spellStart"/>
        <w:r w:rsidR="00D240CD">
          <w:rPr>
            <w:rStyle w:val="Hyperlink"/>
          </w:rPr>
          <w:t>COSIng</w:t>
        </w:r>
        <w:proofErr w:type="spellEnd"/>
        <w:r w:rsidR="00D240CD">
          <w:rPr>
            <w:rStyle w:val="Hyperlink"/>
          </w:rPr>
          <w:t>)</w:t>
        </w:r>
      </w:hyperlink>
      <w:r w:rsidR="00D240CD" w:rsidRPr="00417519">
        <w:rPr>
          <w:rStyle w:val="FootnoteReference"/>
        </w:rPr>
        <w:footnoteReference w:id="52"/>
      </w:r>
    </w:p>
    <w:p w14:paraId="76137AB0" w14:textId="6738D971" w:rsidR="00510B15" w:rsidRDefault="00510B15" w:rsidP="00510B15">
      <w:pPr>
        <w:pStyle w:val="ListBullet"/>
        <w:numPr>
          <w:ilvl w:val="0"/>
          <w:numId w:val="1"/>
        </w:numPr>
      </w:pPr>
      <w:r>
        <w:lastRenderedPageBreak/>
        <w:t xml:space="preserve">Cis-jasmone is included in </w:t>
      </w:r>
      <w:hyperlink r:id="rId67" w:history="1">
        <w:r w:rsidR="00D240CD">
          <w:rPr>
            <w:rStyle w:val="Hyperlink"/>
          </w:rPr>
          <w:t>Health C</w:t>
        </w:r>
        <w:r w:rsidR="00D240CD" w:rsidRPr="003E0934">
          <w:rPr>
            <w:rStyle w:val="Hyperlink"/>
          </w:rPr>
          <w:t>anada’s Pest Management Regulation Agency</w:t>
        </w:r>
      </w:hyperlink>
      <w:r w:rsidR="00D240CD">
        <w:rPr>
          <w:rStyle w:val="Hyperlink"/>
          <w:u w:val="none"/>
        </w:rPr>
        <w:t xml:space="preserve"> </w:t>
      </w:r>
      <w:r w:rsidR="00D240CD">
        <w:rPr>
          <w:rStyle w:val="Hyperlink"/>
          <w:color w:val="auto"/>
          <w:u w:val="none"/>
        </w:rPr>
        <w:t>database</w:t>
      </w:r>
      <w:r w:rsidR="00D240CD" w:rsidRPr="00417519">
        <w:rPr>
          <w:rStyle w:val="FootnoteReference"/>
        </w:rPr>
        <w:footnoteReference w:id="53"/>
      </w:r>
      <w:r>
        <w:t>.</w:t>
      </w:r>
    </w:p>
    <w:p w14:paraId="4EE9109B" w14:textId="49036361" w:rsidR="00510B15" w:rsidRDefault="00510B15" w:rsidP="002E2285">
      <w:pPr>
        <w:pStyle w:val="ListBullet"/>
        <w:numPr>
          <w:ilvl w:val="0"/>
          <w:numId w:val="1"/>
        </w:numPr>
        <w:rPr>
          <w:rStyle w:val="Hyperlink"/>
          <w:color w:val="auto"/>
          <w:u w:val="none"/>
        </w:rPr>
      </w:pPr>
      <w:r>
        <w:rPr>
          <w:rStyle w:val="Hyperlink"/>
          <w:color w:val="auto"/>
          <w:u w:val="none"/>
        </w:rPr>
        <w:t xml:space="preserve">The substance is not included in the </w:t>
      </w:r>
      <w:hyperlink r:id="rId68" w:history="1">
        <w:r w:rsidRPr="007067B8">
          <w:rPr>
            <w:rStyle w:val="Hyperlink"/>
          </w:rPr>
          <w:t xml:space="preserve">New Zealand </w:t>
        </w:r>
        <w:proofErr w:type="spellStart"/>
        <w:r w:rsidRPr="007067B8">
          <w:rPr>
            <w:rStyle w:val="Hyperlink"/>
          </w:rPr>
          <w:t>Medsafe</w:t>
        </w:r>
        <w:proofErr w:type="spellEnd"/>
      </w:hyperlink>
      <w:r w:rsidR="007067B8">
        <w:rPr>
          <w:rStyle w:val="FootnoteReference"/>
        </w:rPr>
        <w:footnoteReference w:id="54"/>
      </w:r>
      <w:r>
        <w:rPr>
          <w:rStyle w:val="Hyperlink"/>
          <w:color w:val="auto"/>
          <w:u w:val="none"/>
        </w:rPr>
        <w:t xml:space="preserve"> medicines classification database, the </w:t>
      </w:r>
      <w:hyperlink r:id="rId69" w:history="1">
        <w:r w:rsidR="002E2285" w:rsidRPr="000B75D5">
          <w:rPr>
            <w:rStyle w:val="Hyperlink"/>
          </w:rPr>
          <w:t>Canadian (Health Canada) Drug Product Database</w:t>
        </w:r>
      </w:hyperlink>
      <w:r w:rsidR="002E2285" w:rsidRPr="00417519">
        <w:rPr>
          <w:rStyle w:val="FootnoteReference"/>
        </w:rPr>
        <w:footnoteReference w:id="55"/>
      </w:r>
      <w:r>
        <w:rPr>
          <w:rStyle w:val="Hyperlink"/>
          <w:color w:val="auto"/>
          <w:u w:val="none"/>
        </w:rPr>
        <w:t xml:space="preserve">, the </w:t>
      </w:r>
      <w:hyperlink r:id="rId70" w:history="1">
        <w:r w:rsidR="002E2285" w:rsidRPr="002E2285">
          <w:rPr>
            <w:rStyle w:val="Hyperlink"/>
          </w:rPr>
          <w:t>United States Food and Drug Administration Approved Drug Products Database (</w:t>
        </w:r>
        <w:proofErr w:type="spellStart"/>
        <w:r w:rsidR="002E2285" w:rsidRPr="002E2285">
          <w:rPr>
            <w:rStyle w:val="Hyperlink"/>
          </w:rPr>
          <w:t>Drugs@FDA</w:t>
        </w:r>
        <w:proofErr w:type="spellEnd"/>
        <w:r w:rsidR="002E2285" w:rsidRPr="002E2285">
          <w:rPr>
            <w:rStyle w:val="Hyperlink"/>
          </w:rPr>
          <w:t>)</w:t>
        </w:r>
      </w:hyperlink>
      <w:r w:rsidR="002E2285">
        <w:rPr>
          <w:rStyle w:val="FootnoteReference"/>
        </w:rPr>
        <w:footnoteReference w:id="56"/>
      </w:r>
      <w:r>
        <w:rPr>
          <w:rStyle w:val="Hyperlink"/>
          <w:color w:val="auto"/>
          <w:u w:val="none"/>
        </w:rPr>
        <w:t xml:space="preserve">, </w:t>
      </w:r>
      <w:hyperlink r:id="rId71" w:history="1">
        <w:r w:rsidR="002E2285" w:rsidRPr="00682120">
          <w:rPr>
            <w:rStyle w:val="Hyperlink"/>
          </w:rPr>
          <w:t>New Zealand Inventory of Chemicals (</w:t>
        </w:r>
        <w:proofErr w:type="spellStart"/>
        <w:r w:rsidR="002E2285" w:rsidRPr="00682120">
          <w:rPr>
            <w:rStyle w:val="Hyperlink"/>
          </w:rPr>
          <w:t>NZIoC</w:t>
        </w:r>
        <w:proofErr w:type="spellEnd"/>
        <w:r w:rsidR="002E2285" w:rsidRPr="00682120">
          <w:rPr>
            <w:rStyle w:val="Hyperlink"/>
          </w:rPr>
          <w:t>)</w:t>
        </w:r>
      </w:hyperlink>
      <w:r w:rsidR="002E2285" w:rsidRPr="00417519">
        <w:rPr>
          <w:rStyle w:val="FootnoteReference"/>
        </w:rPr>
        <w:footnoteReference w:id="57"/>
      </w:r>
      <w:r w:rsidR="007067B8">
        <w:rPr>
          <w:rStyle w:val="Hyperlink"/>
          <w:u w:val="none"/>
        </w:rPr>
        <w:t xml:space="preserve">, </w:t>
      </w:r>
      <w:r>
        <w:rPr>
          <w:rStyle w:val="Hyperlink"/>
          <w:color w:val="auto"/>
          <w:u w:val="none"/>
        </w:rPr>
        <w:t xml:space="preserve">or the </w:t>
      </w:r>
      <w:hyperlink r:id="rId72" w:history="1">
        <w:r w:rsidRPr="002E2285">
          <w:rPr>
            <w:rStyle w:val="Hyperlink"/>
          </w:rPr>
          <w:t>EU Pesticides Database</w:t>
        </w:r>
      </w:hyperlink>
      <w:r w:rsidR="002E2285">
        <w:rPr>
          <w:rStyle w:val="FootnoteReference"/>
        </w:rPr>
        <w:footnoteReference w:id="58"/>
      </w:r>
      <w:r>
        <w:rPr>
          <w:rStyle w:val="Hyperlink"/>
          <w:color w:val="auto"/>
          <w:u w:val="none"/>
        </w:rPr>
        <w:t xml:space="preserve">.  </w:t>
      </w:r>
    </w:p>
    <w:p w14:paraId="28872E5D" w14:textId="73327400" w:rsidR="0046531F" w:rsidRDefault="0046531F" w:rsidP="002E2285">
      <w:pPr>
        <w:pStyle w:val="ListBullet"/>
        <w:numPr>
          <w:ilvl w:val="0"/>
          <w:numId w:val="1"/>
        </w:numPr>
      </w:pPr>
      <w:r>
        <w:t xml:space="preserve">The </w:t>
      </w:r>
      <w:hyperlink r:id="rId73" w:history="1">
        <w:r w:rsidRPr="00C81411">
          <w:rPr>
            <w:rStyle w:val="Hyperlink"/>
          </w:rPr>
          <w:t>European Chemicals Agency (ECHA)</w:t>
        </w:r>
      </w:hyperlink>
      <w:r w:rsidRPr="00417519">
        <w:rPr>
          <w:rStyle w:val="FootnoteReference"/>
        </w:rPr>
        <w:footnoteReference w:id="59"/>
      </w:r>
      <w:r>
        <w:rPr>
          <w:rStyle w:val="Hyperlink"/>
          <w:u w:val="none"/>
        </w:rPr>
        <w:t xml:space="preserve"> </w:t>
      </w:r>
      <w:r>
        <w:rPr>
          <w:rStyle w:val="Hyperlink"/>
          <w:color w:val="auto"/>
          <w:u w:val="none"/>
        </w:rPr>
        <w:t xml:space="preserve">has a </w:t>
      </w:r>
      <w:r w:rsidR="00D71C3E">
        <w:rPr>
          <w:rStyle w:val="Hyperlink"/>
          <w:color w:val="auto"/>
          <w:u w:val="none"/>
        </w:rPr>
        <w:t>hazard warning that cis-jasmone causes ‘serious eye irritation and causes skin irritatio</w:t>
      </w:r>
      <w:r w:rsidR="00940110">
        <w:rPr>
          <w:rStyle w:val="Hyperlink"/>
          <w:color w:val="auto"/>
          <w:u w:val="none"/>
        </w:rPr>
        <w:t>n</w:t>
      </w:r>
      <w:r w:rsidR="00D71C3E">
        <w:rPr>
          <w:rStyle w:val="Hyperlink"/>
          <w:color w:val="auto"/>
          <w:u w:val="none"/>
        </w:rPr>
        <w:t>’.</w:t>
      </w:r>
    </w:p>
    <w:p w14:paraId="518AC38A" w14:textId="780664E2" w:rsidR="003C02CB" w:rsidRDefault="002B779E" w:rsidP="003C02CB">
      <w:pPr>
        <w:pStyle w:val="Heading3"/>
      </w:pPr>
      <w:bookmarkStart w:id="57" w:name="_Toc81903331"/>
      <w:r>
        <w:t>Cannabis and tetrahydrocannabinols</w:t>
      </w:r>
      <w:bookmarkEnd w:id="57"/>
    </w:p>
    <w:p w14:paraId="5839C5EF" w14:textId="3A3B6FCA" w:rsidR="002B779E" w:rsidRDefault="002B779E" w:rsidP="003C02CB">
      <w:pPr>
        <w:pStyle w:val="Heading4"/>
      </w:pPr>
      <w:bookmarkStart w:id="58" w:name="_Toc81903332"/>
      <w:r>
        <w:t>Proposal</w:t>
      </w:r>
      <w:bookmarkEnd w:id="58"/>
    </w:p>
    <w:p w14:paraId="153C688F" w14:textId="233E5944" w:rsidR="002B779E" w:rsidRPr="002B779E" w:rsidRDefault="002B779E" w:rsidP="002B779E">
      <w:r>
        <w:t xml:space="preserve">The applicant has proposed amendment of the existing </w:t>
      </w:r>
      <w:r w:rsidR="006B619A">
        <w:t xml:space="preserve">Schedule </w:t>
      </w:r>
      <w:r w:rsidR="00842FF4">
        <w:t>8</w:t>
      </w:r>
      <w:r w:rsidR="006B619A">
        <w:t xml:space="preserve"> entries for cannabis and tetrahydrocannabinols to </w:t>
      </w:r>
      <w:r w:rsidR="00842FF4">
        <w:t xml:space="preserve">include </w:t>
      </w:r>
      <w:r w:rsidR="006B619A">
        <w:t>veterinary use of these substances (except in animals for human consumption).</w:t>
      </w:r>
    </w:p>
    <w:p w14:paraId="537C754D" w14:textId="4438F5C8" w:rsidR="003C02CB" w:rsidRDefault="003C02CB" w:rsidP="003C02CB">
      <w:pPr>
        <w:pStyle w:val="Heading4"/>
      </w:pPr>
      <w:bookmarkStart w:id="59" w:name="_Toc81903333"/>
      <w:r>
        <w:t>CAS Number:</w:t>
      </w:r>
      <w:bookmarkEnd w:id="59"/>
    </w:p>
    <w:p w14:paraId="49171017" w14:textId="650E9870" w:rsidR="00702517" w:rsidRDefault="00702517" w:rsidP="003C02CB">
      <w:r>
        <w:t>Cannabis contains numerous related compounds known as cannabinoids. Cannabinoids specifically detailed in the application include:</w:t>
      </w:r>
    </w:p>
    <w:p w14:paraId="68ACE196" w14:textId="35F4F51D" w:rsidR="003C02CB" w:rsidRDefault="003235BA" w:rsidP="003C02CB">
      <w:r>
        <w:t>1972-08-3 (</w:t>
      </w:r>
      <w:r w:rsidR="001820AA">
        <w:t>D</w:t>
      </w:r>
      <w:r>
        <w:t>elta-9-tetrahydrocannabinol)</w:t>
      </w:r>
    </w:p>
    <w:p w14:paraId="2BC26831" w14:textId="683F872B" w:rsidR="001820AA" w:rsidRDefault="001820AA" w:rsidP="003C02CB">
      <w:r>
        <w:t>25654-31-3 (</w:t>
      </w:r>
      <w:proofErr w:type="spellStart"/>
      <w:r>
        <w:t>Cannabigerol</w:t>
      </w:r>
      <w:proofErr w:type="spellEnd"/>
      <w:r>
        <w:t>)</w:t>
      </w:r>
    </w:p>
    <w:p w14:paraId="11685B6B" w14:textId="1CD0F3AC" w:rsidR="001820AA" w:rsidRDefault="00702517" w:rsidP="003C02CB">
      <w:r>
        <w:t>13956-29-1 (</w:t>
      </w:r>
      <w:r w:rsidR="001820AA">
        <w:t>Cannabidiol</w:t>
      </w:r>
      <w:r>
        <w:t>)</w:t>
      </w:r>
    </w:p>
    <w:p w14:paraId="51174841" w14:textId="4CFCE613" w:rsidR="001820AA" w:rsidRDefault="001820AA" w:rsidP="003C02CB">
      <w:r>
        <w:t>20675-51-8 (</w:t>
      </w:r>
      <w:proofErr w:type="spellStart"/>
      <w:r>
        <w:t>Cannabichromene</w:t>
      </w:r>
      <w:proofErr w:type="spellEnd"/>
      <w:r>
        <w:t>)</w:t>
      </w:r>
    </w:p>
    <w:p w14:paraId="1D134EAE" w14:textId="20EE24E4" w:rsidR="00163F5B" w:rsidRDefault="00163F5B" w:rsidP="003C02CB">
      <w:r>
        <w:t>521-35-7 (Cannabinol)</w:t>
      </w:r>
    </w:p>
    <w:p w14:paraId="1C96370B" w14:textId="5589B63C" w:rsidR="00163F5B" w:rsidRDefault="00163F5B" w:rsidP="003C02CB">
      <w:r>
        <w:t>21366-63-2 (</w:t>
      </w:r>
      <w:proofErr w:type="spellStart"/>
      <w:r>
        <w:t>Cannabicyclol</w:t>
      </w:r>
      <w:proofErr w:type="spellEnd"/>
      <w:r>
        <w:t>)</w:t>
      </w:r>
    </w:p>
    <w:p w14:paraId="481E2215" w14:textId="768404AC" w:rsidR="001820AA" w:rsidRDefault="00702517" w:rsidP="003C02CB">
      <w:r>
        <w:t>52025-76-0 (</w:t>
      </w:r>
      <w:proofErr w:type="spellStart"/>
      <w:r w:rsidR="001820AA">
        <w:t>Cannabielsoin</w:t>
      </w:r>
      <w:proofErr w:type="spellEnd"/>
      <w:r>
        <w:t>)</w:t>
      </w:r>
    </w:p>
    <w:p w14:paraId="41B42DCD" w14:textId="75AA58F1" w:rsidR="00163F5B" w:rsidRDefault="00163F5B" w:rsidP="003C02CB">
      <w:r>
        <w:t>11003-36-4 (</w:t>
      </w:r>
      <w:proofErr w:type="spellStart"/>
      <w:r>
        <w:t>Cannabitriol</w:t>
      </w:r>
      <w:proofErr w:type="spellEnd"/>
      <w:r>
        <w:t>)</w:t>
      </w:r>
    </w:p>
    <w:p w14:paraId="20C33C04" w14:textId="116B2817" w:rsidR="00472D7B" w:rsidRDefault="00472D7B" w:rsidP="00472D7B">
      <w:pPr>
        <w:pStyle w:val="Heading4"/>
      </w:pPr>
      <w:bookmarkStart w:id="60" w:name="_Toc81903334"/>
      <w:r>
        <w:t>Alternative names</w:t>
      </w:r>
      <w:bookmarkEnd w:id="60"/>
    </w:p>
    <w:p w14:paraId="56EDA8E3" w14:textId="372CB0A7" w:rsidR="00472D7B" w:rsidRDefault="003235BA" w:rsidP="003C02CB">
      <w:r>
        <w:t>Marijuana</w:t>
      </w:r>
    </w:p>
    <w:p w14:paraId="3DEEBAF2" w14:textId="77777777" w:rsidR="003C02CB" w:rsidRDefault="003C02CB" w:rsidP="003C02CB">
      <w:pPr>
        <w:pStyle w:val="Heading4"/>
      </w:pPr>
      <w:bookmarkStart w:id="61" w:name="_Toc81903335"/>
      <w:r>
        <w:t>Applicant</w:t>
      </w:r>
      <w:bookmarkEnd w:id="61"/>
    </w:p>
    <w:p w14:paraId="0A869FB9" w14:textId="5C57C516" w:rsidR="003C02CB" w:rsidRDefault="003C02CB" w:rsidP="003C02CB">
      <w:r w:rsidRPr="006B619A">
        <w:t>Private applicant</w:t>
      </w:r>
    </w:p>
    <w:p w14:paraId="348D6816" w14:textId="77777777" w:rsidR="00F5662A" w:rsidRDefault="00F5662A" w:rsidP="00F5662A">
      <w:pPr>
        <w:pStyle w:val="Heading4"/>
      </w:pPr>
      <w:bookmarkStart w:id="62" w:name="_Toc81903336"/>
      <w:r>
        <w:lastRenderedPageBreak/>
        <w:t>Current scheduling</w:t>
      </w:r>
      <w:bookmarkEnd w:id="62"/>
    </w:p>
    <w:p w14:paraId="2E30D541" w14:textId="7CB3FFE0" w:rsidR="00F5662A" w:rsidRDefault="005D4C6F" w:rsidP="00F5662A">
      <w:r w:rsidRPr="005D4C6F">
        <w:t>Cannabis and tetrahydrocannabinols are</w:t>
      </w:r>
      <w:r w:rsidR="00F5662A" w:rsidRPr="005D4C6F">
        <w:t xml:space="preserve"> currently in Schedule </w:t>
      </w:r>
      <w:r w:rsidRPr="005D4C6F">
        <w:t>8</w:t>
      </w:r>
      <w:r w:rsidR="00F5662A" w:rsidRPr="005D4C6F">
        <w:t xml:space="preserve"> and </w:t>
      </w:r>
      <w:r w:rsidRPr="005D4C6F">
        <w:t>Schedule 9</w:t>
      </w:r>
      <w:r w:rsidR="00F5662A" w:rsidRPr="005D4C6F">
        <w:t xml:space="preserve"> of the Poisons Standard as follows:</w:t>
      </w:r>
    </w:p>
    <w:p w14:paraId="25CDADF2" w14:textId="77777777" w:rsidR="005D4C6F" w:rsidRPr="006D5C84" w:rsidRDefault="005D4C6F" w:rsidP="005D4C6F">
      <w:pPr>
        <w:ind w:left="426"/>
        <w:rPr>
          <w:b/>
        </w:rPr>
      </w:pPr>
      <w:r w:rsidRPr="006D5C84">
        <w:rPr>
          <w:b/>
        </w:rPr>
        <w:t xml:space="preserve">Schedule </w:t>
      </w:r>
      <w:r>
        <w:rPr>
          <w:b/>
        </w:rPr>
        <w:t>9</w:t>
      </w:r>
    </w:p>
    <w:p w14:paraId="5E96EF7C" w14:textId="77777777" w:rsidR="005D4C6F" w:rsidRDefault="005D4C6F" w:rsidP="005D4C6F">
      <w:pPr>
        <w:ind w:left="426"/>
      </w:pPr>
      <w:r w:rsidRPr="005C2887">
        <w:t xml:space="preserve">CANNABIS (including seeds, extracts, resins, and the plant and any part of the plant when packed or prepared), </w:t>
      </w:r>
      <w:r w:rsidRPr="005C2887">
        <w:rPr>
          <w:b/>
        </w:rPr>
        <w:t>except</w:t>
      </w:r>
      <w:r w:rsidRPr="005C2887">
        <w:t>:</w:t>
      </w:r>
    </w:p>
    <w:p w14:paraId="5F6E4854" w14:textId="77777777" w:rsidR="005D4C6F" w:rsidRDefault="005D4C6F" w:rsidP="00BD7E45">
      <w:pPr>
        <w:pStyle w:val="Numberbullet2a"/>
        <w:numPr>
          <w:ilvl w:val="0"/>
          <w:numId w:val="19"/>
        </w:numPr>
        <w:ind w:left="851" w:hanging="425"/>
      </w:pPr>
      <w:r w:rsidRPr="005C2887">
        <w:t>when separately specified in these Schedules; or</w:t>
      </w:r>
    </w:p>
    <w:p w14:paraId="24D9A804" w14:textId="77777777" w:rsidR="005D4C6F" w:rsidRDefault="005D4C6F" w:rsidP="00BD7E45">
      <w:pPr>
        <w:pStyle w:val="Numberbullet2a"/>
        <w:numPr>
          <w:ilvl w:val="0"/>
          <w:numId w:val="19"/>
        </w:numPr>
        <w:ind w:left="851" w:hanging="425"/>
      </w:pPr>
      <w:r w:rsidRPr="005C2887">
        <w:t>processed hemp fibre containing 0.1 per cent or les</w:t>
      </w:r>
      <w:r>
        <w:t xml:space="preserve">s of tetrahydrocannabinols and </w:t>
      </w:r>
      <w:r w:rsidRPr="005C2887">
        <w:t>hemp fibre products manufactured from such fibre; or</w:t>
      </w:r>
    </w:p>
    <w:p w14:paraId="4D0F71B3" w14:textId="77777777" w:rsidR="005D4C6F" w:rsidRPr="00D67617" w:rsidRDefault="005D4C6F" w:rsidP="00BD7E45">
      <w:pPr>
        <w:pStyle w:val="Numberbullet2a"/>
        <w:numPr>
          <w:ilvl w:val="0"/>
          <w:numId w:val="19"/>
        </w:numPr>
        <w:ind w:left="851" w:hanging="425"/>
      </w:pPr>
      <w:r w:rsidRPr="005C2887">
        <w:t>when in hemp seed oil for purposes other than internal human use containing 50 mg/kg or less of cannabinoids, including 20 mg/kg or less of tetrahydrocannabinols, when labelled with either of the following warning statements:</w:t>
      </w:r>
    </w:p>
    <w:p w14:paraId="6489CE78" w14:textId="77777777" w:rsidR="005D4C6F" w:rsidRPr="00D67617" w:rsidRDefault="005D4C6F" w:rsidP="00BD7E45">
      <w:pPr>
        <w:pStyle w:val="ListBulleti"/>
        <w:numPr>
          <w:ilvl w:val="0"/>
          <w:numId w:val="27"/>
        </w:numPr>
      </w:pPr>
      <w:r w:rsidRPr="00D67617">
        <w:t>Not for internal use; or</w:t>
      </w:r>
    </w:p>
    <w:p w14:paraId="15C2C7C2" w14:textId="77777777" w:rsidR="005D4C6F" w:rsidRDefault="005D4C6F" w:rsidP="00842FF4">
      <w:pPr>
        <w:pStyle w:val="ListBulleti"/>
      </w:pPr>
      <w:r w:rsidRPr="00D67617">
        <w:t>Not to be taken.</w:t>
      </w:r>
    </w:p>
    <w:p w14:paraId="6C76221C" w14:textId="77777777" w:rsidR="005D4C6F" w:rsidRDefault="005D4C6F" w:rsidP="005D4C6F">
      <w:pPr>
        <w:ind w:left="426"/>
      </w:pPr>
      <w:r w:rsidRPr="00D67617">
        <w:t>TETRAHYDROCANNABINOLS and their alkyl homologues, </w:t>
      </w:r>
      <w:r w:rsidRPr="00D67617">
        <w:rPr>
          <w:b/>
          <w:bCs/>
        </w:rPr>
        <w:t>except</w:t>
      </w:r>
      <w:r w:rsidRPr="00D67617">
        <w:t>:</w:t>
      </w:r>
    </w:p>
    <w:p w14:paraId="0B0774B3" w14:textId="77777777" w:rsidR="005D4C6F" w:rsidRDefault="005D4C6F" w:rsidP="00BD7E45">
      <w:pPr>
        <w:pStyle w:val="Numberbullet2a"/>
        <w:numPr>
          <w:ilvl w:val="0"/>
          <w:numId w:val="20"/>
        </w:numPr>
        <w:ind w:left="851" w:hanging="425"/>
      </w:pPr>
      <w:r w:rsidRPr="005C3F1A">
        <w:t>when included in Schedule 4 or Schedule 8; or</w:t>
      </w:r>
    </w:p>
    <w:p w14:paraId="3814B97D" w14:textId="77777777" w:rsidR="005D4C6F" w:rsidRDefault="005D4C6F" w:rsidP="00BD7E45">
      <w:pPr>
        <w:pStyle w:val="Numberbullet2a"/>
        <w:numPr>
          <w:ilvl w:val="0"/>
          <w:numId w:val="20"/>
        </w:numPr>
        <w:ind w:left="851" w:hanging="425"/>
      </w:pPr>
      <w:r w:rsidRPr="005C3F1A">
        <w:t>processed hemp fibre containing 0.1 per cent or less of tetrahydrocannabinols, and hemp fibre products manufactured from such fibre; or</w:t>
      </w:r>
    </w:p>
    <w:p w14:paraId="0E1CCEAC" w14:textId="77777777" w:rsidR="005D4C6F" w:rsidRPr="00D67617" w:rsidRDefault="005D4C6F" w:rsidP="00BD7E45">
      <w:pPr>
        <w:pStyle w:val="Numberbullet2a"/>
        <w:numPr>
          <w:ilvl w:val="0"/>
          <w:numId w:val="20"/>
        </w:numPr>
        <w:ind w:left="851" w:hanging="425"/>
      </w:pPr>
      <w:r w:rsidRPr="005C3F1A">
        <w:t>in hemp seed oil for purposes other than internal human use containing 50 mg/kg or less of total cannabinoids, including 20 mg/kg or less of tetrahydrocannabinols, when labelled with either of the following warning statements:</w:t>
      </w:r>
    </w:p>
    <w:p w14:paraId="0231634C" w14:textId="77777777" w:rsidR="005D4C6F" w:rsidRPr="00D67617" w:rsidRDefault="005D4C6F" w:rsidP="00BD7E45">
      <w:pPr>
        <w:pStyle w:val="ListBulleti"/>
        <w:numPr>
          <w:ilvl w:val="0"/>
          <w:numId w:val="28"/>
        </w:numPr>
      </w:pPr>
      <w:r w:rsidRPr="00D67617">
        <w:t xml:space="preserve">Not for </w:t>
      </w:r>
      <w:r w:rsidRPr="005D4C6F">
        <w:t>internal</w:t>
      </w:r>
      <w:r w:rsidRPr="00D67617">
        <w:t xml:space="preserve"> use; or</w:t>
      </w:r>
    </w:p>
    <w:p w14:paraId="1458980C" w14:textId="0D57A8E3" w:rsidR="005D4C6F" w:rsidRDefault="005D4C6F" w:rsidP="00842FF4">
      <w:pPr>
        <w:pStyle w:val="ListBulleti"/>
      </w:pPr>
      <w:r w:rsidRPr="00D67617">
        <w:t>Not to be taken.</w:t>
      </w:r>
    </w:p>
    <w:p w14:paraId="3AFF9755" w14:textId="27CBF240" w:rsidR="005D4C6F" w:rsidRPr="005D4C6F" w:rsidRDefault="005D4C6F" w:rsidP="005D4C6F">
      <w:pPr>
        <w:pStyle w:val="Numberbullet3i"/>
        <w:numPr>
          <w:ilvl w:val="0"/>
          <w:numId w:val="0"/>
        </w:numPr>
        <w:ind w:left="426"/>
        <w:rPr>
          <w:b/>
          <w:bCs/>
          <w:lang w:eastAsia="en-AU"/>
        </w:rPr>
      </w:pPr>
      <w:r w:rsidRPr="005D4C6F">
        <w:rPr>
          <w:b/>
          <w:bCs/>
          <w:lang w:eastAsia="en-AU"/>
        </w:rPr>
        <w:t>Schedule 8</w:t>
      </w:r>
    </w:p>
    <w:p w14:paraId="34758059" w14:textId="029220C3" w:rsidR="005D4C6F" w:rsidRDefault="005D4C6F" w:rsidP="005D4C6F">
      <w:pPr>
        <w:pStyle w:val="Numberbullet3i"/>
        <w:numPr>
          <w:ilvl w:val="0"/>
          <w:numId w:val="0"/>
        </w:numPr>
        <w:ind w:left="426"/>
        <w:rPr>
          <w:lang w:eastAsia="en-AU"/>
        </w:rPr>
      </w:pPr>
      <w:r>
        <w:rPr>
          <w:lang w:eastAsia="en-AU"/>
        </w:rPr>
        <w:t># CANNABIS (including seeds, extracts, resins and the plant, and any part of the plant) when prepared or packed for human therapeutic use, when:</w:t>
      </w:r>
    </w:p>
    <w:p w14:paraId="1AC9A888" w14:textId="23726DEE" w:rsidR="005D4C6F" w:rsidRDefault="005D4C6F" w:rsidP="00BD7E45">
      <w:pPr>
        <w:pStyle w:val="Numberbullet2a"/>
        <w:numPr>
          <w:ilvl w:val="0"/>
          <w:numId w:val="26"/>
        </w:numPr>
        <w:ind w:left="851" w:hanging="425"/>
      </w:pPr>
      <w:r>
        <w:t xml:space="preserve">cultivated or </w:t>
      </w:r>
      <w:r w:rsidRPr="00842FF4">
        <w:t>produced</w:t>
      </w:r>
      <w:r>
        <w:t>, or in products manufactured</w:t>
      </w:r>
      <w:r w:rsidRPr="00842FF4">
        <w:rPr>
          <w:sz w:val="14"/>
          <w:szCs w:val="14"/>
        </w:rPr>
        <w:t>1</w:t>
      </w:r>
      <w:r>
        <w:t xml:space="preserve">, in accordance with the </w:t>
      </w:r>
      <w:r w:rsidRPr="00842FF4">
        <w:rPr>
          <w:rFonts w:ascii="Times New Roman,Italic" w:hAnsi="Times New Roman,Italic" w:cs="Times New Roman,Italic"/>
          <w:i/>
          <w:iCs/>
        </w:rPr>
        <w:t>Narcotic Drugs Act 1967</w:t>
      </w:r>
      <w:r>
        <w:t>; and/or</w:t>
      </w:r>
    </w:p>
    <w:p w14:paraId="455326D9" w14:textId="565FC7B4" w:rsidR="005D4C6F" w:rsidRDefault="005D4C6F" w:rsidP="005D4C6F">
      <w:pPr>
        <w:pStyle w:val="Numberbullet2a"/>
        <w:rPr>
          <w:lang w:eastAsia="en-AU"/>
        </w:rPr>
      </w:pPr>
      <w:r>
        <w:rPr>
          <w:lang w:eastAsia="en-AU"/>
        </w:rPr>
        <w:t xml:space="preserve">for use in products manufactured in accordance with the </w:t>
      </w:r>
      <w:r>
        <w:rPr>
          <w:rFonts w:ascii="Times New Roman,Italic" w:hAnsi="Times New Roman,Italic" w:cs="Times New Roman,Italic"/>
          <w:i/>
          <w:iCs/>
          <w:lang w:eastAsia="en-AU"/>
        </w:rPr>
        <w:t>Narcotic Drugs Act 1967</w:t>
      </w:r>
      <w:r>
        <w:rPr>
          <w:lang w:eastAsia="en-AU"/>
        </w:rPr>
        <w:t>; and/or</w:t>
      </w:r>
    </w:p>
    <w:p w14:paraId="22062A93" w14:textId="628A68C4" w:rsidR="005D4C6F" w:rsidRDefault="005D4C6F" w:rsidP="005D4C6F">
      <w:pPr>
        <w:pStyle w:val="Numberbullet2a"/>
        <w:rPr>
          <w:lang w:eastAsia="en-AU"/>
        </w:rPr>
      </w:pPr>
      <w:r>
        <w:rPr>
          <w:lang w:eastAsia="en-AU"/>
        </w:rPr>
        <w:t xml:space="preserve">imported as therapeutic goods, or for use in therapeutic goods, for supply, in accordance with the </w:t>
      </w:r>
      <w:r>
        <w:rPr>
          <w:rFonts w:ascii="Times New Roman,Italic" w:hAnsi="Times New Roman,Italic" w:cs="Times New Roman,Italic"/>
          <w:i/>
          <w:iCs/>
          <w:lang w:eastAsia="en-AU"/>
        </w:rPr>
        <w:t>Therapeutic Goods Act 1989</w:t>
      </w:r>
      <w:r>
        <w:rPr>
          <w:lang w:eastAsia="en-AU"/>
        </w:rPr>
        <w:t>; and/or</w:t>
      </w:r>
    </w:p>
    <w:p w14:paraId="619C17C7" w14:textId="677944B0" w:rsidR="005D4C6F" w:rsidRDefault="005D4C6F" w:rsidP="005D4C6F">
      <w:pPr>
        <w:pStyle w:val="Numberbullet2a"/>
        <w:rPr>
          <w:lang w:eastAsia="en-AU"/>
        </w:rPr>
      </w:pPr>
      <w:r>
        <w:rPr>
          <w:lang w:eastAsia="en-AU"/>
        </w:rPr>
        <w:t xml:space="preserve">in therapeutic goods supplied in accordance with the </w:t>
      </w:r>
      <w:r>
        <w:rPr>
          <w:rFonts w:ascii="Times New Roman,Italic" w:hAnsi="Times New Roman,Italic" w:cs="Times New Roman,Italic"/>
          <w:i/>
          <w:iCs/>
          <w:lang w:eastAsia="en-AU"/>
        </w:rPr>
        <w:t>Therapeutic Goods Act 1989</w:t>
      </w:r>
      <w:r>
        <w:rPr>
          <w:lang w:eastAsia="en-AU"/>
        </w:rPr>
        <w:t xml:space="preserve">, </w:t>
      </w:r>
    </w:p>
    <w:p w14:paraId="3C4906FC" w14:textId="77777777" w:rsidR="005D4C6F" w:rsidRDefault="005D4C6F" w:rsidP="005D4C6F">
      <w:pPr>
        <w:pStyle w:val="Numberbullet3i"/>
        <w:numPr>
          <w:ilvl w:val="0"/>
          <w:numId w:val="0"/>
        </w:numPr>
        <w:ind w:left="1276"/>
        <w:rPr>
          <w:rFonts w:ascii="Times New Roman" w:hAnsi="Times New Roman"/>
          <w:lang w:eastAsia="en-AU"/>
        </w:rPr>
      </w:pPr>
      <w:r w:rsidRPr="005D4C6F">
        <w:rPr>
          <w:b/>
          <w:bCs/>
          <w:lang w:eastAsia="en-AU"/>
        </w:rPr>
        <w:t>except</w:t>
      </w:r>
      <w:r>
        <w:rPr>
          <w:lang w:eastAsia="en-AU"/>
        </w:rPr>
        <w:t xml:space="preserve"> </w:t>
      </w:r>
      <w:r>
        <w:rPr>
          <w:rFonts w:ascii="Times New Roman" w:hAnsi="Times New Roman"/>
          <w:lang w:eastAsia="en-AU"/>
        </w:rPr>
        <w:t>when:</w:t>
      </w:r>
    </w:p>
    <w:p w14:paraId="3B40DA42" w14:textId="14C38020" w:rsidR="005D4C6F" w:rsidRPr="005D4C6F" w:rsidRDefault="005D4C6F" w:rsidP="00BD7E45">
      <w:pPr>
        <w:pStyle w:val="ListBulleti"/>
        <w:numPr>
          <w:ilvl w:val="0"/>
          <w:numId w:val="25"/>
        </w:numPr>
        <w:rPr>
          <w:lang w:eastAsia="en-AU"/>
        </w:rPr>
      </w:pPr>
      <w:r>
        <w:rPr>
          <w:lang w:eastAsia="en-AU"/>
        </w:rPr>
        <w:t xml:space="preserve">it is in a product to which item 4, 8, 10, 11 or 12 of Schedule 5A to the </w:t>
      </w:r>
      <w:r w:rsidRPr="00842FF4">
        <w:rPr>
          <w:rFonts w:ascii="Times New Roman,Italic" w:hAnsi="Times New Roman,Italic" w:cs="Times New Roman,Italic"/>
          <w:i/>
          <w:iCs/>
          <w:lang w:eastAsia="en-AU"/>
        </w:rPr>
        <w:t xml:space="preserve">Therapeutic Goods Regulations 1990 </w:t>
      </w:r>
      <w:r>
        <w:rPr>
          <w:lang w:eastAsia="en-AU"/>
        </w:rPr>
        <w:t>applies; or</w:t>
      </w:r>
    </w:p>
    <w:p w14:paraId="4201E759" w14:textId="77705358" w:rsidR="005D4C6F" w:rsidRDefault="005D4C6F" w:rsidP="00842FF4">
      <w:pPr>
        <w:pStyle w:val="ListBulleti"/>
        <w:rPr>
          <w:lang w:eastAsia="en-AU"/>
        </w:rPr>
      </w:pPr>
      <w:r>
        <w:rPr>
          <w:lang w:eastAsia="en-AU"/>
        </w:rPr>
        <w:t xml:space="preserve">separately specified in </w:t>
      </w:r>
      <w:r w:rsidRPr="005D4C6F">
        <w:t>the</w:t>
      </w:r>
      <w:r>
        <w:rPr>
          <w:lang w:eastAsia="en-AU"/>
        </w:rPr>
        <w:t xml:space="preserve"> NABIXIMOLS entry in this Schedule; or</w:t>
      </w:r>
    </w:p>
    <w:p w14:paraId="76F6D1FF" w14:textId="403F8F4E" w:rsidR="005D4C6F" w:rsidRDefault="005D4C6F" w:rsidP="00842FF4">
      <w:pPr>
        <w:pStyle w:val="ListBulleti"/>
      </w:pPr>
      <w:r>
        <w:rPr>
          <w:lang w:eastAsia="en-AU"/>
        </w:rPr>
        <w:lastRenderedPageBreak/>
        <w:t>captured by the CANNABIDIOL entry in Schedule 4 or Schedule 3.</w:t>
      </w:r>
    </w:p>
    <w:p w14:paraId="656704BE" w14:textId="77777777" w:rsidR="005D4C6F" w:rsidRDefault="005D4C6F" w:rsidP="005D4C6F">
      <w:pPr>
        <w:pStyle w:val="Numberbullet3i"/>
        <w:numPr>
          <w:ilvl w:val="0"/>
          <w:numId w:val="0"/>
        </w:numPr>
        <w:ind w:left="426"/>
      </w:pPr>
      <w:r>
        <w:t># TETRAHYDROCANNABINOLS when extracted from cannabis for human therapeutic use, when:</w:t>
      </w:r>
    </w:p>
    <w:p w14:paraId="3C2DE4E9" w14:textId="0A33B3D4" w:rsidR="005D4C6F" w:rsidRDefault="005D4C6F" w:rsidP="00BD7E45">
      <w:pPr>
        <w:pStyle w:val="Numberbullet2a"/>
        <w:numPr>
          <w:ilvl w:val="0"/>
          <w:numId w:val="21"/>
        </w:numPr>
        <w:ind w:left="851" w:hanging="425"/>
      </w:pPr>
      <w:r>
        <w:t>included in products manufactured in accordance with the Narcotic Drugs Act 1967; and/or</w:t>
      </w:r>
    </w:p>
    <w:p w14:paraId="47B38A19" w14:textId="09C0BB3A" w:rsidR="005D4C6F" w:rsidRDefault="005D4C6F" w:rsidP="005D4C6F">
      <w:pPr>
        <w:pStyle w:val="Numberbullet2a"/>
      </w:pPr>
      <w:r>
        <w:t>imported as therapeutic goods, or for use in therapeutic goods, for supply, in accordance with the Therapeutic Goods Act 1989; and/or</w:t>
      </w:r>
    </w:p>
    <w:p w14:paraId="4DC5B78C" w14:textId="16F832AC" w:rsidR="005D4C6F" w:rsidRDefault="005D4C6F" w:rsidP="005D4C6F">
      <w:pPr>
        <w:pStyle w:val="Numberbullet2a"/>
      </w:pPr>
      <w:r>
        <w:t>in therapeutic goods supplied in accordance with the Therapeutic Goods Act 1989,</w:t>
      </w:r>
    </w:p>
    <w:p w14:paraId="351F673A" w14:textId="77777777" w:rsidR="005D4C6F" w:rsidRDefault="005D4C6F" w:rsidP="00AE172D">
      <w:pPr>
        <w:pStyle w:val="Numberbullet3i"/>
        <w:numPr>
          <w:ilvl w:val="0"/>
          <w:numId w:val="0"/>
        </w:numPr>
        <w:ind w:left="1276"/>
      </w:pPr>
      <w:r w:rsidRPr="00AE172D">
        <w:rPr>
          <w:b/>
          <w:bCs/>
        </w:rPr>
        <w:t>except</w:t>
      </w:r>
      <w:r>
        <w:t xml:space="preserve"> when:</w:t>
      </w:r>
    </w:p>
    <w:p w14:paraId="10C7EF18" w14:textId="583C3FA6" w:rsidR="005D4C6F" w:rsidRDefault="005D4C6F" w:rsidP="00BD7E45">
      <w:pPr>
        <w:pStyle w:val="ListBulleti"/>
        <w:numPr>
          <w:ilvl w:val="0"/>
          <w:numId w:val="24"/>
        </w:numPr>
      </w:pPr>
      <w:r>
        <w:t>it is in a product to which item 4, 8, 10, 11 or 12 of Schedule 5A to the Therapeutic Goods Regulations 1990 applies; or</w:t>
      </w:r>
    </w:p>
    <w:p w14:paraId="612C2915" w14:textId="570B77CB" w:rsidR="005D4C6F" w:rsidRDefault="005D4C6F" w:rsidP="00842FF4">
      <w:pPr>
        <w:pStyle w:val="ListBulleti"/>
      </w:pPr>
      <w:r>
        <w:t>separately specified in the NABIXIMOLS entry in this Schedule; or</w:t>
      </w:r>
    </w:p>
    <w:p w14:paraId="616987AA" w14:textId="2F3FEC75" w:rsidR="005D4C6F" w:rsidRDefault="005D4C6F" w:rsidP="00842FF4">
      <w:pPr>
        <w:pStyle w:val="ListBulleti"/>
      </w:pPr>
      <w:r>
        <w:t>captured by the CANNABIDIOL entry in Schedule 4 or Schedule 3.</w:t>
      </w:r>
    </w:p>
    <w:p w14:paraId="425F1A12" w14:textId="5CBF934D" w:rsidR="00F06382" w:rsidRDefault="00F06382" w:rsidP="00F06382">
      <w:pPr>
        <w:pStyle w:val="ListBulleti"/>
        <w:numPr>
          <w:ilvl w:val="0"/>
          <w:numId w:val="0"/>
        </w:numPr>
      </w:pPr>
      <w:r>
        <w:t xml:space="preserve">CANNABIS and TETRAHYDROCANNABINOLS are also included in </w:t>
      </w:r>
      <w:r w:rsidRPr="000A5D0D">
        <w:rPr>
          <w:b/>
          <w:bCs/>
        </w:rPr>
        <w:t>Appendix D</w:t>
      </w:r>
      <w:r>
        <w:t xml:space="preserve"> of the Poisons Standard as follows:</w:t>
      </w:r>
    </w:p>
    <w:p w14:paraId="3C82DE72" w14:textId="0C5C5D0D" w:rsidR="00F06382" w:rsidRDefault="00F06382" w:rsidP="00F06382">
      <w:pPr>
        <w:pStyle w:val="ListBulleti"/>
        <w:numPr>
          <w:ilvl w:val="0"/>
          <w:numId w:val="45"/>
        </w:numPr>
      </w:pPr>
      <w:r>
        <w:t>Poisons available only from or on the prescription or order of an authorised medical practitioner:</w:t>
      </w:r>
    </w:p>
    <w:p w14:paraId="4E6A7D6F" w14:textId="04C4B532" w:rsidR="00F06382" w:rsidRDefault="00F06382" w:rsidP="00F06382">
      <w:pPr>
        <w:pStyle w:val="ListBulleti"/>
        <w:numPr>
          <w:ilvl w:val="0"/>
          <w:numId w:val="0"/>
        </w:numPr>
        <w:ind w:left="720"/>
      </w:pPr>
      <w:r>
        <w:t>CANNABIS for human use.</w:t>
      </w:r>
    </w:p>
    <w:p w14:paraId="0967EBD3" w14:textId="3528DD52" w:rsidR="00F06382" w:rsidRDefault="00F06382" w:rsidP="000A5D0D">
      <w:pPr>
        <w:pStyle w:val="ListBulleti"/>
        <w:numPr>
          <w:ilvl w:val="0"/>
          <w:numId w:val="0"/>
        </w:numPr>
        <w:ind w:left="720"/>
      </w:pPr>
      <w:r>
        <w:t>TETRAHYDROCANNABINOLS for human use.</w:t>
      </w:r>
    </w:p>
    <w:p w14:paraId="6A6566FA" w14:textId="7AF1BFC0" w:rsidR="003C02CB" w:rsidRDefault="003C02CB" w:rsidP="003C02CB">
      <w:pPr>
        <w:pStyle w:val="Heading4"/>
      </w:pPr>
      <w:bookmarkStart w:id="63" w:name="_Toc81903337"/>
      <w:r>
        <w:t>Proposed scheduling</w:t>
      </w:r>
      <w:bookmarkEnd w:id="63"/>
    </w:p>
    <w:p w14:paraId="3779F4C1" w14:textId="7246626A" w:rsidR="00702517" w:rsidRPr="00F3790D" w:rsidRDefault="00702517" w:rsidP="00842FF4">
      <w:pPr>
        <w:pStyle w:val="Numberbullet3i"/>
        <w:numPr>
          <w:ilvl w:val="0"/>
          <w:numId w:val="0"/>
        </w:numPr>
        <w:ind w:left="426"/>
        <w:rPr>
          <w:lang w:eastAsia="en-AU"/>
        </w:rPr>
      </w:pPr>
      <w:r w:rsidRPr="00F3790D">
        <w:rPr>
          <w:lang w:eastAsia="en-AU"/>
        </w:rPr>
        <w:t>The applicant is not seeking amendment to the Schedule 9 entries for cannabis or tetrahydrocannabinols.</w:t>
      </w:r>
    </w:p>
    <w:p w14:paraId="04763F20" w14:textId="6A50C3F1" w:rsidR="00842FF4" w:rsidRPr="005D4C6F" w:rsidRDefault="00842FF4" w:rsidP="00842FF4">
      <w:pPr>
        <w:pStyle w:val="Numberbullet3i"/>
        <w:numPr>
          <w:ilvl w:val="0"/>
          <w:numId w:val="0"/>
        </w:numPr>
        <w:ind w:left="426"/>
        <w:rPr>
          <w:b/>
          <w:bCs/>
          <w:lang w:eastAsia="en-AU"/>
        </w:rPr>
      </w:pPr>
      <w:r w:rsidRPr="005D4C6F">
        <w:rPr>
          <w:b/>
          <w:bCs/>
          <w:lang w:eastAsia="en-AU"/>
        </w:rPr>
        <w:t>Schedule 8</w:t>
      </w:r>
      <w:r>
        <w:rPr>
          <w:b/>
          <w:bCs/>
          <w:lang w:eastAsia="en-AU"/>
        </w:rPr>
        <w:t xml:space="preserve"> – Amend Entry</w:t>
      </w:r>
    </w:p>
    <w:p w14:paraId="47606B77" w14:textId="62E4FDFD" w:rsidR="00842FF4" w:rsidRDefault="00842FF4" w:rsidP="00842FF4">
      <w:pPr>
        <w:pStyle w:val="Numberbullet3i"/>
        <w:numPr>
          <w:ilvl w:val="0"/>
          <w:numId w:val="0"/>
        </w:numPr>
        <w:ind w:left="426"/>
        <w:rPr>
          <w:lang w:eastAsia="en-AU"/>
        </w:rPr>
      </w:pPr>
      <w:r>
        <w:rPr>
          <w:lang w:eastAsia="en-AU"/>
        </w:rPr>
        <w:t xml:space="preserve"># CANNABIS (including seeds, extracts, resins and the plant, and any part of the plant) when prepared or packed for human </w:t>
      </w:r>
      <w:r w:rsidRPr="00842FF4">
        <w:rPr>
          <w:color w:val="00B050"/>
          <w:lang w:eastAsia="en-AU"/>
        </w:rPr>
        <w:t>or animal</w:t>
      </w:r>
      <w:r>
        <w:rPr>
          <w:lang w:eastAsia="en-AU"/>
        </w:rPr>
        <w:t xml:space="preserve"> therapeutic use, when:</w:t>
      </w:r>
    </w:p>
    <w:p w14:paraId="5907A0F3" w14:textId="77777777" w:rsidR="00842FF4" w:rsidRDefault="00842FF4" w:rsidP="00BD7E45">
      <w:pPr>
        <w:pStyle w:val="Numberbullet2a"/>
        <w:numPr>
          <w:ilvl w:val="0"/>
          <w:numId w:val="22"/>
        </w:numPr>
        <w:ind w:left="851" w:hanging="425"/>
        <w:rPr>
          <w:lang w:eastAsia="en-AU"/>
        </w:rPr>
      </w:pPr>
      <w:r>
        <w:rPr>
          <w:lang w:eastAsia="en-AU"/>
        </w:rPr>
        <w:t>cultivated or produced, or in products manufactured</w:t>
      </w:r>
      <w:r w:rsidRPr="00842FF4">
        <w:rPr>
          <w:sz w:val="14"/>
          <w:szCs w:val="14"/>
          <w:lang w:eastAsia="en-AU"/>
        </w:rPr>
        <w:t>1</w:t>
      </w:r>
      <w:r>
        <w:rPr>
          <w:lang w:eastAsia="en-AU"/>
        </w:rPr>
        <w:t xml:space="preserve">, in accordance with the </w:t>
      </w:r>
      <w:r w:rsidRPr="00842FF4">
        <w:rPr>
          <w:rFonts w:ascii="Times New Roman,Italic" w:hAnsi="Times New Roman,Italic" w:cs="Times New Roman,Italic"/>
          <w:i/>
          <w:iCs/>
          <w:lang w:eastAsia="en-AU"/>
        </w:rPr>
        <w:t>Narcotic Drugs Act 1967</w:t>
      </w:r>
      <w:r>
        <w:rPr>
          <w:lang w:eastAsia="en-AU"/>
        </w:rPr>
        <w:t>; and/or</w:t>
      </w:r>
    </w:p>
    <w:p w14:paraId="14B679A0" w14:textId="77777777" w:rsidR="00842FF4" w:rsidRDefault="00842FF4" w:rsidP="00842FF4">
      <w:pPr>
        <w:pStyle w:val="Numberbullet2a"/>
        <w:rPr>
          <w:lang w:eastAsia="en-AU"/>
        </w:rPr>
      </w:pPr>
      <w:r>
        <w:rPr>
          <w:lang w:eastAsia="en-AU"/>
        </w:rPr>
        <w:t xml:space="preserve">for use in products manufactured in accordance with the </w:t>
      </w:r>
      <w:r>
        <w:rPr>
          <w:rFonts w:ascii="Times New Roman,Italic" w:hAnsi="Times New Roman,Italic" w:cs="Times New Roman,Italic"/>
          <w:i/>
          <w:iCs/>
          <w:lang w:eastAsia="en-AU"/>
        </w:rPr>
        <w:t>Narcotic Drugs Act 1967</w:t>
      </w:r>
      <w:r>
        <w:rPr>
          <w:lang w:eastAsia="en-AU"/>
        </w:rPr>
        <w:t>; and/or</w:t>
      </w:r>
    </w:p>
    <w:p w14:paraId="37649F74" w14:textId="77777777" w:rsidR="00842FF4" w:rsidRDefault="00842FF4" w:rsidP="00842FF4">
      <w:pPr>
        <w:pStyle w:val="Numberbullet2a"/>
        <w:rPr>
          <w:lang w:eastAsia="en-AU"/>
        </w:rPr>
      </w:pPr>
      <w:r>
        <w:rPr>
          <w:lang w:eastAsia="en-AU"/>
        </w:rPr>
        <w:t xml:space="preserve">imported as therapeutic goods, or for use in therapeutic goods, for supply, in accordance with the </w:t>
      </w:r>
      <w:r>
        <w:rPr>
          <w:rFonts w:ascii="Times New Roman,Italic" w:hAnsi="Times New Roman,Italic" w:cs="Times New Roman,Italic"/>
          <w:i/>
          <w:iCs/>
          <w:lang w:eastAsia="en-AU"/>
        </w:rPr>
        <w:t>Therapeutic Goods Act 1989</w:t>
      </w:r>
      <w:r>
        <w:rPr>
          <w:lang w:eastAsia="en-AU"/>
        </w:rPr>
        <w:t>; and/or</w:t>
      </w:r>
    </w:p>
    <w:p w14:paraId="2A46050D" w14:textId="77777777" w:rsidR="00842FF4" w:rsidRDefault="00842FF4" w:rsidP="00842FF4">
      <w:pPr>
        <w:pStyle w:val="Numberbullet2a"/>
        <w:rPr>
          <w:lang w:eastAsia="en-AU"/>
        </w:rPr>
      </w:pPr>
      <w:r>
        <w:rPr>
          <w:lang w:eastAsia="en-AU"/>
        </w:rPr>
        <w:t xml:space="preserve">in therapeutic goods supplied in accordance with the </w:t>
      </w:r>
      <w:r>
        <w:rPr>
          <w:rFonts w:ascii="Times New Roman,Italic" w:hAnsi="Times New Roman,Italic" w:cs="Times New Roman,Italic"/>
          <w:i/>
          <w:iCs/>
          <w:lang w:eastAsia="en-AU"/>
        </w:rPr>
        <w:t>Therapeutic Goods Act 1989</w:t>
      </w:r>
      <w:r>
        <w:rPr>
          <w:lang w:eastAsia="en-AU"/>
        </w:rPr>
        <w:t xml:space="preserve">, </w:t>
      </w:r>
    </w:p>
    <w:p w14:paraId="5B3C8A61" w14:textId="77777777" w:rsidR="00842FF4" w:rsidRDefault="00842FF4" w:rsidP="00842FF4">
      <w:pPr>
        <w:pStyle w:val="Numberbullet3i"/>
        <w:numPr>
          <w:ilvl w:val="0"/>
          <w:numId w:val="0"/>
        </w:numPr>
        <w:ind w:left="1276"/>
        <w:rPr>
          <w:rFonts w:ascii="Times New Roman" w:hAnsi="Times New Roman"/>
          <w:lang w:eastAsia="en-AU"/>
        </w:rPr>
      </w:pPr>
      <w:r w:rsidRPr="005D4C6F">
        <w:rPr>
          <w:b/>
          <w:bCs/>
          <w:lang w:eastAsia="en-AU"/>
        </w:rPr>
        <w:t>except</w:t>
      </w:r>
      <w:r>
        <w:rPr>
          <w:lang w:eastAsia="en-AU"/>
        </w:rPr>
        <w:t xml:space="preserve"> </w:t>
      </w:r>
      <w:r>
        <w:rPr>
          <w:rFonts w:ascii="Times New Roman" w:hAnsi="Times New Roman"/>
          <w:lang w:eastAsia="en-AU"/>
        </w:rPr>
        <w:t>when:</w:t>
      </w:r>
    </w:p>
    <w:p w14:paraId="3C959018" w14:textId="77777777" w:rsidR="00842FF4" w:rsidRPr="005D4C6F" w:rsidRDefault="00842FF4" w:rsidP="00BD7E45">
      <w:pPr>
        <w:pStyle w:val="ListBulleti"/>
        <w:numPr>
          <w:ilvl w:val="0"/>
          <w:numId w:val="23"/>
        </w:numPr>
        <w:rPr>
          <w:lang w:eastAsia="en-AU"/>
        </w:rPr>
      </w:pPr>
      <w:r>
        <w:rPr>
          <w:lang w:eastAsia="en-AU"/>
        </w:rPr>
        <w:t xml:space="preserve">it is in a </w:t>
      </w:r>
      <w:r w:rsidRPr="00842FF4">
        <w:t>product</w:t>
      </w:r>
      <w:r>
        <w:rPr>
          <w:lang w:eastAsia="en-AU"/>
        </w:rPr>
        <w:t xml:space="preserve"> to which item 4, 8, 10, 11 or 12 of Schedule 5A to the </w:t>
      </w:r>
      <w:r w:rsidRPr="00842FF4">
        <w:rPr>
          <w:rFonts w:ascii="Times New Roman,Italic" w:hAnsi="Times New Roman,Italic" w:cs="Times New Roman,Italic"/>
          <w:i/>
          <w:iCs/>
          <w:lang w:eastAsia="en-AU"/>
        </w:rPr>
        <w:t xml:space="preserve">Therapeutic Goods Regulations 1990 </w:t>
      </w:r>
      <w:r>
        <w:rPr>
          <w:lang w:eastAsia="en-AU"/>
        </w:rPr>
        <w:t>applies; or</w:t>
      </w:r>
    </w:p>
    <w:p w14:paraId="50C5AEED" w14:textId="77777777" w:rsidR="00842FF4" w:rsidRDefault="00842FF4" w:rsidP="00842FF4">
      <w:pPr>
        <w:pStyle w:val="ListBulleti"/>
        <w:rPr>
          <w:lang w:eastAsia="en-AU"/>
        </w:rPr>
      </w:pPr>
      <w:r>
        <w:rPr>
          <w:lang w:eastAsia="en-AU"/>
        </w:rPr>
        <w:t xml:space="preserve">separately specified in </w:t>
      </w:r>
      <w:r w:rsidRPr="005D4C6F">
        <w:t>the</w:t>
      </w:r>
      <w:r>
        <w:rPr>
          <w:lang w:eastAsia="en-AU"/>
        </w:rPr>
        <w:t xml:space="preserve"> NABIXIMOLS entry in this Schedule; or</w:t>
      </w:r>
    </w:p>
    <w:p w14:paraId="77CD0F6A" w14:textId="77777777" w:rsidR="003235BA" w:rsidRDefault="00842FF4" w:rsidP="003235BA">
      <w:pPr>
        <w:pStyle w:val="ListBulleti"/>
        <w:rPr>
          <w:color w:val="00B050"/>
        </w:rPr>
      </w:pPr>
      <w:r>
        <w:rPr>
          <w:lang w:eastAsia="en-AU"/>
        </w:rPr>
        <w:lastRenderedPageBreak/>
        <w:t>captured by the CANNABIDIOL entry in Schedule 4 or Schedule 3</w:t>
      </w:r>
      <w:r w:rsidRPr="00842FF4">
        <w:rPr>
          <w:color w:val="00B050"/>
          <w:lang w:eastAsia="en-AU"/>
        </w:rPr>
        <w:t>; or</w:t>
      </w:r>
    </w:p>
    <w:p w14:paraId="729B3D5D" w14:textId="4F0B190E" w:rsidR="00842FF4" w:rsidRPr="003235BA" w:rsidRDefault="00842FF4" w:rsidP="003235BA">
      <w:pPr>
        <w:pStyle w:val="ListBulleti"/>
        <w:rPr>
          <w:color w:val="00B050"/>
        </w:rPr>
      </w:pPr>
      <w:r w:rsidRPr="003235BA">
        <w:rPr>
          <w:color w:val="00B050"/>
          <w:lang w:eastAsia="en-AU"/>
        </w:rPr>
        <w:t>it is intended to be used on animals bred for human consumption</w:t>
      </w:r>
      <w:r>
        <w:rPr>
          <w:lang w:eastAsia="en-AU"/>
        </w:rPr>
        <w:t>.</w:t>
      </w:r>
    </w:p>
    <w:p w14:paraId="595E82CC" w14:textId="6ADBBC5A" w:rsidR="00842FF4" w:rsidRDefault="00842FF4" w:rsidP="00842FF4">
      <w:pPr>
        <w:pStyle w:val="Numberbullet3i"/>
        <w:numPr>
          <w:ilvl w:val="0"/>
          <w:numId w:val="0"/>
        </w:numPr>
        <w:ind w:left="426"/>
      </w:pPr>
      <w:r>
        <w:t xml:space="preserve"># TETRAHYDROCANNABINOLS when extracted from cannabis for human </w:t>
      </w:r>
      <w:r w:rsidRPr="00842FF4">
        <w:rPr>
          <w:color w:val="00B050"/>
        </w:rPr>
        <w:t>or animal</w:t>
      </w:r>
      <w:r>
        <w:t xml:space="preserve"> therapeutic use, when:</w:t>
      </w:r>
    </w:p>
    <w:p w14:paraId="19CCAB45" w14:textId="77777777" w:rsidR="00842FF4" w:rsidRDefault="00842FF4" w:rsidP="00BD7E45">
      <w:pPr>
        <w:pStyle w:val="Numberbullet2a"/>
        <w:numPr>
          <w:ilvl w:val="0"/>
          <w:numId w:val="29"/>
        </w:numPr>
        <w:ind w:left="851" w:hanging="425"/>
      </w:pPr>
      <w:r>
        <w:t>included in products manufactured in accordance with the Narcotic Drugs Act 1967; and/or</w:t>
      </w:r>
    </w:p>
    <w:p w14:paraId="5BD343C4" w14:textId="77777777" w:rsidR="00842FF4" w:rsidRDefault="00842FF4" w:rsidP="00842FF4">
      <w:pPr>
        <w:pStyle w:val="Numberbullet2a"/>
      </w:pPr>
      <w:r>
        <w:t>imported as therapeutic goods, or for use in therapeutic goods, for supply, in accordance with the Therapeutic Goods Act 1989; and/or</w:t>
      </w:r>
    </w:p>
    <w:p w14:paraId="52DB9DE7" w14:textId="77777777" w:rsidR="00842FF4" w:rsidRDefault="00842FF4" w:rsidP="00842FF4">
      <w:pPr>
        <w:pStyle w:val="Numberbullet2a"/>
      </w:pPr>
      <w:r>
        <w:t>in therapeutic goods supplied in accordance with the Therapeutic Goods Act 1989,</w:t>
      </w:r>
    </w:p>
    <w:p w14:paraId="4E458FBE" w14:textId="77777777" w:rsidR="00842FF4" w:rsidRDefault="00842FF4" w:rsidP="00842FF4">
      <w:pPr>
        <w:pStyle w:val="Numberbullet3i"/>
        <w:numPr>
          <w:ilvl w:val="0"/>
          <w:numId w:val="0"/>
        </w:numPr>
        <w:ind w:left="1276"/>
      </w:pPr>
      <w:r w:rsidRPr="00AE172D">
        <w:rPr>
          <w:b/>
          <w:bCs/>
        </w:rPr>
        <w:t>except</w:t>
      </w:r>
      <w:r>
        <w:t xml:space="preserve"> when:</w:t>
      </w:r>
    </w:p>
    <w:p w14:paraId="5DA84A48" w14:textId="77777777" w:rsidR="00842FF4" w:rsidRDefault="00842FF4" w:rsidP="00BD7E45">
      <w:pPr>
        <w:pStyle w:val="ListBulleti"/>
        <w:numPr>
          <w:ilvl w:val="0"/>
          <w:numId w:val="30"/>
        </w:numPr>
      </w:pPr>
      <w:r>
        <w:t>it is in a product to which item 4, 8, 10, 11 or 12 of Schedule 5A to the Therapeutic Goods Regulations 1990 applies; or</w:t>
      </w:r>
    </w:p>
    <w:p w14:paraId="1C369954" w14:textId="77777777" w:rsidR="00842FF4" w:rsidRDefault="00842FF4" w:rsidP="00842FF4">
      <w:pPr>
        <w:pStyle w:val="ListBulleti"/>
      </w:pPr>
      <w:r>
        <w:t>separately specified in the NABIXIMOLS entry in this Schedule; or</w:t>
      </w:r>
    </w:p>
    <w:p w14:paraId="75A4F7F1" w14:textId="7D202D9C" w:rsidR="00842FF4" w:rsidRPr="0057307D" w:rsidRDefault="00842FF4" w:rsidP="00842FF4">
      <w:pPr>
        <w:pStyle w:val="ListBulleti"/>
        <w:rPr>
          <w:color w:val="00B050"/>
        </w:rPr>
      </w:pPr>
      <w:r>
        <w:t xml:space="preserve">captured by the CANNABIDIOL entry in Schedule 4 or Schedule 3; </w:t>
      </w:r>
      <w:r w:rsidRPr="0057307D">
        <w:rPr>
          <w:color w:val="00B050"/>
        </w:rPr>
        <w:t>or</w:t>
      </w:r>
    </w:p>
    <w:p w14:paraId="37F37CB8" w14:textId="7BBF6A4D" w:rsidR="00842FF4" w:rsidRDefault="0057307D" w:rsidP="00842FF4">
      <w:pPr>
        <w:pStyle w:val="ListBulleti"/>
      </w:pPr>
      <w:r w:rsidRPr="0057307D">
        <w:rPr>
          <w:color w:val="00B050"/>
        </w:rPr>
        <w:t>intended to be used on animals bred for human consumption</w:t>
      </w:r>
      <w:r>
        <w:t>.</w:t>
      </w:r>
    </w:p>
    <w:p w14:paraId="795E122B" w14:textId="14BF9CAC" w:rsidR="00F06382" w:rsidRDefault="00F06382" w:rsidP="00F06382">
      <w:pPr>
        <w:pStyle w:val="ListBulleti"/>
        <w:numPr>
          <w:ilvl w:val="0"/>
          <w:numId w:val="0"/>
        </w:numPr>
        <w:ind w:left="426"/>
        <w:rPr>
          <w:b/>
          <w:bCs/>
        </w:rPr>
      </w:pPr>
      <w:r w:rsidRPr="000A5D0D">
        <w:rPr>
          <w:b/>
          <w:bCs/>
        </w:rPr>
        <w:t>Appendix D – Amend Entry</w:t>
      </w:r>
    </w:p>
    <w:p w14:paraId="32CAC257" w14:textId="77777777" w:rsidR="00F06382" w:rsidRPr="000A5D0D" w:rsidRDefault="00F06382" w:rsidP="000A5D0D">
      <w:pPr>
        <w:pStyle w:val="ListBulleti"/>
        <w:numPr>
          <w:ilvl w:val="0"/>
          <w:numId w:val="46"/>
        </w:numPr>
      </w:pPr>
      <w:r w:rsidRPr="000A5D0D">
        <w:t>Poisons available only from or on the prescription or order of an authorised medical practitioner:</w:t>
      </w:r>
    </w:p>
    <w:p w14:paraId="278E5222" w14:textId="77777777" w:rsidR="00F06382" w:rsidRPr="000A5D0D" w:rsidRDefault="00F06382" w:rsidP="00F06382">
      <w:pPr>
        <w:pStyle w:val="ListBulleti"/>
        <w:numPr>
          <w:ilvl w:val="0"/>
          <w:numId w:val="0"/>
        </w:numPr>
        <w:ind w:left="720"/>
        <w:rPr>
          <w:strike/>
          <w:color w:val="FF0000"/>
        </w:rPr>
      </w:pPr>
      <w:r w:rsidRPr="000A5D0D">
        <w:rPr>
          <w:strike/>
          <w:color w:val="FF0000"/>
        </w:rPr>
        <w:t>CANNABIS for human use.</w:t>
      </w:r>
    </w:p>
    <w:p w14:paraId="19F1A39E" w14:textId="479ECCE8" w:rsidR="00F06382" w:rsidRDefault="00F06382" w:rsidP="00F06382">
      <w:pPr>
        <w:pStyle w:val="ListBulleti"/>
        <w:numPr>
          <w:ilvl w:val="0"/>
          <w:numId w:val="0"/>
        </w:numPr>
        <w:ind w:left="720"/>
        <w:rPr>
          <w:strike/>
          <w:color w:val="FF0000"/>
        </w:rPr>
      </w:pPr>
      <w:r w:rsidRPr="000A5D0D">
        <w:rPr>
          <w:strike/>
          <w:color w:val="FF0000"/>
        </w:rPr>
        <w:t>TETRAHYDROCANNABINOLS for human use.</w:t>
      </w:r>
    </w:p>
    <w:p w14:paraId="3227C68F" w14:textId="0D9E6300" w:rsidR="00F06382" w:rsidRPr="000A5D0D" w:rsidRDefault="00F06382" w:rsidP="000A5D0D">
      <w:pPr>
        <w:pStyle w:val="ListBulleti"/>
        <w:numPr>
          <w:ilvl w:val="0"/>
          <w:numId w:val="0"/>
        </w:numPr>
        <w:ind w:left="716" w:hanging="290"/>
      </w:pPr>
      <w:r w:rsidRPr="000A5D0D">
        <w:t>5.</w:t>
      </w:r>
      <w:r w:rsidRPr="000A5D0D">
        <w:tab/>
        <w:t>Poisons for which possession without authority is illegal (e.g. possession other than in accordance with a legal prescription).</w:t>
      </w:r>
    </w:p>
    <w:p w14:paraId="1048BF29" w14:textId="44476426" w:rsidR="00F06382" w:rsidRPr="000A5D0D" w:rsidRDefault="00F06382" w:rsidP="00F06382">
      <w:pPr>
        <w:pStyle w:val="ListBulleti"/>
        <w:numPr>
          <w:ilvl w:val="0"/>
          <w:numId w:val="0"/>
        </w:numPr>
        <w:ind w:left="426"/>
        <w:rPr>
          <w:color w:val="00B050"/>
        </w:rPr>
      </w:pPr>
      <w:r w:rsidRPr="000A5D0D">
        <w:rPr>
          <w:color w:val="00B050"/>
        </w:rPr>
        <w:tab/>
        <w:t>CANNABIS</w:t>
      </w:r>
      <w:r w:rsidR="000443FE">
        <w:rPr>
          <w:color w:val="00B050"/>
        </w:rPr>
        <w:t xml:space="preserve"> for human use.</w:t>
      </w:r>
    </w:p>
    <w:p w14:paraId="77AF908C" w14:textId="315D6EF3" w:rsidR="00F06382" w:rsidRPr="000A5D0D" w:rsidRDefault="00F06382" w:rsidP="000A5D0D">
      <w:pPr>
        <w:pStyle w:val="ListBulleti"/>
        <w:numPr>
          <w:ilvl w:val="0"/>
          <w:numId w:val="0"/>
        </w:numPr>
        <w:ind w:left="426"/>
        <w:rPr>
          <w:color w:val="00B050"/>
        </w:rPr>
      </w:pPr>
      <w:r w:rsidRPr="000A5D0D">
        <w:rPr>
          <w:color w:val="00B050"/>
        </w:rPr>
        <w:tab/>
        <w:t>TETRAHYDROCANNABINOLS</w:t>
      </w:r>
      <w:r w:rsidR="000443FE">
        <w:rPr>
          <w:color w:val="00B050"/>
        </w:rPr>
        <w:t xml:space="preserve"> for human use.</w:t>
      </w:r>
    </w:p>
    <w:p w14:paraId="7FDFF3DC" w14:textId="1794865E" w:rsidR="00F5662A" w:rsidRDefault="00F5662A" w:rsidP="00F5662A">
      <w:pPr>
        <w:pStyle w:val="Heading4"/>
      </w:pPr>
      <w:bookmarkStart w:id="64" w:name="_Toc81903338"/>
      <w:r>
        <w:t>Key uses / expected use</w:t>
      </w:r>
      <w:bookmarkEnd w:id="64"/>
    </w:p>
    <w:p w14:paraId="7BDD9D14" w14:textId="44A43728" w:rsidR="00F5662A" w:rsidRDefault="00F5662A" w:rsidP="00F5662A">
      <w:r w:rsidRPr="0057307D">
        <w:t>Medicines</w:t>
      </w:r>
    </w:p>
    <w:p w14:paraId="519E99C5" w14:textId="77777777" w:rsidR="003C02CB" w:rsidRDefault="006B619A" w:rsidP="003C02CB">
      <w:pPr>
        <w:pStyle w:val="Heading4"/>
      </w:pPr>
      <w:bookmarkStart w:id="65" w:name="_Toc81903339"/>
      <w:r>
        <w:t>Application summary - r</w:t>
      </w:r>
      <w:r w:rsidR="003C02CB">
        <w:t>easons for proposal</w:t>
      </w:r>
      <w:bookmarkEnd w:id="65"/>
    </w:p>
    <w:p w14:paraId="208BC40B" w14:textId="27D0F85B" w:rsidR="002C5DAE" w:rsidRDefault="002C5DAE" w:rsidP="002C5DAE">
      <w:pPr>
        <w:pStyle w:val="ListBullet"/>
      </w:pPr>
      <w:r w:rsidRPr="00AF61B9">
        <w:t xml:space="preserve">Veterinarians </w:t>
      </w:r>
      <w:r>
        <w:t xml:space="preserve">currently </w:t>
      </w:r>
      <w:r w:rsidRPr="00AF61B9">
        <w:t>only have access to S4 medicinal cannabis medicines via</w:t>
      </w:r>
      <w:r>
        <w:t xml:space="preserve"> </w:t>
      </w:r>
      <w:r w:rsidRPr="00AF61B9">
        <w:t>compounded formulations</w:t>
      </w:r>
      <w:r>
        <w:t>,</w:t>
      </w:r>
      <w:r w:rsidRPr="00AF61B9">
        <w:t xml:space="preserve"> “off-label” use in individual animals</w:t>
      </w:r>
      <w:r>
        <w:t xml:space="preserve">, or </w:t>
      </w:r>
      <w:r w:rsidRPr="00AF61B9">
        <w:t xml:space="preserve">special consent to import an unregistered veterinary product. Vets have </w:t>
      </w:r>
      <w:r>
        <w:t>no</w:t>
      </w:r>
      <w:r w:rsidRPr="00AF61B9">
        <w:t xml:space="preserve"> access to </w:t>
      </w:r>
      <w:r>
        <w:t>cannabis or cannabis-related medicines under the existing</w:t>
      </w:r>
      <w:r w:rsidRPr="00AF61B9">
        <w:t xml:space="preserve"> S3, S8 and S9</w:t>
      </w:r>
      <w:r>
        <w:t xml:space="preserve"> entries for these substances</w:t>
      </w:r>
      <w:r w:rsidRPr="00AF61B9">
        <w:t xml:space="preserve">. </w:t>
      </w:r>
      <w:r w:rsidR="00B52D07">
        <w:t xml:space="preserve">The applicant is seeking changes that would allow use of cannabis under the S8 entry for therapeutic use in animals. </w:t>
      </w:r>
    </w:p>
    <w:p w14:paraId="1846D732" w14:textId="43DC3700" w:rsidR="002950DF" w:rsidRDefault="00B52D07" w:rsidP="002950DF">
      <w:pPr>
        <w:pStyle w:val="ListBullet"/>
      </w:pPr>
      <w:r>
        <w:t>There</w:t>
      </w:r>
      <w:r w:rsidR="00886FC0" w:rsidRPr="00AF61B9">
        <w:t xml:space="preserve"> has been a recent increase in animal research and real-world evidence. </w:t>
      </w:r>
      <w:r w:rsidR="00A55B14">
        <w:t>R</w:t>
      </w:r>
      <w:r w:rsidR="00886FC0" w:rsidRPr="00AF61B9">
        <w:t>ewording the S8 schedule of medicinal cannabis to include “therapeutic use in animals” will increase access</w:t>
      </w:r>
      <w:r w:rsidR="00A55B14">
        <w:t xml:space="preserve"> and provide treatment option to veterinarians that are not presently available</w:t>
      </w:r>
      <w:r w:rsidR="00886FC0" w:rsidRPr="00AF61B9">
        <w:t>. This will benefit both humans and other animals</w:t>
      </w:r>
      <w:r w:rsidR="009371AF" w:rsidRPr="00AF61B9">
        <w:t>.</w:t>
      </w:r>
    </w:p>
    <w:p w14:paraId="11AF0820" w14:textId="0A347E0D" w:rsidR="00B52D07" w:rsidRDefault="00B52D07" w:rsidP="00B52D07">
      <w:pPr>
        <w:pStyle w:val="ListBullet"/>
      </w:pPr>
      <w:r w:rsidRPr="00AF61B9">
        <w:lastRenderedPageBreak/>
        <w:t xml:space="preserve">The same or similar therapeutic benefits experienced by humans are applicable for other animals, including those for products containing </w:t>
      </w:r>
      <w:r>
        <w:t>tetrahydrocannabinol (</w:t>
      </w:r>
      <w:r w:rsidRPr="00AF61B9">
        <w:t>THC</w:t>
      </w:r>
      <w:r>
        <w:t>)</w:t>
      </w:r>
      <w:r w:rsidRPr="00AF61B9">
        <w:t xml:space="preserve">. </w:t>
      </w:r>
      <w:r w:rsidRPr="00271045">
        <w:t>Some of the possible indications for cannabinoid therapy in animals include pain</w:t>
      </w:r>
      <w:r>
        <w:t xml:space="preserve"> </w:t>
      </w:r>
      <w:r w:rsidRPr="00271045">
        <w:t>relief, treatment of inflammation, treatment of cancers, treatment of anxiety an</w:t>
      </w:r>
      <w:r>
        <w:t xml:space="preserve">d </w:t>
      </w:r>
      <w:r w:rsidRPr="00271045">
        <w:t>stress, treatment of epilepsy, appetite stimulant and as antioxidants an</w:t>
      </w:r>
      <w:r>
        <w:t xml:space="preserve">d </w:t>
      </w:r>
      <w:r w:rsidRPr="00271045">
        <w:t>neuroprotectants</w:t>
      </w:r>
      <w:r>
        <w:t>.</w:t>
      </w:r>
    </w:p>
    <w:p w14:paraId="50B8CD26" w14:textId="134799D5" w:rsidR="00F45A1C" w:rsidRPr="00AF61B9" w:rsidRDefault="00886FC0" w:rsidP="00AF61B9">
      <w:pPr>
        <w:pStyle w:val="ListBullet"/>
      </w:pPr>
      <w:r w:rsidRPr="00AF61B9">
        <w:t>The endocannabinoid system (ECS) has been identified in nearly all animals (including humans), from complex mammals like primates to phylogenetically primitive animals such as the cnidarians</w:t>
      </w:r>
      <w:r w:rsidR="009371AF" w:rsidRPr="00AF61B9">
        <w:rPr>
          <w:rStyle w:val="FootnoteReference"/>
          <w:rFonts w:asciiTheme="minorHAnsi" w:hAnsiTheme="minorHAnsi"/>
        </w:rPr>
        <w:footnoteReference w:id="60"/>
      </w:r>
      <w:r w:rsidR="009371AF" w:rsidRPr="00AF61B9">
        <w:t xml:space="preserve"> </w:t>
      </w:r>
      <w:r w:rsidRPr="00AF61B9">
        <w:t>. The near universal presence and early emergence of the ECS, evolutionarily, is a strong indicator of its biological importance. Cannabinoid receptors are expressed in most animals, including vertebrates (mammals, birds, reptiles, and fish) and invertebrates</w:t>
      </w:r>
      <w:r w:rsidR="009371AF" w:rsidRPr="00AF61B9">
        <w:t>.</w:t>
      </w:r>
      <w:r w:rsidR="00F45A1C" w:rsidRPr="00AF61B9">
        <w:t xml:space="preserve"> </w:t>
      </w:r>
    </w:p>
    <w:p w14:paraId="2D34E10A" w14:textId="77777777" w:rsidR="002950DF" w:rsidRPr="00AF61B9" w:rsidRDefault="002950DF" w:rsidP="002950DF">
      <w:pPr>
        <w:pStyle w:val="ListBullet"/>
      </w:pPr>
      <w:r w:rsidRPr="00271045">
        <w:t xml:space="preserve">The current wording impacts animal welfare in two ways. Firstly, animals do not have legal access to these new therapeutic tools that can provide improved outcomes and enhanced care for </w:t>
      </w:r>
      <w:proofErr w:type="gramStart"/>
      <w:r w:rsidRPr="00271045">
        <w:t>particular indications</w:t>
      </w:r>
      <w:proofErr w:type="gramEnd"/>
      <w:r w:rsidRPr="00271045">
        <w:t xml:space="preserve">. Secondly, as public awareness of the benefits of medicinal cannabis grows, owners of animals are using illicit products without veterinary support, </w:t>
      </w:r>
      <w:proofErr w:type="gramStart"/>
      <w:r w:rsidRPr="00271045">
        <w:t>advice</w:t>
      </w:r>
      <w:proofErr w:type="gramEnd"/>
      <w:r w:rsidRPr="00271045">
        <w:t xml:space="preserve"> and control; potentially endangering the welfare of their animals. </w:t>
      </w:r>
    </w:p>
    <w:p w14:paraId="6641C44A" w14:textId="18760C99" w:rsidR="00F45A1C" w:rsidRDefault="00F45A1C" w:rsidP="00AF61B9">
      <w:pPr>
        <w:pStyle w:val="ListBullet"/>
      </w:pPr>
      <w:r w:rsidRPr="00AF61B9">
        <w:t xml:space="preserve">Accessing cannabis products through veterinarians offers benefits to veterinary healthcare professionals, their </w:t>
      </w:r>
      <w:proofErr w:type="gramStart"/>
      <w:r w:rsidRPr="00AF61B9">
        <w:t>clients</w:t>
      </w:r>
      <w:proofErr w:type="gramEnd"/>
      <w:r w:rsidRPr="00AF61B9">
        <w:t xml:space="preserve"> and their patients. In many countries such as Chile, Uruguay, Peru, Columbia and Mexico, veterinarians </w:t>
      </w:r>
      <w:proofErr w:type="gramStart"/>
      <w:r w:rsidRPr="00AF61B9">
        <w:t>are allowed to</w:t>
      </w:r>
      <w:proofErr w:type="gramEnd"/>
      <w:r w:rsidRPr="00AF61B9">
        <w:t xml:space="preserve"> prescribe cannabis to animals, and others like Canada and Brazil are currently considering applications to legislate the prescription of cannabis to animals.</w:t>
      </w:r>
      <w:r>
        <w:t xml:space="preserve"> </w:t>
      </w:r>
    </w:p>
    <w:p w14:paraId="03CE11E4" w14:textId="0B451FBD" w:rsidR="0053217A" w:rsidRDefault="0053217A" w:rsidP="00AF61B9">
      <w:pPr>
        <w:pStyle w:val="ListBullet"/>
      </w:pPr>
      <w:r>
        <w:t>Due to the prolonged elimination time for many cannabinoids and the illicit nature of these substances in some settings, it is proposed to exclude “animals intended for human consumption” from the Schedule 8 entry</w:t>
      </w:r>
      <w:r w:rsidR="002950DF">
        <w:t xml:space="preserve">; </w:t>
      </w:r>
      <w:r w:rsidR="00D451DE">
        <w:t>this treatment</w:t>
      </w:r>
      <w:r w:rsidR="002950DF">
        <w:t xml:space="preserve"> would</w:t>
      </w:r>
      <w:r>
        <w:t xml:space="preserve"> </w:t>
      </w:r>
      <w:r w:rsidR="002950DF">
        <w:t>be captured</w:t>
      </w:r>
      <w:r>
        <w:t xml:space="preserve"> </w:t>
      </w:r>
      <w:r w:rsidR="002950DF">
        <w:t>by</w:t>
      </w:r>
      <w:r>
        <w:t xml:space="preserve"> the Schedule 9 entry</w:t>
      </w:r>
      <w:r w:rsidR="00A53A49">
        <w:t>.</w:t>
      </w:r>
      <w:r w:rsidR="00D451DE">
        <w:t xml:space="preserve"> </w:t>
      </w:r>
    </w:p>
    <w:p w14:paraId="38C5FDA1" w14:textId="45B8EDCE" w:rsidR="003C02CB" w:rsidRDefault="003C02CB" w:rsidP="003C02CB">
      <w:pPr>
        <w:pStyle w:val="Heading4"/>
      </w:pPr>
      <w:bookmarkStart w:id="66" w:name="_Toc81903340"/>
      <w:r w:rsidRPr="00DC5AE0">
        <w:t xml:space="preserve">Australian </w:t>
      </w:r>
      <w:r>
        <w:t>regulations</w:t>
      </w:r>
      <w:bookmarkEnd w:id="66"/>
      <w:r w:rsidRPr="00DC5AE0">
        <w:t xml:space="preserve"> </w:t>
      </w:r>
    </w:p>
    <w:p w14:paraId="5FBE6212" w14:textId="6353F86F" w:rsidR="00A40F55" w:rsidRPr="00AF61B9" w:rsidRDefault="003C02CB" w:rsidP="00AF61B9">
      <w:pPr>
        <w:pStyle w:val="ListBullet"/>
        <w:numPr>
          <w:ilvl w:val="0"/>
          <w:numId w:val="1"/>
        </w:numPr>
      </w:pPr>
      <w:r>
        <w:t xml:space="preserve">According to the </w:t>
      </w:r>
      <w:hyperlink r:id="rId74"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61"/>
      </w:r>
      <w:r>
        <w:t xml:space="preserve"> </w:t>
      </w:r>
      <w:r w:rsidR="00D32BBA">
        <w:t>ca</w:t>
      </w:r>
      <w:r w:rsidR="00A40F55">
        <w:t>nnabis sativ</w:t>
      </w:r>
      <w:r w:rsidR="00D32BBA">
        <w:t>a</w:t>
      </w:r>
      <w:r>
        <w:t xml:space="preserve"> is:</w:t>
      </w:r>
    </w:p>
    <w:p w14:paraId="52B8F78C" w14:textId="6D490393" w:rsidR="00A40F55" w:rsidRPr="00A40F55" w:rsidRDefault="00A40F55" w:rsidP="00AF61B9">
      <w:pPr>
        <w:pStyle w:val="ListBullet2"/>
      </w:pPr>
      <w:r w:rsidRPr="00A40F55">
        <w:t>Available for use as an Active Ingredient in Export Only</w:t>
      </w:r>
      <w:r w:rsidR="00A55B14">
        <w:t xml:space="preserve"> and</w:t>
      </w:r>
      <w:r w:rsidRPr="00A40F55">
        <w:t xml:space="preserve"> Prescription </w:t>
      </w:r>
      <w:proofErr w:type="gramStart"/>
      <w:r w:rsidRPr="00A40F55">
        <w:t>Medicines</w:t>
      </w:r>
      <w:r w:rsidR="00A55B14">
        <w:t>;</w:t>
      </w:r>
      <w:proofErr w:type="gramEnd"/>
    </w:p>
    <w:p w14:paraId="1CFD9A0A" w14:textId="2F8AB730" w:rsidR="00A40F55" w:rsidRPr="00A40F55" w:rsidRDefault="00A40F55" w:rsidP="00AF61B9">
      <w:pPr>
        <w:pStyle w:val="ListBullet2"/>
      </w:pPr>
      <w:r w:rsidRPr="00A40F55">
        <w:t xml:space="preserve">Not available as an Excipient Ingredient in any </w:t>
      </w:r>
      <w:proofErr w:type="gramStart"/>
      <w:r w:rsidRPr="00A40F55">
        <w:t>application</w:t>
      </w:r>
      <w:r w:rsidR="00A55B14">
        <w:t>;</w:t>
      </w:r>
      <w:proofErr w:type="gramEnd"/>
    </w:p>
    <w:p w14:paraId="289DBC47" w14:textId="65F68B53" w:rsidR="003C02CB" w:rsidRDefault="00A40F55" w:rsidP="00A53A49">
      <w:pPr>
        <w:pStyle w:val="ListBullet2"/>
      </w:pPr>
      <w:r w:rsidRPr="00A40F55">
        <w:t>Not available as an Equivalent Ingredient in any application</w:t>
      </w:r>
      <w:r w:rsidR="00A55B14">
        <w:t>.</w:t>
      </w:r>
    </w:p>
    <w:p w14:paraId="3E4BE11E" w14:textId="408B5E90" w:rsidR="00A53A49" w:rsidRPr="00A53A49" w:rsidRDefault="00ED75DF" w:rsidP="00A53A49">
      <w:pPr>
        <w:pStyle w:val="ListBullet"/>
      </w:pPr>
      <w:r>
        <w:t>C</w:t>
      </w:r>
      <w:r w:rsidR="00A53A49">
        <w:t xml:space="preserve">annabidiol is </w:t>
      </w:r>
      <w:r>
        <w:t xml:space="preserve">also </w:t>
      </w:r>
      <w:r w:rsidR="00A53A49">
        <w:t>available for use in Over the Counter medicines</w:t>
      </w:r>
      <w:r>
        <w:t>, in addition to Export Only and Prescription medicines.</w:t>
      </w:r>
    </w:p>
    <w:p w14:paraId="75B06CED" w14:textId="6CC4D75A" w:rsidR="003C02CB" w:rsidRPr="00AF61B9" w:rsidRDefault="003C02CB" w:rsidP="00AF61B9">
      <w:pPr>
        <w:pStyle w:val="ListBullet"/>
        <w:numPr>
          <w:ilvl w:val="0"/>
          <w:numId w:val="1"/>
        </w:numPr>
      </w:pPr>
      <w:r>
        <w:t xml:space="preserve">As </w:t>
      </w:r>
      <w:r w:rsidRPr="00AF61B9">
        <w:t xml:space="preserve">of </w:t>
      </w:r>
      <w:r w:rsidR="00A40F55" w:rsidRPr="00AF61B9">
        <w:t>August</w:t>
      </w:r>
      <w:r w:rsidRPr="00AF61B9">
        <w:t xml:space="preserve"> 20</w:t>
      </w:r>
      <w:r w:rsidR="00A40F55" w:rsidRPr="00AF61B9">
        <w:t>21</w:t>
      </w:r>
      <w:r>
        <w:t>, t</w:t>
      </w:r>
      <w:r w:rsidRPr="00881DFE">
        <w:t xml:space="preserve">here </w:t>
      </w:r>
      <w:r>
        <w:t>were</w:t>
      </w:r>
      <w:r w:rsidRPr="00881DFE">
        <w:t xml:space="preserve"> </w:t>
      </w:r>
      <w:r w:rsidR="00104A79">
        <w:t>8</w:t>
      </w:r>
      <w:r>
        <w:t xml:space="preserve"> medicine</w:t>
      </w:r>
      <w:r w:rsidRPr="00881DFE">
        <w:t xml:space="preserve">s currently active on the </w:t>
      </w:r>
      <w:hyperlink r:id="rId75" w:history="1">
        <w:r w:rsidRPr="00293CCA">
          <w:rPr>
            <w:rStyle w:val="Hyperlink"/>
          </w:rPr>
          <w:t>Australian Register of Therapeutic Goods (ARTG)</w:t>
        </w:r>
      </w:hyperlink>
      <w:r>
        <w:rPr>
          <w:rStyle w:val="FootnoteReference"/>
        </w:rPr>
        <w:footnoteReference w:id="62"/>
      </w:r>
      <w:r>
        <w:t xml:space="preserve"> that </w:t>
      </w:r>
      <w:r w:rsidR="00E072BA">
        <w:t xml:space="preserve">only </w:t>
      </w:r>
      <w:r>
        <w:t>contain</w:t>
      </w:r>
      <w:r w:rsidRPr="00881DFE">
        <w:t xml:space="preserve"> </w:t>
      </w:r>
      <w:r w:rsidR="00117DC0">
        <w:t>c</w:t>
      </w:r>
      <w:r w:rsidR="00104A79">
        <w:t xml:space="preserve">annabis </w:t>
      </w:r>
      <w:r w:rsidR="00694D7B">
        <w:t xml:space="preserve">sativa </w:t>
      </w:r>
      <w:r>
        <w:t>as an active ingredient</w:t>
      </w:r>
      <w:r w:rsidRPr="00881DFE">
        <w:t>.</w:t>
      </w:r>
      <w:r>
        <w:t xml:space="preserve"> </w:t>
      </w:r>
      <w:r w:rsidR="00104A79">
        <w:t xml:space="preserve">All products </w:t>
      </w:r>
      <w:r w:rsidR="00AF61B9">
        <w:t>are listed for</w:t>
      </w:r>
      <w:r w:rsidR="00104A79">
        <w:t xml:space="preserve"> export only. </w:t>
      </w:r>
      <w:r w:rsidR="00157BBA">
        <w:t xml:space="preserve">In addition, there are two registered products available on the Australian market that contain cannabinoids as active ingredients: an oral liquid containing cannabidiol, and an </w:t>
      </w:r>
      <w:proofErr w:type="spellStart"/>
      <w:r w:rsidR="00157BBA">
        <w:t>oromucosal</w:t>
      </w:r>
      <w:proofErr w:type="spellEnd"/>
      <w:r w:rsidR="00157BBA">
        <w:t xml:space="preserve"> spray containing </w:t>
      </w:r>
      <w:proofErr w:type="spellStart"/>
      <w:r w:rsidR="00157BBA">
        <w:t>nabiximols</w:t>
      </w:r>
      <w:proofErr w:type="spellEnd"/>
      <w:r w:rsidR="00157BBA">
        <w:t>.</w:t>
      </w:r>
    </w:p>
    <w:p w14:paraId="4C5AFBC5" w14:textId="7E0BBA5B" w:rsidR="009F4882" w:rsidRPr="0021622E" w:rsidRDefault="009F4882" w:rsidP="0021622E">
      <w:pPr>
        <w:pStyle w:val="ListBullet"/>
        <w:numPr>
          <w:ilvl w:val="0"/>
          <w:numId w:val="1"/>
        </w:numPr>
      </w:pPr>
      <w:r w:rsidRPr="00AF61B9">
        <w:lastRenderedPageBreak/>
        <w:t xml:space="preserve">As of </w:t>
      </w:r>
      <w:r w:rsidR="00BD7E45" w:rsidRPr="00AF61B9">
        <w:t>A</w:t>
      </w:r>
      <w:r w:rsidRPr="00AF61B9">
        <w:t xml:space="preserve">ugust 2021 </w:t>
      </w:r>
      <w:bookmarkStart w:id="67" w:name="_Hlk80093543"/>
      <w:r w:rsidR="00AF61B9">
        <w:t>c</w:t>
      </w:r>
      <w:r w:rsidR="00BD7E45" w:rsidRPr="00BD7E45">
        <w:t>annabis and tetrahydrocannabinols</w:t>
      </w:r>
      <w:bookmarkEnd w:id="67"/>
      <w:r w:rsidR="003C02CB" w:rsidRPr="009C55D5">
        <w:t xml:space="preserve"> </w:t>
      </w:r>
      <w:r w:rsidR="00AF61B9">
        <w:t>are</w:t>
      </w:r>
      <w:r w:rsidR="003C02CB" w:rsidRPr="009C55D5">
        <w:t xml:space="preserve"> not permitted to be included in listed medicines </w:t>
      </w:r>
      <w:r w:rsidR="003C02CB">
        <w:t xml:space="preserve">as </w:t>
      </w:r>
      <w:r w:rsidR="00AF61B9">
        <w:t>they are</w:t>
      </w:r>
      <w:r w:rsidR="003C02CB">
        <w:t xml:space="preserve"> not included in the </w:t>
      </w:r>
      <w:hyperlink r:id="rId76" w:history="1">
        <w:r w:rsidR="003C02CB" w:rsidRPr="00824CAC">
          <w:rPr>
            <w:rStyle w:val="Hyperlink"/>
          </w:rPr>
          <w:t>Therapeutic Goods (Permissible Ingredients) Determination</w:t>
        </w:r>
      </w:hyperlink>
      <w:r w:rsidR="003C02CB">
        <w:rPr>
          <w:rStyle w:val="FootnoteReference"/>
        </w:rPr>
        <w:footnoteReference w:id="63"/>
      </w:r>
      <w:r w:rsidR="003C02CB" w:rsidRPr="009C55D5">
        <w:t xml:space="preserve"> </w:t>
      </w:r>
      <w:r w:rsidR="00A405BB">
        <w:t xml:space="preserve">No. 1 </w:t>
      </w:r>
      <w:r w:rsidR="003C02CB" w:rsidRPr="009C55D5">
        <w:t>of 20</w:t>
      </w:r>
      <w:r w:rsidR="00DB192D">
        <w:t>21</w:t>
      </w:r>
      <w:r w:rsidR="003C02CB" w:rsidRPr="009C55D5">
        <w:t>.</w:t>
      </w:r>
    </w:p>
    <w:p w14:paraId="46265BE9" w14:textId="67B97A3B" w:rsidR="00BD7E45" w:rsidRPr="001545C2" w:rsidRDefault="00BD7E45" w:rsidP="001545C2">
      <w:pPr>
        <w:pStyle w:val="ListBullet"/>
        <w:rPr>
          <w:color w:val="002C47" w:themeColor="text2"/>
          <w:szCs w:val="22"/>
        </w:rPr>
      </w:pPr>
      <w:r w:rsidRPr="00BD7E45">
        <w:rPr>
          <w:bCs/>
          <w:iCs/>
        </w:rPr>
        <w:t>Cannabis and tetrahydrocannabinols</w:t>
      </w:r>
      <w:r w:rsidR="009F4882" w:rsidRPr="009F4882">
        <w:rPr>
          <w:bCs/>
          <w:iCs/>
        </w:rPr>
        <w:t xml:space="preserve"> </w:t>
      </w:r>
      <w:r w:rsidR="009F4882" w:rsidRPr="009F4882">
        <w:rPr>
          <w:iCs/>
        </w:rPr>
        <w:t>i</w:t>
      </w:r>
      <w:r w:rsidR="009F4882" w:rsidRPr="009F4882">
        <w:t xml:space="preserve">s not included in </w:t>
      </w:r>
      <w:r w:rsidR="00EB0023">
        <w:t>t</w:t>
      </w:r>
      <w:r w:rsidR="003C02CB" w:rsidRPr="009F4882">
        <w:t xml:space="preserve">he </w:t>
      </w:r>
      <w:hyperlink r:id="rId77" w:history="1">
        <w:r w:rsidR="003C02CB" w:rsidRPr="009F4882">
          <w:rPr>
            <w:rStyle w:val="Hyperlink"/>
            <w:szCs w:val="22"/>
          </w:rPr>
          <w:t>TGA prescribing medicines in pregnancy database</w:t>
        </w:r>
      </w:hyperlink>
      <w:r w:rsidR="003C02CB" w:rsidRPr="009F4882">
        <w:rPr>
          <w:rStyle w:val="FootnoteReference"/>
          <w:szCs w:val="22"/>
        </w:rPr>
        <w:footnoteReference w:id="64"/>
      </w:r>
      <w:r w:rsidR="009F4882" w:rsidRPr="009F4882">
        <w:t>.</w:t>
      </w:r>
    </w:p>
    <w:p w14:paraId="0A7CF76A" w14:textId="0BE2A3DE" w:rsidR="003C02CB" w:rsidRDefault="009F4882" w:rsidP="001545C2">
      <w:pPr>
        <w:pStyle w:val="ListBullet"/>
        <w:numPr>
          <w:ilvl w:val="0"/>
          <w:numId w:val="1"/>
        </w:numPr>
      </w:pPr>
      <w:r>
        <w:t xml:space="preserve">There are no </w:t>
      </w:r>
      <w:r w:rsidRPr="00A30084">
        <w:t xml:space="preserve">warning statements pertaining </w:t>
      </w:r>
      <w:r>
        <w:t xml:space="preserve">to </w:t>
      </w:r>
      <w:r w:rsidR="00F5163E">
        <w:t>c</w:t>
      </w:r>
      <w:r w:rsidR="00BD7E45" w:rsidRPr="00BD7E45">
        <w:t>annabis and tetrahydrocannabinols</w:t>
      </w:r>
      <w:r>
        <w:t xml:space="preserve"> in the </w:t>
      </w:r>
      <w:hyperlink r:id="rId78" w:history="1">
        <w:r w:rsidR="003C02CB" w:rsidRPr="00AB7BF5">
          <w:rPr>
            <w:rStyle w:val="Hyperlink"/>
          </w:rPr>
          <w:t>Therapeutic Goods (Medicines Advisory Statements) Specification 2019</w:t>
        </w:r>
      </w:hyperlink>
      <w:r w:rsidR="003C02CB">
        <w:rPr>
          <w:rStyle w:val="FootnoteReference"/>
        </w:rPr>
        <w:footnoteReference w:id="65"/>
      </w:r>
      <w:r w:rsidR="003C02CB">
        <w:t xml:space="preserve"> </w:t>
      </w:r>
    </w:p>
    <w:p w14:paraId="772C546D" w14:textId="0401D1CB" w:rsidR="003C02CB" w:rsidRPr="009C55D5" w:rsidRDefault="003C02CB" w:rsidP="006B619A">
      <w:pPr>
        <w:pStyle w:val="ListBullet"/>
        <w:numPr>
          <w:ilvl w:val="0"/>
          <w:numId w:val="1"/>
        </w:numPr>
      </w:pPr>
      <w:r>
        <w:t xml:space="preserve">As of </w:t>
      </w:r>
      <w:r w:rsidR="001545C2" w:rsidRPr="001545C2">
        <w:t>A</w:t>
      </w:r>
      <w:r w:rsidR="00BA40D0" w:rsidRPr="001545C2">
        <w:t xml:space="preserve">ugust </w:t>
      </w:r>
      <w:r w:rsidRPr="001545C2">
        <w:t>20</w:t>
      </w:r>
      <w:r w:rsidR="00BA40D0" w:rsidRPr="001545C2">
        <w:t>21</w:t>
      </w:r>
      <w:r>
        <w:t>, there were</w:t>
      </w:r>
      <w:r w:rsidRPr="009C55D5">
        <w:t xml:space="preserve"> </w:t>
      </w:r>
      <w:r w:rsidR="00FC6F43">
        <w:t>61</w:t>
      </w:r>
      <w:r w:rsidR="005D23DB">
        <w:t xml:space="preserve"> </w:t>
      </w:r>
      <w:r w:rsidRPr="009C55D5">
        <w:t xml:space="preserve">reports of adverse events for products containing </w:t>
      </w:r>
      <w:r w:rsidR="00A55B14">
        <w:t>c</w:t>
      </w:r>
      <w:r w:rsidR="005D23DB">
        <w:t>annabis</w:t>
      </w:r>
      <w:r w:rsidR="00A55B14">
        <w:t xml:space="preserve"> and/or cannabinoids</w:t>
      </w:r>
      <w:r w:rsidRPr="009C55D5">
        <w:t xml:space="preserve"> as an active ingredient</w:t>
      </w:r>
      <w:r>
        <w:t xml:space="preserve"> on the </w:t>
      </w:r>
      <w:hyperlink r:id="rId79" w:history="1">
        <w:r w:rsidRPr="00F0449C">
          <w:rPr>
            <w:rStyle w:val="Hyperlink"/>
          </w:rPr>
          <w:t>Database of Adverse Event Notifications (DAEN)</w:t>
        </w:r>
      </w:hyperlink>
      <w:r w:rsidRPr="00254E0B">
        <w:t>,</w:t>
      </w:r>
      <w:r w:rsidRPr="00F0449C">
        <w:rPr>
          <w:rStyle w:val="FootnoteReference"/>
        </w:rPr>
        <w:footnoteReference w:id="66"/>
      </w:r>
      <w:r w:rsidRPr="009C55D5">
        <w:t xml:space="preserve"> with </w:t>
      </w:r>
      <w:r w:rsidR="00FC6F43">
        <w:t>51</w:t>
      </w:r>
      <w:r w:rsidR="005D23DB">
        <w:t xml:space="preserve"> </w:t>
      </w:r>
      <w:r w:rsidRPr="009C55D5">
        <w:t xml:space="preserve">reports where </w:t>
      </w:r>
      <w:r w:rsidR="00A55B14">
        <w:t xml:space="preserve">cannabis or a related substance </w:t>
      </w:r>
      <w:r w:rsidRPr="009C55D5">
        <w:t>was the single suspected medicine.</w:t>
      </w:r>
    </w:p>
    <w:p w14:paraId="557A4DAE" w14:textId="781B5C56" w:rsidR="003C02CB" w:rsidRDefault="003C02CB" w:rsidP="0021622E">
      <w:pPr>
        <w:pStyle w:val="ListBullet"/>
        <w:numPr>
          <w:ilvl w:val="0"/>
          <w:numId w:val="1"/>
        </w:numPr>
      </w:pPr>
      <w:r>
        <w:t xml:space="preserve">As </w:t>
      </w:r>
      <w:r w:rsidRPr="0021622E">
        <w:t xml:space="preserve">of </w:t>
      </w:r>
      <w:r w:rsidR="005D23DB" w:rsidRPr="0021622E">
        <w:t xml:space="preserve">August </w:t>
      </w:r>
      <w:r w:rsidRPr="0021622E">
        <w:t>20</w:t>
      </w:r>
      <w:r w:rsidR="005D23DB" w:rsidRPr="0021622E">
        <w:t>21,</w:t>
      </w:r>
      <w:r w:rsidRPr="0021622E">
        <w:t xml:space="preserve"> there were no p</w:t>
      </w:r>
      <w:r w:rsidRPr="00F0449C">
        <w:t xml:space="preserve">roducts containing </w:t>
      </w:r>
      <w:r w:rsidR="0021622E">
        <w:t>c</w:t>
      </w:r>
      <w:r w:rsidR="005D23DB" w:rsidRPr="00BD7E45">
        <w:t>annabis and</w:t>
      </w:r>
      <w:r w:rsidR="00A55B14">
        <w:t>/or</w:t>
      </w:r>
      <w:r w:rsidR="005D23DB" w:rsidRPr="00BD7E45">
        <w:t xml:space="preserve"> tetrahydrocannabinols</w:t>
      </w:r>
      <w:r w:rsidRPr="00F0449C">
        <w:t xml:space="preserve"> listed on the </w:t>
      </w:r>
      <w:hyperlink r:id="rId80"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67"/>
      </w:r>
      <w:r>
        <w:t xml:space="preserve"> </w:t>
      </w:r>
    </w:p>
    <w:p w14:paraId="4CB25523" w14:textId="4C66E26A" w:rsidR="00C70A65" w:rsidRPr="00390FE4" w:rsidRDefault="00672188" w:rsidP="0021622E">
      <w:pPr>
        <w:pStyle w:val="ListBullet"/>
        <w:numPr>
          <w:ilvl w:val="0"/>
          <w:numId w:val="1"/>
        </w:numPr>
      </w:pPr>
      <w:hyperlink r:id="rId81" w:history="1">
        <w:r w:rsidR="00C70A65" w:rsidRPr="00D451DE">
          <w:rPr>
            <w:rStyle w:val="Hyperlink"/>
          </w:rPr>
          <w:t>Therapeutic Goods (Standard for Medicinal Cannabis) (TGO93) Order 2017</w:t>
        </w:r>
      </w:hyperlink>
      <w:r w:rsidR="00C70A65">
        <w:t>.</w:t>
      </w:r>
    </w:p>
    <w:p w14:paraId="5002FE07" w14:textId="77777777" w:rsidR="003C02CB" w:rsidRPr="00CB687C" w:rsidRDefault="003C02CB" w:rsidP="003C02CB">
      <w:pPr>
        <w:pStyle w:val="Heading4"/>
      </w:pPr>
      <w:bookmarkStart w:id="68" w:name="_Toc81903341"/>
      <w:r>
        <w:t>International regulations</w:t>
      </w:r>
      <w:bookmarkEnd w:id="68"/>
    </w:p>
    <w:p w14:paraId="021122BE" w14:textId="7387378C" w:rsidR="003C02CB" w:rsidRDefault="00672188" w:rsidP="0021622E">
      <w:pPr>
        <w:pStyle w:val="ListBullet"/>
      </w:pPr>
      <w:hyperlink r:id="rId82" w:history="1">
        <w:r w:rsidR="002323E8" w:rsidRPr="002A4D44">
          <w:rPr>
            <w:rStyle w:val="Hyperlink"/>
          </w:rPr>
          <w:t>United States Food and Drug Administration Approved Drug Products Database (</w:t>
        </w:r>
        <w:proofErr w:type="spellStart"/>
        <w:r w:rsidR="002323E8" w:rsidRPr="002A4D44">
          <w:rPr>
            <w:rStyle w:val="Hyperlink"/>
          </w:rPr>
          <w:t>Drugs@FDA</w:t>
        </w:r>
        <w:proofErr w:type="spellEnd"/>
        <w:r w:rsidR="002323E8" w:rsidRPr="002A4D44">
          <w:rPr>
            <w:rStyle w:val="Hyperlink"/>
          </w:rPr>
          <w:t>)</w:t>
        </w:r>
        <w:r w:rsidR="002323E8" w:rsidRPr="00417519">
          <w:rPr>
            <w:rStyle w:val="FootnoteReference"/>
          </w:rPr>
          <w:footnoteReference w:id="68"/>
        </w:r>
      </w:hyperlink>
      <w:r w:rsidR="00A55B14" w:rsidRPr="00A55B14">
        <w:rPr>
          <w:rStyle w:val="Hyperlink"/>
          <w:color w:val="auto"/>
          <w:u w:val="none"/>
        </w:rPr>
        <w:t xml:space="preserve"> </w:t>
      </w:r>
      <w:r w:rsidR="00A55B14">
        <w:rPr>
          <w:rStyle w:val="Hyperlink"/>
          <w:color w:val="auto"/>
          <w:u w:val="none"/>
        </w:rPr>
        <w:t xml:space="preserve">regulate </w:t>
      </w:r>
      <w:r w:rsidR="00A55B14">
        <w:t>c</w:t>
      </w:r>
      <w:r w:rsidR="002323E8">
        <w:t>annabidio</w:t>
      </w:r>
      <w:r w:rsidR="00A55B14">
        <w:t>l</w:t>
      </w:r>
      <w:r w:rsidR="002323E8">
        <w:t xml:space="preserve"> as </w:t>
      </w:r>
      <w:r w:rsidR="00A55B14">
        <w:t xml:space="preserve">a </w:t>
      </w:r>
      <w:r w:rsidR="002323E8">
        <w:t>prescription only medicine.</w:t>
      </w:r>
    </w:p>
    <w:p w14:paraId="26B22766" w14:textId="2A07A217" w:rsidR="00FC782D" w:rsidRDefault="002323E8" w:rsidP="0021622E">
      <w:pPr>
        <w:pStyle w:val="ListBullet"/>
      </w:pPr>
      <w:r>
        <w:t>Cannabis</w:t>
      </w:r>
      <w:r w:rsidR="00E30038">
        <w:t xml:space="preserve"> and </w:t>
      </w:r>
      <w:r w:rsidR="00E30038" w:rsidRPr="00BD7E45">
        <w:t>tetrahydrocannabinols</w:t>
      </w:r>
      <w:r>
        <w:t xml:space="preserve"> </w:t>
      </w:r>
      <w:r w:rsidR="00A55B14">
        <w:t>are</w:t>
      </w:r>
      <w:r>
        <w:t xml:space="preserve"> not included in the </w:t>
      </w:r>
      <w:hyperlink r:id="rId83" w:history="1">
        <w:r w:rsidRPr="00C00544">
          <w:rPr>
            <w:rStyle w:val="Hyperlink"/>
          </w:rPr>
          <w:t>WHO Model List of Essential Medicines 2019</w:t>
        </w:r>
      </w:hyperlink>
      <w:r>
        <w:t>.</w:t>
      </w:r>
      <w:r>
        <w:rPr>
          <w:rStyle w:val="FootnoteReference"/>
        </w:rPr>
        <w:footnoteReference w:id="69"/>
      </w:r>
    </w:p>
    <w:p w14:paraId="468409B5" w14:textId="1D0E2C8D" w:rsidR="00FC782D" w:rsidRDefault="00FC782D" w:rsidP="0021622E">
      <w:pPr>
        <w:pStyle w:val="ListBullet"/>
      </w:pPr>
      <w:r>
        <w:t xml:space="preserve">The </w:t>
      </w:r>
      <w:hyperlink r:id="rId84" w:history="1">
        <w:r w:rsidRPr="00460C2E">
          <w:rPr>
            <w:rStyle w:val="Hyperlink"/>
          </w:rPr>
          <w:t>Health Products Regulatory Authority of Ireland</w:t>
        </w:r>
      </w:hyperlink>
      <w:r>
        <w:rPr>
          <w:rStyle w:val="FootnoteReference"/>
        </w:rPr>
        <w:footnoteReference w:id="70"/>
      </w:r>
      <w:r>
        <w:t xml:space="preserve"> regulates Delta-9-tetrahydrocannabinol as a prescription-only medicine.</w:t>
      </w:r>
    </w:p>
    <w:p w14:paraId="43220D46" w14:textId="0C24C986" w:rsidR="00892A9C" w:rsidRDefault="00892A9C" w:rsidP="00892A9C">
      <w:pPr>
        <w:pStyle w:val="ListBullet"/>
      </w:pPr>
      <w:r>
        <w:t>Cannabinol</w:t>
      </w:r>
      <w:r w:rsidR="00A55B14">
        <w:t xml:space="preserve"> and</w:t>
      </w:r>
      <w:r>
        <w:t xml:space="preserve"> Delta-9-tetrahydrocannabinol </w:t>
      </w:r>
      <w:r w:rsidR="00A55B14">
        <w:t>are</w:t>
      </w:r>
      <w:r w:rsidRPr="00892A9C">
        <w:t xml:space="preserve"> approved for use as prescription-only human medicine</w:t>
      </w:r>
      <w:r w:rsidR="00A55B14">
        <w:t>s</w:t>
      </w:r>
      <w:r w:rsidRPr="00892A9C">
        <w:t xml:space="preserve"> in Canada, according to the </w:t>
      </w:r>
      <w:hyperlink r:id="rId85" w:history="1">
        <w:r w:rsidRPr="00460C2E">
          <w:rPr>
            <w:rStyle w:val="Hyperlink"/>
          </w:rPr>
          <w:t>Canadian (Health Canada) Drug Product Database</w:t>
        </w:r>
      </w:hyperlink>
      <w:r>
        <w:t>.</w:t>
      </w:r>
      <w:r>
        <w:rPr>
          <w:rStyle w:val="FootnoteReference"/>
        </w:rPr>
        <w:footnoteReference w:id="71"/>
      </w:r>
    </w:p>
    <w:p w14:paraId="666E9063" w14:textId="01FEA6BB" w:rsidR="003C02CB" w:rsidRPr="0021622E" w:rsidRDefault="00892A9C" w:rsidP="0021622E">
      <w:pPr>
        <w:pStyle w:val="ListBullet"/>
        <w:rPr>
          <w:rStyle w:val="Hyperlink"/>
          <w:color w:val="auto"/>
          <w:u w:val="none"/>
        </w:rPr>
      </w:pPr>
      <w:r>
        <w:t xml:space="preserve">According to the </w:t>
      </w:r>
      <w:hyperlink r:id="rId86" w:history="1">
        <w:r w:rsidRPr="00460C2E">
          <w:rPr>
            <w:rStyle w:val="Hyperlink"/>
          </w:rPr>
          <w:t>New Zealand Medicines and Medical Devices Safety Authority (</w:t>
        </w:r>
        <w:proofErr w:type="spellStart"/>
        <w:r w:rsidRPr="00460C2E">
          <w:rPr>
            <w:rStyle w:val="Hyperlink"/>
          </w:rPr>
          <w:t>Medsafe</w:t>
        </w:r>
        <w:proofErr w:type="spellEnd"/>
        <w:r w:rsidRPr="00460C2E">
          <w:rPr>
            <w:rStyle w:val="Hyperlink"/>
          </w:rPr>
          <w:t>)</w:t>
        </w:r>
      </w:hyperlink>
      <w:r>
        <w:t>,</w:t>
      </w:r>
      <w:r>
        <w:rPr>
          <w:rStyle w:val="FootnoteReference"/>
        </w:rPr>
        <w:footnoteReference w:id="72"/>
      </w:r>
      <w:r>
        <w:t xml:space="preserve"> </w:t>
      </w:r>
      <w:r w:rsidRPr="00892A9C">
        <w:t xml:space="preserve">Cannabis sativa </w:t>
      </w:r>
      <w:r>
        <w:t xml:space="preserve">is </w:t>
      </w:r>
      <w:r w:rsidR="00A55B14">
        <w:t xml:space="preserve">a </w:t>
      </w:r>
      <w:r w:rsidRPr="00892A9C">
        <w:t>Class C1 Controlled Drug</w:t>
      </w:r>
      <w:r>
        <w:t xml:space="preserve"> in New Zealand. </w:t>
      </w:r>
    </w:p>
    <w:p w14:paraId="1FA195A0" w14:textId="77777777" w:rsidR="00B34A4B" w:rsidRDefault="00B34A4B" w:rsidP="00B34A4B">
      <w:pPr>
        <w:pStyle w:val="Heading3"/>
      </w:pPr>
      <w:bookmarkStart w:id="69" w:name="_Toc79489188"/>
      <w:bookmarkStart w:id="70" w:name="_Toc81903342"/>
      <w:r>
        <w:lastRenderedPageBreak/>
        <w:t>Meloxicam</w:t>
      </w:r>
      <w:bookmarkEnd w:id="69"/>
      <w:bookmarkEnd w:id="70"/>
    </w:p>
    <w:p w14:paraId="14F5E71B" w14:textId="77777777" w:rsidR="00B34A4B" w:rsidRDefault="00B34A4B" w:rsidP="00B34A4B">
      <w:pPr>
        <w:pStyle w:val="Heading4"/>
      </w:pPr>
      <w:bookmarkStart w:id="71" w:name="_Toc79489189"/>
      <w:bookmarkStart w:id="72" w:name="_Toc81903343"/>
      <w:r>
        <w:t>Proposal</w:t>
      </w:r>
      <w:bookmarkEnd w:id="71"/>
      <w:bookmarkEnd w:id="72"/>
    </w:p>
    <w:p w14:paraId="38AFB154" w14:textId="77777777" w:rsidR="00B34A4B" w:rsidRPr="002B779E" w:rsidRDefault="00B34A4B" w:rsidP="00B34A4B">
      <w:r>
        <w:t>The applicant has proposed to create a new Schedule 6 entry for meloxicam that captures injectable preparations, at up to 2% concentration, for the pre-surgical treatment of sheep undergoing husbandry procedures.</w:t>
      </w:r>
    </w:p>
    <w:p w14:paraId="4732B809" w14:textId="77777777" w:rsidR="00B34A4B" w:rsidRDefault="00B34A4B" w:rsidP="00B34A4B">
      <w:pPr>
        <w:pStyle w:val="Heading4"/>
      </w:pPr>
      <w:bookmarkStart w:id="73" w:name="_Toc79489190"/>
      <w:bookmarkStart w:id="74" w:name="_Toc81903344"/>
      <w:r>
        <w:t>CAS Number:</w:t>
      </w:r>
      <w:bookmarkEnd w:id="73"/>
      <w:bookmarkEnd w:id="74"/>
    </w:p>
    <w:p w14:paraId="7FCB06E9" w14:textId="77777777" w:rsidR="00B34A4B" w:rsidRDefault="00B34A4B" w:rsidP="00B34A4B">
      <w:r>
        <w:t>71125-38-7</w:t>
      </w:r>
    </w:p>
    <w:p w14:paraId="2AD50A16" w14:textId="77777777" w:rsidR="00B34A4B" w:rsidRDefault="00B34A4B" w:rsidP="00B34A4B">
      <w:pPr>
        <w:pStyle w:val="Heading4"/>
      </w:pPr>
      <w:bookmarkStart w:id="75" w:name="_Toc79489191"/>
      <w:bookmarkStart w:id="76" w:name="_Toc81903345"/>
      <w:r>
        <w:t>Alternative names</w:t>
      </w:r>
      <w:bookmarkEnd w:id="75"/>
      <w:bookmarkEnd w:id="76"/>
    </w:p>
    <w:p w14:paraId="49F0C821" w14:textId="77777777" w:rsidR="00B34A4B" w:rsidRDefault="00B34A4B" w:rsidP="00B34A4B">
      <w:pPr>
        <w:rPr>
          <w:b/>
          <w:bCs/>
        </w:rPr>
      </w:pPr>
      <w:bookmarkStart w:id="77" w:name="_Toc79489192"/>
      <w:r w:rsidRPr="0034756C">
        <w:t>4-Hydroxy-2-methyl-N-(5-methyl-2-thiazolyl)-2H-1,2-benzothiazine-3-carboxamide 1,1-dioxide</w:t>
      </w:r>
    </w:p>
    <w:p w14:paraId="353A8789" w14:textId="77777777" w:rsidR="00B34A4B" w:rsidRDefault="00B34A4B" w:rsidP="00B34A4B">
      <w:pPr>
        <w:pStyle w:val="Heading4"/>
      </w:pPr>
      <w:bookmarkStart w:id="78" w:name="_Toc81903346"/>
      <w:r w:rsidRPr="0034756C">
        <w:t>Applicant</w:t>
      </w:r>
      <w:bookmarkEnd w:id="77"/>
      <w:bookmarkEnd w:id="78"/>
    </w:p>
    <w:p w14:paraId="216E5BAD" w14:textId="77777777" w:rsidR="00B34A4B" w:rsidRDefault="00B34A4B" w:rsidP="00B34A4B">
      <w:r w:rsidRPr="00F40AE1">
        <w:t>Australian Pesticides and Veterinary Medicines Authority (APVMA)</w:t>
      </w:r>
    </w:p>
    <w:p w14:paraId="21BFCB93" w14:textId="77777777" w:rsidR="00B34A4B" w:rsidRDefault="00B34A4B" w:rsidP="00B34A4B">
      <w:pPr>
        <w:pStyle w:val="Heading4"/>
      </w:pPr>
      <w:bookmarkStart w:id="79" w:name="_Toc79489193"/>
      <w:bookmarkStart w:id="80" w:name="_Toc81903347"/>
      <w:r>
        <w:t>Current scheduling</w:t>
      </w:r>
      <w:bookmarkEnd w:id="79"/>
      <w:bookmarkEnd w:id="80"/>
    </w:p>
    <w:p w14:paraId="55F18411" w14:textId="77777777" w:rsidR="00B34A4B" w:rsidRDefault="00B34A4B" w:rsidP="00B34A4B">
      <w:r>
        <w:t>Meloxicam is currently listed in Schedule 4 of the Poisons Standard:</w:t>
      </w:r>
    </w:p>
    <w:p w14:paraId="2D646CD3" w14:textId="77777777" w:rsidR="00B34A4B" w:rsidRPr="00766EDB" w:rsidRDefault="00B34A4B" w:rsidP="00B34A4B">
      <w:pPr>
        <w:ind w:left="426"/>
        <w:rPr>
          <w:b/>
          <w:bCs/>
        </w:rPr>
      </w:pPr>
      <w:r w:rsidRPr="00766EDB">
        <w:rPr>
          <w:b/>
          <w:bCs/>
        </w:rPr>
        <w:t xml:space="preserve">Schedule </w:t>
      </w:r>
      <w:r>
        <w:rPr>
          <w:b/>
          <w:bCs/>
        </w:rPr>
        <w:t>4</w:t>
      </w:r>
    </w:p>
    <w:p w14:paraId="00AF9CAB" w14:textId="77777777" w:rsidR="00B34A4B" w:rsidRDefault="00B34A4B" w:rsidP="00B34A4B">
      <w:pPr>
        <w:ind w:left="426"/>
      </w:pPr>
      <w:r>
        <w:t>MELOXICAM.</w:t>
      </w:r>
    </w:p>
    <w:p w14:paraId="6C1A0092" w14:textId="77777777" w:rsidR="00B34A4B" w:rsidRPr="00F3157D" w:rsidRDefault="00B34A4B" w:rsidP="00B34A4B">
      <w:pPr>
        <w:ind w:left="426"/>
        <w:rPr>
          <w:b/>
          <w:bCs/>
        </w:rPr>
      </w:pPr>
      <w:r w:rsidRPr="00F3157D">
        <w:rPr>
          <w:b/>
          <w:bCs/>
        </w:rPr>
        <w:t>Index</w:t>
      </w:r>
    </w:p>
    <w:p w14:paraId="3C94C093" w14:textId="77777777" w:rsidR="00B34A4B" w:rsidRPr="00F3157D" w:rsidRDefault="00B34A4B" w:rsidP="00B34A4B">
      <w:pPr>
        <w:ind w:left="426"/>
        <w:rPr>
          <w:b/>
          <w:bCs/>
        </w:rPr>
      </w:pPr>
      <w:r w:rsidRPr="00F3157D">
        <w:rPr>
          <w:b/>
          <w:bCs/>
        </w:rPr>
        <w:t>MELOXICAM</w:t>
      </w:r>
    </w:p>
    <w:p w14:paraId="31AC9D32" w14:textId="77777777" w:rsidR="00B34A4B" w:rsidRDefault="00B34A4B" w:rsidP="00B34A4B">
      <w:pPr>
        <w:ind w:left="426"/>
      </w:pPr>
      <w:r>
        <w:t>Schedule 4</w:t>
      </w:r>
    </w:p>
    <w:p w14:paraId="4617602E" w14:textId="77777777" w:rsidR="00B34A4B" w:rsidRDefault="00B34A4B" w:rsidP="00B34A4B">
      <w:pPr>
        <w:pStyle w:val="Heading4"/>
      </w:pPr>
      <w:bookmarkStart w:id="81" w:name="_Toc79489194"/>
      <w:bookmarkStart w:id="82" w:name="_Toc81903348"/>
      <w:r>
        <w:t>Proposed scheduling</w:t>
      </w:r>
      <w:bookmarkEnd w:id="81"/>
      <w:bookmarkEnd w:id="82"/>
    </w:p>
    <w:p w14:paraId="09D19676" w14:textId="77777777" w:rsidR="00B34A4B" w:rsidRPr="00A465DF" w:rsidRDefault="00B34A4B" w:rsidP="00B34A4B">
      <w:pPr>
        <w:pStyle w:val="Numberbullet3i"/>
        <w:numPr>
          <w:ilvl w:val="0"/>
          <w:numId w:val="0"/>
        </w:numPr>
        <w:ind w:left="426"/>
        <w:rPr>
          <w:b/>
          <w:bCs/>
          <w:lang w:eastAsia="en-AU"/>
        </w:rPr>
      </w:pPr>
      <w:r w:rsidRPr="00A465DF">
        <w:rPr>
          <w:b/>
          <w:bCs/>
          <w:lang w:eastAsia="en-AU"/>
        </w:rPr>
        <w:t>Schedule 6 – New Entry</w:t>
      </w:r>
    </w:p>
    <w:p w14:paraId="4885E6DD" w14:textId="77777777" w:rsidR="00B34A4B" w:rsidRDefault="00B34A4B" w:rsidP="00B34A4B">
      <w:pPr>
        <w:pStyle w:val="Numberbullet3i"/>
        <w:numPr>
          <w:ilvl w:val="0"/>
          <w:numId w:val="0"/>
        </w:numPr>
        <w:ind w:left="426"/>
        <w:rPr>
          <w:color w:val="00B050"/>
          <w:lang w:eastAsia="en-AU"/>
        </w:rPr>
      </w:pPr>
      <w:r w:rsidRPr="00A465DF">
        <w:rPr>
          <w:color w:val="00B050"/>
          <w:lang w:eastAsia="en-AU"/>
        </w:rPr>
        <w:t>MELOXICAM in injectable preparations containing 2 per cent or less of meloxicam for the pre-surgical treatment of sheep prior to castration, tail docking, and mulesing.</w:t>
      </w:r>
    </w:p>
    <w:p w14:paraId="53F67663" w14:textId="77777777" w:rsidR="00B34A4B" w:rsidRPr="00A465DF" w:rsidRDefault="00B34A4B" w:rsidP="00B34A4B">
      <w:pPr>
        <w:pStyle w:val="Numberbullet3i"/>
        <w:numPr>
          <w:ilvl w:val="0"/>
          <w:numId w:val="0"/>
        </w:numPr>
        <w:ind w:left="426"/>
        <w:rPr>
          <w:b/>
          <w:bCs/>
          <w:lang w:eastAsia="en-AU"/>
        </w:rPr>
      </w:pPr>
      <w:r w:rsidRPr="00A465DF">
        <w:rPr>
          <w:b/>
          <w:bCs/>
          <w:lang w:eastAsia="en-AU"/>
        </w:rPr>
        <w:t>Schedule 4</w:t>
      </w:r>
      <w:r>
        <w:rPr>
          <w:b/>
          <w:bCs/>
          <w:lang w:eastAsia="en-AU"/>
        </w:rPr>
        <w:t xml:space="preserve"> – Amend Entry</w:t>
      </w:r>
    </w:p>
    <w:p w14:paraId="3128A675" w14:textId="77777777" w:rsidR="00B34A4B" w:rsidRDefault="00B34A4B" w:rsidP="00B34A4B">
      <w:pPr>
        <w:pStyle w:val="Numberbullet3i"/>
        <w:numPr>
          <w:ilvl w:val="0"/>
          <w:numId w:val="0"/>
        </w:numPr>
        <w:ind w:left="426"/>
        <w:rPr>
          <w:bCs/>
        </w:rPr>
      </w:pPr>
      <w:r w:rsidRPr="00A465DF">
        <w:rPr>
          <w:lang w:eastAsia="en-AU"/>
        </w:rPr>
        <w:t>MELOXICAM</w:t>
      </w:r>
      <w:r w:rsidRPr="00F3157D">
        <w:rPr>
          <w:b/>
          <w:bCs/>
        </w:rPr>
        <w:t xml:space="preserve"> </w:t>
      </w:r>
      <w:r w:rsidRPr="00F3157D">
        <w:rPr>
          <w:b/>
          <w:bCs/>
          <w:color w:val="00B050"/>
        </w:rPr>
        <w:t>except</w:t>
      </w:r>
      <w:r w:rsidRPr="00F3157D">
        <w:rPr>
          <w:bCs/>
          <w:color w:val="00B050"/>
        </w:rPr>
        <w:t xml:space="preserve"> when included in Schedule 6</w:t>
      </w:r>
      <w:r>
        <w:rPr>
          <w:bCs/>
        </w:rPr>
        <w:t>.</w:t>
      </w:r>
    </w:p>
    <w:p w14:paraId="7F869EF5" w14:textId="77777777" w:rsidR="00B34A4B" w:rsidRPr="00F3157D" w:rsidRDefault="00B34A4B" w:rsidP="00B34A4B">
      <w:pPr>
        <w:pStyle w:val="Numberbullet3i"/>
        <w:numPr>
          <w:ilvl w:val="0"/>
          <w:numId w:val="0"/>
        </w:numPr>
        <w:ind w:left="426"/>
        <w:rPr>
          <w:b/>
        </w:rPr>
      </w:pPr>
      <w:r w:rsidRPr="00F3157D">
        <w:rPr>
          <w:b/>
        </w:rPr>
        <w:t>Index – Amend Entry</w:t>
      </w:r>
    </w:p>
    <w:p w14:paraId="6A8D0FA4" w14:textId="77777777" w:rsidR="00B34A4B" w:rsidRPr="00F3157D" w:rsidRDefault="00B34A4B" w:rsidP="00B34A4B">
      <w:pPr>
        <w:pStyle w:val="Numberbullet3i"/>
        <w:numPr>
          <w:ilvl w:val="0"/>
          <w:numId w:val="0"/>
        </w:numPr>
        <w:ind w:left="426"/>
        <w:rPr>
          <w:b/>
        </w:rPr>
      </w:pPr>
      <w:r w:rsidRPr="00F3157D">
        <w:rPr>
          <w:b/>
        </w:rPr>
        <w:t>MELOXICAM</w:t>
      </w:r>
    </w:p>
    <w:p w14:paraId="409E037C" w14:textId="77777777" w:rsidR="00B34A4B" w:rsidRPr="00F3157D" w:rsidRDefault="00B34A4B" w:rsidP="00B34A4B">
      <w:pPr>
        <w:pStyle w:val="Numberbullet3i"/>
        <w:numPr>
          <w:ilvl w:val="0"/>
          <w:numId w:val="0"/>
        </w:numPr>
        <w:ind w:left="426"/>
        <w:rPr>
          <w:bCs/>
        </w:rPr>
      </w:pPr>
      <w:r w:rsidRPr="00F3157D">
        <w:rPr>
          <w:bCs/>
          <w:color w:val="00B050"/>
        </w:rPr>
        <w:t>Schedule 6</w:t>
      </w:r>
      <w:r>
        <w:rPr>
          <w:bCs/>
        </w:rPr>
        <w:br/>
        <w:t>Schedule 4</w:t>
      </w:r>
    </w:p>
    <w:p w14:paraId="08F87E06" w14:textId="77777777" w:rsidR="00B34A4B" w:rsidRDefault="00B34A4B" w:rsidP="00B34A4B">
      <w:pPr>
        <w:pStyle w:val="Heading4"/>
      </w:pPr>
      <w:bookmarkStart w:id="83" w:name="_Toc79489195"/>
      <w:bookmarkStart w:id="84" w:name="_Toc81903349"/>
      <w:r>
        <w:t>Key uses / expected use</w:t>
      </w:r>
      <w:bookmarkEnd w:id="83"/>
      <w:bookmarkEnd w:id="84"/>
    </w:p>
    <w:p w14:paraId="400754B7" w14:textId="77777777" w:rsidR="00B34A4B" w:rsidRDefault="00B34A4B" w:rsidP="00B34A4B">
      <w:r w:rsidRPr="0057307D">
        <w:t>Medicines</w:t>
      </w:r>
      <w:r>
        <w:t>, veterinary, agriculture</w:t>
      </w:r>
    </w:p>
    <w:p w14:paraId="7449D495" w14:textId="77777777" w:rsidR="00B34A4B" w:rsidRDefault="00B34A4B" w:rsidP="00B34A4B">
      <w:pPr>
        <w:pStyle w:val="Heading4"/>
      </w:pPr>
      <w:bookmarkStart w:id="85" w:name="_Toc79489196"/>
      <w:bookmarkStart w:id="86" w:name="_Toc81903350"/>
      <w:r>
        <w:lastRenderedPageBreak/>
        <w:t>Application summary - reasons for proposal</w:t>
      </w:r>
      <w:bookmarkEnd w:id="85"/>
      <w:bookmarkEnd w:id="86"/>
    </w:p>
    <w:p w14:paraId="4F6D4BBE" w14:textId="77777777" w:rsidR="00B34A4B" w:rsidRDefault="00B34A4B" w:rsidP="00B34A4B">
      <w:pPr>
        <w:pStyle w:val="ListBullet"/>
      </w:pPr>
      <w:r>
        <w:t xml:space="preserve">Meloxicam is used as an anti-inflammatory, anti-endotoxic, anti-exudative, analgesic and antipyretic in </w:t>
      </w:r>
      <w:proofErr w:type="gramStart"/>
      <w:r>
        <w:t>a number of</w:t>
      </w:r>
      <w:proofErr w:type="gramEnd"/>
      <w:r>
        <w:t xml:space="preserve"> veterinary products. These are all currently captured in Schedule 4 of the Poisons Standard.</w:t>
      </w:r>
    </w:p>
    <w:p w14:paraId="2EFF9C5B" w14:textId="2208D96C" w:rsidR="00B34A4B" w:rsidRDefault="00766CA4" w:rsidP="00766CA4">
      <w:pPr>
        <w:pStyle w:val="ListBullet"/>
      </w:pPr>
      <w:r>
        <w:t xml:space="preserve">This application relates to a product containing meloxicam in an injection formulation </w:t>
      </w:r>
      <w:r w:rsidR="00B34A4B">
        <w:t>indicated to alleviate pain and inflammation in sheep, associated with the routine husbandry procedures of castration, tail docking and mulesing.</w:t>
      </w:r>
      <w:r>
        <w:t xml:space="preserve">  The proposed Schedule 6 entry would allow for the product to be administered by farmers. </w:t>
      </w:r>
    </w:p>
    <w:p w14:paraId="1F1E0ADB" w14:textId="77777777" w:rsidR="00B34A4B" w:rsidRPr="000B0003" w:rsidRDefault="00B34A4B" w:rsidP="00B34A4B">
      <w:pPr>
        <w:pStyle w:val="ListBullet"/>
      </w:pPr>
      <w:r>
        <w:t>Animal welfare guidelines mandate pain relief in sheep undergoing painful mulesing and marking procedures. Such procedures are routinely carried out on farm by trained personnel, without veterinary intervention or supervision.</w:t>
      </w:r>
    </w:p>
    <w:p w14:paraId="5E932516" w14:textId="77777777" w:rsidR="00B34A4B" w:rsidRDefault="00B34A4B" w:rsidP="00B34A4B">
      <w:pPr>
        <w:pStyle w:val="ListBullet"/>
      </w:pPr>
      <w:r>
        <w:t xml:space="preserve">Farmers routinely administer other injectable products, including vaccines, and are familiar with safety procedures required for safe administration. </w:t>
      </w:r>
    </w:p>
    <w:p w14:paraId="4E02994E" w14:textId="77777777" w:rsidR="00B34A4B" w:rsidRPr="00245A96" w:rsidRDefault="00B34A4B" w:rsidP="00B34A4B">
      <w:pPr>
        <w:pStyle w:val="ListBullet"/>
        <w:rPr>
          <w:szCs w:val="22"/>
        </w:rPr>
      </w:pPr>
      <w:r w:rsidRPr="00245A96">
        <w:rPr>
          <w:szCs w:val="22"/>
        </w:rPr>
        <w:t xml:space="preserve">Meloxicam has a moderate toxicity based on acute oral, </w:t>
      </w:r>
      <w:proofErr w:type="gramStart"/>
      <w:r w:rsidRPr="00245A96">
        <w:rPr>
          <w:szCs w:val="22"/>
        </w:rPr>
        <w:t>intravenous</w:t>
      </w:r>
      <w:proofErr w:type="gramEnd"/>
      <w:r w:rsidRPr="00245A96">
        <w:rPr>
          <w:szCs w:val="22"/>
        </w:rPr>
        <w:t xml:space="preserve"> and intraperitoneal studies. The toxicity profile is consistent with a Schedule 6 classification. </w:t>
      </w:r>
    </w:p>
    <w:p w14:paraId="54C016C8" w14:textId="77777777" w:rsidR="00B34A4B" w:rsidRPr="00245A96" w:rsidRDefault="00B34A4B" w:rsidP="00B34A4B">
      <w:pPr>
        <w:pStyle w:val="ListBullet"/>
        <w:rPr>
          <w:szCs w:val="22"/>
        </w:rPr>
      </w:pPr>
      <w:r w:rsidRPr="00245A96">
        <w:rPr>
          <w:szCs w:val="22"/>
        </w:rPr>
        <w:t xml:space="preserve">The toxicity, adverse effects, </w:t>
      </w:r>
      <w:proofErr w:type="gramStart"/>
      <w:r w:rsidRPr="00245A96">
        <w:rPr>
          <w:szCs w:val="22"/>
        </w:rPr>
        <w:t>interactions</w:t>
      </w:r>
      <w:proofErr w:type="gramEnd"/>
      <w:r w:rsidRPr="00245A96">
        <w:rPr>
          <w:szCs w:val="22"/>
        </w:rPr>
        <w:t xml:space="preserve"> and potential for misuse of the substance can be managed by appropriate labelling – including safety directions, first aid and additional user safety statements.</w:t>
      </w:r>
    </w:p>
    <w:p w14:paraId="1C75EC74" w14:textId="137A95A1" w:rsidR="00B34A4B" w:rsidRDefault="00B66A79" w:rsidP="00B66A79">
      <w:pPr>
        <w:pStyle w:val="ListBullet"/>
      </w:pPr>
      <w:r>
        <w:t xml:space="preserve">The acute oral </w:t>
      </w:r>
      <w:r w:rsidRPr="00B66A79">
        <w:t>LD50</w:t>
      </w:r>
      <w:r>
        <w:t xml:space="preserve"> in rats (83.5 mg/kg </w:t>
      </w:r>
      <w:proofErr w:type="spellStart"/>
      <w:r>
        <w:t>bw</w:t>
      </w:r>
      <w:proofErr w:type="spellEnd"/>
      <w:r>
        <w:t>/day)</w:t>
      </w:r>
      <w:r w:rsidR="00BE48C4" w:rsidRPr="00BE48C4">
        <w:t xml:space="preserve"> of meloxicam is consistent with a Schedule 6 classification</w:t>
      </w:r>
      <w:r>
        <w:t>, although no data is available on acute inhalation and dermal toxicity, or skin and eye irritation</w:t>
      </w:r>
      <w:bookmarkStart w:id="87" w:name="_Toc79489197"/>
      <w:r>
        <w:t>.</w:t>
      </w:r>
      <w:bookmarkEnd w:id="87"/>
    </w:p>
    <w:p w14:paraId="610DB486" w14:textId="19435D95" w:rsidR="00BE48C4" w:rsidRPr="00BE48C4" w:rsidRDefault="00BE48C4" w:rsidP="00BE48C4">
      <w:pPr>
        <w:pStyle w:val="Heading4"/>
      </w:pPr>
      <w:bookmarkStart w:id="88" w:name="_Toc81903351"/>
      <w:r w:rsidRPr="00DC5AE0">
        <w:t xml:space="preserve">Australian </w:t>
      </w:r>
      <w:r>
        <w:t>regulations</w:t>
      </w:r>
      <w:bookmarkEnd w:id="88"/>
      <w:r w:rsidRPr="00DC5AE0">
        <w:t xml:space="preserve"> </w:t>
      </w:r>
    </w:p>
    <w:p w14:paraId="72FCE8C4" w14:textId="77777777" w:rsidR="00B34A4B" w:rsidRDefault="00B34A4B" w:rsidP="00B34A4B">
      <w:pPr>
        <w:pStyle w:val="ListBullet"/>
        <w:numPr>
          <w:ilvl w:val="0"/>
          <w:numId w:val="1"/>
        </w:numPr>
      </w:pPr>
      <w:r>
        <w:t xml:space="preserve">According to the </w:t>
      </w:r>
      <w:hyperlink r:id="rId87"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73"/>
      </w:r>
      <w:r>
        <w:t xml:space="preserve"> meloxicam is:</w:t>
      </w:r>
    </w:p>
    <w:p w14:paraId="6B7AA41B" w14:textId="77777777" w:rsidR="00B34A4B" w:rsidRDefault="00B34A4B" w:rsidP="00B34A4B">
      <w:pPr>
        <w:pStyle w:val="ListBullet2"/>
      </w:pPr>
      <w:r>
        <w:t xml:space="preserve">available for use as an active ingredient in biologicals, export only and prescription </w:t>
      </w:r>
      <w:proofErr w:type="gramStart"/>
      <w:r>
        <w:t>medicines;</w:t>
      </w:r>
      <w:proofErr w:type="gramEnd"/>
      <w:r>
        <w:t xml:space="preserve"> </w:t>
      </w:r>
    </w:p>
    <w:p w14:paraId="5AF69838" w14:textId="77777777" w:rsidR="00B34A4B" w:rsidRDefault="00B34A4B" w:rsidP="00B34A4B">
      <w:pPr>
        <w:pStyle w:val="ListBullet2"/>
      </w:pPr>
      <w:r>
        <w:t xml:space="preserve">available for use as an excipient ingredient in biologicals, </w:t>
      </w:r>
      <w:proofErr w:type="gramStart"/>
      <w:r>
        <w:t>devices</w:t>
      </w:r>
      <w:proofErr w:type="gramEnd"/>
      <w:r>
        <w:t xml:space="preserve"> and prescription medicines; and </w:t>
      </w:r>
    </w:p>
    <w:p w14:paraId="413A7249" w14:textId="77777777" w:rsidR="00B34A4B" w:rsidRPr="006B1CF5" w:rsidRDefault="00B34A4B" w:rsidP="00B34A4B">
      <w:pPr>
        <w:pStyle w:val="ListBullet2"/>
      </w:pPr>
      <w:r>
        <w:t>not available as an equivalent ingredient in any application.</w:t>
      </w:r>
    </w:p>
    <w:p w14:paraId="7A3F4178" w14:textId="77777777" w:rsidR="00B34A4B" w:rsidRDefault="00B34A4B" w:rsidP="00B34A4B">
      <w:pPr>
        <w:pStyle w:val="ListBullet"/>
        <w:numPr>
          <w:ilvl w:val="0"/>
          <w:numId w:val="1"/>
        </w:numPr>
      </w:pPr>
      <w:r>
        <w:t>As of August 2021, t</w:t>
      </w:r>
      <w:r w:rsidRPr="00881DFE">
        <w:t xml:space="preserve">here </w:t>
      </w:r>
      <w:r>
        <w:t>were</w:t>
      </w:r>
      <w:r w:rsidRPr="00881DFE">
        <w:t xml:space="preserve"> </w:t>
      </w:r>
      <w:r>
        <w:t>71 medicine</w:t>
      </w:r>
      <w:r w:rsidRPr="00881DFE">
        <w:t xml:space="preserve">s currently active on the </w:t>
      </w:r>
      <w:hyperlink r:id="rId88" w:history="1">
        <w:r w:rsidRPr="00293CCA">
          <w:rPr>
            <w:rStyle w:val="Hyperlink"/>
          </w:rPr>
          <w:t>Australian Register of Therapeutic Goods (ARTG)</w:t>
        </w:r>
      </w:hyperlink>
      <w:r>
        <w:rPr>
          <w:rStyle w:val="FootnoteReference"/>
        </w:rPr>
        <w:footnoteReference w:id="74"/>
      </w:r>
      <w:r>
        <w:t xml:space="preserve"> that contain</w:t>
      </w:r>
      <w:r w:rsidRPr="00881DFE">
        <w:t xml:space="preserve"> </w:t>
      </w:r>
      <w:r>
        <w:t>meloxicam as an active ingredient</w:t>
      </w:r>
      <w:r w:rsidRPr="00881DFE">
        <w:t>.</w:t>
      </w:r>
      <w:r>
        <w:t xml:space="preserve"> These include 70 prescription medicines and one export only medicine.</w:t>
      </w:r>
    </w:p>
    <w:p w14:paraId="67BF8876" w14:textId="77777777" w:rsidR="00B34A4B" w:rsidRDefault="00B34A4B" w:rsidP="00B34A4B">
      <w:pPr>
        <w:pStyle w:val="ListBullet"/>
        <w:numPr>
          <w:ilvl w:val="0"/>
          <w:numId w:val="1"/>
        </w:numPr>
      </w:pPr>
      <w:r>
        <w:t>Meloxicam</w:t>
      </w:r>
      <w:r w:rsidRPr="009C55D5">
        <w:t xml:space="preserve"> is not permitted to be included in listed medicines </w:t>
      </w:r>
      <w:r>
        <w:t xml:space="preserve">as it is not included in the </w:t>
      </w:r>
      <w:hyperlink r:id="rId89" w:history="1">
        <w:r w:rsidRPr="00824CAC">
          <w:rPr>
            <w:rStyle w:val="Hyperlink"/>
          </w:rPr>
          <w:t>Therapeutic Goods (Permissible Ingredients) Determination</w:t>
        </w:r>
      </w:hyperlink>
      <w:r>
        <w:rPr>
          <w:rStyle w:val="FootnoteReference"/>
        </w:rPr>
        <w:footnoteReference w:id="75"/>
      </w:r>
      <w:r w:rsidRPr="009C55D5">
        <w:t xml:space="preserve"> No.</w:t>
      </w:r>
      <w:r>
        <w:t>1</w:t>
      </w:r>
      <w:r w:rsidRPr="009C55D5">
        <w:t xml:space="preserve"> of 20</w:t>
      </w:r>
      <w:r>
        <w:t>21</w:t>
      </w:r>
      <w:r w:rsidRPr="009C55D5">
        <w:t xml:space="preserve">. </w:t>
      </w:r>
    </w:p>
    <w:p w14:paraId="39E2F80D" w14:textId="77777777" w:rsidR="00B34A4B" w:rsidRDefault="00B34A4B" w:rsidP="00B34A4B">
      <w:pPr>
        <w:pStyle w:val="ListBullet"/>
        <w:keepNext/>
        <w:keepLines/>
        <w:numPr>
          <w:ilvl w:val="0"/>
          <w:numId w:val="1"/>
        </w:numPr>
      </w:pPr>
      <w:r>
        <w:lastRenderedPageBreak/>
        <w:t xml:space="preserve">The </w:t>
      </w:r>
      <w:hyperlink r:id="rId90"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76"/>
      </w:r>
      <w:r>
        <w:t xml:space="preserve"> classifies meloxicam as:</w:t>
      </w:r>
    </w:p>
    <w:tbl>
      <w:tblPr>
        <w:tblStyle w:val="TableTGAblue"/>
        <w:tblW w:w="9379" w:type="dxa"/>
        <w:tblInd w:w="392" w:type="dxa"/>
        <w:tblLook w:val="04A0" w:firstRow="1" w:lastRow="0" w:firstColumn="1" w:lastColumn="0" w:noHBand="0" w:noVBand="1"/>
      </w:tblPr>
      <w:tblGrid>
        <w:gridCol w:w="1945"/>
        <w:gridCol w:w="1946"/>
        <w:gridCol w:w="1960"/>
        <w:gridCol w:w="1959"/>
        <w:gridCol w:w="1569"/>
      </w:tblGrid>
      <w:tr w:rsidR="00B34A4B" w:rsidRPr="00245A96" w14:paraId="1E8A290F" w14:textId="77777777" w:rsidTr="009B6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shd w:val="clear" w:color="auto" w:fill="006EA8" w:themeFill="accent1"/>
          </w:tcPr>
          <w:p w14:paraId="5352D4C0" w14:textId="77777777" w:rsidR="00B34A4B" w:rsidRPr="00245A96" w:rsidRDefault="00B34A4B" w:rsidP="000172B3">
            <w:pPr>
              <w:keepLines/>
              <w:rPr>
                <w:szCs w:val="22"/>
              </w:rPr>
            </w:pPr>
            <w:r w:rsidRPr="00245A96">
              <w:rPr>
                <w:szCs w:val="22"/>
              </w:rPr>
              <w:t>Drug name</w:t>
            </w:r>
          </w:p>
        </w:tc>
        <w:tc>
          <w:tcPr>
            <w:tcW w:w="1971" w:type="dxa"/>
            <w:shd w:val="clear" w:color="auto" w:fill="006EA8" w:themeFill="accent1"/>
          </w:tcPr>
          <w:p w14:paraId="2BB8B546" w14:textId="77777777" w:rsidR="00B34A4B" w:rsidRPr="00245A96" w:rsidRDefault="00B34A4B" w:rsidP="000172B3">
            <w:pPr>
              <w:keepLines/>
              <w:cnfStyle w:val="100000000000" w:firstRow="1" w:lastRow="0" w:firstColumn="0" w:lastColumn="0" w:oddVBand="0" w:evenVBand="0" w:oddHBand="0" w:evenHBand="0" w:firstRowFirstColumn="0" w:firstRowLastColumn="0" w:lastRowFirstColumn="0" w:lastRowLastColumn="0"/>
              <w:rPr>
                <w:szCs w:val="22"/>
              </w:rPr>
            </w:pPr>
            <w:r w:rsidRPr="00245A96">
              <w:rPr>
                <w:szCs w:val="22"/>
              </w:rPr>
              <w:t>Category</w:t>
            </w:r>
          </w:p>
        </w:tc>
        <w:tc>
          <w:tcPr>
            <w:tcW w:w="1971" w:type="dxa"/>
            <w:shd w:val="clear" w:color="auto" w:fill="006EA8" w:themeFill="accent1"/>
          </w:tcPr>
          <w:p w14:paraId="680F0B01" w14:textId="77777777" w:rsidR="00B34A4B" w:rsidRPr="00245A96" w:rsidRDefault="00B34A4B" w:rsidP="000172B3">
            <w:pPr>
              <w:keepLines/>
              <w:cnfStyle w:val="100000000000" w:firstRow="1" w:lastRow="0" w:firstColumn="0" w:lastColumn="0" w:oddVBand="0" w:evenVBand="0" w:oddHBand="0" w:evenHBand="0" w:firstRowFirstColumn="0" w:firstRowLastColumn="0" w:lastRowFirstColumn="0" w:lastRowLastColumn="0"/>
              <w:rPr>
                <w:szCs w:val="22"/>
              </w:rPr>
            </w:pPr>
            <w:r w:rsidRPr="00245A96">
              <w:rPr>
                <w:szCs w:val="22"/>
              </w:rPr>
              <w:t>Classification Level 1</w:t>
            </w:r>
          </w:p>
        </w:tc>
        <w:tc>
          <w:tcPr>
            <w:tcW w:w="1971" w:type="dxa"/>
            <w:shd w:val="clear" w:color="auto" w:fill="006EA8" w:themeFill="accent1"/>
          </w:tcPr>
          <w:p w14:paraId="242617A2" w14:textId="77777777" w:rsidR="00B34A4B" w:rsidRPr="00245A96" w:rsidRDefault="00B34A4B" w:rsidP="000172B3">
            <w:pPr>
              <w:keepLines/>
              <w:cnfStyle w:val="100000000000" w:firstRow="1" w:lastRow="0" w:firstColumn="0" w:lastColumn="0" w:oddVBand="0" w:evenVBand="0" w:oddHBand="0" w:evenHBand="0" w:firstRowFirstColumn="0" w:firstRowLastColumn="0" w:lastRowFirstColumn="0" w:lastRowLastColumn="0"/>
              <w:rPr>
                <w:szCs w:val="22"/>
              </w:rPr>
            </w:pPr>
            <w:r w:rsidRPr="00245A96">
              <w:rPr>
                <w:szCs w:val="22"/>
              </w:rPr>
              <w:t>Classification Level 2</w:t>
            </w:r>
          </w:p>
        </w:tc>
        <w:tc>
          <w:tcPr>
            <w:tcW w:w="1496" w:type="dxa"/>
            <w:shd w:val="clear" w:color="auto" w:fill="006EA8" w:themeFill="accent1"/>
          </w:tcPr>
          <w:p w14:paraId="64655566" w14:textId="77777777" w:rsidR="00B34A4B" w:rsidRPr="00245A96" w:rsidRDefault="00B34A4B" w:rsidP="000172B3">
            <w:pPr>
              <w:keepLines/>
              <w:cnfStyle w:val="100000000000" w:firstRow="1" w:lastRow="0" w:firstColumn="0" w:lastColumn="0" w:oddVBand="0" w:evenVBand="0" w:oddHBand="0" w:evenHBand="0" w:firstRowFirstColumn="0" w:firstRowLastColumn="0" w:lastRowFirstColumn="0" w:lastRowLastColumn="0"/>
              <w:rPr>
                <w:szCs w:val="22"/>
              </w:rPr>
            </w:pPr>
            <w:r w:rsidRPr="00245A96">
              <w:rPr>
                <w:szCs w:val="22"/>
              </w:rPr>
              <w:t>Classification Level 3</w:t>
            </w:r>
          </w:p>
        </w:tc>
      </w:tr>
      <w:tr w:rsidR="00B34A4B" w:rsidRPr="00245A96" w14:paraId="44A4C638" w14:textId="77777777" w:rsidTr="009B6554">
        <w:tc>
          <w:tcPr>
            <w:cnfStyle w:val="001000000000" w:firstRow="0" w:lastRow="0" w:firstColumn="1" w:lastColumn="0" w:oddVBand="0" w:evenVBand="0" w:oddHBand="0" w:evenHBand="0" w:firstRowFirstColumn="0" w:firstRowLastColumn="0" w:lastRowFirstColumn="0" w:lastRowLastColumn="0"/>
            <w:tcW w:w="1970" w:type="dxa"/>
          </w:tcPr>
          <w:p w14:paraId="3555F9B8" w14:textId="24FE4CDF" w:rsidR="00B34A4B" w:rsidRPr="00245A96" w:rsidRDefault="00245A96" w:rsidP="000172B3">
            <w:pPr>
              <w:keepNext/>
              <w:keepLines/>
              <w:rPr>
                <w:sz w:val="20"/>
                <w:szCs w:val="20"/>
              </w:rPr>
            </w:pPr>
            <w:r w:rsidRPr="00245A96">
              <w:rPr>
                <w:sz w:val="20"/>
                <w:szCs w:val="20"/>
              </w:rPr>
              <w:t>M</w:t>
            </w:r>
            <w:r w:rsidR="00B34A4B" w:rsidRPr="00245A96">
              <w:rPr>
                <w:sz w:val="20"/>
                <w:szCs w:val="20"/>
              </w:rPr>
              <w:t>eloxicam</w:t>
            </w:r>
          </w:p>
        </w:tc>
        <w:tc>
          <w:tcPr>
            <w:tcW w:w="1971" w:type="dxa"/>
          </w:tcPr>
          <w:p w14:paraId="3E59D672" w14:textId="77777777" w:rsidR="00B34A4B" w:rsidRPr="00245A96" w:rsidRDefault="00B34A4B" w:rsidP="000172B3">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245A96">
              <w:rPr>
                <w:sz w:val="20"/>
                <w:szCs w:val="20"/>
              </w:rPr>
              <w:t>C</w:t>
            </w:r>
          </w:p>
        </w:tc>
        <w:tc>
          <w:tcPr>
            <w:tcW w:w="1971" w:type="dxa"/>
          </w:tcPr>
          <w:p w14:paraId="17849BA6" w14:textId="77777777" w:rsidR="00B34A4B" w:rsidRPr="00245A96" w:rsidRDefault="00B34A4B" w:rsidP="000172B3">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245A96">
              <w:rPr>
                <w:sz w:val="20"/>
                <w:szCs w:val="20"/>
              </w:rPr>
              <w:t>Musculoskeletal System</w:t>
            </w:r>
          </w:p>
        </w:tc>
        <w:tc>
          <w:tcPr>
            <w:tcW w:w="1971" w:type="dxa"/>
          </w:tcPr>
          <w:p w14:paraId="5553E6AD" w14:textId="77777777" w:rsidR="00B34A4B" w:rsidRPr="00245A96" w:rsidRDefault="00B34A4B" w:rsidP="000172B3">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245A96">
              <w:rPr>
                <w:sz w:val="20"/>
                <w:szCs w:val="20"/>
              </w:rPr>
              <w:t>Non-steroidal anti-inflammatory drugs (NSAIDS)</w:t>
            </w:r>
          </w:p>
        </w:tc>
        <w:tc>
          <w:tcPr>
            <w:tcW w:w="1496" w:type="dxa"/>
          </w:tcPr>
          <w:p w14:paraId="0EC55D9B" w14:textId="77777777" w:rsidR="00B34A4B" w:rsidRPr="00245A96" w:rsidRDefault="00B34A4B" w:rsidP="000172B3">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B34A4B" w:rsidRPr="003346CF" w14:paraId="5FBAAB2A" w14:textId="77777777" w:rsidTr="009B6554">
        <w:tc>
          <w:tcPr>
            <w:cnfStyle w:val="001000000000" w:firstRow="0" w:lastRow="0" w:firstColumn="1" w:lastColumn="0" w:oddVBand="0" w:evenVBand="0" w:oddHBand="0" w:evenHBand="0" w:firstRowFirstColumn="0" w:firstRowLastColumn="0" w:lastRowFirstColumn="0" w:lastRowLastColumn="0"/>
            <w:tcW w:w="9379" w:type="dxa"/>
            <w:gridSpan w:val="5"/>
          </w:tcPr>
          <w:p w14:paraId="0055340E" w14:textId="77777777" w:rsidR="00B34A4B" w:rsidRPr="009D1A5A" w:rsidRDefault="00B34A4B" w:rsidP="000172B3">
            <w:pPr>
              <w:keepNext/>
              <w:keepLines/>
              <w:rPr>
                <w:sz w:val="16"/>
                <w:szCs w:val="16"/>
              </w:rPr>
            </w:pPr>
            <w:r w:rsidRPr="003C7D97">
              <w:rPr>
                <w:b/>
                <w:sz w:val="16"/>
                <w:szCs w:val="16"/>
              </w:rPr>
              <w:t>Category C</w:t>
            </w:r>
            <w:r w:rsidRPr="003C7D97">
              <w:rPr>
                <w:sz w:val="16"/>
                <w:szCs w:val="16"/>
              </w:rPr>
              <w:t xml:space="preserve"> – Drugs which, owing to their pharmacological effects, have </w:t>
            </w:r>
            <w:proofErr w:type="gramStart"/>
            <w:r w:rsidRPr="003C7D97">
              <w:rPr>
                <w:sz w:val="16"/>
                <w:szCs w:val="16"/>
              </w:rPr>
              <w:t>caused</w:t>
            </w:r>
            <w:proofErr w:type="gramEnd"/>
            <w:r w:rsidRPr="003C7D97">
              <w:rPr>
                <w:sz w:val="16"/>
                <w:szCs w:val="16"/>
              </w:rPr>
              <w:t xml:space="preserve"> or may be suspected of causing, harmful effects on the human foetus or neonate without causing malformations. These effects may be reversible. Accompanying texts should be consulted for further details.</w:t>
            </w:r>
          </w:p>
        </w:tc>
      </w:tr>
    </w:tbl>
    <w:p w14:paraId="17455F4D" w14:textId="77777777" w:rsidR="00B34A4B" w:rsidRDefault="00B34A4B" w:rsidP="00B34A4B">
      <w:pPr>
        <w:pStyle w:val="ListBullet"/>
        <w:numPr>
          <w:ilvl w:val="0"/>
          <w:numId w:val="1"/>
        </w:numPr>
      </w:pPr>
      <w:r>
        <w:t xml:space="preserve">There are no </w:t>
      </w:r>
      <w:r w:rsidRPr="00A30084">
        <w:t xml:space="preserve">warning statements pertaining </w:t>
      </w:r>
      <w:r>
        <w:t xml:space="preserve">to meloxicam in the </w:t>
      </w:r>
      <w:hyperlink r:id="rId91" w:history="1">
        <w:r w:rsidRPr="00AB7BF5">
          <w:rPr>
            <w:rStyle w:val="Hyperlink"/>
          </w:rPr>
          <w:t>Therapeutic Goods (Medicines Advisory Statements) Specification 2019</w:t>
        </w:r>
      </w:hyperlink>
      <w:r>
        <w:rPr>
          <w:rStyle w:val="FootnoteReference"/>
        </w:rPr>
        <w:footnoteReference w:id="77"/>
      </w:r>
    </w:p>
    <w:p w14:paraId="5B65C432" w14:textId="7EFEBE9A" w:rsidR="00B34A4B" w:rsidRPr="009C55D5" w:rsidRDefault="00B34A4B" w:rsidP="00B34A4B">
      <w:pPr>
        <w:pStyle w:val="ListBullet"/>
        <w:numPr>
          <w:ilvl w:val="0"/>
          <w:numId w:val="1"/>
        </w:numPr>
      </w:pPr>
      <w:r>
        <w:t>In May 2011 – May 2021, there were</w:t>
      </w:r>
      <w:r w:rsidRPr="009C55D5">
        <w:t xml:space="preserve"> </w:t>
      </w:r>
      <w:r>
        <w:t>251</w:t>
      </w:r>
      <w:r w:rsidRPr="009C55D5">
        <w:t xml:space="preserve"> reports of adverse events for products containing </w:t>
      </w:r>
      <w:r>
        <w:t>meloxicam</w:t>
      </w:r>
      <w:r w:rsidRPr="009C55D5">
        <w:t xml:space="preserve"> as an active ingredient</w:t>
      </w:r>
      <w:r>
        <w:t xml:space="preserve"> on the </w:t>
      </w:r>
      <w:hyperlink r:id="rId92" w:history="1">
        <w:r w:rsidRPr="00F0449C">
          <w:rPr>
            <w:rStyle w:val="Hyperlink"/>
          </w:rPr>
          <w:t>Database of Adverse Event Notifications (DAEN)</w:t>
        </w:r>
      </w:hyperlink>
      <w:r w:rsidRPr="00254E0B">
        <w:t>,</w:t>
      </w:r>
      <w:r w:rsidRPr="00F0449C">
        <w:rPr>
          <w:rStyle w:val="FootnoteReference"/>
        </w:rPr>
        <w:footnoteReference w:id="78"/>
      </w:r>
      <w:r w:rsidRPr="009C55D5">
        <w:t xml:space="preserve"> with</w:t>
      </w:r>
      <w:r>
        <w:t xml:space="preserve"> 148</w:t>
      </w:r>
      <w:r w:rsidRPr="009C55D5">
        <w:t xml:space="preserve"> reports where</w:t>
      </w:r>
      <w:r>
        <w:t xml:space="preserve"> meloxicam</w:t>
      </w:r>
      <w:r w:rsidRPr="009C55D5">
        <w:t xml:space="preserve"> was the single suspected medicine</w:t>
      </w:r>
      <w:r w:rsidRPr="004675F7">
        <w:t>.</w:t>
      </w:r>
    </w:p>
    <w:p w14:paraId="6A2486FB" w14:textId="77777777" w:rsidR="00B34A4B" w:rsidRDefault="00B34A4B" w:rsidP="00B34A4B">
      <w:pPr>
        <w:pStyle w:val="ListBullet"/>
        <w:numPr>
          <w:ilvl w:val="0"/>
          <w:numId w:val="1"/>
        </w:numPr>
      </w:pPr>
      <w:r>
        <w:t xml:space="preserve">As of </w:t>
      </w:r>
      <w:r w:rsidRPr="004675F7">
        <w:t>August 2021</w:t>
      </w:r>
      <w:r>
        <w:t>, t</w:t>
      </w:r>
      <w:r w:rsidRPr="00F0449C">
        <w:t xml:space="preserve">here </w:t>
      </w:r>
      <w:r>
        <w:t>were</w:t>
      </w:r>
      <w:r w:rsidRPr="00F0449C">
        <w:t xml:space="preserve"> </w:t>
      </w:r>
      <w:r>
        <w:t>56</w:t>
      </w:r>
      <w:r w:rsidRPr="00F0449C">
        <w:t xml:space="preserve"> products containing </w:t>
      </w:r>
      <w:r>
        <w:t>meloxicam</w:t>
      </w:r>
      <w:r w:rsidRPr="00F0449C">
        <w:t xml:space="preserve"> listed on the </w:t>
      </w:r>
      <w:hyperlink r:id="rId93"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79"/>
      </w:r>
      <w:r>
        <w:t xml:space="preserve"> </w:t>
      </w:r>
    </w:p>
    <w:p w14:paraId="165B3CB4" w14:textId="77777777" w:rsidR="00B34A4B" w:rsidRDefault="00B34A4B" w:rsidP="00B34A4B">
      <w:pPr>
        <w:pStyle w:val="ListBullet"/>
        <w:numPr>
          <w:ilvl w:val="0"/>
          <w:numId w:val="1"/>
        </w:numPr>
      </w:pPr>
      <w:r>
        <w:t xml:space="preserve">In 2015 – 2020, the following adverse experiences were recorded for meloxicam in the </w:t>
      </w:r>
      <w:hyperlink r:id="rId94"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sidRPr="00C00544">
        <w:rPr>
          <w:rStyle w:val="Hyperlink"/>
          <w:color w:val="auto"/>
          <w:u w:val="none"/>
        </w:rPr>
        <w:t>:</w:t>
      </w:r>
      <w:r>
        <w:rPr>
          <w:rStyle w:val="FootnoteReference"/>
        </w:rPr>
        <w:footnoteReference w:id="80"/>
      </w:r>
    </w:p>
    <w:p w14:paraId="45347FFC" w14:textId="77777777" w:rsidR="00B34A4B" w:rsidRDefault="00B34A4B" w:rsidP="00B34A4B">
      <w:pPr>
        <w:pStyle w:val="ListBullet2"/>
        <w:numPr>
          <w:ilvl w:val="1"/>
          <w:numId w:val="1"/>
        </w:numPr>
      </w:pPr>
      <w:r>
        <w:t xml:space="preserve">74 reports of serious incidents classified as related to animal </w:t>
      </w:r>
      <w:proofErr w:type="gramStart"/>
      <w:r>
        <w:t>health;</w:t>
      </w:r>
      <w:proofErr w:type="gramEnd"/>
      <w:r>
        <w:t xml:space="preserve"> and </w:t>
      </w:r>
    </w:p>
    <w:p w14:paraId="0A1EC20A" w14:textId="77777777" w:rsidR="00B34A4B" w:rsidRPr="00390FE4" w:rsidRDefault="00B34A4B" w:rsidP="00B34A4B">
      <w:pPr>
        <w:pStyle w:val="ListBullet2"/>
        <w:numPr>
          <w:ilvl w:val="1"/>
          <w:numId w:val="1"/>
        </w:numPr>
      </w:pPr>
      <w:r>
        <w:t>1 report of a serious incident classified as related to efficacy.</w:t>
      </w:r>
    </w:p>
    <w:p w14:paraId="5906A4CA" w14:textId="77777777" w:rsidR="00B34A4B" w:rsidRPr="00CB687C" w:rsidRDefault="00B34A4B" w:rsidP="00B34A4B">
      <w:pPr>
        <w:pStyle w:val="Heading4"/>
      </w:pPr>
      <w:bookmarkStart w:id="89" w:name="_Toc79489198"/>
      <w:bookmarkStart w:id="90" w:name="_Toc81903352"/>
      <w:r>
        <w:t>International regulations</w:t>
      </w:r>
      <w:bookmarkEnd w:id="89"/>
      <w:bookmarkEnd w:id="90"/>
    </w:p>
    <w:p w14:paraId="6EECCB32" w14:textId="77777777" w:rsidR="00B34A4B" w:rsidRDefault="00B34A4B" w:rsidP="00B34A4B">
      <w:pPr>
        <w:pStyle w:val="ListBullet"/>
      </w:pPr>
      <w:r>
        <w:t xml:space="preserve">Meloxicam is not included in the </w:t>
      </w:r>
      <w:hyperlink r:id="rId95" w:history="1">
        <w:r w:rsidRPr="00C00544">
          <w:rPr>
            <w:rStyle w:val="Hyperlink"/>
          </w:rPr>
          <w:t>WHO Model List of Essential Medicines 2019</w:t>
        </w:r>
      </w:hyperlink>
      <w:r>
        <w:t>.</w:t>
      </w:r>
      <w:r>
        <w:rPr>
          <w:rStyle w:val="FootnoteReference"/>
        </w:rPr>
        <w:footnoteReference w:id="81"/>
      </w:r>
    </w:p>
    <w:p w14:paraId="0D3C39FF" w14:textId="77777777" w:rsidR="00B34A4B" w:rsidRDefault="00B34A4B" w:rsidP="00B34A4B">
      <w:pPr>
        <w:pStyle w:val="ListBullet"/>
      </w:pPr>
      <w:r>
        <w:t xml:space="preserve">The </w:t>
      </w:r>
      <w:hyperlink r:id="rId96" w:history="1">
        <w:r w:rsidRPr="00460C2E">
          <w:rPr>
            <w:rStyle w:val="Hyperlink"/>
          </w:rPr>
          <w:t>Health Products Regulatory Authority of Ireland</w:t>
        </w:r>
      </w:hyperlink>
      <w:r>
        <w:rPr>
          <w:rStyle w:val="FootnoteReference"/>
        </w:rPr>
        <w:footnoteReference w:id="82"/>
      </w:r>
      <w:r>
        <w:t xml:space="preserve"> regulates meloxicam as a prescription-only medicine.</w:t>
      </w:r>
    </w:p>
    <w:p w14:paraId="5A89B6CA" w14:textId="1606D2C1" w:rsidR="00B34A4B" w:rsidRDefault="00B34A4B" w:rsidP="00B34A4B">
      <w:pPr>
        <w:pStyle w:val="ListBullet"/>
      </w:pPr>
      <w:r>
        <w:t xml:space="preserve">The </w:t>
      </w:r>
      <w:hyperlink r:id="rId97" w:history="1">
        <w:r w:rsidRPr="00460C2E">
          <w:rPr>
            <w:rStyle w:val="Hyperlink"/>
          </w:rPr>
          <w:t>United States Food and Drug Administration</w:t>
        </w:r>
      </w:hyperlink>
      <w:r>
        <w:rPr>
          <w:rStyle w:val="FootnoteReference"/>
        </w:rPr>
        <w:footnoteReference w:id="83"/>
      </w:r>
      <w:r>
        <w:t xml:space="preserve"> approve</w:t>
      </w:r>
      <w:r w:rsidR="00245A96">
        <w:t xml:space="preserve"> the</w:t>
      </w:r>
      <w:r>
        <w:t xml:space="preserve"> use of meloxicam as a prescription-only medicine in the United States.</w:t>
      </w:r>
    </w:p>
    <w:p w14:paraId="70364456" w14:textId="77777777" w:rsidR="00B34A4B" w:rsidRDefault="00B34A4B" w:rsidP="00B34A4B">
      <w:pPr>
        <w:pStyle w:val="ListBullet"/>
      </w:pPr>
      <w:r>
        <w:t xml:space="preserve">Meloxicam is approved for use as a prescription-only human and veterinary medicine in Canada, according to the </w:t>
      </w:r>
      <w:hyperlink r:id="rId98" w:history="1">
        <w:r w:rsidRPr="00460C2E">
          <w:rPr>
            <w:rStyle w:val="Hyperlink"/>
          </w:rPr>
          <w:t>Canadian (Health Canada) Drug Product Database</w:t>
        </w:r>
      </w:hyperlink>
      <w:r>
        <w:t>.</w:t>
      </w:r>
      <w:r>
        <w:rPr>
          <w:rStyle w:val="FootnoteReference"/>
        </w:rPr>
        <w:footnoteReference w:id="84"/>
      </w:r>
    </w:p>
    <w:p w14:paraId="6CE89917" w14:textId="27850AE5" w:rsidR="00B34A4B" w:rsidRPr="00C00544" w:rsidRDefault="00B34A4B" w:rsidP="00B34A4B">
      <w:pPr>
        <w:pStyle w:val="ListBullet"/>
        <w:rPr>
          <w:rStyle w:val="Hyperlink"/>
          <w:color w:val="auto"/>
          <w:u w:val="none"/>
        </w:rPr>
      </w:pPr>
      <w:r>
        <w:lastRenderedPageBreak/>
        <w:t xml:space="preserve">According to the </w:t>
      </w:r>
      <w:hyperlink r:id="rId99" w:history="1">
        <w:r w:rsidRPr="00460C2E">
          <w:rPr>
            <w:rStyle w:val="Hyperlink"/>
          </w:rPr>
          <w:t>New Zealand Medicines and Medical Devices Safety Authority (</w:t>
        </w:r>
        <w:proofErr w:type="spellStart"/>
        <w:r w:rsidRPr="00460C2E">
          <w:rPr>
            <w:rStyle w:val="Hyperlink"/>
          </w:rPr>
          <w:t>Medsafe</w:t>
        </w:r>
        <w:proofErr w:type="spellEnd"/>
        <w:r w:rsidRPr="00460C2E">
          <w:rPr>
            <w:rStyle w:val="Hyperlink"/>
          </w:rPr>
          <w:t>)</w:t>
        </w:r>
      </w:hyperlink>
      <w:r>
        <w:t>,</w:t>
      </w:r>
      <w:r>
        <w:rPr>
          <w:rStyle w:val="FootnoteReference"/>
        </w:rPr>
        <w:footnoteReference w:id="85"/>
      </w:r>
      <w:r>
        <w:t xml:space="preserve"> meloxicam is available as a prescription-only medicine in New Zealand.</w:t>
      </w:r>
    </w:p>
    <w:p w14:paraId="689CD266" w14:textId="2EC4C6CF" w:rsidR="00A465DF" w:rsidRDefault="00B71252" w:rsidP="00A465DF">
      <w:pPr>
        <w:pStyle w:val="Heading3"/>
      </w:pPr>
      <w:bookmarkStart w:id="91" w:name="_Toc81903353"/>
      <w:r>
        <w:t>C</w:t>
      </w:r>
      <w:r w:rsidR="00A465DF">
        <w:t>holine salicylate</w:t>
      </w:r>
      <w:bookmarkEnd w:id="91"/>
    </w:p>
    <w:p w14:paraId="63407BE1" w14:textId="77777777" w:rsidR="00A465DF" w:rsidRDefault="00A465DF" w:rsidP="00A465DF">
      <w:pPr>
        <w:pStyle w:val="Heading4"/>
      </w:pPr>
      <w:bookmarkStart w:id="92" w:name="_Toc81903354"/>
      <w:r>
        <w:t>Proposal</w:t>
      </w:r>
      <w:bookmarkEnd w:id="92"/>
    </w:p>
    <w:p w14:paraId="3BDD4500" w14:textId="0DE328C3" w:rsidR="00A465DF" w:rsidRPr="002B779E" w:rsidRDefault="00A465DF" w:rsidP="00A465DF">
      <w:r>
        <w:t xml:space="preserve">The applicant has proposed </w:t>
      </w:r>
      <w:r w:rsidR="00B71252">
        <w:t>a new</w:t>
      </w:r>
      <w:r w:rsidR="00ED13DE">
        <w:t xml:space="preserve"> Schedule 3 </w:t>
      </w:r>
      <w:r>
        <w:t xml:space="preserve">entry for </w:t>
      </w:r>
      <w:r w:rsidR="00B71252">
        <w:t>choline salicylate for human therapeutic or cosmetic use</w:t>
      </w:r>
      <w:r w:rsidR="00922EC5">
        <w:t>.</w:t>
      </w:r>
      <w:r w:rsidR="00B71252">
        <w:t xml:space="preserve"> Choline salicylate is currently captured in the Poisons Standard as a derivative of salicylic acid, </w:t>
      </w:r>
      <w:r w:rsidR="00FB58C9">
        <w:t>of which</w:t>
      </w:r>
      <w:r w:rsidR="00B71252">
        <w:t xml:space="preserve"> dermal preparations containing greater than 40 per cent of the substance</w:t>
      </w:r>
      <w:r w:rsidR="00FB58C9">
        <w:t xml:space="preserve"> are captured in Schedule 3</w:t>
      </w:r>
      <w:r w:rsidR="00B71252">
        <w:t>.</w:t>
      </w:r>
      <w:r w:rsidR="00FB58C9">
        <w:t xml:space="preserve">  Other dosage forms and lower concentration dermal preparations are currently unscheduled. </w:t>
      </w:r>
    </w:p>
    <w:p w14:paraId="32ACD7CF" w14:textId="77777777" w:rsidR="00A465DF" w:rsidRDefault="00A465DF" w:rsidP="00A465DF">
      <w:pPr>
        <w:pStyle w:val="Heading4"/>
      </w:pPr>
      <w:bookmarkStart w:id="93" w:name="_Toc81903355"/>
      <w:r>
        <w:t>CAS Number:</w:t>
      </w:r>
      <w:bookmarkEnd w:id="93"/>
    </w:p>
    <w:p w14:paraId="1860A4E5" w14:textId="4E0BC0AD" w:rsidR="00A465DF" w:rsidRDefault="00A465DF" w:rsidP="00A465DF">
      <w:r>
        <w:t xml:space="preserve">2016-36-6 </w:t>
      </w:r>
    </w:p>
    <w:p w14:paraId="7C20A5AF" w14:textId="6CA1F53D" w:rsidR="00A465DF" w:rsidRDefault="00A465DF" w:rsidP="00A465DF">
      <w:pPr>
        <w:pStyle w:val="Heading4"/>
      </w:pPr>
      <w:bookmarkStart w:id="94" w:name="_Toc81903356"/>
      <w:r>
        <w:t>Alternative names</w:t>
      </w:r>
      <w:bookmarkEnd w:id="94"/>
    </w:p>
    <w:p w14:paraId="1C4A1E79" w14:textId="158CA68F" w:rsidR="00A465DF" w:rsidRPr="00A465DF" w:rsidRDefault="00B71252" w:rsidP="00A465DF">
      <w:r w:rsidRPr="00B71252">
        <w:t>(2-</w:t>
      </w:r>
      <w:proofErr w:type="gramStart"/>
      <w:r w:rsidRPr="00B71252">
        <w:t>hydroxyethyl)trimethylammonium</w:t>
      </w:r>
      <w:proofErr w:type="gramEnd"/>
      <w:r w:rsidRPr="00B71252">
        <w:t xml:space="preserve"> salicylate; 2-hydroxy-</w:t>
      </w:r>
      <w:r w:rsidRPr="00B71252">
        <w:rPr>
          <w:i/>
          <w:iCs/>
        </w:rPr>
        <w:t>N</w:t>
      </w:r>
      <w:r w:rsidRPr="00B71252">
        <w:t>,</w:t>
      </w:r>
      <w:r w:rsidRPr="00B71252">
        <w:rPr>
          <w:i/>
          <w:iCs/>
        </w:rPr>
        <w:t>N</w:t>
      </w:r>
      <w:r w:rsidRPr="00B71252">
        <w:t>,</w:t>
      </w:r>
      <w:r w:rsidRPr="00B71252">
        <w:rPr>
          <w:i/>
          <w:iCs/>
        </w:rPr>
        <w:t>N</w:t>
      </w:r>
      <w:r w:rsidRPr="00B71252">
        <w:t>-trimethylethanaminium salt with 2-hydroxybenzoic acid (1:1); choline salicylic acid salt; salicylic acid choline salt</w:t>
      </w:r>
    </w:p>
    <w:p w14:paraId="48859A74" w14:textId="5709DA39" w:rsidR="00A465DF" w:rsidRDefault="00A465DF" w:rsidP="00A465DF">
      <w:pPr>
        <w:pStyle w:val="Heading4"/>
      </w:pPr>
      <w:bookmarkStart w:id="95" w:name="_Toc81903357"/>
      <w:r>
        <w:t>Applicant</w:t>
      </w:r>
      <w:bookmarkEnd w:id="95"/>
    </w:p>
    <w:p w14:paraId="4883364C" w14:textId="043A36D5" w:rsidR="00A465DF" w:rsidRDefault="00922EC5" w:rsidP="00A465DF">
      <w:r>
        <w:t>Private</w:t>
      </w:r>
    </w:p>
    <w:p w14:paraId="6CC6D97F" w14:textId="77777777" w:rsidR="00A465DF" w:rsidRDefault="00A465DF" w:rsidP="00A465DF">
      <w:pPr>
        <w:pStyle w:val="Heading4"/>
      </w:pPr>
      <w:bookmarkStart w:id="96" w:name="_Toc81903358"/>
      <w:r>
        <w:t>Current scheduling</w:t>
      </w:r>
      <w:bookmarkEnd w:id="96"/>
    </w:p>
    <w:p w14:paraId="2392DFD0" w14:textId="5E9F7C68" w:rsidR="00A465DF" w:rsidRDefault="00B71252" w:rsidP="00A465DF">
      <w:r>
        <w:t xml:space="preserve">Choline salicylate is not specifically scheduled in the current Poisons </w:t>
      </w:r>
      <w:r w:rsidR="007575C7">
        <w:t>Standard but</w:t>
      </w:r>
      <w:r>
        <w:t xml:space="preserve"> is </w:t>
      </w:r>
      <w:r w:rsidR="00FB58C9">
        <w:t xml:space="preserve">captured as a derivative of </w:t>
      </w:r>
      <w:r>
        <w:t xml:space="preserve">salicylic acid. </w:t>
      </w:r>
      <w:r w:rsidR="00922EC5">
        <w:t xml:space="preserve">Salicylic acid </w:t>
      </w:r>
      <w:r w:rsidR="00A465DF">
        <w:t xml:space="preserve">is listed in Schedule </w:t>
      </w:r>
      <w:r w:rsidR="00922EC5">
        <w:t xml:space="preserve">3 </w:t>
      </w:r>
      <w:r w:rsidR="00A465DF">
        <w:t>of the Poisons Standard:</w:t>
      </w:r>
    </w:p>
    <w:p w14:paraId="54A10002" w14:textId="699A5A8B" w:rsidR="00A465DF" w:rsidRPr="00766EDB" w:rsidRDefault="00A465DF" w:rsidP="00A465DF">
      <w:pPr>
        <w:ind w:left="426"/>
        <w:rPr>
          <w:b/>
          <w:bCs/>
        </w:rPr>
      </w:pPr>
      <w:r w:rsidRPr="00766EDB">
        <w:rPr>
          <w:b/>
          <w:bCs/>
        </w:rPr>
        <w:t xml:space="preserve">Schedule </w:t>
      </w:r>
      <w:r w:rsidR="00922EC5">
        <w:rPr>
          <w:b/>
          <w:bCs/>
        </w:rPr>
        <w:t>3</w:t>
      </w:r>
    </w:p>
    <w:p w14:paraId="3F8A3793" w14:textId="2780DA3F" w:rsidR="00A465DF" w:rsidRDefault="00922EC5" w:rsidP="00A465DF">
      <w:pPr>
        <w:ind w:left="426"/>
      </w:pPr>
      <w:r>
        <w:t xml:space="preserve">SALICYLIC ACID in preparations for dermal use </w:t>
      </w:r>
      <w:r w:rsidRPr="00922EC5">
        <w:rPr>
          <w:b/>
          <w:bCs/>
        </w:rPr>
        <w:t>except</w:t>
      </w:r>
      <w:r>
        <w:t xml:space="preserve"> in preparations containing 40 per cent or less of salicylic acid</w:t>
      </w:r>
      <w:r w:rsidR="00A465DF">
        <w:t>.</w:t>
      </w:r>
    </w:p>
    <w:p w14:paraId="3482DCFE" w14:textId="77777777" w:rsidR="00A465DF" w:rsidRDefault="00A465DF" w:rsidP="00A465DF">
      <w:pPr>
        <w:pStyle w:val="Heading4"/>
      </w:pPr>
      <w:bookmarkStart w:id="97" w:name="_Toc81903359"/>
      <w:r>
        <w:t>Proposed scheduling</w:t>
      </w:r>
      <w:bookmarkEnd w:id="97"/>
    </w:p>
    <w:p w14:paraId="1B64C6E8" w14:textId="3C405C30" w:rsidR="00A465DF" w:rsidRPr="00A465DF" w:rsidRDefault="00A465DF" w:rsidP="00A465DF">
      <w:pPr>
        <w:pStyle w:val="Numberbullet3i"/>
        <w:numPr>
          <w:ilvl w:val="0"/>
          <w:numId w:val="0"/>
        </w:numPr>
        <w:ind w:left="426"/>
        <w:rPr>
          <w:b/>
          <w:bCs/>
          <w:lang w:eastAsia="en-AU"/>
        </w:rPr>
      </w:pPr>
      <w:r w:rsidRPr="00A465DF">
        <w:rPr>
          <w:b/>
          <w:bCs/>
          <w:lang w:eastAsia="en-AU"/>
        </w:rPr>
        <w:t xml:space="preserve">Schedule </w:t>
      </w:r>
      <w:r w:rsidR="00922EC5">
        <w:rPr>
          <w:b/>
          <w:bCs/>
          <w:lang w:eastAsia="en-AU"/>
        </w:rPr>
        <w:t>3</w:t>
      </w:r>
      <w:r w:rsidRPr="00A465DF">
        <w:rPr>
          <w:b/>
          <w:bCs/>
          <w:lang w:eastAsia="en-AU"/>
        </w:rPr>
        <w:t xml:space="preserve"> – </w:t>
      </w:r>
      <w:r w:rsidR="00B71252">
        <w:rPr>
          <w:b/>
          <w:bCs/>
          <w:lang w:eastAsia="en-AU"/>
        </w:rPr>
        <w:t>New</w:t>
      </w:r>
      <w:r w:rsidR="00922EC5">
        <w:rPr>
          <w:b/>
          <w:bCs/>
          <w:lang w:eastAsia="en-AU"/>
        </w:rPr>
        <w:t xml:space="preserve"> </w:t>
      </w:r>
      <w:r w:rsidRPr="00A465DF">
        <w:rPr>
          <w:b/>
          <w:bCs/>
          <w:lang w:eastAsia="en-AU"/>
        </w:rPr>
        <w:t>Entry</w:t>
      </w:r>
    </w:p>
    <w:p w14:paraId="042F6277" w14:textId="35754549" w:rsidR="00A465DF" w:rsidRDefault="00922EC5" w:rsidP="00A465DF">
      <w:pPr>
        <w:pStyle w:val="Numberbullet3i"/>
        <w:numPr>
          <w:ilvl w:val="0"/>
          <w:numId w:val="0"/>
        </w:numPr>
        <w:ind w:left="426"/>
        <w:rPr>
          <w:color w:val="00B050"/>
          <w:lang w:eastAsia="en-AU"/>
        </w:rPr>
      </w:pPr>
      <w:r>
        <w:rPr>
          <w:color w:val="00B050"/>
          <w:lang w:eastAsia="en-AU"/>
        </w:rPr>
        <w:t xml:space="preserve">CHOLINE SALICYLATE </w:t>
      </w:r>
      <w:r w:rsidRPr="00922EC5">
        <w:rPr>
          <w:color w:val="00B050"/>
          <w:lang w:eastAsia="en-AU"/>
        </w:rPr>
        <w:t>for human therapeutic or cosmetic use</w:t>
      </w:r>
      <w:r w:rsidRPr="00B71252">
        <w:rPr>
          <w:color w:val="00B050"/>
          <w:lang w:eastAsia="en-AU"/>
        </w:rPr>
        <w:t>.</w:t>
      </w:r>
    </w:p>
    <w:p w14:paraId="6EEFC4BA" w14:textId="163CA646" w:rsidR="00375A98" w:rsidRPr="007F1B9C" w:rsidRDefault="00375A98" w:rsidP="00A465DF">
      <w:pPr>
        <w:pStyle w:val="Numberbullet3i"/>
        <w:numPr>
          <w:ilvl w:val="0"/>
          <w:numId w:val="0"/>
        </w:numPr>
        <w:ind w:left="426"/>
        <w:rPr>
          <w:b/>
          <w:bCs/>
          <w:lang w:eastAsia="en-AU"/>
        </w:rPr>
      </w:pPr>
      <w:r w:rsidRPr="007F1B9C">
        <w:rPr>
          <w:b/>
          <w:bCs/>
          <w:lang w:eastAsia="en-AU"/>
        </w:rPr>
        <w:t>Index - New Entry</w:t>
      </w:r>
    </w:p>
    <w:p w14:paraId="3B28773C" w14:textId="64F6A79D" w:rsidR="00375A98" w:rsidRPr="007F1B9C" w:rsidRDefault="00375A98" w:rsidP="00A465DF">
      <w:pPr>
        <w:pStyle w:val="Numberbullet3i"/>
        <w:numPr>
          <w:ilvl w:val="0"/>
          <w:numId w:val="0"/>
        </w:numPr>
        <w:ind w:left="426"/>
        <w:rPr>
          <w:b/>
          <w:bCs/>
          <w:color w:val="00B050"/>
          <w:lang w:eastAsia="en-AU"/>
        </w:rPr>
      </w:pPr>
      <w:r w:rsidRPr="007F1B9C">
        <w:rPr>
          <w:b/>
          <w:bCs/>
          <w:color w:val="00B050"/>
          <w:lang w:eastAsia="en-AU"/>
        </w:rPr>
        <w:t>CHOLINE SALICYLATE</w:t>
      </w:r>
    </w:p>
    <w:p w14:paraId="65892AAB" w14:textId="2B4265C5" w:rsidR="00375A98" w:rsidRDefault="00375A98" w:rsidP="00A465DF">
      <w:pPr>
        <w:pStyle w:val="Numberbullet3i"/>
        <w:numPr>
          <w:ilvl w:val="0"/>
          <w:numId w:val="0"/>
        </w:numPr>
        <w:ind w:left="426"/>
        <w:rPr>
          <w:color w:val="00B050"/>
          <w:lang w:eastAsia="en-AU"/>
        </w:rPr>
      </w:pPr>
      <w:r>
        <w:rPr>
          <w:color w:val="00B050"/>
          <w:lang w:eastAsia="en-AU"/>
        </w:rPr>
        <w:t>Schedule 3</w:t>
      </w:r>
    </w:p>
    <w:p w14:paraId="5861FF77" w14:textId="77777777" w:rsidR="00A465DF" w:rsidRDefault="00A465DF" w:rsidP="00A465DF">
      <w:pPr>
        <w:pStyle w:val="Heading4"/>
      </w:pPr>
      <w:bookmarkStart w:id="98" w:name="_Toc81903360"/>
      <w:r>
        <w:t>Key uses / expected use</w:t>
      </w:r>
      <w:bookmarkEnd w:id="98"/>
    </w:p>
    <w:p w14:paraId="42926BD8" w14:textId="6A653670" w:rsidR="00A465DF" w:rsidRDefault="00A465DF" w:rsidP="00A465DF">
      <w:r w:rsidRPr="0057307D">
        <w:t>Medicines</w:t>
      </w:r>
      <w:r>
        <w:t xml:space="preserve">, </w:t>
      </w:r>
      <w:r w:rsidR="0080719D">
        <w:t>cosmetic</w:t>
      </w:r>
      <w:r>
        <w:t xml:space="preserve"> </w:t>
      </w:r>
    </w:p>
    <w:p w14:paraId="064021BA" w14:textId="77777777" w:rsidR="00A465DF" w:rsidRPr="00D3241C" w:rsidRDefault="00A465DF" w:rsidP="00A465DF">
      <w:pPr>
        <w:pStyle w:val="Heading4"/>
      </w:pPr>
      <w:bookmarkStart w:id="99" w:name="_Toc81903361"/>
      <w:r>
        <w:lastRenderedPageBreak/>
        <w:t>Application summary - reasons for proposa</w:t>
      </w:r>
      <w:r w:rsidRPr="00D3241C">
        <w:t>l</w:t>
      </w:r>
      <w:bookmarkEnd w:id="99"/>
    </w:p>
    <w:p w14:paraId="51D06706" w14:textId="47F7B66A" w:rsidR="00AC62A4" w:rsidRDefault="00AC62A4" w:rsidP="00AC62A4">
      <w:pPr>
        <w:pStyle w:val="ListBullet"/>
        <w:rPr>
          <w:shd w:val="clear" w:color="auto" w:fill="FFFFFF"/>
          <w:lang w:eastAsia="en-GB"/>
        </w:rPr>
      </w:pPr>
      <w:r>
        <w:rPr>
          <w:shd w:val="clear" w:color="auto" w:fill="FFFFFF"/>
          <w:lang w:eastAsia="en-GB"/>
        </w:rPr>
        <w:t xml:space="preserve">Currently choline salicylate for </w:t>
      </w:r>
      <w:proofErr w:type="spellStart"/>
      <w:r>
        <w:rPr>
          <w:shd w:val="clear" w:color="auto" w:fill="FFFFFF"/>
          <w:lang w:eastAsia="en-GB"/>
        </w:rPr>
        <w:t>oromucosal</w:t>
      </w:r>
      <w:proofErr w:type="spellEnd"/>
      <w:r>
        <w:rPr>
          <w:shd w:val="clear" w:color="auto" w:fill="FFFFFF"/>
          <w:lang w:eastAsia="en-GB"/>
        </w:rPr>
        <w:t xml:space="preserve"> use is unscheduled with no restrictions on purchase. </w:t>
      </w:r>
      <w:r>
        <w:t xml:space="preserve">Choline salicylate gels are currently listed and used in Australia for management of pain and swelling associated with teething and mouth ulcers. They are available for purchase without restriction in concentrations of 40% or less. </w:t>
      </w:r>
      <w:r>
        <w:rPr>
          <w:shd w:val="clear" w:color="auto" w:fill="FFFFFF"/>
          <w:lang w:eastAsia="en-GB"/>
        </w:rPr>
        <w:t>This poses the risk of toxicity particularly due to extended use of teething products containing the substance in infants.</w:t>
      </w:r>
    </w:p>
    <w:p w14:paraId="3C2FF454" w14:textId="37F3B632" w:rsidR="00A465DF" w:rsidRDefault="00FC613A" w:rsidP="00AF6329">
      <w:pPr>
        <w:pStyle w:val="ListBullet"/>
      </w:pPr>
      <w:r w:rsidRPr="00D3241C">
        <w:t>Choline salicylate is the choline salt of salicylic acid</w:t>
      </w:r>
      <w:r w:rsidR="00A465DF" w:rsidRPr="00D3241C">
        <w:t>.</w:t>
      </w:r>
      <w:r w:rsidRPr="00D3241C">
        <w:t xml:space="preserve"> It is used to relieve mild to moderate pain, reduce </w:t>
      </w:r>
      <w:r w:rsidR="00D3241C" w:rsidRPr="00D3241C">
        <w:t>fever and inflammation or swelling.</w:t>
      </w:r>
    </w:p>
    <w:p w14:paraId="0E31BD66" w14:textId="1BA162AD" w:rsidR="00D3241C" w:rsidRDefault="00D3241C" w:rsidP="00AF6329">
      <w:pPr>
        <w:pStyle w:val="ListBullet"/>
      </w:pPr>
      <w:r w:rsidRPr="00D3241C">
        <w:t>Choline salicylate relieves pain by inhibition of prostaglandin synthesis and reduces fever by acting on the hypothalamus heat-regulating centre.</w:t>
      </w:r>
      <w:r>
        <w:t xml:space="preserve"> In oral formulations it is absorbed across the buccal mucosa and is typically used for the treatment of pain and inflammation associated with teething and mouth ulcers.</w:t>
      </w:r>
    </w:p>
    <w:p w14:paraId="33CFCF5E" w14:textId="798D816F" w:rsidR="00D3241C" w:rsidRPr="00D3241C" w:rsidRDefault="00D3241C" w:rsidP="00AF6329">
      <w:pPr>
        <w:pStyle w:val="ListBullet"/>
      </w:pPr>
      <w:r w:rsidRPr="00D3241C">
        <w:rPr>
          <w:shd w:val="clear" w:color="auto" w:fill="FFFFFF"/>
          <w:lang w:eastAsia="en-GB"/>
        </w:rPr>
        <w:t xml:space="preserve">Salicylate toxicity is expected with acute exposures </w:t>
      </w:r>
      <w:r>
        <w:rPr>
          <w:shd w:val="clear" w:color="auto" w:fill="FFFFFF"/>
          <w:lang w:eastAsia="en-GB"/>
        </w:rPr>
        <w:t>of</w:t>
      </w:r>
      <w:r w:rsidRPr="00D3241C">
        <w:rPr>
          <w:shd w:val="clear" w:color="auto" w:fill="FFFFFF"/>
          <w:lang w:eastAsia="en-GB"/>
        </w:rPr>
        <w:t xml:space="preserve"> greater than </w:t>
      </w:r>
      <w:r>
        <w:rPr>
          <w:shd w:val="clear" w:color="auto" w:fill="FFFFFF"/>
          <w:lang w:eastAsia="en-GB"/>
        </w:rPr>
        <w:t>201</w:t>
      </w:r>
      <w:r w:rsidRPr="00D3241C">
        <w:rPr>
          <w:shd w:val="clear" w:color="auto" w:fill="FFFFFF"/>
          <w:lang w:eastAsia="en-GB"/>
        </w:rPr>
        <w:t xml:space="preserve">mg/kg or chronic exposures of greater than </w:t>
      </w:r>
      <w:r>
        <w:rPr>
          <w:shd w:val="clear" w:color="auto" w:fill="FFFFFF"/>
          <w:lang w:eastAsia="en-GB"/>
        </w:rPr>
        <w:t>13</w:t>
      </w:r>
      <w:r w:rsidR="00117DC0">
        <w:rPr>
          <w:shd w:val="clear" w:color="auto" w:fill="FFFFFF"/>
          <w:lang w:eastAsia="en-GB"/>
        </w:rPr>
        <w:t>4m</w:t>
      </w:r>
      <w:r w:rsidRPr="00D3241C">
        <w:rPr>
          <w:shd w:val="clear" w:color="auto" w:fill="FFFFFF"/>
          <w:lang w:eastAsia="en-GB"/>
        </w:rPr>
        <w:t xml:space="preserve">g/kg/day of </w:t>
      </w:r>
      <w:r>
        <w:rPr>
          <w:shd w:val="clear" w:color="auto" w:fill="FFFFFF"/>
          <w:lang w:eastAsia="en-GB"/>
        </w:rPr>
        <w:t xml:space="preserve">choline </w:t>
      </w:r>
      <w:r w:rsidRPr="00D3241C">
        <w:rPr>
          <w:shd w:val="clear" w:color="auto" w:fill="FFFFFF"/>
          <w:lang w:eastAsia="en-GB"/>
        </w:rPr>
        <w:t>salicylate.</w:t>
      </w:r>
    </w:p>
    <w:p w14:paraId="78AFA30D" w14:textId="39AF636A" w:rsidR="00D3241C" w:rsidRDefault="00D3241C" w:rsidP="00D3241C">
      <w:pPr>
        <w:pStyle w:val="ListBullet"/>
        <w:rPr>
          <w:shd w:val="clear" w:color="auto" w:fill="FFFFFF"/>
          <w:lang w:eastAsia="en-GB"/>
        </w:rPr>
      </w:pPr>
      <w:r>
        <w:rPr>
          <w:shd w:val="clear" w:color="auto" w:fill="FFFFFF"/>
          <w:lang w:eastAsia="en-GB"/>
        </w:rPr>
        <w:t xml:space="preserve">Exposures of less than 201mg/kg can produce mild salicylate toxicity including </w:t>
      </w:r>
      <w:r w:rsidRPr="00781A86">
        <w:rPr>
          <w:shd w:val="clear" w:color="auto" w:fill="FFFFFF"/>
          <w:lang w:eastAsia="en-GB"/>
        </w:rPr>
        <w:t>nausea, vomiting, epigastric pain</w:t>
      </w:r>
      <w:r>
        <w:rPr>
          <w:shd w:val="clear" w:color="auto" w:fill="FFFFFF"/>
          <w:lang w:eastAsia="en-GB"/>
        </w:rPr>
        <w:t>. Exposures between 201-40</w:t>
      </w:r>
      <w:r w:rsidR="00117DC0">
        <w:rPr>
          <w:shd w:val="clear" w:color="auto" w:fill="FFFFFF"/>
          <w:lang w:eastAsia="en-GB"/>
        </w:rPr>
        <w:t>2m</w:t>
      </w:r>
      <w:r>
        <w:rPr>
          <w:shd w:val="clear" w:color="auto" w:fill="FFFFFF"/>
          <w:lang w:eastAsia="en-GB"/>
        </w:rPr>
        <w:t xml:space="preserve">g/kg can cause moderate toxicity including </w:t>
      </w:r>
      <w:r w:rsidRPr="00FB7BA6">
        <w:rPr>
          <w:shd w:val="clear" w:color="auto" w:fill="FFFFFF"/>
          <w:lang w:eastAsia="en-GB"/>
        </w:rPr>
        <w:t>nausea, vomiting, epigastric pain</w:t>
      </w:r>
      <w:r>
        <w:rPr>
          <w:shd w:val="clear" w:color="auto" w:fill="FFFFFF"/>
          <w:lang w:eastAsia="en-GB"/>
        </w:rPr>
        <w:t xml:space="preserve">, </w:t>
      </w:r>
      <w:r w:rsidRPr="00DB6A5D">
        <w:rPr>
          <w:shd w:val="clear" w:color="auto" w:fill="FFFFFF"/>
          <w:lang w:eastAsia="en-GB"/>
        </w:rPr>
        <w:t xml:space="preserve">tinnitus, </w:t>
      </w:r>
      <w:r w:rsidR="00622E09" w:rsidRPr="00DB6A5D">
        <w:rPr>
          <w:shd w:val="clear" w:color="auto" w:fill="FFFFFF"/>
          <w:lang w:eastAsia="en-GB"/>
        </w:rPr>
        <w:t>tachypnoea</w:t>
      </w:r>
      <w:r w:rsidRPr="00DB6A5D">
        <w:rPr>
          <w:shd w:val="clear" w:color="auto" w:fill="FFFFFF"/>
          <w:lang w:eastAsia="en-GB"/>
        </w:rPr>
        <w:t>, and respiratory alkalosis.</w:t>
      </w:r>
      <w:r>
        <w:rPr>
          <w:shd w:val="clear" w:color="auto" w:fill="FFFFFF"/>
          <w:lang w:eastAsia="en-GB"/>
        </w:rPr>
        <w:t xml:space="preserve"> </w:t>
      </w:r>
    </w:p>
    <w:p w14:paraId="4653174C" w14:textId="1E14A164" w:rsidR="00D3241C" w:rsidRDefault="00D3241C" w:rsidP="00D3241C">
      <w:pPr>
        <w:pStyle w:val="ListBullet"/>
        <w:rPr>
          <w:shd w:val="clear" w:color="auto" w:fill="FFFFFF"/>
          <w:lang w:eastAsia="en-GB"/>
        </w:rPr>
      </w:pPr>
      <w:r>
        <w:rPr>
          <w:shd w:val="clear" w:color="auto" w:fill="FFFFFF"/>
          <w:lang w:eastAsia="en-GB"/>
        </w:rPr>
        <w:t>Exposures of greater than 40</w:t>
      </w:r>
      <w:r w:rsidR="00117DC0">
        <w:rPr>
          <w:shd w:val="clear" w:color="auto" w:fill="FFFFFF"/>
          <w:lang w:eastAsia="en-GB"/>
        </w:rPr>
        <w:t>2</w:t>
      </w:r>
      <w:r>
        <w:rPr>
          <w:shd w:val="clear" w:color="auto" w:fill="FFFFFF"/>
          <w:lang w:eastAsia="en-GB"/>
        </w:rPr>
        <w:t xml:space="preserve">mg/kg can produce severe toxicity </w:t>
      </w:r>
      <w:r w:rsidRPr="00546545">
        <w:rPr>
          <w:shd w:val="clear" w:color="auto" w:fill="FFFFFF"/>
          <w:lang w:eastAsia="en-GB"/>
        </w:rPr>
        <w:t xml:space="preserve">confusion, altered conscious state, coma, seizures, mixed respiratory </w:t>
      </w:r>
      <w:proofErr w:type="gramStart"/>
      <w:r w:rsidRPr="00546545">
        <w:rPr>
          <w:shd w:val="clear" w:color="auto" w:fill="FFFFFF"/>
          <w:lang w:eastAsia="en-GB"/>
        </w:rPr>
        <w:t>acidosis</w:t>
      </w:r>
      <w:proofErr w:type="gramEnd"/>
      <w:r w:rsidRPr="00546545">
        <w:rPr>
          <w:shd w:val="clear" w:color="auto" w:fill="FFFFFF"/>
          <w:lang w:eastAsia="en-GB"/>
        </w:rPr>
        <w:t xml:space="preserve"> and metabolic acidosis</w:t>
      </w:r>
      <w:r>
        <w:rPr>
          <w:shd w:val="clear" w:color="auto" w:fill="FFFFFF"/>
          <w:lang w:eastAsia="en-GB"/>
        </w:rPr>
        <w:t>, and are potentially fatal.</w:t>
      </w:r>
    </w:p>
    <w:p w14:paraId="7A912119" w14:textId="5CCF5FC9" w:rsidR="00375A98" w:rsidRDefault="00375A98" w:rsidP="00D3241C">
      <w:pPr>
        <w:pStyle w:val="ListBullet"/>
        <w:rPr>
          <w:shd w:val="clear" w:color="auto" w:fill="FFFFFF"/>
          <w:lang w:eastAsia="en-GB"/>
        </w:rPr>
      </w:pPr>
      <w:r>
        <w:rPr>
          <w:shd w:val="clear" w:color="auto" w:fill="FFFFFF"/>
          <w:lang w:eastAsia="en-GB"/>
        </w:rPr>
        <w:t>Published cases of salicylate toxicity demonstrate the risks associated with these products, which are not consistent with the scheduling factors for Schedule 2. The current labelling requirements have not been sufficient to prevent poisoning incidents, and self-selection in a pharmacy does not guarantee safe use of the medicine.</w:t>
      </w:r>
    </w:p>
    <w:p w14:paraId="1A9A8899" w14:textId="08169A4E" w:rsidR="00375A98" w:rsidRDefault="00375A98" w:rsidP="00D3241C">
      <w:pPr>
        <w:pStyle w:val="ListBullet"/>
        <w:rPr>
          <w:shd w:val="clear" w:color="auto" w:fill="FFFFFF"/>
          <w:lang w:eastAsia="en-GB"/>
        </w:rPr>
      </w:pPr>
      <w:r>
        <w:rPr>
          <w:shd w:val="clear" w:color="auto" w:fill="FFFFFF"/>
          <w:lang w:eastAsia="en-GB"/>
        </w:rPr>
        <w:t>Therapeutic guidelines in Australia do not recommend teething gels because of the lack of evidence of efficacy and the potential for harm</w:t>
      </w:r>
      <w:r w:rsidR="00394B64">
        <w:rPr>
          <w:rStyle w:val="FootnoteReference"/>
          <w:shd w:val="clear" w:color="auto" w:fill="FFFFFF"/>
          <w:lang w:eastAsia="en-GB"/>
        </w:rPr>
        <w:footnoteReference w:id="86"/>
      </w:r>
      <w:r>
        <w:rPr>
          <w:shd w:val="clear" w:color="auto" w:fill="FFFFFF"/>
          <w:lang w:eastAsia="en-GB"/>
        </w:rPr>
        <w:t>.</w:t>
      </w:r>
    </w:p>
    <w:p w14:paraId="1BDFDB66" w14:textId="29944FD7" w:rsidR="00375A98" w:rsidRDefault="00375A98" w:rsidP="00D3241C">
      <w:pPr>
        <w:pStyle w:val="ListBullet"/>
        <w:rPr>
          <w:shd w:val="clear" w:color="auto" w:fill="FFFFFF"/>
          <w:lang w:eastAsia="en-GB"/>
        </w:rPr>
      </w:pPr>
      <w:r>
        <w:t>The proposed change to schedule 3 would ensure continued access to choline salicylate products to the public but with appropriate information provided by pharmacists on indications, maximum dosages, and duration of use, to minimise risk of salicylate toxicity, adverse reactions as well as advice on non-medical management of teething.</w:t>
      </w:r>
    </w:p>
    <w:p w14:paraId="55EBDB01" w14:textId="77777777" w:rsidR="00A465DF" w:rsidRDefault="00A465DF" w:rsidP="00A465DF">
      <w:pPr>
        <w:pStyle w:val="Heading4"/>
      </w:pPr>
      <w:bookmarkStart w:id="100" w:name="_Toc81903362"/>
      <w:r w:rsidRPr="00DC5AE0">
        <w:t xml:space="preserve">Australian </w:t>
      </w:r>
      <w:r>
        <w:t>regulations</w:t>
      </w:r>
      <w:bookmarkEnd w:id="100"/>
      <w:r w:rsidRPr="00DC5AE0">
        <w:t xml:space="preserve"> </w:t>
      </w:r>
    </w:p>
    <w:p w14:paraId="5BD62B17" w14:textId="192CF4C0" w:rsidR="00A465DF" w:rsidRDefault="00A465DF" w:rsidP="00A465DF">
      <w:pPr>
        <w:pStyle w:val="ListBullet"/>
        <w:numPr>
          <w:ilvl w:val="0"/>
          <w:numId w:val="1"/>
        </w:numPr>
      </w:pPr>
      <w:r>
        <w:t xml:space="preserve">According to the </w:t>
      </w:r>
      <w:hyperlink r:id="rId100"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87"/>
      </w:r>
      <w:r>
        <w:t xml:space="preserve"> </w:t>
      </w:r>
      <w:r w:rsidR="00E00405">
        <w:t>choline salicylate</w:t>
      </w:r>
      <w:r>
        <w:t xml:space="preserve"> is:</w:t>
      </w:r>
    </w:p>
    <w:p w14:paraId="44FED71D" w14:textId="16AE88EF" w:rsidR="00A465DF" w:rsidRDefault="00E00405" w:rsidP="00E00405">
      <w:pPr>
        <w:pStyle w:val="ListBullet2"/>
      </w:pPr>
      <w:r>
        <w:t>Available for use as an Active Ingredient in Biologicals, Export Only, Over the Counter and Prescription Medicines</w:t>
      </w:r>
      <w:r w:rsidR="007575C7">
        <w:t>.</w:t>
      </w:r>
    </w:p>
    <w:p w14:paraId="65CBC679" w14:textId="40C7F391" w:rsidR="00E00405" w:rsidRDefault="00E00405" w:rsidP="00E00405">
      <w:pPr>
        <w:pStyle w:val="ListBullet2"/>
      </w:pPr>
      <w:r>
        <w:t>Available for use as an Excipient Ingredient in Biologicals, Devices and Prescription Medicines</w:t>
      </w:r>
      <w:r w:rsidR="007575C7">
        <w:t>.</w:t>
      </w:r>
    </w:p>
    <w:p w14:paraId="3D9FF485" w14:textId="76D30A37" w:rsidR="00E00405" w:rsidRDefault="00E00405" w:rsidP="00E00405">
      <w:pPr>
        <w:pStyle w:val="ListBullet2"/>
      </w:pPr>
      <w:r>
        <w:t>Not available as an Equivalent Ingredient in any application</w:t>
      </w:r>
      <w:r w:rsidR="007575C7">
        <w:t>.</w:t>
      </w:r>
    </w:p>
    <w:p w14:paraId="7F8F5F21" w14:textId="4D2A14E2" w:rsidR="00A465DF" w:rsidRDefault="00A465DF" w:rsidP="00A465DF">
      <w:pPr>
        <w:pStyle w:val="ListBullet"/>
        <w:numPr>
          <w:ilvl w:val="0"/>
          <w:numId w:val="1"/>
        </w:numPr>
      </w:pPr>
      <w:r>
        <w:lastRenderedPageBreak/>
        <w:t xml:space="preserve">As of </w:t>
      </w:r>
      <w:r w:rsidR="00B71252" w:rsidRPr="00B71252">
        <w:t>August</w:t>
      </w:r>
      <w:r w:rsidRPr="00B71252">
        <w:t xml:space="preserve"> 20</w:t>
      </w:r>
      <w:r w:rsidR="00B71252" w:rsidRPr="00B71252">
        <w:t>21</w:t>
      </w:r>
      <w:r>
        <w:t>, t</w:t>
      </w:r>
      <w:r w:rsidRPr="00881DFE">
        <w:t xml:space="preserve">here </w:t>
      </w:r>
      <w:r>
        <w:t>were</w:t>
      </w:r>
      <w:r w:rsidRPr="00881DFE">
        <w:t xml:space="preserve"> </w:t>
      </w:r>
      <w:r w:rsidR="00B71252">
        <w:t>8</w:t>
      </w:r>
      <w:r>
        <w:t xml:space="preserve"> medicine</w:t>
      </w:r>
      <w:r w:rsidRPr="00881DFE">
        <w:t xml:space="preserve">s currently active on the </w:t>
      </w:r>
      <w:hyperlink r:id="rId101" w:history="1">
        <w:r w:rsidRPr="00293CCA">
          <w:rPr>
            <w:rStyle w:val="Hyperlink"/>
          </w:rPr>
          <w:t>Australian Register of Therapeutic Goods (ARTG)</w:t>
        </w:r>
      </w:hyperlink>
      <w:r>
        <w:rPr>
          <w:rStyle w:val="FootnoteReference"/>
        </w:rPr>
        <w:footnoteReference w:id="88"/>
      </w:r>
      <w:r>
        <w:t xml:space="preserve"> that contain</w:t>
      </w:r>
      <w:r w:rsidRPr="00881DFE">
        <w:t xml:space="preserve"> </w:t>
      </w:r>
      <w:r w:rsidR="00B71252">
        <w:t>choline salicylate</w:t>
      </w:r>
      <w:r>
        <w:t xml:space="preserve"> as an active ingredient</w:t>
      </w:r>
      <w:r w:rsidRPr="00881DFE">
        <w:t>.</w:t>
      </w:r>
      <w:r>
        <w:t xml:space="preserve"> These include </w:t>
      </w:r>
      <w:r w:rsidR="00E00405">
        <w:t>8</w:t>
      </w:r>
      <w:r>
        <w:t xml:space="preserve"> non-prescription medicines</w:t>
      </w:r>
      <w:r w:rsidR="00E00405">
        <w:t xml:space="preserve"> (all are gels for teething or the treatment of mouth ulcers)</w:t>
      </w:r>
      <w:r>
        <w:t>.</w:t>
      </w:r>
    </w:p>
    <w:p w14:paraId="6E170413" w14:textId="0D2DEE6A" w:rsidR="00A465DF" w:rsidRPr="00E00405" w:rsidRDefault="00E00405" w:rsidP="00E00405">
      <w:pPr>
        <w:pStyle w:val="ListBullet"/>
        <w:numPr>
          <w:ilvl w:val="0"/>
          <w:numId w:val="1"/>
        </w:numPr>
      </w:pPr>
      <w:r>
        <w:t>Choline salicylate</w:t>
      </w:r>
      <w:r w:rsidR="00A465DF" w:rsidRPr="009C55D5">
        <w:t xml:space="preserve"> is not permitted to be included in listed medicines </w:t>
      </w:r>
      <w:r w:rsidR="00A465DF">
        <w:t xml:space="preserve">as it is not included in the </w:t>
      </w:r>
      <w:hyperlink r:id="rId102" w:history="1">
        <w:r w:rsidR="00A465DF" w:rsidRPr="00824CAC">
          <w:rPr>
            <w:rStyle w:val="Hyperlink"/>
          </w:rPr>
          <w:t>Therapeutic Goods (Permissible Ingredients) Determination</w:t>
        </w:r>
      </w:hyperlink>
      <w:r w:rsidR="00A465DF">
        <w:rPr>
          <w:rStyle w:val="FootnoteReference"/>
        </w:rPr>
        <w:footnoteReference w:id="89"/>
      </w:r>
      <w:r w:rsidR="00A465DF" w:rsidRPr="009C55D5">
        <w:t xml:space="preserve"> No.</w:t>
      </w:r>
      <w:r>
        <w:t>1</w:t>
      </w:r>
      <w:r w:rsidR="00A465DF" w:rsidRPr="009C55D5">
        <w:t xml:space="preserve"> of 20</w:t>
      </w:r>
      <w:r>
        <w:t>21</w:t>
      </w:r>
      <w:r w:rsidR="00A465DF" w:rsidRPr="009C55D5">
        <w:t xml:space="preserve">. </w:t>
      </w:r>
    </w:p>
    <w:p w14:paraId="040436DB" w14:textId="54A1ACC6" w:rsidR="00A465DF" w:rsidRDefault="00E00405" w:rsidP="00A465DF">
      <w:pPr>
        <w:pStyle w:val="ListBullet"/>
        <w:keepNext/>
        <w:keepLines/>
        <w:numPr>
          <w:ilvl w:val="0"/>
          <w:numId w:val="1"/>
        </w:numPr>
      </w:pPr>
      <w:r>
        <w:t>Choline salicylate is not included in t</w:t>
      </w:r>
      <w:r w:rsidR="00A465DF">
        <w:t xml:space="preserve">he </w:t>
      </w:r>
      <w:hyperlink r:id="rId103" w:history="1">
        <w:r w:rsidR="00A465DF" w:rsidRPr="00C81411">
          <w:rPr>
            <w:rStyle w:val="Hyperlink"/>
          </w:rPr>
          <w:t xml:space="preserve">TGA </w:t>
        </w:r>
        <w:r w:rsidR="00A465DF">
          <w:rPr>
            <w:rStyle w:val="Hyperlink"/>
          </w:rPr>
          <w:t>p</w:t>
        </w:r>
        <w:r w:rsidR="00A465DF" w:rsidRPr="00C81411">
          <w:rPr>
            <w:rStyle w:val="Hyperlink"/>
          </w:rPr>
          <w:t>rescribing medicines in pregnancy database</w:t>
        </w:r>
      </w:hyperlink>
      <w:r w:rsidR="00A465DF">
        <w:rPr>
          <w:rStyle w:val="FootnoteReference"/>
        </w:rPr>
        <w:footnoteReference w:id="90"/>
      </w:r>
      <w:r w:rsidRPr="00E00405">
        <w:rPr>
          <w:rStyle w:val="Hyperlink"/>
          <w:color w:val="auto"/>
          <w:u w:val="none"/>
        </w:rPr>
        <w:t>.</w:t>
      </w:r>
    </w:p>
    <w:p w14:paraId="5ACDA97F" w14:textId="683EBB8B" w:rsidR="00A465DF" w:rsidRDefault="00A465DF" w:rsidP="00A465DF">
      <w:pPr>
        <w:pStyle w:val="ListBullet"/>
        <w:numPr>
          <w:ilvl w:val="0"/>
          <w:numId w:val="1"/>
        </w:numPr>
      </w:pPr>
      <w:r>
        <w:t>The</w:t>
      </w:r>
      <w:r w:rsidRPr="00AB7BF5">
        <w:t xml:space="preserve"> </w:t>
      </w:r>
      <w:hyperlink r:id="rId104" w:history="1">
        <w:r w:rsidRPr="00AB7BF5">
          <w:rPr>
            <w:rStyle w:val="Hyperlink"/>
          </w:rPr>
          <w:t>Therapeutic Goods (Medicines Advisory Statements) Specification 2019</w:t>
        </w:r>
      </w:hyperlink>
      <w:r>
        <w:rPr>
          <w:rStyle w:val="FootnoteReference"/>
        </w:rPr>
        <w:footnoteReference w:id="91"/>
      </w:r>
      <w:r>
        <w:t xml:space="preserve"> requires</w:t>
      </w:r>
      <w:r w:rsidRPr="00A30084">
        <w:t xml:space="preserve"> the following warning statements pertaining to </w:t>
      </w:r>
      <w:r w:rsidR="00375A98">
        <w:t>choline salicylate</w:t>
      </w:r>
      <w:r w:rsidRPr="00A30084">
        <w:t xml:space="preserve"> to be included on the labelling:</w:t>
      </w:r>
    </w:p>
    <w:tbl>
      <w:tblPr>
        <w:tblStyle w:val="TableTGAblue"/>
        <w:tblW w:w="0" w:type="auto"/>
        <w:tblInd w:w="360" w:type="dxa"/>
        <w:tblLook w:val="04A0" w:firstRow="1" w:lastRow="0" w:firstColumn="1" w:lastColumn="0" w:noHBand="0" w:noVBand="1"/>
      </w:tblPr>
      <w:tblGrid>
        <w:gridCol w:w="1870"/>
        <w:gridCol w:w="2111"/>
        <w:gridCol w:w="4709"/>
      </w:tblGrid>
      <w:tr w:rsidR="00A465DF" w:rsidRPr="0072647D" w14:paraId="247DC462" w14:textId="77777777" w:rsidTr="0072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shd w:val="clear" w:color="auto" w:fill="006EA8" w:themeFill="accent1"/>
          </w:tcPr>
          <w:p w14:paraId="1EEC4F12" w14:textId="77777777" w:rsidR="00A465DF" w:rsidRPr="0072647D" w:rsidRDefault="00A465DF" w:rsidP="00ED13DE">
            <w:pPr>
              <w:pStyle w:val="ListBullet"/>
              <w:numPr>
                <w:ilvl w:val="0"/>
                <w:numId w:val="0"/>
              </w:numPr>
              <w:rPr>
                <w:szCs w:val="22"/>
              </w:rPr>
            </w:pPr>
            <w:r w:rsidRPr="0072647D">
              <w:rPr>
                <w:szCs w:val="22"/>
              </w:rPr>
              <w:t>Substance</w:t>
            </w:r>
          </w:p>
        </w:tc>
        <w:tc>
          <w:tcPr>
            <w:tcW w:w="2117" w:type="dxa"/>
            <w:shd w:val="clear" w:color="auto" w:fill="006EA8" w:themeFill="accent1"/>
          </w:tcPr>
          <w:p w14:paraId="6AA22886" w14:textId="77777777" w:rsidR="00A465DF" w:rsidRPr="0072647D" w:rsidRDefault="00A465DF" w:rsidP="00ED13DE">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2"/>
              </w:rPr>
            </w:pPr>
            <w:r w:rsidRPr="0072647D">
              <w:rPr>
                <w:szCs w:val="22"/>
              </w:rPr>
              <w:t xml:space="preserve">Conditions </w:t>
            </w:r>
          </w:p>
        </w:tc>
        <w:tc>
          <w:tcPr>
            <w:tcW w:w="4734" w:type="dxa"/>
            <w:shd w:val="clear" w:color="auto" w:fill="006EA8" w:themeFill="accent1"/>
          </w:tcPr>
          <w:p w14:paraId="69F9855A" w14:textId="77777777" w:rsidR="00A465DF" w:rsidRPr="0072647D" w:rsidRDefault="00A465DF" w:rsidP="00ED13DE">
            <w:pPr>
              <w:pStyle w:val="ListBullet"/>
              <w:numPr>
                <w:ilvl w:val="0"/>
                <w:numId w:val="0"/>
              </w:numPr>
              <w:cnfStyle w:val="100000000000" w:firstRow="1" w:lastRow="0" w:firstColumn="0" w:lastColumn="0" w:oddVBand="0" w:evenVBand="0" w:oddHBand="0" w:evenHBand="0" w:firstRowFirstColumn="0" w:firstRowLastColumn="0" w:lastRowFirstColumn="0" w:lastRowLastColumn="0"/>
              <w:rPr>
                <w:szCs w:val="22"/>
              </w:rPr>
            </w:pPr>
            <w:r w:rsidRPr="0072647D">
              <w:rPr>
                <w:szCs w:val="22"/>
              </w:rPr>
              <w:t xml:space="preserve">Required Statement(s) </w:t>
            </w:r>
          </w:p>
        </w:tc>
      </w:tr>
      <w:tr w:rsidR="00A465DF" w:rsidRPr="006112EA" w14:paraId="7ED6199B" w14:textId="77777777" w:rsidTr="00ED13DE">
        <w:tc>
          <w:tcPr>
            <w:cnfStyle w:val="001000000000" w:firstRow="0" w:lastRow="0" w:firstColumn="1" w:lastColumn="0" w:oddVBand="0" w:evenVBand="0" w:oddHBand="0" w:evenHBand="0" w:firstRowFirstColumn="0" w:firstRowLastColumn="0" w:lastRowFirstColumn="0" w:lastRowLastColumn="0"/>
            <w:tcW w:w="1875" w:type="dxa"/>
          </w:tcPr>
          <w:p w14:paraId="07E3B2A8" w14:textId="6B591619" w:rsidR="00A465DF" w:rsidRPr="006112EA" w:rsidRDefault="00E00405" w:rsidP="00ED13DE">
            <w:pPr>
              <w:rPr>
                <w:sz w:val="20"/>
                <w:szCs w:val="20"/>
              </w:rPr>
            </w:pPr>
            <w:r>
              <w:rPr>
                <w:sz w:val="20"/>
                <w:szCs w:val="20"/>
              </w:rPr>
              <w:t>Choline salicylate</w:t>
            </w:r>
          </w:p>
        </w:tc>
        <w:tc>
          <w:tcPr>
            <w:tcW w:w="2117" w:type="dxa"/>
          </w:tcPr>
          <w:p w14:paraId="45497C58" w14:textId="177DD871" w:rsidR="00A465DF" w:rsidRPr="006112EA" w:rsidRDefault="00E00405" w:rsidP="00ED13D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 preparations for topical oral use.</w:t>
            </w:r>
          </w:p>
        </w:tc>
        <w:tc>
          <w:tcPr>
            <w:tcW w:w="4734" w:type="dxa"/>
          </w:tcPr>
          <w:p w14:paraId="2F342758" w14:textId="64264E55" w:rsidR="00A465DF" w:rsidRPr="006112EA" w:rsidRDefault="00E00405" w:rsidP="00ED13D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 not exceed the recommended dose. Excessive or prolonged use can be harmful.</w:t>
            </w:r>
          </w:p>
        </w:tc>
      </w:tr>
    </w:tbl>
    <w:p w14:paraId="7F1DCFA4" w14:textId="641C7DF2" w:rsidR="00A465DF" w:rsidRPr="00B77007" w:rsidRDefault="00A465DF" w:rsidP="00AF6329">
      <w:pPr>
        <w:pStyle w:val="ListBullet"/>
      </w:pPr>
      <w:r>
        <w:t xml:space="preserve">As of </w:t>
      </w:r>
      <w:r w:rsidR="00B77007">
        <w:t>August</w:t>
      </w:r>
      <w:r w:rsidRPr="00B77007">
        <w:t xml:space="preserve"> 20</w:t>
      </w:r>
      <w:r w:rsidR="00E00405">
        <w:t>21</w:t>
      </w:r>
      <w:r>
        <w:t>, there were</w:t>
      </w:r>
      <w:r w:rsidRPr="009C55D5">
        <w:t xml:space="preserve"> </w:t>
      </w:r>
      <w:r w:rsidR="00B77007">
        <w:t>16</w:t>
      </w:r>
      <w:r w:rsidRPr="009C55D5">
        <w:t xml:space="preserve"> reports of adverse events for products containing </w:t>
      </w:r>
      <w:r w:rsidR="00B77007">
        <w:t xml:space="preserve">choline salicylate </w:t>
      </w:r>
      <w:r w:rsidRPr="009C55D5">
        <w:t>as an active ingredient</w:t>
      </w:r>
      <w:r>
        <w:t xml:space="preserve"> on the </w:t>
      </w:r>
      <w:hyperlink r:id="rId105" w:history="1">
        <w:r w:rsidRPr="00F0449C">
          <w:rPr>
            <w:rStyle w:val="Hyperlink"/>
          </w:rPr>
          <w:t>Database of Adverse Event Notifications (DAEN)</w:t>
        </w:r>
      </w:hyperlink>
      <w:r w:rsidRPr="00254E0B">
        <w:t>,</w:t>
      </w:r>
      <w:r w:rsidRPr="00F0449C">
        <w:rPr>
          <w:rStyle w:val="FootnoteReference"/>
        </w:rPr>
        <w:footnoteReference w:id="92"/>
      </w:r>
      <w:r w:rsidRPr="009C55D5">
        <w:t xml:space="preserve"> with </w:t>
      </w:r>
      <w:r w:rsidR="00B77007">
        <w:t>14</w:t>
      </w:r>
      <w:r w:rsidRPr="009C55D5">
        <w:t xml:space="preserve"> reports where </w:t>
      </w:r>
      <w:r w:rsidR="00B77007">
        <w:t xml:space="preserve">choline salicylate </w:t>
      </w:r>
      <w:r w:rsidRPr="009C55D5">
        <w:t xml:space="preserve">was the single suspected medicine. There were </w:t>
      </w:r>
      <w:r w:rsidRPr="00B77007">
        <w:t>no</w:t>
      </w:r>
      <w:r w:rsidRPr="009C55D5">
        <w:t xml:space="preserve"> reports of deaths associated with </w:t>
      </w:r>
      <w:r w:rsidR="00B77007">
        <w:t xml:space="preserve">choline salicylate </w:t>
      </w:r>
      <w:r w:rsidRPr="009C55D5">
        <w:t>use</w:t>
      </w:r>
      <w:r w:rsidRPr="00B77007">
        <w:t>.</w:t>
      </w:r>
    </w:p>
    <w:p w14:paraId="2E8792DA" w14:textId="22A30024" w:rsidR="00A465DF" w:rsidRPr="00390FE4" w:rsidRDefault="00A465DF" w:rsidP="00B77007">
      <w:pPr>
        <w:pStyle w:val="ListBullet"/>
        <w:numPr>
          <w:ilvl w:val="0"/>
          <w:numId w:val="1"/>
        </w:numPr>
      </w:pPr>
      <w:r>
        <w:t>A</w:t>
      </w:r>
      <w:r w:rsidRPr="000C1E78">
        <w:t xml:space="preserve">s of </w:t>
      </w:r>
      <w:r w:rsidR="00B77007" w:rsidRPr="000C1E78">
        <w:t xml:space="preserve">August </w:t>
      </w:r>
      <w:r w:rsidRPr="000C1E78">
        <w:t>20</w:t>
      </w:r>
      <w:r w:rsidR="00B77007" w:rsidRPr="000C1E78">
        <w:t>21</w:t>
      </w:r>
      <w:r w:rsidRPr="000C1E78">
        <w:t>, there were no products</w:t>
      </w:r>
      <w:r w:rsidRPr="00F0449C">
        <w:t xml:space="preserve"> containing </w:t>
      </w:r>
      <w:r w:rsidR="00B77007">
        <w:t xml:space="preserve">choline salicylate </w:t>
      </w:r>
      <w:r w:rsidRPr="00F0449C">
        <w:t xml:space="preserve">listed on the </w:t>
      </w:r>
      <w:hyperlink r:id="rId106"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rPr>
          <w:rStyle w:val="FootnoteReference"/>
        </w:rPr>
        <w:footnoteReference w:id="93"/>
      </w:r>
      <w:r w:rsidRPr="00B77007">
        <w:rPr>
          <w:i/>
          <w:color w:val="0098F6" w:themeColor="text2" w:themeTint="99"/>
        </w:rPr>
        <w:t xml:space="preserve"> </w:t>
      </w:r>
    </w:p>
    <w:p w14:paraId="22198BBD" w14:textId="77777777" w:rsidR="00A465DF" w:rsidRPr="00CB687C" w:rsidRDefault="00A465DF" w:rsidP="00A465DF">
      <w:pPr>
        <w:pStyle w:val="Heading4"/>
      </w:pPr>
      <w:bookmarkStart w:id="101" w:name="_Toc81903363"/>
      <w:r>
        <w:t>International regulations</w:t>
      </w:r>
      <w:bookmarkEnd w:id="101"/>
    </w:p>
    <w:p w14:paraId="4DF84615" w14:textId="5BE48E1C" w:rsidR="000C1E78" w:rsidRDefault="000C1E78" w:rsidP="000C1E78">
      <w:pPr>
        <w:pStyle w:val="ListBullet"/>
        <w:numPr>
          <w:ilvl w:val="0"/>
          <w:numId w:val="1"/>
        </w:numPr>
      </w:pPr>
      <w:r>
        <w:t xml:space="preserve">The </w:t>
      </w:r>
      <w:hyperlink r:id="rId107" w:history="1">
        <w:r w:rsidRPr="00A26C3E">
          <w:rPr>
            <w:rStyle w:val="Hyperlink"/>
          </w:rPr>
          <w:t>New Zealand Medicines and Medical Devices Safety Authority (</w:t>
        </w:r>
        <w:proofErr w:type="spellStart"/>
        <w:r w:rsidRPr="00A26C3E">
          <w:rPr>
            <w:rStyle w:val="Hyperlink"/>
          </w:rPr>
          <w:t>Medsafe</w:t>
        </w:r>
        <w:proofErr w:type="spellEnd"/>
        <w:r w:rsidRPr="00A26C3E">
          <w:rPr>
            <w:rStyle w:val="Hyperlink"/>
          </w:rPr>
          <w:t>)</w:t>
        </w:r>
      </w:hyperlink>
      <w:r w:rsidR="00A26C3E">
        <w:rPr>
          <w:rStyle w:val="FootnoteReference"/>
        </w:rPr>
        <w:footnoteReference w:id="94"/>
      </w:r>
      <w:r>
        <w:t xml:space="preserve"> medicines classification database lists choline salicylate as</w:t>
      </w:r>
      <w:r w:rsidR="00375A98">
        <w:t>:</w:t>
      </w:r>
    </w:p>
    <w:p w14:paraId="435DF9AD" w14:textId="77777777" w:rsidR="000C1E78" w:rsidRDefault="000C1E78" w:rsidP="000C1E78">
      <w:pPr>
        <w:pStyle w:val="ListBullet2"/>
      </w:pPr>
      <w:r>
        <w:t xml:space="preserve">prescription medicine in products containing greater than 10% choline salicylate in pack sizes exceeding 15 grams, and </w:t>
      </w:r>
    </w:p>
    <w:p w14:paraId="05A854E3" w14:textId="2258CA84" w:rsidR="000C1E78" w:rsidRDefault="000C1E78" w:rsidP="000C1E78">
      <w:pPr>
        <w:pStyle w:val="ListBullet2"/>
      </w:pPr>
      <w:r>
        <w:t>for general sale otherwise.</w:t>
      </w:r>
    </w:p>
    <w:p w14:paraId="47E938CD" w14:textId="10FB128C" w:rsidR="000C1E78" w:rsidRDefault="000C1E78" w:rsidP="000C1E78">
      <w:pPr>
        <w:pStyle w:val="ListBullet"/>
        <w:numPr>
          <w:ilvl w:val="0"/>
          <w:numId w:val="1"/>
        </w:numPr>
      </w:pPr>
      <w:r>
        <w:t xml:space="preserve">There are no active products on the </w:t>
      </w:r>
      <w:hyperlink r:id="rId108" w:history="1">
        <w:r w:rsidRPr="00A26C3E">
          <w:rPr>
            <w:rStyle w:val="Hyperlink"/>
          </w:rPr>
          <w:t>Health Canada Drug Product Database</w:t>
        </w:r>
      </w:hyperlink>
      <w:r w:rsidR="00A26C3E">
        <w:rPr>
          <w:rStyle w:val="FootnoteReference"/>
        </w:rPr>
        <w:footnoteReference w:id="95"/>
      </w:r>
      <w:r>
        <w:t xml:space="preserve"> that contain choline salicylate.</w:t>
      </w:r>
      <w:r w:rsidR="00FC613A">
        <w:t xml:space="preserve"> Two choline salicylate products are listed on the database as “cancelled post market”.</w:t>
      </w:r>
    </w:p>
    <w:p w14:paraId="4BE65B04" w14:textId="2B0D51F7" w:rsidR="000C1E78" w:rsidRDefault="000C1E78" w:rsidP="000C1E78">
      <w:pPr>
        <w:pStyle w:val="ListBullet"/>
        <w:numPr>
          <w:ilvl w:val="0"/>
          <w:numId w:val="1"/>
        </w:numPr>
      </w:pPr>
      <w:r>
        <w:t xml:space="preserve">Choline salicylate is not included in the </w:t>
      </w:r>
      <w:hyperlink r:id="rId109" w:history="1">
        <w:r w:rsidRPr="00A26C3E">
          <w:rPr>
            <w:rStyle w:val="Hyperlink"/>
          </w:rPr>
          <w:t xml:space="preserve">United States Food and Drug Administration (US FDA) </w:t>
        </w:r>
        <w:r w:rsidR="00FC613A" w:rsidRPr="00A26C3E">
          <w:rPr>
            <w:rStyle w:val="Hyperlink"/>
          </w:rPr>
          <w:t>Approved Drugs Database</w:t>
        </w:r>
      </w:hyperlink>
      <w:r w:rsidR="00A26C3E">
        <w:rPr>
          <w:rStyle w:val="FootnoteReference"/>
        </w:rPr>
        <w:footnoteReference w:id="96"/>
      </w:r>
      <w:r w:rsidR="00FC613A">
        <w:t xml:space="preserve">, or the </w:t>
      </w:r>
      <w:hyperlink r:id="rId110" w:history="1">
        <w:r w:rsidR="00FC613A" w:rsidRPr="00A26C3E">
          <w:rPr>
            <w:rStyle w:val="Hyperlink"/>
          </w:rPr>
          <w:t>New Zealand Inventory of Chemicals (</w:t>
        </w:r>
        <w:proofErr w:type="spellStart"/>
        <w:r w:rsidR="00FC613A" w:rsidRPr="00A26C3E">
          <w:rPr>
            <w:rStyle w:val="Hyperlink"/>
          </w:rPr>
          <w:t>NZIoC</w:t>
        </w:r>
        <w:proofErr w:type="spellEnd"/>
        <w:r w:rsidR="00FC613A" w:rsidRPr="00A26C3E">
          <w:rPr>
            <w:rStyle w:val="Hyperlink"/>
          </w:rPr>
          <w:t>)</w:t>
        </w:r>
      </w:hyperlink>
      <w:r w:rsidR="00A26C3E">
        <w:rPr>
          <w:rStyle w:val="FootnoteReference"/>
        </w:rPr>
        <w:footnoteReference w:id="97"/>
      </w:r>
      <w:r w:rsidR="00FC613A">
        <w:t>.</w:t>
      </w:r>
    </w:p>
    <w:p w14:paraId="59B9AFCF" w14:textId="26677F85" w:rsidR="00A465DF" w:rsidRDefault="00FC613A" w:rsidP="00FC613A">
      <w:pPr>
        <w:pStyle w:val="ListBullet"/>
        <w:numPr>
          <w:ilvl w:val="0"/>
          <w:numId w:val="1"/>
        </w:numPr>
      </w:pPr>
      <w:r>
        <w:lastRenderedPageBreak/>
        <w:t xml:space="preserve">Choline salicylate is included on the </w:t>
      </w:r>
      <w:hyperlink r:id="rId111" w:history="1">
        <w:r w:rsidRPr="00A26C3E">
          <w:rPr>
            <w:rStyle w:val="Hyperlink"/>
          </w:rPr>
          <w:t>European Commission’s database for cosmetic substances and ingredients</w:t>
        </w:r>
      </w:hyperlink>
      <w:r w:rsidR="00A26C3E">
        <w:rPr>
          <w:rStyle w:val="FootnoteReference"/>
        </w:rPr>
        <w:footnoteReference w:id="98"/>
      </w:r>
      <w:r>
        <w:t>.</w:t>
      </w:r>
    </w:p>
    <w:p w14:paraId="5C17E740" w14:textId="407738CE" w:rsidR="005649BA" w:rsidRPr="0072647D" w:rsidRDefault="00FC613A" w:rsidP="0072647D">
      <w:pPr>
        <w:pStyle w:val="ListBullet"/>
        <w:numPr>
          <w:ilvl w:val="0"/>
          <w:numId w:val="1"/>
        </w:numPr>
        <w:rPr>
          <w:rStyle w:val="Hyperlink"/>
          <w:color w:val="auto"/>
          <w:u w:val="none"/>
        </w:rPr>
      </w:pPr>
      <w:r>
        <w:rPr>
          <w:rStyle w:val="Hyperlink"/>
          <w:color w:val="auto"/>
          <w:u w:val="none"/>
        </w:rPr>
        <w:t xml:space="preserve">The </w:t>
      </w:r>
      <w:hyperlink r:id="rId112" w:history="1">
        <w:r w:rsidRPr="00F17EC1">
          <w:rPr>
            <w:rStyle w:val="Hyperlink"/>
          </w:rPr>
          <w:t>Health Products Regulatory Authority in Ireland</w:t>
        </w:r>
      </w:hyperlink>
      <w:r w:rsidR="00F17EC1">
        <w:rPr>
          <w:rStyle w:val="FootnoteReference"/>
        </w:rPr>
        <w:footnoteReference w:id="99"/>
      </w:r>
      <w:r>
        <w:rPr>
          <w:rStyle w:val="Hyperlink"/>
          <w:color w:val="auto"/>
          <w:u w:val="none"/>
        </w:rPr>
        <w:t xml:space="preserve"> has authorised three products containing choline salicylate. Two products are </w:t>
      </w:r>
      <w:proofErr w:type="spellStart"/>
      <w:r>
        <w:rPr>
          <w:rStyle w:val="Hyperlink"/>
          <w:color w:val="auto"/>
          <w:u w:val="none"/>
        </w:rPr>
        <w:t>oromucosal</w:t>
      </w:r>
      <w:proofErr w:type="spellEnd"/>
      <w:r>
        <w:rPr>
          <w:rStyle w:val="Hyperlink"/>
          <w:color w:val="auto"/>
          <w:u w:val="none"/>
        </w:rPr>
        <w:t xml:space="preserve"> gels (8.7% choline salicylate) which can be supplied through non-pharmacy outlets without a prescription, and one ear drops product (20% choline salicylate) which is available by prescription only.</w:t>
      </w:r>
    </w:p>
    <w:p w14:paraId="6DEC83FB" w14:textId="77777777" w:rsidR="003C02CB" w:rsidRDefault="003C02CB" w:rsidP="003C02CB">
      <w:pPr>
        <w:pStyle w:val="Heading2"/>
        <w:pageBreakBefore w:val="0"/>
      </w:pPr>
      <w:bookmarkStart w:id="102" w:name="_How_to_respond"/>
      <w:bookmarkStart w:id="103" w:name="_Toc81903364"/>
      <w:bookmarkEnd w:id="102"/>
      <w:r>
        <w:t>How to respond</w:t>
      </w:r>
      <w:bookmarkEnd w:id="103"/>
    </w:p>
    <w:p w14:paraId="5C0264B1" w14:textId="10F9B682" w:rsidR="003C02CB" w:rsidRDefault="00D75206" w:rsidP="00D75206">
      <w:pPr>
        <w:pStyle w:val="ListBullet"/>
        <w:numPr>
          <w:ilvl w:val="0"/>
          <w:numId w:val="0"/>
        </w:numPr>
      </w:pPr>
      <w:r>
        <w:t xml:space="preserve">Submissions must be provided by the closing date of </w:t>
      </w:r>
      <w:r w:rsidR="00FB58B0">
        <w:rPr>
          <w:b/>
        </w:rPr>
        <w:t>7</w:t>
      </w:r>
      <w:r>
        <w:rPr>
          <w:b/>
        </w:rPr>
        <w:t xml:space="preserve"> </w:t>
      </w:r>
      <w:r w:rsidR="00EC7B1E">
        <w:rPr>
          <w:b/>
        </w:rPr>
        <w:t>October</w:t>
      </w:r>
      <w:r>
        <w:rPr>
          <w:b/>
        </w:rPr>
        <w:t xml:space="preserve"> 20</w:t>
      </w:r>
      <w:r w:rsidR="00EC7B1E">
        <w:rPr>
          <w:b/>
        </w:rPr>
        <w:t>21</w:t>
      </w:r>
      <w:r>
        <w:t xml:space="preserve"> </w:t>
      </w:r>
      <w:r w:rsidRPr="00972C2F">
        <w:t>through our </w:t>
      </w:r>
      <w:hyperlink r:id="rId113" w:history="1">
        <w:r w:rsidRPr="00EC7B1E">
          <w:rPr>
            <w:rStyle w:val="Hyperlink"/>
          </w:rPr>
          <w:t>consultation hub</w:t>
        </w:r>
      </w:hyperlink>
      <w:r w:rsidRPr="00EC7B1E">
        <w:t>.</w:t>
      </w:r>
      <w:r w:rsidRPr="00972C2F">
        <w:t xml:space="preserve"> Any submission about any of the proposals to amend the Poisons Standard will be considered at the next meeting of the </w:t>
      </w:r>
      <w:hyperlink r:id="rId114" w:history="1">
        <w:r w:rsidRPr="00972C2F">
          <w:rPr>
            <w:rStyle w:val="Hyperlink"/>
          </w:rPr>
          <w:t>Advisory Committee on Medicines Scheduling (ACMS)</w:t>
        </w:r>
      </w:hyperlink>
      <w:r w:rsidRPr="00972C2F">
        <w:t>, meeting of the </w:t>
      </w:r>
      <w:hyperlink r:id="rId115" w:history="1">
        <w:r w:rsidRPr="00972C2F">
          <w:rPr>
            <w:rStyle w:val="Hyperlink"/>
          </w:rPr>
          <w:t>Advisory Committee on Chemicals Scheduling (ACCS)</w:t>
        </w:r>
      </w:hyperlink>
      <w:r w:rsidRPr="00972C2F">
        <w:t xml:space="preserve">, or a joint </w:t>
      </w:r>
      <w:r>
        <w:t>meeting of these two committees.</w:t>
      </w:r>
    </w:p>
    <w:p w14:paraId="62DDB87C" w14:textId="77777777" w:rsidR="003C02CB" w:rsidRDefault="003C02CB" w:rsidP="003C02CB">
      <w:pPr>
        <w:pStyle w:val="Heading2"/>
        <w:pageBreakBefore w:val="0"/>
      </w:pPr>
      <w:bookmarkStart w:id="104" w:name="_Toc81903365"/>
      <w:r>
        <w:t>What will happen</w:t>
      </w:r>
      <w:bookmarkEnd w:id="104"/>
    </w:p>
    <w:p w14:paraId="6EFB533F" w14:textId="77777777" w:rsidR="003C02CB" w:rsidRDefault="003C02CB" w:rsidP="003C02CB">
      <w:r>
        <w:t xml:space="preserve">All public submissions will be published on the TGA website at </w:t>
      </w:r>
      <w:hyperlink r:id="rId116" w:history="1">
        <w:r w:rsidRPr="00E25E60">
          <w:rPr>
            <w:rStyle w:val="Hyperlink"/>
          </w:rPr>
          <w:t>Public submissions on scheduling matters</w:t>
        </w:r>
      </w:hyperlink>
      <w:r>
        <w:t xml:space="preserve">, unless marked confidential or indicated otherwise in the submission coversheet (see </w:t>
      </w:r>
      <w:hyperlink w:anchor="privacy" w:history="1">
        <w:r w:rsidRPr="00E25E60">
          <w:rPr>
            <w:rStyle w:val="Hyperlink"/>
          </w:rPr>
          <w:t>Privacy information</w:t>
        </w:r>
      </w:hyperlink>
      <w:r>
        <w:t>).</w:t>
      </w:r>
    </w:p>
    <w:p w14:paraId="3D544DBF" w14:textId="140CCBD3" w:rsidR="003E3D34" w:rsidRPr="009401F6" w:rsidRDefault="003C02CB" w:rsidP="00F8404D">
      <w:pPr>
        <w:sectPr w:rsidR="003E3D34" w:rsidRPr="009401F6" w:rsidSect="0074066C">
          <w:headerReference w:type="default" r:id="rId117"/>
          <w:footerReference w:type="default" r:id="rId118"/>
          <w:headerReference w:type="first" r:id="rId119"/>
          <w:type w:val="continuous"/>
          <w:pgSz w:w="11906" w:h="16838" w:code="9"/>
          <w:pgMar w:top="1530" w:right="1418" w:bottom="1361" w:left="1418" w:header="998" w:footer="283" w:gutter="0"/>
          <w:cols w:space="708"/>
          <w:titlePg/>
          <w:docGrid w:linePitch="360"/>
        </w:sectPr>
      </w:pPr>
      <w:r>
        <w:t xml:space="preserve">Following consideration of public submissions received before the closing date and advice from the expert advisory committee/s, decisions on the proposed amendments will be published as interim decisions on the TGA website: </w:t>
      </w:r>
      <w:hyperlink r:id="rId120" w:history="1">
        <w:r w:rsidRPr="00E25E60">
          <w:rPr>
            <w:rStyle w:val="Hyperlink"/>
          </w:rPr>
          <w:t xml:space="preserve">Scheduling delegate's </w:t>
        </w:r>
        <w:r w:rsidRPr="00DB6580">
          <w:rPr>
            <w:rStyle w:val="Hyperlink"/>
          </w:rPr>
          <w:t>interim decisions</w:t>
        </w:r>
        <w:r w:rsidRPr="00E25E60">
          <w:rPr>
            <w:rStyle w:val="Hyperlink"/>
          </w:rPr>
          <w:t xml:space="preserve"> &amp; invitations for further comment</w:t>
        </w:r>
      </w:hyperlink>
      <w:r>
        <w:t xml:space="preserve"> </w:t>
      </w:r>
      <w:r w:rsidR="00EC7B1E">
        <w:t>i</w:t>
      </w:r>
      <w:r>
        <w:t xml:space="preserve">n </w:t>
      </w:r>
      <w:r w:rsidR="00EC7B1E">
        <w:rPr>
          <w:b/>
        </w:rPr>
        <w:t>February 2022</w:t>
      </w:r>
      <w:r>
        <w:t>.</w:t>
      </w:r>
    </w:p>
    <w:p w14:paraId="6BDF0E41" w14:textId="77777777" w:rsidR="0084580B" w:rsidRPr="009401F6" w:rsidRDefault="0084580B" w:rsidP="00F8404D">
      <w:pPr>
        <w:pStyle w:val="Footer"/>
      </w:pPr>
    </w:p>
    <w:sectPr w:rsidR="0084580B" w:rsidRPr="009401F6" w:rsidSect="00F8404D">
      <w:headerReference w:type="first" r:id="rId121"/>
      <w:footerReference w:type="first" r:id="rId122"/>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07952" w14:textId="77777777" w:rsidR="00456E7F" w:rsidRDefault="00456E7F" w:rsidP="00C40A36">
      <w:pPr>
        <w:spacing w:after="0"/>
      </w:pPr>
      <w:r>
        <w:separator/>
      </w:r>
    </w:p>
    <w:p w14:paraId="2B7B0B38" w14:textId="77777777" w:rsidR="00456E7F" w:rsidRDefault="00456E7F"/>
  </w:endnote>
  <w:endnote w:type="continuationSeparator" w:id="0">
    <w:p w14:paraId="448CB5DB" w14:textId="77777777" w:rsidR="00456E7F" w:rsidRDefault="00456E7F" w:rsidP="00C40A36">
      <w:pPr>
        <w:spacing w:after="0"/>
      </w:pPr>
      <w:r>
        <w:continuationSeparator/>
      </w:r>
    </w:p>
    <w:p w14:paraId="65296A73" w14:textId="77777777" w:rsidR="00456E7F" w:rsidRDefault="00456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Italic">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0F41B" w14:textId="77777777" w:rsidR="00F06382" w:rsidRDefault="00F06382"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6382" w:rsidRPr="00257138" w14:paraId="2ED96BC6" w14:textId="77777777" w:rsidTr="00A3654F">
      <w:trPr>
        <w:trHeight w:val="423"/>
      </w:trPr>
      <w:tc>
        <w:tcPr>
          <w:tcW w:w="4360" w:type="dxa"/>
          <w:tcBorders>
            <w:top w:val="single" w:sz="4" w:space="0" w:color="auto"/>
          </w:tcBorders>
        </w:tcPr>
        <w:p w14:paraId="3DD17199" w14:textId="77777777" w:rsidR="00F06382" w:rsidRDefault="00F06382" w:rsidP="008D4740">
          <w:pPr>
            <w:pStyle w:val="Footer"/>
          </w:pPr>
        </w:p>
        <w:p w14:paraId="26FFC07E" w14:textId="77777777" w:rsidR="00F06382" w:rsidRPr="00257138" w:rsidRDefault="00F06382"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3C88674F" w14:textId="77777777" w:rsidR="00F06382" w:rsidRDefault="00F06382" w:rsidP="008D4740">
              <w:pPr>
                <w:pStyle w:val="Footer"/>
                <w:jc w:val="right"/>
              </w:pPr>
            </w:p>
            <w:p w14:paraId="57F00AC1" w14:textId="21C629ED" w:rsidR="00F06382" w:rsidRPr="00257138" w:rsidRDefault="00F06382"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672188">
                <w:fldChar w:fldCharType="begin"/>
              </w:r>
              <w:r w:rsidR="00672188">
                <w:instrText xml:space="preserve"> NUMPAGES  </w:instrText>
              </w:r>
              <w:r w:rsidR="00672188">
                <w:fldChar w:fldCharType="separate"/>
              </w:r>
              <w:r>
                <w:rPr>
                  <w:noProof/>
                </w:rPr>
                <w:t>28</w:t>
              </w:r>
              <w:r w:rsidR="00672188">
                <w:rPr>
                  <w:noProof/>
                </w:rPr>
                <w:fldChar w:fldCharType="end"/>
              </w:r>
            </w:p>
          </w:sdtContent>
        </w:sdt>
      </w:tc>
    </w:tr>
    <w:tr w:rsidR="00F06382" w:rsidRPr="00257138" w14:paraId="5FF2DDB5" w14:textId="77777777" w:rsidTr="00A3654F">
      <w:trPr>
        <w:trHeight w:val="263"/>
      </w:trPr>
      <w:tc>
        <w:tcPr>
          <w:tcW w:w="4360" w:type="dxa"/>
        </w:tcPr>
        <w:p w14:paraId="660866B7" w14:textId="77777777" w:rsidR="00F06382" w:rsidRPr="00257138" w:rsidRDefault="00F06382" w:rsidP="008D4740">
          <w:pPr>
            <w:pStyle w:val="Footer"/>
          </w:pPr>
          <w:r w:rsidRPr="00257138">
            <w:t xml:space="preserve">V1.0 </w:t>
          </w:r>
          <w:r>
            <w:t>Month</w:t>
          </w:r>
          <w:r w:rsidRPr="00257138">
            <w:t xml:space="preserve"> 201</w:t>
          </w:r>
          <w:r>
            <w:t>2</w:t>
          </w:r>
        </w:p>
      </w:tc>
      <w:tc>
        <w:tcPr>
          <w:tcW w:w="4360" w:type="dxa"/>
        </w:tcPr>
        <w:p w14:paraId="6B5967E0" w14:textId="77777777" w:rsidR="00F06382" w:rsidRPr="00257138" w:rsidRDefault="00F06382" w:rsidP="008D4740">
          <w:pPr>
            <w:pStyle w:val="Footer"/>
            <w:jc w:val="right"/>
          </w:pPr>
        </w:p>
      </w:tc>
    </w:tr>
  </w:tbl>
  <w:p w14:paraId="033040CC" w14:textId="77777777" w:rsidR="00F06382" w:rsidRPr="00826007" w:rsidRDefault="00F06382"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9C01" w14:textId="77777777" w:rsidR="00F06382" w:rsidRDefault="00F06382"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F06382" w:rsidRPr="00257138" w14:paraId="11EF2070" w14:textId="77777777" w:rsidTr="00D433BD">
      <w:trPr>
        <w:trHeight w:val="423"/>
      </w:trPr>
      <w:tc>
        <w:tcPr>
          <w:tcW w:w="7479" w:type="dxa"/>
        </w:tcPr>
        <w:p w14:paraId="668E2FA3" w14:textId="3D2069D8" w:rsidR="00F06382" w:rsidRPr="00257138" w:rsidRDefault="00F06382" w:rsidP="00EB182C">
          <w:pPr>
            <w:pStyle w:val="Footer"/>
            <w:spacing w:before="120" w:after="120"/>
          </w:pPr>
          <w:r>
            <w:t>Consultation: Proposed amendments to the Poisons Standard – ACCS, ACMS and Joint ACCS/ACMS meetings, November 2021</w:t>
          </w:r>
        </w:p>
      </w:tc>
      <w:tc>
        <w:tcPr>
          <w:tcW w:w="1593" w:type="dxa"/>
        </w:tcPr>
        <w:sdt>
          <w:sdtPr>
            <w:id w:val="3702141"/>
            <w:docPartObj>
              <w:docPartGallery w:val="Page Numbers (Top of Page)"/>
              <w:docPartUnique/>
            </w:docPartObj>
          </w:sdtPr>
          <w:sdtEndPr/>
          <w:sdtContent>
            <w:p w14:paraId="77C66A76" w14:textId="6CCF56EA" w:rsidR="00F06382" w:rsidRPr="00257138" w:rsidRDefault="00F06382"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4</w:t>
              </w:r>
              <w:r>
                <w:rPr>
                  <w:noProof/>
                </w:rPr>
                <w:fldChar w:fldCharType="end"/>
              </w:r>
              <w:r w:rsidRPr="00257138">
                <w:t xml:space="preserve"> of </w:t>
              </w:r>
              <w:r w:rsidR="00672188">
                <w:fldChar w:fldCharType="begin"/>
              </w:r>
              <w:r w:rsidR="00672188">
                <w:instrText xml:space="preserve"> NUMPAGES  </w:instrText>
              </w:r>
              <w:r w:rsidR="00672188">
                <w:fldChar w:fldCharType="separate"/>
              </w:r>
              <w:r>
                <w:rPr>
                  <w:noProof/>
                </w:rPr>
                <w:t>28</w:t>
              </w:r>
              <w:r w:rsidR="00672188">
                <w:rPr>
                  <w:noProof/>
                </w:rPr>
                <w:fldChar w:fldCharType="end"/>
              </w:r>
            </w:p>
          </w:sdtContent>
        </w:sdt>
      </w:tc>
    </w:tr>
  </w:tbl>
  <w:p w14:paraId="1DBC2E00" w14:textId="77777777" w:rsidR="00F06382" w:rsidRPr="00826007" w:rsidRDefault="00F06382"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2368C" w14:textId="77777777" w:rsidR="00F06382" w:rsidRPr="00F8404D" w:rsidRDefault="00F06382"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8097B" w14:textId="77777777" w:rsidR="00456E7F" w:rsidRDefault="00456E7F" w:rsidP="00FE1941">
      <w:pPr>
        <w:spacing w:after="0"/>
      </w:pPr>
      <w:r>
        <w:separator/>
      </w:r>
    </w:p>
  </w:footnote>
  <w:footnote w:type="continuationSeparator" w:id="0">
    <w:p w14:paraId="5CC0744D" w14:textId="77777777" w:rsidR="00456E7F" w:rsidRDefault="00456E7F" w:rsidP="00C40A36">
      <w:pPr>
        <w:spacing w:after="0"/>
      </w:pPr>
      <w:r>
        <w:continuationSeparator/>
      </w:r>
    </w:p>
    <w:p w14:paraId="5E3A96CC" w14:textId="77777777" w:rsidR="00456E7F" w:rsidRDefault="00456E7F"/>
  </w:footnote>
  <w:footnote w:id="1">
    <w:p w14:paraId="15209125" w14:textId="77777777" w:rsidR="00F06382" w:rsidRPr="00465A62" w:rsidRDefault="00F06382" w:rsidP="00510B15">
      <w:pPr>
        <w:pStyle w:val="FootnoteText"/>
        <w:rPr>
          <w:sz w:val="16"/>
        </w:rPr>
      </w:pPr>
      <w:r w:rsidRPr="00465A62">
        <w:rPr>
          <w:rStyle w:val="FootnoteReference"/>
          <w:sz w:val="16"/>
        </w:rPr>
        <w:footnoteRef/>
      </w:r>
      <w:r w:rsidRPr="00465A62">
        <w:rPr>
          <w:sz w:val="16"/>
        </w:rPr>
        <w:t xml:space="preserve"> TGA Ingredient Database </w:t>
      </w:r>
      <w:hyperlink r:id="rId1" w:history="1">
        <w:r w:rsidRPr="00465A62">
          <w:rPr>
            <w:rStyle w:val="Hyperlink"/>
            <w:color w:val="002C47" w:themeColor="text2"/>
            <w:sz w:val="16"/>
          </w:rPr>
          <w:t>https://www.ebs.tga.gov.au/</w:t>
        </w:r>
      </w:hyperlink>
    </w:p>
  </w:footnote>
  <w:footnote w:id="2">
    <w:p w14:paraId="1D6D00C0" w14:textId="77777777" w:rsidR="00F06382" w:rsidRPr="00465A62" w:rsidRDefault="00F06382" w:rsidP="00510B15">
      <w:pPr>
        <w:pStyle w:val="FootnoteText"/>
        <w:rPr>
          <w:sz w:val="16"/>
        </w:rPr>
      </w:pPr>
      <w:r w:rsidRPr="00465A62">
        <w:rPr>
          <w:rStyle w:val="FootnoteReference"/>
          <w:sz w:val="16"/>
        </w:rPr>
        <w:footnoteRef/>
      </w:r>
      <w:r w:rsidRPr="00465A62">
        <w:rPr>
          <w:sz w:val="16"/>
        </w:rPr>
        <w:t xml:space="preserve"> ARTG database </w:t>
      </w:r>
      <w:hyperlink r:id="rId2" w:history="1">
        <w:r w:rsidRPr="00465A62">
          <w:rPr>
            <w:rStyle w:val="Hyperlink"/>
            <w:sz w:val="16"/>
          </w:rPr>
          <w:t>https://www.tga.gov.au/artg</w:t>
        </w:r>
      </w:hyperlink>
      <w:r w:rsidRPr="00465A62">
        <w:rPr>
          <w:sz w:val="16"/>
        </w:rPr>
        <w:t xml:space="preserve"> </w:t>
      </w:r>
    </w:p>
  </w:footnote>
  <w:footnote w:id="3">
    <w:p w14:paraId="79C28416" w14:textId="77777777" w:rsidR="00F06382" w:rsidRPr="00465A62" w:rsidRDefault="00F06382" w:rsidP="00510B15">
      <w:pPr>
        <w:pStyle w:val="FootnoteText"/>
        <w:rPr>
          <w:sz w:val="16"/>
        </w:rPr>
      </w:pPr>
      <w:r w:rsidRPr="00465A62">
        <w:rPr>
          <w:rStyle w:val="FootnoteReference"/>
          <w:sz w:val="16"/>
        </w:rPr>
        <w:footnoteRef/>
      </w:r>
      <w:r w:rsidRPr="00465A62">
        <w:rPr>
          <w:sz w:val="16"/>
        </w:rPr>
        <w:t xml:space="preserve"> Therapeutic Goods (Permissible Ingredients) Determination </w:t>
      </w:r>
      <w:hyperlink r:id="rId3" w:history="1">
        <w:r w:rsidRPr="00465A62">
          <w:rPr>
            <w:rStyle w:val="Hyperlink"/>
            <w:sz w:val="16"/>
          </w:rPr>
          <w:t>https://www.legislation.gov.au/Search/Therapeutic%20Goods%20$LB$Permissible%20Ingredients$RB$%20Determination</w:t>
        </w:r>
      </w:hyperlink>
      <w:r w:rsidRPr="00465A62">
        <w:rPr>
          <w:sz w:val="16"/>
        </w:rPr>
        <w:t xml:space="preserve"> </w:t>
      </w:r>
    </w:p>
  </w:footnote>
  <w:footnote w:id="4">
    <w:p w14:paraId="0D2D87A3" w14:textId="77777777" w:rsidR="00F06382" w:rsidRPr="00465A62" w:rsidRDefault="00F06382" w:rsidP="00510B15">
      <w:pPr>
        <w:pStyle w:val="FootnoteText"/>
        <w:rPr>
          <w:sz w:val="16"/>
          <w:szCs w:val="16"/>
        </w:rPr>
      </w:pPr>
      <w:r w:rsidRPr="00465A62">
        <w:rPr>
          <w:rStyle w:val="FootnoteReference"/>
          <w:sz w:val="16"/>
          <w:szCs w:val="16"/>
        </w:rPr>
        <w:footnoteRef/>
      </w:r>
      <w:r w:rsidRPr="00465A62">
        <w:rPr>
          <w:sz w:val="16"/>
          <w:szCs w:val="16"/>
        </w:rPr>
        <w:t xml:space="preserve"> </w:t>
      </w:r>
      <w:r w:rsidRPr="00465A62">
        <w:rPr>
          <w:sz w:val="16"/>
        </w:rPr>
        <w:t xml:space="preserve">TGA prescribing medicines in pregnancy database </w:t>
      </w:r>
      <w:hyperlink r:id="rId4" w:history="1">
        <w:r w:rsidRPr="00465A62">
          <w:rPr>
            <w:rStyle w:val="Hyperlink"/>
            <w:sz w:val="16"/>
            <w:szCs w:val="16"/>
          </w:rPr>
          <w:t>https://www.tga.gov.au/prescribing-medicines-pregnancy-database</w:t>
        </w:r>
      </w:hyperlink>
      <w:r w:rsidRPr="00465A62">
        <w:rPr>
          <w:sz w:val="16"/>
          <w:szCs w:val="16"/>
        </w:rPr>
        <w:t xml:space="preserve"> </w:t>
      </w:r>
    </w:p>
  </w:footnote>
  <w:footnote w:id="5">
    <w:p w14:paraId="2A800372" w14:textId="77777777" w:rsidR="00F06382" w:rsidRPr="00465A62" w:rsidRDefault="00F06382" w:rsidP="00510B15">
      <w:pPr>
        <w:pStyle w:val="FootnoteText"/>
        <w:rPr>
          <w:sz w:val="16"/>
        </w:rPr>
      </w:pPr>
      <w:r w:rsidRPr="00465A62">
        <w:rPr>
          <w:rStyle w:val="FootnoteReference"/>
          <w:sz w:val="16"/>
        </w:rPr>
        <w:footnoteRef/>
      </w:r>
      <w:r w:rsidRPr="00465A62">
        <w:rPr>
          <w:sz w:val="16"/>
        </w:rPr>
        <w:t xml:space="preserve"> Therapeutic Goods (Medicines Advisory Statements) Specification 2019 </w:t>
      </w:r>
      <w:r w:rsidRPr="00465A62">
        <w:rPr>
          <w:rStyle w:val="Hyperlink"/>
          <w:sz w:val="16"/>
        </w:rPr>
        <w:t xml:space="preserve"> </w:t>
      </w:r>
      <w:hyperlink r:id="rId5" w:history="1">
        <w:r w:rsidRPr="00465A62">
          <w:rPr>
            <w:rStyle w:val="Hyperlink"/>
            <w:sz w:val="16"/>
          </w:rPr>
          <w:t>https://www.legislation.gov.au/Details/F2019L00213</w:t>
        </w:r>
      </w:hyperlink>
      <w:r w:rsidRPr="00465A62">
        <w:rPr>
          <w:sz w:val="16"/>
        </w:rPr>
        <w:t xml:space="preserve"> </w:t>
      </w:r>
    </w:p>
  </w:footnote>
  <w:footnote w:id="6">
    <w:p w14:paraId="0C10FD57" w14:textId="77777777" w:rsidR="00F06382" w:rsidRPr="00465A62" w:rsidRDefault="00F06382" w:rsidP="00510B15">
      <w:pPr>
        <w:pStyle w:val="FootnoteText"/>
        <w:rPr>
          <w:sz w:val="16"/>
        </w:rPr>
      </w:pPr>
      <w:r w:rsidRPr="00465A62">
        <w:rPr>
          <w:rStyle w:val="FootnoteReference"/>
          <w:sz w:val="16"/>
        </w:rPr>
        <w:footnoteRef/>
      </w:r>
      <w:r w:rsidRPr="00465A62">
        <w:rPr>
          <w:sz w:val="16"/>
        </w:rPr>
        <w:t xml:space="preserve"> Database of Adverse Event Notifications (DAEN)  </w:t>
      </w:r>
      <w:hyperlink r:id="rId6" w:history="1">
        <w:r w:rsidRPr="00465A62">
          <w:rPr>
            <w:rStyle w:val="Hyperlink"/>
            <w:sz w:val="16"/>
          </w:rPr>
          <w:t>https://apps.tga.gov.au/Prod/daen/daen-entry.aspx</w:t>
        </w:r>
      </w:hyperlink>
      <w:r w:rsidRPr="00465A62">
        <w:rPr>
          <w:sz w:val="16"/>
        </w:rPr>
        <w:t xml:space="preserve"> </w:t>
      </w:r>
    </w:p>
  </w:footnote>
  <w:footnote w:id="7">
    <w:p w14:paraId="02D3ACAE" w14:textId="77777777" w:rsidR="00F06382" w:rsidRPr="00465A62" w:rsidRDefault="00F06382" w:rsidP="00510B15">
      <w:pPr>
        <w:pStyle w:val="FootnoteText"/>
        <w:rPr>
          <w:sz w:val="16"/>
        </w:rPr>
      </w:pPr>
      <w:r w:rsidRPr="00465A62">
        <w:rPr>
          <w:rStyle w:val="FootnoteReference"/>
          <w:sz w:val="16"/>
        </w:rPr>
        <w:footnoteRef/>
      </w:r>
      <w:r w:rsidRPr="00465A62">
        <w:rPr>
          <w:sz w:val="16"/>
        </w:rPr>
        <w:t xml:space="preserve"> Public Chemical Registration Information System Search (PubCRIS) </w:t>
      </w:r>
      <w:hyperlink r:id="rId7" w:history="1">
        <w:r w:rsidRPr="00465A62">
          <w:rPr>
            <w:rStyle w:val="Hyperlink"/>
            <w:sz w:val="16"/>
          </w:rPr>
          <w:t>https://portal.apvma.gov.au/pubcris</w:t>
        </w:r>
      </w:hyperlink>
      <w:r w:rsidRPr="00465A62">
        <w:rPr>
          <w:sz w:val="16"/>
        </w:rPr>
        <w:t xml:space="preserve"> </w:t>
      </w:r>
    </w:p>
  </w:footnote>
  <w:footnote w:id="8">
    <w:p w14:paraId="6052794A" w14:textId="6254911F" w:rsidR="00F06382" w:rsidRDefault="00F06382">
      <w:pPr>
        <w:pStyle w:val="FootnoteText"/>
      </w:pPr>
      <w:r>
        <w:rPr>
          <w:rStyle w:val="FootnoteReference"/>
        </w:rPr>
        <w:footnoteRef/>
      </w:r>
      <w:r>
        <w:t xml:space="preserve"> </w:t>
      </w:r>
      <w:r w:rsidRPr="005206F9">
        <w:rPr>
          <w:sz w:val="16"/>
          <w:szCs w:val="16"/>
        </w:rPr>
        <w:t xml:space="preserve">Health Canada </w:t>
      </w:r>
      <w:hyperlink r:id="rId8" w:history="1">
        <w:r w:rsidRPr="005206F9">
          <w:rPr>
            <w:rStyle w:val="Hyperlink"/>
            <w:sz w:val="16"/>
            <w:szCs w:val="16"/>
          </w:rPr>
          <w:t>www.canada.ca/en/health-canada/services/drugs-health-products/drug-products/drug-product-database.html</w:t>
        </w:r>
      </w:hyperlink>
    </w:p>
  </w:footnote>
  <w:footnote w:id="9">
    <w:p w14:paraId="44CA0251" w14:textId="0A45B3D9" w:rsidR="00F06382" w:rsidRDefault="00F06382">
      <w:pPr>
        <w:pStyle w:val="FootnoteText"/>
      </w:pPr>
      <w:r>
        <w:rPr>
          <w:rStyle w:val="FootnoteReference"/>
        </w:rPr>
        <w:footnoteRef/>
      </w:r>
      <w:r>
        <w:t xml:space="preserve"> </w:t>
      </w:r>
      <w:r w:rsidRPr="005206F9">
        <w:rPr>
          <w:sz w:val="16"/>
          <w:szCs w:val="16"/>
        </w:rPr>
        <w:t xml:space="preserve">FDA </w:t>
      </w:r>
      <w:hyperlink r:id="rId9" w:history="1">
        <w:r w:rsidRPr="005206F9">
          <w:rPr>
            <w:rStyle w:val="Hyperlink"/>
            <w:sz w:val="16"/>
            <w:szCs w:val="16"/>
          </w:rPr>
          <w:t>www.accessdata.fda.gov/scripts/cder/daf/</w:t>
        </w:r>
      </w:hyperlink>
    </w:p>
  </w:footnote>
  <w:footnote w:id="10">
    <w:p w14:paraId="24CEDD0E" w14:textId="236F7558" w:rsidR="00F06382" w:rsidRPr="005206F9" w:rsidRDefault="00F06382">
      <w:pPr>
        <w:pStyle w:val="FootnoteText"/>
        <w:rPr>
          <w:sz w:val="16"/>
          <w:szCs w:val="16"/>
        </w:rPr>
      </w:pPr>
      <w:r w:rsidRPr="005206F9">
        <w:rPr>
          <w:rStyle w:val="FootnoteReference"/>
          <w:sz w:val="16"/>
          <w:szCs w:val="16"/>
        </w:rPr>
        <w:footnoteRef/>
      </w:r>
      <w:r w:rsidRPr="005206F9">
        <w:rPr>
          <w:sz w:val="16"/>
          <w:szCs w:val="16"/>
        </w:rPr>
        <w:t xml:space="preserve"> NZIoC </w:t>
      </w:r>
      <w:hyperlink r:id="rId10" w:history="1">
        <w:r w:rsidRPr="005206F9">
          <w:rPr>
            <w:rStyle w:val="Hyperlink"/>
            <w:sz w:val="16"/>
            <w:szCs w:val="16"/>
          </w:rPr>
          <w:t>www.epa.govt.nz/database-search/new-zealand-inventory-of-chemicals-nzioc/</w:t>
        </w:r>
      </w:hyperlink>
    </w:p>
  </w:footnote>
  <w:footnote w:id="11">
    <w:p w14:paraId="1DD21FC4" w14:textId="3536E78E" w:rsidR="00F06382" w:rsidRPr="005206F9" w:rsidRDefault="00F06382">
      <w:pPr>
        <w:pStyle w:val="FootnoteText"/>
        <w:rPr>
          <w:sz w:val="16"/>
          <w:szCs w:val="16"/>
        </w:rPr>
      </w:pPr>
      <w:r w:rsidRPr="005206F9">
        <w:rPr>
          <w:rStyle w:val="FootnoteReference"/>
          <w:sz w:val="16"/>
          <w:szCs w:val="16"/>
        </w:rPr>
        <w:footnoteRef/>
      </w:r>
      <w:r w:rsidRPr="005206F9">
        <w:rPr>
          <w:sz w:val="16"/>
          <w:szCs w:val="16"/>
        </w:rPr>
        <w:t xml:space="preserve"> Medsafe </w:t>
      </w:r>
      <w:hyperlink r:id="rId11" w:history="1">
        <w:r w:rsidRPr="005206F9">
          <w:rPr>
            <w:rStyle w:val="Hyperlink"/>
            <w:sz w:val="16"/>
            <w:szCs w:val="16"/>
          </w:rPr>
          <w:t>www.medsafe.govt.nz/profs/class/classintro.asp</w:t>
        </w:r>
      </w:hyperlink>
    </w:p>
  </w:footnote>
  <w:footnote w:id="12">
    <w:p w14:paraId="45808342" w14:textId="50B82DF2" w:rsidR="00F06382" w:rsidRPr="005206F9" w:rsidRDefault="00F06382">
      <w:pPr>
        <w:pStyle w:val="FootnoteText"/>
        <w:rPr>
          <w:sz w:val="16"/>
          <w:szCs w:val="16"/>
        </w:rPr>
      </w:pPr>
      <w:r w:rsidRPr="005206F9">
        <w:rPr>
          <w:rStyle w:val="FootnoteReference"/>
          <w:sz w:val="16"/>
          <w:szCs w:val="16"/>
        </w:rPr>
        <w:footnoteRef/>
      </w:r>
      <w:r w:rsidRPr="005206F9">
        <w:rPr>
          <w:sz w:val="16"/>
          <w:szCs w:val="16"/>
        </w:rPr>
        <w:t xml:space="preserve"> CosIng </w:t>
      </w:r>
      <w:hyperlink r:id="rId12" w:history="1">
        <w:r w:rsidRPr="005206F9">
          <w:rPr>
            <w:rStyle w:val="Hyperlink"/>
            <w:sz w:val="16"/>
            <w:szCs w:val="16"/>
          </w:rPr>
          <w:t>ec.europa.eu/growth/tools-databases/cosing/index.cfm?fuseaction=search.simple</w:t>
        </w:r>
      </w:hyperlink>
    </w:p>
  </w:footnote>
  <w:footnote w:id="13">
    <w:p w14:paraId="27528405" w14:textId="088E50CC" w:rsidR="00F06382" w:rsidRDefault="00F06382">
      <w:pPr>
        <w:pStyle w:val="FootnoteText"/>
      </w:pPr>
      <w:r w:rsidRPr="005206F9">
        <w:rPr>
          <w:rStyle w:val="FootnoteReference"/>
          <w:sz w:val="16"/>
          <w:szCs w:val="16"/>
        </w:rPr>
        <w:footnoteRef/>
      </w:r>
      <w:r w:rsidRPr="005206F9">
        <w:rPr>
          <w:sz w:val="16"/>
          <w:szCs w:val="16"/>
        </w:rPr>
        <w:t xml:space="preserve"> HPRA </w:t>
      </w:r>
      <w:hyperlink r:id="rId13" w:history="1">
        <w:r w:rsidRPr="005206F9">
          <w:rPr>
            <w:rStyle w:val="Hyperlink"/>
            <w:sz w:val="16"/>
            <w:szCs w:val="16"/>
          </w:rPr>
          <w:t>www.hpra.ie/</w:t>
        </w:r>
      </w:hyperlink>
    </w:p>
  </w:footnote>
  <w:footnote w:id="14">
    <w:p w14:paraId="09CB23B0" w14:textId="6FA655C2" w:rsidR="00F06382" w:rsidRDefault="00F06382">
      <w:pPr>
        <w:pStyle w:val="FootnoteText"/>
      </w:pPr>
      <w:r w:rsidRPr="0003368C">
        <w:rPr>
          <w:rStyle w:val="FootnoteReference"/>
          <w:sz w:val="16"/>
          <w:szCs w:val="16"/>
        </w:rPr>
        <w:footnoteRef/>
      </w:r>
      <w:r w:rsidRPr="0003368C">
        <w:rPr>
          <w:sz w:val="16"/>
          <w:szCs w:val="16"/>
        </w:rPr>
        <w:t xml:space="preserve"> Winkle. Market research, Nurofen</w:t>
      </w:r>
      <w:r w:rsidRPr="0003368C">
        <w:rPr>
          <w:sz w:val="16"/>
          <w:szCs w:val="16"/>
          <w:vertAlign w:val="superscript"/>
        </w:rPr>
        <w:t>®</w:t>
      </w:r>
      <w:r w:rsidRPr="0003368C">
        <w:rPr>
          <w:sz w:val="16"/>
          <w:szCs w:val="16"/>
        </w:rPr>
        <w:t xml:space="preserve"> dairy-based pain tracker. 2018</w:t>
      </w:r>
    </w:p>
  </w:footnote>
  <w:footnote w:id="15">
    <w:p w14:paraId="63C91FE7"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TGA Ingredient Database </w:t>
      </w:r>
      <w:hyperlink r:id="rId14" w:history="1">
        <w:r w:rsidRPr="00465A62">
          <w:rPr>
            <w:rStyle w:val="Hyperlink"/>
            <w:color w:val="002C47" w:themeColor="text2"/>
            <w:sz w:val="16"/>
          </w:rPr>
          <w:t>https://www.ebs.tga.gov.au/</w:t>
        </w:r>
      </w:hyperlink>
    </w:p>
  </w:footnote>
  <w:footnote w:id="16">
    <w:p w14:paraId="35D9D6A2"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ARTG database </w:t>
      </w:r>
      <w:hyperlink r:id="rId15" w:history="1">
        <w:r w:rsidRPr="00465A62">
          <w:rPr>
            <w:rStyle w:val="Hyperlink"/>
            <w:sz w:val="16"/>
          </w:rPr>
          <w:t>https://www.tga.gov.au/artg</w:t>
        </w:r>
      </w:hyperlink>
      <w:r w:rsidRPr="00465A62">
        <w:rPr>
          <w:sz w:val="16"/>
        </w:rPr>
        <w:t xml:space="preserve"> </w:t>
      </w:r>
    </w:p>
  </w:footnote>
  <w:footnote w:id="17">
    <w:p w14:paraId="010BC60B"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Therapeutic Goods (Permissible Ingredients) Determination </w:t>
      </w:r>
      <w:hyperlink r:id="rId16" w:history="1">
        <w:r w:rsidRPr="00465A62">
          <w:rPr>
            <w:rStyle w:val="Hyperlink"/>
            <w:sz w:val="16"/>
          </w:rPr>
          <w:t>https://www.legislation.gov.au/Search/Therapeutic%20Goods%20$LB$Permissible%20Ingredients$RB$%20Determination</w:t>
        </w:r>
      </w:hyperlink>
      <w:r w:rsidRPr="00465A62">
        <w:rPr>
          <w:sz w:val="16"/>
        </w:rPr>
        <w:t xml:space="preserve"> </w:t>
      </w:r>
    </w:p>
  </w:footnote>
  <w:footnote w:id="18">
    <w:p w14:paraId="4E1FFCD2" w14:textId="77777777" w:rsidR="00F06382" w:rsidRPr="00465A62" w:rsidRDefault="00F06382" w:rsidP="003C02CB">
      <w:pPr>
        <w:pStyle w:val="FootnoteText"/>
        <w:rPr>
          <w:sz w:val="16"/>
          <w:szCs w:val="16"/>
        </w:rPr>
      </w:pPr>
      <w:r w:rsidRPr="00465A62">
        <w:rPr>
          <w:rStyle w:val="FootnoteReference"/>
          <w:sz w:val="16"/>
          <w:szCs w:val="16"/>
        </w:rPr>
        <w:footnoteRef/>
      </w:r>
      <w:r w:rsidRPr="00465A62">
        <w:rPr>
          <w:sz w:val="16"/>
          <w:szCs w:val="16"/>
        </w:rPr>
        <w:t xml:space="preserve"> </w:t>
      </w:r>
      <w:r w:rsidRPr="00465A62">
        <w:rPr>
          <w:sz w:val="16"/>
        </w:rPr>
        <w:t xml:space="preserve">TGA prescribing medicines in pregnancy database </w:t>
      </w:r>
      <w:hyperlink r:id="rId17" w:history="1">
        <w:r w:rsidRPr="00465A62">
          <w:rPr>
            <w:rStyle w:val="Hyperlink"/>
            <w:sz w:val="16"/>
            <w:szCs w:val="16"/>
          </w:rPr>
          <w:t>https://www.tga.gov.au/prescribing-medicines-pregnancy-database</w:t>
        </w:r>
      </w:hyperlink>
      <w:r w:rsidRPr="00465A62">
        <w:rPr>
          <w:sz w:val="16"/>
          <w:szCs w:val="16"/>
        </w:rPr>
        <w:t xml:space="preserve"> </w:t>
      </w:r>
    </w:p>
  </w:footnote>
  <w:footnote w:id="19">
    <w:p w14:paraId="3C32D5D0"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Therapeutic Goods (Medicines Advisory Statements) Specification 2019 </w:t>
      </w:r>
      <w:hyperlink r:id="rId18" w:history="1">
        <w:r w:rsidRPr="00465A62">
          <w:rPr>
            <w:rStyle w:val="Hyperlink"/>
            <w:sz w:val="16"/>
          </w:rPr>
          <w:t>https://www.legislation.gov.au/Details/F2019L00213</w:t>
        </w:r>
      </w:hyperlink>
      <w:r w:rsidRPr="00465A62">
        <w:rPr>
          <w:sz w:val="16"/>
        </w:rPr>
        <w:t xml:space="preserve"> </w:t>
      </w:r>
    </w:p>
  </w:footnote>
  <w:footnote w:id="20">
    <w:p w14:paraId="36DA67EC"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Database of Adverse Event Notifications (DAEN)  </w:t>
      </w:r>
      <w:hyperlink r:id="rId19" w:history="1">
        <w:r w:rsidRPr="00465A62">
          <w:rPr>
            <w:rStyle w:val="Hyperlink"/>
            <w:sz w:val="16"/>
          </w:rPr>
          <w:t>https://apps.tga.gov.au/Prod/daen/daen-entry.aspx</w:t>
        </w:r>
      </w:hyperlink>
      <w:r w:rsidRPr="00465A62">
        <w:rPr>
          <w:sz w:val="16"/>
        </w:rPr>
        <w:t xml:space="preserve"> </w:t>
      </w:r>
    </w:p>
  </w:footnote>
  <w:footnote w:id="21">
    <w:p w14:paraId="73D193BC"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Public Chemical Registration Information System Search (PubCRIS) </w:t>
      </w:r>
      <w:hyperlink r:id="rId20" w:history="1">
        <w:r w:rsidRPr="00465A62">
          <w:rPr>
            <w:rStyle w:val="Hyperlink"/>
            <w:sz w:val="16"/>
          </w:rPr>
          <w:t>https://portal.apvma.gov.au/pubcris</w:t>
        </w:r>
      </w:hyperlink>
      <w:r w:rsidRPr="00465A62">
        <w:rPr>
          <w:sz w:val="16"/>
        </w:rPr>
        <w:t xml:space="preserve"> </w:t>
      </w:r>
    </w:p>
  </w:footnote>
  <w:footnote w:id="22">
    <w:p w14:paraId="23117E6E" w14:textId="77777777" w:rsidR="00F06382" w:rsidRDefault="00F06382" w:rsidP="00582C26">
      <w:pPr>
        <w:pStyle w:val="FootnoteText"/>
      </w:pPr>
      <w:r>
        <w:rPr>
          <w:rStyle w:val="FootnoteReference"/>
        </w:rPr>
        <w:footnoteRef/>
      </w:r>
      <w:r>
        <w:t xml:space="preserve"> WHO model list of essential medicines – 21</w:t>
      </w:r>
      <w:r w:rsidRPr="003B6119">
        <w:rPr>
          <w:vertAlign w:val="superscript"/>
        </w:rPr>
        <w:t>st</w:t>
      </w:r>
      <w:r>
        <w:t xml:space="preserve"> list, 2019 </w:t>
      </w:r>
      <w:r>
        <w:rPr>
          <w:rStyle w:val="Hyperlink"/>
        </w:rPr>
        <w:t xml:space="preserve"> </w:t>
      </w:r>
      <w:hyperlink r:id="rId21" w:history="1">
        <w:r w:rsidRPr="00054C51">
          <w:rPr>
            <w:rStyle w:val="Hyperlink"/>
          </w:rPr>
          <w:t>www.who.int/publications/i/item/WHOMVPEMPIAU2019.06</w:t>
        </w:r>
      </w:hyperlink>
    </w:p>
  </w:footnote>
  <w:footnote w:id="23">
    <w:p w14:paraId="712C16B4" w14:textId="77777777" w:rsidR="00F06382" w:rsidRDefault="00F06382" w:rsidP="00582C26">
      <w:pPr>
        <w:pStyle w:val="FootnoteText"/>
      </w:pPr>
      <w:r>
        <w:rPr>
          <w:rStyle w:val="FootnoteReference"/>
        </w:rPr>
        <w:footnoteRef/>
      </w:r>
      <w:r>
        <w:t xml:space="preserve"> Health Products Regulatory Authority (HPRA)</w:t>
      </w:r>
    </w:p>
    <w:p w14:paraId="436FE1F0" w14:textId="77777777" w:rsidR="00F06382" w:rsidRDefault="00672188" w:rsidP="00582C26">
      <w:pPr>
        <w:pStyle w:val="FootnoteText"/>
      </w:pPr>
      <w:hyperlink r:id="rId22" w:history="1">
        <w:r w:rsidR="00F06382" w:rsidRPr="00054C51">
          <w:rPr>
            <w:rStyle w:val="Hyperlink"/>
          </w:rPr>
          <w:t>https://www.hpra.ie/homepage/medicines/medicines-information/find-a-medicine/results?query=&amp;field</w:t>
        </w:r>
      </w:hyperlink>
      <w:r w:rsidR="00F06382" w:rsidRPr="005A27ED">
        <w:t>=</w:t>
      </w:r>
    </w:p>
  </w:footnote>
  <w:footnote w:id="24">
    <w:p w14:paraId="363B996B" w14:textId="77777777" w:rsidR="00F06382" w:rsidRPr="00710082" w:rsidRDefault="00F06382" w:rsidP="00582C26">
      <w:pPr>
        <w:pStyle w:val="FootnoteText"/>
        <w:rPr>
          <w:rStyle w:val="Hyperlink"/>
        </w:rPr>
      </w:pPr>
      <w:r>
        <w:rPr>
          <w:rStyle w:val="FootnoteReference"/>
        </w:rPr>
        <w:footnoteRef/>
      </w:r>
      <w:r>
        <w:t xml:space="preserve"> </w:t>
      </w:r>
      <w:r w:rsidRPr="002A4D44">
        <w:t>FDA Approved Drug Products</w:t>
      </w:r>
      <w:r>
        <w:t xml:space="preserve"> Database </w:t>
      </w:r>
      <w:hyperlink r:id="rId23" w:history="1">
        <w:r w:rsidRPr="00FC7DB7">
          <w:rPr>
            <w:rStyle w:val="Hyperlink"/>
          </w:rPr>
          <w:t>https://www.accessdata.fda.gov/scripts/cder/daf/</w:t>
        </w:r>
      </w:hyperlink>
      <w:r>
        <w:t xml:space="preserve">  </w:t>
      </w:r>
    </w:p>
  </w:footnote>
  <w:footnote w:id="25">
    <w:p w14:paraId="2779608F" w14:textId="77777777" w:rsidR="00F06382" w:rsidRDefault="00F06382" w:rsidP="00582C26">
      <w:pPr>
        <w:pStyle w:val="FootnoteText"/>
      </w:pPr>
      <w:r>
        <w:rPr>
          <w:rStyle w:val="FootnoteReference"/>
        </w:rPr>
        <w:footnoteRef/>
      </w:r>
      <w:r>
        <w:t xml:space="preserve"> </w:t>
      </w:r>
      <w:r w:rsidRPr="00B47755">
        <w:t>Canadian (Health Canada) Drug Product Database</w:t>
      </w:r>
      <w:r>
        <w:t xml:space="preserve"> </w:t>
      </w:r>
      <w:hyperlink r:id="rId24" w:history="1">
        <w:r w:rsidRPr="00FC7DB7">
          <w:rPr>
            <w:rStyle w:val="Hyperlink"/>
          </w:rPr>
          <w:t>https://health-products.canada.ca/dpd-bdpp/index-eng.jsp</w:t>
        </w:r>
      </w:hyperlink>
      <w:r>
        <w:t xml:space="preserve"> </w:t>
      </w:r>
    </w:p>
  </w:footnote>
  <w:footnote w:id="26">
    <w:p w14:paraId="69ED2DAB" w14:textId="734FE2C3" w:rsidR="00F06382" w:rsidRDefault="00F06382">
      <w:pPr>
        <w:pStyle w:val="FootnoteText"/>
      </w:pPr>
      <w:r>
        <w:rPr>
          <w:rStyle w:val="FootnoteReference"/>
        </w:rPr>
        <w:footnoteRef/>
      </w:r>
      <w:r>
        <w:t xml:space="preserve"> Electronic Medicines Compendium </w:t>
      </w:r>
      <w:hyperlink r:id="rId25" w:history="1">
        <w:r w:rsidRPr="00BA14CF">
          <w:rPr>
            <w:rStyle w:val="Hyperlink"/>
          </w:rPr>
          <w:t>https://www.medicines.org.uk/emc/</w:t>
        </w:r>
      </w:hyperlink>
    </w:p>
  </w:footnote>
  <w:footnote w:id="27">
    <w:p w14:paraId="767A1ABF" w14:textId="77777777" w:rsidR="00F06382" w:rsidRDefault="00F06382" w:rsidP="00582C26">
      <w:pPr>
        <w:pStyle w:val="FootnoteText"/>
      </w:pPr>
      <w:r>
        <w:rPr>
          <w:rStyle w:val="FootnoteReference"/>
        </w:rPr>
        <w:footnoteRef/>
      </w:r>
      <w:r>
        <w:t xml:space="preserve"> </w:t>
      </w:r>
      <w:r w:rsidRPr="00B47755">
        <w:t>New Zealand Medicines and Medical Devices Safety Authority (MedSafe)</w:t>
      </w:r>
      <w:r>
        <w:t xml:space="preserve"> </w:t>
      </w:r>
      <w:hyperlink r:id="rId26" w:history="1">
        <w:r w:rsidRPr="00FC7DB7">
          <w:rPr>
            <w:rStyle w:val="Hyperlink"/>
          </w:rPr>
          <w:t>https://www.medsafe.govt.nz/profs/class/classintro.asp</w:t>
        </w:r>
      </w:hyperlink>
      <w:r>
        <w:t xml:space="preserve">  </w:t>
      </w:r>
    </w:p>
  </w:footnote>
  <w:footnote w:id="28">
    <w:p w14:paraId="3E8D305D" w14:textId="77777777" w:rsidR="00F06382" w:rsidRDefault="00F06382" w:rsidP="00CA52AC">
      <w:pPr>
        <w:pStyle w:val="FootnoteText"/>
      </w:pPr>
      <w:r>
        <w:rPr>
          <w:rStyle w:val="FootnoteReference"/>
        </w:rPr>
        <w:footnoteRef/>
      </w:r>
      <w:r>
        <w:t xml:space="preserve"> </w:t>
      </w:r>
      <w:r w:rsidRPr="00C81411">
        <w:t>TGA Ingredient Database</w:t>
      </w:r>
      <w:r>
        <w:t xml:space="preserve"> </w:t>
      </w:r>
      <w:hyperlink r:id="rId27" w:history="1">
        <w:r w:rsidRPr="00C81411">
          <w:rPr>
            <w:rStyle w:val="Hyperlink"/>
            <w:color w:val="002C47" w:themeColor="text2"/>
          </w:rPr>
          <w:t>https://www.ebs.tga.gov.au/</w:t>
        </w:r>
      </w:hyperlink>
    </w:p>
  </w:footnote>
  <w:footnote w:id="29">
    <w:p w14:paraId="49853594" w14:textId="77777777" w:rsidR="00F06382" w:rsidRDefault="00F06382" w:rsidP="00CA52AC">
      <w:pPr>
        <w:pStyle w:val="FootnoteText"/>
      </w:pPr>
      <w:r>
        <w:rPr>
          <w:rStyle w:val="FootnoteReference"/>
        </w:rPr>
        <w:footnoteRef/>
      </w:r>
      <w:r>
        <w:t xml:space="preserve"> ARTG database </w:t>
      </w:r>
      <w:hyperlink r:id="rId28" w:history="1">
        <w:r w:rsidRPr="00025BAA">
          <w:rPr>
            <w:rStyle w:val="Hyperlink"/>
          </w:rPr>
          <w:t>https://www.tga.gov.au/artg</w:t>
        </w:r>
      </w:hyperlink>
      <w:r>
        <w:t xml:space="preserve"> </w:t>
      </w:r>
    </w:p>
  </w:footnote>
  <w:footnote w:id="30">
    <w:p w14:paraId="166547C9" w14:textId="77777777" w:rsidR="00F06382" w:rsidRDefault="00F06382" w:rsidP="00CA52AC">
      <w:pPr>
        <w:pStyle w:val="FootnoteText"/>
      </w:pPr>
      <w:r>
        <w:rPr>
          <w:rStyle w:val="FootnoteReference"/>
        </w:rPr>
        <w:footnoteRef/>
      </w:r>
      <w:r>
        <w:t xml:space="preserve"> </w:t>
      </w:r>
      <w:r w:rsidRPr="007F3638">
        <w:t>Therapeutic Goods (Permissible Ingredients) Determination</w:t>
      </w:r>
      <w:r>
        <w:t xml:space="preserve"> </w:t>
      </w:r>
      <w:hyperlink r:id="rId29" w:history="1">
        <w:r w:rsidRPr="00C51833">
          <w:rPr>
            <w:rStyle w:val="Hyperlink"/>
          </w:rPr>
          <w:t>https://www.legislation.gov.au/Search/Therapeutic%20Goods%20$LB$Permissible%20Ingredients$RB$%20Determination</w:t>
        </w:r>
      </w:hyperlink>
      <w:r>
        <w:t xml:space="preserve"> </w:t>
      </w:r>
    </w:p>
  </w:footnote>
  <w:footnote w:id="31">
    <w:p w14:paraId="467F9567" w14:textId="77777777" w:rsidR="00F06382" w:rsidRPr="00E63A67" w:rsidRDefault="00F06382" w:rsidP="00CA52AC">
      <w:pPr>
        <w:pStyle w:val="FootnoteText"/>
        <w:rPr>
          <w:sz w:val="16"/>
          <w:szCs w:val="16"/>
        </w:rPr>
      </w:pPr>
      <w:r w:rsidRPr="002F1C5C">
        <w:rPr>
          <w:rStyle w:val="FootnoteReference"/>
          <w:szCs w:val="16"/>
        </w:rPr>
        <w:footnoteRef/>
      </w:r>
      <w:r>
        <w:rPr>
          <w:szCs w:val="16"/>
        </w:rPr>
        <w:t xml:space="preserve"> </w:t>
      </w:r>
      <w:r w:rsidRPr="00E63A67">
        <w:rPr>
          <w:sz w:val="16"/>
          <w:szCs w:val="16"/>
        </w:rPr>
        <w:t xml:space="preserve">TGA prescribing medicines in pregnancy database </w:t>
      </w:r>
      <w:hyperlink r:id="rId30" w:history="1">
        <w:r w:rsidRPr="00E63A67">
          <w:rPr>
            <w:rStyle w:val="Hyperlink"/>
            <w:sz w:val="16"/>
            <w:szCs w:val="16"/>
          </w:rPr>
          <w:t>https://www.tga.gov.au/prescribing-medicines-pregnancy-database</w:t>
        </w:r>
      </w:hyperlink>
      <w:r w:rsidRPr="00E63A67">
        <w:rPr>
          <w:sz w:val="16"/>
          <w:szCs w:val="16"/>
        </w:rPr>
        <w:t xml:space="preserve"> </w:t>
      </w:r>
    </w:p>
  </w:footnote>
  <w:footnote w:id="32">
    <w:p w14:paraId="279370C7" w14:textId="77777777" w:rsidR="00F06382" w:rsidRPr="00E63A67" w:rsidRDefault="00F06382" w:rsidP="00CA52AC">
      <w:pPr>
        <w:pStyle w:val="FootnoteText"/>
        <w:rPr>
          <w:sz w:val="16"/>
          <w:szCs w:val="16"/>
        </w:rPr>
      </w:pPr>
      <w:r w:rsidRPr="00E63A67">
        <w:rPr>
          <w:rStyle w:val="FootnoteReference"/>
          <w:sz w:val="16"/>
          <w:szCs w:val="16"/>
        </w:rPr>
        <w:footnoteRef/>
      </w:r>
      <w:r w:rsidRPr="00E63A67">
        <w:rPr>
          <w:sz w:val="16"/>
          <w:szCs w:val="16"/>
        </w:rPr>
        <w:t xml:space="preserve"> Therapeutic Goods (Medicines Advisory Statements) Specification 2019 </w:t>
      </w:r>
      <w:r w:rsidRPr="00E63A67">
        <w:rPr>
          <w:rStyle w:val="Hyperlink"/>
          <w:sz w:val="16"/>
          <w:szCs w:val="16"/>
        </w:rPr>
        <w:t xml:space="preserve"> </w:t>
      </w:r>
      <w:hyperlink r:id="rId31" w:history="1">
        <w:r w:rsidRPr="00E63A67">
          <w:rPr>
            <w:rStyle w:val="Hyperlink"/>
            <w:sz w:val="16"/>
            <w:szCs w:val="16"/>
          </w:rPr>
          <w:t>https://www.legislation.gov.au/Details/F2019L00213</w:t>
        </w:r>
      </w:hyperlink>
      <w:r w:rsidRPr="00E63A67">
        <w:rPr>
          <w:sz w:val="16"/>
          <w:szCs w:val="16"/>
        </w:rPr>
        <w:t xml:space="preserve"> </w:t>
      </w:r>
    </w:p>
  </w:footnote>
  <w:footnote w:id="33">
    <w:p w14:paraId="5E5A4C65" w14:textId="77777777" w:rsidR="00F06382" w:rsidRPr="00E63A67" w:rsidRDefault="00F06382" w:rsidP="00CA52AC">
      <w:pPr>
        <w:pStyle w:val="FootnoteText"/>
        <w:rPr>
          <w:sz w:val="16"/>
          <w:szCs w:val="16"/>
        </w:rPr>
      </w:pPr>
      <w:r w:rsidRPr="00E63A67">
        <w:rPr>
          <w:rStyle w:val="FootnoteReference"/>
          <w:sz w:val="16"/>
          <w:szCs w:val="16"/>
        </w:rPr>
        <w:footnoteRef/>
      </w:r>
      <w:r w:rsidRPr="00E63A67">
        <w:rPr>
          <w:sz w:val="16"/>
          <w:szCs w:val="16"/>
        </w:rPr>
        <w:t xml:space="preserve"> Public Chemical Registration Information System Search (PubCRIS) </w:t>
      </w:r>
      <w:hyperlink r:id="rId32" w:history="1">
        <w:r w:rsidRPr="00E63A67">
          <w:rPr>
            <w:rStyle w:val="Hyperlink"/>
            <w:sz w:val="16"/>
            <w:szCs w:val="16"/>
          </w:rPr>
          <w:t>https://portal.apvma.gov.au/pubcris</w:t>
        </w:r>
      </w:hyperlink>
      <w:r w:rsidRPr="00E63A67">
        <w:rPr>
          <w:sz w:val="16"/>
          <w:szCs w:val="16"/>
        </w:rPr>
        <w:t xml:space="preserve"> </w:t>
      </w:r>
    </w:p>
  </w:footnote>
  <w:footnote w:id="34">
    <w:p w14:paraId="2EC8C965" w14:textId="77777777" w:rsidR="00F06382" w:rsidRPr="00E63A67" w:rsidRDefault="00F06382" w:rsidP="004B4C57">
      <w:pPr>
        <w:pStyle w:val="FootnoteText"/>
        <w:rPr>
          <w:sz w:val="16"/>
          <w:szCs w:val="16"/>
        </w:rPr>
      </w:pPr>
      <w:r w:rsidRPr="00E63A67">
        <w:rPr>
          <w:rStyle w:val="FootnoteReference"/>
          <w:sz w:val="16"/>
          <w:szCs w:val="16"/>
        </w:rPr>
        <w:footnoteRef/>
      </w:r>
      <w:r w:rsidRPr="00E63A67">
        <w:rPr>
          <w:sz w:val="16"/>
          <w:szCs w:val="16"/>
        </w:rPr>
        <w:t xml:space="preserve"> APVMA Adverse Experience Reporting Program</w:t>
      </w:r>
      <w:r w:rsidRPr="00E63A67">
        <w:rPr>
          <w:rStyle w:val="Hyperlink"/>
          <w:sz w:val="16"/>
          <w:szCs w:val="16"/>
        </w:rPr>
        <w:t xml:space="preserve"> database (AERP)</w:t>
      </w:r>
      <w:r w:rsidRPr="00E63A67">
        <w:rPr>
          <w:sz w:val="16"/>
          <w:szCs w:val="16"/>
        </w:rPr>
        <w:t xml:space="preserve"> </w:t>
      </w:r>
      <w:hyperlink r:id="rId33" w:history="1">
        <w:r w:rsidRPr="00E63A67">
          <w:rPr>
            <w:rStyle w:val="Hyperlink"/>
            <w:sz w:val="16"/>
            <w:szCs w:val="16"/>
          </w:rPr>
          <w:t>https://apvma.gov.au/node/10946</w:t>
        </w:r>
      </w:hyperlink>
      <w:r w:rsidRPr="00E63A67">
        <w:rPr>
          <w:sz w:val="16"/>
          <w:szCs w:val="16"/>
        </w:rPr>
        <w:t xml:space="preserve"> </w:t>
      </w:r>
    </w:p>
  </w:footnote>
  <w:footnote w:id="35">
    <w:p w14:paraId="1AAA9FCB" w14:textId="7B933BF5" w:rsidR="00F06382" w:rsidRDefault="00F06382">
      <w:pPr>
        <w:pStyle w:val="FootnoteText"/>
      </w:pPr>
      <w:r>
        <w:rPr>
          <w:rStyle w:val="FootnoteReference"/>
        </w:rPr>
        <w:footnoteRef/>
      </w:r>
      <w:r>
        <w:t xml:space="preserve"> APVMA Active constituents exempt from the requirements of APVMA approval for use in agricultural or veterinary chemical products </w:t>
      </w:r>
      <w:hyperlink r:id="rId34" w:anchor="C" w:history="1">
        <w:r w:rsidRPr="00C0698F">
          <w:rPr>
            <w:rStyle w:val="Hyperlink"/>
          </w:rPr>
          <w:t>https://apvma.gov.au/node/4176#C</w:t>
        </w:r>
      </w:hyperlink>
    </w:p>
  </w:footnote>
  <w:footnote w:id="36">
    <w:p w14:paraId="557DD4FF" w14:textId="60FFFA5F" w:rsidR="00F06382" w:rsidRDefault="00F06382">
      <w:pPr>
        <w:pStyle w:val="FootnoteText"/>
      </w:pPr>
      <w:r>
        <w:rPr>
          <w:rStyle w:val="FootnoteReference"/>
        </w:rPr>
        <w:footnoteRef/>
      </w:r>
      <w:r>
        <w:t xml:space="preserve"> AICIS List of chemicals with high hazards for categorisation </w:t>
      </w:r>
      <w:hyperlink r:id="rId35" w:history="1">
        <w:r w:rsidRPr="00C0698F">
          <w:rPr>
            <w:rStyle w:val="Hyperlink"/>
          </w:rPr>
          <w:t>https://www.industrialchemicals.gov.au/help-and-guides/list-chemicals-high-hazards-categorisation</w:t>
        </w:r>
      </w:hyperlink>
    </w:p>
  </w:footnote>
  <w:footnote w:id="37">
    <w:p w14:paraId="60557535" w14:textId="3DF1F040" w:rsidR="00F06382" w:rsidRDefault="00F06382">
      <w:pPr>
        <w:pStyle w:val="FootnoteText"/>
      </w:pPr>
      <w:r>
        <w:rPr>
          <w:rStyle w:val="FootnoteReference"/>
        </w:rPr>
        <w:footnoteRef/>
      </w:r>
      <w:r>
        <w:t xml:space="preserve"> Australian Industrial Chemicals Introduction Scheme – industrial chemicals inventory </w:t>
      </w:r>
      <w:hyperlink r:id="rId36" w:history="1">
        <w:r w:rsidRPr="00C0698F">
          <w:rPr>
            <w:rStyle w:val="Hyperlink"/>
          </w:rPr>
          <w:t>https://www.industrialchemicals.gov.au/search-inventory</w:t>
        </w:r>
      </w:hyperlink>
    </w:p>
  </w:footnote>
  <w:footnote w:id="38">
    <w:p w14:paraId="6488AA63" w14:textId="7A83425A" w:rsidR="00F06382" w:rsidRDefault="00F06382">
      <w:pPr>
        <w:pStyle w:val="FootnoteText"/>
      </w:pPr>
      <w:r>
        <w:rPr>
          <w:rStyle w:val="FootnoteReference"/>
        </w:rPr>
        <w:footnoteRef/>
      </w:r>
      <w:r>
        <w:t xml:space="preserve"> Australian Drinking Water Guidelines </w:t>
      </w:r>
      <w:hyperlink r:id="rId37" w:history="1">
        <w:r w:rsidRPr="00C0698F">
          <w:rPr>
            <w:rStyle w:val="Hyperlink"/>
          </w:rPr>
          <w:t>https://www.nhmrc.gov.au/about-us/publications/australian-drinking-water-guidelines</w:t>
        </w:r>
      </w:hyperlink>
    </w:p>
  </w:footnote>
  <w:footnote w:id="39">
    <w:p w14:paraId="0FACC94C" w14:textId="77777777" w:rsidR="00F06382" w:rsidRPr="00E63A67" w:rsidRDefault="00F06382" w:rsidP="00800F5C">
      <w:pPr>
        <w:pStyle w:val="FootnoteText"/>
        <w:rPr>
          <w:sz w:val="16"/>
          <w:szCs w:val="16"/>
        </w:rPr>
      </w:pPr>
      <w:r w:rsidRPr="00E63A67">
        <w:rPr>
          <w:rStyle w:val="FootnoteReference"/>
          <w:sz w:val="16"/>
          <w:szCs w:val="16"/>
        </w:rPr>
        <w:footnoteRef/>
      </w:r>
      <w:r w:rsidRPr="00E63A67">
        <w:rPr>
          <w:sz w:val="16"/>
          <w:szCs w:val="16"/>
        </w:rPr>
        <w:t xml:space="preserve"> United States Environmental Protection Agency’s (US EPA) Office of Pesticides Programs </w:t>
      </w:r>
      <w:hyperlink r:id="rId38" w:history="1">
        <w:r w:rsidRPr="00E63A67">
          <w:rPr>
            <w:rStyle w:val="Hyperlink"/>
            <w:sz w:val="16"/>
            <w:szCs w:val="16"/>
          </w:rPr>
          <w:t>https://iaspub.epa.gov/apex/pesticides/f?p=CHEMICALSEARCH:1</w:t>
        </w:r>
      </w:hyperlink>
      <w:r w:rsidRPr="00E63A67">
        <w:rPr>
          <w:sz w:val="16"/>
          <w:szCs w:val="16"/>
        </w:rPr>
        <w:t xml:space="preserve">: </w:t>
      </w:r>
    </w:p>
  </w:footnote>
  <w:footnote w:id="40">
    <w:p w14:paraId="20F304F1" w14:textId="77777777" w:rsidR="00F06382" w:rsidRPr="00E63A67" w:rsidRDefault="00F06382" w:rsidP="006438D2">
      <w:pPr>
        <w:pStyle w:val="FootnoteText"/>
        <w:rPr>
          <w:sz w:val="16"/>
          <w:szCs w:val="16"/>
        </w:rPr>
      </w:pPr>
      <w:r w:rsidRPr="00E63A67">
        <w:rPr>
          <w:rStyle w:val="FootnoteReference"/>
          <w:sz w:val="16"/>
          <w:szCs w:val="16"/>
        </w:rPr>
        <w:footnoteRef/>
      </w:r>
      <w:r w:rsidRPr="00E63A67">
        <w:rPr>
          <w:sz w:val="16"/>
          <w:szCs w:val="16"/>
        </w:rPr>
        <w:t xml:space="preserve"> </w:t>
      </w:r>
      <w:hyperlink r:id="rId39" w:history="1">
        <w:r w:rsidRPr="00E63A67">
          <w:rPr>
            <w:rStyle w:val="Hyperlink"/>
            <w:sz w:val="16"/>
            <w:szCs w:val="16"/>
          </w:rPr>
          <w:t>European Commission database for information on cosmetic substances and ingredients database</w:t>
        </w:r>
      </w:hyperlink>
      <w:r w:rsidRPr="00E63A67">
        <w:rPr>
          <w:rStyle w:val="Hyperlink"/>
          <w:sz w:val="16"/>
          <w:szCs w:val="16"/>
        </w:rPr>
        <w:t xml:space="preserve"> </w:t>
      </w:r>
      <w:r w:rsidRPr="00E63A67">
        <w:rPr>
          <w:sz w:val="16"/>
          <w:szCs w:val="16"/>
        </w:rPr>
        <w:t>https://ec.europa.eu/growth/tools-databases/cosing/</w:t>
      </w:r>
    </w:p>
  </w:footnote>
  <w:footnote w:id="41">
    <w:p w14:paraId="7E65857A" w14:textId="3AC9C69C" w:rsidR="00F06382" w:rsidRPr="00E63A67" w:rsidRDefault="00F06382" w:rsidP="006438D2">
      <w:pPr>
        <w:pStyle w:val="FootnoteText"/>
        <w:rPr>
          <w:sz w:val="16"/>
          <w:szCs w:val="16"/>
        </w:rPr>
      </w:pPr>
      <w:r w:rsidRPr="00E63A67">
        <w:rPr>
          <w:rStyle w:val="FootnoteReference"/>
          <w:sz w:val="16"/>
          <w:szCs w:val="16"/>
        </w:rPr>
        <w:footnoteRef/>
      </w:r>
      <w:r w:rsidRPr="00E63A67">
        <w:rPr>
          <w:sz w:val="16"/>
          <w:szCs w:val="16"/>
        </w:rPr>
        <w:t xml:space="preserve"> New Zealand Inventory of Chemicals (NZIoC) </w:t>
      </w:r>
      <w:hyperlink r:id="rId40" w:history="1">
        <w:r>
          <w:rPr>
            <w:rStyle w:val="Hyperlink"/>
            <w:sz w:val="16"/>
            <w:szCs w:val="16"/>
          </w:rPr>
          <w:t>https://www.epa.govt.nz/database-search/new-zealand-inventory-of-chemicals</w:t>
        </w:r>
      </w:hyperlink>
      <w:r w:rsidRPr="00E63A67">
        <w:rPr>
          <w:sz w:val="16"/>
          <w:szCs w:val="16"/>
        </w:rPr>
        <w:t xml:space="preserve"> </w:t>
      </w:r>
    </w:p>
  </w:footnote>
  <w:footnote w:id="42">
    <w:p w14:paraId="50A0D3FC" w14:textId="77777777" w:rsidR="00F06382" w:rsidRPr="00E63A67" w:rsidRDefault="00F06382" w:rsidP="00800F5C">
      <w:pPr>
        <w:pStyle w:val="FootnoteText"/>
        <w:rPr>
          <w:sz w:val="16"/>
          <w:szCs w:val="16"/>
        </w:rPr>
      </w:pPr>
      <w:r w:rsidRPr="00E63A67">
        <w:rPr>
          <w:rStyle w:val="FootnoteReference"/>
          <w:sz w:val="16"/>
          <w:szCs w:val="16"/>
        </w:rPr>
        <w:footnoteRef/>
      </w:r>
      <w:r w:rsidRPr="00E63A67">
        <w:rPr>
          <w:sz w:val="16"/>
          <w:szCs w:val="16"/>
        </w:rPr>
        <w:t xml:space="preserve"> European Chemicals Agency (ECHA) </w:t>
      </w:r>
      <w:hyperlink r:id="rId41" w:history="1">
        <w:r w:rsidRPr="00E63A67">
          <w:rPr>
            <w:rStyle w:val="Hyperlink"/>
            <w:sz w:val="16"/>
            <w:szCs w:val="16"/>
          </w:rPr>
          <w:t>https://echa.europa.eu/search-for-chemicals</w:t>
        </w:r>
      </w:hyperlink>
      <w:r w:rsidRPr="00E63A67">
        <w:rPr>
          <w:sz w:val="16"/>
          <w:szCs w:val="16"/>
        </w:rPr>
        <w:t xml:space="preserve"> </w:t>
      </w:r>
    </w:p>
  </w:footnote>
  <w:footnote w:id="43">
    <w:p w14:paraId="5E7F54A0" w14:textId="77777777" w:rsidR="00F06382" w:rsidRDefault="00F06382" w:rsidP="006438D2">
      <w:pPr>
        <w:pStyle w:val="FootnoteText"/>
      </w:pPr>
      <w:r w:rsidRPr="00E63A67">
        <w:rPr>
          <w:rStyle w:val="FootnoteReference"/>
          <w:sz w:val="16"/>
          <w:szCs w:val="16"/>
        </w:rPr>
        <w:footnoteRef/>
      </w:r>
      <w:r w:rsidRPr="00E63A67">
        <w:rPr>
          <w:sz w:val="16"/>
          <w:szCs w:val="16"/>
        </w:rPr>
        <w:t xml:space="preserve"> Canadian (Health Canada) Drug Product Database </w:t>
      </w:r>
      <w:hyperlink r:id="rId42" w:history="1">
        <w:r w:rsidRPr="00E63A67">
          <w:rPr>
            <w:rStyle w:val="Hyperlink"/>
            <w:sz w:val="16"/>
            <w:szCs w:val="16"/>
          </w:rPr>
          <w:t>https://health-products.canada.ca/dpd-bdpp/index-eng.jsp</w:t>
        </w:r>
      </w:hyperlink>
      <w:r>
        <w:t xml:space="preserve"> </w:t>
      </w:r>
    </w:p>
  </w:footnote>
  <w:footnote w:id="44">
    <w:p w14:paraId="49BF42C9" w14:textId="77777777" w:rsidR="00F06382" w:rsidRPr="00C87095" w:rsidRDefault="00F06382" w:rsidP="00510B15">
      <w:pPr>
        <w:pStyle w:val="FootnoteText"/>
        <w:rPr>
          <w:sz w:val="16"/>
          <w:szCs w:val="16"/>
        </w:rPr>
      </w:pPr>
      <w:r w:rsidRPr="00C87095">
        <w:rPr>
          <w:rStyle w:val="FootnoteReference"/>
          <w:sz w:val="16"/>
          <w:szCs w:val="16"/>
        </w:rPr>
        <w:footnoteRef/>
      </w:r>
      <w:r>
        <w:t xml:space="preserve"> </w:t>
      </w:r>
      <w:r w:rsidRPr="00C87095">
        <w:rPr>
          <w:sz w:val="16"/>
          <w:szCs w:val="16"/>
        </w:rPr>
        <w:t xml:space="preserve">TGA Ingredient Database </w:t>
      </w:r>
      <w:hyperlink r:id="rId43" w:history="1">
        <w:r w:rsidRPr="00C87095">
          <w:rPr>
            <w:rStyle w:val="Hyperlink"/>
            <w:color w:val="002C47" w:themeColor="text2"/>
            <w:sz w:val="16"/>
            <w:szCs w:val="16"/>
          </w:rPr>
          <w:t>https://www.ebs.tga.gov.au/</w:t>
        </w:r>
      </w:hyperlink>
    </w:p>
  </w:footnote>
  <w:footnote w:id="45">
    <w:p w14:paraId="4971EB37" w14:textId="77777777" w:rsidR="00F06382" w:rsidRDefault="00F06382" w:rsidP="00510B15">
      <w:pPr>
        <w:pStyle w:val="FootnoteText"/>
      </w:pPr>
      <w:r w:rsidRPr="00C87095">
        <w:rPr>
          <w:rStyle w:val="FootnoteReference"/>
          <w:sz w:val="16"/>
          <w:szCs w:val="16"/>
        </w:rPr>
        <w:footnoteRef/>
      </w:r>
      <w:r w:rsidRPr="00C87095">
        <w:rPr>
          <w:sz w:val="16"/>
          <w:szCs w:val="16"/>
        </w:rPr>
        <w:t xml:space="preserve"> ARTG database </w:t>
      </w:r>
      <w:hyperlink r:id="rId44" w:history="1">
        <w:r w:rsidRPr="00C87095">
          <w:rPr>
            <w:rStyle w:val="Hyperlink"/>
            <w:sz w:val="16"/>
            <w:szCs w:val="16"/>
          </w:rPr>
          <w:t>https://www.tga.gov.au/artg</w:t>
        </w:r>
      </w:hyperlink>
      <w:r>
        <w:t xml:space="preserve"> </w:t>
      </w:r>
    </w:p>
  </w:footnote>
  <w:footnote w:id="46">
    <w:p w14:paraId="325980C9" w14:textId="77777777" w:rsidR="00F06382" w:rsidRDefault="00F06382" w:rsidP="00510B15">
      <w:pPr>
        <w:pStyle w:val="FootnoteText"/>
      </w:pPr>
      <w:r>
        <w:rPr>
          <w:rStyle w:val="FootnoteReference"/>
        </w:rPr>
        <w:footnoteRef/>
      </w:r>
      <w:r>
        <w:t xml:space="preserve"> </w:t>
      </w:r>
      <w:r w:rsidRPr="007F3638">
        <w:t xml:space="preserve">Therapeutic Goods (Permissible Ingredients) Determination  </w:t>
      </w:r>
      <w:hyperlink r:id="rId45" w:history="1">
        <w:r w:rsidRPr="007C3A78">
          <w:rPr>
            <w:rStyle w:val="Hyperlink"/>
          </w:rPr>
          <w:t>https://www.legislation.gov.au/Search/Therapeutic%20Goods%20$LB$Permissible%20Ingredients$RB$%20Determination</w:t>
        </w:r>
      </w:hyperlink>
      <w:r>
        <w:t xml:space="preserve"> </w:t>
      </w:r>
    </w:p>
  </w:footnote>
  <w:footnote w:id="47">
    <w:p w14:paraId="2EAE76C3" w14:textId="77777777" w:rsidR="00F06382" w:rsidRPr="002F1C5C" w:rsidRDefault="00F06382" w:rsidP="00510B15">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46" w:history="1">
        <w:r w:rsidRPr="00E974A4">
          <w:rPr>
            <w:rStyle w:val="Hyperlink"/>
            <w:szCs w:val="16"/>
          </w:rPr>
          <w:t>https://www.tga.gov.au/prescribing-medicines-pregnancy-database</w:t>
        </w:r>
      </w:hyperlink>
      <w:r>
        <w:rPr>
          <w:szCs w:val="16"/>
        </w:rPr>
        <w:t xml:space="preserve"> </w:t>
      </w:r>
    </w:p>
  </w:footnote>
  <w:footnote w:id="48">
    <w:p w14:paraId="760EE536" w14:textId="77777777" w:rsidR="00F06382" w:rsidRDefault="00F06382" w:rsidP="00510B15">
      <w:pPr>
        <w:pStyle w:val="FootnoteText"/>
      </w:pPr>
      <w:r>
        <w:rPr>
          <w:rStyle w:val="FootnoteReference"/>
        </w:rPr>
        <w:footnoteRef/>
      </w:r>
      <w:r>
        <w:t xml:space="preserve"> </w:t>
      </w:r>
      <w:r w:rsidRPr="007F3638">
        <w:t>Therapeutic Goods (Medicines Advisory Statements) Specification 2019</w:t>
      </w:r>
      <w:r>
        <w:t xml:space="preserve"> </w:t>
      </w:r>
      <w:r>
        <w:rPr>
          <w:rStyle w:val="Hyperlink"/>
        </w:rPr>
        <w:t xml:space="preserve"> </w:t>
      </w:r>
      <w:hyperlink r:id="rId47" w:history="1">
        <w:r w:rsidRPr="00FC5165">
          <w:rPr>
            <w:rStyle w:val="Hyperlink"/>
          </w:rPr>
          <w:t>https://www.legislation.gov.au/Details/F2019L00213</w:t>
        </w:r>
      </w:hyperlink>
      <w:r>
        <w:t xml:space="preserve"> </w:t>
      </w:r>
    </w:p>
  </w:footnote>
  <w:footnote w:id="49">
    <w:p w14:paraId="347C48AC" w14:textId="77777777" w:rsidR="00F06382" w:rsidRDefault="00F06382" w:rsidP="00510B15">
      <w:pPr>
        <w:pStyle w:val="FootnoteText"/>
      </w:pPr>
      <w:r>
        <w:rPr>
          <w:rStyle w:val="FootnoteReference"/>
        </w:rPr>
        <w:footnoteRef/>
      </w:r>
      <w:r>
        <w:t xml:space="preserve"> </w:t>
      </w:r>
      <w:r w:rsidRPr="00C81411">
        <w:t>Database of Adverse Event Notifications (DAEN)</w:t>
      </w:r>
      <w:r>
        <w:t xml:space="preserve">  </w:t>
      </w:r>
      <w:hyperlink r:id="rId48" w:history="1">
        <w:r w:rsidRPr="007C3A78">
          <w:rPr>
            <w:rStyle w:val="Hyperlink"/>
          </w:rPr>
          <w:t>https://apps.tga.gov.au/Prod/daen/daen-entry.aspx</w:t>
        </w:r>
      </w:hyperlink>
      <w:r>
        <w:t xml:space="preserve"> </w:t>
      </w:r>
    </w:p>
  </w:footnote>
  <w:footnote w:id="50">
    <w:p w14:paraId="1EFCB24C" w14:textId="77777777" w:rsidR="00F06382" w:rsidRDefault="00F06382" w:rsidP="00510B15">
      <w:pPr>
        <w:pStyle w:val="FootnoteText"/>
      </w:pPr>
      <w:r>
        <w:rPr>
          <w:rStyle w:val="FootnoteReference"/>
        </w:rPr>
        <w:footnoteRef/>
      </w:r>
      <w:r>
        <w:t xml:space="preserve"> </w:t>
      </w:r>
      <w:r w:rsidRPr="00F53A0E">
        <w:t>Public Chemical Registration Information System Search (PubCRIS)</w:t>
      </w:r>
      <w:r>
        <w:t xml:space="preserve"> </w:t>
      </w:r>
      <w:hyperlink r:id="rId49" w:history="1">
        <w:r w:rsidRPr="007C3A78">
          <w:rPr>
            <w:rStyle w:val="Hyperlink"/>
          </w:rPr>
          <w:t>https://portal.apvma.gov.au/pubcris</w:t>
        </w:r>
      </w:hyperlink>
      <w:r>
        <w:t xml:space="preserve"> </w:t>
      </w:r>
    </w:p>
  </w:footnote>
  <w:footnote w:id="51">
    <w:p w14:paraId="24A83535" w14:textId="77777777" w:rsidR="00F06382" w:rsidRDefault="00F06382" w:rsidP="00121A58">
      <w:pPr>
        <w:pStyle w:val="FootnoteText"/>
      </w:pPr>
      <w:r>
        <w:rPr>
          <w:rStyle w:val="FootnoteReference"/>
        </w:rPr>
        <w:footnoteRef/>
      </w:r>
      <w:r>
        <w:t xml:space="preserve"> </w:t>
      </w:r>
      <w:r w:rsidRPr="002A4D44">
        <w:rPr>
          <w:szCs w:val="16"/>
        </w:rPr>
        <w:t xml:space="preserve">United States Environmental Protection Agency’s (US EPA) Office of Pesticides Programs </w:t>
      </w:r>
      <w:hyperlink r:id="rId50" w:history="1">
        <w:r w:rsidRPr="002A4D44">
          <w:rPr>
            <w:rStyle w:val="Hyperlink"/>
            <w:szCs w:val="16"/>
          </w:rPr>
          <w:t>https://iaspub.epa.gov/apex/pesticides/f?p=CHEMICALSEARCH:1</w:t>
        </w:r>
      </w:hyperlink>
      <w:r w:rsidRPr="002A4D44">
        <w:rPr>
          <w:szCs w:val="16"/>
        </w:rPr>
        <w:t>:</w:t>
      </w:r>
      <w:r>
        <w:t xml:space="preserve"> </w:t>
      </w:r>
    </w:p>
  </w:footnote>
  <w:footnote w:id="52">
    <w:p w14:paraId="79168DF1" w14:textId="77777777" w:rsidR="00F06382" w:rsidRDefault="00F06382" w:rsidP="00D240CD">
      <w:pPr>
        <w:pStyle w:val="FootnoteText"/>
      </w:pPr>
      <w:r>
        <w:rPr>
          <w:rStyle w:val="FootnoteReference"/>
        </w:rPr>
        <w:footnoteRef/>
      </w:r>
      <w:r>
        <w:t xml:space="preserve"> </w:t>
      </w:r>
      <w:hyperlink r:id="rId51" w:history="1">
        <w:r w:rsidRPr="00C81411">
          <w:rPr>
            <w:rStyle w:val="Hyperlink"/>
          </w:rPr>
          <w:t>European Commission database for information on cosmetic substances and ingredients database</w:t>
        </w:r>
      </w:hyperlink>
      <w:r>
        <w:rPr>
          <w:rStyle w:val="Hyperlink"/>
        </w:rPr>
        <w:t xml:space="preserve"> </w:t>
      </w:r>
      <w:r w:rsidRPr="002A4D44">
        <w:t>https://ec.europa.eu/growth/tools-databases/cosing/</w:t>
      </w:r>
    </w:p>
  </w:footnote>
  <w:footnote w:id="53">
    <w:p w14:paraId="4E5646FD" w14:textId="77777777" w:rsidR="00F06382" w:rsidRPr="003235BA" w:rsidRDefault="00F06382" w:rsidP="00D240CD">
      <w:pPr>
        <w:pStyle w:val="FootnoteText"/>
        <w:rPr>
          <w:sz w:val="16"/>
          <w:szCs w:val="16"/>
        </w:rPr>
      </w:pPr>
      <w:r w:rsidRPr="003235BA">
        <w:rPr>
          <w:rStyle w:val="FootnoteReference"/>
          <w:sz w:val="16"/>
          <w:szCs w:val="16"/>
        </w:rPr>
        <w:footnoteRef/>
      </w:r>
      <w:r w:rsidRPr="003235BA">
        <w:rPr>
          <w:sz w:val="16"/>
          <w:szCs w:val="16"/>
        </w:rPr>
        <w:t xml:space="preserve"> Canada’s Pest Management Regulation Agency </w:t>
      </w:r>
      <w:hyperlink r:id="rId52" w:history="1">
        <w:r w:rsidRPr="003235BA">
          <w:rPr>
            <w:rStyle w:val="Hyperlink"/>
            <w:sz w:val="16"/>
            <w:szCs w:val="16"/>
          </w:rPr>
          <w:t>https://pesticide-registry.canada.ca/en/active-ingredient-search.html</w:t>
        </w:r>
      </w:hyperlink>
      <w:r w:rsidRPr="003235BA">
        <w:rPr>
          <w:sz w:val="16"/>
          <w:szCs w:val="16"/>
        </w:rPr>
        <w:t xml:space="preserve"> </w:t>
      </w:r>
    </w:p>
  </w:footnote>
  <w:footnote w:id="54">
    <w:p w14:paraId="4AEA8B78" w14:textId="561DCAF9" w:rsidR="00F06382" w:rsidRPr="003235BA" w:rsidRDefault="00F06382">
      <w:pPr>
        <w:pStyle w:val="FootnoteText"/>
        <w:rPr>
          <w:sz w:val="16"/>
          <w:szCs w:val="16"/>
        </w:rPr>
      </w:pPr>
      <w:r w:rsidRPr="003235BA">
        <w:rPr>
          <w:rStyle w:val="FootnoteReference"/>
          <w:sz w:val="16"/>
          <w:szCs w:val="16"/>
        </w:rPr>
        <w:footnoteRef/>
      </w:r>
      <w:r w:rsidRPr="003235BA">
        <w:rPr>
          <w:sz w:val="16"/>
          <w:szCs w:val="16"/>
        </w:rPr>
        <w:t xml:space="preserve"> New Zealand Medicines and Medical Devices Safety Authority (MedSafe) </w:t>
      </w:r>
      <w:hyperlink r:id="rId53" w:history="1">
        <w:r w:rsidRPr="003235BA">
          <w:rPr>
            <w:rStyle w:val="Hyperlink"/>
            <w:sz w:val="16"/>
            <w:szCs w:val="16"/>
          </w:rPr>
          <w:t>https://www.medsafe.govt.nz/profs/class/classintro.asp</w:t>
        </w:r>
      </w:hyperlink>
      <w:r w:rsidRPr="003235BA">
        <w:rPr>
          <w:sz w:val="16"/>
          <w:szCs w:val="16"/>
        </w:rPr>
        <w:t xml:space="preserve">  </w:t>
      </w:r>
    </w:p>
  </w:footnote>
  <w:footnote w:id="55">
    <w:p w14:paraId="12382C87" w14:textId="77777777" w:rsidR="00F06382" w:rsidRPr="003235BA" w:rsidRDefault="00F06382" w:rsidP="002E2285">
      <w:pPr>
        <w:pStyle w:val="FootnoteText"/>
        <w:rPr>
          <w:sz w:val="16"/>
          <w:szCs w:val="16"/>
        </w:rPr>
      </w:pPr>
      <w:r w:rsidRPr="003235BA">
        <w:rPr>
          <w:rStyle w:val="FootnoteReference"/>
          <w:sz w:val="16"/>
          <w:szCs w:val="16"/>
        </w:rPr>
        <w:footnoteRef/>
      </w:r>
      <w:r w:rsidRPr="003235BA">
        <w:rPr>
          <w:sz w:val="16"/>
          <w:szCs w:val="16"/>
        </w:rPr>
        <w:t xml:space="preserve"> Canadian (Health Canada) Drug Product Database </w:t>
      </w:r>
      <w:hyperlink r:id="rId54" w:history="1">
        <w:r w:rsidRPr="003235BA">
          <w:rPr>
            <w:rStyle w:val="Hyperlink"/>
            <w:sz w:val="16"/>
            <w:szCs w:val="16"/>
          </w:rPr>
          <w:t>https://health-products.canada.ca/dpd-bdpp/index-eng.jsp</w:t>
        </w:r>
      </w:hyperlink>
      <w:r w:rsidRPr="003235BA">
        <w:rPr>
          <w:sz w:val="16"/>
          <w:szCs w:val="16"/>
        </w:rPr>
        <w:t xml:space="preserve"> </w:t>
      </w:r>
    </w:p>
  </w:footnote>
  <w:footnote w:id="56">
    <w:p w14:paraId="428A7435" w14:textId="79E4C18C" w:rsidR="00F06382" w:rsidRPr="003235BA" w:rsidRDefault="00F06382">
      <w:pPr>
        <w:pStyle w:val="FootnoteText"/>
        <w:rPr>
          <w:sz w:val="16"/>
          <w:szCs w:val="16"/>
        </w:rPr>
      </w:pPr>
      <w:r w:rsidRPr="003235BA">
        <w:rPr>
          <w:rStyle w:val="FootnoteReference"/>
          <w:sz w:val="16"/>
          <w:szCs w:val="16"/>
        </w:rPr>
        <w:footnoteRef/>
      </w:r>
      <w:r w:rsidRPr="003235BA">
        <w:rPr>
          <w:sz w:val="16"/>
          <w:szCs w:val="16"/>
        </w:rPr>
        <w:t xml:space="preserve"> FDA Approved Drug Products Database </w:t>
      </w:r>
      <w:hyperlink r:id="rId55" w:history="1">
        <w:r w:rsidRPr="003235BA">
          <w:rPr>
            <w:rStyle w:val="Hyperlink"/>
            <w:sz w:val="16"/>
            <w:szCs w:val="16"/>
          </w:rPr>
          <w:t>https://www.accessdata.fda.gov/scripts/cder/daf/</w:t>
        </w:r>
      </w:hyperlink>
      <w:r w:rsidRPr="003235BA">
        <w:rPr>
          <w:sz w:val="16"/>
          <w:szCs w:val="16"/>
        </w:rPr>
        <w:t xml:space="preserve">  </w:t>
      </w:r>
    </w:p>
  </w:footnote>
  <w:footnote w:id="57">
    <w:p w14:paraId="5A4053DA" w14:textId="77777777" w:rsidR="00F06382" w:rsidRPr="003235BA" w:rsidRDefault="00F06382" w:rsidP="002E2285">
      <w:pPr>
        <w:pStyle w:val="FootnoteText"/>
        <w:rPr>
          <w:sz w:val="16"/>
          <w:szCs w:val="16"/>
        </w:rPr>
      </w:pPr>
      <w:r w:rsidRPr="003235BA">
        <w:rPr>
          <w:rStyle w:val="FootnoteReference"/>
          <w:sz w:val="16"/>
          <w:szCs w:val="16"/>
        </w:rPr>
        <w:footnoteRef/>
      </w:r>
      <w:r w:rsidRPr="003235BA">
        <w:rPr>
          <w:sz w:val="16"/>
          <w:szCs w:val="16"/>
        </w:rPr>
        <w:t xml:space="preserve"> New Zealand Inventory of Chemicals (NZIoC) </w:t>
      </w:r>
      <w:hyperlink r:id="rId56" w:history="1">
        <w:r w:rsidRPr="003235BA">
          <w:rPr>
            <w:rStyle w:val="Hyperlink"/>
            <w:sz w:val="16"/>
            <w:szCs w:val="16"/>
          </w:rPr>
          <w:t>https://www.epa.govt.nz/database-search/new-zealand-inventory-of-chemicals-nzioc/DatabaseSearchForm/?SiteDatabaseSearchFilters=36&amp;Keyword=acequinocyl&amp;DatabaseType=NZIOC</w:t>
        </w:r>
      </w:hyperlink>
      <w:r w:rsidRPr="003235BA">
        <w:rPr>
          <w:sz w:val="16"/>
          <w:szCs w:val="16"/>
        </w:rPr>
        <w:t xml:space="preserve"> </w:t>
      </w:r>
    </w:p>
  </w:footnote>
  <w:footnote w:id="58">
    <w:p w14:paraId="7FAB8932" w14:textId="4881BB9A" w:rsidR="00F06382" w:rsidRPr="003235BA" w:rsidRDefault="00F06382">
      <w:pPr>
        <w:pStyle w:val="FootnoteText"/>
        <w:rPr>
          <w:sz w:val="16"/>
          <w:szCs w:val="16"/>
        </w:rPr>
      </w:pPr>
      <w:r w:rsidRPr="003235BA">
        <w:rPr>
          <w:rStyle w:val="FootnoteReference"/>
          <w:sz w:val="16"/>
          <w:szCs w:val="16"/>
        </w:rPr>
        <w:footnoteRef/>
      </w:r>
      <w:r w:rsidRPr="003235BA">
        <w:rPr>
          <w:sz w:val="16"/>
          <w:szCs w:val="16"/>
        </w:rPr>
        <w:t xml:space="preserve"> European Union Pesticides Database </w:t>
      </w:r>
      <w:hyperlink r:id="rId57" w:history="1">
        <w:r w:rsidRPr="003235BA">
          <w:rPr>
            <w:rStyle w:val="Hyperlink"/>
            <w:sz w:val="16"/>
            <w:szCs w:val="16"/>
          </w:rPr>
          <w:t>https://ec.europa.eu/food/plants/pesticides/eu-pesticides-database_en</w:t>
        </w:r>
      </w:hyperlink>
    </w:p>
  </w:footnote>
  <w:footnote w:id="59">
    <w:p w14:paraId="5AE209EF" w14:textId="77777777" w:rsidR="00F06382" w:rsidRPr="00465A62" w:rsidRDefault="00F06382" w:rsidP="0046531F">
      <w:pPr>
        <w:pStyle w:val="FootnoteText"/>
        <w:rPr>
          <w:sz w:val="16"/>
        </w:rPr>
      </w:pPr>
      <w:r w:rsidRPr="003235BA">
        <w:rPr>
          <w:rStyle w:val="FootnoteReference"/>
          <w:sz w:val="16"/>
          <w:szCs w:val="16"/>
        </w:rPr>
        <w:footnoteRef/>
      </w:r>
      <w:r w:rsidRPr="003235BA">
        <w:rPr>
          <w:sz w:val="16"/>
          <w:szCs w:val="16"/>
        </w:rPr>
        <w:t xml:space="preserve"> European Chemicals Agency (ECHA) </w:t>
      </w:r>
      <w:hyperlink r:id="rId58" w:history="1">
        <w:r w:rsidRPr="003235BA">
          <w:rPr>
            <w:rStyle w:val="Hyperlink"/>
            <w:sz w:val="16"/>
            <w:szCs w:val="16"/>
          </w:rPr>
          <w:t>https://echa.europa.eu/search-for-chemicals</w:t>
        </w:r>
      </w:hyperlink>
      <w:r w:rsidRPr="00465A62">
        <w:rPr>
          <w:sz w:val="16"/>
        </w:rPr>
        <w:t xml:space="preserve"> </w:t>
      </w:r>
    </w:p>
  </w:footnote>
  <w:footnote w:id="60">
    <w:p w14:paraId="1FF2F0EA" w14:textId="7F0A51DB" w:rsidR="00F06382" w:rsidRPr="00A55B14" w:rsidRDefault="00F06382">
      <w:pPr>
        <w:pStyle w:val="FootnoteText"/>
        <w:rPr>
          <w:sz w:val="16"/>
          <w:szCs w:val="16"/>
        </w:rPr>
      </w:pPr>
      <w:r w:rsidRPr="00A55B14">
        <w:rPr>
          <w:rStyle w:val="FootnoteReference"/>
          <w:sz w:val="16"/>
          <w:szCs w:val="16"/>
        </w:rPr>
        <w:footnoteRef/>
      </w:r>
      <w:r w:rsidRPr="00A55B14">
        <w:rPr>
          <w:sz w:val="16"/>
          <w:szCs w:val="16"/>
        </w:rPr>
        <w:t xml:space="preserve"> Hartsel, J.A., Boyar, K., Pham, A., Silver, R.J. and Makriyannis, A., 2019. Cannabis in veterinary medicine: cannabinoid therapies for animals. In Nutraceuticals in Veterinary Medicine (pp. 121- 155). Springer, Cham.</w:t>
      </w:r>
    </w:p>
  </w:footnote>
  <w:footnote w:id="61">
    <w:p w14:paraId="1136399C"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TGA Ingredient Database </w:t>
      </w:r>
      <w:hyperlink r:id="rId59" w:history="1">
        <w:r w:rsidRPr="00465A62">
          <w:rPr>
            <w:rStyle w:val="Hyperlink"/>
            <w:color w:val="002C47" w:themeColor="text2"/>
            <w:sz w:val="16"/>
          </w:rPr>
          <w:t>https://www.ebs.tga.gov.au/</w:t>
        </w:r>
      </w:hyperlink>
    </w:p>
  </w:footnote>
  <w:footnote w:id="62">
    <w:p w14:paraId="684CBEF5"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ARTG database </w:t>
      </w:r>
      <w:hyperlink r:id="rId60" w:history="1">
        <w:r w:rsidRPr="00465A62">
          <w:rPr>
            <w:rStyle w:val="Hyperlink"/>
            <w:sz w:val="16"/>
          </w:rPr>
          <w:t>https://www.tga.gov.au/artg</w:t>
        </w:r>
      </w:hyperlink>
      <w:r w:rsidRPr="00465A62">
        <w:rPr>
          <w:sz w:val="16"/>
        </w:rPr>
        <w:t xml:space="preserve"> </w:t>
      </w:r>
    </w:p>
  </w:footnote>
  <w:footnote w:id="63">
    <w:p w14:paraId="63469A10"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Therapeutic Goods (Permissible Ingredients) Determination </w:t>
      </w:r>
      <w:hyperlink r:id="rId61" w:history="1">
        <w:r w:rsidRPr="00465A62">
          <w:rPr>
            <w:rStyle w:val="Hyperlink"/>
            <w:sz w:val="16"/>
          </w:rPr>
          <w:t>https://www.legislation.gov.au/Search/Therapeutic%20Goods%20$LB$Permissible%20Ingredients$RB$%20Determination</w:t>
        </w:r>
      </w:hyperlink>
      <w:r w:rsidRPr="00465A62">
        <w:rPr>
          <w:sz w:val="16"/>
        </w:rPr>
        <w:t xml:space="preserve"> </w:t>
      </w:r>
    </w:p>
  </w:footnote>
  <w:footnote w:id="64">
    <w:p w14:paraId="2E9A3DC4" w14:textId="77777777" w:rsidR="00F06382" w:rsidRPr="00465A62" w:rsidRDefault="00F06382" w:rsidP="003C02CB">
      <w:pPr>
        <w:pStyle w:val="FootnoteText"/>
        <w:rPr>
          <w:sz w:val="16"/>
          <w:szCs w:val="16"/>
        </w:rPr>
      </w:pPr>
      <w:r w:rsidRPr="00465A62">
        <w:rPr>
          <w:rStyle w:val="FootnoteReference"/>
          <w:sz w:val="16"/>
          <w:szCs w:val="16"/>
        </w:rPr>
        <w:footnoteRef/>
      </w:r>
      <w:r w:rsidRPr="00465A62">
        <w:rPr>
          <w:sz w:val="16"/>
          <w:szCs w:val="16"/>
        </w:rPr>
        <w:t xml:space="preserve"> </w:t>
      </w:r>
      <w:r w:rsidRPr="00465A62">
        <w:rPr>
          <w:sz w:val="16"/>
        </w:rPr>
        <w:t xml:space="preserve">TGA prescribing medicines in pregnancy database </w:t>
      </w:r>
      <w:hyperlink r:id="rId62" w:history="1">
        <w:r w:rsidRPr="00465A62">
          <w:rPr>
            <w:rStyle w:val="Hyperlink"/>
            <w:sz w:val="16"/>
            <w:szCs w:val="16"/>
          </w:rPr>
          <w:t>https://www.tga.gov.au/prescribing-medicines-pregnancy-database</w:t>
        </w:r>
      </w:hyperlink>
      <w:r w:rsidRPr="00465A62">
        <w:rPr>
          <w:sz w:val="16"/>
          <w:szCs w:val="16"/>
        </w:rPr>
        <w:t xml:space="preserve"> </w:t>
      </w:r>
    </w:p>
  </w:footnote>
  <w:footnote w:id="65">
    <w:p w14:paraId="6E406689"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Therapeutic Goods (Medicines Advisory Statements) Specification 2019 </w:t>
      </w:r>
      <w:hyperlink r:id="rId63" w:history="1">
        <w:r w:rsidRPr="00465A62">
          <w:rPr>
            <w:rStyle w:val="Hyperlink"/>
            <w:sz w:val="16"/>
          </w:rPr>
          <w:t>https://www.legislation.gov.au/Details/F2019L00213</w:t>
        </w:r>
      </w:hyperlink>
      <w:r w:rsidRPr="00465A62">
        <w:rPr>
          <w:sz w:val="16"/>
        </w:rPr>
        <w:t xml:space="preserve"> </w:t>
      </w:r>
    </w:p>
  </w:footnote>
  <w:footnote w:id="66">
    <w:p w14:paraId="2479781A"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Database of Adverse Event Notifications (DAEN)  </w:t>
      </w:r>
      <w:hyperlink r:id="rId64" w:history="1">
        <w:r w:rsidRPr="00465A62">
          <w:rPr>
            <w:rStyle w:val="Hyperlink"/>
            <w:sz w:val="16"/>
          </w:rPr>
          <w:t>https://apps.tga.gov.au/Prod/daen/daen-entry.aspx</w:t>
        </w:r>
      </w:hyperlink>
      <w:r w:rsidRPr="00465A62">
        <w:rPr>
          <w:sz w:val="16"/>
        </w:rPr>
        <w:t xml:space="preserve"> </w:t>
      </w:r>
    </w:p>
  </w:footnote>
  <w:footnote w:id="67">
    <w:p w14:paraId="630149B8" w14:textId="77777777" w:rsidR="00F06382" w:rsidRPr="00465A62" w:rsidRDefault="00F06382" w:rsidP="003C02CB">
      <w:pPr>
        <w:pStyle w:val="FootnoteText"/>
        <w:rPr>
          <w:sz w:val="16"/>
        </w:rPr>
      </w:pPr>
      <w:r w:rsidRPr="00465A62">
        <w:rPr>
          <w:rStyle w:val="FootnoteReference"/>
          <w:sz w:val="16"/>
        </w:rPr>
        <w:footnoteRef/>
      </w:r>
      <w:r w:rsidRPr="00465A62">
        <w:rPr>
          <w:sz w:val="16"/>
        </w:rPr>
        <w:t xml:space="preserve"> Public Chemical Registration Information System Search (PubCRIS) </w:t>
      </w:r>
      <w:hyperlink r:id="rId65" w:history="1">
        <w:r w:rsidRPr="00465A62">
          <w:rPr>
            <w:rStyle w:val="Hyperlink"/>
            <w:sz w:val="16"/>
          </w:rPr>
          <w:t>https://portal.apvma.gov.au/pubcris</w:t>
        </w:r>
      </w:hyperlink>
      <w:r w:rsidRPr="00465A62">
        <w:rPr>
          <w:sz w:val="16"/>
        </w:rPr>
        <w:t xml:space="preserve"> </w:t>
      </w:r>
    </w:p>
  </w:footnote>
  <w:footnote w:id="68">
    <w:p w14:paraId="287EAD81" w14:textId="77777777" w:rsidR="00F06382" w:rsidRPr="00465A62" w:rsidRDefault="00F06382" w:rsidP="002323E8">
      <w:pPr>
        <w:pStyle w:val="FootnoteText"/>
        <w:rPr>
          <w:sz w:val="16"/>
        </w:rPr>
      </w:pPr>
      <w:r w:rsidRPr="00465A62">
        <w:rPr>
          <w:rStyle w:val="FootnoteReference"/>
          <w:sz w:val="16"/>
        </w:rPr>
        <w:footnoteRef/>
      </w:r>
      <w:r w:rsidRPr="00465A62">
        <w:rPr>
          <w:sz w:val="16"/>
        </w:rPr>
        <w:t xml:space="preserve"> FDA Approved Drug Products Database </w:t>
      </w:r>
      <w:hyperlink r:id="rId66" w:history="1">
        <w:r w:rsidRPr="00465A62">
          <w:rPr>
            <w:rStyle w:val="Hyperlink"/>
            <w:sz w:val="16"/>
          </w:rPr>
          <w:t>https://www.accessdata.fda.gov/scripts/cder/daf/</w:t>
        </w:r>
      </w:hyperlink>
      <w:r w:rsidRPr="00465A62">
        <w:rPr>
          <w:sz w:val="16"/>
        </w:rPr>
        <w:t xml:space="preserve">  </w:t>
      </w:r>
    </w:p>
  </w:footnote>
  <w:footnote w:id="69">
    <w:p w14:paraId="3DF54F48" w14:textId="77777777" w:rsidR="00F06382" w:rsidRPr="00C54049" w:rsidRDefault="00F06382" w:rsidP="002323E8">
      <w:pPr>
        <w:pStyle w:val="FootnoteText"/>
        <w:rPr>
          <w:sz w:val="16"/>
          <w:szCs w:val="16"/>
        </w:rPr>
      </w:pPr>
      <w:r w:rsidRPr="00C54049">
        <w:rPr>
          <w:rStyle w:val="FootnoteReference"/>
          <w:sz w:val="16"/>
          <w:szCs w:val="16"/>
        </w:rPr>
        <w:footnoteRef/>
      </w:r>
      <w:r w:rsidRPr="00C54049">
        <w:rPr>
          <w:sz w:val="16"/>
          <w:szCs w:val="16"/>
        </w:rPr>
        <w:t xml:space="preserve"> WHO Model List of Essential Medicines 2019: </w:t>
      </w:r>
      <w:hyperlink r:id="rId67" w:history="1">
        <w:r w:rsidRPr="00C54049">
          <w:rPr>
            <w:rStyle w:val="Hyperlink"/>
            <w:sz w:val="16"/>
            <w:szCs w:val="16"/>
          </w:rPr>
          <w:t>https://www.who.int/publications/i/item/WHOMVPEMPIAU2019.06</w:t>
        </w:r>
      </w:hyperlink>
      <w:r w:rsidRPr="00C54049">
        <w:rPr>
          <w:sz w:val="16"/>
          <w:szCs w:val="16"/>
        </w:rPr>
        <w:t xml:space="preserve"> </w:t>
      </w:r>
    </w:p>
  </w:footnote>
  <w:footnote w:id="70">
    <w:p w14:paraId="61620D14" w14:textId="77777777" w:rsidR="00F06382" w:rsidRPr="00C54049" w:rsidRDefault="00F06382" w:rsidP="00FC782D">
      <w:pPr>
        <w:pStyle w:val="FootnoteText"/>
        <w:rPr>
          <w:sz w:val="16"/>
          <w:szCs w:val="16"/>
        </w:rPr>
      </w:pPr>
      <w:r w:rsidRPr="00C54049">
        <w:rPr>
          <w:rStyle w:val="FootnoteReference"/>
          <w:sz w:val="16"/>
          <w:szCs w:val="16"/>
        </w:rPr>
        <w:footnoteRef/>
      </w:r>
      <w:r w:rsidRPr="00C54049">
        <w:rPr>
          <w:sz w:val="16"/>
          <w:szCs w:val="16"/>
        </w:rPr>
        <w:t xml:space="preserve"> Health Products Regulatory Authority of Ireland: </w:t>
      </w:r>
      <w:hyperlink r:id="rId68" w:history="1">
        <w:r w:rsidRPr="00C54049">
          <w:rPr>
            <w:rStyle w:val="Hyperlink"/>
            <w:sz w:val="16"/>
            <w:szCs w:val="16"/>
          </w:rPr>
          <w:t>https://www.hpra.ie/homepage/medicines/medicines-information/find-a-medicine/</w:t>
        </w:r>
      </w:hyperlink>
      <w:r w:rsidRPr="00C54049">
        <w:rPr>
          <w:sz w:val="16"/>
          <w:szCs w:val="16"/>
        </w:rPr>
        <w:t xml:space="preserve"> </w:t>
      </w:r>
    </w:p>
  </w:footnote>
  <w:footnote w:id="71">
    <w:p w14:paraId="7383B33F" w14:textId="77777777" w:rsidR="00F06382" w:rsidRPr="00C54049" w:rsidRDefault="00F06382" w:rsidP="00892A9C">
      <w:pPr>
        <w:pStyle w:val="FootnoteText"/>
        <w:rPr>
          <w:sz w:val="16"/>
          <w:szCs w:val="16"/>
        </w:rPr>
      </w:pPr>
      <w:r w:rsidRPr="00C54049">
        <w:rPr>
          <w:rStyle w:val="FootnoteReference"/>
          <w:sz w:val="16"/>
          <w:szCs w:val="16"/>
        </w:rPr>
        <w:footnoteRef/>
      </w:r>
      <w:r w:rsidRPr="00C54049">
        <w:rPr>
          <w:sz w:val="16"/>
          <w:szCs w:val="16"/>
        </w:rPr>
        <w:t xml:space="preserve"> Canadian (Health Canada) Drug Product Database: </w:t>
      </w:r>
      <w:hyperlink r:id="rId69" w:history="1">
        <w:r w:rsidRPr="00C54049">
          <w:rPr>
            <w:rStyle w:val="Hyperlink"/>
            <w:sz w:val="16"/>
            <w:szCs w:val="16"/>
          </w:rPr>
          <w:t>https://health-products.canada.ca/dpd-bdpp/index-eng.jsp</w:t>
        </w:r>
      </w:hyperlink>
      <w:r w:rsidRPr="00C54049">
        <w:rPr>
          <w:sz w:val="16"/>
          <w:szCs w:val="16"/>
        </w:rPr>
        <w:t xml:space="preserve"> </w:t>
      </w:r>
    </w:p>
  </w:footnote>
  <w:footnote w:id="72">
    <w:p w14:paraId="37708A46" w14:textId="77777777" w:rsidR="00F06382" w:rsidRDefault="00F06382" w:rsidP="00892A9C">
      <w:pPr>
        <w:pStyle w:val="FootnoteText"/>
      </w:pPr>
      <w:r w:rsidRPr="00C54049">
        <w:rPr>
          <w:rStyle w:val="FootnoteReference"/>
          <w:sz w:val="16"/>
          <w:szCs w:val="16"/>
        </w:rPr>
        <w:footnoteRef/>
      </w:r>
      <w:r w:rsidRPr="00C54049">
        <w:rPr>
          <w:sz w:val="16"/>
          <w:szCs w:val="16"/>
        </w:rPr>
        <w:t xml:space="preserve"> New Zealand Medicines and Medical Devices Safety Authority (Medsafe): </w:t>
      </w:r>
      <w:hyperlink r:id="rId70" w:history="1">
        <w:r w:rsidRPr="00C54049">
          <w:rPr>
            <w:rStyle w:val="Hyperlink"/>
            <w:sz w:val="16"/>
            <w:szCs w:val="16"/>
          </w:rPr>
          <w:t>https://www.medsafe.govt.nz/profs/class/classintro.asp</w:t>
        </w:r>
      </w:hyperlink>
      <w:r>
        <w:t xml:space="preserve"> </w:t>
      </w:r>
    </w:p>
  </w:footnote>
  <w:footnote w:id="73">
    <w:p w14:paraId="241AC90F" w14:textId="77777777" w:rsidR="00F06382" w:rsidRPr="00465A62" w:rsidRDefault="00F06382" w:rsidP="00B34A4B">
      <w:pPr>
        <w:pStyle w:val="FootnoteText"/>
        <w:rPr>
          <w:sz w:val="16"/>
        </w:rPr>
      </w:pPr>
      <w:r w:rsidRPr="00465A62">
        <w:rPr>
          <w:rStyle w:val="FootnoteReference"/>
          <w:sz w:val="16"/>
        </w:rPr>
        <w:footnoteRef/>
      </w:r>
      <w:r w:rsidRPr="00465A62">
        <w:rPr>
          <w:sz w:val="16"/>
        </w:rPr>
        <w:t xml:space="preserve"> TGA Ingredient Database </w:t>
      </w:r>
      <w:hyperlink r:id="rId71" w:history="1">
        <w:r w:rsidRPr="00465A62">
          <w:rPr>
            <w:rStyle w:val="Hyperlink"/>
            <w:color w:val="002C47" w:themeColor="text2"/>
            <w:sz w:val="16"/>
          </w:rPr>
          <w:t>https://www.ebs.tga.gov.au/</w:t>
        </w:r>
      </w:hyperlink>
    </w:p>
  </w:footnote>
  <w:footnote w:id="74">
    <w:p w14:paraId="32A01034" w14:textId="77777777" w:rsidR="00F06382" w:rsidRPr="00465A62" w:rsidRDefault="00F06382" w:rsidP="00B34A4B">
      <w:pPr>
        <w:pStyle w:val="FootnoteText"/>
        <w:rPr>
          <w:sz w:val="16"/>
        </w:rPr>
      </w:pPr>
      <w:r w:rsidRPr="00465A62">
        <w:rPr>
          <w:rStyle w:val="FootnoteReference"/>
          <w:sz w:val="16"/>
        </w:rPr>
        <w:footnoteRef/>
      </w:r>
      <w:r w:rsidRPr="00465A62">
        <w:rPr>
          <w:sz w:val="16"/>
        </w:rPr>
        <w:t xml:space="preserve"> ARTG database </w:t>
      </w:r>
      <w:hyperlink r:id="rId72" w:history="1">
        <w:r w:rsidRPr="00465A62">
          <w:rPr>
            <w:rStyle w:val="Hyperlink"/>
            <w:sz w:val="16"/>
          </w:rPr>
          <w:t>https://www.tga.gov.au/artg</w:t>
        </w:r>
      </w:hyperlink>
      <w:r w:rsidRPr="00465A62">
        <w:rPr>
          <w:sz w:val="16"/>
        </w:rPr>
        <w:t xml:space="preserve"> </w:t>
      </w:r>
    </w:p>
  </w:footnote>
  <w:footnote w:id="75">
    <w:p w14:paraId="419A66DE" w14:textId="7A6DC533" w:rsidR="00F06382" w:rsidRPr="00465A62" w:rsidRDefault="00F06382" w:rsidP="00B34A4B">
      <w:pPr>
        <w:pStyle w:val="FootnoteText"/>
        <w:rPr>
          <w:sz w:val="16"/>
        </w:rPr>
      </w:pPr>
      <w:r w:rsidRPr="00465A62">
        <w:rPr>
          <w:rStyle w:val="FootnoteReference"/>
          <w:sz w:val="16"/>
        </w:rPr>
        <w:footnoteRef/>
      </w:r>
      <w:r w:rsidRPr="00465A62">
        <w:rPr>
          <w:sz w:val="16"/>
        </w:rPr>
        <w:t xml:space="preserve"> Therapeutic Goods (Permissible Ingredients) Determination</w:t>
      </w:r>
      <w:r>
        <w:rPr>
          <w:sz w:val="16"/>
        </w:rPr>
        <w:t xml:space="preserve">: </w:t>
      </w:r>
      <w:hyperlink r:id="rId73" w:history="1">
        <w:r w:rsidRPr="008C33E3">
          <w:rPr>
            <w:rStyle w:val="Hyperlink"/>
            <w:sz w:val="16"/>
          </w:rPr>
          <w:t>https://www.legislation.gov.au/Search/Therapeutic%20Goods%20$LB$Permissible%20Ingredients$RB$%20Determination</w:t>
        </w:r>
      </w:hyperlink>
      <w:r w:rsidRPr="00465A62">
        <w:rPr>
          <w:sz w:val="16"/>
        </w:rPr>
        <w:t xml:space="preserve"> </w:t>
      </w:r>
    </w:p>
  </w:footnote>
  <w:footnote w:id="76">
    <w:p w14:paraId="5B693388" w14:textId="23B0B700" w:rsidR="00F06382" w:rsidRPr="00465A62" w:rsidRDefault="00F06382" w:rsidP="00B34A4B">
      <w:pPr>
        <w:pStyle w:val="FootnoteText"/>
        <w:rPr>
          <w:sz w:val="16"/>
          <w:szCs w:val="16"/>
        </w:rPr>
      </w:pPr>
      <w:r w:rsidRPr="00465A62">
        <w:rPr>
          <w:rStyle w:val="FootnoteReference"/>
          <w:sz w:val="16"/>
          <w:szCs w:val="16"/>
        </w:rPr>
        <w:footnoteRef/>
      </w:r>
      <w:r w:rsidRPr="00465A62">
        <w:rPr>
          <w:sz w:val="16"/>
          <w:szCs w:val="16"/>
        </w:rPr>
        <w:t xml:space="preserve"> </w:t>
      </w:r>
      <w:r w:rsidRPr="00465A62">
        <w:rPr>
          <w:sz w:val="16"/>
        </w:rPr>
        <w:t>TGA prescribing medicines in pregnancy database</w:t>
      </w:r>
      <w:r>
        <w:rPr>
          <w:sz w:val="16"/>
        </w:rPr>
        <w:t>:</w:t>
      </w:r>
      <w:r w:rsidRPr="00465A62">
        <w:rPr>
          <w:sz w:val="16"/>
        </w:rPr>
        <w:t xml:space="preserve"> </w:t>
      </w:r>
      <w:hyperlink r:id="rId74" w:history="1">
        <w:r w:rsidRPr="00465A62">
          <w:rPr>
            <w:rStyle w:val="Hyperlink"/>
            <w:sz w:val="16"/>
            <w:szCs w:val="16"/>
          </w:rPr>
          <w:t>https://www.tga.gov.au/prescribing-medicines-pregnancy-database</w:t>
        </w:r>
      </w:hyperlink>
      <w:r w:rsidRPr="00465A62">
        <w:rPr>
          <w:sz w:val="16"/>
          <w:szCs w:val="16"/>
        </w:rPr>
        <w:t xml:space="preserve"> </w:t>
      </w:r>
    </w:p>
  </w:footnote>
  <w:footnote w:id="77">
    <w:p w14:paraId="6DEABCEC" w14:textId="23F2D382" w:rsidR="00F06382" w:rsidRPr="00465A62" w:rsidRDefault="00F06382" w:rsidP="00B34A4B">
      <w:pPr>
        <w:pStyle w:val="FootnoteText"/>
        <w:rPr>
          <w:sz w:val="16"/>
        </w:rPr>
      </w:pPr>
      <w:r w:rsidRPr="00465A62">
        <w:rPr>
          <w:rStyle w:val="FootnoteReference"/>
          <w:sz w:val="16"/>
        </w:rPr>
        <w:footnoteRef/>
      </w:r>
      <w:r w:rsidRPr="00465A62">
        <w:rPr>
          <w:sz w:val="16"/>
        </w:rPr>
        <w:t xml:space="preserve"> Therapeutic Goods (Medicines Advisory Statements) Specification 2019</w:t>
      </w:r>
      <w:r>
        <w:rPr>
          <w:sz w:val="16"/>
        </w:rPr>
        <w:t>:</w:t>
      </w:r>
      <w:r w:rsidRPr="00465A62">
        <w:rPr>
          <w:sz w:val="16"/>
        </w:rPr>
        <w:t xml:space="preserve"> </w:t>
      </w:r>
      <w:r w:rsidRPr="00465A62">
        <w:rPr>
          <w:rStyle w:val="Hyperlink"/>
          <w:sz w:val="16"/>
        </w:rPr>
        <w:t xml:space="preserve"> </w:t>
      </w:r>
      <w:hyperlink r:id="rId75" w:history="1">
        <w:r w:rsidRPr="00465A62">
          <w:rPr>
            <w:rStyle w:val="Hyperlink"/>
            <w:sz w:val="16"/>
          </w:rPr>
          <w:t>https://www.legislation.gov.au/Details/F2019L00213</w:t>
        </w:r>
      </w:hyperlink>
      <w:r w:rsidRPr="00465A62">
        <w:rPr>
          <w:sz w:val="16"/>
        </w:rPr>
        <w:t xml:space="preserve"> </w:t>
      </w:r>
    </w:p>
  </w:footnote>
  <w:footnote w:id="78">
    <w:p w14:paraId="615EA5BD" w14:textId="54565F00" w:rsidR="00F06382" w:rsidRPr="00465A62" w:rsidRDefault="00F06382" w:rsidP="00B34A4B">
      <w:pPr>
        <w:pStyle w:val="FootnoteText"/>
        <w:rPr>
          <w:sz w:val="16"/>
        </w:rPr>
      </w:pPr>
      <w:r w:rsidRPr="00465A62">
        <w:rPr>
          <w:rStyle w:val="FootnoteReference"/>
          <w:sz w:val="16"/>
        </w:rPr>
        <w:footnoteRef/>
      </w:r>
      <w:r w:rsidRPr="00465A62">
        <w:rPr>
          <w:sz w:val="16"/>
        </w:rPr>
        <w:t xml:space="preserve"> Database of Adverse Event Notifications (DAEN)</w:t>
      </w:r>
      <w:r>
        <w:rPr>
          <w:sz w:val="16"/>
        </w:rPr>
        <w:t>:</w:t>
      </w:r>
      <w:r w:rsidRPr="00465A62">
        <w:rPr>
          <w:sz w:val="16"/>
        </w:rPr>
        <w:t xml:space="preserve">  </w:t>
      </w:r>
      <w:hyperlink r:id="rId76" w:history="1">
        <w:r w:rsidRPr="00465A62">
          <w:rPr>
            <w:rStyle w:val="Hyperlink"/>
            <w:sz w:val="16"/>
          </w:rPr>
          <w:t>https://apps.tga.gov.au/Prod/daen/daen-entry.aspx</w:t>
        </w:r>
      </w:hyperlink>
      <w:r w:rsidRPr="00465A62">
        <w:rPr>
          <w:sz w:val="16"/>
        </w:rPr>
        <w:t xml:space="preserve"> </w:t>
      </w:r>
    </w:p>
  </w:footnote>
  <w:footnote w:id="79">
    <w:p w14:paraId="0709352E" w14:textId="6E15D936" w:rsidR="00F06382" w:rsidRPr="00C54049" w:rsidRDefault="00F06382" w:rsidP="00B34A4B">
      <w:pPr>
        <w:pStyle w:val="FootnoteText"/>
        <w:rPr>
          <w:sz w:val="16"/>
          <w:szCs w:val="16"/>
        </w:rPr>
      </w:pPr>
      <w:r w:rsidRPr="00465A62">
        <w:rPr>
          <w:rStyle w:val="FootnoteReference"/>
          <w:sz w:val="16"/>
        </w:rPr>
        <w:footnoteRef/>
      </w:r>
      <w:r w:rsidRPr="00465A62">
        <w:rPr>
          <w:sz w:val="16"/>
        </w:rPr>
        <w:t xml:space="preserve"> Public Chemical </w:t>
      </w:r>
      <w:r w:rsidRPr="00C54049">
        <w:rPr>
          <w:sz w:val="16"/>
          <w:szCs w:val="16"/>
        </w:rPr>
        <w:t>Registration Information System Search (PubCRIS)</w:t>
      </w:r>
      <w:r>
        <w:rPr>
          <w:sz w:val="16"/>
          <w:szCs w:val="16"/>
        </w:rPr>
        <w:t>:</w:t>
      </w:r>
      <w:r w:rsidRPr="00C54049">
        <w:rPr>
          <w:sz w:val="16"/>
          <w:szCs w:val="16"/>
        </w:rPr>
        <w:t xml:space="preserve"> </w:t>
      </w:r>
      <w:hyperlink r:id="rId77" w:history="1">
        <w:r w:rsidRPr="00C54049">
          <w:rPr>
            <w:rStyle w:val="Hyperlink"/>
            <w:sz w:val="16"/>
            <w:szCs w:val="16"/>
          </w:rPr>
          <w:t>https://portal.apvma.gov.au/pubcris</w:t>
        </w:r>
      </w:hyperlink>
      <w:r w:rsidRPr="00C54049">
        <w:rPr>
          <w:sz w:val="16"/>
          <w:szCs w:val="16"/>
        </w:rPr>
        <w:t xml:space="preserve"> </w:t>
      </w:r>
    </w:p>
  </w:footnote>
  <w:footnote w:id="80">
    <w:p w14:paraId="0749E04F" w14:textId="6A52E125" w:rsidR="00F06382" w:rsidRPr="00C54049" w:rsidRDefault="00F06382" w:rsidP="00B34A4B">
      <w:pPr>
        <w:pStyle w:val="FootnoteText"/>
        <w:rPr>
          <w:sz w:val="16"/>
          <w:szCs w:val="16"/>
        </w:rPr>
      </w:pPr>
      <w:r w:rsidRPr="00C54049">
        <w:rPr>
          <w:rStyle w:val="FootnoteReference"/>
          <w:sz w:val="16"/>
          <w:szCs w:val="16"/>
        </w:rPr>
        <w:footnoteRef/>
      </w:r>
      <w:r w:rsidRPr="00C54049">
        <w:rPr>
          <w:sz w:val="16"/>
          <w:szCs w:val="16"/>
        </w:rPr>
        <w:t xml:space="preserve"> APVMA Adverse Experience Reporting Program</w:t>
      </w:r>
      <w:r>
        <w:rPr>
          <w:sz w:val="16"/>
          <w:szCs w:val="16"/>
        </w:rPr>
        <w:t>:</w:t>
      </w:r>
      <w:r w:rsidRPr="00C54049">
        <w:rPr>
          <w:rStyle w:val="Hyperlink"/>
          <w:sz w:val="16"/>
          <w:szCs w:val="16"/>
        </w:rPr>
        <w:t xml:space="preserve"> database (AERP)</w:t>
      </w:r>
      <w:r w:rsidRPr="00C54049">
        <w:rPr>
          <w:sz w:val="16"/>
          <w:szCs w:val="16"/>
        </w:rPr>
        <w:t xml:space="preserve"> </w:t>
      </w:r>
      <w:hyperlink r:id="rId78" w:history="1">
        <w:r w:rsidRPr="00C54049">
          <w:rPr>
            <w:rStyle w:val="Hyperlink"/>
            <w:sz w:val="16"/>
            <w:szCs w:val="16"/>
          </w:rPr>
          <w:t>https://apvma.gov.au/node/10946</w:t>
        </w:r>
      </w:hyperlink>
      <w:r w:rsidRPr="00C54049">
        <w:rPr>
          <w:sz w:val="16"/>
          <w:szCs w:val="16"/>
        </w:rPr>
        <w:t xml:space="preserve"> </w:t>
      </w:r>
    </w:p>
  </w:footnote>
  <w:footnote w:id="81">
    <w:p w14:paraId="382EEBD3" w14:textId="77777777" w:rsidR="00F06382" w:rsidRPr="00C54049" w:rsidRDefault="00F06382" w:rsidP="00B34A4B">
      <w:pPr>
        <w:pStyle w:val="FootnoteText"/>
        <w:rPr>
          <w:sz w:val="16"/>
          <w:szCs w:val="16"/>
        </w:rPr>
      </w:pPr>
      <w:r w:rsidRPr="00C54049">
        <w:rPr>
          <w:rStyle w:val="FootnoteReference"/>
          <w:sz w:val="16"/>
          <w:szCs w:val="16"/>
        </w:rPr>
        <w:footnoteRef/>
      </w:r>
      <w:r w:rsidRPr="00C54049">
        <w:rPr>
          <w:sz w:val="16"/>
          <w:szCs w:val="16"/>
        </w:rPr>
        <w:t xml:space="preserve"> WHO Model List of Essential Medicines 2019: </w:t>
      </w:r>
      <w:hyperlink r:id="rId79" w:history="1">
        <w:r w:rsidRPr="00C54049">
          <w:rPr>
            <w:rStyle w:val="Hyperlink"/>
            <w:sz w:val="16"/>
            <w:szCs w:val="16"/>
          </w:rPr>
          <w:t>https://www.who.int/publications/i/item/WHOMVPEMPIAU2019.06</w:t>
        </w:r>
      </w:hyperlink>
      <w:r w:rsidRPr="00C54049">
        <w:rPr>
          <w:sz w:val="16"/>
          <w:szCs w:val="16"/>
        </w:rPr>
        <w:t xml:space="preserve"> </w:t>
      </w:r>
    </w:p>
  </w:footnote>
  <w:footnote w:id="82">
    <w:p w14:paraId="7B19CF2C" w14:textId="77777777" w:rsidR="00F06382" w:rsidRPr="00C54049" w:rsidRDefault="00F06382" w:rsidP="00B34A4B">
      <w:pPr>
        <w:pStyle w:val="FootnoteText"/>
        <w:rPr>
          <w:sz w:val="16"/>
          <w:szCs w:val="16"/>
        </w:rPr>
      </w:pPr>
      <w:r w:rsidRPr="00C54049">
        <w:rPr>
          <w:rStyle w:val="FootnoteReference"/>
          <w:sz w:val="16"/>
          <w:szCs w:val="16"/>
        </w:rPr>
        <w:footnoteRef/>
      </w:r>
      <w:r w:rsidRPr="00C54049">
        <w:rPr>
          <w:sz w:val="16"/>
          <w:szCs w:val="16"/>
        </w:rPr>
        <w:t xml:space="preserve"> Health Products Regulatory Authority of Ireland: </w:t>
      </w:r>
      <w:hyperlink r:id="rId80" w:history="1">
        <w:r w:rsidRPr="00C54049">
          <w:rPr>
            <w:rStyle w:val="Hyperlink"/>
            <w:sz w:val="16"/>
            <w:szCs w:val="16"/>
          </w:rPr>
          <w:t>https://www.hpra.ie/homepage/medicines/medicines-information/find-a-medicine/</w:t>
        </w:r>
      </w:hyperlink>
      <w:r w:rsidRPr="00C54049">
        <w:rPr>
          <w:sz w:val="16"/>
          <w:szCs w:val="16"/>
        </w:rPr>
        <w:t xml:space="preserve"> </w:t>
      </w:r>
    </w:p>
  </w:footnote>
  <w:footnote w:id="83">
    <w:p w14:paraId="282DBCCD" w14:textId="77777777" w:rsidR="00F06382" w:rsidRDefault="00F06382" w:rsidP="00B34A4B">
      <w:pPr>
        <w:pStyle w:val="FootnoteText"/>
      </w:pPr>
      <w:r w:rsidRPr="00C54049">
        <w:rPr>
          <w:rStyle w:val="FootnoteReference"/>
          <w:sz w:val="16"/>
          <w:szCs w:val="16"/>
        </w:rPr>
        <w:footnoteRef/>
      </w:r>
      <w:r w:rsidRPr="00C54049">
        <w:rPr>
          <w:sz w:val="16"/>
          <w:szCs w:val="16"/>
        </w:rPr>
        <w:t xml:space="preserve"> United States Food and Drug Administration: </w:t>
      </w:r>
      <w:hyperlink r:id="rId81" w:history="1">
        <w:r w:rsidRPr="00C54049">
          <w:rPr>
            <w:rStyle w:val="Hyperlink"/>
            <w:sz w:val="16"/>
            <w:szCs w:val="16"/>
          </w:rPr>
          <w:t>https://www.accessdata.fda.gov/scripts/cder/daf/</w:t>
        </w:r>
      </w:hyperlink>
      <w:r>
        <w:t xml:space="preserve"> </w:t>
      </w:r>
    </w:p>
  </w:footnote>
  <w:footnote w:id="84">
    <w:p w14:paraId="7DB0DB03" w14:textId="77777777" w:rsidR="00F06382" w:rsidRPr="00C54049" w:rsidRDefault="00F06382" w:rsidP="00B34A4B">
      <w:pPr>
        <w:pStyle w:val="FootnoteText"/>
        <w:rPr>
          <w:sz w:val="16"/>
          <w:szCs w:val="16"/>
        </w:rPr>
      </w:pPr>
      <w:r w:rsidRPr="00C54049">
        <w:rPr>
          <w:rStyle w:val="FootnoteReference"/>
          <w:sz w:val="16"/>
          <w:szCs w:val="16"/>
        </w:rPr>
        <w:footnoteRef/>
      </w:r>
      <w:r w:rsidRPr="00C54049">
        <w:rPr>
          <w:sz w:val="16"/>
          <w:szCs w:val="16"/>
        </w:rPr>
        <w:t xml:space="preserve"> Canadian (Health Canada) Drug Product Database: </w:t>
      </w:r>
      <w:hyperlink r:id="rId82" w:history="1">
        <w:r w:rsidRPr="00C54049">
          <w:rPr>
            <w:rStyle w:val="Hyperlink"/>
            <w:sz w:val="16"/>
            <w:szCs w:val="16"/>
          </w:rPr>
          <w:t>https://health-products.canada.ca/dpd-bdpp/index-eng.jsp</w:t>
        </w:r>
      </w:hyperlink>
      <w:r w:rsidRPr="00C54049">
        <w:rPr>
          <w:sz w:val="16"/>
          <w:szCs w:val="16"/>
        </w:rPr>
        <w:t xml:space="preserve"> </w:t>
      </w:r>
    </w:p>
  </w:footnote>
  <w:footnote w:id="85">
    <w:p w14:paraId="04CEFA6E" w14:textId="77777777" w:rsidR="00F06382" w:rsidRDefault="00F06382" w:rsidP="00B34A4B">
      <w:pPr>
        <w:pStyle w:val="FootnoteText"/>
      </w:pPr>
      <w:r w:rsidRPr="00C54049">
        <w:rPr>
          <w:rStyle w:val="FootnoteReference"/>
          <w:sz w:val="16"/>
          <w:szCs w:val="16"/>
        </w:rPr>
        <w:footnoteRef/>
      </w:r>
      <w:r w:rsidRPr="00C54049">
        <w:rPr>
          <w:sz w:val="16"/>
          <w:szCs w:val="16"/>
        </w:rPr>
        <w:t xml:space="preserve"> New Zealand Medicines and Medical Devices Safety Authority (Medsafe): </w:t>
      </w:r>
      <w:hyperlink r:id="rId83" w:history="1">
        <w:r w:rsidRPr="00C54049">
          <w:rPr>
            <w:rStyle w:val="Hyperlink"/>
            <w:sz w:val="16"/>
            <w:szCs w:val="16"/>
          </w:rPr>
          <w:t>https://www.medsafe.govt.nz/profs/class/classintro.asp</w:t>
        </w:r>
      </w:hyperlink>
      <w:r>
        <w:t xml:space="preserve"> </w:t>
      </w:r>
    </w:p>
  </w:footnote>
  <w:footnote w:id="86">
    <w:p w14:paraId="370776D7" w14:textId="4860E78C" w:rsidR="00F06382" w:rsidRPr="00394B64" w:rsidRDefault="00F06382">
      <w:pPr>
        <w:pStyle w:val="FootnoteText"/>
        <w:rPr>
          <w:sz w:val="16"/>
          <w:szCs w:val="14"/>
        </w:rPr>
      </w:pPr>
      <w:r w:rsidRPr="00394B64">
        <w:rPr>
          <w:rStyle w:val="FootnoteReference"/>
          <w:sz w:val="16"/>
          <w:szCs w:val="16"/>
        </w:rPr>
        <w:footnoteRef/>
      </w:r>
      <w:r w:rsidRPr="00394B64">
        <w:rPr>
          <w:sz w:val="16"/>
          <w:szCs w:val="16"/>
        </w:rPr>
        <w:t xml:space="preserve"> Therapeutic Guidelines (eTG Complete) </w:t>
      </w:r>
      <w:hyperlink r:id="rId84" w:anchor="toc_d1e682" w:history="1">
        <w:r w:rsidRPr="00666D9B">
          <w:rPr>
            <w:rStyle w:val="Hyperlink"/>
            <w:sz w:val="16"/>
            <w:szCs w:val="16"/>
          </w:rPr>
          <w:t>https://tgldcdp.tg.org.au/viewTopic?topicfile=management-of-dental-problems-for-</w:t>
        </w:r>
        <w:r w:rsidRPr="00666D9B">
          <w:rPr>
            <w:rStyle w:val="Hyperlink"/>
            <w:sz w:val="16"/>
            <w:szCs w:val="14"/>
          </w:rPr>
          <w:t>medical-practitioners&amp;guidelineName=Oral%20and%20Dental&amp;topicNavigation=navigateTopic#toc_d1e682</w:t>
        </w:r>
      </w:hyperlink>
    </w:p>
  </w:footnote>
  <w:footnote w:id="87">
    <w:p w14:paraId="6D1DCA9E" w14:textId="77777777" w:rsidR="00F06382" w:rsidRPr="00465A62" w:rsidRDefault="00F06382" w:rsidP="00A465DF">
      <w:pPr>
        <w:pStyle w:val="FootnoteText"/>
        <w:rPr>
          <w:sz w:val="16"/>
        </w:rPr>
      </w:pPr>
      <w:r w:rsidRPr="00465A62">
        <w:rPr>
          <w:rStyle w:val="FootnoteReference"/>
          <w:sz w:val="16"/>
        </w:rPr>
        <w:footnoteRef/>
      </w:r>
      <w:r w:rsidRPr="00465A62">
        <w:rPr>
          <w:sz w:val="16"/>
        </w:rPr>
        <w:t xml:space="preserve"> TGA Ingredient Database </w:t>
      </w:r>
      <w:hyperlink r:id="rId85" w:history="1">
        <w:r w:rsidRPr="00465A62">
          <w:rPr>
            <w:rStyle w:val="Hyperlink"/>
            <w:color w:val="002C47" w:themeColor="text2"/>
            <w:sz w:val="16"/>
          </w:rPr>
          <w:t>https://www.ebs.tga.gov.au/</w:t>
        </w:r>
      </w:hyperlink>
    </w:p>
  </w:footnote>
  <w:footnote w:id="88">
    <w:p w14:paraId="2AF30064" w14:textId="77777777" w:rsidR="00F06382" w:rsidRPr="00465A62" w:rsidRDefault="00F06382" w:rsidP="00A465DF">
      <w:pPr>
        <w:pStyle w:val="FootnoteText"/>
        <w:rPr>
          <w:sz w:val="16"/>
        </w:rPr>
      </w:pPr>
      <w:r w:rsidRPr="00465A62">
        <w:rPr>
          <w:rStyle w:val="FootnoteReference"/>
          <w:sz w:val="16"/>
        </w:rPr>
        <w:footnoteRef/>
      </w:r>
      <w:r w:rsidRPr="00465A62">
        <w:rPr>
          <w:sz w:val="16"/>
        </w:rPr>
        <w:t xml:space="preserve"> ARTG database </w:t>
      </w:r>
      <w:hyperlink r:id="rId86" w:history="1">
        <w:r w:rsidRPr="00465A62">
          <w:rPr>
            <w:rStyle w:val="Hyperlink"/>
            <w:sz w:val="16"/>
          </w:rPr>
          <w:t>https://www.tga.gov.au/artg</w:t>
        </w:r>
      </w:hyperlink>
      <w:r w:rsidRPr="00465A62">
        <w:rPr>
          <w:sz w:val="16"/>
        </w:rPr>
        <w:t xml:space="preserve"> </w:t>
      </w:r>
    </w:p>
  </w:footnote>
  <w:footnote w:id="89">
    <w:p w14:paraId="4762D2DF" w14:textId="77777777" w:rsidR="00F06382" w:rsidRPr="00465A62" w:rsidRDefault="00F06382" w:rsidP="00A465DF">
      <w:pPr>
        <w:pStyle w:val="FootnoteText"/>
        <w:rPr>
          <w:sz w:val="16"/>
        </w:rPr>
      </w:pPr>
      <w:r w:rsidRPr="00465A62">
        <w:rPr>
          <w:rStyle w:val="FootnoteReference"/>
          <w:sz w:val="16"/>
        </w:rPr>
        <w:footnoteRef/>
      </w:r>
      <w:r w:rsidRPr="00465A62">
        <w:rPr>
          <w:sz w:val="16"/>
        </w:rPr>
        <w:t xml:space="preserve"> Therapeutic Goods (Permissible Ingredients) Determination </w:t>
      </w:r>
      <w:hyperlink r:id="rId87" w:history="1">
        <w:r w:rsidRPr="00465A62">
          <w:rPr>
            <w:rStyle w:val="Hyperlink"/>
            <w:sz w:val="16"/>
          </w:rPr>
          <w:t>https://www.legislation.gov.au/Search/Therapeutic%20Goods%20$LB$Permissible%20Ingredients$RB$%20Determination</w:t>
        </w:r>
      </w:hyperlink>
      <w:r w:rsidRPr="00465A62">
        <w:rPr>
          <w:sz w:val="16"/>
        </w:rPr>
        <w:t xml:space="preserve"> </w:t>
      </w:r>
    </w:p>
  </w:footnote>
  <w:footnote w:id="90">
    <w:p w14:paraId="07874073" w14:textId="77777777" w:rsidR="00F06382" w:rsidRPr="00465A62" w:rsidRDefault="00F06382" w:rsidP="00A465DF">
      <w:pPr>
        <w:pStyle w:val="FootnoteText"/>
        <w:rPr>
          <w:sz w:val="16"/>
          <w:szCs w:val="16"/>
        </w:rPr>
      </w:pPr>
      <w:r w:rsidRPr="00465A62">
        <w:rPr>
          <w:rStyle w:val="FootnoteReference"/>
          <w:sz w:val="16"/>
          <w:szCs w:val="16"/>
        </w:rPr>
        <w:footnoteRef/>
      </w:r>
      <w:r w:rsidRPr="00465A62">
        <w:rPr>
          <w:sz w:val="16"/>
          <w:szCs w:val="16"/>
        </w:rPr>
        <w:t xml:space="preserve"> </w:t>
      </w:r>
      <w:r w:rsidRPr="00465A62">
        <w:rPr>
          <w:sz w:val="16"/>
        </w:rPr>
        <w:t xml:space="preserve">TGA prescribing medicines in pregnancy database </w:t>
      </w:r>
      <w:hyperlink r:id="rId88" w:history="1">
        <w:r w:rsidRPr="00465A62">
          <w:rPr>
            <w:rStyle w:val="Hyperlink"/>
            <w:sz w:val="16"/>
            <w:szCs w:val="16"/>
          </w:rPr>
          <w:t>https://www.tga.gov.au/prescribing-medicines-pregnancy-database</w:t>
        </w:r>
      </w:hyperlink>
      <w:r w:rsidRPr="00465A62">
        <w:rPr>
          <w:sz w:val="16"/>
          <w:szCs w:val="16"/>
        </w:rPr>
        <w:t xml:space="preserve"> </w:t>
      </w:r>
    </w:p>
  </w:footnote>
  <w:footnote w:id="91">
    <w:p w14:paraId="6AC03984" w14:textId="77777777" w:rsidR="00F06382" w:rsidRPr="00465A62" w:rsidRDefault="00F06382" w:rsidP="00A465DF">
      <w:pPr>
        <w:pStyle w:val="FootnoteText"/>
        <w:rPr>
          <w:sz w:val="16"/>
        </w:rPr>
      </w:pPr>
      <w:r w:rsidRPr="00465A62">
        <w:rPr>
          <w:rStyle w:val="FootnoteReference"/>
          <w:sz w:val="16"/>
        </w:rPr>
        <w:footnoteRef/>
      </w:r>
      <w:r w:rsidRPr="00465A62">
        <w:rPr>
          <w:sz w:val="16"/>
        </w:rPr>
        <w:t xml:space="preserve"> Therapeutic Goods (Medicines Advisory Statements) Specification 2019 </w:t>
      </w:r>
      <w:hyperlink r:id="rId89" w:history="1">
        <w:r w:rsidRPr="00465A62">
          <w:rPr>
            <w:rStyle w:val="Hyperlink"/>
            <w:sz w:val="16"/>
          </w:rPr>
          <w:t>https://www.legislation.gov.au/Details/F2019L00213</w:t>
        </w:r>
      </w:hyperlink>
      <w:r w:rsidRPr="00465A62">
        <w:rPr>
          <w:sz w:val="16"/>
        </w:rPr>
        <w:t xml:space="preserve"> </w:t>
      </w:r>
    </w:p>
  </w:footnote>
  <w:footnote w:id="92">
    <w:p w14:paraId="13CA4EEF" w14:textId="77777777" w:rsidR="00F06382" w:rsidRPr="00465A62" w:rsidRDefault="00F06382" w:rsidP="00A465DF">
      <w:pPr>
        <w:pStyle w:val="FootnoteText"/>
        <w:rPr>
          <w:sz w:val="16"/>
        </w:rPr>
      </w:pPr>
      <w:r w:rsidRPr="00465A62">
        <w:rPr>
          <w:rStyle w:val="FootnoteReference"/>
          <w:sz w:val="16"/>
        </w:rPr>
        <w:footnoteRef/>
      </w:r>
      <w:r w:rsidRPr="00465A62">
        <w:rPr>
          <w:sz w:val="16"/>
        </w:rPr>
        <w:t xml:space="preserve"> Database of Adverse Event Notifications (DAEN)  </w:t>
      </w:r>
      <w:hyperlink r:id="rId90" w:history="1">
        <w:r w:rsidRPr="00465A62">
          <w:rPr>
            <w:rStyle w:val="Hyperlink"/>
            <w:sz w:val="16"/>
          </w:rPr>
          <w:t>https://apps.tga.gov.au/Prod/daen/daen-entry.aspx</w:t>
        </w:r>
      </w:hyperlink>
      <w:r w:rsidRPr="00465A62">
        <w:rPr>
          <w:sz w:val="16"/>
        </w:rPr>
        <w:t xml:space="preserve"> </w:t>
      </w:r>
    </w:p>
  </w:footnote>
  <w:footnote w:id="93">
    <w:p w14:paraId="5342DBCC" w14:textId="77777777" w:rsidR="00F06382" w:rsidRPr="00465A62" w:rsidRDefault="00F06382" w:rsidP="00A465DF">
      <w:pPr>
        <w:pStyle w:val="FootnoteText"/>
        <w:rPr>
          <w:sz w:val="16"/>
        </w:rPr>
      </w:pPr>
      <w:r w:rsidRPr="00465A62">
        <w:rPr>
          <w:rStyle w:val="FootnoteReference"/>
          <w:sz w:val="16"/>
        </w:rPr>
        <w:footnoteRef/>
      </w:r>
      <w:r w:rsidRPr="00465A62">
        <w:rPr>
          <w:sz w:val="16"/>
        </w:rPr>
        <w:t xml:space="preserve"> Public Chemical Registration Information System Search (PubCRIS) </w:t>
      </w:r>
      <w:hyperlink r:id="rId91" w:history="1">
        <w:r w:rsidRPr="00465A62">
          <w:rPr>
            <w:rStyle w:val="Hyperlink"/>
            <w:sz w:val="16"/>
          </w:rPr>
          <w:t>https://portal.apvma.gov.au/pubcris</w:t>
        </w:r>
      </w:hyperlink>
      <w:r w:rsidRPr="00465A62">
        <w:rPr>
          <w:sz w:val="16"/>
        </w:rPr>
        <w:t xml:space="preserve"> </w:t>
      </w:r>
    </w:p>
  </w:footnote>
  <w:footnote w:id="94">
    <w:p w14:paraId="6A2CA32C" w14:textId="1E59CDC0" w:rsidR="00F06382" w:rsidRDefault="00F06382">
      <w:pPr>
        <w:pStyle w:val="FootnoteText"/>
      </w:pPr>
      <w:r w:rsidRPr="00A26C3E">
        <w:rPr>
          <w:rStyle w:val="FootnoteReference"/>
          <w:sz w:val="16"/>
          <w:szCs w:val="16"/>
        </w:rPr>
        <w:footnoteRef/>
      </w:r>
      <w:r w:rsidRPr="00A26C3E">
        <w:rPr>
          <w:sz w:val="16"/>
          <w:szCs w:val="16"/>
        </w:rPr>
        <w:t xml:space="preserve"> New Zealand Medicines and Medical Devices Safety Authority (MedSafe) </w:t>
      </w:r>
      <w:hyperlink r:id="rId92" w:history="1">
        <w:r w:rsidRPr="00A26C3E">
          <w:rPr>
            <w:rStyle w:val="Hyperlink"/>
            <w:sz w:val="16"/>
            <w:szCs w:val="16"/>
          </w:rPr>
          <w:t>https://www.medsafe.govt.nz/profs/class/classintro.asp</w:t>
        </w:r>
      </w:hyperlink>
      <w:r w:rsidRPr="00A26C3E">
        <w:rPr>
          <w:sz w:val="16"/>
          <w:szCs w:val="16"/>
        </w:rPr>
        <w:t xml:space="preserve">  </w:t>
      </w:r>
    </w:p>
  </w:footnote>
  <w:footnote w:id="95">
    <w:p w14:paraId="0B033B69" w14:textId="258AFBCA" w:rsidR="00F06382" w:rsidRPr="00A26C3E" w:rsidRDefault="00F06382">
      <w:pPr>
        <w:pStyle w:val="FootnoteText"/>
        <w:rPr>
          <w:sz w:val="16"/>
          <w:szCs w:val="16"/>
        </w:rPr>
      </w:pPr>
      <w:r w:rsidRPr="00A26C3E">
        <w:rPr>
          <w:rStyle w:val="FootnoteReference"/>
          <w:sz w:val="16"/>
          <w:szCs w:val="16"/>
        </w:rPr>
        <w:footnoteRef/>
      </w:r>
      <w:r w:rsidRPr="00A26C3E">
        <w:rPr>
          <w:sz w:val="16"/>
          <w:szCs w:val="16"/>
        </w:rPr>
        <w:t xml:space="preserve"> Canadian (Health Canada) Drug Product Database </w:t>
      </w:r>
      <w:hyperlink r:id="rId93" w:history="1">
        <w:r w:rsidRPr="00A26C3E">
          <w:rPr>
            <w:rStyle w:val="Hyperlink"/>
            <w:sz w:val="16"/>
            <w:szCs w:val="16"/>
          </w:rPr>
          <w:t>https://health-products.canada.ca/dpd-bdpp/index-eng.jsp</w:t>
        </w:r>
      </w:hyperlink>
    </w:p>
  </w:footnote>
  <w:footnote w:id="96">
    <w:p w14:paraId="079135F6" w14:textId="33B938D2" w:rsidR="00F06382" w:rsidRPr="00A26C3E" w:rsidRDefault="00F06382">
      <w:pPr>
        <w:pStyle w:val="FootnoteText"/>
        <w:rPr>
          <w:sz w:val="16"/>
          <w:szCs w:val="16"/>
        </w:rPr>
      </w:pPr>
      <w:r w:rsidRPr="00A26C3E">
        <w:rPr>
          <w:rStyle w:val="FootnoteReference"/>
          <w:sz w:val="16"/>
          <w:szCs w:val="16"/>
        </w:rPr>
        <w:footnoteRef/>
      </w:r>
      <w:r w:rsidRPr="00A26C3E">
        <w:rPr>
          <w:sz w:val="16"/>
          <w:szCs w:val="16"/>
        </w:rPr>
        <w:t xml:space="preserve"> FDA Approved Drug Products Database </w:t>
      </w:r>
      <w:hyperlink r:id="rId94" w:history="1">
        <w:r w:rsidRPr="00A26C3E">
          <w:rPr>
            <w:rStyle w:val="Hyperlink"/>
            <w:sz w:val="16"/>
            <w:szCs w:val="16"/>
          </w:rPr>
          <w:t>https://www.accessdata.fda.gov/scripts/cder/daf/</w:t>
        </w:r>
      </w:hyperlink>
      <w:r w:rsidRPr="00A26C3E">
        <w:rPr>
          <w:sz w:val="16"/>
          <w:szCs w:val="16"/>
        </w:rPr>
        <w:t xml:space="preserve">  </w:t>
      </w:r>
    </w:p>
  </w:footnote>
  <w:footnote w:id="97">
    <w:p w14:paraId="390E3A63" w14:textId="47942C45" w:rsidR="00F06382" w:rsidRDefault="00F06382">
      <w:pPr>
        <w:pStyle w:val="FootnoteText"/>
      </w:pPr>
      <w:r w:rsidRPr="00A26C3E">
        <w:rPr>
          <w:rStyle w:val="FootnoteReference"/>
          <w:sz w:val="16"/>
          <w:szCs w:val="16"/>
        </w:rPr>
        <w:footnoteRef/>
      </w:r>
      <w:r w:rsidRPr="00A26C3E">
        <w:rPr>
          <w:sz w:val="16"/>
          <w:szCs w:val="16"/>
        </w:rPr>
        <w:t xml:space="preserve"> New Zealand Inventory of Chemicals (NZIoC) </w:t>
      </w:r>
      <w:hyperlink r:id="rId95" w:history="1">
        <w:r w:rsidRPr="00A26C3E">
          <w:rPr>
            <w:rStyle w:val="Hyperlink"/>
            <w:sz w:val="16"/>
            <w:szCs w:val="16"/>
          </w:rPr>
          <w:t>https://www.epa.govt.nz/database-search/new-zealand-inventory-of-chemicals-nzioc/DatabaseSearchForm/?SiteDatabaseSearchFilters=36&amp;Keyword=acequinocyl&amp;DatabaseType=NZIOC</w:t>
        </w:r>
      </w:hyperlink>
    </w:p>
  </w:footnote>
  <w:footnote w:id="98">
    <w:p w14:paraId="6B93C7B6" w14:textId="064C3690" w:rsidR="00F06382" w:rsidRPr="00F17EC1" w:rsidRDefault="00F06382">
      <w:pPr>
        <w:pStyle w:val="FootnoteText"/>
        <w:rPr>
          <w:sz w:val="16"/>
          <w:szCs w:val="16"/>
        </w:rPr>
      </w:pPr>
      <w:r w:rsidRPr="00F17EC1">
        <w:rPr>
          <w:rStyle w:val="FootnoteReference"/>
          <w:sz w:val="16"/>
          <w:szCs w:val="16"/>
        </w:rPr>
        <w:footnoteRef/>
      </w:r>
      <w:r w:rsidRPr="00F17EC1">
        <w:rPr>
          <w:sz w:val="16"/>
          <w:szCs w:val="16"/>
        </w:rPr>
        <w:t xml:space="preserve"> </w:t>
      </w:r>
      <w:hyperlink r:id="rId96" w:history="1">
        <w:r w:rsidRPr="00F17EC1">
          <w:rPr>
            <w:rStyle w:val="Hyperlink"/>
            <w:sz w:val="16"/>
            <w:szCs w:val="16"/>
          </w:rPr>
          <w:t>European Commission database for information on cosmetic substances and ingredients database</w:t>
        </w:r>
      </w:hyperlink>
      <w:r w:rsidRPr="00F17EC1">
        <w:rPr>
          <w:rStyle w:val="Hyperlink"/>
          <w:sz w:val="16"/>
          <w:szCs w:val="16"/>
        </w:rPr>
        <w:t xml:space="preserve"> </w:t>
      </w:r>
      <w:hyperlink r:id="rId97" w:history="1">
        <w:r w:rsidRPr="00F17EC1">
          <w:rPr>
            <w:rStyle w:val="Hyperlink"/>
            <w:sz w:val="16"/>
            <w:szCs w:val="16"/>
          </w:rPr>
          <w:t>https://ec.europa.eu/growth/tools-databases/cosing/</w:t>
        </w:r>
      </w:hyperlink>
    </w:p>
  </w:footnote>
  <w:footnote w:id="99">
    <w:p w14:paraId="6CBA19F8" w14:textId="77777777" w:rsidR="00F06382" w:rsidRPr="00F17EC1" w:rsidRDefault="00F06382" w:rsidP="00F17EC1">
      <w:pPr>
        <w:pStyle w:val="FootnoteText"/>
        <w:rPr>
          <w:sz w:val="16"/>
          <w:szCs w:val="16"/>
        </w:rPr>
      </w:pPr>
      <w:r w:rsidRPr="00F17EC1">
        <w:rPr>
          <w:rStyle w:val="FootnoteReference"/>
          <w:sz w:val="16"/>
          <w:szCs w:val="16"/>
        </w:rPr>
        <w:footnoteRef/>
      </w:r>
      <w:r w:rsidRPr="00F17EC1">
        <w:rPr>
          <w:sz w:val="16"/>
          <w:szCs w:val="16"/>
        </w:rPr>
        <w:t xml:space="preserve"> Health Products Regulatory Authority (HPRA)</w:t>
      </w:r>
    </w:p>
    <w:p w14:paraId="02A41B24" w14:textId="3A833BA0" w:rsidR="00F06382" w:rsidRDefault="00672188" w:rsidP="00F17EC1">
      <w:pPr>
        <w:pStyle w:val="FootnoteText"/>
      </w:pPr>
      <w:hyperlink r:id="rId98" w:history="1">
        <w:r w:rsidR="00F06382" w:rsidRPr="00F17EC1">
          <w:rPr>
            <w:rStyle w:val="Hyperlink"/>
            <w:sz w:val="16"/>
            <w:szCs w:val="16"/>
          </w:rPr>
          <w:t>https://www.hpra.ie/homepage/medicines/medicines-information/find-a-medicine/results?query=&amp;field</w:t>
        </w:r>
      </w:hyperlink>
      <w:r w:rsidR="00F06382" w:rsidRPr="00F17EC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39259" w14:textId="77777777" w:rsidR="00F06382" w:rsidRPr="00920FF4" w:rsidRDefault="00F06382"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120D8" w14:textId="77777777" w:rsidR="00F06382" w:rsidRPr="00E32326" w:rsidRDefault="00F06382" w:rsidP="00F202AB">
    <w:r w:rsidRPr="00F3255D">
      <w:rPr>
        <w:noProof/>
        <w:lang w:eastAsia="en-AU"/>
      </w:rPr>
      <w:drawing>
        <wp:anchor distT="0" distB="0" distL="114300" distR="114300" simplePos="0" relativeHeight="251659264" behindDoc="0" locked="0" layoutInCell="1" allowOverlap="1" wp14:anchorId="2AC3292E" wp14:editId="1C0F87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6382" w:rsidRPr="00FF7B50" w14:paraId="68E41C3B" w14:textId="77777777" w:rsidTr="003C02CB">
      <w:trPr>
        <w:trHeight w:hRule="exact" w:val="8845"/>
      </w:trPr>
      <w:tc>
        <w:tcPr>
          <w:tcW w:w="11964" w:type="dxa"/>
        </w:tcPr>
        <w:p w14:paraId="4E45DAB4" w14:textId="77777777" w:rsidR="00F06382" w:rsidRPr="00FF7B50" w:rsidRDefault="00672188" w:rsidP="00AE0320">
          <w:pPr>
            <w:pStyle w:val="Header"/>
            <w:ind w:left="-57"/>
            <w:jc w:val="left"/>
            <w:rPr>
              <w:noProof/>
              <w:lang w:eastAsia="en-AU"/>
            </w:rPr>
          </w:pPr>
          <w:sdt>
            <w:sdtPr>
              <w:rPr>
                <w:noProof/>
                <w:lang w:eastAsia="en-AU"/>
              </w:rPr>
              <w:id w:val="3702145"/>
              <w:showingPlcHdr/>
              <w:picture/>
            </w:sdtPr>
            <w:sdtEndPr/>
            <w:sdtContent>
              <w:r w:rsidR="00F06382" w:rsidRPr="00FF7B50">
                <w:rPr>
                  <w:noProof/>
                  <w:lang w:eastAsia="en-AU"/>
                </w:rPr>
                <w:drawing>
                  <wp:inline distT="0" distB="0" distL="0" distR="0" wp14:anchorId="1AC39AC8" wp14:editId="5D15B4E9">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121BF268" w14:textId="77777777" w:rsidR="00F06382" w:rsidRPr="00E32326" w:rsidRDefault="00F06382" w:rsidP="00F202AB">
    <w:r>
      <w:rPr>
        <w:noProof/>
        <w:lang w:eastAsia="en-AU"/>
      </w:rPr>
      <w:drawing>
        <wp:anchor distT="0" distB="0" distL="114300" distR="114300" simplePos="0" relativeHeight="251657216" behindDoc="0" locked="0" layoutInCell="0" allowOverlap="1" wp14:anchorId="24CA28B6" wp14:editId="7A888E54">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85CE7" w14:textId="77777777" w:rsidR="00F06382" w:rsidRPr="00920FF4" w:rsidRDefault="00F06382"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E1DD3" w14:textId="77777777" w:rsidR="00F06382" w:rsidRPr="00920FF4" w:rsidRDefault="00F06382"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46CCF" w14:textId="77777777" w:rsidR="00F06382" w:rsidRPr="009401F6" w:rsidRDefault="00F06382" w:rsidP="0047772E"/>
  <w:p w14:paraId="26CF139F" w14:textId="77777777" w:rsidR="00F06382" w:rsidRPr="002B0C2E" w:rsidRDefault="00F06382"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1CCDF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2020E6"/>
    <w:multiLevelType w:val="hybridMultilevel"/>
    <w:tmpl w:val="8932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8F13E9"/>
    <w:multiLevelType w:val="multilevel"/>
    <w:tmpl w:val="B3984C92"/>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ABD74D0"/>
    <w:multiLevelType w:val="hybridMultilevel"/>
    <w:tmpl w:val="2D64CB26"/>
    <w:lvl w:ilvl="0" w:tplc="E5FA45C8">
      <w:start w:val="1"/>
      <w:numFmt w:val="lowerRoman"/>
      <w:pStyle w:val="ListBulleti"/>
      <w:lvlText w:val="%1)"/>
      <w:lvlJc w:val="left"/>
      <w:pPr>
        <w:ind w:left="1800" w:hanging="360"/>
      </w:pPr>
      <w:rPr>
        <w:rFonts w:hint="default"/>
        <w:color w:val="auto"/>
      </w:rPr>
    </w:lvl>
    <w:lvl w:ilvl="1" w:tplc="EBDE373E">
      <w:numFmt w:val="bullet"/>
      <w:lvlText w:val=""/>
      <w:lvlJc w:val="left"/>
      <w:pPr>
        <w:ind w:left="2520" w:hanging="360"/>
      </w:pPr>
      <w:rPr>
        <w:rFonts w:ascii="SymbolMT" w:eastAsia="SymbolMT" w:hAnsi="Cambria" w:cs="SymbolMT" w:hint="eastAsia"/>
        <w:color w:val="000000"/>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EB1BE1"/>
    <w:multiLevelType w:val="hybridMultilevel"/>
    <w:tmpl w:val="8DFA1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2F3432"/>
    <w:multiLevelType w:val="hybridMultilevel"/>
    <w:tmpl w:val="5890E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42CFD"/>
    <w:multiLevelType w:val="hybridMultilevel"/>
    <w:tmpl w:val="A3185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486946"/>
    <w:multiLevelType w:val="hybridMultilevel"/>
    <w:tmpl w:val="9AAAEAD0"/>
    <w:lvl w:ilvl="0" w:tplc="DE4EF6A8">
      <w:start w:val="1"/>
      <w:numFmt w:val="lowerLetter"/>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6A6EB0"/>
    <w:multiLevelType w:val="hybridMultilevel"/>
    <w:tmpl w:val="7DDA8B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44AE0ED5"/>
    <w:multiLevelType w:val="hybridMultilevel"/>
    <w:tmpl w:val="3E1892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32443C"/>
    <w:multiLevelType w:val="hybridMultilevel"/>
    <w:tmpl w:val="08FCF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6E6499"/>
    <w:multiLevelType w:val="hybridMultilevel"/>
    <w:tmpl w:val="87925C44"/>
    <w:lvl w:ilvl="0" w:tplc="21CE4624">
      <w:start w:val="1"/>
      <w:numFmt w:val="lowerLetter"/>
      <w:pStyle w:val="Numberbullet2a"/>
      <w:lvlText w:val="%1)"/>
      <w:lvlJc w:val="left"/>
      <w:pPr>
        <w:ind w:left="786" w:hanging="360"/>
      </w:pPr>
      <w:rPr>
        <w:rFonts w:hint="default"/>
        <w:color w:val="auto"/>
        <w:u w:color="FF0000"/>
      </w:rPr>
    </w:lvl>
    <w:lvl w:ilvl="1" w:tplc="0C090019">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5" w15:restartNumberingAfterBreak="0">
    <w:nsid w:val="4ECB1466"/>
    <w:multiLevelType w:val="hybridMultilevel"/>
    <w:tmpl w:val="FB4896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125856"/>
    <w:multiLevelType w:val="hybridMultilevel"/>
    <w:tmpl w:val="2566217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18749F2"/>
    <w:multiLevelType w:val="hybridMultilevel"/>
    <w:tmpl w:val="7DDA8B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652609"/>
    <w:multiLevelType w:val="hybridMultilevel"/>
    <w:tmpl w:val="9A1A7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5527DE"/>
    <w:multiLevelType w:val="hybridMultilevel"/>
    <w:tmpl w:val="5E9C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A5279F"/>
    <w:multiLevelType w:val="hybridMultilevel"/>
    <w:tmpl w:val="DD4E847A"/>
    <w:lvl w:ilvl="0" w:tplc="B89CD46E">
      <w:start w:val="1"/>
      <w:numFmt w:val="lowerRoman"/>
      <w:pStyle w:val="Numberbullet3i"/>
      <w:lvlText w:val="%1)"/>
      <w:lvlJc w:val="left"/>
      <w:pPr>
        <w:ind w:left="5301" w:hanging="360"/>
      </w:pPr>
      <w:rPr>
        <w:rFonts w:hint="default"/>
        <w:color w:val="auto"/>
      </w:rPr>
    </w:lvl>
    <w:lvl w:ilvl="1" w:tplc="0C090019" w:tentative="1">
      <w:start w:val="1"/>
      <w:numFmt w:val="lowerLetter"/>
      <w:lvlText w:val="%2."/>
      <w:lvlJc w:val="left"/>
      <w:pPr>
        <w:ind w:left="6021" w:hanging="360"/>
      </w:pPr>
    </w:lvl>
    <w:lvl w:ilvl="2" w:tplc="0C09001B" w:tentative="1">
      <w:start w:val="1"/>
      <w:numFmt w:val="lowerRoman"/>
      <w:lvlText w:val="%3."/>
      <w:lvlJc w:val="right"/>
      <w:pPr>
        <w:ind w:left="6741" w:hanging="180"/>
      </w:pPr>
    </w:lvl>
    <w:lvl w:ilvl="3" w:tplc="0C09000F" w:tentative="1">
      <w:start w:val="1"/>
      <w:numFmt w:val="decimal"/>
      <w:lvlText w:val="%4."/>
      <w:lvlJc w:val="left"/>
      <w:pPr>
        <w:ind w:left="7461" w:hanging="360"/>
      </w:pPr>
    </w:lvl>
    <w:lvl w:ilvl="4" w:tplc="0C090019" w:tentative="1">
      <w:start w:val="1"/>
      <w:numFmt w:val="lowerLetter"/>
      <w:lvlText w:val="%5."/>
      <w:lvlJc w:val="left"/>
      <w:pPr>
        <w:ind w:left="8181" w:hanging="360"/>
      </w:pPr>
    </w:lvl>
    <w:lvl w:ilvl="5" w:tplc="0C09001B" w:tentative="1">
      <w:start w:val="1"/>
      <w:numFmt w:val="lowerRoman"/>
      <w:lvlText w:val="%6."/>
      <w:lvlJc w:val="right"/>
      <w:pPr>
        <w:ind w:left="8901" w:hanging="180"/>
      </w:pPr>
    </w:lvl>
    <w:lvl w:ilvl="6" w:tplc="0C09000F" w:tentative="1">
      <w:start w:val="1"/>
      <w:numFmt w:val="decimal"/>
      <w:lvlText w:val="%7."/>
      <w:lvlJc w:val="left"/>
      <w:pPr>
        <w:ind w:left="9621" w:hanging="360"/>
      </w:pPr>
    </w:lvl>
    <w:lvl w:ilvl="7" w:tplc="0C090019" w:tentative="1">
      <w:start w:val="1"/>
      <w:numFmt w:val="lowerLetter"/>
      <w:lvlText w:val="%8."/>
      <w:lvlJc w:val="left"/>
      <w:pPr>
        <w:ind w:left="10341" w:hanging="360"/>
      </w:pPr>
    </w:lvl>
    <w:lvl w:ilvl="8" w:tplc="0C09001B" w:tentative="1">
      <w:start w:val="1"/>
      <w:numFmt w:val="lowerRoman"/>
      <w:lvlText w:val="%9."/>
      <w:lvlJc w:val="right"/>
      <w:pPr>
        <w:ind w:left="11061" w:hanging="180"/>
      </w:pPr>
    </w:lvl>
  </w:abstractNum>
  <w:num w:numId="1">
    <w:abstractNumId w:val="3"/>
    <w:lvlOverride w:ilvl="0">
      <w:lvl w:ilvl="0">
        <w:start w:val="4"/>
        <w:numFmt w:val="bullet"/>
        <w:pStyle w:val="ListBullet"/>
        <w:lvlText w:val="•"/>
        <w:lvlJc w:val="left"/>
        <w:pPr>
          <w:ind w:left="360" w:hanging="360"/>
        </w:pPr>
        <w:rPr>
          <w:rFonts w:ascii="Arial" w:eastAsia="Cambria" w:hAnsi="Arial" w:hint="default"/>
          <w:color w:val="auto"/>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
    <w:abstractNumId w:val="2"/>
  </w:num>
  <w:num w:numId="3">
    <w:abstractNumId w:val="3"/>
  </w:num>
  <w:num w:numId="4">
    <w:abstractNumId w:val="2"/>
  </w:num>
  <w:num w:numId="5">
    <w:abstractNumId w:val="11"/>
  </w:num>
  <w:num w:numId="6">
    <w:abstractNumId w:val="20"/>
  </w:num>
  <w:num w:numId="7">
    <w:abstractNumId w:val="18"/>
  </w:num>
  <w:num w:numId="8">
    <w:abstractNumId w:val="16"/>
  </w:num>
  <w:num w:numId="9">
    <w:abstractNumId w:val="6"/>
  </w:num>
  <w:num w:numId="10">
    <w:abstractNumId w:val="15"/>
  </w:num>
  <w:num w:numId="11">
    <w:abstractNumId w:val="19"/>
  </w:num>
  <w:num w:numId="12">
    <w:abstractNumId w:val="12"/>
  </w:num>
  <w:num w:numId="13">
    <w:abstractNumId w:val="5"/>
  </w:num>
  <w:num w:numId="14">
    <w:abstractNumId w:val="4"/>
    <w:lvlOverride w:ilvl="0">
      <w:startOverride w:val="1"/>
    </w:lvlOverride>
  </w:num>
  <w:num w:numId="15">
    <w:abstractNumId w:val="4"/>
    <w:lvlOverride w:ilvl="0">
      <w:startOverride w:val="1"/>
    </w:lvlOverride>
  </w:num>
  <w:num w:numId="16">
    <w:abstractNumId w:val="4"/>
  </w:num>
  <w:num w:numId="17">
    <w:abstractNumId w:val="14"/>
  </w:num>
  <w:num w:numId="18">
    <w:abstractNumId w:val="21"/>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1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14"/>
    <w:lvlOverride w:ilvl="0">
      <w:startOverride w:val="1"/>
    </w:lvlOverride>
  </w:num>
  <w:num w:numId="30">
    <w:abstractNumId w:val="4"/>
    <w:lvlOverride w:ilvl="0">
      <w:startOverride w:val="1"/>
    </w:lvlOverride>
  </w:num>
  <w:num w:numId="31">
    <w:abstractNumId w:val="9"/>
  </w:num>
  <w:num w:numId="32">
    <w:abstractNumId w:val="14"/>
    <w:lvlOverride w:ilvl="0">
      <w:startOverride w:val="1"/>
    </w:lvlOverride>
  </w:num>
  <w:num w:numId="33">
    <w:abstractNumId w:val="14"/>
    <w:lvlOverride w:ilvl="0">
      <w:startOverride w:val="1"/>
    </w:lvlOverride>
  </w:num>
  <w:num w:numId="34">
    <w:abstractNumId w:val="7"/>
  </w:num>
  <w:num w:numId="35">
    <w:abstractNumId w:val="8"/>
  </w:num>
  <w:num w:numId="36">
    <w:abstractNumId w:val="0"/>
  </w:num>
  <w:num w:numId="37">
    <w:abstractNumId w:val="1"/>
  </w:num>
  <w:num w:numId="38">
    <w:abstractNumId w:val="3"/>
  </w:num>
  <w:num w:numId="39">
    <w:abstractNumId w:val="3"/>
  </w:num>
  <w:num w:numId="40">
    <w:abstractNumId w:val="13"/>
  </w:num>
  <w:num w:numId="41">
    <w:abstractNumId w:val="3"/>
  </w:num>
  <w:num w:numId="42">
    <w:abstractNumId w:val="3"/>
  </w:num>
  <w:num w:numId="43">
    <w:abstractNumId w:val="3"/>
  </w:num>
  <w:num w:numId="44">
    <w:abstractNumId w:val="3"/>
  </w:num>
  <w:num w:numId="45">
    <w:abstractNumId w:val="10"/>
  </w:num>
  <w:num w:numId="4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35"/>
    <w:rsid w:val="00002031"/>
    <w:rsid w:val="00002F4A"/>
    <w:rsid w:val="00004734"/>
    <w:rsid w:val="00006B22"/>
    <w:rsid w:val="0001276A"/>
    <w:rsid w:val="000172B3"/>
    <w:rsid w:val="000218CF"/>
    <w:rsid w:val="00022BCD"/>
    <w:rsid w:val="000246AE"/>
    <w:rsid w:val="00025C67"/>
    <w:rsid w:val="0003306D"/>
    <w:rsid w:val="0003368C"/>
    <w:rsid w:val="000443FE"/>
    <w:rsid w:val="0004492A"/>
    <w:rsid w:val="00055129"/>
    <w:rsid w:val="000554B4"/>
    <w:rsid w:val="0005559E"/>
    <w:rsid w:val="00061E51"/>
    <w:rsid w:val="00063028"/>
    <w:rsid w:val="00077775"/>
    <w:rsid w:val="00085996"/>
    <w:rsid w:val="00086718"/>
    <w:rsid w:val="00090471"/>
    <w:rsid w:val="000958DF"/>
    <w:rsid w:val="000A0965"/>
    <w:rsid w:val="000A5D0D"/>
    <w:rsid w:val="000B0A5D"/>
    <w:rsid w:val="000B3532"/>
    <w:rsid w:val="000B3A75"/>
    <w:rsid w:val="000B489A"/>
    <w:rsid w:val="000B7084"/>
    <w:rsid w:val="000C1C08"/>
    <w:rsid w:val="000C1E78"/>
    <w:rsid w:val="000C43FC"/>
    <w:rsid w:val="000C5A31"/>
    <w:rsid w:val="000C5DCA"/>
    <w:rsid w:val="000D391B"/>
    <w:rsid w:val="000D3D6D"/>
    <w:rsid w:val="000D4FC7"/>
    <w:rsid w:val="000F4279"/>
    <w:rsid w:val="000F4869"/>
    <w:rsid w:val="000F5B42"/>
    <w:rsid w:val="000F6E6F"/>
    <w:rsid w:val="001003F2"/>
    <w:rsid w:val="00104A79"/>
    <w:rsid w:val="0010601F"/>
    <w:rsid w:val="00107378"/>
    <w:rsid w:val="00110EA5"/>
    <w:rsid w:val="001119DF"/>
    <w:rsid w:val="00115240"/>
    <w:rsid w:val="00117DC0"/>
    <w:rsid w:val="00121A58"/>
    <w:rsid w:val="00125091"/>
    <w:rsid w:val="00125318"/>
    <w:rsid w:val="001305A2"/>
    <w:rsid w:val="00132294"/>
    <w:rsid w:val="00133238"/>
    <w:rsid w:val="00140FE3"/>
    <w:rsid w:val="0014197B"/>
    <w:rsid w:val="00143203"/>
    <w:rsid w:val="001447CD"/>
    <w:rsid w:val="00145889"/>
    <w:rsid w:val="001516B1"/>
    <w:rsid w:val="001525B4"/>
    <w:rsid w:val="001545C2"/>
    <w:rsid w:val="00156316"/>
    <w:rsid w:val="00157BBA"/>
    <w:rsid w:val="00160006"/>
    <w:rsid w:val="00163F5B"/>
    <w:rsid w:val="00165389"/>
    <w:rsid w:val="00170CED"/>
    <w:rsid w:val="0017693F"/>
    <w:rsid w:val="0018110E"/>
    <w:rsid w:val="00181684"/>
    <w:rsid w:val="001820AA"/>
    <w:rsid w:val="001843C6"/>
    <w:rsid w:val="001850E0"/>
    <w:rsid w:val="0018693C"/>
    <w:rsid w:val="00191632"/>
    <w:rsid w:val="0019255A"/>
    <w:rsid w:val="00195D57"/>
    <w:rsid w:val="001A525F"/>
    <w:rsid w:val="001A69AB"/>
    <w:rsid w:val="001B09F9"/>
    <w:rsid w:val="001B6448"/>
    <w:rsid w:val="001D480A"/>
    <w:rsid w:val="001E07CF"/>
    <w:rsid w:val="001E186B"/>
    <w:rsid w:val="001E52B1"/>
    <w:rsid w:val="001E59F1"/>
    <w:rsid w:val="001E7226"/>
    <w:rsid w:val="001F49EB"/>
    <w:rsid w:val="001F6CBA"/>
    <w:rsid w:val="001F78B9"/>
    <w:rsid w:val="00201D4E"/>
    <w:rsid w:val="00204F19"/>
    <w:rsid w:val="00207515"/>
    <w:rsid w:val="00207FDD"/>
    <w:rsid w:val="00211C7B"/>
    <w:rsid w:val="0021622E"/>
    <w:rsid w:val="00220B8A"/>
    <w:rsid w:val="002232C2"/>
    <w:rsid w:val="002257F3"/>
    <w:rsid w:val="002302EC"/>
    <w:rsid w:val="002303B0"/>
    <w:rsid w:val="002314E8"/>
    <w:rsid w:val="002323E8"/>
    <w:rsid w:val="00233456"/>
    <w:rsid w:val="0023397F"/>
    <w:rsid w:val="002339A5"/>
    <w:rsid w:val="002357AB"/>
    <w:rsid w:val="002452E7"/>
    <w:rsid w:val="00245A96"/>
    <w:rsid w:val="00245F98"/>
    <w:rsid w:val="00246194"/>
    <w:rsid w:val="002536EB"/>
    <w:rsid w:val="002538AE"/>
    <w:rsid w:val="002541E7"/>
    <w:rsid w:val="00257138"/>
    <w:rsid w:val="00257848"/>
    <w:rsid w:val="0027084A"/>
    <w:rsid w:val="00271109"/>
    <w:rsid w:val="00277EF5"/>
    <w:rsid w:val="00286434"/>
    <w:rsid w:val="00286C59"/>
    <w:rsid w:val="00293956"/>
    <w:rsid w:val="002942D1"/>
    <w:rsid w:val="002950DF"/>
    <w:rsid w:val="002A0556"/>
    <w:rsid w:val="002A064B"/>
    <w:rsid w:val="002A2397"/>
    <w:rsid w:val="002B0C2E"/>
    <w:rsid w:val="002B1638"/>
    <w:rsid w:val="002B1D46"/>
    <w:rsid w:val="002B35EA"/>
    <w:rsid w:val="002B706C"/>
    <w:rsid w:val="002B779E"/>
    <w:rsid w:val="002C1070"/>
    <w:rsid w:val="002C1D7D"/>
    <w:rsid w:val="002C2511"/>
    <w:rsid w:val="002C3A50"/>
    <w:rsid w:val="002C5DAE"/>
    <w:rsid w:val="002D1EDF"/>
    <w:rsid w:val="002E2285"/>
    <w:rsid w:val="002E3A90"/>
    <w:rsid w:val="002E4C9A"/>
    <w:rsid w:val="002F1141"/>
    <w:rsid w:val="002F11F8"/>
    <w:rsid w:val="002F144E"/>
    <w:rsid w:val="002F3F56"/>
    <w:rsid w:val="002F44B5"/>
    <w:rsid w:val="0030282C"/>
    <w:rsid w:val="00310F6F"/>
    <w:rsid w:val="00311AC0"/>
    <w:rsid w:val="003204DD"/>
    <w:rsid w:val="0032321B"/>
    <w:rsid w:val="003235BA"/>
    <w:rsid w:val="00331DBB"/>
    <w:rsid w:val="003322E4"/>
    <w:rsid w:val="00332680"/>
    <w:rsid w:val="00334EFA"/>
    <w:rsid w:val="003521E8"/>
    <w:rsid w:val="00353D6D"/>
    <w:rsid w:val="00354911"/>
    <w:rsid w:val="00365DDD"/>
    <w:rsid w:val="003664BF"/>
    <w:rsid w:val="00370D3E"/>
    <w:rsid w:val="003728F3"/>
    <w:rsid w:val="00375A98"/>
    <w:rsid w:val="00383CE3"/>
    <w:rsid w:val="00385427"/>
    <w:rsid w:val="00390900"/>
    <w:rsid w:val="00394B64"/>
    <w:rsid w:val="003A13F0"/>
    <w:rsid w:val="003A1CC6"/>
    <w:rsid w:val="003A35BD"/>
    <w:rsid w:val="003B00C5"/>
    <w:rsid w:val="003B443E"/>
    <w:rsid w:val="003B7E39"/>
    <w:rsid w:val="003C02CB"/>
    <w:rsid w:val="003C30DC"/>
    <w:rsid w:val="003C58DC"/>
    <w:rsid w:val="003C7461"/>
    <w:rsid w:val="003D03AB"/>
    <w:rsid w:val="003D0CD9"/>
    <w:rsid w:val="003D1B44"/>
    <w:rsid w:val="003E1229"/>
    <w:rsid w:val="003E3208"/>
    <w:rsid w:val="003E3D34"/>
    <w:rsid w:val="003E3E29"/>
    <w:rsid w:val="003E7EAA"/>
    <w:rsid w:val="003F0B04"/>
    <w:rsid w:val="003F6F7D"/>
    <w:rsid w:val="0040134E"/>
    <w:rsid w:val="00410839"/>
    <w:rsid w:val="0041452B"/>
    <w:rsid w:val="004169A8"/>
    <w:rsid w:val="00427F50"/>
    <w:rsid w:val="004368D5"/>
    <w:rsid w:val="00440A2D"/>
    <w:rsid w:val="004414E4"/>
    <w:rsid w:val="00443C7D"/>
    <w:rsid w:val="00455A6F"/>
    <w:rsid w:val="004564A7"/>
    <w:rsid w:val="00456E7F"/>
    <w:rsid w:val="004617BF"/>
    <w:rsid w:val="004634F1"/>
    <w:rsid w:val="0046531F"/>
    <w:rsid w:val="00465A62"/>
    <w:rsid w:val="00465E90"/>
    <w:rsid w:val="00472D7B"/>
    <w:rsid w:val="0047772E"/>
    <w:rsid w:val="00477BB1"/>
    <w:rsid w:val="00490760"/>
    <w:rsid w:val="004923FF"/>
    <w:rsid w:val="00494E60"/>
    <w:rsid w:val="00496BAC"/>
    <w:rsid w:val="004A263C"/>
    <w:rsid w:val="004B4C57"/>
    <w:rsid w:val="004B4CB5"/>
    <w:rsid w:val="004B5A6B"/>
    <w:rsid w:val="004B6F35"/>
    <w:rsid w:val="004B7104"/>
    <w:rsid w:val="004B7B76"/>
    <w:rsid w:val="004C0070"/>
    <w:rsid w:val="004C2601"/>
    <w:rsid w:val="004C2E29"/>
    <w:rsid w:val="004C5E55"/>
    <w:rsid w:val="004D1459"/>
    <w:rsid w:val="004D3B35"/>
    <w:rsid w:val="004D51A6"/>
    <w:rsid w:val="004D5FB6"/>
    <w:rsid w:val="004E2359"/>
    <w:rsid w:val="004F0F38"/>
    <w:rsid w:val="004F1A46"/>
    <w:rsid w:val="004F4D12"/>
    <w:rsid w:val="00501921"/>
    <w:rsid w:val="005049CA"/>
    <w:rsid w:val="00510B15"/>
    <w:rsid w:val="00511904"/>
    <w:rsid w:val="00511B19"/>
    <w:rsid w:val="0051297D"/>
    <w:rsid w:val="005206F9"/>
    <w:rsid w:val="00522A0C"/>
    <w:rsid w:val="005234E9"/>
    <w:rsid w:val="0052709B"/>
    <w:rsid w:val="00530354"/>
    <w:rsid w:val="00531B11"/>
    <w:rsid w:val="0053217A"/>
    <w:rsid w:val="005333E6"/>
    <w:rsid w:val="00537BC0"/>
    <w:rsid w:val="005434C6"/>
    <w:rsid w:val="00543520"/>
    <w:rsid w:val="00543B39"/>
    <w:rsid w:val="0054583D"/>
    <w:rsid w:val="00545E2E"/>
    <w:rsid w:val="005477E7"/>
    <w:rsid w:val="00550096"/>
    <w:rsid w:val="0055532D"/>
    <w:rsid w:val="00557FF9"/>
    <w:rsid w:val="005649BA"/>
    <w:rsid w:val="0057307D"/>
    <w:rsid w:val="00574526"/>
    <w:rsid w:val="00576378"/>
    <w:rsid w:val="00577279"/>
    <w:rsid w:val="00577E38"/>
    <w:rsid w:val="00582C26"/>
    <w:rsid w:val="00585322"/>
    <w:rsid w:val="00586A73"/>
    <w:rsid w:val="00592F49"/>
    <w:rsid w:val="00593AD1"/>
    <w:rsid w:val="00594D03"/>
    <w:rsid w:val="00597832"/>
    <w:rsid w:val="00597877"/>
    <w:rsid w:val="005A1131"/>
    <w:rsid w:val="005A61CE"/>
    <w:rsid w:val="005B47DB"/>
    <w:rsid w:val="005B78C0"/>
    <w:rsid w:val="005C15B9"/>
    <w:rsid w:val="005C5570"/>
    <w:rsid w:val="005C79A4"/>
    <w:rsid w:val="005D23DB"/>
    <w:rsid w:val="005D4C6F"/>
    <w:rsid w:val="005D4EA1"/>
    <w:rsid w:val="005D5442"/>
    <w:rsid w:val="005E02DC"/>
    <w:rsid w:val="005E5528"/>
    <w:rsid w:val="005E6592"/>
    <w:rsid w:val="00601FFA"/>
    <w:rsid w:val="00611B57"/>
    <w:rsid w:val="00617EAC"/>
    <w:rsid w:val="00620347"/>
    <w:rsid w:val="00622E09"/>
    <w:rsid w:val="006239CD"/>
    <w:rsid w:val="00640190"/>
    <w:rsid w:val="006405A9"/>
    <w:rsid w:val="00640FC3"/>
    <w:rsid w:val="00642020"/>
    <w:rsid w:val="006438D2"/>
    <w:rsid w:val="00646866"/>
    <w:rsid w:val="006477F9"/>
    <w:rsid w:val="00651C87"/>
    <w:rsid w:val="0065337B"/>
    <w:rsid w:val="00653FBF"/>
    <w:rsid w:val="0065419D"/>
    <w:rsid w:val="006604D8"/>
    <w:rsid w:val="00664A5B"/>
    <w:rsid w:val="00665F8C"/>
    <w:rsid w:val="00667942"/>
    <w:rsid w:val="00667B4F"/>
    <w:rsid w:val="00672188"/>
    <w:rsid w:val="006807F5"/>
    <w:rsid w:val="00680C08"/>
    <w:rsid w:val="0068741A"/>
    <w:rsid w:val="006901D7"/>
    <w:rsid w:val="00691723"/>
    <w:rsid w:val="00692D68"/>
    <w:rsid w:val="006931B1"/>
    <w:rsid w:val="00693CDB"/>
    <w:rsid w:val="00694D7B"/>
    <w:rsid w:val="006A15C0"/>
    <w:rsid w:val="006A6F15"/>
    <w:rsid w:val="006B188D"/>
    <w:rsid w:val="006B3BB8"/>
    <w:rsid w:val="006B619A"/>
    <w:rsid w:val="006C1F3B"/>
    <w:rsid w:val="006C3E2A"/>
    <w:rsid w:val="006C626D"/>
    <w:rsid w:val="006C642F"/>
    <w:rsid w:val="006C6EDB"/>
    <w:rsid w:val="006D039E"/>
    <w:rsid w:val="006D03E5"/>
    <w:rsid w:val="006D0C3B"/>
    <w:rsid w:val="006D48A5"/>
    <w:rsid w:val="006D5D3E"/>
    <w:rsid w:val="006E08B3"/>
    <w:rsid w:val="006E5AB4"/>
    <w:rsid w:val="006E723A"/>
    <w:rsid w:val="006F572E"/>
    <w:rsid w:val="006F7BF5"/>
    <w:rsid w:val="00702517"/>
    <w:rsid w:val="007046D6"/>
    <w:rsid w:val="00705DB0"/>
    <w:rsid w:val="007066D4"/>
    <w:rsid w:val="007067B8"/>
    <w:rsid w:val="00706AFE"/>
    <w:rsid w:val="00721FB3"/>
    <w:rsid w:val="00725A8B"/>
    <w:rsid w:val="0072647D"/>
    <w:rsid w:val="0074066C"/>
    <w:rsid w:val="00742004"/>
    <w:rsid w:val="0074253D"/>
    <w:rsid w:val="0074429B"/>
    <w:rsid w:val="007477F8"/>
    <w:rsid w:val="00747E8C"/>
    <w:rsid w:val="007517D3"/>
    <w:rsid w:val="007575C7"/>
    <w:rsid w:val="00757986"/>
    <w:rsid w:val="007615BC"/>
    <w:rsid w:val="00762F05"/>
    <w:rsid w:val="00763336"/>
    <w:rsid w:val="00764EB9"/>
    <w:rsid w:val="007652FF"/>
    <w:rsid w:val="00766CA4"/>
    <w:rsid w:val="00766EDB"/>
    <w:rsid w:val="00766F39"/>
    <w:rsid w:val="00771329"/>
    <w:rsid w:val="00771AE9"/>
    <w:rsid w:val="00773EF7"/>
    <w:rsid w:val="00774E1D"/>
    <w:rsid w:val="0077675A"/>
    <w:rsid w:val="00780355"/>
    <w:rsid w:val="007807B3"/>
    <w:rsid w:val="007810A6"/>
    <w:rsid w:val="0078315F"/>
    <w:rsid w:val="00785721"/>
    <w:rsid w:val="00791BE6"/>
    <w:rsid w:val="00793A59"/>
    <w:rsid w:val="007A2162"/>
    <w:rsid w:val="007B152B"/>
    <w:rsid w:val="007B302B"/>
    <w:rsid w:val="007B43ED"/>
    <w:rsid w:val="007B4BF9"/>
    <w:rsid w:val="007C02BB"/>
    <w:rsid w:val="007C0F3D"/>
    <w:rsid w:val="007C1AF7"/>
    <w:rsid w:val="007C4877"/>
    <w:rsid w:val="007C7A6D"/>
    <w:rsid w:val="007C7B5B"/>
    <w:rsid w:val="007E331F"/>
    <w:rsid w:val="007E7BF8"/>
    <w:rsid w:val="007F1481"/>
    <w:rsid w:val="007F1B9C"/>
    <w:rsid w:val="007F2FF0"/>
    <w:rsid w:val="007F55E5"/>
    <w:rsid w:val="00800F5C"/>
    <w:rsid w:val="0080719D"/>
    <w:rsid w:val="00810598"/>
    <w:rsid w:val="008106F7"/>
    <w:rsid w:val="00811166"/>
    <w:rsid w:val="00814492"/>
    <w:rsid w:val="00814D59"/>
    <w:rsid w:val="00821776"/>
    <w:rsid w:val="00826007"/>
    <w:rsid w:val="00827889"/>
    <w:rsid w:val="008321F5"/>
    <w:rsid w:val="00832369"/>
    <w:rsid w:val="00834660"/>
    <w:rsid w:val="00834C8E"/>
    <w:rsid w:val="00836BC2"/>
    <w:rsid w:val="0084156C"/>
    <w:rsid w:val="0084191B"/>
    <w:rsid w:val="00842FF4"/>
    <w:rsid w:val="00844597"/>
    <w:rsid w:val="0084580B"/>
    <w:rsid w:val="00845BCA"/>
    <w:rsid w:val="00853C8F"/>
    <w:rsid w:val="00854F57"/>
    <w:rsid w:val="0085641B"/>
    <w:rsid w:val="00857136"/>
    <w:rsid w:val="00870B12"/>
    <w:rsid w:val="008725AE"/>
    <w:rsid w:val="008752CE"/>
    <w:rsid w:val="008821AA"/>
    <w:rsid w:val="008855B8"/>
    <w:rsid w:val="00886FC0"/>
    <w:rsid w:val="00892A9C"/>
    <w:rsid w:val="008932F3"/>
    <w:rsid w:val="008935CD"/>
    <w:rsid w:val="00896018"/>
    <w:rsid w:val="00897FE3"/>
    <w:rsid w:val="008A07FF"/>
    <w:rsid w:val="008A2B9D"/>
    <w:rsid w:val="008A5E0B"/>
    <w:rsid w:val="008A5E18"/>
    <w:rsid w:val="008A6D59"/>
    <w:rsid w:val="008B2D31"/>
    <w:rsid w:val="008B4B03"/>
    <w:rsid w:val="008B596F"/>
    <w:rsid w:val="008C159F"/>
    <w:rsid w:val="008C15D7"/>
    <w:rsid w:val="008C1623"/>
    <w:rsid w:val="008C24B5"/>
    <w:rsid w:val="008C51A9"/>
    <w:rsid w:val="008C56D9"/>
    <w:rsid w:val="008D2B09"/>
    <w:rsid w:val="008D4740"/>
    <w:rsid w:val="008D78FB"/>
    <w:rsid w:val="008E7B83"/>
    <w:rsid w:val="008F1CCC"/>
    <w:rsid w:val="008F2967"/>
    <w:rsid w:val="008F407A"/>
    <w:rsid w:val="008F7243"/>
    <w:rsid w:val="0090354E"/>
    <w:rsid w:val="00905289"/>
    <w:rsid w:val="00907ACE"/>
    <w:rsid w:val="0091086E"/>
    <w:rsid w:val="00916DA5"/>
    <w:rsid w:val="00920330"/>
    <w:rsid w:val="00920FF4"/>
    <w:rsid w:val="009219D7"/>
    <w:rsid w:val="00922D53"/>
    <w:rsid w:val="00922EC5"/>
    <w:rsid w:val="00923B70"/>
    <w:rsid w:val="00925DC5"/>
    <w:rsid w:val="0092600B"/>
    <w:rsid w:val="00930237"/>
    <w:rsid w:val="00934397"/>
    <w:rsid w:val="009371AF"/>
    <w:rsid w:val="00940110"/>
    <w:rsid w:val="009401F6"/>
    <w:rsid w:val="00940F44"/>
    <w:rsid w:val="00941988"/>
    <w:rsid w:val="00947DF8"/>
    <w:rsid w:val="00952562"/>
    <w:rsid w:val="00963C08"/>
    <w:rsid w:val="0099068E"/>
    <w:rsid w:val="00997420"/>
    <w:rsid w:val="009A09AA"/>
    <w:rsid w:val="009A474D"/>
    <w:rsid w:val="009A4CED"/>
    <w:rsid w:val="009B15F1"/>
    <w:rsid w:val="009B1D12"/>
    <w:rsid w:val="009B416B"/>
    <w:rsid w:val="009B63FA"/>
    <w:rsid w:val="009B6554"/>
    <w:rsid w:val="009C4BD5"/>
    <w:rsid w:val="009D1F2D"/>
    <w:rsid w:val="009D29F0"/>
    <w:rsid w:val="009D2E04"/>
    <w:rsid w:val="009D372F"/>
    <w:rsid w:val="009D5A04"/>
    <w:rsid w:val="009D7B77"/>
    <w:rsid w:val="009E0BB0"/>
    <w:rsid w:val="009E3FBB"/>
    <w:rsid w:val="009E71F4"/>
    <w:rsid w:val="009F018D"/>
    <w:rsid w:val="009F4882"/>
    <w:rsid w:val="009F7D61"/>
    <w:rsid w:val="00A052B5"/>
    <w:rsid w:val="00A1235B"/>
    <w:rsid w:val="00A12CDA"/>
    <w:rsid w:val="00A14DF7"/>
    <w:rsid w:val="00A23F3C"/>
    <w:rsid w:val="00A26C3E"/>
    <w:rsid w:val="00A3246D"/>
    <w:rsid w:val="00A3654F"/>
    <w:rsid w:val="00A36FA7"/>
    <w:rsid w:val="00A405BB"/>
    <w:rsid w:val="00A40F55"/>
    <w:rsid w:val="00A41253"/>
    <w:rsid w:val="00A43F82"/>
    <w:rsid w:val="00A465DF"/>
    <w:rsid w:val="00A475B7"/>
    <w:rsid w:val="00A47AF7"/>
    <w:rsid w:val="00A47C3E"/>
    <w:rsid w:val="00A50226"/>
    <w:rsid w:val="00A539AC"/>
    <w:rsid w:val="00A53A49"/>
    <w:rsid w:val="00A55B14"/>
    <w:rsid w:val="00A56488"/>
    <w:rsid w:val="00A60BAD"/>
    <w:rsid w:val="00A64387"/>
    <w:rsid w:val="00A71659"/>
    <w:rsid w:val="00A736F3"/>
    <w:rsid w:val="00A73A8D"/>
    <w:rsid w:val="00A84503"/>
    <w:rsid w:val="00A85B04"/>
    <w:rsid w:val="00A87334"/>
    <w:rsid w:val="00AA4775"/>
    <w:rsid w:val="00AB1876"/>
    <w:rsid w:val="00AB5245"/>
    <w:rsid w:val="00AB6F47"/>
    <w:rsid w:val="00AC0017"/>
    <w:rsid w:val="00AC1B22"/>
    <w:rsid w:val="00AC2B40"/>
    <w:rsid w:val="00AC2BB2"/>
    <w:rsid w:val="00AC2C3C"/>
    <w:rsid w:val="00AC3BD9"/>
    <w:rsid w:val="00AC62A4"/>
    <w:rsid w:val="00AC62E7"/>
    <w:rsid w:val="00AC7EB0"/>
    <w:rsid w:val="00AD3F94"/>
    <w:rsid w:val="00AE0320"/>
    <w:rsid w:val="00AE172D"/>
    <w:rsid w:val="00AE59FE"/>
    <w:rsid w:val="00AE65EB"/>
    <w:rsid w:val="00AF1D94"/>
    <w:rsid w:val="00AF60C5"/>
    <w:rsid w:val="00AF61B9"/>
    <w:rsid w:val="00AF6329"/>
    <w:rsid w:val="00AF7A60"/>
    <w:rsid w:val="00B009C6"/>
    <w:rsid w:val="00B01548"/>
    <w:rsid w:val="00B021B0"/>
    <w:rsid w:val="00B16BCF"/>
    <w:rsid w:val="00B21D29"/>
    <w:rsid w:val="00B21FC5"/>
    <w:rsid w:val="00B21FEE"/>
    <w:rsid w:val="00B24B20"/>
    <w:rsid w:val="00B25034"/>
    <w:rsid w:val="00B27AF3"/>
    <w:rsid w:val="00B33863"/>
    <w:rsid w:val="00B34A4B"/>
    <w:rsid w:val="00B35425"/>
    <w:rsid w:val="00B37D17"/>
    <w:rsid w:val="00B40C62"/>
    <w:rsid w:val="00B4175E"/>
    <w:rsid w:val="00B510E1"/>
    <w:rsid w:val="00B52D07"/>
    <w:rsid w:val="00B54729"/>
    <w:rsid w:val="00B54C25"/>
    <w:rsid w:val="00B600DA"/>
    <w:rsid w:val="00B64F68"/>
    <w:rsid w:val="00B66A79"/>
    <w:rsid w:val="00B71252"/>
    <w:rsid w:val="00B76B91"/>
    <w:rsid w:val="00B77007"/>
    <w:rsid w:val="00B92C72"/>
    <w:rsid w:val="00BA1160"/>
    <w:rsid w:val="00BA40D0"/>
    <w:rsid w:val="00BA6FF1"/>
    <w:rsid w:val="00BB0909"/>
    <w:rsid w:val="00BB134C"/>
    <w:rsid w:val="00BB6529"/>
    <w:rsid w:val="00BC1CAB"/>
    <w:rsid w:val="00BC622A"/>
    <w:rsid w:val="00BC7943"/>
    <w:rsid w:val="00BD45E9"/>
    <w:rsid w:val="00BD6F8A"/>
    <w:rsid w:val="00BD7E45"/>
    <w:rsid w:val="00BE0A78"/>
    <w:rsid w:val="00BE48C4"/>
    <w:rsid w:val="00BE79F0"/>
    <w:rsid w:val="00BF046D"/>
    <w:rsid w:val="00BF0DB5"/>
    <w:rsid w:val="00BF5D04"/>
    <w:rsid w:val="00C13563"/>
    <w:rsid w:val="00C229C9"/>
    <w:rsid w:val="00C23429"/>
    <w:rsid w:val="00C339C6"/>
    <w:rsid w:val="00C36084"/>
    <w:rsid w:val="00C404A6"/>
    <w:rsid w:val="00C40A36"/>
    <w:rsid w:val="00C44419"/>
    <w:rsid w:val="00C44D86"/>
    <w:rsid w:val="00C45E7B"/>
    <w:rsid w:val="00C471B1"/>
    <w:rsid w:val="00C5050A"/>
    <w:rsid w:val="00C50C4D"/>
    <w:rsid w:val="00C51831"/>
    <w:rsid w:val="00C51FB5"/>
    <w:rsid w:val="00C52BEE"/>
    <w:rsid w:val="00C57B9C"/>
    <w:rsid w:val="00C6316B"/>
    <w:rsid w:val="00C634A9"/>
    <w:rsid w:val="00C70A65"/>
    <w:rsid w:val="00C71A18"/>
    <w:rsid w:val="00C73D6C"/>
    <w:rsid w:val="00C74831"/>
    <w:rsid w:val="00C76C51"/>
    <w:rsid w:val="00C772FF"/>
    <w:rsid w:val="00C77BC8"/>
    <w:rsid w:val="00C801AF"/>
    <w:rsid w:val="00C80256"/>
    <w:rsid w:val="00C87095"/>
    <w:rsid w:val="00C91488"/>
    <w:rsid w:val="00C93469"/>
    <w:rsid w:val="00C9377D"/>
    <w:rsid w:val="00CA52AC"/>
    <w:rsid w:val="00CA77CC"/>
    <w:rsid w:val="00CB6BC0"/>
    <w:rsid w:val="00CC0FAF"/>
    <w:rsid w:val="00CC1B7C"/>
    <w:rsid w:val="00CC2387"/>
    <w:rsid w:val="00CC727F"/>
    <w:rsid w:val="00CD2699"/>
    <w:rsid w:val="00CD7871"/>
    <w:rsid w:val="00CD79B7"/>
    <w:rsid w:val="00CE5BB0"/>
    <w:rsid w:val="00CF15C3"/>
    <w:rsid w:val="00CF2B6F"/>
    <w:rsid w:val="00CF3409"/>
    <w:rsid w:val="00D017ED"/>
    <w:rsid w:val="00D02844"/>
    <w:rsid w:val="00D11482"/>
    <w:rsid w:val="00D153B1"/>
    <w:rsid w:val="00D224FE"/>
    <w:rsid w:val="00D229BA"/>
    <w:rsid w:val="00D240CD"/>
    <w:rsid w:val="00D26B84"/>
    <w:rsid w:val="00D26D35"/>
    <w:rsid w:val="00D3241C"/>
    <w:rsid w:val="00D32BBA"/>
    <w:rsid w:val="00D4204A"/>
    <w:rsid w:val="00D433BD"/>
    <w:rsid w:val="00D451DE"/>
    <w:rsid w:val="00D5616E"/>
    <w:rsid w:val="00D634FE"/>
    <w:rsid w:val="00D6493E"/>
    <w:rsid w:val="00D665B9"/>
    <w:rsid w:val="00D71C3E"/>
    <w:rsid w:val="00D75206"/>
    <w:rsid w:val="00D82B3B"/>
    <w:rsid w:val="00D85AC0"/>
    <w:rsid w:val="00D93501"/>
    <w:rsid w:val="00DA051E"/>
    <w:rsid w:val="00DA1124"/>
    <w:rsid w:val="00DA1DEF"/>
    <w:rsid w:val="00DA3043"/>
    <w:rsid w:val="00DB192D"/>
    <w:rsid w:val="00DB32A9"/>
    <w:rsid w:val="00DB610A"/>
    <w:rsid w:val="00DC17EF"/>
    <w:rsid w:val="00DC1A02"/>
    <w:rsid w:val="00DC498B"/>
    <w:rsid w:val="00DD4C9F"/>
    <w:rsid w:val="00DD75A3"/>
    <w:rsid w:val="00DD7A91"/>
    <w:rsid w:val="00DE02AE"/>
    <w:rsid w:val="00DE6A0C"/>
    <w:rsid w:val="00DE6C04"/>
    <w:rsid w:val="00DE75AC"/>
    <w:rsid w:val="00DF1D7F"/>
    <w:rsid w:val="00DF6ADC"/>
    <w:rsid w:val="00E00405"/>
    <w:rsid w:val="00E02FB4"/>
    <w:rsid w:val="00E072BA"/>
    <w:rsid w:val="00E1340C"/>
    <w:rsid w:val="00E20571"/>
    <w:rsid w:val="00E21651"/>
    <w:rsid w:val="00E22866"/>
    <w:rsid w:val="00E235F7"/>
    <w:rsid w:val="00E239D4"/>
    <w:rsid w:val="00E26359"/>
    <w:rsid w:val="00E30038"/>
    <w:rsid w:val="00E32326"/>
    <w:rsid w:val="00E40B22"/>
    <w:rsid w:val="00E4588F"/>
    <w:rsid w:val="00E46DA3"/>
    <w:rsid w:val="00E51164"/>
    <w:rsid w:val="00E52F94"/>
    <w:rsid w:val="00E63A67"/>
    <w:rsid w:val="00E70DE4"/>
    <w:rsid w:val="00E8120B"/>
    <w:rsid w:val="00E8615E"/>
    <w:rsid w:val="00EA01E0"/>
    <w:rsid w:val="00EA16DE"/>
    <w:rsid w:val="00EA27AD"/>
    <w:rsid w:val="00EA406B"/>
    <w:rsid w:val="00EA453A"/>
    <w:rsid w:val="00EA69D0"/>
    <w:rsid w:val="00EB0023"/>
    <w:rsid w:val="00EB0798"/>
    <w:rsid w:val="00EB182C"/>
    <w:rsid w:val="00EB19F8"/>
    <w:rsid w:val="00EB40AD"/>
    <w:rsid w:val="00EB586E"/>
    <w:rsid w:val="00EB5FC8"/>
    <w:rsid w:val="00EC1271"/>
    <w:rsid w:val="00EC63CA"/>
    <w:rsid w:val="00EC7B1E"/>
    <w:rsid w:val="00ED0C8B"/>
    <w:rsid w:val="00ED13DE"/>
    <w:rsid w:val="00ED5A41"/>
    <w:rsid w:val="00ED6670"/>
    <w:rsid w:val="00ED75DF"/>
    <w:rsid w:val="00EE1482"/>
    <w:rsid w:val="00EE255A"/>
    <w:rsid w:val="00EE3DAA"/>
    <w:rsid w:val="00EF0EAB"/>
    <w:rsid w:val="00EF47F3"/>
    <w:rsid w:val="00EF578B"/>
    <w:rsid w:val="00F033EC"/>
    <w:rsid w:val="00F04E77"/>
    <w:rsid w:val="00F04F68"/>
    <w:rsid w:val="00F0627D"/>
    <w:rsid w:val="00F06382"/>
    <w:rsid w:val="00F11A17"/>
    <w:rsid w:val="00F12670"/>
    <w:rsid w:val="00F14B27"/>
    <w:rsid w:val="00F17A49"/>
    <w:rsid w:val="00F17EC1"/>
    <w:rsid w:val="00F202AB"/>
    <w:rsid w:val="00F240E2"/>
    <w:rsid w:val="00F3148D"/>
    <w:rsid w:val="00F3255D"/>
    <w:rsid w:val="00F35298"/>
    <w:rsid w:val="00F3529E"/>
    <w:rsid w:val="00F36C32"/>
    <w:rsid w:val="00F3790D"/>
    <w:rsid w:val="00F40AE1"/>
    <w:rsid w:val="00F40F73"/>
    <w:rsid w:val="00F4305F"/>
    <w:rsid w:val="00F44B0D"/>
    <w:rsid w:val="00F45A1C"/>
    <w:rsid w:val="00F4663D"/>
    <w:rsid w:val="00F467A6"/>
    <w:rsid w:val="00F47E37"/>
    <w:rsid w:val="00F5163E"/>
    <w:rsid w:val="00F54A5A"/>
    <w:rsid w:val="00F5662A"/>
    <w:rsid w:val="00F56841"/>
    <w:rsid w:val="00F60C1D"/>
    <w:rsid w:val="00F623FD"/>
    <w:rsid w:val="00F63C0D"/>
    <w:rsid w:val="00F640B6"/>
    <w:rsid w:val="00F67B16"/>
    <w:rsid w:val="00F7214B"/>
    <w:rsid w:val="00F72A91"/>
    <w:rsid w:val="00F739D1"/>
    <w:rsid w:val="00F80E40"/>
    <w:rsid w:val="00F8365F"/>
    <w:rsid w:val="00F8404D"/>
    <w:rsid w:val="00F87B87"/>
    <w:rsid w:val="00FA1A41"/>
    <w:rsid w:val="00FA4D6D"/>
    <w:rsid w:val="00FA5667"/>
    <w:rsid w:val="00FA5B82"/>
    <w:rsid w:val="00FA639E"/>
    <w:rsid w:val="00FB58B0"/>
    <w:rsid w:val="00FB58C9"/>
    <w:rsid w:val="00FB59CE"/>
    <w:rsid w:val="00FC03C8"/>
    <w:rsid w:val="00FC12F9"/>
    <w:rsid w:val="00FC25E4"/>
    <w:rsid w:val="00FC260C"/>
    <w:rsid w:val="00FC4EF7"/>
    <w:rsid w:val="00FC613A"/>
    <w:rsid w:val="00FC6F43"/>
    <w:rsid w:val="00FC782D"/>
    <w:rsid w:val="00FD221D"/>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4747D4"/>
  <w15:docId w15:val="{68D64852-22D2-4B89-8202-FE97C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1070"/>
    <w:pPr>
      <w:keepNext/>
      <w:keepLines/>
      <w:pageBreakBefore/>
      <w:numPr>
        <w:numId w:val="13"/>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numPr>
        <w:ilvl w:val="1"/>
        <w:numId w:val="13"/>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numPr>
        <w:ilvl w:val="5"/>
        <w:numId w:val="13"/>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numPr>
        <w:ilvl w:val="6"/>
        <w:numId w:val="13"/>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C02CB"/>
    <w:pPr>
      <w:keepNext/>
      <w:keepLines/>
      <w:numPr>
        <w:ilvl w:val="7"/>
        <w:numId w:val="13"/>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C02CB"/>
    <w:pPr>
      <w:keepNext/>
      <w:keepLines/>
      <w:numPr>
        <w:ilvl w:val="8"/>
        <w:numId w:val="13"/>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2C1070"/>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unhideWhenUsed/>
    <w:rsid w:val="008A07FF"/>
    <w:pPr>
      <w:tabs>
        <w:tab w:val="right" w:leader="hyphen" w:pos="8505"/>
      </w:tabs>
      <w:spacing w:after="100"/>
      <w:ind w:left="1276"/>
    </w:pPr>
  </w:style>
  <w:style w:type="paragraph" w:styleId="TOC5">
    <w:name w:val="toc 5"/>
    <w:basedOn w:val="Normal"/>
    <w:next w:val="Normal"/>
    <w:autoRedefine/>
    <w:uiPriority w:val="39"/>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unhideWhenUsed/>
    <w:rsid w:val="008A07FF"/>
    <w:pPr>
      <w:tabs>
        <w:tab w:val="right" w:pos="8505"/>
      </w:tabs>
      <w:spacing w:after="100"/>
      <w:ind w:left="2126"/>
    </w:pPr>
  </w:style>
  <w:style w:type="paragraph" w:styleId="TOC7">
    <w:name w:val="toc 7"/>
    <w:basedOn w:val="Normal"/>
    <w:next w:val="Normal"/>
    <w:autoRedefine/>
    <w:uiPriority w:val="39"/>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EE1482"/>
    <w:pPr>
      <w:numPr>
        <w:numId w:val="4"/>
      </w:numPr>
    </w:p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54F57"/>
    <w:pPr>
      <w:ind w:left="720"/>
      <w:contextualSpacing/>
    </w:pPr>
  </w:style>
  <w:style w:type="character" w:customStyle="1" w:styleId="Heading8Char">
    <w:name w:val="Heading 8 Char"/>
    <w:basedOn w:val="DefaultParagraphFont"/>
    <w:link w:val="Heading8"/>
    <w:uiPriority w:val="9"/>
    <w:semiHidden/>
    <w:rsid w:val="003C02C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C02CB"/>
    <w:rPr>
      <w:rFonts w:asciiTheme="majorHAnsi" w:eastAsiaTheme="majorEastAsia" w:hAnsiTheme="majorHAnsi" w:cstheme="majorBidi"/>
      <w:i/>
      <w:iCs/>
      <w:color w:val="0070B5" w:themeColor="text1" w:themeTint="BF"/>
      <w:lang w:eastAsia="en-US"/>
    </w:rPr>
  </w:style>
  <w:style w:type="table" w:styleId="LightList-Accent1">
    <w:name w:val="Light List Accent 1"/>
    <w:basedOn w:val="TableNormal"/>
    <w:uiPriority w:val="61"/>
    <w:rsid w:val="003C02CB"/>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unhideWhenUsed/>
    <w:rsid w:val="003C02CB"/>
    <w:pPr>
      <w:spacing w:after="100"/>
      <w:ind w:left="1760"/>
    </w:pPr>
  </w:style>
  <w:style w:type="paragraph" w:customStyle="1" w:styleId="TableTitle0">
    <w:name w:val="Table Title"/>
    <w:basedOn w:val="Normal"/>
    <w:next w:val="Normal"/>
    <w:qFormat/>
    <w:rsid w:val="003C02CB"/>
    <w:pPr>
      <w:spacing w:before="180"/>
    </w:pPr>
    <w:rPr>
      <w:b/>
    </w:rPr>
  </w:style>
  <w:style w:type="character" w:styleId="Strong">
    <w:name w:val="Strong"/>
    <w:basedOn w:val="DefaultParagraphFont"/>
    <w:uiPriority w:val="22"/>
    <w:qFormat/>
    <w:rsid w:val="003C02CB"/>
    <w:rPr>
      <w:b/>
      <w:bCs/>
    </w:rPr>
  </w:style>
  <w:style w:type="paragraph" w:customStyle="1" w:styleId="Default">
    <w:name w:val="Default"/>
    <w:rsid w:val="003C02CB"/>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3C02CB"/>
    <w:rPr>
      <w:rFonts w:ascii="Cambria" w:hAnsi="Cambria" w:hint="default"/>
      <w:b w:val="0"/>
      <w:bCs w:val="0"/>
      <w:i w:val="0"/>
      <w:iCs w:val="0"/>
      <w:color w:val="000000"/>
      <w:sz w:val="22"/>
      <w:szCs w:val="22"/>
    </w:rPr>
  </w:style>
  <w:style w:type="character" w:customStyle="1" w:styleId="fontstyle21">
    <w:name w:val="fontstyle21"/>
    <w:basedOn w:val="DefaultParagraphFont"/>
    <w:rsid w:val="003C02CB"/>
    <w:rPr>
      <w:rFonts w:ascii="Cambria-Bold" w:hAnsi="Cambria-Bold" w:hint="default"/>
      <w:b/>
      <w:bCs/>
      <w:i w:val="0"/>
      <w:iCs w:val="0"/>
      <w:color w:val="000000"/>
      <w:sz w:val="22"/>
      <w:szCs w:val="22"/>
    </w:rPr>
  </w:style>
  <w:style w:type="paragraph" w:styleId="Revision">
    <w:name w:val="Revision"/>
    <w:hidden/>
    <w:uiPriority w:val="99"/>
    <w:semiHidden/>
    <w:rsid w:val="003C02CB"/>
    <w:rPr>
      <w:sz w:val="22"/>
      <w:lang w:eastAsia="en-US"/>
    </w:rPr>
  </w:style>
  <w:style w:type="paragraph" w:customStyle="1" w:styleId="ListBulleta">
    <w:name w:val="List Bullet a)"/>
    <w:basedOn w:val="Numberbullet2a"/>
    <w:uiPriority w:val="1"/>
    <w:qFormat/>
    <w:rsid w:val="00842FF4"/>
    <w:rPr>
      <w:lang w:eastAsia="en-AU"/>
    </w:rPr>
  </w:style>
  <w:style w:type="paragraph" w:customStyle="1" w:styleId="ListBulleti">
    <w:name w:val="List Bullet i)"/>
    <w:basedOn w:val="ListBullet"/>
    <w:uiPriority w:val="1"/>
    <w:qFormat/>
    <w:rsid w:val="003C02CB"/>
    <w:pPr>
      <w:numPr>
        <w:numId w:val="16"/>
      </w:numPr>
    </w:pPr>
  </w:style>
  <w:style w:type="character" w:customStyle="1" w:styleId="Style1">
    <w:name w:val="Style1"/>
    <w:basedOn w:val="DefaultParagraphFont"/>
    <w:uiPriority w:val="1"/>
    <w:rsid w:val="003C02CB"/>
    <w:rPr>
      <w:rFonts w:ascii="Cambria" w:hAnsi="Cambria"/>
      <w:sz w:val="22"/>
    </w:rPr>
  </w:style>
  <w:style w:type="paragraph" w:styleId="NormalWeb">
    <w:name w:val="Normal (Web)"/>
    <w:basedOn w:val="Normal"/>
    <w:uiPriority w:val="99"/>
    <w:semiHidden/>
    <w:unhideWhenUsed/>
    <w:rsid w:val="003C02C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umberbullet2a">
    <w:name w:val="Number bullet 2 a)"/>
    <w:basedOn w:val="Normal"/>
    <w:uiPriority w:val="1"/>
    <w:qFormat/>
    <w:rsid w:val="005D4C6F"/>
    <w:pPr>
      <w:numPr>
        <w:numId w:val="17"/>
      </w:numPr>
    </w:pPr>
    <w:rPr>
      <w:rFonts w:asciiTheme="minorHAnsi" w:hAnsiTheme="minorHAnsi" w:cstheme="minorHAnsi"/>
    </w:rPr>
  </w:style>
  <w:style w:type="paragraph" w:customStyle="1" w:styleId="Numberbullet3i">
    <w:name w:val="Number bullet 3 i)"/>
    <w:basedOn w:val="Normal"/>
    <w:uiPriority w:val="1"/>
    <w:qFormat/>
    <w:rsid w:val="005D4C6F"/>
    <w:pPr>
      <w:numPr>
        <w:numId w:val="18"/>
      </w:numPr>
      <w:ind w:left="1276" w:hanging="425"/>
    </w:pPr>
    <w:rPr>
      <w:rFonts w:cstheme="minorHAnsi"/>
    </w:rPr>
  </w:style>
  <w:style w:type="paragraph" w:styleId="TOC8">
    <w:name w:val="toc 8"/>
    <w:basedOn w:val="Normal"/>
    <w:next w:val="Normal"/>
    <w:autoRedefine/>
    <w:uiPriority w:val="39"/>
    <w:unhideWhenUsed/>
    <w:rsid w:val="00D02844"/>
    <w:pPr>
      <w:spacing w:before="0" w:after="100" w:line="259" w:lineRule="auto"/>
      <w:ind w:left="1540"/>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semiHidden/>
    <w:unhideWhenUsed/>
    <w:rsid w:val="00D02844"/>
    <w:rPr>
      <w:color w:val="605E5C"/>
      <w:shd w:val="clear" w:color="auto" w:fill="E1DFDD"/>
    </w:rPr>
  </w:style>
  <w:style w:type="table" w:styleId="ListTable3-Accent1">
    <w:name w:val="List Table 3 Accent 1"/>
    <w:basedOn w:val="TableNormal"/>
    <w:uiPriority w:val="48"/>
    <w:rsid w:val="000C1E78"/>
    <w:tblPr>
      <w:tblStyleRowBandSize w:val="1"/>
      <w:tblStyleColBandSize w:val="1"/>
      <w:tblBorders>
        <w:top w:val="single" w:sz="4" w:space="0" w:color="006EA8" w:themeColor="accent1"/>
        <w:left w:val="single" w:sz="4" w:space="0" w:color="006EA8" w:themeColor="accent1"/>
        <w:bottom w:val="single" w:sz="4" w:space="0" w:color="006EA8" w:themeColor="accent1"/>
        <w:right w:val="single" w:sz="4" w:space="0" w:color="006EA8" w:themeColor="accent1"/>
      </w:tblBorders>
    </w:tblPr>
    <w:tblStylePr w:type="firstRow">
      <w:rPr>
        <w:b/>
        <w:bCs/>
        <w:color w:val="FFFFFF" w:themeColor="background1"/>
      </w:rPr>
      <w:tblPr/>
      <w:tcPr>
        <w:shd w:val="clear" w:color="auto" w:fill="006EA8" w:themeFill="accent1"/>
      </w:tcPr>
    </w:tblStylePr>
    <w:tblStylePr w:type="lastRow">
      <w:rPr>
        <w:b/>
        <w:bCs/>
      </w:rPr>
      <w:tblPr/>
      <w:tcPr>
        <w:tcBorders>
          <w:top w:val="double" w:sz="4" w:space="0" w:color="006E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A8" w:themeColor="accent1"/>
          <w:right w:val="single" w:sz="4" w:space="0" w:color="006EA8" w:themeColor="accent1"/>
        </w:tcBorders>
      </w:tcPr>
    </w:tblStylePr>
    <w:tblStylePr w:type="band1Horz">
      <w:tblPr/>
      <w:tcPr>
        <w:tcBorders>
          <w:top w:val="single" w:sz="4" w:space="0" w:color="006EA8" w:themeColor="accent1"/>
          <w:bottom w:val="single" w:sz="4" w:space="0" w:color="006E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A8" w:themeColor="accent1"/>
          <w:left w:val="nil"/>
        </w:tcBorders>
      </w:tcPr>
    </w:tblStylePr>
    <w:tblStylePr w:type="swCell">
      <w:tblPr/>
      <w:tcPr>
        <w:tcBorders>
          <w:top w:val="double" w:sz="4" w:space="0" w:color="006EA8" w:themeColor="accent1"/>
          <w:right w:val="nil"/>
        </w:tcBorders>
      </w:tcPr>
    </w:tblStylePr>
  </w:style>
  <w:style w:type="paragraph" w:customStyle="1" w:styleId="ActionBullet">
    <w:name w:val="Action Bullet"/>
    <w:basedOn w:val="Normal"/>
    <w:uiPriority w:val="99"/>
    <w:rsid w:val="00D3241C"/>
    <w:pPr>
      <w:tabs>
        <w:tab w:val="num" w:pos="757"/>
        <w:tab w:val="left" w:pos="1440"/>
      </w:tabs>
      <w:spacing w:before="0" w:after="240" w:line="240" w:lineRule="auto"/>
      <w:ind w:left="737" w:hanging="340"/>
    </w:pPr>
    <w:rPr>
      <w:rFonts w:ascii="Times New Roman" w:eastAsia="Times New Roman" w:hAnsi="Times New Roman"/>
      <w:i/>
      <w:iCs/>
      <w:sz w:val="24"/>
      <w:szCs w:val="24"/>
      <w:lang w:eastAsia="en-AU"/>
    </w:rPr>
  </w:style>
  <w:style w:type="table" w:customStyle="1" w:styleId="TableTGAblue1">
    <w:name w:val="Table TGA blue1"/>
    <w:basedOn w:val="TableNormal"/>
    <w:uiPriority w:val="99"/>
    <w:qFormat/>
    <w:rsid w:val="00582C26"/>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90418">
      <w:bodyDiv w:val="1"/>
      <w:marLeft w:val="0"/>
      <w:marRight w:val="0"/>
      <w:marTop w:val="0"/>
      <w:marBottom w:val="0"/>
      <w:divBdr>
        <w:top w:val="none" w:sz="0" w:space="0" w:color="auto"/>
        <w:left w:val="none" w:sz="0" w:space="0" w:color="auto"/>
        <w:bottom w:val="none" w:sz="0" w:space="0" w:color="auto"/>
        <w:right w:val="none" w:sz="0" w:space="0" w:color="auto"/>
      </w:divBdr>
    </w:div>
    <w:div w:id="253638552">
      <w:bodyDiv w:val="1"/>
      <w:marLeft w:val="0"/>
      <w:marRight w:val="0"/>
      <w:marTop w:val="0"/>
      <w:marBottom w:val="0"/>
      <w:divBdr>
        <w:top w:val="none" w:sz="0" w:space="0" w:color="auto"/>
        <w:left w:val="none" w:sz="0" w:space="0" w:color="auto"/>
        <w:bottom w:val="none" w:sz="0" w:space="0" w:color="auto"/>
        <w:right w:val="none" w:sz="0" w:space="0" w:color="auto"/>
      </w:divBdr>
    </w:div>
    <w:div w:id="286663847">
      <w:bodyDiv w:val="1"/>
      <w:marLeft w:val="0"/>
      <w:marRight w:val="0"/>
      <w:marTop w:val="0"/>
      <w:marBottom w:val="0"/>
      <w:divBdr>
        <w:top w:val="none" w:sz="0" w:space="0" w:color="auto"/>
        <w:left w:val="none" w:sz="0" w:space="0" w:color="auto"/>
        <w:bottom w:val="none" w:sz="0" w:space="0" w:color="auto"/>
        <w:right w:val="none" w:sz="0" w:space="0" w:color="auto"/>
      </w:divBdr>
    </w:div>
    <w:div w:id="834538842">
      <w:bodyDiv w:val="1"/>
      <w:marLeft w:val="0"/>
      <w:marRight w:val="0"/>
      <w:marTop w:val="0"/>
      <w:marBottom w:val="0"/>
      <w:divBdr>
        <w:top w:val="none" w:sz="0" w:space="0" w:color="auto"/>
        <w:left w:val="none" w:sz="0" w:space="0" w:color="auto"/>
        <w:bottom w:val="none" w:sz="0" w:space="0" w:color="auto"/>
        <w:right w:val="none" w:sz="0" w:space="0" w:color="auto"/>
      </w:divBdr>
    </w:div>
    <w:div w:id="882060232">
      <w:bodyDiv w:val="1"/>
      <w:marLeft w:val="0"/>
      <w:marRight w:val="0"/>
      <w:marTop w:val="0"/>
      <w:marBottom w:val="0"/>
      <w:divBdr>
        <w:top w:val="none" w:sz="0" w:space="0" w:color="auto"/>
        <w:left w:val="none" w:sz="0" w:space="0" w:color="auto"/>
        <w:bottom w:val="none" w:sz="0" w:space="0" w:color="auto"/>
        <w:right w:val="none" w:sz="0" w:space="0" w:color="auto"/>
      </w:divBdr>
    </w:div>
    <w:div w:id="1620141508">
      <w:bodyDiv w:val="1"/>
      <w:marLeft w:val="0"/>
      <w:marRight w:val="0"/>
      <w:marTop w:val="0"/>
      <w:marBottom w:val="0"/>
      <w:divBdr>
        <w:top w:val="none" w:sz="0" w:space="0" w:color="auto"/>
        <w:left w:val="none" w:sz="0" w:space="0" w:color="auto"/>
        <w:bottom w:val="none" w:sz="0" w:space="0" w:color="auto"/>
        <w:right w:val="none" w:sz="0" w:space="0" w:color="auto"/>
      </w:divBdr>
    </w:div>
    <w:div w:id="1755207078">
      <w:bodyDiv w:val="1"/>
      <w:marLeft w:val="0"/>
      <w:marRight w:val="0"/>
      <w:marTop w:val="0"/>
      <w:marBottom w:val="0"/>
      <w:divBdr>
        <w:top w:val="none" w:sz="0" w:space="0" w:color="auto"/>
        <w:left w:val="none" w:sz="0" w:space="0" w:color="auto"/>
        <w:bottom w:val="none" w:sz="0" w:space="0" w:color="auto"/>
        <w:right w:val="none" w:sz="0" w:space="0" w:color="auto"/>
      </w:divBdr>
    </w:div>
    <w:div w:id="1867672289">
      <w:bodyDiv w:val="1"/>
      <w:marLeft w:val="0"/>
      <w:marRight w:val="0"/>
      <w:marTop w:val="0"/>
      <w:marBottom w:val="0"/>
      <w:divBdr>
        <w:top w:val="none" w:sz="0" w:space="0" w:color="auto"/>
        <w:left w:val="none" w:sz="0" w:space="0" w:color="auto"/>
        <w:bottom w:val="none" w:sz="0" w:space="0" w:color="auto"/>
        <w:right w:val="none" w:sz="0" w:space="0" w:color="auto"/>
      </w:divBdr>
    </w:div>
    <w:div w:id="20653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safe.govt.nz/profs/class/classintro.asp" TargetMode="External"/><Relationship Id="rId117" Type="http://schemas.openxmlformats.org/officeDocument/2006/relationships/header" Target="header3.xml"/><Relationship Id="rId21" Type="http://schemas.openxmlformats.org/officeDocument/2006/relationships/hyperlink" Target="https://apps.tga.gov.au/Prod/daen/daen-entry.aspx" TargetMode="External"/><Relationship Id="rId42" Type="http://schemas.openxmlformats.org/officeDocument/2006/relationships/hyperlink" Target="https://www.ebs.tga.gov.au/" TargetMode="External"/><Relationship Id="rId47" Type="http://schemas.openxmlformats.org/officeDocument/2006/relationships/hyperlink" Target="https://portal.apvma.gov.au/pubcris" TargetMode="External"/><Relationship Id="rId63" Type="http://schemas.openxmlformats.org/officeDocument/2006/relationships/hyperlink" Target="https://apps.tga.gov.au/Prod/daen/daen-entry.aspx" TargetMode="External"/><Relationship Id="rId68" Type="http://schemas.openxmlformats.org/officeDocument/2006/relationships/hyperlink" Target="https://www.medsafe.govt.nz/profs/class/classintro.asp" TargetMode="External"/><Relationship Id="rId84" Type="http://schemas.openxmlformats.org/officeDocument/2006/relationships/hyperlink" Target="https://www.hpra.ie/homepage/medicines/medicines-information/find-a-medicine/" TargetMode="External"/><Relationship Id="rId89" Type="http://schemas.openxmlformats.org/officeDocument/2006/relationships/hyperlink" Target="https://www.legislation.gov.au/Search/Therapeutic%20Goods%20$LB$Permissible%20Ingredients$RB$%20Determination" TargetMode="External"/><Relationship Id="rId112" Type="http://schemas.openxmlformats.org/officeDocument/2006/relationships/hyperlink" Target="https://www.hpra.ie/homepage/medicines/medicines-information/find-a-medicine/results?query=&amp;field=" TargetMode="External"/><Relationship Id="rId16" Type="http://schemas.openxmlformats.org/officeDocument/2006/relationships/hyperlink" Target="https://www.ebs.tga.gov.au/" TargetMode="External"/><Relationship Id="rId107" Type="http://schemas.openxmlformats.org/officeDocument/2006/relationships/hyperlink" Target="https://www.medsafe.govt.nz/profs/class/classintro.asp" TargetMode="External"/><Relationship Id="rId11" Type="http://schemas.openxmlformats.org/officeDocument/2006/relationships/footer" Target="footer2.xml"/><Relationship Id="rId32" Type="http://schemas.openxmlformats.org/officeDocument/2006/relationships/hyperlink" Target="https://www.tga.gov.au/prescribing-medicines-pregnancy-database" TargetMode="External"/><Relationship Id="rId37" Type="http://schemas.openxmlformats.org/officeDocument/2006/relationships/hyperlink" Target="https://www.hpra.ie/homepage/medicines/medicines-information/find-a-medicine/results?query=Metoclopramide+hydrochloride&amp;field=ACTIVESUBSTANCES" TargetMode="External"/><Relationship Id="rId53" Type="http://schemas.openxmlformats.org/officeDocument/2006/relationships/hyperlink" Target="https://iaspub.epa.gov/apex/pesticides/f?p=CHEMICALSEARCH:1:" TargetMode="External"/><Relationship Id="rId58" Type="http://schemas.openxmlformats.org/officeDocument/2006/relationships/hyperlink" Target="https://www.ebs.tga.gov.au/" TargetMode="External"/><Relationship Id="rId74" Type="http://schemas.openxmlformats.org/officeDocument/2006/relationships/hyperlink" Target="https://www.ebs.tga.gov.au/" TargetMode="External"/><Relationship Id="rId79" Type="http://schemas.openxmlformats.org/officeDocument/2006/relationships/hyperlink" Target="https://apps.tga.gov.au/Prod/daen/daen-entry.aspx" TargetMode="External"/><Relationship Id="rId102" Type="http://schemas.openxmlformats.org/officeDocument/2006/relationships/hyperlink" Target="https://www.legislation.gov.au/Search/Therapeutic%20Goods%20$LB$Permissible%20Ingredients$RB$%20Determination"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tga.gov.au/prescribing-medicines-pregnancy-database" TargetMode="External"/><Relationship Id="rId82" Type="http://schemas.openxmlformats.org/officeDocument/2006/relationships/hyperlink" Target="https://www.accessdata.fda.gov/scripts/cder/daf/" TargetMode="External"/><Relationship Id="rId90" Type="http://schemas.openxmlformats.org/officeDocument/2006/relationships/hyperlink" Target="https://www.tga.gov.au/prescribing-medicines-pregnancy-database" TargetMode="External"/><Relationship Id="rId95" Type="http://schemas.openxmlformats.org/officeDocument/2006/relationships/hyperlink" Target="https://www.who.int/publications/i/item/WHOMVPEMPIAU2019.06" TargetMode="External"/><Relationship Id="rId19" Type="http://schemas.openxmlformats.org/officeDocument/2006/relationships/hyperlink" Target="https://www.tga.gov.au/prescribing-medicines-pregnancy-database" TargetMode="External"/><Relationship Id="rId14" Type="http://schemas.openxmlformats.org/officeDocument/2006/relationships/hyperlink" Target="https://www.tga.gov.au/committee/advisory-committee-medicines-scheduling-acms" TargetMode="External"/><Relationship Id="rId22" Type="http://schemas.openxmlformats.org/officeDocument/2006/relationships/hyperlink" Target="https://portal.apvma.gov.au/pubcris" TargetMode="External"/><Relationship Id="rId27" Type="http://schemas.openxmlformats.org/officeDocument/2006/relationships/hyperlink" Target="https://ec.europa.eu/growth/tools-databases/cosing/index.cfm?fuseaction=search.simple" TargetMode="External"/><Relationship Id="rId30" Type="http://schemas.openxmlformats.org/officeDocument/2006/relationships/hyperlink" Target="https://www.tga.gov.au/artg" TargetMode="External"/><Relationship Id="rId35" Type="http://schemas.openxmlformats.org/officeDocument/2006/relationships/hyperlink" Target="https://portal.apvma.gov.au/pubcris" TargetMode="External"/><Relationship Id="rId43" Type="http://schemas.openxmlformats.org/officeDocument/2006/relationships/hyperlink" Target="https://www.tga.gov.au/artg" TargetMode="External"/><Relationship Id="rId48" Type="http://schemas.openxmlformats.org/officeDocument/2006/relationships/hyperlink" Target="https://apvma.gov.au/node/10946" TargetMode="External"/><Relationship Id="rId56" Type="http://schemas.openxmlformats.org/officeDocument/2006/relationships/hyperlink" Target="https://echa.europa.eu/search-for-chemicals" TargetMode="External"/><Relationship Id="rId64" Type="http://schemas.openxmlformats.org/officeDocument/2006/relationships/hyperlink" Target="https://portal.apvma.gov.au/pubcris" TargetMode="External"/><Relationship Id="rId69" Type="http://schemas.openxmlformats.org/officeDocument/2006/relationships/hyperlink" Target="https://health-products.canada.ca/dpd-bdpp/index-eng.jsp" TargetMode="External"/><Relationship Id="rId77" Type="http://schemas.openxmlformats.org/officeDocument/2006/relationships/hyperlink" Target="https://www.tga.gov.au/prescribing-medicines-pregnancy-database" TargetMode="External"/><Relationship Id="rId100" Type="http://schemas.openxmlformats.org/officeDocument/2006/relationships/hyperlink" Target="https://www.ebs.tga.gov.au/" TargetMode="External"/><Relationship Id="rId105" Type="http://schemas.openxmlformats.org/officeDocument/2006/relationships/hyperlink" Target="https://apps.tga.gov.au/Prod/daen/daen-entry.aspx" TargetMode="External"/><Relationship Id="rId113" Type="http://schemas.openxmlformats.org/officeDocument/2006/relationships/hyperlink" Target="https://consultations.health.gov.au/tga/november_2021_acms_accs_joint" TargetMode="External"/><Relationship Id="rId118" Type="http://schemas.openxmlformats.org/officeDocument/2006/relationships/footer" Target="footer3.xml"/><Relationship Id="rId8" Type="http://schemas.openxmlformats.org/officeDocument/2006/relationships/header" Target="header1.xml"/><Relationship Id="rId51" Type="http://schemas.openxmlformats.org/officeDocument/2006/relationships/hyperlink" Target="https://www.industrialchemicals.gov.au/search-inventory" TargetMode="External"/><Relationship Id="rId72" Type="http://schemas.openxmlformats.org/officeDocument/2006/relationships/hyperlink" Target="https://ec.europa.eu/food/plants/pesticides/eu-pesticides-database_en" TargetMode="External"/><Relationship Id="rId80" Type="http://schemas.openxmlformats.org/officeDocument/2006/relationships/hyperlink" Target="https://portal.apvma.gov.au/pubcris" TargetMode="External"/><Relationship Id="rId85" Type="http://schemas.openxmlformats.org/officeDocument/2006/relationships/hyperlink" Target="https://health-products.canada.ca/dpd-bdpp/index-eng.jsp" TargetMode="External"/><Relationship Id="rId93" Type="http://schemas.openxmlformats.org/officeDocument/2006/relationships/hyperlink" Target="https://portal.apvma.gov.au/pubcris" TargetMode="External"/><Relationship Id="rId98" Type="http://schemas.openxmlformats.org/officeDocument/2006/relationships/hyperlink" Target="https://health-products.canada.ca/dpd-bdpp/index-eng.jsp" TargetMode="External"/><Relationship Id="rId12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tga.gov.au/artg" TargetMode="External"/><Relationship Id="rId25" Type="http://schemas.openxmlformats.org/officeDocument/2006/relationships/hyperlink" Target="https://www.epa.govt.nz/database-search/new-zealand-inventory-of-chemicals-nzioc/" TargetMode="External"/><Relationship Id="rId33" Type="http://schemas.openxmlformats.org/officeDocument/2006/relationships/hyperlink" Target="https://www.legislation.gov.au/Details/F2019L00213" TargetMode="External"/><Relationship Id="rId38" Type="http://schemas.openxmlformats.org/officeDocument/2006/relationships/hyperlink" Target="https://www.accessdata.fda.gov/scripts/cder/daf/" TargetMode="External"/><Relationship Id="rId46" Type="http://schemas.openxmlformats.org/officeDocument/2006/relationships/hyperlink" Target="https://www.legislation.gov.au/Details/F2019L00213" TargetMode="External"/><Relationship Id="rId59" Type="http://schemas.openxmlformats.org/officeDocument/2006/relationships/hyperlink" Target="https://www.tga.gov.au/artg" TargetMode="External"/><Relationship Id="rId67" Type="http://schemas.openxmlformats.org/officeDocument/2006/relationships/hyperlink" Target="https://pesticide-registry.canada.ca/en/active-ingredient-search.html" TargetMode="External"/><Relationship Id="rId103" Type="http://schemas.openxmlformats.org/officeDocument/2006/relationships/hyperlink" Target="https://www.tga.gov.au/prescribing-medicines-pregnancy-database" TargetMode="External"/><Relationship Id="rId108" Type="http://schemas.openxmlformats.org/officeDocument/2006/relationships/hyperlink" Target="https://health-products.canada.ca/dpd-bdpp/index-eng.jsp" TargetMode="External"/><Relationship Id="rId116" Type="http://schemas.openxmlformats.org/officeDocument/2006/relationships/hyperlink" Target="https://www.tga.gov.au/public-submissions-scheduling-matters" TargetMode="External"/><Relationship Id="rId124" Type="http://schemas.openxmlformats.org/officeDocument/2006/relationships/theme" Target="theme/theme1.xml"/><Relationship Id="rId20" Type="http://schemas.openxmlformats.org/officeDocument/2006/relationships/hyperlink" Target="https://www.legislation.gov.au/Details/F2019L00213" TargetMode="External"/><Relationship Id="rId41" Type="http://schemas.openxmlformats.org/officeDocument/2006/relationships/hyperlink" Target="https://www.medsafe.govt.nz/profs/class/classintro.asp" TargetMode="External"/><Relationship Id="rId54" Type="http://schemas.openxmlformats.org/officeDocument/2006/relationships/hyperlink" Target="https://ec.europa.eu/growth/tools-databases/cosing/" TargetMode="External"/><Relationship Id="rId62" Type="http://schemas.openxmlformats.org/officeDocument/2006/relationships/hyperlink" Target="https://www.legislation.gov.au/Details/F2019L00213" TargetMode="External"/><Relationship Id="rId70" Type="http://schemas.openxmlformats.org/officeDocument/2006/relationships/hyperlink" Target="file:///C:\Users\SONISA\AppData\Local\Hewlett-Packard\HP%20TRIM\TEMP\HPTRIM.16372\FDA%20Approved%20Drug%20Products%20Database%20https:\www.accessdata.fda.gov\scripts\cder\daf\" TargetMode="External"/><Relationship Id="rId75" Type="http://schemas.openxmlformats.org/officeDocument/2006/relationships/hyperlink" Target="https://www.tga.gov.au/artg" TargetMode="External"/><Relationship Id="rId83" Type="http://schemas.openxmlformats.org/officeDocument/2006/relationships/hyperlink" Target="https://www.who.int/publications/i/item/WHOMVPEMPIAU2019.06" TargetMode="External"/><Relationship Id="rId88" Type="http://schemas.openxmlformats.org/officeDocument/2006/relationships/hyperlink" Target="https://www.tga.gov.au/artg" TargetMode="External"/><Relationship Id="rId91" Type="http://schemas.openxmlformats.org/officeDocument/2006/relationships/hyperlink" Target="https://www.legislation.gov.au/Details/F2019L00213" TargetMode="External"/><Relationship Id="rId96" Type="http://schemas.openxmlformats.org/officeDocument/2006/relationships/hyperlink" Target="https://www.hpra.ie/homepage/medicines/medicines-information/find-a-medicine/" TargetMode="External"/><Relationship Id="rId111" Type="http://schemas.openxmlformats.org/officeDocument/2006/relationships/hyperlink" Target="https://ec.europa.eu/growth/tools-databases/cos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committee/advisory-committee-chemicals-scheduling-accs" TargetMode="External"/><Relationship Id="rId23" Type="http://schemas.openxmlformats.org/officeDocument/2006/relationships/hyperlink" Target="https://www.canada.ca/en/health-canada/services/drugs-health-products/drug-products/drug-product-database.html" TargetMode="External"/><Relationship Id="rId28" Type="http://schemas.openxmlformats.org/officeDocument/2006/relationships/hyperlink" Target="https://www.hpra.ie/" TargetMode="External"/><Relationship Id="rId36" Type="http://schemas.openxmlformats.org/officeDocument/2006/relationships/hyperlink" Target="https://www.who.int/publications/i/item/WHOMVPEMPIAU2019.06" TargetMode="External"/><Relationship Id="rId49" Type="http://schemas.openxmlformats.org/officeDocument/2006/relationships/hyperlink" Target="https://apvma.gov.au/node/4176" TargetMode="External"/><Relationship Id="rId57" Type="http://schemas.openxmlformats.org/officeDocument/2006/relationships/hyperlink" Target="https://health-products.canada.ca/dpd-bdpp/index-eng.jsp" TargetMode="External"/><Relationship Id="rId106" Type="http://schemas.openxmlformats.org/officeDocument/2006/relationships/hyperlink" Target="https://portal.apvma.gov.au/pubcris" TargetMode="External"/><Relationship Id="rId114" Type="http://schemas.openxmlformats.org/officeDocument/2006/relationships/hyperlink" Target="https://www.tga.gov.au/committee/advisory-committee-medicines-scheduling-acms" TargetMode="External"/><Relationship Id="rId119" Type="http://schemas.openxmlformats.org/officeDocument/2006/relationships/header" Target="header4.xml"/><Relationship Id="rId10" Type="http://schemas.openxmlformats.org/officeDocument/2006/relationships/header" Target="header2.xml"/><Relationship Id="rId31" Type="http://schemas.openxmlformats.org/officeDocument/2006/relationships/hyperlink" Target="https://www.legislation.gov.au/Search/Therapeutic%20Goods%20$LB$Permissible%20Ingredients$RB$%20Determination" TargetMode="External"/><Relationship Id="rId44" Type="http://schemas.openxmlformats.org/officeDocument/2006/relationships/hyperlink" Target="https://www.legislation.gov.au/Search/Therapeutic%20Goods%20$LB$Permissible%20Ingredients$RB$%20Determination" TargetMode="External"/><Relationship Id="rId52" Type="http://schemas.openxmlformats.org/officeDocument/2006/relationships/hyperlink" Target="https://www.nhmrc.gov.au/about-us/publications/australian-drinking-water-guidelines" TargetMode="External"/><Relationship Id="rId60" Type="http://schemas.openxmlformats.org/officeDocument/2006/relationships/hyperlink" Target="https://www.legislation.gov.au/Search/Therapeutic%20Goods%20$LB$Permissible%20Ingredients$RB$%20Determination" TargetMode="External"/><Relationship Id="rId65" Type="http://schemas.openxmlformats.org/officeDocument/2006/relationships/hyperlink" Target="https://iaspub.epa.gov/apex/pesticides/f?p=CHEMICALSEARCH:1:" TargetMode="External"/><Relationship Id="rId73" Type="http://schemas.openxmlformats.org/officeDocument/2006/relationships/hyperlink" Target="https://echa.europa.eu/search-for-chemicals" TargetMode="External"/><Relationship Id="rId78" Type="http://schemas.openxmlformats.org/officeDocument/2006/relationships/hyperlink" Target="https://www.legislation.gov.au/Details/F2019L00213" TargetMode="External"/><Relationship Id="rId81" Type="http://schemas.openxmlformats.org/officeDocument/2006/relationships/hyperlink" Target="https://www.legislation.gov.au/Details/F2019C00328" TargetMode="External"/><Relationship Id="rId86" Type="http://schemas.openxmlformats.org/officeDocument/2006/relationships/hyperlink" Target="https://www.medsafe.govt.nz/profs/class/classintro.asp" TargetMode="External"/><Relationship Id="rId94" Type="http://schemas.openxmlformats.org/officeDocument/2006/relationships/hyperlink" Target="https://apvma.gov.au/node/10946" TargetMode="External"/><Relationship Id="rId99" Type="http://schemas.openxmlformats.org/officeDocument/2006/relationships/hyperlink" Target="https://www.medsafe.govt.nz/profs/class/classintro.asp" TargetMode="External"/><Relationship Id="rId101" Type="http://schemas.openxmlformats.org/officeDocument/2006/relationships/hyperlink" Target="https://www.tga.gov.au/artg" TargetMode="External"/><Relationship Id="rId12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consultations.health.gov.au/tga/november_2021_acms_accs_joint" TargetMode="External"/><Relationship Id="rId18" Type="http://schemas.openxmlformats.org/officeDocument/2006/relationships/hyperlink" Target="https://www.legislation.gov.au/Search/Therapeutic%20Goods%20$LB$Permissible%20Ingredients$RB$%20Determination" TargetMode="External"/><Relationship Id="rId39" Type="http://schemas.openxmlformats.org/officeDocument/2006/relationships/hyperlink" Target="https://health-products.canada.ca/dpd-bdpp/index-eng.jsp" TargetMode="External"/><Relationship Id="rId109" Type="http://schemas.openxmlformats.org/officeDocument/2006/relationships/hyperlink" Target="https://www.accessdata.fda.gov/scripts/cder/daf/" TargetMode="External"/><Relationship Id="rId34" Type="http://schemas.openxmlformats.org/officeDocument/2006/relationships/hyperlink" Target="https://apps.tga.gov.au/Prod/daen/daen-entry.aspx" TargetMode="External"/><Relationship Id="rId50" Type="http://schemas.openxmlformats.org/officeDocument/2006/relationships/hyperlink" Target="https://www.industrialchemicals.gov.au/help-and-guides/list-chemicals-high-hazards-categorisation" TargetMode="External"/><Relationship Id="rId55" Type="http://schemas.openxmlformats.org/officeDocument/2006/relationships/hyperlink" Target="https://www.epa.govt.nz/database-search/new-zealand-inventory-of-chemicals-nzioc/DatabaseSearchForm/?SiteDatabaseSearchFilters=36&amp;Keyword=acequinocyl&amp;DatabaseType=NZIOC" TargetMode="External"/><Relationship Id="rId76" Type="http://schemas.openxmlformats.org/officeDocument/2006/relationships/hyperlink" Target="https://www.legislation.gov.au/Search/Therapeutic%20Goods%20$LB$Permissible%20Ingredients$RB$%20Determination" TargetMode="External"/><Relationship Id="rId97" Type="http://schemas.openxmlformats.org/officeDocument/2006/relationships/hyperlink" Target="https://www.accessdata.fda.gov/scripts/cder/daf/" TargetMode="External"/><Relationship Id="rId104" Type="http://schemas.openxmlformats.org/officeDocument/2006/relationships/hyperlink" Target="https://www.legislation.gov.au/Details/F2019L00213" TargetMode="External"/><Relationship Id="rId120" Type="http://schemas.openxmlformats.org/officeDocument/2006/relationships/hyperlink" Target="https://www.tga.gov.au/scheduling-delegates-interim-decisions-invitations-further-comment" TargetMode="External"/><Relationship Id="rId7" Type="http://schemas.openxmlformats.org/officeDocument/2006/relationships/endnotes" Target="endnotes.xml"/><Relationship Id="rId71" Type="http://schemas.openxmlformats.org/officeDocument/2006/relationships/hyperlink" Target="https://www.epa.govt.nz/database-search/new-zealand-inventory-of-chemicals-nzioc/DatabaseSearchForm/?SiteDatabaseSearchFilters=36&amp;Keyword=acequinocyl&amp;DatabaseType=NZIOC" TargetMode="External"/><Relationship Id="rId92" Type="http://schemas.openxmlformats.org/officeDocument/2006/relationships/hyperlink" Target="https://apps.tga.gov.au/Prod/daen/daen-entry.aspx" TargetMode="External"/><Relationship Id="rId2" Type="http://schemas.openxmlformats.org/officeDocument/2006/relationships/numbering" Target="numbering.xml"/><Relationship Id="rId29" Type="http://schemas.openxmlformats.org/officeDocument/2006/relationships/hyperlink" Target="https://www.ebs.tga.gov.au/" TargetMode="External"/><Relationship Id="rId24" Type="http://schemas.openxmlformats.org/officeDocument/2006/relationships/hyperlink" Target="https://www.accessdata.fda.gov/scripts/cder/daf/" TargetMode="External"/><Relationship Id="rId40" Type="http://schemas.openxmlformats.org/officeDocument/2006/relationships/hyperlink" Target="https://www.medicines.org.uk/emc/" TargetMode="External"/><Relationship Id="rId45" Type="http://schemas.openxmlformats.org/officeDocument/2006/relationships/hyperlink" Target="https://www.tga.gov.au/prescribing-medicines-pregnancy-database" TargetMode="External"/><Relationship Id="rId66" Type="http://schemas.openxmlformats.org/officeDocument/2006/relationships/hyperlink" Target="https://ec.europa.eu/growth/tools-databases/cosing/" TargetMode="External"/><Relationship Id="rId87" Type="http://schemas.openxmlformats.org/officeDocument/2006/relationships/hyperlink" Target="https://www.ebs.tga.gov.au/" TargetMode="External"/><Relationship Id="rId110" Type="http://schemas.openxmlformats.org/officeDocument/2006/relationships/hyperlink" Target="https://www.epa.govt.nz/database-search/new-zealand-inventory-of-chemicals-nzioc/DatabaseSearchForm/?SiteDatabaseSearchFilters=36&amp;Keyword=acequinocyl&amp;DatabaseType=NZIOC" TargetMode="External"/><Relationship Id="rId115" Type="http://schemas.openxmlformats.org/officeDocument/2006/relationships/hyperlink" Target="https://www.tga.gov.au/committee/advisory-committee-chemicals-scheduling-accs"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medsafe.govt.nz/profs/class/classintro.asp" TargetMode="External"/><Relationship Id="rId21" Type="http://schemas.openxmlformats.org/officeDocument/2006/relationships/hyperlink" Target="http://www.who.int/publications/i/item/WHOMVPEMPIAU2019.06" TargetMode="External"/><Relationship Id="rId34" Type="http://schemas.openxmlformats.org/officeDocument/2006/relationships/hyperlink" Target="https://apvma.gov.au/node/4176" TargetMode="External"/><Relationship Id="rId42" Type="http://schemas.openxmlformats.org/officeDocument/2006/relationships/hyperlink" Target="https://health-products.canada.ca/dpd-bdpp/index-eng.jsp" TargetMode="External"/><Relationship Id="rId47" Type="http://schemas.openxmlformats.org/officeDocument/2006/relationships/hyperlink" Target="https://www.legislation.gov.au/Details/F2019L00213" TargetMode="External"/><Relationship Id="rId50" Type="http://schemas.openxmlformats.org/officeDocument/2006/relationships/hyperlink" Target="https://iaspub.epa.gov/apex/pesticides/f?p=CHEMICALSEARCH:1" TargetMode="External"/><Relationship Id="rId55" Type="http://schemas.openxmlformats.org/officeDocument/2006/relationships/hyperlink" Target="https://www.accessdata.fda.gov/scripts/cder/daf/" TargetMode="External"/><Relationship Id="rId63" Type="http://schemas.openxmlformats.org/officeDocument/2006/relationships/hyperlink" Target="https://www.legislation.gov.au/Details/F2019L00213" TargetMode="External"/><Relationship Id="rId68" Type="http://schemas.openxmlformats.org/officeDocument/2006/relationships/hyperlink" Target="https://www.hpra.ie/homepage/medicines/medicines-information/find-a-medicine/" TargetMode="External"/><Relationship Id="rId76" Type="http://schemas.openxmlformats.org/officeDocument/2006/relationships/hyperlink" Target="https://apps.tga.gov.au/Prod/daen/daen-entry.aspx" TargetMode="External"/><Relationship Id="rId84" Type="http://schemas.openxmlformats.org/officeDocument/2006/relationships/hyperlink" Target="https://tgldcdp.tg.org.au/viewTopic?topicfile=management-of-dental-problems-for-medical-practitioners&amp;guidelineName=Oral%20and%20Dental&amp;topicNavigation=navigateTopic" TargetMode="External"/><Relationship Id="rId89" Type="http://schemas.openxmlformats.org/officeDocument/2006/relationships/hyperlink" Target="https://www.legislation.gov.au/Details/F2019L00213" TargetMode="External"/><Relationship Id="rId97" Type="http://schemas.openxmlformats.org/officeDocument/2006/relationships/hyperlink" Target="https://ec.europa.eu/growth/tools-databases/cosing/" TargetMode="External"/><Relationship Id="rId7" Type="http://schemas.openxmlformats.org/officeDocument/2006/relationships/hyperlink" Target="https://portal.apvma.gov.au/pubcris" TargetMode="External"/><Relationship Id="rId71" Type="http://schemas.openxmlformats.org/officeDocument/2006/relationships/hyperlink" Target="https://www.ebs.tga.gov.au/" TargetMode="External"/><Relationship Id="rId92" Type="http://schemas.openxmlformats.org/officeDocument/2006/relationships/hyperlink" Target="https://www.medsafe.govt.nz/profs/class/classintro.asp" TargetMode="External"/><Relationship Id="rId2" Type="http://schemas.openxmlformats.org/officeDocument/2006/relationships/hyperlink" Target="https://www.tga.gov.au/artg" TargetMode="External"/><Relationship Id="rId16" Type="http://schemas.openxmlformats.org/officeDocument/2006/relationships/hyperlink" Target="https://www.legislation.gov.au/Search/Therapeutic%20Goods%20$LB$Permissible%20Ingredients$RB$%20Determination" TargetMode="External"/><Relationship Id="rId29" Type="http://schemas.openxmlformats.org/officeDocument/2006/relationships/hyperlink" Target="https://www.legislation.gov.au/Search/Therapeutic%20Goods%20$LB$Permissible%20Ingredients$RB$%20Determination" TargetMode="External"/><Relationship Id="rId11" Type="http://schemas.openxmlformats.org/officeDocument/2006/relationships/hyperlink" Target="file:///C:\Users\SONISA\AppData\Local\Hewlett-Packard\HP%20TRIM\TEMP\HPTRIM.16372\www.medsafe.govt.nz\profs\class\classintro.asp" TargetMode="External"/><Relationship Id="rId24" Type="http://schemas.openxmlformats.org/officeDocument/2006/relationships/hyperlink" Target="https://health-products.canada.ca/dpd-bdpp/index-eng.jsp" TargetMode="External"/><Relationship Id="rId32" Type="http://schemas.openxmlformats.org/officeDocument/2006/relationships/hyperlink" Target="https://portal.apvma.gov.au/pubcris" TargetMode="External"/><Relationship Id="rId37" Type="http://schemas.openxmlformats.org/officeDocument/2006/relationships/hyperlink" Target="https://www.nhmrc.gov.au/about-us/publications/australian-drinking-water-guidelines" TargetMode="External"/><Relationship Id="rId40" Type="http://schemas.openxmlformats.org/officeDocument/2006/relationships/hyperlink" Target="https://www.epa.govt.nz/database-search/new-zealand-inventory-of-chemicals-nzioc/DatabaseSearchForm/?SiteDatabaseSearchFilters=36&amp;Keyword=acequinocyl&amp;DatabaseType=NZIOC" TargetMode="External"/><Relationship Id="rId45" Type="http://schemas.openxmlformats.org/officeDocument/2006/relationships/hyperlink" Target="https://www.legislation.gov.au/Search/Therapeutic%20Goods%20$LB$Permissible%20Ingredients$RB$%20Determination" TargetMode="External"/><Relationship Id="rId53" Type="http://schemas.openxmlformats.org/officeDocument/2006/relationships/hyperlink" Target="https://www.medsafe.govt.nz/profs/class/classintro.asp" TargetMode="External"/><Relationship Id="rId58" Type="http://schemas.openxmlformats.org/officeDocument/2006/relationships/hyperlink" Target="https://echa.europa.eu/search-for-chemicals" TargetMode="External"/><Relationship Id="rId66" Type="http://schemas.openxmlformats.org/officeDocument/2006/relationships/hyperlink" Target="https://www.accessdata.fda.gov/scripts/cder/daf/" TargetMode="External"/><Relationship Id="rId74" Type="http://schemas.openxmlformats.org/officeDocument/2006/relationships/hyperlink" Target="https://www.tga.gov.au/prescribing-medicines-pregnancy-database" TargetMode="External"/><Relationship Id="rId79" Type="http://schemas.openxmlformats.org/officeDocument/2006/relationships/hyperlink" Target="https://www.who.int/publications/i/item/WHOMVPEMPIAU2019.06" TargetMode="External"/><Relationship Id="rId87" Type="http://schemas.openxmlformats.org/officeDocument/2006/relationships/hyperlink" Target="https://www.legislation.gov.au/Search/Therapeutic%20Goods%20$LB$Permissible%20Ingredients$RB$%20Determination" TargetMode="External"/><Relationship Id="rId5" Type="http://schemas.openxmlformats.org/officeDocument/2006/relationships/hyperlink" Target="https://www.legislation.gov.au/Details/F2019L00213" TargetMode="External"/><Relationship Id="rId61" Type="http://schemas.openxmlformats.org/officeDocument/2006/relationships/hyperlink" Target="https://www.legislation.gov.au/Search/Therapeutic%20Goods%20$LB$Permissible%20Ingredients$RB$%20Determination" TargetMode="External"/><Relationship Id="rId82" Type="http://schemas.openxmlformats.org/officeDocument/2006/relationships/hyperlink" Target="https://health-products.canada.ca/dpd-bdpp/index-eng.jsp" TargetMode="External"/><Relationship Id="rId90" Type="http://schemas.openxmlformats.org/officeDocument/2006/relationships/hyperlink" Target="https://apps.tga.gov.au/Prod/daen/daen-entry.aspx" TargetMode="External"/><Relationship Id="rId95" Type="http://schemas.openxmlformats.org/officeDocument/2006/relationships/hyperlink" Target="https://www.epa.govt.nz/database-search/new-zealand-inventory-of-chemicals-nzioc/DatabaseSearchForm/?SiteDatabaseSearchFilters=36&amp;Keyword=acequinocyl&amp;DatabaseType=NZIOC" TargetMode="External"/><Relationship Id="rId19" Type="http://schemas.openxmlformats.org/officeDocument/2006/relationships/hyperlink" Target="https://apps.tga.gov.au/Prod/daen/daen-entry.aspx" TargetMode="External"/><Relationship Id="rId14" Type="http://schemas.openxmlformats.org/officeDocument/2006/relationships/hyperlink" Target="https://www.ebs.tga.gov.au/" TargetMode="External"/><Relationship Id="rId22" Type="http://schemas.openxmlformats.org/officeDocument/2006/relationships/hyperlink" Target="https://www.hpra.ie/homepage/medicines/medicines-information/find-a-medicine/results?query=&amp;field" TargetMode="External"/><Relationship Id="rId27" Type="http://schemas.openxmlformats.org/officeDocument/2006/relationships/hyperlink" Target="https://www.ebs.tga.gov.au/" TargetMode="External"/><Relationship Id="rId30" Type="http://schemas.openxmlformats.org/officeDocument/2006/relationships/hyperlink" Target="https://www.tga.gov.au/prescribing-medicines-pregnancy-database" TargetMode="External"/><Relationship Id="rId35" Type="http://schemas.openxmlformats.org/officeDocument/2006/relationships/hyperlink" Target="https://www.industrialchemicals.gov.au/help-and-guides/list-chemicals-high-hazards-categorisation" TargetMode="External"/><Relationship Id="rId43" Type="http://schemas.openxmlformats.org/officeDocument/2006/relationships/hyperlink" Target="https://www.ebs.tga.gov.au/" TargetMode="External"/><Relationship Id="rId48" Type="http://schemas.openxmlformats.org/officeDocument/2006/relationships/hyperlink" Target="https://apps.tga.gov.au/Prod/daen/daen-entry.aspx" TargetMode="External"/><Relationship Id="rId56" Type="http://schemas.openxmlformats.org/officeDocument/2006/relationships/hyperlink" Target="https://www.epa.govt.nz/database-search/new-zealand-inventory-of-chemicals-nzioc/DatabaseSearchForm/?SiteDatabaseSearchFilters=36&amp;Keyword=acequinocyl&amp;DatabaseType=NZIOC" TargetMode="External"/><Relationship Id="rId64" Type="http://schemas.openxmlformats.org/officeDocument/2006/relationships/hyperlink" Target="https://apps.tga.gov.au/Prod/daen/daen-entry.aspx" TargetMode="External"/><Relationship Id="rId69" Type="http://schemas.openxmlformats.org/officeDocument/2006/relationships/hyperlink" Target="https://health-products.canada.ca/dpd-bdpp/index-eng.jsp" TargetMode="External"/><Relationship Id="rId77" Type="http://schemas.openxmlformats.org/officeDocument/2006/relationships/hyperlink" Target="https://portal.apvma.gov.au/pubcris" TargetMode="External"/><Relationship Id="rId8" Type="http://schemas.openxmlformats.org/officeDocument/2006/relationships/hyperlink" Target="file:///C:\Users\SONISA\AppData\Local\Hewlett-Packard\HP%20TRIM\TEMP\HPTRIM.16372\www.canada.ca\en\health-canada\services\drugs-health-products\drug-products\drug-product-database.html" TargetMode="External"/><Relationship Id="rId51" Type="http://schemas.openxmlformats.org/officeDocument/2006/relationships/hyperlink" Target="https://ec.europa.eu/growth/tools-databases/cosing/" TargetMode="External"/><Relationship Id="rId72" Type="http://schemas.openxmlformats.org/officeDocument/2006/relationships/hyperlink" Target="https://www.tga.gov.au/artg" TargetMode="External"/><Relationship Id="rId80" Type="http://schemas.openxmlformats.org/officeDocument/2006/relationships/hyperlink" Target="https://www.hpra.ie/homepage/medicines/medicines-information/find-a-medicine/" TargetMode="External"/><Relationship Id="rId85" Type="http://schemas.openxmlformats.org/officeDocument/2006/relationships/hyperlink" Target="https://www.ebs.tga.gov.au/" TargetMode="External"/><Relationship Id="rId93" Type="http://schemas.openxmlformats.org/officeDocument/2006/relationships/hyperlink" Target="https://health-products.canada.ca/dpd-bdpp/index-eng.jsp" TargetMode="External"/><Relationship Id="rId98" Type="http://schemas.openxmlformats.org/officeDocument/2006/relationships/hyperlink" Target="https://www.hpra.ie/homepage/medicines/medicines-information/find-a-medicine/results?query=&amp;field" TargetMode="External"/><Relationship Id="rId3" Type="http://schemas.openxmlformats.org/officeDocument/2006/relationships/hyperlink" Target="https://www.legislation.gov.au/Search/Therapeutic%20Goods%20$LB$Permissible%20Ingredients$RB$%20Determination" TargetMode="External"/><Relationship Id="rId12" Type="http://schemas.openxmlformats.org/officeDocument/2006/relationships/hyperlink" Target="file:///C:\Users\SONISA\AppData\Local\Hewlett-Packard\HP%20TRIM\TEMP\HPTRIM.16372\ec.europa.eu\growth\tools-databases\cosing\index.cfm%3ffuseaction=search.simple" TargetMode="External"/><Relationship Id="rId17" Type="http://schemas.openxmlformats.org/officeDocument/2006/relationships/hyperlink" Target="https://www.tga.gov.au/prescribing-medicines-pregnancy-database" TargetMode="External"/><Relationship Id="rId25" Type="http://schemas.openxmlformats.org/officeDocument/2006/relationships/hyperlink" Target="https://www.medicines.org.uk/emc/" TargetMode="External"/><Relationship Id="rId33" Type="http://schemas.openxmlformats.org/officeDocument/2006/relationships/hyperlink" Target="https://apvma.gov.au/node/10946" TargetMode="External"/><Relationship Id="rId38" Type="http://schemas.openxmlformats.org/officeDocument/2006/relationships/hyperlink" Target="https://iaspub.epa.gov/apex/pesticides/f?p=CHEMICALSEARCH:1" TargetMode="External"/><Relationship Id="rId46" Type="http://schemas.openxmlformats.org/officeDocument/2006/relationships/hyperlink" Target="https://www.tga.gov.au/prescribing-medicines-pregnancy-database" TargetMode="External"/><Relationship Id="rId59" Type="http://schemas.openxmlformats.org/officeDocument/2006/relationships/hyperlink" Target="https://www.ebs.tga.gov.au/" TargetMode="External"/><Relationship Id="rId67" Type="http://schemas.openxmlformats.org/officeDocument/2006/relationships/hyperlink" Target="https://www.who.int/publications/i/item/WHOMVPEMPIAU2019.06" TargetMode="External"/><Relationship Id="rId20" Type="http://schemas.openxmlformats.org/officeDocument/2006/relationships/hyperlink" Target="https://portal.apvma.gov.au/pubcris" TargetMode="External"/><Relationship Id="rId41" Type="http://schemas.openxmlformats.org/officeDocument/2006/relationships/hyperlink" Target="https://echa.europa.eu/search-for-chemicals" TargetMode="External"/><Relationship Id="rId54" Type="http://schemas.openxmlformats.org/officeDocument/2006/relationships/hyperlink" Target="https://health-products.canada.ca/dpd-bdpp/index-eng.jsp" TargetMode="External"/><Relationship Id="rId62" Type="http://schemas.openxmlformats.org/officeDocument/2006/relationships/hyperlink" Target="https://www.tga.gov.au/prescribing-medicines-pregnancy-database" TargetMode="External"/><Relationship Id="rId70" Type="http://schemas.openxmlformats.org/officeDocument/2006/relationships/hyperlink" Target="https://www.medsafe.govt.nz/profs/class/classintro.asp" TargetMode="External"/><Relationship Id="rId75" Type="http://schemas.openxmlformats.org/officeDocument/2006/relationships/hyperlink" Target="https://www.legislation.gov.au/Details/F2019L00213" TargetMode="External"/><Relationship Id="rId83" Type="http://schemas.openxmlformats.org/officeDocument/2006/relationships/hyperlink" Target="https://www.medsafe.govt.nz/profs/class/classintro.asp" TargetMode="External"/><Relationship Id="rId88" Type="http://schemas.openxmlformats.org/officeDocument/2006/relationships/hyperlink" Target="https://www.tga.gov.au/prescribing-medicines-pregnancy-database" TargetMode="External"/><Relationship Id="rId91" Type="http://schemas.openxmlformats.org/officeDocument/2006/relationships/hyperlink" Target="https://portal.apvma.gov.au/pubcris" TargetMode="External"/><Relationship Id="rId96" Type="http://schemas.openxmlformats.org/officeDocument/2006/relationships/hyperlink" Target="https://ec.europa.eu/growth/tools-databases/cosing/" TargetMode="External"/><Relationship Id="rId1" Type="http://schemas.openxmlformats.org/officeDocument/2006/relationships/hyperlink" Target="https://www.ebs.tga.gov.au/" TargetMode="External"/><Relationship Id="rId6" Type="http://schemas.openxmlformats.org/officeDocument/2006/relationships/hyperlink" Target="https://apps.tga.gov.au/Prod/daen/daen-entry.aspx" TargetMode="External"/><Relationship Id="rId15" Type="http://schemas.openxmlformats.org/officeDocument/2006/relationships/hyperlink" Target="https://www.tga.gov.au/artg" TargetMode="External"/><Relationship Id="rId23" Type="http://schemas.openxmlformats.org/officeDocument/2006/relationships/hyperlink" Target="https://www.accessdata.fda.gov/scripts/cder/daf/" TargetMode="External"/><Relationship Id="rId28" Type="http://schemas.openxmlformats.org/officeDocument/2006/relationships/hyperlink" Target="https://www.tga.gov.au/artg" TargetMode="External"/><Relationship Id="rId36" Type="http://schemas.openxmlformats.org/officeDocument/2006/relationships/hyperlink" Target="https://www.industrialchemicals.gov.au/search-inventory" TargetMode="External"/><Relationship Id="rId49" Type="http://schemas.openxmlformats.org/officeDocument/2006/relationships/hyperlink" Target="https://portal.apvma.gov.au/pubcris" TargetMode="External"/><Relationship Id="rId57" Type="http://schemas.openxmlformats.org/officeDocument/2006/relationships/hyperlink" Target="https://ec.europa.eu/food/plants/pesticides/eu-pesticides-database_en" TargetMode="External"/><Relationship Id="rId10" Type="http://schemas.openxmlformats.org/officeDocument/2006/relationships/hyperlink" Target="file:///C:\Users\SONISA\AppData\Local\Hewlett-Packard\HP%20TRIM\TEMP\HPTRIM.16372\www.epa.govt.nz\database-search\new-zealand-inventory-of-chemicals-nzioc\" TargetMode="External"/><Relationship Id="rId31" Type="http://schemas.openxmlformats.org/officeDocument/2006/relationships/hyperlink" Target="https://www.legislation.gov.au/Details/F2019L00213" TargetMode="External"/><Relationship Id="rId44" Type="http://schemas.openxmlformats.org/officeDocument/2006/relationships/hyperlink" Target="https://www.tga.gov.au/artg" TargetMode="External"/><Relationship Id="rId52" Type="http://schemas.openxmlformats.org/officeDocument/2006/relationships/hyperlink" Target="https://pesticide-registry.canada.ca/en/active-ingredient-search.html" TargetMode="External"/><Relationship Id="rId60" Type="http://schemas.openxmlformats.org/officeDocument/2006/relationships/hyperlink" Target="https://www.tga.gov.au/artg" TargetMode="External"/><Relationship Id="rId65" Type="http://schemas.openxmlformats.org/officeDocument/2006/relationships/hyperlink" Target="https://portal.apvma.gov.au/pubcris" TargetMode="External"/><Relationship Id="rId73" Type="http://schemas.openxmlformats.org/officeDocument/2006/relationships/hyperlink" Target="https://www.legislation.gov.au/Search/Therapeutic%20Goods%20$LB$Permissible%20Ingredients$RB$%20Determination" TargetMode="External"/><Relationship Id="rId78" Type="http://schemas.openxmlformats.org/officeDocument/2006/relationships/hyperlink" Target="https://apvma.gov.au/node/10946" TargetMode="External"/><Relationship Id="rId81" Type="http://schemas.openxmlformats.org/officeDocument/2006/relationships/hyperlink" Target="https://www.accessdata.fda.gov/scripts/cder/daf/" TargetMode="External"/><Relationship Id="rId86" Type="http://schemas.openxmlformats.org/officeDocument/2006/relationships/hyperlink" Target="https://www.tga.gov.au/artg" TargetMode="External"/><Relationship Id="rId94" Type="http://schemas.openxmlformats.org/officeDocument/2006/relationships/hyperlink" Target="https://www.accessdata.fda.gov/scripts/cder/daf/" TargetMode="External"/><Relationship Id="rId4" Type="http://schemas.openxmlformats.org/officeDocument/2006/relationships/hyperlink" Target="https://www.tga.gov.au/prescribing-medicines-pregnancy-database" TargetMode="External"/><Relationship Id="rId9" Type="http://schemas.openxmlformats.org/officeDocument/2006/relationships/hyperlink" Target="file:///C:\Users\SONISA\AppData\Local\Hewlett-Packard\HP%20TRIM\TEMP\HPTRIM.16372\www.accessdata.fda.gov\scripts\cder\daf\" TargetMode="External"/><Relationship Id="rId13" Type="http://schemas.openxmlformats.org/officeDocument/2006/relationships/hyperlink" Target="file:///C:\Users\SONISA\AppData\Local\Hewlett-Packard\HP%20TRIM\TEMP\HPTRIM.16372\www.hpra.ie\" TargetMode="External"/><Relationship Id="rId18" Type="http://schemas.openxmlformats.org/officeDocument/2006/relationships/hyperlink" Target="https://www.legislation.gov.au/Details/F2019L00213" TargetMode="External"/><Relationship Id="rId39" Type="http://schemas.openxmlformats.org/officeDocument/2006/relationships/hyperlink" Target="https://ec.europa.eu/growth/tools-databases/cosi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C370-D7AF-483D-BF05-1B749B93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16</TotalTime>
  <Pages>38</Pages>
  <Words>10761</Words>
  <Characters>61988</Characters>
  <Application>Microsoft Office Word</Application>
  <DocSecurity>0</DocSecurity>
  <Lines>1441</Lines>
  <Paragraphs>983</Paragraphs>
  <ScaleCrop>false</ScaleCrop>
  <HeadingPairs>
    <vt:vector size="2" baseType="variant">
      <vt:variant>
        <vt:lpstr>Title</vt:lpstr>
      </vt:variant>
      <vt:variant>
        <vt:i4>1</vt:i4>
      </vt:variant>
    </vt:vector>
  </HeadingPairs>
  <TitlesOfParts>
    <vt:vector size="1" baseType="lpstr">
      <vt:lpstr>Consultation: Proposed amendments to the Poisons Standard – ACCS, ACMS and joint ACCS/ACMS meetings, </vt:lpstr>
    </vt:vector>
  </TitlesOfParts>
  <Company>Department of Health, TGA</Company>
  <LinksUpToDate>false</LinksUpToDate>
  <CharactersWithSpaces>71766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amendments to the Poisons Standard – ACCS, ACMS and joint ACCS/ACMS meetings, November 2021</dc:title>
  <dc:creator>Therapeutic Goods Administration</dc:creator>
  <cp:lastPrinted>2010-12-20T22:59:00Z</cp:lastPrinted>
  <dcterms:created xsi:type="dcterms:W3CDTF">2021-09-07T00:20:00Z</dcterms:created>
  <dcterms:modified xsi:type="dcterms:W3CDTF">2021-09-07T00:49:00Z</dcterms:modified>
</cp:coreProperties>
</file>