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15F" w:rsidRDefault="00CB515F" w:rsidP="00C57A1B">
      <w:pPr>
        <w:pStyle w:val="Title"/>
        <w:spacing w:before="840"/>
        <w:rPr>
          <w:lang w:eastAsia="en-AU"/>
        </w:rPr>
      </w:pPr>
      <w:r>
        <w:rPr>
          <w:lang w:eastAsia="en-AU"/>
        </w:rPr>
        <w:t>Consultation:</w:t>
      </w:r>
    </w:p>
    <w:p w:rsidR="00CB515F" w:rsidRPr="009401F6" w:rsidRDefault="00CB515F" w:rsidP="00186B97">
      <w:pPr>
        <w:pStyle w:val="Title"/>
        <w:tabs>
          <w:tab w:val="left" w:pos="7938"/>
        </w:tabs>
        <w:ind w:right="281"/>
        <w:rPr>
          <w:lang w:eastAsia="en-AU"/>
        </w:rPr>
        <w:sectPr w:rsidR="00CB515F" w:rsidRPr="009401F6" w:rsidSect="00CB515F">
          <w:headerReference w:type="even" r:id="rId9"/>
          <w:headerReference w:type="default" r:id="rId10"/>
          <w:footerReference w:type="default" r:id="rId11"/>
          <w:headerReference w:type="first" r:id="rId12"/>
          <w:footerReference w:type="first" r:id="rId13"/>
          <w:type w:val="continuous"/>
          <w:pgSz w:w="11906" w:h="16838" w:code="9"/>
          <w:pgMar w:top="3970" w:right="1418" w:bottom="709" w:left="1418" w:header="998" w:footer="0" w:gutter="0"/>
          <w:cols w:space="708"/>
          <w:titlePg/>
          <w:docGrid w:linePitch="360"/>
        </w:sectPr>
      </w:pPr>
      <w:r>
        <w:rPr>
          <w:lang w:eastAsia="en-AU"/>
        </w:rPr>
        <w:t>Discontinuing pre-market evaluation of Herbal Component Names (HCNs)</w:t>
      </w:r>
    </w:p>
    <w:p w:rsidR="008318D0" w:rsidRPr="00CB515F" w:rsidRDefault="008318D0" w:rsidP="00CB515F">
      <w:r w:rsidRPr="00CB515F">
        <w:lastRenderedPageBreak/>
        <w:br w:type="page"/>
      </w:r>
      <w:bookmarkStart w:id="0" w:name="_GoBack"/>
      <w:bookmarkEnd w:id="0"/>
    </w:p>
    <w:p w:rsidR="001167D0" w:rsidRPr="00CB515F" w:rsidRDefault="00CB515F" w:rsidP="00CB515F">
      <w:pPr>
        <w:pStyle w:val="Heading1"/>
      </w:pPr>
      <w:bookmarkStart w:id="1" w:name="_Toc323738670"/>
      <w:bookmarkStart w:id="2" w:name="_Toc356305156"/>
      <w:bookmarkStart w:id="3" w:name="_Toc365880264"/>
      <w:r>
        <w:lastRenderedPageBreak/>
        <w:t>Introduction</w:t>
      </w:r>
    </w:p>
    <w:p w:rsidR="001167D0" w:rsidRPr="00CB6C37" w:rsidRDefault="00AC751B" w:rsidP="001167D0">
      <w:pPr>
        <w:rPr>
          <w:rFonts w:asciiTheme="minorHAnsi" w:hAnsiTheme="minorHAnsi"/>
          <w:szCs w:val="22"/>
        </w:rPr>
      </w:pPr>
      <w:hyperlink r:id="rId14" w:history="1">
        <w:r w:rsidR="001167D0" w:rsidRPr="00BF1831">
          <w:rPr>
            <w:rStyle w:val="Hyperlink"/>
            <w:rFonts w:ascii="Cambria" w:hAnsi="Cambria"/>
          </w:rPr>
          <w:t>Herbal Component Name</w:t>
        </w:r>
        <w:r w:rsidR="001167D0" w:rsidRPr="001167D0">
          <w:rPr>
            <w:rStyle w:val="Hyperlink"/>
            <w:rFonts w:ascii="Cambria" w:hAnsi="Cambria"/>
          </w:rPr>
          <w:t>s</w:t>
        </w:r>
      </w:hyperlink>
      <w:r w:rsidR="001167D0" w:rsidRPr="00CB6C37">
        <w:rPr>
          <w:rFonts w:asciiTheme="minorHAnsi" w:hAnsiTheme="minorHAnsi"/>
          <w:szCs w:val="22"/>
        </w:rPr>
        <w:t xml:space="preserve"> </w:t>
      </w:r>
      <w:r w:rsidR="001167D0">
        <w:rPr>
          <w:rFonts w:asciiTheme="minorHAnsi" w:hAnsiTheme="minorHAnsi"/>
          <w:szCs w:val="22"/>
        </w:rPr>
        <w:t>(</w:t>
      </w:r>
      <w:r w:rsidR="001167D0" w:rsidRPr="00CB6C37">
        <w:rPr>
          <w:rFonts w:asciiTheme="minorHAnsi" w:hAnsiTheme="minorHAnsi"/>
          <w:szCs w:val="22"/>
        </w:rPr>
        <w:t>HCN</w:t>
      </w:r>
      <w:r w:rsidR="001167D0">
        <w:rPr>
          <w:rFonts w:asciiTheme="minorHAnsi" w:hAnsiTheme="minorHAnsi"/>
          <w:szCs w:val="22"/>
        </w:rPr>
        <w:t>s)</w:t>
      </w:r>
      <w:r w:rsidR="001167D0" w:rsidRPr="00CB6C37">
        <w:rPr>
          <w:rFonts w:asciiTheme="minorHAnsi" w:hAnsiTheme="minorHAnsi"/>
          <w:szCs w:val="22"/>
        </w:rPr>
        <w:t xml:space="preserve"> </w:t>
      </w:r>
      <w:r w:rsidR="001167D0">
        <w:rPr>
          <w:rFonts w:asciiTheme="minorHAnsi" w:hAnsiTheme="minorHAnsi"/>
          <w:szCs w:val="22"/>
        </w:rPr>
        <w:t xml:space="preserve">are </w:t>
      </w:r>
      <w:r w:rsidR="001167D0" w:rsidRPr="00CB6C37">
        <w:rPr>
          <w:rFonts w:asciiTheme="minorHAnsi" w:hAnsiTheme="minorHAnsi"/>
          <w:szCs w:val="22"/>
        </w:rPr>
        <w:t>standardised component</w:t>
      </w:r>
      <w:r w:rsidR="001167D0">
        <w:rPr>
          <w:rFonts w:asciiTheme="minorHAnsi" w:hAnsiTheme="minorHAnsi"/>
          <w:szCs w:val="22"/>
        </w:rPr>
        <w:t>s</w:t>
      </w:r>
      <w:r w:rsidR="001167D0" w:rsidRPr="00CB6C37">
        <w:rPr>
          <w:rFonts w:asciiTheme="minorHAnsi" w:hAnsiTheme="minorHAnsi"/>
          <w:szCs w:val="22"/>
        </w:rPr>
        <w:t xml:space="preserve"> comprising either a single chemical constituent or a particular group of chemical constituents found in herbal ingredients. An HCN is not a stand-alone name and should only be used when expressing the herbal component equivalence for </w:t>
      </w:r>
      <w:proofErr w:type="gramStart"/>
      <w:r w:rsidR="001167D0" w:rsidRPr="00CB6C37">
        <w:rPr>
          <w:rFonts w:asciiTheme="minorHAnsi" w:hAnsiTheme="minorHAnsi"/>
          <w:szCs w:val="22"/>
        </w:rPr>
        <w:t>a</w:t>
      </w:r>
      <w:proofErr w:type="gramEnd"/>
      <w:r w:rsidR="001167D0" w:rsidRPr="00CB6C37">
        <w:rPr>
          <w:rFonts w:asciiTheme="minorHAnsi" w:hAnsiTheme="minorHAnsi"/>
          <w:szCs w:val="22"/>
        </w:rPr>
        <w:t xml:space="preserve"> herbal ingredient name.</w:t>
      </w:r>
    </w:p>
    <w:p w:rsidR="001167D0" w:rsidRPr="00CB6C37" w:rsidRDefault="001167D0" w:rsidP="001167D0">
      <w:pPr>
        <w:spacing w:before="100" w:beforeAutospacing="1" w:after="100" w:afterAutospacing="1" w:line="240" w:lineRule="auto"/>
        <w:rPr>
          <w:rFonts w:asciiTheme="minorHAnsi" w:eastAsia="Times New Roman" w:hAnsiTheme="minorHAnsi"/>
          <w:szCs w:val="22"/>
          <w:lang w:val="en" w:eastAsia="en-AU"/>
        </w:rPr>
      </w:pPr>
      <w:r w:rsidRPr="00CB6C37">
        <w:rPr>
          <w:rFonts w:asciiTheme="minorHAnsi" w:eastAsia="Times New Roman" w:hAnsiTheme="minorHAnsi"/>
          <w:szCs w:val="22"/>
          <w:lang w:val="en" w:eastAsia="en-AU"/>
        </w:rPr>
        <w:t xml:space="preserve">HCNs </w:t>
      </w:r>
      <w:r>
        <w:rPr>
          <w:rFonts w:asciiTheme="minorHAnsi" w:eastAsia="Times New Roman" w:hAnsiTheme="minorHAnsi"/>
          <w:szCs w:val="22"/>
          <w:lang w:val="en" w:eastAsia="en-AU"/>
        </w:rPr>
        <w:t>may</w:t>
      </w:r>
      <w:r w:rsidRPr="00CB6C37">
        <w:rPr>
          <w:rFonts w:asciiTheme="minorHAnsi" w:eastAsia="Times New Roman" w:hAnsiTheme="minorHAnsi"/>
          <w:szCs w:val="22"/>
          <w:lang w:val="en" w:eastAsia="en-AU"/>
        </w:rPr>
        <w:t xml:space="preserve"> be used in medicine applications and on labels, where:</w:t>
      </w:r>
    </w:p>
    <w:p w:rsidR="001167D0" w:rsidRPr="00CB6C37" w:rsidRDefault="001167D0" w:rsidP="001167D0">
      <w:pPr>
        <w:numPr>
          <w:ilvl w:val="0"/>
          <w:numId w:val="43"/>
        </w:numPr>
        <w:spacing w:before="100" w:beforeAutospacing="1" w:after="100" w:afterAutospacing="1" w:line="240" w:lineRule="auto"/>
        <w:rPr>
          <w:rFonts w:asciiTheme="minorHAnsi" w:eastAsia="Times New Roman" w:hAnsiTheme="minorHAnsi"/>
          <w:szCs w:val="22"/>
          <w:lang w:val="en" w:eastAsia="en-AU"/>
        </w:rPr>
      </w:pPr>
      <w:r w:rsidRPr="00CB6C37">
        <w:rPr>
          <w:rFonts w:asciiTheme="minorHAnsi" w:eastAsia="Times New Roman" w:hAnsiTheme="minorHAnsi"/>
          <w:szCs w:val="22"/>
          <w:lang w:val="en" w:eastAsia="en-AU"/>
        </w:rPr>
        <w:t xml:space="preserve">names are required to identify marker components of </w:t>
      </w:r>
      <w:proofErr w:type="spellStart"/>
      <w:r w:rsidRPr="00CB6C37">
        <w:rPr>
          <w:rFonts w:asciiTheme="minorHAnsi" w:eastAsia="Times New Roman" w:hAnsiTheme="minorHAnsi"/>
          <w:szCs w:val="22"/>
          <w:lang w:val="en" w:eastAsia="en-AU"/>
        </w:rPr>
        <w:t>standardised</w:t>
      </w:r>
      <w:proofErr w:type="spellEnd"/>
      <w:r w:rsidRPr="00CB6C37">
        <w:rPr>
          <w:rFonts w:asciiTheme="minorHAnsi" w:eastAsia="Times New Roman" w:hAnsiTheme="minorHAnsi"/>
          <w:szCs w:val="22"/>
          <w:lang w:val="en" w:eastAsia="en-AU"/>
        </w:rPr>
        <w:t xml:space="preserve"> herbal ingredients</w:t>
      </w:r>
    </w:p>
    <w:p w:rsidR="001167D0" w:rsidRPr="00CB6C37" w:rsidRDefault="001167D0" w:rsidP="001167D0">
      <w:pPr>
        <w:numPr>
          <w:ilvl w:val="0"/>
          <w:numId w:val="43"/>
        </w:numPr>
        <w:spacing w:before="100" w:beforeAutospacing="1" w:after="100" w:afterAutospacing="1" w:line="240" w:lineRule="auto"/>
        <w:rPr>
          <w:rFonts w:asciiTheme="minorHAnsi" w:eastAsia="Times New Roman" w:hAnsiTheme="minorHAnsi"/>
          <w:szCs w:val="22"/>
          <w:lang w:val="en" w:eastAsia="en-AU"/>
        </w:rPr>
      </w:pPr>
      <w:r w:rsidRPr="00CB6C37">
        <w:rPr>
          <w:rFonts w:asciiTheme="minorHAnsi" w:eastAsia="Times New Roman" w:hAnsiTheme="minorHAnsi"/>
          <w:szCs w:val="22"/>
          <w:lang w:val="en" w:eastAsia="en-AU"/>
        </w:rPr>
        <w:t>therapeutic indications or claims are made about the strength or concentration of components in herbal ingredients</w:t>
      </w:r>
    </w:p>
    <w:p w:rsidR="0063486A" w:rsidRDefault="001167D0" w:rsidP="009F1451">
      <w:pPr>
        <w:numPr>
          <w:ilvl w:val="0"/>
          <w:numId w:val="43"/>
        </w:numPr>
        <w:spacing w:before="100" w:beforeAutospacing="1" w:after="100" w:afterAutospacing="1" w:line="240" w:lineRule="auto"/>
        <w:ind w:left="714" w:hanging="357"/>
        <w:rPr>
          <w:rFonts w:asciiTheme="minorHAnsi" w:eastAsia="Times New Roman" w:hAnsiTheme="minorHAnsi"/>
          <w:szCs w:val="22"/>
          <w:lang w:val="en" w:eastAsia="en-AU"/>
        </w:rPr>
      </w:pPr>
      <w:proofErr w:type="gramStart"/>
      <w:r w:rsidRPr="00CB6C37">
        <w:rPr>
          <w:rFonts w:asciiTheme="minorHAnsi" w:eastAsia="Times New Roman" w:hAnsiTheme="minorHAnsi"/>
          <w:szCs w:val="22"/>
          <w:lang w:val="en" w:eastAsia="en-AU"/>
        </w:rPr>
        <w:t>names</w:t>
      </w:r>
      <w:proofErr w:type="gramEnd"/>
      <w:r w:rsidRPr="00CB6C37">
        <w:rPr>
          <w:rFonts w:asciiTheme="minorHAnsi" w:eastAsia="Times New Roman" w:hAnsiTheme="minorHAnsi"/>
          <w:szCs w:val="22"/>
          <w:lang w:val="en" w:eastAsia="en-AU"/>
        </w:rPr>
        <w:t xml:space="preserve"> are required for the purpose of declaring a component in a medicine application due to restrictions specified in the </w:t>
      </w:r>
      <w:hyperlink r:id="rId15" w:history="1">
        <w:r w:rsidRPr="00CB6C37">
          <w:rPr>
            <w:rFonts w:asciiTheme="minorHAnsi" w:eastAsia="Times New Roman" w:hAnsiTheme="minorHAnsi"/>
            <w:color w:val="0000FF"/>
            <w:szCs w:val="22"/>
            <w:u w:val="single"/>
            <w:lang w:val="en" w:eastAsia="en-AU"/>
          </w:rPr>
          <w:t>Standard for Uniform Scheduling of Medicines and Poisons (SUSMP)</w:t>
        </w:r>
      </w:hyperlink>
      <w:r w:rsidRPr="00CB6C37">
        <w:rPr>
          <w:rFonts w:asciiTheme="minorHAnsi" w:eastAsia="Times New Roman" w:hAnsiTheme="minorHAnsi"/>
          <w:szCs w:val="22"/>
          <w:lang w:val="en" w:eastAsia="en-AU"/>
        </w:rPr>
        <w:t>.</w:t>
      </w:r>
    </w:p>
    <w:p w:rsidR="0063486A" w:rsidRDefault="003E4275" w:rsidP="0063486A">
      <w:pPr>
        <w:rPr>
          <w:b/>
          <w:bCs/>
        </w:rPr>
      </w:pPr>
      <w:r w:rsidRPr="009F1451">
        <w:t xml:space="preserve">The Poisons Standard mandates that certain components are declared in listed medicine applications, due to safety concerns. </w:t>
      </w:r>
      <w:r w:rsidR="001167D0" w:rsidRPr="009F1451">
        <w:t xml:space="preserve">These components are referred to as 'mandatory' components. </w:t>
      </w:r>
      <w:r w:rsidRPr="009F1451">
        <w:t>Whether these components need to be declared on the medicine label is determined b</w:t>
      </w:r>
      <w:r w:rsidR="0063486A">
        <w:t>y the relevant Labelling Order.</w:t>
      </w:r>
    </w:p>
    <w:p w:rsidR="001167D0" w:rsidRPr="009F1451" w:rsidRDefault="001167D0" w:rsidP="0063486A">
      <w:pPr>
        <w:rPr>
          <w:b/>
          <w:bCs/>
        </w:rPr>
      </w:pPr>
      <w:r w:rsidRPr="009F1451">
        <w:t xml:space="preserve">Non-mandatory </w:t>
      </w:r>
      <w:r w:rsidRPr="0063486A">
        <w:t>components</w:t>
      </w:r>
      <w:r w:rsidRPr="009F1451">
        <w:t xml:space="preserve"> have been made available in the application system to sponsors to include in the listed medicine application. A sponsor may choose to include these HCNs in their application to ensure that marketing or indications match their ARTG entry.</w:t>
      </w:r>
    </w:p>
    <w:p w:rsidR="00042537" w:rsidRPr="00EB4135" w:rsidRDefault="00042537" w:rsidP="00CB515F">
      <w:pPr>
        <w:pStyle w:val="Heading1"/>
      </w:pPr>
      <w:r w:rsidRPr="00EB4135">
        <w:t>Proposal</w:t>
      </w:r>
      <w:r w:rsidR="006A555C">
        <w:t xml:space="preserve"> overview</w:t>
      </w:r>
    </w:p>
    <w:p w:rsidR="0063486A" w:rsidRDefault="00922E8D" w:rsidP="00A824E9">
      <w:r>
        <w:t>Listed complementary medicines sometimes utilise Herbal Component Names (HCNs) as a means to communicate information about the content of the product to consumers. At present, the TGA administer</w:t>
      </w:r>
      <w:r w:rsidR="005C502E">
        <w:t>s</w:t>
      </w:r>
      <w:r>
        <w:t xml:space="preserve"> processes for the receipt, scientific assessment and approval of applications for new </w:t>
      </w:r>
      <w:r w:rsidR="000B17AA">
        <w:t xml:space="preserve">HCNs. </w:t>
      </w:r>
      <w:r w:rsidR="008377C1">
        <w:t>Overall, t</w:t>
      </w:r>
      <w:r w:rsidR="000B17AA">
        <w:t xml:space="preserve">his activity </w:t>
      </w:r>
      <w:r w:rsidR="008377C1">
        <w:t xml:space="preserve">requires significant TGA resources, </w:t>
      </w:r>
      <w:r>
        <w:t>is not underpinned by legislation</w:t>
      </w:r>
      <w:r w:rsidR="006A2FD8">
        <w:t xml:space="preserve">, </w:t>
      </w:r>
      <w:r>
        <w:t>and</w:t>
      </w:r>
      <w:r w:rsidR="006A2FD8">
        <w:t xml:space="preserve"> </w:t>
      </w:r>
      <w:r>
        <w:t xml:space="preserve">importantly, does not provide consumers with an assurance that HCNs </w:t>
      </w:r>
      <w:r w:rsidR="000B17AA">
        <w:t xml:space="preserve">are applied consistently </w:t>
      </w:r>
      <w:r>
        <w:t>across products</w:t>
      </w:r>
      <w:r w:rsidR="000B17AA">
        <w:t>.</w:t>
      </w:r>
    </w:p>
    <w:p w:rsidR="0063486A" w:rsidRDefault="000B17AA" w:rsidP="00A824E9">
      <w:r>
        <w:t xml:space="preserve">Taking these considerations into account, along with feedback </w:t>
      </w:r>
      <w:r w:rsidR="008377C1">
        <w:t xml:space="preserve">over recent years </w:t>
      </w:r>
      <w:r>
        <w:t>from the regulated industry, w</w:t>
      </w:r>
      <w:r w:rsidR="00042537">
        <w:t>e</w:t>
      </w:r>
      <w:r w:rsidR="00042537" w:rsidRPr="00EB4135">
        <w:t xml:space="preserve"> </w:t>
      </w:r>
      <w:r w:rsidR="00042537">
        <w:t xml:space="preserve">are proposing </w:t>
      </w:r>
      <w:r w:rsidR="00042537" w:rsidRPr="00EB4135">
        <w:t xml:space="preserve">to discontinue the </w:t>
      </w:r>
      <w:r w:rsidR="00042537">
        <w:t xml:space="preserve">receipt and </w:t>
      </w:r>
      <w:r w:rsidR="00042537" w:rsidRPr="00EB4135">
        <w:t xml:space="preserve">pre-market </w:t>
      </w:r>
      <w:r w:rsidR="00042537">
        <w:t>evaluation</w:t>
      </w:r>
      <w:r w:rsidR="00042537" w:rsidRPr="00EB4135">
        <w:t xml:space="preserve"> of </w:t>
      </w:r>
      <w:r w:rsidR="00042537" w:rsidRPr="00654FB0">
        <w:t>HCN</w:t>
      </w:r>
      <w:r w:rsidR="00042537" w:rsidRPr="00EB4135">
        <w:t xml:space="preserve"> applications</w:t>
      </w:r>
      <w:r w:rsidR="00042537">
        <w:t>.</w:t>
      </w:r>
    </w:p>
    <w:p w:rsidR="00042537" w:rsidRPr="00EB4135" w:rsidRDefault="00042537" w:rsidP="00A824E9">
      <w:r>
        <w:t>Key features of this proposal include:</w:t>
      </w:r>
    </w:p>
    <w:p w:rsidR="0063486A" w:rsidRDefault="00042537" w:rsidP="00A824E9">
      <w:pPr>
        <w:pStyle w:val="ListBullet"/>
      </w:pPr>
      <w:r>
        <w:t>Applications for</w:t>
      </w:r>
      <w:r w:rsidRPr="00EB4135">
        <w:t xml:space="preserve"> new HCN </w:t>
      </w:r>
      <w:r>
        <w:t xml:space="preserve">applications will no longer be </w:t>
      </w:r>
      <w:r w:rsidR="006D2708">
        <w:t xml:space="preserve">required or </w:t>
      </w:r>
      <w:r>
        <w:t>accepted</w:t>
      </w:r>
      <w:r w:rsidR="008377C1">
        <w:t xml:space="preserve"> from a pre</w:t>
      </w:r>
      <w:r w:rsidR="008377C1">
        <w:noBreakHyphen/>
        <w:t>defined point in time (to be determined in consultation with industry stakeholders)</w:t>
      </w:r>
      <w:r>
        <w:t>;</w:t>
      </w:r>
    </w:p>
    <w:p w:rsidR="008377C1" w:rsidRDefault="008377C1" w:rsidP="00A824E9">
      <w:pPr>
        <w:pStyle w:val="ListBullet"/>
      </w:pPr>
      <w:r>
        <w:t>Any references to standardised components on medicine labels will remain acceptable provided legislative labelling requirements are met</w:t>
      </w:r>
      <w:r>
        <w:rPr>
          <w:rStyle w:val="FootnoteReference"/>
          <w:rFonts w:eastAsia="Calibri"/>
          <w:sz w:val="24"/>
          <w:szCs w:val="24"/>
        </w:rPr>
        <w:footnoteReference w:id="1"/>
      </w:r>
      <w:r>
        <w:t>;</w:t>
      </w:r>
    </w:p>
    <w:p w:rsidR="0063486A" w:rsidRDefault="008874D1" w:rsidP="00A824E9">
      <w:pPr>
        <w:pStyle w:val="ListBullet"/>
      </w:pPr>
      <w:r w:rsidRPr="00BF1831">
        <w:lastRenderedPageBreak/>
        <w:t>E</w:t>
      </w:r>
      <w:r w:rsidR="00042537" w:rsidRPr="00BF1831">
        <w:t>xisting</w:t>
      </w:r>
      <w:r w:rsidR="008377C1" w:rsidRPr="00BF1831">
        <w:t>,</w:t>
      </w:r>
      <w:r w:rsidR="003B2F70" w:rsidRPr="00BF1831">
        <w:t xml:space="preserve"> non-mandatory component</w:t>
      </w:r>
      <w:r w:rsidR="00042537" w:rsidRPr="00BF1831">
        <w:t xml:space="preserve"> HCNs will </w:t>
      </w:r>
      <w:r w:rsidR="00000781" w:rsidRPr="00BF1831">
        <w:t>no longer be available to select in new listed medicine applications</w:t>
      </w:r>
      <w:r w:rsidR="003E4275">
        <w:t>;</w:t>
      </w:r>
    </w:p>
    <w:p w:rsidR="0063486A" w:rsidRDefault="003E4275" w:rsidP="00A824E9">
      <w:pPr>
        <w:pStyle w:val="ListBullet"/>
      </w:pPr>
      <w:r>
        <w:t>Variation applications for e</w:t>
      </w:r>
      <w:r w:rsidR="00000781" w:rsidRPr="00BF1831">
        <w:t xml:space="preserve">xisting listed medicines </w:t>
      </w:r>
      <w:r>
        <w:t>that include a non</w:t>
      </w:r>
      <w:r>
        <w:noBreakHyphen/>
        <w:t xml:space="preserve">mandatory HCN </w:t>
      </w:r>
      <w:r w:rsidR="00042537" w:rsidRPr="00BF1831">
        <w:t xml:space="preserve">will not be </w:t>
      </w:r>
      <w:r w:rsidR="00000781" w:rsidRPr="00BF1831">
        <w:t xml:space="preserve">affected by </w:t>
      </w:r>
      <w:r>
        <w:t>any system changes and</w:t>
      </w:r>
    </w:p>
    <w:p w:rsidR="0063486A" w:rsidRDefault="00C3093F" w:rsidP="00A824E9">
      <w:pPr>
        <w:pStyle w:val="ListBullet"/>
      </w:pPr>
      <w:r w:rsidRPr="005C502E">
        <w:t>T</w:t>
      </w:r>
      <w:r w:rsidR="003B2F70" w:rsidRPr="00C3093F">
        <w:t xml:space="preserve">he </w:t>
      </w:r>
      <w:r w:rsidR="00000781">
        <w:t>listed medicine application</w:t>
      </w:r>
      <w:r w:rsidR="00000781" w:rsidRPr="00C3093F">
        <w:t xml:space="preserve"> </w:t>
      </w:r>
      <w:r w:rsidR="003B2F70" w:rsidRPr="00C3093F">
        <w:t>system</w:t>
      </w:r>
      <w:r w:rsidRPr="005C502E">
        <w:t xml:space="preserve"> will still </w:t>
      </w:r>
      <w:r w:rsidR="00000781">
        <w:t xml:space="preserve">require </w:t>
      </w:r>
      <w:r w:rsidRPr="005C502E">
        <w:t xml:space="preserve">sponsors to declare </w:t>
      </w:r>
      <w:r w:rsidR="003B2F70" w:rsidRPr="00C3093F">
        <w:t xml:space="preserve">the quantity of mandatory components </w:t>
      </w:r>
      <w:r w:rsidR="00000781">
        <w:t xml:space="preserve">in the application </w:t>
      </w:r>
      <w:r w:rsidR="003B2F70" w:rsidRPr="00C3093F">
        <w:t xml:space="preserve">as required by the </w:t>
      </w:r>
      <w:hyperlink r:id="rId16" w:history="1">
        <w:r w:rsidR="003B2F70" w:rsidRPr="00A824E9">
          <w:rPr>
            <w:rStyle w:val="Hyperlink"/>
            <w:rFonts w:eastAsia="Calibri"/>
            <w:i/>
            <w:szCs w:val="22"/>
          </w:rPr>
          <w:t>Permissible Ingredients Determination</w:t>
        </w:r>
      </w:hyperlink>
      <w:r w:rsidR="00CA57A5" w:rsidRPr="00A824E9">
        <w:rPr>
          <w:szCs w:val="22"/>
        </w:rPr>
        <w:t>.</w:t>
      </w:r>
    </w:p>
    <w:p w:rsidR="00CA57A5" w:rsidRDefault="00CB515F" w:rsidP="00CB515F">
      <w:pPr>
        <w:pStyle w:val="Heading1"/>
      </w:pPr>
      <w:r>
        <w:t>Purpose</w:t>
      </w:r>
    </w:p>
    <w:p w:rsidR="0063486A" w:rsidRDefault="00CA57A5" w:rsidP="00A824E9">
      <w:r w:rsidRPr="00042537">
        <w:t xml:space="preserve">This consultation paper sets out </w:t>
      </w:r>
      <w:r>
        <w:t xml:space="preserve">the details of </w:t>
      </w:r>
      <w:r w:rsidRPr="00042537">
        <w:t xml:space="preserve">our proposal to discontinue the receipt and pre-market evaluation of </w:t>
      </w:r>
      <w:r>
        <w:t xml:space="preserve">HCN </w:t>
      </w:r>
      <w:r w:rsidRPr="00042537">
        <w:t>applications.</w:t>
      </w:r>
    </w:p>
    <w:p w:rsidR="00CA57A5" w:rsidRPr="00022A5D" w:rsidRDefault="008377C1" w:rsidP="00A824E9">
      <w:pPr>
        <w:pStyle w:val="Pre-bulletparagraph"/>
      </w:pPr>
      <w:r>
        <w:t>T</w:t>
      </w:r>
      <w:r w:rsidR="00CA57A5" w:rsidRPr="00022A5D">
        <w:t xml:space="preserve">his business process </w:t>
      </w:r>
      <w:r>
        <w:t xml:space="preserve">change has been </w:t>
      </w:r>
      <w:r w:rsidR="004B114D">
        <w:t>proposed</w:t>
      </w:r>
      <w:r>
        <w:t xml:space="preserve"> </w:t>
      </w:r>
      <w:r w:rsidR="00CA57A5" w:rsidRPr="00022A5D">
        <w:t>for the following reasons:</w:t>
      </w:r>
    </w:p>
    <w:p w:rsidR="008377C1" w:rsidRPr="00654FB0" w:rsidRDefault="008377C1" w:rsidP="00A824E9">
      <w:pPr>
        <w:pStyle w:val="ListBullet"/>
        <w:rPr>
          <w:rFonts w:eastAsia="Calibri"/>
        </w:rPr>
      </w:pPr>
      <w:r w:rsidRPr="00654FB0">
        <w:t>Listed medicines</w:t>
      </w:r>
      <w:r>
        <w:t xml:space="preserve"> themselves </w:t>
      </w:r>
      <w:r w:rsidRPr="00654FB0">
        <w:t>are not required to undergo any pre</w:t>
      </w:r>
      <w:r w:rsidRPr="00654FB0">
        <w:noBreakHyphen/>
        <w:t>market evaluation</w:t>
      </w:r>
      <w:r>
        <w:t xml:space="preserve"> and comprise the lowest risk class of regulated medicines (i.e. t</w:t>
      </w:r>
      <w:r w:rsidRPr="00654FB0">
        <w:t xml:space="preserve">he evaluation of HCNs is not </w:t>
      </w:r>
      <w:r w:rsidR="00436BF7">
        <w:t xml:space="preserve">consistent </w:t>
      </w:r>
      <w:r w:rsidRPr="00654FB0">
        <w:t>with th</w:t>
      </w:r>
      <w:r>
        <w:t>e</w:t>
      </w:r>
      <w:r w:rsidRPr="00654FB0">
        <w:t xml:space="preserve"> risk framework</w:t>
      </w:r>
      <w:r>
        <w:t xml:space="preserve"> in-place);</w:t>
      </w:r>
    </w:p>
    <w:p w:rsidR="008377C1" w:rsidRPr="00022A5D" w:rsidRDefault="008377C1" w:rsidP="00A824E9">
      <w:pPr>
        <w:pStyle w:val="ListBullet"/>
        <w:rPr>
          <w:rFonts w:eastAsia="Calibri"/>
        </w:rPr>
      </w:pPr>
      <w:r>
        <w:t>The regulated i</w:t>
      </w:r>
      <w:r w:rsidRPr="00022A5D">
        <w:t>ndustry has r</w:t>
      </w:r>
      <w:r>
        <w:t>aised concerns about the length of the evaluation</w:t>
      </w:r>
      <w:r w:rsidRPr="00022A5D">
        <w:t xml:space="preserve"> process </w:t>
      </w:r>
      <w:r>
        <w:t>and the</w:t>
      </w:r>
      <w:r w:rsidRPr="00022A5D">
        <w:t xml:space="preserve"> lack of predictability for business planning and </w:t>
      </w:r>
      <w:r>
        <w:t xml:space="preserve">the timing of </w:t>
      </w:r>
      <w:r w:rsidRPr="00022A5D">
        <w:t>product</w:t>
      </w:r>
      <w:r>
        <w:t xml:space="preserve"> launches;</w:t>
      </w:r>
    </w:p>
    <w:p w:rsidR="00CA57A5" w:rsidRPr="00022A5D" w:rsidRDefault="00CA57A5" w:rsidP="00A824E9">
      <w:pPr>
        <w:pStyle w:val="ListBullet"/>
        <w:rPr>
          <w:rFonts w:eastAsia="Calibri"/>
        </w:rPr>
      </w:pPr>
      <w:r>
        <w:rPr>
          <w:lang w:eastAsia="en-AU"/>
        </w:rPr>
        <w:t xml:space="preserve">The creation of an approved </w:t>
      </w:r>
      <w:r w:rsidRPr="00654FB0">
        <w:rPr>
          <w:lang w:eastAsia="en-AU"/>
        </w:rPr>
        <w:t>HCN</w:t>
      </w:r>
      <w:r>
        <w:rPr>
          <w:lang w:eastAsia="en-AU"/>
        </w:rPr>
        <w:t xml:space="preserve"> is</w:t>
      </w:r>
      <w:r w:rsidRPr="00654FB0">
        <w:rPr>
          <w:lang w:eastAsia="en-AU"/>
        </w:rPr>
        <w:t xml:space="preserve"> not </w:t>
      </w:r>
      <w:r>
        <w:rPr>
          <w:lang w:eastAsia="en-AU"/>
        </w:rPr>
        <w:t xml:space="preserve">a </w:t>
      </w:r>
      <w:r w:rsidRPr="00654FB0">
        <w:rPr>
          <w:lang w:eastAsia="en-AU"/>
        </w:rPr>
        <w:t>legal require</w:t>
      </w:r>
      <w:r>
        <w:rPr>
          <w:lang w:eastAsia="en-AU"/>
        </w:rPr>
        <w:t>ment</w:t>
      </w:r>
      <w:r w:rsidRPr="00654FB0">
        <w:rPr>
          <w:lang w:eastAsia="en-AU"/>
        </w:rPr>
        <w:t xml:space="preserve"> for list</w:t>
      </w:r>
      <w:r>
        <w:rPr>
          <w:lang w:eastAsia="en-AU"/>
        </w:rPr>
        <w:t>ed</w:t>
      </w:r>
      <w:r w:rsidRPr="00654FB0">
        <w:rPr>
          <w:lang w:eastAsia="en-AU"/>
        </w:rPr>
        <w:t xml:space="preserve"> therapeutic goods</w:t>
      </w:r>
      <w:r w:rsidR="008377C1">
        <w:t xml:space="preserve"> and</w:t>
      </w:r>
    </w:p>
    <w:p w:rsidR="00CA57A5" w:rsidRPr="00436BF7" w:rsidRDefault="00CA57A5" w:rsidP="00436BF7">
      <w:pPr>
        <w:pStyle w:val="ListBullet"/>
        <w:rPr>
          <w:rFonts w:eastAsia="Calibri"/>
        </w:rPr>
      </w:pPr>
      <w:r w:rsidRPr="00022A5D">
        <w:t>The HCN approval process is resource intensive and cost</w:t>
      </w:r>
      <w:r>
        <w:t>s are not</w:t>
      </w:r>
      <w:r w:rsidRPr="00022A5D">
        <w:t xml:space="preserve"> recovered</w:t>
      </w:r>
      <w:r>
        <w:t xml:space="preserve"> from applicants</w:t>
      </w:r>
      <w:r w:rsidR="008377C1">
        <w:t xml:space="preserve"> at present.</w:t>
      </w:r>
    </w:p>
    <w:p w:rsidR="0063486A" w:rsidRDefault="008377C1" w:rsidP="00A824E9">
      <w:r>
        <w:t xml:space="preserve">Comments on </w:t>
      </w:r>
      <w:r w:rsidR="00CA57A5" w:rsidRPr="00042537">
        <w:t xml:space="preserve">this proposal </w:t>
      </w:r>
      <w:r>
        <w:t xml:space="preserve">are invited </w:t>
      </w:r>
      <w:r w:rsidR="00CA57A5" w:rsidRPr="00042537">
        <w:t>and</w:t>
      </w:r>
      <w:r w:rsidR="00CA57A5">
        <w:t xml:space="preserve"> the</w:t>
      </w:r>
      <w:r w:rsidR="00CA57A5" w:rsidRPr="00042537">
        <w:t xml:space="preserve"> feedback </w:t>
      </w:r>
      <w:r w:rsidR="00CA57A5">
        <w:t xml:space="preserve">received </w:t>
      </w:r>
      <w:r w:rsidR="00CA57A5" w:rsidRPr="00042537">
        <w:t xml:space="preserve">will </w:t>
      </w:r>
      <w:r w:rsidR="00CA57A5">
        <w:t>guide changes to</w:t>
      </w:r>
      <w:r w:rsidR="00CA57A5" w:rsidRPr="00042537">
        <w:t xml:space="preserve"> </w:t>
      </w:r>
      <w:r w:rsidR="00CA57A5">
        <w:t xml:space="preserve">our </w:t>
      </w:r>
      <w:r w:rsidR="00CA57A5" w:rsidRPr="00042537">
        <w:t xml:space="preserve">HCN </w:t>
      </w:r>
      <w:r w:rsidR="00CA57A5">
        <w:t>requirements</w:t>
      </w:r>
      <w:r w:rsidR="00CA57A5" w:rsidRPr="00042537">
        <w:t>.</w:t>
      </w:r>
      <w:r w:rsidR="00CA57A5">
        <w:t xml:space="preserve"> Specific information relating to any</w:t>
      </w:r>
      <w:r w:rsidR="00CA57A5" w:rsidRPr="00CA57A5">
        <w:t xml:space="preserve"> savings</w:t>
      </w:r>
      <w:r w:rsidR="00CA57A5">
        <w:t xml:space="preserve"> made or additional costs borne if this process were discontinued would be appreciated.</w:t>
      </w:r>
    </w:p>
    <w:p w:rsidR="0063486A" w:rsidRDefault="00CA57A5" w:rsidP="00A824E9">
      <w:r w:rsidRPr="00042537">
        <w:t xml:space="preserve">Please provide your </w:t>
      </w:r>
      <w:r w:rsidR="004B7A74">
        <w:t>feedback</w:t>
      </w:r>
      <w:r w:rsidR="004B7A74" w:rsidRPr="008377C1">
        <w:t xml:space="preserve"> </w:t>
      </w:r>
      <w:r w:rsidRPr="008377C1">
        <w:t xml:space="preserve">by </w:t>
      </w:r>
      <w:r w:rsidR="00436BF7">
        <w:rPr>
          <w:b/>
        </w:rPr>
        <w:t>close of business</w:t>
      </w:r>
      <w:r w:rsidR="00436BF7" w:rsidRPr="005C502E">
        <w:rPr>
          <w:b/>
        </w:rPr>
        <w:t xml:space="preserve"> </w:t>
      </w:r>
      <w:r w:rsidR="008377C1" w:rsidRPr="00C17A86">
        <w:rPr>
          <w:b/>
        </w:rPr>
        <w:t xml:space="preserve">Friday </w:t>
      </w:r>
      <w:r w:rsidR="00C17A86" w:rsidRPr="00C17A86">
        <w:rPr>
          <w:b/>
        </w:rPr>
        <w:t>12 January</w:t>
      </w:r>
      <w:r w:rsidR="008377C1" w:rsidRPr="00C17A86">
        <w:rPr>
          <w:b/>
        </w:rPr>
        <w:t xml:space="preserve"> </w:t>
      </w:r>
      <w:r w:rsidRPr="00C17A86">
        <w:rPr>
          <w:b/>
        </w:rPr>
        <w:t>201</w:t>
      </w:r>
      <w:r w:rsidR="00C17A86" w:rsidRPr="00C17A86">
        <w:rPr>
          <w:b/>
        </w:rPr>
        <w:t>8</w:t>
      </w:r>
      <w:r w:rsidR="008377C1" w:rsidRPr="00C17A86">
        <w:t>.</w:t>
      </w:r>
    </w:p>
    <w:p w:rsidR="0063486A" w:rsidRDefault="008377C1" w:rsidP="00A824E9">
      <w:pPr>
        <w:rPr>
          <w:color w:val="0000FF"/>
          <w:u w:val="single"/>
        </w:rPr>
      </w:pPr>
      <w:r>
        <w:t xml:space="preserve">Any queries can be directed </w:t>
      </w:r>
      <w:r w:rsidR="00CA57A5" w:rsidRPr="00042537">
        <w:t xml:space="preserve">to </w:t>
      </w:r>
      <w:hyperlink r:id="rId17" w:history="1">
        <w:r w:rsidR="00CA57A5" w:rsidRPr="00042537">
          <w:rPr>
            <w:color w:val="0000FF"/>
            <w:u w:val="single"/>
          </w:rPr>
          <w:t>complementary.medicines@health.gov.au</w:t>
        </w:r>
      </w:hyperlink>
      <w:r w:rsidR="00CA57A5" w:rsidRPr="00042537">
        <w:rPr>
          <w:color w:val="0000FF"/>
          <w:u w:val="single"/>
        </w:rPr>
        <w:t>.</w:t>
      </w:r>
    </w:p>
    <w:p w:rsidR="00CA57A5" w:rsidRPr="00183AC5" w:rsidRDefault="00CA57A5" w:rsidP="00CB515F">
      <w:pPr>
        <w:pStyle w:val="Heading1"/>
      </w:pPr>
      <w:r w:rsidRPr="00183AC5">
        <w:t xml:space="preserve">Current </w:t>
      </w:r>
      <w:r>
        <w:t>r</w:t>
      </w:r>
      <w:r w:rsidRPr="00183AC5">
        <w:t xml:space="preserve">egulatory </w:t>
      </w:r>
      <w:r>
        <w:t>r</w:t>
      </w:r>
      <w:r w:rsidRPr="00183AC5">
        <w:t>equirements</w:t>
      </w:r>
    </w:p>
    <w:p w:rsidR="0063486A" w:rsidRDefault="00E62831" w:rsidP="00A824E9">
      <w:pPr>
        <w:rPr>
          <w:rFonts w:eastAsia="Calibri"/>
        </w:rPr>
      </w:pPr>
      <w:r>
        <w:rPr>
          <w:szCs w:val="22"/>
        </w:rPr>
        <w:t xml:space="preserve">The </w:t>
      </w:r>
      <w:hyperlink r:id="rId18" w:history="1">
        <w:r w:rsidR="00CA57A5" w:rsidRPr="006A1D12">
          <w:rPr>
            <w:rStyle w:val="Hyperlink"/>
            <w:rFonts w:eastAsia="Calibri"/>
            <w:i/>
            <w:szCs w:val="22"/>
          </w:rPr>
          <w:t>Therapeutic Goods Order No. 92- Standard for labels of non</w:t>
        </w:r>
        <w:r w:rsidR="00CA57A5" w:rsidRPr="006A1D12">
          <w:rPr>
            <w:rStyle w:val="Hyperlink"/>
            <w:rFonts w:eastAsia="Calibri"/>
            <w:i/>
            <w:szCs w:val="22"/>
          </w:rPr>
          <w:noBreakHyphen/>
          <w:t>prescription medicines</w:t>
        </w:r>
      </w:hyperlink>
      <w:r w:rsidR="0063486A">
        <w:rPr>
          <w:rFonts w:eastAsia="Calibri"/>
          <w:szCs w:val="22"/>
        </w:rPr>
        <w:t xml:space="preserve"> </w:t>
      </w:r>
      <w:r w:rsidR="00CA57A5" w:rsidRPr="006A1D12">
        <w:rPr>
          <w:szCs w:val="22"/>
        </w:rPr>
        <w:t xml:space="preserve">requires sponsors to include the quantity of any </w:t>
      </w:r>
      <w:r w:rsidR="00CA57A5" w:rsidRPr="006A1D12">
        <w:rPr>
          <w:i/>
          <w:szCs w:val="22"/>
        </w:rPr>
        <w:t>standardised</w:t>
      </w:r>
      <w:r w:rsidR="00CA57A5" w:rsidRPr="006A1D12">
        <w:rPr>
          <w:szCs w:val="22"/>
        </w:rPr>
        <w:t xml:space="preserve"> constituents(s) in the herbal materia</w:t>
      </w:r>
      <w:r w:rsidR="00CA57A5">
        <w:t xml:space="preserve">l or herbal </w:t>
      </w:r>
      <w:r w:rsidR="00CA57A5" w:rsidRPr="00654FB0">
        <w:t>preparation on the product label.</w:t>
      </w:r>
      <w:r w:rsidR="00CA57A5">
        <w:t xml:space="preserve"> </w:t>
      </w:r>
      <w:r w:rsidR="00CA57A5" w:rsidRPr="00654FB0">
        <w:rPr>
          <w:rFonts w:eastAsia="Calibri"/>
        </w:rPr>
        <w:t>Any claims that are made on a medicine label may be evaluated as part of a post-market compliance review</w:t>
      </w:r>
      <w:r w:rsidR="00CA57A5">
        <w:rPr>
          <w:rFonts w:eastAsia="Calibri"/>
        </w:rPr>
        <w:t>, including those relating to HCNs</w:t>
      </w:r>
      <w:r w:rsidR="00CA57A5" w:rsidRPr="00654FB0">
        <w:rPr>
          <w:rFonts w:eastAsia="Calibri"/>
        </w:rPr>
        <w:t>.</w:t>
      </w:r>
    </w:p>
    <w:p w:rsidR="0063486A" w:rsidRDefault="00CA57A5" w:rsidP="00A824E9">
      <w:pPr>
        <w:pStyle w:val="Pre-bulletparagraph"/>
      </w:pPr>
      <w:r w:rsidRPr="00022A5D">
        <w:t xml:space="preserve">Sponsors must hold evidence to support </w:t>
      </w:r>
      <w:r>
        <w:t xml:space="preserve">any </w:t>
      </w:r>
      <w:r w:rsidRPr="00022A5D">
        <w:t>standardisation claims</w:t>
      </w:r>
      <w:r>
        <w:t xml:space="preserve"> they make,</w:t>
      </w:r>
      <w:r w:rsidRPr="00022A5D">
        <w:t xml:space="preserve"> including:</w:t>
      </w:r>
    </w:p>
    <w:p w:rsidR="00CA57A5" w:rsidRPr="00022A5D" w:rsidRDefault="00CA57A5" w:rsidP="006A1D12">
      <w:pPr>
        <w:pStyle w:val="ListBullet"/>
      </w:pPr>
      <w:r w:rsidRPr="00022A5D">
        <w:t>the name and chemical structure of the constituent or, where a component consists of a group of constituents, the name and chemical structure of each constituent in the group;</w:t>
      </w:r>
    </w:p>
    <w:p w:rsidR="00CA57A5" w:rsidRPr="00022A5D" w:rsidRDefault="00CA57A5" w:rsidP="006A1D12">
      <w:pPr>
        <w:pStyle w:val="ListBullet"/>
      </w:pPr>
      <w:r w:rsidRPr="00022A5D">
        <w:t>evidence that the constituent(s) of the component occur</w:t>
      </w:r>
      <w:r>
        <w:t>s</w:t>
      </w:r>
      <w:r w:rsidRPr="00022A5D">
        <w:t xml:space="preserve"> in the herbal species;</w:t>
      </w:r>
    </w:p>
    <w:p w:rsidR="00CA57A5" w:rsidRPr="00022A5D" w:rsidRDefault="00CA57A5" w:rsidP="006A1D12">
      <w:pPr>
        <w:pStyle w:val="ListBullet"/>
      </w:pPr>
      <w:r w:rsidRPr="00022A5D">
        <w:t>details of the method of analysis used to quantify the constituent(s) of the component;</w:t>
      </w:r>
    </w:p>
    <w:p w:rsidR="0063486A" w:rsidRDefault="00CA57A5" w:rsidP="006A1D12">
      <w:pPr>
        <w:pStyle w:val="ListBullet"/>
      </w:pPr>
      <w:r w:rsidRPr="00022A5D">
        <w:lastRenderedPageBreak/>
        <w:t>where a component consists of a group of constituents, details of the approximate relative proportion of each constituent; and</w:t>
      </w:r>
    </w:p>
    <w:p w:rsidR="00CA57A5" w:rsidRDefault="00CA57A5" w:rsidP="006A1D12">
      <w:pPr>
        <w:pStyle w:val="ListBullet"/>
      </w:pPr>
      <w:proofErr w:type="gramStart"/>
      <w:r w:rsidRPr="00022A5D">
        <w:t>information</w:t>
      </w:r>
      <w:proofErr w:type="gramEnd"/>
      <w:r w:rsidRPr="00022A5D">
        <w:t xml:space="preserve"> about whether the component is a therapeutic marker (the component has known therapeutic activity) or a quality marker.</w:t>
      </w:r>
    </w:p>
    <w:tbl>
      <w:tblPr>
        <w:tblW w:w="9038" w:type="dxa"/>
        <w:tblLayout w:type="fixed"/>
        <w:tblCellMar>
          <w:left w:w="0" w:type="dxa"/>
          <w:right w:w="0" w:type="dxa"/>
        </w:tblCellMar>
        <w:tblLook w:val="04A0" w:firstRow="1" w:lastRow="0" w:firstColumn="1" w:lastColumn="0" w:noHBand="0" w:noVBand="1"/>
        <w:tblDescription w:val="Therapeutic Goods Order No. 92 &#10;Herbal material means a plant or part of a plant (defined by its botanical scientific name according to the binominal nomenclature system, including author, and the plant part), whether fresh or dried, that is whole, fragmented, cut or ground.&#10;Herbal preparation means an ingredient that is the result of the processing of a herbal material. &#10;Where standardisation of the herbal preparation is claimed on the label, then, the minimum dry or fresh weight of herbal material from which the preparation is derived and the quantity of standardised constituents(s) in the herbal preparation must be included on the product label.&#10;Medicine labels: Guidance on TGO 91 and TGO 92&#10;2.3.6 Where standardisation is claimed&#10;Standardisation is the process in which the content of a specific chemical constituent(s) has been determined in a herbal material or herbal preparation. Where standardisation of the herbal material or herbal preparation is claimed on the label of the medicine, it affects the way that the quantity or proportion of the active ingredient must be expressed.&#10;"/>
      </w:tblPr>
      <w:tblGrid>
        <w:gridCol w:w="1276"/>
        <w:gridCol w:w="7762"/>
      </w:tblGrid>
      <w:tr w:rsidR="009A394D" w:rsidRPr="004B3A1A" w:rsidTr="0080393E">
        <w:trPr>
          <w:trHeight w:val="1206"/>
        </w:trPr>
        <w:tc>
          <w:tcPr>
            <w:tcW w:w="1276" w:type="dxa"/>
            <w:vAlign w:val="center"/>
          </w:tcPr>
          <w:tbl>
            <w:tblPr>
              <w:tblW w:w="9038" w:type="dxa"/>
              <w:tblLayout w:type="fixed"/>
              <w:tblCellMar>
                <w:left w:w="0" w:type="dxa"/>
                <w:right w:w="0" w:type="dxa"/>
              </w:tblCellMar>
              <w:tblLook w:val="04A0" w:firstRow="1" w:lastRow="0" w:firstColumn="1" w:lastColumn="0" w:noHBand="0" w:noVBand="1"/>
            </w:tblPr>
            <w:tblGrid>
              <w:gridCol w:w="1276"/>
              <w:gridCol w:w="7762"/>
            </w:tblGrid>
            <w:tr w:rsidR="009A394D" w:rsidRPr="004B3A1A" w:rsidTr="0080393E">
              <w:trPr>
                <w:trHeight w:val="1206"/>
              </w:trPr>
              <w:tc>
                <w:tcPr>
                  <w:tcW w:w="1276" w:type="dxa"/>
                  <w:vAlign w:val="center"/>
                </w:tcPr>
                <w:p w:rsidR="009A394D" w:rsidRPr="00D94DFF" w:rsidRDefault="009A394D" w:rsidP="0080393E">
                  <w:pPr>
                    <w:spacing w:before="0"/>
                    <w:rPr>
                      <w:rFonts w:asciiTheme="minorHAnsi" w:hAnsiTheme="minorHAnsi"/>
                      <w:szCs w:val="22"/>
                    </w:rPr>
                  </w:pPr>
                  <w:r w:rsidRPr="00D94DFF">
                    <w:rPr>
                      <w:rFonts w:asciiTheme="minorHAnsi" w:hAnsiTheme="minorHAnsi"/>
                      <w:noProof/>
                      <w:szCs w:val="22"/>
                      <w:lang w:eastAsia="en-AU"/>
                    </w:rPr>
                    <mc:AlternateContent>
                      <mc:Choice Requires="wpg">
                        <w:drawing>
                          <wp:anchor distT="0" distB="0" distL="114300" distR="114300" simplePos="0" relativeHeight="251661312" behindDoc="0" locked="0" layoutInCell="1" allowOverlap="1" wp14:anchorId="264EA465" wp14:editId="3205854B">
                            <wp:simplePos x="0" y="0"/>
                            <wp:positionH relativeFrom="column">
                              <wp:posOffset>45720</wp:posOffset>
                            </wp:positionH>
                            <wp:positionV relativeFrom="paragraph">
                              <wp:posOffset>-187960</wp:posOffset>
                            </wp:positionV>
                            <wp:extent cx="488950" cy="689610"/>
                            <wp:effectExtent l="0" t="0" r="25400" b="0"/>
                            <wp:wrapNone/>
                            <wp:docPr id="1" name="Group 1" descr="&quot;&quot;"/>
                            <wp:cNvGraphicFramePr/>
                            <a:graphic xmlns:a="http://schemas.openxmlformats.org/drawingml/2006/main">
                              <a:graphicData uri="http://schemas.microsoft.com/office/word/2010/wordprocessingGroup">
                                <wpg:wgp>
                                  <wpg:cNvGrpSpPr/>
                                  <wpg:grpSpPr>
                                    <a:xfrm>
                                      <a:off x="0" y="0"/>
                                      <a:ext cx="488950" cy="689610"/>
                                      <a:chOff x="0" y="0"/>
                                      <a:chExt cx="488950" cy="689610"/>
                                    </a:xfrm>
                                  </wpg:grpSpPr>
                                  <wps:wsp>
                                    <wps:cNvPr id="7" name="Oval 7"/>
                                    <wps:cNvSpPr/>
                                    <wps:spPr>
                                      <a:xfrm>
                                        <a:off x="0" y="128337"/>
                                        <a:ext cx="488950" cy="495935"/>
                                      </a:xfrm>
                                      <a:prstGeom prst="ellipse">
                                        <a:avLst/>
                                      </a:prstGeom>
                                      <a:solidFill>
                                        <a:srgbClr val="000000"/>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50674" y="0"/>
                                        <a:ext cx="368935" cy="689610"/>
                                      </a:xfrm>
                                      <a:prstGeom prst="rect">
                                        <a:avLst/>
                                      </a:prstGeom>
                                      <a:noFill/>
                                      <a:ln w="9525">
                                        <a:noFill/>
                                        <a:miter lim="800000"/>
                                        <a:headEnd/>
                                        <a:tailEnd/>
                                      </a:ln>
                                    </wps:spPr>
                                    <wps:txbx>
                                      <w:txbxContent>
                                        <w:p w:rsidR="009A394D" w:rsidRPr="00D46806" w:rsidRDefault="009A394D" w:rsidP="009A394D">
                                          <w:pPr>
                                            <w:rPr>
                                              <w:rFonts w:ascii="Calibri" w:hAnsi="Calibri" w:cstheme="majorHAnsi"/>
                                              <w:b/>
                                              <w:color w:val="FFFFFF" w:themeColor="background1"/>
                                              <w:sz w:val="72"/>
                                            </w:rPr>
                                          </w:pPr>
                                          <w:r w:rsidRPr="00D46806">
                                            <w:rPr>
                                              <w:rFonts w:ascii="Calibri" w:hAnsi="Calibri" w:cstheme="majorHAnsi"/>
                                              <w:b/>
                                              <w:color w:val="FFFFFF" w:themeColor="background1"/>
                                              <w:sz w:val="7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alt="&quot;&quot;" style="position:absolute;margin-left:3.6pt;margin-top:-14.8pt;width:38.5pt;height:54.3pt;z-index:251661312;mso-width-relative:margin;mso-height-relative:margin" coordsize="488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">
                            <v:oval id="Oval 7" o:spid="_x0000_s1027" style="position:absolute;top:1283;width:4889;height:4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8frsIA&#10;AADaAAAADwAAAGRycy9kb3ducmV2LnhtbESPQYvCMBSE74L/ITzBm6Yq6FqNsrsieG1dBW+P5tkW&#10;m5duE2v992ZhweMwM98w621nKtFS40rLCibjCARxZnXJuYKf4370AcJ5ZI2VZVLwJAfbTb+3xljb&#10;ByfUpj4XAcIuRgWF93UspcsKMujGtiYO3tU2Bn2QTS51g48AN5WcRtFcGiw5LBRY03dB2S29GwX5&#10;bJe018N5Olm2lyQ7zebpl/5VajjoPlcgPHX+Hf5vH7SCBfxdCT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Xx+uwgAAANoAAAAPAAAAAAAAAAAAAAAAAJgCAABkcnMvZG93&#10;bnJldi54bWxQSwUGAAAAAAQABAD1AAAAhwMAAAAA&#10;" fillcolor="black" strokeweight="2pt"/>
                            <v:shapetype id="_x0000_t202" coordsize="21600,21600" o:spt="202" path="m,l,21600r21600,l21600,xe">
                              <v:stroke joinstyle="miter"/>
                              <v:path gradientshapeok="t" o:connecttype="rect"/>
                            </v:shapetype>
                            <v:shape id="Text Box 2" o:spid="_x0000_s1028" type="#_x0000_t202" style="position:absolute;left:506;width:3690;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9A394D" w:rsidRPr="00D46806" w:rsidRDefault="009A394D" w:rsidP="009A394D">
                                    <w:pPr>
                                      <w:rPr>
                                        <w:rFonts w:ascii="Calibri" w:hAnsi="Calibri" w:cstheme="majorHAnsi"/>
                                        <w:b/>
                                        <w:color w:val="FFFFFF" w:themeColor="background1"/>
                                        <w:sz w:val="72"/>
                                      </w:rPr>
                                    </w:pPr>
                                    <w:r w:rsidRPr="00D46806">
                                      <w:rPr>
                                        <w:rFonts w:ascii="Calibri" w:hAnsi="Calibri" w:cstheme="majorHAnsi"/>
                                        <w:b/>
                                        <w:color w:val="FFFFFF" w:themeColor="background1"/>
                                        <w:sz w:val="72"/>
                                      </w:rPr>
                                      <w:t>?</w:t>
                                    </w:r>
                                  </w:p>
                                </w:txbxContent>
                              </v:textbox>
                            </v:shape>
                          </v:group>
                        </w:pict>
                      </mc:Fallback>
                    </mc:AlternateContent>
                  </w:r>
                </w:p>
              </w:tc>
              <w:tc>
                <w:tcPr>
                  <w:tcW w:w="7762" w:type="dxa"/>
                  <w:shd w:val="clear" w:color="auto" w:fill="EAEAEA"/>
                  <w:tcMar>
                    <w:top w:w="170" w:type="dxa"/>
                    <w:left w:w="170" w:type="dxa"/>
                    <w:bottom w:w="170" w:type="dxa"/>
                    <w:right w:w="170" w:type="dxa"/>
                  </w:tcMar>
                </w:tcPr>
                <w:p w:rsidR="0063486A" w:rsidRDefault="009A394D" w:rsidP="0080393E">
                  <w:pPr>
                    <w:rPr>
                      <w:rFonts w:asciiTheme="minorHAnsi" w:hAnsiTheme="minorHAnsi"/>
                      <w:szCs w:val="22"/>
                    </w:rPr>
                  </w:pPr>
                  <w:r w:rsidRPr="00D94DFF">
                    <w:rPr>
                      <w:rFonts w:asciiTheme="minorHAnsi" w:hAnsiTheme="minorHAnsi"/>
                      <w:szCs w:val="22"/>
                    </w:rPr>
                    <w:t>Text</w:t>
                  </w:r>
                </w:p>
                <w:p w:rsidR="009A394D" w:rsidRPr="00D94DFF" w:rsidRDefault="009A394D" w:rsidP="0080393E">
                  <w:pPr>
                    <w:rPr>
                      <w:rFonts w:asciiTheme="minorHAnsi" w:hAnsiTheme="minorHAnsi"/>
                      <w:szCs w:val="22"/>
                    </w:rPr>
                  </w:pPr>
                  <w:r w:rsidRPr="00D94DFF">
                    <w:rPr>
                      <w:rFonts w:asciiTheme="minorHAnsi" w:hAnsiTheme="minorHAnsi"/>
                      <w:szCs w:val="22"/>
                    </w:rPr>
                    <w:t xml:space="preserve">To delete this Tint box Select the whole table and then right click and choose </w:t>
                  </w:r>
                  <w:r w:rsidRPr="00D94DFF">
                    <w:rPr>
                      <w:rFonts w:asciiTheme="minorHAnsi" w:hAnsiTheme="minorHAnsi"/>
                      <w:b/>
                      <w:szCs w:val="22"/>
                    </w:rPr>
                    <w:t>Cut</w:t>
                  </w:r>
                  <w:r w:rsidRPr="00D94DFF">
                    <w:rPr>
                      <w:rFonts w:asciiTheme="minorHAnsi" w:hAnsiTheme="minorHAnsi"/>
                      <w:szCs w:val="22"/>
                    </w:rPr>
                    <w:t xml:space="preserve"> or </w:t>
                  </w:r>
                  <w:r w:rsidRPr="00D94DFF">
                    <w:rPr>
                      <w:rFonts w:asciiTheme="minorHAnsi" w:hAnsiTheme="minorHAnsi"/>
                      <w:b/>
                      <w:szCs w:val="22"/>
                    </w:rPr>
                    <w:t>Ctrl X</w:t>
                  </w:r>
                </w:p>
              </w:tc>
            </w:tr>
          </w:tbl>
          <w:p w:rsidR="009A394D" w:rsidRPr="00D94DFF" w:rsidRDefault="009A394D" w:rsidP="0080393E">
            <w:pPr>
              <w:spacing w:before="0"/>
              <w:jc w:val="center"/>
              <w:rPr>
                <w:rFonts w:asciiTheme="minorHAnsi" w:hAnsiTheme="minorHAnsi"/>
                <w:noProof/>
                <w:szCs w:val="22"/>
                <w:lang w:eastAsia="en-AU"/>
              </w:rPr>
            </w:pPr>
          </w:p>
        </w:tc>
        <w:tc>
          <w:tcPr>
            <w:tcW w:w="7762" w:type="dxa"/>
            <w:shd w:val="clear" w:color="auto" w:fill="EAEAEA"/>
            <w:tcMar>
              <w:top w:w="170" w:type="dxa"/>
              <w:left w:w="170" w:type="dxa"/>
              <w:bottom w:w="170" w:type="dxa"/>
              <w:right w:w="170" w:type="dxa"/>
            </w:tcMar>
          </w:tcPr>
          <w:p w:rsidR="0063486A" w:rsidRDefault="009A394D" w:rsidP="009A394D">
            <w:pPr>
              <w:rPr>
                <w:rFonts w:asciiTheme="minorHAnsi" w:hAnsiTheme="minorHAnsi"/>
                <w:i/>
                <w:szCs w:val="22"/>
              </w:rPr>
            </w:pPr>
            <w:r w:rsidRPr="00CB6C37">
              <w:rPr>
                <w:rFonts w:asciiTheme="minorHAnsi" w:hAnsiTheme="minorHAnsi"/>
                <w:i/>
                <w:szCs w:val="22"/>
              </w:rPr>
              <w:t>Therapeutic Goods Order No. 92</w:t>
            </w:r>
          </w:p>
          <w:p w:rsidR="009A394D" w:rsidRPr="00CB6C37" w:rsidRDefault="009A394D" w:rsidP="009A394D">
            <w:pPr>
              <w:rPr>
                <w:rFonts w:asciiTheme="minorHAnsi" w:hAnsiTheme="minorHAnsi"/>
                <w:szCs w:val="22"/>
              </w:rPr>
            </w:pPr>
            <w:r w:rsidRPr="00CB6C37">
              <w:rPr>
                <w:rFonts w:asciiTheme="minorHAnsi" w:hAnsiTheme="minorHAnsi"/>
                <w:b/>
                <w:szCs w:val="22"/>
              </w:rPr>
              <w:t>Herbal material</w:t>
            </w:r>
            <w:r w:rsidRPr="00CB6C37">
              <w:rPr>
                <w:rFonts w:asciiTheme="minorHAnsi" w:hAnsiTheme="minorHAnsi"/>
                <w:szCs w:val="22"/>
              </w:rPr>
              <w:t xml:space="preserve"> means a plant or part of a plant (defined by its botanical scientific name according to the binominal nomenclature system, including author, and the plant part), whether fresh or dried, that is whole, fragmented, cut or ground.</w:t>
            </w:r>
          </w:p>
          <w:p w:rsidR="0063486A" w:rsidRDefault="009A394D" w:rsidP="009A394D">
            <w:pPr>
              <w:rPr>
                <w:rFonts w:asciiTheme="minorHAnsi" w:hAnsiTheme="minorHAnsi"/>
                <w:szCs w:val="22"/>
              </w:rPr>
            </w:pPr>
            <w:r w:rsidRPr="00CB6C37">
              <w:rPr>
                <w:rFonts w:asciiTheme="minorHAnsi" w:hAnsiTheme="minorHAnsi"/>
                <w:b/>
                <w:szCs w:val="22"/>
              </w:rPr>
              <w:t>Herbal preparation</w:t>
            </w:r>
            <w:r w:rsidRPr="00CB6C37">
              <w:rPr>
                <w:rFonts w:asciiTheme="minorHAnsi" w:hAnsiTheme="minorHAnsi"/>
                <w:szCs w:val="22"/>
              </w:rPr>
              <w:t xml:space="preserve"> means an ingredient that is the result of the processing of </w:t>
            </w:r>
            <w:proofErr w:type="gramStart"/>
            <w:r w:rsidRPr="00CB6C37">
              <w:rPr>
                <w:rFonts w:asciiTheme="minorHAnsi" w:hAnsiTheme="minorHAnsi"/>
                <w:szCs w:val="22"/>
              </w:rPr>
              <w:t>a</w:t>
            </w:r>
            <w:proofErr w:type="gramEnd"/>
            <w:r w:rsidRPr="00CB6C37">
              <w:rPr>
                <w:rFonts w:asciiTheme="minorHAnsi" w:hAnsiTheme="minorHAnsi"/>
                <w:szCs w:val="22"/>
              </w:rPr>
              <w:t xml:space="preserve"> herbal material.</w:t>
            </w:r>
          </w:p>
          <w:p w:rsidR="009A394D" w:rsidRPr="00A84F53" w:rsidRDefault="009A394D" w:rsidP="00EC0049">
            <w:pPr>
              <w:rPr>
                <w:szCs w:val="22"/>
              </w:rPr>
            </w:pPr>
            <w:r w:rsidRPr="004F6887">
              <w:rPr>
                <w:szCs w:val="22"/>
              </w:rPr>
              <w:t>Where standardisation of the herbal preparation is claimed on the label, then, the minimum dry or fresh weight of herbal material from which the preparation is derived and the quantity</w:t>
            </w:r>
            <w:r w:rsidRPr="00FD04C6">
              <w:rPr>
                <w:szCs w:val="22"/>
              </w:rPr>
              <w:t xml:space="preserve"> of standardised constituents(s) in the herbal preparation must be included on the product label.</w:t>
            </w:r>
          </w:p>
          <w:p w:rsidR="009A394D" w:rsidRPr="00CB6C37" w:rsidRDefault="009A394D" w:rsidP="009A394D">
            <w:pPr>
              <w:rPr>
                <w:szCs w:val="22"/>
              </w:rPr>
            </w:pPr>
            <w:r w:rsidRPr="00CB6C37">
              <w:rPr>
                <w:i/>
                <w:szCs w:val="22"/>
              </w:rPr>
              <w:t>Medicine labels: Guidance on TGO 91 and TGO 92</w:t>
            </w:r>
          </w:p>
          <w:p w:rsidR="009A394D" w:rsidRPr="00CB6C37" w:rsidRDefault="009A394D" w:rsidP="00BF1831">
            <w:pPr>
              <w:keepNext/>
              <w:rPr>
                <w:b/>
                <w:szCs w:val="22"/>
              </w:rPr>
            </w:pPr>
            <w:r w:rsidRPr="00CB6C37">
              <w:rPr>
                <w:b/>
                <w:szCs w:val="22"/>
              </w:rPr>
              <w:t>2.3.6 Where standardisation is claimed</w:t>
            </w:r>
          </w:p>
          <w:p w:rsidR="009A394D" w:rsidRPr="005A1907" w:rsidRDefault="009A394D" w:rsidP="00BF1831">
            <w:pPr>
              <w:keepLines/>
              <w:rPr>
                <w:rFonts w:asciiTheme="minorHAnsi" w:hAnsiTheme="minorHAnsi"/>
              </w:rPr>
            </w:pPr>
            <w:r w:rsidRPr="004F6887">
              <w:rPr>
                <w:szCs w:val="22"/>
              </w:rPr>
              <w:t xml:space="preserve">Standardisation is the process in which the content of a specific chemical constituent(s) has been determined in </w:t>
            </w:r>
            <w:proofErr w:type="gramStart"/>
            <w:r w:rsidRPr="004F6887">
              <w:rPr>
                <w:szCs w:val="22"/>
              </w:rPr>
              <w:t>a</w:t>
            </w:r>
            <w:proofErr w:type="gramEnd"/>
            <w:r w:rsidRPr="004F6887">
              <w:rPr>
                <w:szCs w:val="22"/>
              </w:rPr>
              <w:t xml:space="preserve"> herbal material or herbal preparation. Where standardisation of the herbal material or herbal preparation is claimed on the label of the medicine, it affects the way that the quantity or proportion of the active i</w:t>
            </w:r>
            <w:r w:rsidRPr="00FD04C6">
              <w:rPr>
                <w:szCs w:val="22"/>
              </w:rPr>
              <w:t>ngredient must be expressed.</w:t>
            </w:r>
          </w:p>
        </w:tc>
      </w:tr>
    </w:tbl>
    <w:p w:rsidR="0063486A" w:rsidRDefault="00D828C0" w:rsidP="00EC0049">
      <w:pPr>
        <w:rPr>
          <w:rFonts w:eastAsia="Calibri"/>
        </w:rPr>
      </w:pPr>
      <w:r>
        <w:rPr>
          <w:lang w:eastAsia="en-AU"/>
        </w:rPr>
        <w:t>T</w:t>
      </w:r>
      <w:r w:rsidRPr="00654FB0">
        <w:rPr>
          <w:lang w:eastAsia="en-AU"/>
        </w:rPr>
        <w:t xml:space="preserve">here </w:t>
      </w:r>
      <w:r w:rsidR="00520D3B" w:rsidRPr="00654FB0">
        <w:rPr>
          <w:lang w:eastAsia="en-AU"/>
        </w:rPr>
        <w:t>is no legislative requirement to include a</w:t>
      </w:r>
      <w:r w:rsidR="00C3093F">
        <w:rPr>
          <w:lang w:eastAsia="en-AU"/>
        </w:rPr>
        <w:t xml:space="preserve"> non</w:t>
      </w:r>
      <w:r w:rsidR="00C3093F">
        <w:rPr>
          <w:lang w:eastAsia="en-AU"/>
        </w:rPr>
        <w:noBreakHyphen/>
        <w:t>mandatory</w:t>
      </w:r>
      <w:r w:rsidR="00520D3B" w:rsidRPr="00654FB0">
        <w:rPr>
          <w:lang w:eastAsia="en-AU"/>
        </w:rPr>
        <w:t xml:space="preserve"> HCN </w:t>
      </w:r>
      <w:r w:rsidR="00C3093F">
        <w:rPr>
          <w:lang w:eastAsia="en-AU"/>
        </w:rPr>
        <w:t xml:space="preserve">component </w:t>
      </w:r>
      <w:r w:rsidR="00520D3B" w:rsidRPr="00654FB0">
        <w:rPr>
          <w:lang w:eastAsia="en-AU"/>
        </w:rPr>
        <w:t xml:space="preserve">in the ARTG entry </w:t>
      </w:r>
      <w:r w:rsidR="003A5AC3">
        <w:rPr>
          <w:lang w:eastAsia="en-AU"/>
        </w:rPr>
        <w:t xml:space="preserve">for a listed product </w:t>
      </w:r>
      <w:r w:rsidR="00C3093F">
        <w:rPr>
          <w:lang w:eastAsia="en-AU"/>
        </w:rPr>
        <w:t xml:space="preserve">even </w:t>
      </w:r>
      <w:r w:rsidR="00520D3B" w:rsidRPr="00654FB0">
        <w:rPr>
          <w:lang w:eastAsia="en-AU"/>
        </w:rPr>
        <w:t xml:space="preserve">if </w:t>
      </w:r>
      <w:r w:rsidR="003A5AC3">
        <w:rPr>
          <w:lang w:eastAsia="en-AU"/>
        </w:rPr>
        <w:t>that</w:t>
      </w:r>
      <w:r w:rsidR="003A5AC3" w:rsidRPr="00654FB0">
        <w:rPr>
          <w:lang w:eastAsia="en-AU"/>
        </w:rPr>
        <w:t xml:space="preserve"> </w:t>
      </w:r>
      <w:r w:rsidR="00520D3B" w:rsidRPr="00654FB0">
        <w:rPr>
          <w:lang w:eastAsia="en-AU"/>
        </w:rPr>
        <w:t xml:space="preserve">component </w:t>
      </w:r>
      <w:r w:rsidR="00C3093F">
        <w:rPr>
          <w:lang w:eastAsia="en-AU"/>
        </w:rPr>
        <w:t xml:space="preserve">has been </w:t>
      </w:r>
      <w:r w:rsidR="00520D3B" w:rsidRPr="00654FB0">
        <w:rPr>
          <w:lang w:eastAsia="en-AU"/>
        </w:rPr>
        <w:t>included on the medicine label</w:t>
      </w:r>
      <w:r w:rsidR="003A5AC3">
        <w:rPr>
          <w:lang w:eastAsia="en-AU"/>
        </w:rPr>
        <w:t xml:space="preserve">. </w:t>
      </w:r>
      <w:r w:rsidR="003A5AC3">
        <w:t>T</w:t>
      </w:r>
      <w:r w:rsidR="00520D3B" w:rsidRPr="00654FB0">
        <w:t xml:space="preserve">he </w:t>
      </w:r>
      <w:r w:rsidR="00520D3B">
        <w:t xml:space="preserve">evaluation </w:t>
      </w:r>
      <w:r w:rsidR="003A5AC3">
        <w:t xml:space="preserve">and approval processes in-place for </w:t>
      </w:r>
      <w:r w:rsidR="00520D3B" w:rsidRPr="00654FB0">
        <w:t>HCNs</w:t>
      </w:r>
      <w:r w:rsidR="00520D3B">
        <w:t xml:space="preserve"> is not </w:t>
      </w:r>
      <w:r w:rsidR="003A5AC3">
        <w:t xml:space="preserve">required </w:t>
      </w:r>
      <w:r w:rsidR="00520D3B">
        <w:t xml:space="preserve">by existing </w:t>
      </w:r>
      <w:r w:rsidR="003A5AC3">
        <w:t xml:space="preserve">therapeutic goods </w:t>
      </w:r>
      <w:r w:rsidR="00520D3B">
        <w:t>legislation</w:t>
      </w:r>
      <w:r w:rsidR="00520D3B" w:rsidRPr="00654FB0">
        <w:rPr>
          <w:rFonts w:eastAsia="Calibri"/>
        </w:rPr>
        <w:t>.</w:t>
      </w:r>
    </w:p>
    <w:p w:rsidR="0063486A" w:rsidRDefault="00872AB8" w:rsidP="00EC0049">
      <w:r w:rsidRPr="00654FB0">
        <w:t xml:space="preserve">At present, sponsors apply to have their HCN (which is often a standardising component) evaluated and approved, after which it is visible </w:t>
      </w:r>
      <w:r w:rsidR="004738E3">
        <w:t xml:space="preserve">in the </w:t>
      </w:r>
      <w:r w:rsidR="00CB6C37">
        <w:t>listed medicine application system</w:t>
      </w:r>
      <w:r w:rsidR="004738E3">
        <w:t xml:space="preserve"> and available for inclusion on ARTG entries.</w:t>
      </w:r>
      <w:r w:rsidRPr="00654FB0">
        <w:t xml:space="preserve"> </w:t>
      </w:r>
      <w:r>
        <w:t xml:space="preserve">A business process has been designed and implemented around such applications, even though they are not a </w:t>
      </w:r>
      <w:r w:rsidR="00520D3B">
        <w:t>formal legal</w:t>
      </w:r>
      <w:r>
        <w:t xml:space="preserve"> requirement.</w:t>
      </w:r>
    </w:p>
    <w:p w:rsidR="0063486A" w:rsidRDefault="003A5AC3" w:rsidP="00EC0049">
      <w:r>
        <w:t xml:space="preserve">The application form is available </w:t>
      </w:r>
      <w:hyperlink r:id="rId19" w:history="1">
        <w:r w:rsidRPr="003A5AC3">
          <w:rPr>
            <w:rStyle w:val="Hyperlink"/>
            <w:rFonts w:eastAsia="Calibri"/>
            <w:sz w:val="24"/>
            <w:szCs w:val="24"/>
          </w:rPr>
          <w:t>online</w:t>
        </w:r>
      </w:hyperlink>
      <w:r>
        <w:t xml:space="preserve"> and applicants are asked to complete this form to initiate the evaluation and </w:t>
      </w:r>
      <w:r w:rsidR="00A26A9E">
        <w:t xml:space="preserve">approval </w:t>
      </w:r>
      <w:r>
        <w:t xml:space="preserve">process for HCNs. </w:t>
      </w:r>
    </w:p>
    <w:p w:rsidR="0043150C" w:rsidRPr="00210462" w:rsidRDefault="00B10F34" w:rsidP="00210462">
      <w:r>
        <w:t xml:space="preserve">The first time an application for a particular HCN is received, </w:t>
      </w:r>
      <w:r w:rsidR="00CB6C37">
        <w:t>the TGA</w:t>
      </w:r>
      <w:r>
        <w:t xml:space="preserve"> review</w:t>
      </w:r>
      <w:r w:rsidR="00CB6C37">
        <w:t>s</w:t>
      </w:r>
      <w:r>
        <w:t xml:space="preserve"> the supportive information provided by the applicant which in</w:t>
      </w:r>
      <w:r w:rsidR="00CE0865">
        <w:t>cludes</w:t>
      </w:r>
      <w:r>
        <w:t xml:space="preserve"> details of the laboratory methods used for the material’s analysis, along with validation data. </w:t>
      </w:r>
      <w:r w:rsidR="00CE0865">
        <w:t xml:space="preserve">The assessment process also routinely incorporates advice from the Herbal Ingredient Name Committee. </w:t>
      </w:r>
      <w:r>
        <w:t xml:space="preserve">While this process is </w:t>
      </w:r>
      <w:r w:rsidR="00CE0865">
        <w:t xml:space="preserve">scientifically </w:t>
      </w:r>
      <w:r>
        <w:t xml:space="preserve">robust with respect to the individual application, the fact that the </w:t>
      </w:r>
      <w:r w:rsidR="00CE0865">
        <w:t xml:space="preserve">‘approved’ </w:t>
      </w:r>
      <w:r>
        <w:t xml:space="preserve">HCN is </w:t>
      </w:r>
      <w:r>
        <w:lastRenderedPageBreak/>
        <w:t xml:space="preserve">available in ELF for use in all future listed </w:t>
      </w:r>
      <w:r w:rsidR="00CE0865">
        <w:t xml:space="preserve">therapeutic </w:t>
      </w:r>
      <w:r>
        <w:t xml:space="preserve">products, and no comparative analysis </w:t>
      </w:r>
      <w:r w:rsidR="00CE0865">
        <w:t>against the original application is required or performed, means that there is no assurance in the market place that a particular HCN will be applie</w:t>
      </w:r>
      <w:r w:rsidR="00210462">
        <w:t>d consistently across products.</w:t>
      </w:r>
    </w:p>
    <w:p w:rsidR="000C7ACC" w:rsidRPr="00022A5D" w:rsidRDefault="000C7ACC" w:rsidP="00CB515F">
      <w:pPr>
        <w:pStyle w:val="Heading1"/>
      </w:pPr>
      <w:r w:rsidRPr="00022A5D">
        <w:t xml:space="preserve">Consultation </w:t>
      </w:r>
      <w:r w:rsidRPr="00EC0049">
        <w:t>Considerations</w:t>
      </w:r>
    </w:p>
    <w:p w:rsidR="004B3A1A" w:rsidRPr="00210462" w:rsidRDefault="008C4179" w:rsidP="00CB515F">
      <w:pPr>
        <w:pStyle w:val="Heading2"/>
      </w:pPr>
      <w:r w:rsidRPr="00210462">
        <w:t>Past industry concerns</w:t>
      </w:r>
    </w:p>
    <w:p w:rsidR="0063486A" w:rsidRDefault="00EB4135" w:rsidP="00210462">
      <w:pPr>
        <w:pStyle w:val="ListBullet"/>
      </w:pPr>
      <w:r w:rsidRPr="00022A5D">
        <w:t xml:space="preserve">Previous consultations </w:t>
      </w:r>
      <w:r w:rsidR="00CE0865">
        <w:t xml:space="preserve">on this </w:t>
      </w:r>
      <w:r w:rsidR="00CE0865" w:rsidRPr="00210462">
        <w:t>topic</w:t>
      </w:r>
      <w:r w:rsidR="00CE0865">
        <w:t xml:space="preserve"> </w:t>
      </w:r>
      <w:r w:rsidRPr="00022A5D">
        <w:t xml:space="preserve">indicate that industry is dissatisfied with the HCN process and </w:t>
      </w:r>
      <w:r w:rsidR="008C4179">
        <w:t xml:space="preserve">generally </w:t>
      </w:r>
      <w:r w:rsidRPr="00022A5D">
        <w:t>support</w:t>
      </w:r>
      <w:r w:rsidR="003F1F4D">
        <w:t>s the</w:t>
      </w:r>
      <w:r w:rsidRPr="00022A5D">
        <w:t xml:space="preserve"> discontinuation of </w:t>
      </w:r>
      <w:r w:rsidR="003F1F4D">
        <w:t>the process</w:t>
      </w:r>
      <w:r w:rsidRPr="00022A5D">
        <w:t>.</w:t>
      </w:r>
    </w:p>
    <w:p w:rsidR="0063486A" w:rsidRDefault="00EB4135" w:rsidP="00210462">
      <w:pPr>
        <w:pStyle w:val="ListBullet"/>
      </w:pPr>
      <w:r w:rsidRPr="00022A5D">
        <w:t xml:space="preserve">A paper entitled </w:t>
      </w:r>
      <w:r w:rsidRPr="005C502E">
        <w:rPr>
          <w:i/>
        </w:rPr>
        <w:t>Herbal Component Names (HCNs) – Regulatory review</w:t>
      </w:r>
      <w:r w:rsidRPr="00022A5D">
        <w:t xml:space="preserve"> was the subject of an item at the 11</w:t>
      </w:r>
      <w:r w:rsidRPr="00022A5D">
        <w:rPr>
          <w:vertAlign w:val="superscript"/>
        </w:rPr>
        <w:t>th</w:t>
      </w:r>
      <w:r w:rsidRPr="00022A5D">
        <w:t xml:space="preserve"> meeting of Complementary Medicines Evaluation Committee (CMEC) in February 1999</w:t>
      </w:r>
      <w:r w:rsidR="00A26A9E">
        <w:t xml:space="preserve"> (</w:t>
      </w:r>
      <w:r w:rsidR="0094783A" w:rsidRPr="0094783A">
        <w:rPr>
          <w:b/>
        </w:rPr>
        <w:t xml:space="preserve">Attachment </w:t>
      </w:r>
      <w:r w:rsidR="00BC4B38">
        <w:rPr>
          <w:b/>
        </w:rPr>
        <w:t>A</w:t>
      </w:r>
      <w:r w:rsidR="00A26A9E">
        <w:t>)</w:t>
      </w:r>
      <w:r w:rsidR="00DC5A56" w:rsidRPr="00022A5D">
        <w:t xml:space="preserve">. The paper included key </w:t>
      </w:r>
      <w:r w:rsidR="003A5AC3">
        <w:t>concerns raised by external stakeholders</w:t>
      </w:r>
      <w:r w:rsidRPr="00022A5D">
        <w:t>.</w:t>
      </w:r>
      <w:r w:rsidR="0063486A">
        <w:t xml:space="preserve"> </w:t>
      </w:r>
      <w:r w:rsidRPr="00022A5D">
        <w:t>The advisory committee at the time recommended that</w:t>
      </w:r>
      <w:r w:rsidR="003A5AC3">
        <w:t xml:space="preserve"> representatives from the regulated </w:t>
      </w:r>
      <w:r w:rsidR="003F1F4D">
        <w:t>i</w:t>
      </w:r>
      <w:r w:rsidRPr="00022A5D">
        <w:t xml:space="preserve">ndustry and the TGA work together to produce a workable mechanism that addresses </w:t>
      </w:r>
      <w:r w:rsidR="003F1F4D">
        <w:t>the</w:t>
      </w:r>
      <w:r w:rsidRPr="00022A5D">
        <w:t xml:space="preserve"> </w:t>
      </w:r>
      <w:r w:rsidR="003A5AC3">
        <w:t xml:space="preserve">all </w:t>
      </w:r>
      <w:r w:rsidRPr="00022A5D">
        <w:t>concerns.</w:t>
      </w:r>
    </w:p>
    <w:p w:rsidR="004B3A1A" w:rsidRDefault="003F1F4D" w:rsidP="00210462">
      <w:r>
        <w:t>C</w:t>
      </w:r>
      <w:r w:rsidR="00C408F5" w:rsidRPr="00022A5D">
        <w:t xml:space="preserve">onsiderable time has passed </w:t>
      </w:r>
      <w:r>
        <w:t xml:space="preserve">since this earlier consultation </w:t>
      </w:r>
      <w:r w:rsidR="00C408F5" w:rsidRPr="00022A5D">
        <w:t>and we are seeking to revie</w:t>
      </w:r>
      <w:r w:rsidR="00337832" w:rsidRPr="00022A5D">
        <w:t>w the current industry position</w:t>
      </w:r>
      <w:r>
        <w:t xml:space="preserve"> on this matter</w:t>
      </w:r>
      <w:r w:rsidR="00337832" w:rsidRPr="00022A5D">
        <w:t>.</w:t>
      </w:r>
    </w:p>
    <w:p w:rsidR="00CF7563" w:rsidRPr="004B4AC6" w:rsidRDefault="00CF7563" w:rsidP="00CB515F">
      <w:pPr>
        <w:pStyle w:val="Heading2"/>
      </w:pPr>
      <w:r w:rsidRPr="004B4AC6">
        <w:t>Risk</w:t>
      </w:r>
    </w:p>
    <w:p w:rsidR="00CF7563" w:rsidRPr="00022A5D" w:rsidRDefault="00CF7563" w:rsidP="00210462">
      <w:r w:rsidRPr="00CF7563">
        <w:t xml:space="preserve">Once an HCN is evaluated </w:t>
      </w:r>
      <w:r w:rsidR="00FD04C6" w:rsidRPr="00CF7563">
        <w:t>(incorporating a review of the validated analytical methods employed by the applicant)</w:t>
      </w:r>
      <w:r w:rsidR="00FD04C6">
        <w:t xml:space="preserve">, it is made available in the listed medicines application system. </w:t>
      </w:r>
      <w:r w:rsidR="00BF1831">
        <w:t>O</w:t>
      </w:r>
      <w:r w:rsidRPr="00CF7563">
        <w:t xml:space="preserve">ther </w:t>
      </w:r>
      <w:r w:rsidR="00BF1831">
        <w:t>applicants</w:t>
      </w:r>
      <w:r w:rsidR="00BF1831" w:rsidRPr="00CF7563">
        <w:t xml:space="preserve"> </w:t>
      </w:r>
      <w:r w:rsidR="00F91C90">
        <w:t>can</w:t>
      </w:r>
      <w:r w:rsidR="00F91C90" w:rsidRPr="00CF7563">
        <w:t xml:space="preserve"> </w:t>
      </w:r>
      <w:r w:rsidR="00BF1831">
        <w:t xml:space="preserve">then </w:t>
      </w:r>
      <w:r w:rsidR="00FD04C6">
        <w:t xml:space="preserve">include </w:t>
      </w:r>
      <w:r w:rsidRPr="00CF7563">
        <w:t>th</w:t>
      </w:r>
      <w:r w:rsidR="00A84F53">
        <w:t>e available</w:t>
      </w:r>
      <w:r w:rsidRPr="00CF7563">
        <w:t xml:space="preserve"> HCN</w:t>
      </w:r>
      <w:r w:rsidR="00FD04C6">
        <w:t xml:space="preserve"> within their A</w:t>
      </w:r>
      <w:r w:rsidR="00A84F53">
        <w:t>RTG entry</w:t>
      </w:r>
      <w:r w:rsidRPr="00CF7563">
        <w:t xml:space="preserve"> without </w:t>
      </w:r>
      <w:r w:rsidR="00A84F53">
        <w:t xml:space="preserve">TGA assessment </w:t>
      </w:r>
      <w:r w:rsidRPr="00CF7563">
        <w:t>of their methods of analysis</w:t>
      </w:r>
      <w:r w:rsidR="004D27C5">
        <w:t>. H</w:t>
      </w:r>
      <w:r w:rsidR="00BF1831">
        <w:t>owever, such information should be available to TGA upon request during a post</w:t>
      </w:r>
      <w:r w:rsidR="00BF1831">
        <w:noBreakHyphen/>
        <w:t>market compliance review</w:t>
      </w:r>
      <w:r w:rsidRPr="00CF7563">
        <w:t>. This means that there is no guarantee that all marketed, listed products using the same HCN and making standardisation claims are directly comparable and thereby erodes the impact of this business practice.</w:t>
      </w:r>
    </w:p>
    <w:p w:rsidR="00337832" w:rsidRPr="00183AC5" w:rsidRDefault="00337832" w:rsidP="00CB515F">
      <w:pPr>
        <w:pStyle w:val="Heading2"/>
      </w:pPr>
      <w:r w:rsidRPr="00183AC5">
        <w:t>Cost recovery</w:t>
      </w:r>
    </w:p>
    <w:p w:rsidR="00337832" w:rsidRDefault="00337832" w:rsidP="00210462">
      <w:r w:rsidRPr="00022A5D">
        <w:t xml:space="preserve">The </w:t>
      </w:r>
      <w:r w:rsidR="003F1F4D">
        <w:t xml:space="preserve">costs borne by the TGA to administer the </w:t>
      </w:r>
      <w:r w:rsidRPr="00022A5D">
        <w:t xml:space="preserve">HCN </w:t>
      </w:r>
      <w:r w:rsidR="003F1F4D">
        <w:t xml:space="preserve">evaluation </w:t>
      </w:r>
      <w:r w:rsidRPr="00022A5D">
        <w:t xml:space="preserve">process </w:t>
      </w:r>
      <w:r w:rsidR="003F1F4D">
        <w:t xml:space="preserve">are </w:t>
      </w:r>
      <w:r w:rsidRPr="00022A5D">
        <w:t xml:space="preserve">currently </w:t>
      </w:r>
      <w:r w:rsidR="00A04BF5">
        <w:t xml:space="preserve">not </w:t>
      </w:r>
      <w:r w:rsidRPr="00022A5D">
        <w:t>recovered</w:t>
      </w:r>
      <w:r w:rsidR="003F1F4D">
        <w:t xml:space="preserve"> </w:t>
      </w:r>
      <w:r w:rsidR="00A04BF5">
        <w:t xml:space="preserve">in a specific manner </w:t>
      </w:r>
      <w:r w:rsidR="003F1F4D">
        <w:t xml:space="preserve">from </w:t>
      </w:r>
      <w:r w:rsidR="003A5AC3">
        <w:t>applicants</w:t>
      </w:r>
      <w:r w:rsidR="001D7B4D">
        <w:t xml:space="preserve"> but are instead covered by annual fees </w:t>
      </w:r>
      <w:r w:rsidR="00CE0865">
        <w:t>for</w:t>
      </w:r>
      <w:r w:rsidR="001D7B4D">
        <w:t xml:space="preserve"> listed medicines</w:t>
      </w:r>
      <w:r w:rsidRPr="00022A5D">
        <w:t xml:space="preserve">. </w:t>
      </w:r>
      <w:r w:rsidR="00F8321D" w:rsidRPr="00F8321D">
        <w:t xml:space="preserve">If there was strong industry support to continue the HCN evaluation process, a fee for the processing and evaluation of such applications </w:t>
      </w:r>
      <w:r w:rsidR="00CE0865">
        <w:t>would</w:t>
      </w:r>
      <w:r w:rsidR="00CE0865" w:rsidRPr="00F8321D">
        <w:t xml:space="preserve"> </w:t>
      </w:r>
      <w:r w:rsidR="00F8321D" w:rsidRPr="00F8321D">
        <w:t>need to be considered.</w:t>
      </w:r>
    </w:p>
    <w:p w:rsidR="0063486A" w:rsidRDefault="000C7ACC" w:rsidP="00CB515F">
      <w:pPr>
        <w:pStyle w:val="Heading2"/>
      </w:pPr>
      <w:r w:rsidRPr="00CF7563">
        <w:t>Applications for new HCNs</w:t>
      </w:r>
    </w:p>
    <w:p w:rsidR="0063486A" w:rsidRDefault="000C7ACC" w:rsidP="00210462">
      <w:r w:rsidRPr="00CE0865">
        <w:t>The</w:t>
      </w:r>
      <w:r w:rsidRPr="00CE0865">
        <w:rPr>
          <w:szCs w:val="22"/>
        </w:rPr>
        <w:t xml:space="preserve"> </w:t>
      </w:r>
      <w:r w:rsidR="00B146F5">
        <w:rPr>
          <w:szCs w:val="22"/>
        </w:rPr>
        <w:t xml:space="preserve">IT system </w:t>
      </w:r>
      <w:r w:rsidR="00BF1831">
        <w:rPr>
          <w:szCs w:val="22"/>
        </w:rPr>
        <w:t>may</w:t>
      </w:r>
      <w:r w:rsidR="00B146F5">
        <w:rPr>
          <w:szCs w:val="22"/>
        </w:rPr>
        <w:t xml:space="preserve"> be amended so that non-mandatory </w:t>
      </w:r>
      <w:r w:rsidRPr="00CE0865">
        <w:t xml:space="preserve">HCNs </w:t>
      </w:r>
      <w:r w:rsidR="00B146F5">
        <w:t>are not available for new applications</w:t>
      </w:r>
      <w:r w:rsidRPr="00CE0865">
        <w:t xml:space="preserve">. </w:t>
      </w:r>
      <w:r w:rsidR="00F11B2D">
        <w:t>A</w:t>
      </w:r>
      <w:r w:rsidRPr="00CE0865">
        <w:t xml:space="preserve">ny new listing will not be able to use a previously available HCN and the option for </w:t>
      </w:r>
      <w:r w:rsidR="00B146F5">
        <w:t>adding</w:t>
      </w:r>
      <w:r w:rsidR="00B146F5" w:rsidRPr="00CE0865">
        <w:t xml:space="preserve"> </w:t>
      </w:r>
      <w:r w:rsidRPr="00CE0865">
        <w:t>an HCN will not be available.</w:t>
      </w:r>
      <w:r w:rsidR="0063486A">
        <w:t xml:space="preserve">  </w:t>
      </w:r>
    </w:p>
    <w:p w:rsidR="00A26A9E" w:rsidRPr="00210462" w:rsidRDefault="000C7ACC" w:rsidP="00210462">
      <w:pPr>
        <w:rPr>
          <w:rFonts w:asciiTheme="minorHAnsi" w:hAnsiTheme="minorHAnsi"/>
        </w:rPr>
      </w:pPr>
      <w:r>
        <w:t xml:space="preserve">Potential applicants will be notified that the pre-approval process for HCNs has been discontinued via the TGA website and upon receipt of any new applications. </w:t>
      </w:r>
      <w:r w:rsidR="00B146F5">
        <w:t>C</w:t>
      </w:r>
      <w:r>
        <w:t>laims</w:t>
      </w:r>
      <w:r w:rsidRPr="00753E0E">
        <w:t xml:space="preserve"> </w:t>
      </w:r>
      <w:r w:rsidR="00B146F5">
        <w:t xml:space="preserve">made on a label or advertising material </w:t>
      </w:r>
      <w:r w:rsidRPr="00753E0E">
        <w:t xml:space="preserve">about existing or new components </w:t>
      </w:r>
      <w:r>
        <w:t xml:space="preserve">will be acceptable </w:t>
      </w:r>
      <w:r w:rsidRPr="00753E0E">
        <w:t xml:space="preserve">without pre-approval of </w:t>
      </w:r>
      <w:r>
        <w:t xml:space="preserve">the </w:t>
      </w:r>
      <w:r w:rsidRPr="00753E0E">
        <w:t>HCNs</w:t>
      </w:r>
      <w:r w:rsidR="00F11B2D">
        <w:t xml:space="preserve"> </w:t>
      </w:r>
      <w:r w:rsidR="00B146F5">
        <w:t xml:space="preserve">or inclusion of the HCN on the ARTG entry </w:t>
      </w:r>
      <w:r w:rsidR="00F11B2D">
        <w:t>provide</w:t>
      </w:r>
      <w:r w:rsidR="00B146F5">
        <w:t>d</w:t>
      </w:r>
      <w:r w:rsidR="00F11B2D">
        <w:t xml:space="preserve"> they meet other regulatory requirements</w:t>
      </w:r>
      <w:r>
        <w:t>. E</w:t>
      </w:r>
      <w:r w:rsidRPr="00753E0E">
        <w:t xml:space="preserve">vidence to support any </w:t>
      </w:r>
      <w:r>
        <w:t xml:space="preserve">label </w:t>
      </w:r>
      <w:r w:rsidRPr="00753E0E">
        <w:t xml:space="preserve">claims </w:t>
      </w:r>
      <w:r>
        <w:t>made</w:t>
      </w:r>
      <w:r w:rsidRPr="00753E0E">
        <w:t xml:space="preserve"> about components </w:t>
      </w:r>
      <w:r>
        <w:t xml:space="preserve">must </w:t>
      </w:r>
      <w:r>
        <w:lastRenderedPageBreak/>
        <w:t xml:space="preserve">still be held and available upon request. </w:t>
      </w:r>
      <w:r w:rsidRPr="00654FB0">
        <w:rPr>
          <w:rFonts w:asciiTheme="minorHAnsi" w:hAnsiTheme="minorHAnsi"/>
        </w:rPr>
        <w:t>Any claims that are made on a medicine label may be evaluated as part of a post-market compliance review</w:t>
      </w:r>
      <w:r>
        <w:rPr>
          <w:rFonts w:asciiTheme="minorHAnsi" w:hAnsiTheme="minorHAnsi"/>
        </w:rPr>
        <w:t>.</w:t>
      </w:r>
    </w:p>
    <w:p w:rsidR="00A26A9E" w:rsidRDefault="00A26A9E" w:rsidP="00CB515F">
      <w:pPr>
        <w:pStyle w:val="Heading1"/>
      </w:pPr>
      <w:r w:rsidRPr="00183AC5">
        <w:t>Regulatory Options</w:t>
      </w:r>
    </w:p>
    <w:p w:rsidR="0063486A" w:rsidRDefault="00F11B2D" w:rsidP="00210462">
      <w:r>
        <w:t>We are proposing two options to address the</w:t>
      </w:r>
      <w:r w:rsidRPr="00A04BF5">
        <w:t xml:space="preserve"> </w:t>
      </w:r>
      <w:r>
        <w:t xml:space="preserve">proposal to </w:t>
      </w:r>
      <w:r w:rsidRPr="00A04BF5">
        <w:t>discontinue the receipt and pre-market evaluation of HCN applications.</w:t>
      </w:r>
    </w:p>
    <w:p w:rsidR="00A04BF5" w:rsidRPr="00183AC5" w:rsidRDefault="00A04BF5" w:rsidP="00CB515F">
      <w:pPr>
        <w:pStyle w:val="Heading2"/>
        <w:numPr>
          <w:ilvl w:val="0"/>
          <w:numId w:val="0"/>
        </w:numPr>
        <w:ind w:left="357" w:hanging="357"/>
      </w:pPr>
      <w:r w:rsidRPr="00183AC5">
        <w:t>Option 1</w:t>
      </w:r>
    </w:p>
    <w:p w:rsidR="0063486A" w:rsidRDefault="00A04BF5" w:rsidP="00210462">
      <w:r w:rsidRPr="00A04BF5">
        <w:t>Maintain the status quo.</w:t>
      </w:r>
    </w:p>
    <w:p w:rsidR="005A1907" w:rsidRPr="005A1907" w:rsidRDefault="000B210F" w:rsidP="00210462">
      <w:r>
        <w:t>Consistent with the cost recovery arrangements in place, a</w:t>
      </w:r>
      <w:r w:rsidR="005A1907" w:rsidRPr="005A1907">
        <w:t xml:space="preserve"> fee for such applications may be considered</w:t>
      </w:r>
      <w:r w:rsidR="00CE0865">
        <w:t xml:space="preserve"> in the future</w:t>
      </w:r>
      <w:r w:rsidR="005A1907" w:rsidRPr="005A1907">
        <w:t>.</w:t>
      </w:r>
    </w:p>
    <w:p w:rsidR="00A04BF5" w:rsidRPr="00183AC5" w:rsidRDefault="00A04BF5" w:rsidP="00CB515F">
      <w:pPr>
        <w:pStyle w:val="Heading2"/>
        <w:numPr>
          <w:ilvl w:val="0"/>
          <w:numId w:val="0"/>
        </w:numPr>
        <w:ind w:left="357" w:hanging="357"/>
      </w:pPr>
      <w:r w:rsidRPr="00183AC5">
        <w:t>Option 2</w:t>
      </w:r>
    </w:p>
    <w:p w:rsidR="00A04BF5" w:rsidRDefault="000F5BDC" w:rsidP="00210462">
      <w:proofErr w:type="gramStart"/>
      <w:r>
        <w:t>I</w:t>
      </w:r>
      <w:r w:rsidR="00A04BF5" w:rsidRPr="00A04BF5">
        <w:t xml:space="preserve">ndustry and the TGA to work together to produce a workable mechanism that </w:t>
      </w:r>
      <w:r w:rsidR="00A04BF5">
        <w:t>allows for discontinuing pre-market evaluation of HCN applications</w:t>
      </w:r>
      <w:r w:rsidR="00A04BF5" w:rsidRPr="00A04BF5">
        <w:t>.</w:t>
      </w:r>
      <w:proofErr w:type="gramEnd"/>
    </w:p>
    <w:p w:rsidR="00DA1854" w:rsidRPr="005C502E" w:rsidRDefault="00DA1854" w:rsidP="00905BCC">
      <w:pPr>
        <w:pStyle w:val="Heading1"/>
      </w:pPr>
      <w:r w:rsidRPr="005C502E">
        <w:t xml:space="preserve">Proposed </w:t>
      </w:r>
      <w:r w:rsidR="00CE0865" w:rsidRPr="005C502E">
        <w:t xml:space="preserve">next </w:t>
      </w:r>
      <w:r w:rsidRPr="005C502E">
        <w:t>steps</w:t>
      </w:r>
    </w:p>
    <w:p w:rsidR="00DA1854" w:rsidRDefault="00CE0865" w:rsidP="00210462">
      <w:pPr>
        <w:pStyle w:val="Numberbullet0"/>
        <w:numPr>
          <w:ilvl w:val="0"/>
          <w:numId w:val="48"/>
        </w:numPr>
      </w:pPr>
      <w:r>
        <w:t>Seek feedback on this proposal</w:t>
      </w:r>
      <w:r w:rsidR="0040580F">
        <w:t xml:space="preserve"> through the publication of </w:t>
      </w:r>
      <w:r w:rsidR="00DA1854">
        <w:t>th</w:t>
      </w:r>
      <w:r>
        <w:t>is</w:t>
      </w:r>
      <w:r w:rsidR="00DA1854">
        <w:t xml:space="preserve"> consultation paper on the TGA website</w:t>
      </w:r>
      <w:r w:rsidR="000B210F">
        <w:t>.</w:t>
      </w:r>
    </w:p>
    <w:p w:rsidR="00123537" w:rsidRPr="00123537" w:rsidRDefault="00CE0865" w:rsidP="00210462">
      <w:pPr>
        <w:pStyle w:val="Numberbullet0"/>
        <w:numPr>
          <w:ilvl w:val="0"/>
          <w:numId w:val="48"/>
        </w:numPr>
        <w:rPr>
          <w:lang w:val="en-US"/>
        </w:rPr>
      </w:pPr>
      <w:r>
        <w:t>P</w:t>
      </w:r>
      <w:r w:rsidR="0040580F">
        <w:t xml:space="preserve">ublish </w:t>
      </w:r>
      <w:r w:rsidR="00123537" w:rsidRPr="00123537">
        <w:t xml:space="preserve">an explanatory web statement with related news item on the TGA website to announce the </w:t>
      </w:r>
      <w:r w:rsidR="0040580F">
        <w:t>outcome of the consultation</w:t>
      </w:r>
      <w:r w:rsidR="000B210F">
        <w:t>.</w:t>
      </w:r>
    </w:p>
    <w:p w:rsidR="00123537" w:rsidRPr="00123537" w:rsidRDefault="00CE0865" w:rsidP="00210462">
      <w:pPr>
        <w:pStyle w:val="Numberbullet0"/>
        <w:numPr>
          <w:ilvl w:val="0"/>
          <w:numId w:val="48"/>
        </w:numPr>
        <w:rPr>
          <w:lang w:val="en-US"/>
        </w:rPr>
      </w:pPr>
      <w:r>
        <w:t>P</w:t>
      </w:r>
      <w:r w:rsidR="0040580F">
        <w:t>ending the outcome of consultation</w:t>
      </w:r>
      <w:r w:rsidR="00F1120F">
        <w:t>, if positive</w:t>
      </w:r>
      <w:r w:rsidR="0040580F">
        <w:t xml:space="preserve">, </w:t>
      </w:r>
      <w:r w:rsidR="00123537" w:rsidRPr="00123537">
        <w:t xml:space="preserve">the availability of HCNs in the Ingredient Repository will be removed from the system and the option for selecting an HCN will </w:t>
      </w:r>
      <w:r w:rsidR="00F8321D">
        <w:t>not be available</w:t>
      </w:r>
      <w:r w:rsidR="000B210F">
        <w:t>.</w:t>
      </w:r>
    </w:p>
    <w:p w:rsidR="00123537" w:rsidRDefault="00CE0865" w:rsidP="00210462">
      <w:pPr>
        <w:pStyle w:val="Numberbullet0"/>
        <w:numPr>
          <w:ilvl w:val="0"/>
          <w:numId w:val="48"/>
        </w:numPr>
      </w:pPr>
      <w:r>
        <w:t>A</w:t>
      </w:r>
      <w:r w:rsidR="00123537">
        <w:t>mend the business process by archiving the</w:t>
      </w:r>
      <w:r w:rsidR="00123537" w:rsidRPr="00123537">
        <w:t xml:space="preserve"> existing HCN forms and guidance from the TGA website</w:t>
      </w:r>
      <w:r w:rsidR="000B210F">
        <w:t>.</w:t>
      </w:r>
    </w:p>
    <w:p w:rsidR="0040580F" w:rsidRPr="00DA1854" w:rsidRDefault="00CE0865" w:rsidP="00210462">
      <w:pPr>
        <w:pStyle w:val="Numberbullet0"/>
        <w:numPr>
          <w:ilvl w:val="0"/>
          <w:numId w:val="48"/>
        </w:numPr>
      </w:pPr>
      <w:r>
        <w:t>D</w:t>
      </w:r>
      <w:r w:rsidR="0040580F">
        <w:t>evelop a series of frequently asked questions for use in stakeholder communication if required.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A132F" w:rsidRPr="004B3A1A" w:rsidTr="0015397C">
        <w:trPr>
          <w:trHeight w:val="1206"/>
        </w:trPr>
        <w:tc>
          <w:tcPr>
            <w:tcW w:w="1276" w:type="dxa"/>
            <w:vAlign w:val="center"/>
          </w:tcPr>
          <w:tbl>
            <w:tblPr>
              <w:tblW w:w="9038" w:type="dxa"/>
              <w:tblLayout w:type="fixed"/>
              <w:tblCellMar>
                <w:left w:w="0" w:type="dxa"/>
                <w:right w:w="0" w:type="dxa"/>
              </w:tblCellMar>
              <w:tblLook w:val="04A0" w:firstRow="1" w:lastRow="0" w:firstColumn="1" w:lastColumn="0" w:noHBand="0" w:noVBand="1"/>
            </w:tblPr>
            <w:tblGrid>
              <w:gridCol w:w="1276"/>
              <w:gridCol w:w="7762"/>
            </w:tblGrid>
            <w:tr w:rsidR="00AA132F" w:rsidRPr="004B3A1A" w:rsidTr="0015397C">
              <w:trPr>
                <w:trHeight w:val="1206"/>
              </w:trPr>
              <w:tc>
                <w:tcPr>
                  <w:tcW w:w="1276" w:type="dxa"/>
                  <w:vAlign w:val="center"/>
                </w:tcPr>
                <w:p w:rsidR="00AA132F" w:rsidRPr="00D94DFF" w:rsidRDefault="00AA132F" w:rsidP="005C502E">
                  <w:pPr>
                    <w:spacing w:after="120"/>
                    <w:rPr>
                      <w:rFonts w:asciiTheme="minorHAnsi" w:hAnsiTheme="minorHAnsi"/>
                      <w:szCs w:val="22"/>
                    </w:rPr>
                  </w:pPr>
                  <w:r w:rsidRPr="00D94DFF">
                    <w:rPr>
                      <w:rFonts w:asciiTheme="minorHAnsi" w:hAnsiTheme="minorHAnsi"/>
                      <w:noProof/>
                      <w:szCs w:val="22"/>
                      <w:lang w:eastAsia="en-AU"/>
                    </w:rPr>
                    <mc:AlternateContent>
                      <mc:Choice Requires="wpg">
                        <w:drawing>
                          <wp:anchor distT="0" distB="0" distL="114300" distR="114300" simplePos="0" relativeHeight="251659264" behindDoc="0" locked="0" layoutInCell="1" allowOverlap="1" wp14:anchorId="18D761FB" wp14:editId="19D6A035">
                            <wp:simplePos x="0" y="0"/>
                            <wp:positionH relativeFrom="column">
                              <wp:posOffset>45720</wp:posOffset>
                            </wp:positionH>
                            <wp:positionV relativeFrom="paragraph">
                              <wp:posOffset>-187960</wp:posOffset>
                            </wp:positionV>
                            <wp:extent cx="488950" cy="689610"/>
                            <wp:effectExtent l="0" t="0" r="25400" b="0"/>
                            <wp:wrapNone/>
                            <wp:docPr id="13" name="Group 13" descr="&quot;&quot;"/>
                            <wp:cNvGraphicFramePr/>
                            <a:graphic xmlns:a="http://schemas.openxmlformats.org/drawingml/2006/main">
                              <a:graphicData uri="http://schemas.microsoft.com/office/word/2010/wordprocessingGroup">
                                <wpg:wgp>
                                  <wpg:cNvGrpSpPr/>
                                  <wpg:grpSpPr>
                                    <a:xfrm>
                                      <a:off x="0" y="0"/>
                                      <a:ext cx="488950" cy="689610"/>
                                      <a:chOff x="0" y="0"/>
                                      <a:chExt cx="488950" cy="689610"/>
                                    </a:xfrm>
                                  </wpg:grpSpPr>
                                  <wps:wsp>
                                    <wps:cNvPr id="21" name="Oval 21"/>
                                    <wps:cNvSpPr/>
                                    <wps:spPr>
                                      <a:xfrm>
                                        <a:off x="0" y="128337"/>
                                        <a:ext cx="488950" cy="495935"/>
                                      </a:xfrm>
                                      <a:prstGeom prst="ellipse">
                                        <a:avLst/>
                                      </a:prstGeom>
                                      <a:solidFill>
                                        <a:srgbClr val="000000"/>
                                      </a:solid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a:off x="50674" y="0"/>
                                        <a:ext cx="368935" cy="689610"/>
                                      </a:xfrm>
                                      <a:prstGeom prst="rect">
                                        <a:avLst/>
                                      </a:prstGeom>
                                      <a:noFill/>
                                      <a:ln w="9525">
                                        <a:noFill/>
                                        <a:miter lim="800000"/>
                                        <a:headEnd/>
                                        <a:tailEnd/>
                                      </a:ln>
                                    </wps:spPr>
                                    <wps:txbx>
                                      <w:txbxContent>
                                        <w:p w:rsidR="00AA132F" w:rsidRPr="00D46806" w:rsidRDefault="00AA132F" w:rsidP="00AA132F">
                                          <w:pPr>
                                            <w:rPr>
                                              <w:rFonts w:ascii="Calibri" w:hAnsi="Calibri" w:cstheme="majorHAnsi"/>
                                              <w:b/>
                                              <w:color w:val="FFFFFF" w:themeColor="background1"/>
                                              <w:sz w:val="72"/>
                                            </w:rPr>
                                          </w:pPr>
                                          <w:r w:rsidRPr="00D46806">
                                            <w:rPr>
                                              <w:rFonts w:ascii="Calibri" w:hAnsi="Calibri" w:cstheme="majorHAnsi"/>
                                              <w:b/>
                                              <w:color w:val="FFFFFF" w:themeColor="background1"/>
                                              <w:sz w:val="7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9" alt="&quot;&quot;" style="position:absolute;margin-left:3.6pt;margin-top:-14.8pt;width:38.5pt;height:54.3pt;z-index:251659264;mso-width-relative:margin;mso-height-relative:margin" coordsize="4889,6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">
                            <v:oval id="Oval 21" o:spid="_x0000_s1030" style="position:absolute;top:1283;width:4889;height:4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bSsMA&#10;AADbAAAADwAAAGRycy9kb3ducmV2LnhtbESPQWvCQBSE7wX/w/IEb80mEcSmrlIVwWtiW+jtkX0m&#10;odm3MbvG+O+7BcHjMDPfMKvNaFoxUO8aywqSKAZBXFrdcKXg83R4XYJwHllja5kU3MnBZj15WWGm&#10;7Y1zGgpfiQBhl6GC2vsuk9KVNRl0ke2Ig3e2vUEfZF9J3eMtwE0r0zheSIMNh4UaO9rVVP4WV6Og&#10;mu/z4Xz8TpO34Scvv+aLYqsvSs2m48c7CE+jf4Yf7aNWkCbw/y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sbSsMAAADbAAAADwAAAAAAAAAAAAAAAACYAgAAZHJzL2Rv&#10;d25yZXYueG1sUEsFBgAAAAAEAAQA9QAAAIgDAAAAAA==&#10;" fillcolor="black" strokeweight="2pt"/>
                            <v:shape id="Text Box 2" o:spid="_x0000_s1031" type="#_x0000_t202" style="position:absolute;left:506;width:3690;height:6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AA132F" w:rsidRPr="00D46806" w:rsidRDefault="00AA132F" w:rsidP="00AA132F">
                                    <w:pPr>
                                      <w:rPr>
                                        <w:rFonts w:ascii="Calibri" w:hAnsi="Calibri" w:cstheme="majorHAnsi"/>
                                        <w:b/>
                                        <w:color w:val="FFFFFF" w:themeColor="background1"/>
                                        <w:sz w:val="72"/>
                                      </w:rPr>
                                    </w:pPr>
                                    <w:r w:rsidRPr="00D46806">
                                      <w:rPr>
                                        <w:rFonts w:ascii="Calibri" w:hAnsi="Calibri" w:cstheme="majorHAnsi"/>
                                        <w:b/>
                                        <w:color w:val="FFFFFF" w:themeColor="background1"/>
                                        <w:sz w:val="72"/>
                                      </w:rPr>
                                      <w:t>?</w:t>
                                    </w:r>
                                  </w:p>
                                </w:txbxContent>
                              </v:textbox>
                            </v:shape>
                          </v:group>
                        </w:pict>
                      </mc:Fallback>
                    </mc:AlternateContent>
                  </w:r>
                </w:p>
              </w:tc>
              <w:tc>
                <w:tcPr>
                  <w:tcW w:w="7762" w:type="dxa"/>
                  <w:shd w:val="clear" w:color="auto" w:fill="EAEAEA"/>
                  <w:tcMar>
                    <w:top w:w="170" w:type="dxa"/>
                    <w:left w:w="170" w:type="dxa"/>
                    <w:bottom w:w="170" w:type="dxa"/>
                    <w:right w:w="170" w:type="dxa"/>
                  </w:tcMar>
                </w:tcPr>
                <w:p w:rsidR="0063486A" w:rsidRDefault="00AA132F" w:rsidP="005C502E">
                  <w:pPr>
                    <w:spacing w:after="120"/>
                    <w:rPr>
                      <w:rFonts w:asciiTheme="minorHAnsi" w:hAnsiTheme="minorHAnsi"/>
                      <w:szCs w:val="22"/>
                    </w:rPr>
                  </w:pPr>
                  <w:r w:rsidRPr="00D94DFF">
                    <w:rPr>
                      <w:rFonts w:asciiTheme="minorHAnsi" w:hAnsiTheme="minorHAnsi"/>
                      <w:szCs w:val="22"/>
                    </w:rPr>
                    <w:t>Text</w:t>
                  </w:r>
                </w:p>
                <w:p w:rsidR="00AA132F" w:rsidRPr="00D94DFF" w:rsidRDefault="00AA132F" w:rsidP="005C502E">
                  <w:pPr>
                    <w:spacing w:after="120"/>
                    <w:rPr>
                      <w:rFonts w:asciiTheme="minorHAnsi" w:hAnsiTheme="minorHAnsi"/>
                      <w:szCs w:val="22"/>
                    </w:rPr>
                  </w:pPr>
                  <w:r w:rsidRPr="00D94DFF">
                    <w:rPr>
                      <w:rFonts w:asciiTheme="minorHAnsi" w:hAnsiTheme="minorHAnsi"/>
                      <w:szCs w:val="22"/>
                    </w:rPr>
                    <w:t xml:space="preserve">To delete this Tint box Select the whole table and then right click and choose </w:t>
                  </w:r>
                  <w:r w:rsidRPr="00D94DFF">
                    <w:rPr>
                      <w:rFonts w:asciiTheme="minorHAnsi" w:hAnsiTheme="minorHAnsi"/>
                      <w:b/>
                      <w:szCs w:val="22"/>
                    </w:rPr>
                    <w:t>Cut</w:t>
                  </w:r>
                  <w:r w:rsidRPr="00D94DFF">
                    <w:rPr>
                      <w:rFonts w:asciiTheme="minorHAnsi" w:hAnsiTheme="minorHAnsi"/>
                      <w:szCs w:val="22"/>
                    </w:rPr>
                    <w:t xml:space="preserve"> or </w:t>
                  </w:r>
                  <w:r w:rsidRPr="00D94DFF">
                    <w:rPr>
                      <w:rFonts w:asciiTheme="minorHAnsi" w:hAnsiTheme="minorHAnsi"/>
                      <w:b/>
                      <w:szCs w:val="22"/>
                    </w:rPr>
                    <w:t>Ctrl X</w:t>
                  </w:r>
                </w:p>
              </w:tc>
            </w:tr>
          </w:tbl>
          <w:p w:rsidR="00AA132F" w:rsidRPr="00D94DFF" w:rsidRDefault="00AA132F" w:rsidP="005C502E">
            <w:pPr>
              <w:spacing w:after="120"/>
              <w:jc w:val="center"/>
              <w:rPr>
                <w:rFonts w:asciiTheme="minorHAnsi" w:hAnsiTheme="minorHAnsi"/>
                <w:noProof/>
                <w:szCs w:val="22"/>
                <w:lang w:eastAsia="en-AU"/>
              </w:rPr>
            </w:pPr>
          </w:p>
        </w:tc>
        <w:tc>
          <w:tcPr>
            <w:tcW w:w="7762" w:type="dxa"/>
            <w:shd w:val="clear" w:color="auto" w:fill="EAEAEA"/>
            <w:tcMar>
              <w:top w:w="170" w:type="dxa"/>
              <w:left w:w="170" w:type="dxa"/>
              <w:bottom w:w="170" w:type="dxa"/>
              <w:right w:w="170" w:type="dxa"/>
            </w:tcMar>
          </w:tcPr>
          <w:p w:rsidR="00AA132F" w:rsidRPr="00022A5D" w:rsidRDefault="00AA132F" w:rsidP="005C502E">
            <w:pPr>
              <w:spacing w:after="120"/>
              <w:rPr>
                <w:rFonts w:asciiTheme="minorHAnsi" w:hAnsiTheme="minorHAnsi"/>
                <w:b/>
                <w:sz w:val="24"/>
                <w:szCs w:val="24"/>
              </w:rPr>
            </w:pPr>
            <w:r>
              <w:rPr>
                <w:rFonts w:asciiTheme="minorHAnsi" w:hAnsiTheme="minorHAnsi"/>
                <w:b/>
                <w:sz w:val="24"/>
                <w:szCs w:val="24"/>
              </w:rPr>
              <w:t>Feedback sought</w:t>
            </w:r>
          </w:p>
          <w:p w:rsidR="00AA132F" w:rsidRPr="00210462" w:rsidRDefault="00AA132F" w:rsidP="005C502E">
            <w:pPr>
              <w:pStyle w:val="ListBullet"/>
              <w:numPr>
                <w:ilvl w:val="0"/>
                <w:numId w:val="40"/>
              </w:numPr>
              <w:spacing w:after="120"/>
              <w:rPr>
                <w:rFonts w:asciiTheme="minorHAnsi" w:hAnsiTheme="minorHAnsi"/>
                <w:szCs w:val="24"/>
              </w:rPr>
            </w:pPr>
            <w:r w:rsidRPr="00210462">
              <w:rPr>
                <w:rFonts w:asciiTheme="minorHAnsi" w:hAnsiTheme="minorHAnsi"/>
                <w:szCs w:val="24"/>
              </w:rPr>
              <w:t xml:space="preserve">Do you support </w:t>
            </w:r>
            <w:r w:rsidR="00CE0865" w:rsidRPr="00210462">
              <w:rPr>
                <w:rFonts w:asciiTheme="minorHAnsi" w:hAnsiTheme="minorHAnsi"/>
                <w:szCs w:val="24"/>
              </w:rPr>
              <w:t>Regulatory Option 1 or 2 as outlined in this paper or would you like to propose an additional option for consideration</w:t>
            </w:r>
            <w:r w:rsidRPr="00210462">
              <w:rPr>
                <w:rFonts w:asciiTheme="minorHAnsi" w:hAnsiTheme="minorHAnsi"/>
                <w:szCs w:val="24"/>
              </w:rPr>
              <w:t>?</w:t>
            </w:r>
          </w:p>
          <w:p w:rsidR="00A26A9E" w:rsidRPr="005A1907" w:rsidRDefault="00AA132F" w:rsidP="005C502E">
            <w:pPr>
              <w:pStyle w:val="ListBullet"/>
              <w:numPr>
                <w:ilvl w:val="0"/>
                <w:numId w:val="40"/>
              </w:numPr>
              <w:spacing w:after="120"/>
              <w:rPr>
                <w:rFonts w:asciiTheme="minorHAnsi" w:hAnsiTheme="minorHAnsi"/>
                <w:szCs w:val="22"/>
              </w:rPr>
            </w:pPr>
            <w:r w:rsidRPr="00210462">
              <w:rPr>
                <w:rFonts w:asciiTheme="minorHAnsi" w:hAnsiTheme="minorHAnsi"/>
                <w:szCs w:val="24"/>
              </w:rPr>
              <w:t>Do you have any specific concerns regarding discontinuation of the HCN evaluation process?</w:t>
            </w:r>
          </w:p>
        </w:tc>
      </w:tr>
      <w:bookmarkEnd w:id="1"/>
      <w:bookmarkEnd w:id="2"/>
      <w:bookmarkEnd w:id="3"/>
    </w:tbl>
    <w:p w:rsidR="00DC5A56" w:rsidRPr="00D94DFF" w:rsidRDefault="00DC5A56" w:rsidP="000948A1">
      <w:pPr>
        <w:spacing w:after="120"/>
        <w:rPr>
          <w:rFonts w:asciiTheme="minorHAnsi" w:hAnsiTheme="minorHAnsi"/>
          <w:szCs w:val="22"/>
        </w:rPr>
        <w:sectPr w:rsidR="00DC5A56" w:rsidRPr="00D94DFF" w:rsidSect="004203EA">
          <w:headerReference w:type="even" r:id="rId20"/>
          <w:headerReference w:type="default" r:id="rId21"/>
          <w:footerReference w:type="default" r:id="rId22"/>
          <w:headerReference w:type="first" r:id="rId23"/>
          <w:type w:val="continuous"/>
          <w:pgSz w:w="11906" w:h="16838" w:code="9"/>
          <w:pgMar w:top="1530" w:right="1418" w:bottom="1361" w:left="1418" w:header="998" w:footer="283" w:gutter="0"/>
          <w:cols w:space="708"/>
          <w:titlePg/>
          <w:docGrid w:linePitch="360"/>
        </w:sectPr>
      </w:pPr>
    </w:p>
    <w:p w:rsidR="004203EA" w:rsidRDefault="004203EA">
      <w:pPr>
        <w:rPr>
          <w:b/>
        </w:rPr>
      </w:pPr>
    </w:p>
    <w:p w:rsidR="004203EA" w:rsidRDefault="004203EA">
      <w:pPr>
        <w:rPr>
          <w:b/>
        </w:rPr>
        <w:sectPr w:rsidR="004203EA" w:rsidSect="004203EA">
          <w:headerReference w:type="even" r:id="rId24"/>
          <w:headerReference w:type="default" r:id="rId25"/>
          <w:headerReference w:type="first" r:id="rId26"/>
          <w:footerReference w:type="first" r:id="rId27"/>
          <w:type w:val="continuous"/>
          <w:pgSz w:w="11906" w:h="16838" w:code="9"/>
          <w:pgMar w:top="1276" w:right="1701" w:bottom="709" w:left="1701" w:header="1134" w:footer="623" w:gutter="0"/>
          <w:cols w:space="708"/>
          <w:titlePg/>
          <w:docGrid w:linePitch="360"/>
        </w:sectPr>
      </w:pPr>
    </w:p>
    <w:p w:rsidR="004203EA" w:rsidRPr="004203EA" w:rsidRDefault="004203EA" w:rsidP="004203EA">
      <w:pPr>
        <w:jc w:val="right"/>
        <w:rPr>
          <w:rFonts w:asciiTheme="minorHAnsi" w:hAnsiTheme="minorHAnsi"/>
        </w:rPr>
      </w:pPr>
      <w:r w:rsidRPr="004203EA">
        <w:rPr>
          <w:rFonts w:asciiTheme="minorHAnsi" w:hAnsiTheme="minorHAnsi"/>
        </w:rPr>
        <w:lastRenderedPageBreak/>
        <w:t>Item 8.1</w:t>
      </w:r>
    </w:p>
    <w:p w:rsidR="004203EA" w:rsidRPr="004203EA" w:rsidRDefault="004203EA" w:rsidP="004203EA">
      <w:pPr>
        <w:jc w:val="right"/>
        <w:rPr>
          <w:rFonts w:asciiTheme="minorHAnsi" w:hAnsiTheme="minorHAnsi"/>
        </w:rPr>
      </w:pPr>
      <w:r w:rsidRPr="004203EA">
        <w:rPr>
          <w:rFonts w:asciiTheme="minorHAnsi" w:hAnsiTheme="minorHAnsi"/>
        </w:rPr>
        <w:t>CMEC 11</w:t>
      </w:r>
    </w:p>
    <w:p w:rsidR="004203EA" w:rsidRPr="004203EA" w:rsidRDefault="004203EA" w:rsidP="004203EA">
      <w:pPr>
        <w:jc w:val="right"/>
        <w:rPr>
          <w:rFonts w:asciiTheme="minorHAnsi" w:hAnsiTheme="minorHAnsi"/>
        </w:rPr>
      </w:pPr>
      <w:r w:rsidRPr="004203EA">
        <w:rPr>
          <w:rFonts w:asciiTheme="minorHAnsi" w:hAnsiTheme="minorHAnsi"/>
        </w:rPr>
        <w:t>February 1999</w:t>
      </w:r>
    </w:p>
    <w:p w:rsidR="004203EA" w:rsidRPr="00077B41" w:rsidRDefault="004203EA" w:rsidP="004203EA">
      <w:pPr>
        <w:pStyle w:val="DepartmentalNormal"/>
        <w:spacing w:before="120"/>
        <w:rPr>
          <w:rFonts w:asciiTheme="minorHAnsi" w:hAnsiTheme="minorHAnsi"/>
          <w:sz w:val="22"/>
        </w:rPr>
      </w:pPr>
      <w:r w:rsidRPr="00077B41">
        <w:rPr>
          <w:rFonts w:asciiTheme="minorHAnsi" w:hAnsiTheme="minorHAnsi"/>
          <w:sz w:val="22"/>
        </w:rPr>
        <w:t>For Advice to TGA</w:t>
      </w:r>
    </w:p>
    <w:p w:rsidR="004203EA" w:rsidRPr="004203EA" w:rsidRDefault="004203EA" w:rsidP="00905BCC">
      <w:pPr>
        <w:pStyle w:val="Heading1"/>
      </w:pPr>
      <w:r w:rsidRPr="004203EA">
        <w:t>Herbal Component Names (HCNs) - Regulatory review</w:t>
      </w:r>
    </w:p>
    <w:p w:rsidR="004203EA" w:rsidRPr="00077B41" w:rsidRDefault="004203EA" w:rsidP="00CB515F">
      <w:pPr>
        <w:pStyle w:val="Heading1"/>
      </w:pPr>
      <w:r w:rsidRPr="00077B41">
        <w:t>Advice requested from CMEC:</w:t>
      </w:r>
    </w:p>
    <w:p w:rsidR="0063486A" w:rsidRDefault="004203EA" w:rsidP="00077B41">
      <w:pPr>
        <w:pStyle w:val="BodyText"/>
        <w:spacing w:before="120" w:after="120"/>
        <w:jc w:val="left"/>
        <w:rPr>
          <w:rFonts w:asciiTheme="minorHAnsi" w:hAnsiTheme="minorHAnsi"/>
          <w:sz w:val="22"/>
          <w:szCs w:val="22"/>
        </w:rPr>
      </w:pPr>
      <w:r w:rsidRPr="004203EA">
        <w:rPr>
          <w:rFonts w:asciiTheme="minorHAnsi" w:hAnsiTheme="minorHAnsi"/>
          <w:sz w:val="22"/>
          <w:szCs w:val="22"/>
        </w:rPr>
        <w:t xml:space="preserve">CMEC is asked to consider whether or not herbal component names (HCNs) are necessary in the naming of standardised herbal ingredients, and, if they are necessary, whether the naming of such components should be retained with the TGA, or could be administered by Industry. </w:t>
      </w:r>
    </w:p>
    <w:p w:rsidR="004203EA" w:rsidRPr="004203EA" w:rsidRDefault="004203EA" w:rsidP="00CB515F">
      <w:pPr>
        <w:pStyle w:val="Heading1"/>
      </w:pPr>
      <w:r w:rsidRPr="004203EA">
        <w:t>Background</w:t>
      </w:r>
    </w:p>
    <w:p w:rsidR="004203EA" w:rsidRPr="004203EA" w:rsidRDefault="004203EA" w:rsidP="004203EA">
      <w:pPr>
        <w:pStyle w:val="BodyText2"/>
        <w:spacing w:before="120"/>
        <w:jc w:val="left"/>
        <w:rPr>
          <w:rFonts w:asciiTheme="minorHAnsi" w:hAnsiTheme="minorHAnsi"/>
          <w:sz w:val="22"/>
          <w:szCs w:val="22"/>
        </w:rPr>
      </w:pPr>
      <w:r w:rsidRPr="004203EA">
        <w:rPr>
          <w:rFonts w:asciiTheme="minorHAnsi" w:hAnsiTheme="minorHAnsi"/>
          <w:sz w:val="22"/>
          <w:szCs w:val="22"/>
        </w:rPr>
        <w:t>Australian Approved Herbal Component Names, or HCNs, are Australian Approved Names allocated to identified chemical constituents, or groups of constituents, present in herbal material.</w:t>
      </w:r>
      <w:r w:rsidR="0063486A">
        <w:rPr>
          <w:rFonts w:asciiTheme="minorHAnsi" w:hAnsiTheme="minorHAnsi"/>
          <w:sz w:val="22"/>
          <w:szCs w:val="22"/>
        </w:rPr>
        <w:t xml:space="preserve"> </w:t>
      </w:r>
      <w:r w:rsidRPr="004203EA">
        <w:rPr>
          <w:rFonts w:asciiTheme="minorHAnsi" w:hAnsiTheme="minorHAnsi"/>
          <w:sz w:val="22"/>
          <w:szCs w:val="22"/>
        </w:rPr>
        <w:t>They are used to correctly express standardised herbal ingredients in the Australian Register of Therapeutic Goods (ARTG), where the complete expression of the quantity of the ingredient must include a statement of the quantity of the standardised component.</w:t>
      </w:r>
    </w:p>
    <w:p w:rsidR="0063486A" w:rsidRDefault="004203EA" w:rsidP="004203EA">
      <w:pPr>
        <w:pStyle w:val="BodyText2"/>
        <w:spacing w:before="120"/>
        <w:jc w:val="left"/>
        <w:rPr>
          <w:rFonts w:asciiTheme="minorHAnsi" w:hAnsiTheme="minorHAnsi"/>
          <w:sz w:val="22"/>
          <w:szCs w:val="22"/>
        </w:rPr>
      </w:pPr>
      <w:r w:rsidRPr="004203EA">
        <w:rPr>
          <w:rFonts w:asciiTheme="minorHAnsi" w:hAnsiTheme="minorHAnsi"/>
          <w:sz w:val="22"/>
          <w:szCs w:val="22"/>
        </w:rPr>
        <w:t>The TGA approval process for HCNs is similar in many ways to that in place for other Australian Approved Names (AAN), such as chemical-AAN, ABN (Australian Biological Names) and AHN (Australian approved Herb species Names).</w:t>
      </w:r>
      <w:r w:rsidR="0063486A">
        <w:rPr>
          <w:rFonts w:asciiTheme="minorHAnsi" w:hAnsiTheme="minorHAnsi"/>
          <w:sz w:val="22"/>
          <w:szCs w:val="22"/>
        </w:rPr>
        <w:t xml:space="preserve"> </w:t>
      </w:r>
      <w:r w:rsidRPr="004203EA">
        <w:rPr>
          <w:rFonts w:asciiTheme="minorHAnsi" w:hAnsiTheme="minorHAnsi"/>
          <w:sz w:val="22"/>
          <w:szCs w:val="22"/>
        </w:rPr>
        <w:t>Australian approved names have been developed to give accuracy and consistency to ingredient names used on labels and entered onto the ARTG.</w:t>
      </w:r>
    </w:p>
    <w:p w:rsidR="004203EA" w:rsidRPr="004203EA" w:rsidRDefault="004203EA" w:rsidP="004203EA">
      <w:pPr>
        <w:pStyle w:val="BodyText2"/>
        <w:spacing w:before="120"/>
        <w:jc w:val="left"/>
        <w:rPr>
          <w:rFonts w:asciiTheme="minorHAnsi" w:hAnsiTheme="minorHAnsi"/>
          <w:sz w:val="22"/>
          <w:szCs w:val="22"/>
        </w:rPr>
      </w:pPr>
      <w:r w:rsidRPr="004203EA">
        <w:rPr>
          <w:rFonts w:asciiTheme="minorHAnsi" w:hAnsiTheme="minorHAnsi"/>
          <w:sz w:val="22"/>
          <w:szCs w:val="22"/>
        </w:rPr>
        <w:t>HCNs are not necessarily active components of herbs, but they do form part of the active ingredient – the herb. TGO48, Clause 3(2</w:t>
      </w:r>
      <w:proofErr w:type="gramStart"/>
      <w:r w:rsidRPr="004203EA">
        <w:rPr>
          <w:rFonts w:asciiTheme="minorHAnsi" w:hAnsiTheme="minorHAnsi"/>
          <w:sz w:val="22"/>
          <w:szCs w:val="22"/>
        </w:rPr>
        <w:t>)(</w:t>
      </w:r>
      <w:proofErr w:type="gramEnd"/>
      <w:r w:rsidRPr="004203EA">
        <w:rPr>
          <w:rFonts w:asciiTheme="minorHAnsi" w:hAnsiTheme="minorHAnsi"/>
          <w:sz w:val="22"/>
          <w:szCs w:val="22"/>
        </w:rPr>
        <w:t>b) indicates that all active ingredients are required to be named with Australian approved names, and in the case of an herbal ingredient, the Australian approved name consists of the plant species name, the plant part and the plant preparation.</w:t>
      </w:r>
      <w:r w:rsidR="0063486A">
        <w:rPr>
          <w:rFonts w:asciiTheme="minorHAnsi" w:hAnsiTheme="minorHAnsi"/>
          <w:sz w:val="22"/>
          <w:szCs w:val="22"/>
        </w:rPr>
        <w:t xml:space="preserve"> </w:t>
      </w:r>
      <w:r w:rsidRPr="004203EA">
        <w:rPr>
          <w:rFonts w:asciiTheme="minorHAnsi" w:hAnsiTheme="minorHAnsi"/>
          <w:sz w:val="22"/>
          <w:szCs w:val="22"/>
        </w:rPr>
        <w:t>A HCN is currently required to correctly express a standardised preparation.</w:t>
      </w:r>
    </w:p>
    <w:p w:rsidR="0063486A" w:rsidRDefault="004203EA" w:rsidP="004203EA">
      <w:pPr>
        <w:pStyle w:val="BodyText2"/>
        <w:spacing w:before="120" w:after="80"/>
        <w:jc w:val="left"/>
        <w:rPr>
          <w:rFonts w:asciiTheme="minorHAnsi" w:hAnsiTheme="minorHAnsi"/>
          <w:sz w:val="22"/>
          <w:szCs w:val="22"/>
        </w:rPr>
      </w:pPr>
      <w:r w:rsidRPr="004203EA">
        <w:rPr>
          <w:rFonts w:asciiTheme="minorHAnsi" w:hAnsiTheme="minorHAnsi"/>
          <w:sz w:val="22"/>
          <w:szCs w:val="22"/>
        </w:rPr>
        <w:t>When submitting an application for a HCN, applicants are requested to:</w:t>
      </w:r>
    </w:p>
    <w:p w:rsidR="0063486A" w:rsidRDefault="004203EA" w:rsidP="004203EA">
      <w:pPr>
        <w:pStyle w:val="BodyText2"/>
        <w:numPr>
          <w:ilvl w:val="0"/>
          <w:numId w:val="38"/>
        </w:numPr>
        <w:spacing w:before="120" w:after="80"/>
        <w:jc w:val="left"/>
        <w:rPr>
          <w:rFonts w:asciiTheme="minorHAnsi" w:hAnsiTheme="minorHAnsi"/>
          <w:sz w:val="22"/>
          <w:szCs w:val="22"/>
        </w:rPr>
      </w:pPr>
      <w:r w:rsidRPr="004203EA">
        <w:rPr>
          <w:rFonts w:asciiTheme="minorHAnsi" w:hAnsiTheme="minorHAnsi"/>
          <w:sz w:val="22"/>
          <w:szCs w:val="22"/>
        </w:rPr>
        <w:t>provide a chemical structure (or structures) and proof of the name (</w:t>
      </w:r>
      <w:proofErr w:type="spellStart"/>
      <w:r w:rsidRPr="004203EA">
        <w:rPr>
          <w:rFonts w:asciiTheme="minorHAnsi" w:hAnsiTheme="minorHAnsi"/>
          <w:sz w:val="22"/>
          <w:szCs w:val="22"/>
        </w:rPr>
        <w:t>eg</w:t>
      </w:r>
      <w:proofErr w:type="spellEnd"/>
      <w:r w:rsidRPr="004203EA">
        <w:rPr>
          <w:rFonts w:asciiTheme="minorHAnsi" w:hAnsiTheme="minorHAnsi"/>
          <w:sz w:val="22"/>
          <w:szCs w:val="22"/>
        </w:rPr>
        <w:t xml:space="preserve"> MERK reference),</w:t>
      </w:r>
    </w:p>
    <w:p w:rsidR="0063486A" w:rsidRDefault="004203EA" w:rsidP="004203EA">
      <w:pPr>
        <w:pStyle w:val="BodyText2"/>
        <w:numPr>
          <w:ilvl w:val="0"/>
          <w:numId w:val="38"/>
        </w:numPr>
        <w:spacing w:before="120" w:after="80"/>
        <w:jc w:val="left"/>
        <w:rPr>
          <w:rFonts w:asciiTheme="minorHAnsi" w:hAnsiTheme="minorHAnsi"/>
          <w:sz w:val="22"/>
          <w:szCs w:val="22"/>
        </w:rPr>
      </w:pPr>
      <w:r w:rsidRPr="004203EA">
        <w:rPr>
          <w:rFonts w:asciiTheme="minorHAnsi" w:hAnsiTheme="minorHAnsi"/>
          <w:sz w:val="22"/>
          <w:szCs w:val="22"/>
        </w:rPr>
        <w:t>demonstrate that the compound(s) exist in the herb,</w:t>
      </w:r>
    </w:p>
    <w:p w:rsidR="0063486A" w:rsidRDefault="004203EA" w:rsidP="004203EA">
      <w:pPr>
        <w:pStyle w:val="BodyText2"/>
        <w:numPr>
          <w:ilvl w:val="0"/>
          <w:numId w:val="38"/>
        </w:numPr>
        <w:spacing w:before="120" w:after="80"/>
        <w:jc w:val="left"/>
        <w:rPr>
          <w:rFonts w:asciiTheme="minorHAnsi" w:hAnsiTheme="minorHAnsi"/>
          <w:sz w:val="22"/>
          <w:szCs w:val="22"/>
        </w:rPr>
      </w:pPr>
      <w:r w:rsidRPr="004203EA">
        <w:rPr>
          <w:rFonts w:asciiTheme="minorHAnsi" w:hAnsiTheme="minorHAnsi"/>
          <w:sz w:val="22"/>
          <w:szCs w:val="22"/>
        </w:rPr>
        <w:t>in the case of groups of components, describe the relative proportions of the different components in the group, and</w:t>
      </w:r>
    </w:p>
    <w:p w:rsidR="004203EA" w:rsidRPr="004203EA" w:rsidRDefault="004203EA" w:rsidP="004203EA">
      <w:pPr>
        <w:pStyle w:val="BodyText2"/>
        <w:numPr>
          <w:ilvl w:val="0"/>
          <w:numId w:val="38"/>
        </w:numPr>
        <w:spacing w:before="120"/>
        <w:ind w:left="357" w:hanging="357"/>
        <w:jc w:val="left"/>
        <w:rPr>
          <w:rFonts w:asciiTheme="minorHAnsi" w:hAnsiTheme="minorHAnsi"/>
          <w:sz w:val="22"/>
          <w:szCs w:val="22"/>
        </w:rPr>
      </w:pPr>
      <w:proofErr w:type="gramStart"/>
      <w:r w:rsidRPr="004203EA">
        <w:rPr>
          <w:rFonts w:asciiTheme="minorHAnsi" w:hAnsiTheme="minorHAnsi"/>
          <w:sz w:val="22"/>
          <w:szCs w:val="22"/>
        </w:rPr>
        <w:t>where</w:t>
      </w:r>
      <w:proofErr w:type="gramEnd"/>
      <w:r w:rsidRPr="004203EA">
        <w:rPr>
          <w:rFonts w:asciiTheme="minorHAnsi" w:hAnsiTheme="minorHAnsi"/>
          <w:sz w:val="22"/>
          <w:szCs w:val="22"/>
        </w:rPr>
        <w:t xml:space="preserve"> the component(s) are calculated as another marker, name that marker.</w:t>
      </w:r>
    </w:p>
    <w:p w:rsidR="004203EA" w:rsidRPr="004203EA" w:rsidRDefault="004203EA" w:rsidP="004203EA">
      <w:pPr>
        <w:pStyle w:val="BodyText2"/>
        <w:spacing w:before="120"/>
        <w:jc w:val="left"/>
        <w:rPr>
          <w:rFonts w:asciiTheme="minorHAnsi" w:hAnsiTheme="minorHAnsi"/>
          <w:sz w:val="22"/>
          <w:szCs w:val="22"/>
        </w:rPr>
      </w:pPr>
      <w:r w:rsidRPr="004203EA">
        <w:rPr>
          <w:rFonts w:asciiTheme="minorHAnsi" w:hAnsiTheme="minorHAnsi"/>
          <w:sz w:val="22"/>
          <w:szCs w:val="22"/>
        </w:rPr>
        <w:t>The allocation of HCNs is not always straightforward. Whilst identification of a single chemical constituent is usually quite simple, the naming of groups of constituents is not always so.</w:t>
      </w:r>
      <w:r w:rsidR="0063486A">
        <w:rPr>
          <w:rFonts w:asciiTheme="minorHAnsi" w:hAnsiTheme="minorHAnsi"/>
          <w:sz w:val="22"/>
          <w:szCs w:val="22"/>
        </w:rPr>
        <w:t xml:space="preserve"> </w:t>
      </w:r>
      <w:r w:rsidRPr="004203EA">
        <w:rPr>
          <w:rFonts w:asciiTheme="minorHAnsi" w:hAnsiTheme="minorHAnsi"/>
          <w:sz w:val="22"/>
          <w:szCs w:val="22"/>
        </w:rPr>
        <w:t xml:space="preserve">The individual constituents in a group of </w:t>
      </w:r>
      <w:proofErr w:type="spellStart"/>
      <w:r w:rsidRPr="004203EA">
        <w:rPr>
          <w:rFonts w:asciiTheme="minorHAnsi" w:hAnsiTheme="minorHAnsi"/>
          <w:sz w:val="22"/>
          <w:szCs w:val="22"/>
        </w:rPr>
        <w:t>isoflavones</w:t>
      </w:r>
      <w:proofErr w:type="spellEnd"/>
      <w:r w:rsidRPr="004203EA">
        <w:rPr>
          <w:rFonts w:asciiTheme="minorHAnsi" w:hAnsiTheme="minorHAnsi"/>
          <w:sz w:val="22"/>
          <w:szCs w:val="22"/>
        </w:rPr>
        <w:t xml:space="preserve"> for example, may differ not only from species to species, but may also vary in different plant parts.</w:t>
      </w:r>
      <w:r w:rsidR="0063486A">
        <w:rPr>
          <w:rFonts w:asciiTheme="minorHAnsi" w:hAnsiTheme="minorHAnsi"/>
          <w:sz w:val="22"/>
          <w:szCs w:val="22"/>
        </w:rPr>
        <w:t xml:space="preserve"> </w:t>
      </w:r>
      <w:r w:rsidRPr="004203EA">
        <w:rPr>
          <w:rFonts w:asciiTheme="minorHAnsi" w:hAnsiTheme="minorHAnsi"/>
          <w:sz w:val="22"/>
          <w:szCs w:val="22"/>
        </w:rPr>
        <w:t xml:space="preserve">Hence the term </w:t>
      </w:r>
      <w:r w:rsidRPr="004203EA">
        <w:rPr>
          <w:rFonts w:asciiTheme="minorHAnsi" w:hAnsiTheme="minorHAnsi"/>
          <w:sz w:val="22"/>
          <w:szCs w:val="22"/>
        </w:rPr>
        <w:lastRenderedPageBreak/>
        <w:t>“</w:t>
      </w:r>
      <w:proofErr w:type="spellStart"/>
      <w:r w:rsidRPr="004203EA">
        <w:rPr>
          <w:rFonts w:asciiTheme="minorHAnsi" w:hAnsiTheme="minorHAnsi"/>
          <w:sz w:val="22"/>
          <w:szCs w:val="22"/>
        </w:rPr>
        <w:t>isoflavones</w:t>
      </w:r>
      <w:proofErr w:type="spellEnd"/>
      <w:r w:rsidRPr="004203EA">
        <w:rPr>
          <w:rFonts w:asciiTheme="minorHAnsi" w:hAnsiTheme="minorHAnsi"/>
          <w:sz w:val="22"/>
          <w:szCs w:val="22"/>
        </w:rPr>
        <w:t>” is representative of a number of different chemical profiles.</w:t>
      </w:r>
      <w:r w:rsidR="0063486A">
        <w:rPr>
          <w:rFonts w:asciiTheme="minorHAnsi" w:hAnsiTheme="minorHAnsi"/>
          <w:sz w:val="22"/>
          <w:szCs w:val="22"/>
        </w:rPr>
        <w:t xml:space="preserve"> </w:t>
      </w:r>
      <w:r w:rsidRPr="004203EA">
        <w:rPr>
          <w:rFonts w:asciiTheme="minorHAnsi" w:hAnsiTheme="minorHAnsi"/>
          <w:sz w:val="22"/>
          <w:szCs w:val="22"/>
        </w:rPr>
        <w:t>The issue of how the component(s) are measured also affects the term chosen to represent the group.</w:t>
      </w:r>
    </w:p>
    <w:p w:rsidR="004203EA" w:rsidRPr="004203EA" w:rsidRDefault="004203EA" w:rsidP="004203EA">
      <w:pPr>
        <w:pStyle w:val="BodyText2"/>
        <w:spacing w:before="120"/>
        <w:jc w:val="left"/>
        <w:rPr>
          <w:rFonts w:asciiTheme="minorHAnsi" w:hAnsiTheme="minorHAnsi"/>
          <w:sz w:val="22"/>
          <w:szCs w:val="22"/>
        </w:rPr>
      </w:pPr>
      <w:r w:rsidRPr="004203EA">
        <w:rPr>
          <w:rFonts w:asciiTheme="minorHAnsi" w:hAnsiTheme="minorHAnsi"/>
          <w:sz w:val="22"/>
          <w:szCs w:val="22"/>
        </w:rPr>
        <w:t xml:space="preserve">In </w:t>
      </w:r>
      <w:proofErr w:type="spellStart"/>
      <w:r w:rsidRPr="004203EA">
        <w:rPr>
          <w:rFonts w:asciiTheme="minorHAnsi" w:hAnsiTheme="minorHAnsi"/>
          <w:sz w:val="22"/>
          <w:szCs w:val="22"/>
        </w:rPr>
        <w:t>mid 1997</w:t>
      </w:r>
      <w:proofErr w:type="spellEnd"/>
      <w:r w:rsidRPr="004203EA">
        <w:rPr>
          <w:rFonts w:asciiTheme="minorHAnsi" w:hAnsiTheme="minorHAnsi"/>
          <w:sz w:val="22"/>
          <w:szCs w:val="22"/>
        </w:rPr>
        <w:t>, and again in early 1998, the TGA was approached by the Nutritional Foods Association of Australia (NFAA), who expressed concern at the lengthy delays in gaining approval of new herbal component names, or HCNs. They were also concerned with the amount of TGA staffing resources committed to this approval process, as they felt that these staff might be better utilised in other areas. Industry put forward the option of approving HCNs themselves.</w:t>
      </w:r>
    </w:p>
    <w:p w:rsidR="0063486A" w:rsidRDefault="004203EA" w:rsidP="004203EA">
      <w:pPr>
        <w:pStyle w:val="BodyText2"/>
        <w:spacing w:before="120"/>
        <w:jc w:val="left"/>
        <w:rPr>
          <w:rFonts w:asciiTheme="minorHAnsi" w:hAnsiTheme="minorHAnsi"/>
          <w:sz w:val="22"/>
          <w:szCs w:val="22"/>
        </w:rPr>
      </w:pPr>
      <w:r w:rsidRPr="004203EA">
        <w:rPr>
          <w:rFonts w:asciiTheme="minorHAnsi" w:hAnsiTheme="minorHAnsi"/>
          <w:sz w:val="22"/>
          <w:szCs w:val="22"/>
        </w:rPr>
        <w:t>In response to the matter of time taken to approve HCNs, the Herbal Ingredient Names Committee (HINC), the committee responsible for the approval of Australian Approved Names (AANs) relating to herbal ingredients, reviewed the then current approval process.</w:t>
      </w:r>
    </w:p>
    <w:p w:rsidR="004203EA" w:rsidRPr="004203EA" w:rsidRDefault="004203EA" w:rsidP="004203EA">
      <w:pPr>
        <w:pStyle w:val="BodyText2"/>
        <w:spacing w:before="120"/>
        <w:jc w:val="left"/>
        <w:rPr>
          <w:rFonts w:asciiTheme="minorHAnsi" w:hAnsiTheme="minorHAnsi"/>
          <w:sz w:val="22"/>
          <w:szCs w:val="22"/>
        </w:rPr>
      </w:pPr>
      <w:r w:rsidRPr="004203EA">
        <w:rPr>
          <w:rFonts w:asciiTheme="minorHAnsi" w:hAnsiTheme="minorHAnsi"/>
          <w:sz w:val="22"/>
          <w:szCs w:val="22"/>
        </w:rPr>
        <w:t>At the time these concerns were raised, the HINC was meeting on an ad hoc basis, dependent upon the number of applications received and the availability of staff.</w:t>
      </w:r>
      <w:r w:rsidR="0063486A">
        <w:rPr>
          <w:rFonts w:asciiTheme="minorHAnsi" w:hAnsiTheme="minorHAnsi"/>
          <w:sz w:val="22"/>
          <w:szCs w:val="22"/>
        </w:rPr>
        <w:t xml:space="preserve"> </w:t>
      </w:r>
      <w:r w:rsidRPr="004203EA">
        <w:rPr>
          <w:rFonts w:asciiTheme="minorHAnsi" w:hAnsiTheme="minorHAnsi"/>
          <w:sz w:val="22"/>
          <w:szCs w:val="22"/>
        </w:rPr>
        <w:t xml:space="preserve">This practice was discontinued, and regular monthly meetings of the HINC were introduced. The process was further streamlined around </w:t>
      </w:r>
      <w:proofErr w:type="spellStart"/>
      <w:r w:rsidRPr="004203EA">
        <w:rPr>
          <w:rFonts w:asciiTheme="minorHAnsi" w:hAnsiTheme="minorHAnsi"/>
          <w:sz w:val="22"/>
          <w:szCs w:val="22"/>
        </w:rPr>
        <w:t>mid 1998</w:t>
      </w:r>
      <w:proofErr w:type="spellEnd"/>
      <w:r w:rsidRPr="004203EA">
        <w:rPr>
          <w:rFonts w:asciiTheme="minorHAnsi" w:hAnsiTheme="minorHAnsi"/>
          <w:sz w:val="22"/>
          <w:szCs w:val="22"/>
        </w:rPr>
        <w:t>, to further improve the notification process to applicants</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The NFAA agreed that the matter should be taken to CMEC for advice.</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At the end of July 1998, the NFAA put forward a paper to go to CMEC (Attachment 1), proposing that HCNs were not necessary, and should be “scrapped”. The paper entitled “Herbal Component Names – Are they really necessary?” compiled was by the Industry Members of the Herbal Task Force.</w:t>
      </w:r>
    </w:p>
    <w:p w:rsidR="0063486A" w:rsidRDefault="004203EA" w:rsidP="004203EA">
      <w:pPr>
        <w:spacing w:after="120"/>
        <w:rPr>
          <w:rFonts w:asciiTheme="minorHAnsi" w:hAnsiTheme="minorHAnsi"/>
          <w:szCs w:val="22"/>
        </w:rPr>
      </w:pPr>
      <w:r w:rsidRPr="004203EA">
        <w:rPr>
          <w:rFonts w:asciiTheme="minorHAnsi" w:hAnsiTheme="minorHAnsi"/>
          <w:szCs w:val="22"/>
        </w:rPr>
        <w:t>The TGA was concerned with some of the points raised in the Task Force paper. In an attempt to address what it considered to be misconceptions and misunderstandings surrounding the use and approval of HCNs before it would be ready to be taken to CMEC, TGA responded to this paper on two fronts.</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Firstly, the issues were raised at a meeting of the Herbal Task Force held on 28 August 1998.</w:t>
      </w:r>
      <w:r w:rsidR="0063486A">
        <w:rPr>
          <w:rFonts w:asciiTheme="minorHAnsi" w:hAnsiTheme="minorHAnsi"/>
          <w:szCs w:val="22"/>
        </w:rPr>
        <w:t xml:space="preserve"> </w:t>
      </w:r>
      <w:r w:rsidRPr="004203EA">
        <w:rPr>
          <w:rFonts w:asciiTheme="minorHAnsi" w:hAnsiTheme="minorHAnsi"/>
          <w:szCs w:val="22"/>
        </w:rPr>
        <w:t>This was followed up with a letter on the 11 November 1998 (Attachment 2), the basis of which was the draft position paper on HCNs. This letter also invited the Task Force to submit another draft of their proposal concerning the abolition of HCNs, taking into account the additional information supplied, with the intention of presenting that paper to the CMEC.</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On 5 February 1999 the TGA received a response from the Complementary Healthcare Council of Australia (CHC) (Attachment 3) - formerly the NFAA This response primarily consisted of comments directed at particular paragraphs of the TGA letter dated 11 November 1998, claiming that the TGA response was more a justification of the status quo rather than a response to the problems raised in the NFAA paper. A summary of the CHC response to TGA has been prepared (Attachment 4).</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 xml:space="preserve">In general, the CHC response was apparently based on the belief that the TGA thinks that standardised components are active, and that the TGA do not accept that the Electronic </w:t>
      </w:r>
      <w:proofErr w:type="spellStart"/>
      <w:r w:rsidRPr="004203EA">
        <w:rPr>
          <w:rFonts w:asciiTheme="minorHAnsi" w:hAnsiTheme="minorHAnsi"/>
          <w:szCs w:val="22"/>
        </w:rPr>
        <w:t>Lodgment</w:t>
      </w:r>
      <w:proofErr w:type="spellEnd"/>
      <w:r w:rsidRPr="004203EA">
        <w:rPr>
          <w:rFonts w:asciiTheme="minorHAnsi" w:hAnsiTheme="minorHAnsi"/>
          <w:szCs w:val="22"/>
        </w:rPr>
        <w:t xml:space="preserve"> System (ELF) is changing.</w:t>
      </w:r>
      <w:r w:rsidR="0063486A">
        <w:rPr>
          <w:rFonts w:asciiTheme="minorHAnsi" w:hAnsiTheme="minorHAnsi"/>
          <w:szCs w:val="22"/>
        </w:rPr>
        <w:t xml:space="preserve"> </w:t>
      </w:r>
      <w:r w:rsidRPr="004203EA">
        <w:rPr>
          <w:rFonts w:asciiTheme="minorHAnsi" w:hAnsiTheme="minorHAnsi"/>
          <w:szCs w:val="22"/>
        </w:rPr>
        <w:t>The CHC also claim that an herbal component name can apply to many herbs.</w:t>
      </w:r>
      <w:r w:rsidR="0063486A">
        <w:rPr>
          <w:rFonts w:asciiTheme="minorHAnsi" w:hAnsiTheme="minorHAnsi"/>
          <w:szCs w:val="22"/>
        </w:rPr>
        <w:t xml:space="preserve"> </w:t>
      </w:r>
      <w:r w:rsidRPr="004203EA">
        <w:rPr>
          <w:rFonts w:asciiTheme="minorHAnsi" w:hAnsiTheme="minorHAnsi"/>
          <w:szCs w:val="22"/>
        </w:rPr>
        <w:t>The response concluded that HCNs serve little or no purpose and might usefully be discarded.</w:t>
      </w:r>
      <w:r w:rsidR="0063486A">
        <w:rPr>
          <w:rFonts w:asciiTheme="minorHAnsi" w:hAnsiTheme="minorHAnsi"/>
          <w:szCs w:val="22"/>
        </w:rPr>
        <w:t xml:space="preserve"> </w:t>
      </w:r>
      <w:r w:rsidRPr="004203EA">
        <w:rPr>
          <w:rFonts w:asciiTheme="minorHAnsi" w:hAnsiTheme="minorHAnsi"/>
          <w:szCs w:val="22"/>
        </w:rPr>
        <w:t>No alternative mechanism to deal with expression of standardised ingredients was provided.</w:t>
      </w:r>
    </w:p>
    <w:p w:rsidR="004203EA" w:rsidRPr="004203EA" w:rsidRDefault="004203EA" w:rsidP="00CB515F">
      <w:pPr>
        <w:pStyle w:val="Heading1"/>
      </w:pPr>
      <w:r w:rsidRPr="004203EA">
        <w:lastRenderedPageBreak/>
        <w:t>Industry position</w:t>
      </w:r>
    </w:p>
    <w:p w:rsidR="004203EA" w:rsidRPr="004203EA" w:rsidRDefault="004203EA" w:rsidP="00077B41">
      <w:pPr>
        <w:keepNext/>
        <w:spacing w:after="120"/>
        <w:rPr>
          <w:rFonts w:asciiTheme="minorHAnsi" w:hAnsiTheme="minorHAnsi"/>
          <w:szCs w:val="22"/>
        </w:rPr>
      </w:pPr>
      <w:r w:rsidRPr="004203EA">
        <w:rPr>
          <w:rFonts w:asciiTheme="minorHAnsi" w:hAnsiTheme="minorHAnsi"/>
          <w:szCs w:val="22"/>
        </w:rPr>
        <w:t>Industry, via the CHC, states that they are not happy with the current situation relating to the use and approval of HCNs.</w:t>
      </w:r>
      <w:r w:rsidR="0063486A">
        <w:rPr>
          <w:rFonts w:asciiTheme="minorHAnsi" w:hAnsiTheme="minorHAnsi"/>
          <w:szCs w:val="22"/>
        </w:rPr>
        <w:t xml:space="preserve"> </w:t>
      </w:r>
      <w:r w:rsidRPr="004203EA">
        <w:rPr>
          <w:rFonts w:asciiTheme="minorHAnsi" w:hAnsiTheme="minorHAnsi"/>
          <w:szCs w:val="22"/>
        </w:rPr>
        <w:t>The reasons given for this dissatisfaction include:</w:t>
      </w:r>
    </w:p>
    <w:p w:rsidR="004203EA" w:rsidRPr="004203EA" w:rsidRDefault="004203EA" w:rsidP="004203EA">
      <w:pPr>
        <w:numPr>
          <w:ilvl w:val="0"/>
          <w:numId w:val="35"/>
        </w:numPr>
        <w:spacing w:after="80" w:line="240" w:lineRule="auto"/>
        <w:ind w:left="357" w:hanging="357"/>
        <w:rPr>
          <w:rFonts w:asciiTheme="minorHAnsi" w:hAnsiTheme="minorHAnsi"/>
          <w:szCs w:val="22"/>
        </w:rPr>
      </w:pPr>
      <w:r w:rsidRPr="004203EA">
        <w:rPr>
          <w:rFonts w:asciiTheme="minorHAnsi" w:hAnsiTheme="minorHAnsi"/>
          <w:szCs w:val="22"/>
        </w:rPr>
        <w:t>Time taken to approve a HCN, hence market advantage may be lost,</w:t>
      </w:r>
    </w:p>
    <w:p w:rsidR="004203EA" w:rsidRPr="004203EA" w:rsidRDefault="004203EA" w:rsidP="004203EA">
      <w:pPr>
        <w:numPr>
          <w:ilvl w:val="0"/>
          <w:numId w:val="35"/>
        </w:numPr>
        <w:spacing w:after="80" w:line="240" w:lineRule="auto"/>
        <w:ind w:left="357" w:hanging="357"/>
        <w:rPr>
          <w:rFonts w:asciiTheme="minorHAnsi" w:hAnsiTheme="minorHAnsi"/>
          <w:szCs w:val="22"/>
        </w:rPr>
      </w:pPr>
      <w:r w:rsidRPr="004203EA">
        <w:rPr>
          <w:rFonts w:asciiTheme="minorHAnsi" w:hAnsiTheme="minorHAnsi"/>
          <w:szCs w:val="22"/>
        </w:rPr>
        <w:t>Unnecessary workload for both TGA and the sponsor,</w:t>
      </w:r>
    </w:p>
    <w:p w:rsidR="004203EA" w:rsidRPr="004203EA" w:rsidRDefault="004203EA" w:rsidP="004203EA">
      <w:pPr>
        <w:numPr>
          <w:ilvl w:val="0"/>
          <w:numId w:val="35"/>
        </w:numPr>
        <w:spacing w:after="80" w:line="240" w:lineRule="auto"/>
        <w:ind w:left="357" w:hanging="357"/>
        <w:rPr>
          <w:rFonts w:asciiTheme="minorHAnsi" w:hAnsiTheme="minorHAnsi"/>
          <w:szCs w:val="22"/>
        </w:rPr>
      </w:pPr>
      <w:r w:rsidRPr="004203EA">
        <w:rPr>
          <w:rFonts w:asciiTheme="minorHAnsi" w:hAnsiTheme="minorHAnsi"/>
          <w:szCs w:val="22"/>
        </w:rPr>
        <w:t>Claim that HCNs are not a legal requirement for the listing of therapeutic goods,</w:t>
      </w:r>
    </w:p>
    <w:p w:rsidR="004203EA" w:rsidRPr="004203EA" w:rsidRDefault="004203EA" w:rsidP="004203EA">
      <w:pPr>
        <w:numPr>
          <w:ilvl w:val="0"/>
          <w:numId w:val="35"/>
        </w:numPr>
        <w:spacing w:after="80" w:line="240" w:lineRule="auto"/>
        <w:ind w:left="357" w:hanging="357"/>
        <w:rPr>
          <w:rFonts w:asciiTheme="minorHAnsi" w:hAnsiTheme="minorHAnsi"/>
          <w:szCs w:val="22"/>
        </w:rPr>
      </w:pPr>
      <w:r w:rsidRPr="004203EA">
        <w:rPr>
          <w:rFonts w:asciiTheme="minorHAnsi" w:hAnsiTheme="minorHAnsi"/>
          <w:szCs w:val="22"/>
        </w:rPr>
        <w:t>HCNs not a measure of safety,</w:t>
      </w:r>
    </w:p>
    <w:p w:rsidR="004203EA" w:rsidRPr="004203EA" w:rsidRDefault="004203EA" w:rsidP="004203EA">
      <w:pPr>
        <w:numPr>
          <w:ilvl w:val="0"/>
          <w:numId w:val="35"/>
        </w:numPr>
        <w:spacing w:after="80" w:line="240" w:lineRule="auto"/>
        <w:ind w:left="357" w:hanging="357"/>
        <w:rPr>
          <w:rFonts w:asciiTheme="minorHAnsi" w:hAnsiTheme="minorHAnsi"/>
          <w:szCs w:val="22"/>
        </w:rPr>
      </w:pPr>
      <w:r w:rsidRPr="004203EA">
        <w:rPr>
          <w:rFonts w:asciiTheme="minorHAnsi" w:hAnsiTheme="minorHAnsi"/>
          <w:szCs w:val="22"/>
        </w:rPr>
        <w:t>Use on labels is really a Trade Practices issue,</w:t>
      </w:r>
    </w:p>
    <w:p w:rsidR="004203EA" w:rsidRPr="004203EA" w:rsidRDefault="004203EA" w:rsidP="004203EA">
      <w:pPr>
        <w:numPr>
          <w:ilvl w:val="0"/>
          <w:numId w:val="35"/>
        </w:numPr>
        <w:spacing w:after="80" w:line="240" w:lineRule="auto"/>
        <w:ind w:left="357" w:hanging="357"/>
        <w:rPr>
          <w:rFonts w:asciiTheme="minorHAnsi" w:hAnsiTheme="minorHAnsi"/>
          <w:szCs w:val="22"/>
        </w:rPr>
      </w:pPr>
      <w:r w:rsidRPr="004203EA">
        <w:rPr>
          <w:rFonts w:asciiTheme="minorHAnsi" w:hAnsiTheme="minorHAnsi"/>
          <w:szCs w:val="22"/>
        </w:rPr>
        <w:t>Current HCN list is prescriptive,</w:t>
      </w:r>
    </w:p>
    <w:p w:rsidR="004203EA" w:rsidRPr="004203EA" w:rsidRDefault="004203EA" w:rsidP="004203EA">
      <w:pPr>
        <w:numPr>
          <w:ilvl w:val="0"/>
          <w:numId w:val="35"/>
        </w:numPr>
        <w:spacing w:after="240" w:line="240" w:lineRule="auto"/>
        <w:ind w:left="357" w:hanging="357"/>
        <w:rPr>
          <w:rFonts w:asciiTheme="minorHAnsi" w:hAnsiTheme="minorHAnsi"/>
          <w:szCs w:val="22"/>
        </w:rPr>
      </w:pPr>
      <w:r w:rsidRPr="004203EA">
        <w:rPr>
          <w:rFonts w:asciiTheme="minorHAnsi" w:hAnsiTheme="minorHAnsi"/>
          <w:szCs w:val="22"/>
        </w:rPr>
        <w:t>Control and detail required is not reflected in the ELF system.</w:t>
      </w:r>
    </w:p>
    <w:p w:rsidR="004203EA" w:rsidRPr="004203EA" w:rsidRDefault="004203EA" w:rsidP="004203EA">
      <w:pPr>
        <w:pStyle w:val="DepartmentalNormal"/>
        <w:spacing w:before="120" w:after="120"/>
        <w:rPr>
          <w:rFonts w:asciiTheme="minorHAnsi" w:hAnsiTheme="minorHAnsi"/>
          <w:sz w:val="22"/>
          <w:szCs w:val="22"/>
        </w:rPr>
      </w:pPr>
      <w:r w:rsidRPr="004203EA">
        <w:rPr>
          <w:rFonts w:asciiTheme="minorHAnsi" w:hAnsiTheme="minorHAnsi"/>
          <w:sz w:val="22"/>
          <w:szCs w:val="22"/>
        </w:rPr>
        <w:t>Industry, via the CHC, state that they want HCNs “discarded”, in order to:</w:t>
      </w:r>
    </w:p>
    <w:p w:rsidR="004203EA" w:rsidRPr="004203EA" w:rsidRDefault="004203EA" w:rsidP="004203EA">
      <w:pPr>
        <w:pStyle w:val="DepartmentalNormal"/>
        <w:numPr>
          <w:ilvl w:val="0"/>
          <w:numId w:val="36"/>
        </w:numPr>
        <w:spacing w:before="120" w:after="80"/>
        <w:ind w:left="357" w:hanging="357"/>
        <w:rPr>
          <w:rFonts w:asciiTheme="minorHAnsi" w:hAnsiTheme="minorHAnsi"/>
          <w:sz w:val="22"/>
          <w:szCs w:val="22"/>
        </w:rPr>
      </w:pPr>
      <w:r w:rsidRPr="004203EA">
        <w:rPr>
          <w:rFonts w:asciiTheme="minorHAnsi" w:hAnsiTheme="minorHAnsi"/>
          <w:sz w:val="22"/>
          <w:szCs w:val="22"/>
        </w:rPr>
        <w:t>Give sponsors more freedom with the placement and description of components,</w:t>
      </w:r>
    </w:p>
    <w:p w:rsidR="004203EA" w:rsidRPr="004203EA" w:rsidRDefault="004203EA" w:rsidP="004203EA">
      <w:pPr>
        <w:pStyle w:val="DepartmentalNormal"/>
        <w:numPr>
          <w:ilvl w:val="0"/>
          <w:numId w:val="36"/>
        </w:numPr>
        <w:spacing w:before="120" w:after="80"/>
        <w:ind w:left="357" w:hanging="357"/>
        <w:rPr>
          <w:rFonts w:asciiTheme="minorHAnsi" w:hAnsiTheme="minorHAnsi"/>
          <w:sz w:val="22"/>
          <w:szCs w:val="22"/>
        </w:rPr>
      </w:pPr>
      <w:r w:rsidRPr="004203EA">
        <w:rPr>
          <w:rFonts w:asciiTheme="minorHAnsi" w:hAnsiTheme="minorHAnsi"/>
          <w:sz w:val="22"/>
          <w:szCs w:val="22"/>
        </w:rPr>
        <w:t>Save TGA resources currently tied up in approval of HCNs (for which no fee is charged), and free staff up for more relevant and important tasks,</w:t>
      </w:r>
    </w:p>
    <w:p w:rsidR="004203EA" w:rsidRPr="004203EA" w:rsidRDefault="004203EA" w:rsidP="004203EA">
      <w:pPr>
        <w:pStyle w:val="DepartmentalNormal"/>
        <w:numPr>
          <w:ilvl w:val="0"/>
          <w:numId w:val="36"/>
        </w:numPr>
        <w:spacing w:before="120" w:after="240"/>
        <w:ind w:left="357" w:hanging="357"/>
        <w:rPr>
          <w:rFonts w:asciiTheme="minorHAnsi" w:hAnsiTheme="minorHAnsi"/>
          <w:sz w:val="22"/>
          <w:szCs w:val="22"/>
        </w:rPr>
      </w:pPr>
      <w:r w:rsidRPr="004203EA">
        <w:rPr>
          <w:rFonts w:asciiTheme="minorHAnsi" w:hAnsiTheme="minorHAnsi"/>
          <w:sz w:val="22"/>
          <w:szCs w:val="22"/>
        </w:rPr>
        <w:t>Be able to use component names for any relevant herb.</w:t>
      </w:r>
    </w:p>
    <w:p w:rsidR="004203EA" w:rsidRPr="004203EA" w:rsidRDefault="004203EA" w:rsidP="00CB515F">
      <w:pPr>
        <w:pStyle w:val="Heading1"/>
      </w:pPr>
      <w:r w:rsidRPr="004203EA">
        <w:t>TGA position</w:t>
      </w:r>
    </w:p>
    <w:p w:rsidR="004203EA" w:rsidRPr="004203EA" w:rsidRDefault="004203EA" w:rsidP="004203EA">
      <w:pPr>
        <w:spacing w:after="120"/>
        <w:rPr>
          <w:rFonts w:asciiTheme="minorHAnsi" w:hAnsiTheme="minorHAnsi"/>
        </w:rPr>
      </w:pPr>
      <w:r w:rsidRPr="004203EA">
        <w:rPr>
          <w:rFonts w:asciiTheme="minorHAnsi" w:hAnsiTheme="minorHAnsi"/>
        </w:rPr>
        <w:t>The TGA believes that component names are necessary, in order to properly express standardised ingredients. It is preferable that these names, like other Australian Approved Names, be accurate and consistent.</w:t>
      </w:r>
      <w:r w:rsidR="0063486A">
        <w:rPr>
          <w:rFonts w:asciiTheme="minorHAnsi" w:hAnsiTheme="minorHAnsi"/>
        </w:rPr>
        <w:t xml:space="preserve"> </w:t>
      </w:r>
      <w:r w:rsidRPr="004203EA">
        <w:rPr>
          <w:rFonts w:asciiTheme="minorHAnsi" w:hAnsiTheme="minorHAnsi"/>
        </w:rPr>
        <w:t>The component name used should correctly characterise the constituent or constituents being referred to.</w:t>
      </w:r>
    </w:p>
    <w:p w:rsidR="004203EA" w:rsidRPr="004203EA" w:rsidRDefault="004203EA" w:rsidP="004203EA">
      <w:pPr>
        <w:spacing w:after="120"/>
        <w:rPr>
          <w:rFonts w:asciiTheme="minorHAnsi" w:hAnsiTheme="minorHAnsi"/>
        </w:rPr>
      </w:pPr>
      <w:r w:rsidRPr="004203EA">
        <w:rPr>
          <w:rFonts w:asciiTheme="minorHAnsi" w:hAnsiTheme="minorHAnsi"/>
        </w:rPr>
        <w:t>The HCN approval process has been streamlined in the past year in an attempt to meet the needs of Industry. The HINC now meet on a monthly basis, applicants are notified of the approved HCN within 2 working days, and an alternative procedure to deal with urgent HCN applications is currently in place.</w:t>
      </w:r>
    </w:p>
    <w:p w:rsidR="004203EA" w:rsidRPr="004203EA" w:rsidRDefault="004203EA" w:rsidP="004203EA">
      <w:pPr>
        <w:spacing w:after="120"/>
        <w:rPr>
          <w:rFonts w:asciiTheme="minorHAnsi" w:hAnsiTheme="minorHAnsi"/>
        </w:rPr>
      </w:pPr>
      <w:r w:rsidRPr="004203EA">
        <w:rPr>
          <w:rFonts w:asciiTheme="minorHAnsi" w:hAnsiTheme="minorHAnsi"/>
        </w:rPr>
        <w:t>There are, however, problems with the current system, and these should be addressed.</w:t>
      </w:r>
      <w:r w:rsidR="0063486A">
        <w:rPr>
          <w:rFonts w:asciiTheme="minorHAnsi" w:hAnsiTheme="minorHAnsi"/>
        </w:rPr>
        <w:t xml:space="preserve"> </w:t>
      </w:r>
      <w:r w:rsidRPr="004203EA">
        <w:rPr>
          <w:rFonts w:asciiTheme="minorHAnsi" w:hAnsiTheme="minorHAnsi"/>
        </w:rPr>
        <w:t>These include:</w:t>
      </w:r>
    </w:p>
    <w:p w:rsidR="0063486A" w:rsidRDefault="004203EA" w:rsidP="004203EA">
      <w:pPr>
        <w:numPr>
          <w:ilvl w:val="0"/>
          <w:numId w:val="37"/>
        </w:numPr>
        <w:spacing w:after="80" w:line="240" w:lineRule="auto"/>
        <w:ind w:left="357" w:hanging="357"/>
        <w:rPr>
          <w:rFonts w:asciiTheme="minorHAnsi" w:hAnsiTheme="minorHAnsi"/>
        </w:rPr>
      </w:pPr>
      <w:r w:rsidRPr="004203EA">
        <w:rPr>
          <w:rFonts w:asciiTheme="minorHAnsi" w:hAnsiTheme="minorHAnsi"/>
        </w:rPr>
        <w:t>The approval process does take time, and whilst names for single components are generally straight forward, names for groups of components can be quite complex, specific, and long.</w:t>
      </w:r>
    </w:p>
    <w:p w:rsidR="004203EA" w:rsidRPr="004203EA" w:rsidRDefault="004203EA" w:rsidP="004203EA">
      <w:pPr>
        <w:numPr>
          <w:ilvl w:val="0"/>
          <w:numId w:val="37"/>
        </w:numPr>
        <w:spacing w:after="80" w:line="240" w:lineRule="auto"/>
        <w:ind w:left="357" w:hanging="357"/>
        <w:rPr>
          <w:rFonts w:asciiTheme="minorHAnsi" w:hAnsiTheme="minorHAnsi"/>
        </w:rPr>
      </w:pPr>
      <w:r w:rsidRPr="004203EA">
        <w:rPr>
          <w:rFonts w:asciiTheme="minorHAnsi" w:hAnsiTheme="minorHAnsi"/>
        </w:rPr>
        <w:t>Long names are difficult to include on labels, and may not mean very much to consumers.</w:t>
      </w:r>
      <w:r w:rsidR="0063486A">
        <w:rPr>
          <w:rFonts w:asciiTheme="minorHAnsi" w:hAnsiTheme="minorHAnsi"/>
        </w:rPr>
        <w:t xml:space="preserve"> </w:t>
      </w:r>
      <w:r w:rsidRPr="004203EA">
        <w:rPr>
          <w:rFonts w:asciiTheme="minorHAnsi" w:hAnsiTheme="minorHAnsi"/>
        </w:rPr>
        <w:t>The TGA has attempted to remedy this via the creation of shorter “label HCNs”, however the level of detail in the longer, more specific HCNs, is required by the TGA laboratories (TGAL) when testing or screening products.</w:t>
      </w:r>
    </w:p>
    <w:p w:rsidR="004203EA" w:rsidRPr="004203EA" w:rsidRDefault="004203EA" w:rsidP="004203EA">
      <w:pPr>
        <w:numPr>
          <w:ilvl w:val="0"/>
          <w:numId w:val="37"/>
        </w:numPr>
        <w:spacing w:after="80" w:line="240" w:lineRule="auto"/>
        <w:ind w:left="357" w:hanging="357"/>
        <w:rPr>
          <w:rFonts w:asciiTheme="minorHAnsi" w:hAnsiTheme="minorHAnsi"/>
        </w:rPr>
      </w:pPr>
      <w:r w:rsidRPr="004203EA">
        <w:rPr>
          <w:rFonts w:asciiTheme="minorHAnsi" w:hAnsiTheme="minorHAnsi"/>
        </w:rPr>
        <w:t>Whilst procedures are now in place to quickly notify the HCN applicant, dissemination of newly approved HCNs has, to date, been restricted to individual enquiry, ELF mail-outs and the TGA News (quarterly publication).</w:t>
      </w:r>
      <w:r w:rsidR="0063486A">
        <w:rPr>
          <w:rFonts w:asciiTheme="minorHAnsi" w:hAnsiTheme="minorHAnsi"/>
        </w:rPr>
        <w:t xml:space="preserve"> </w:t>
      </w:r>
      <w:r w:rsidRPr="004203EA">
        <w:rPr>
          <w:rFonts w:asciiTheme="minorHAnsi" w:hAnsiTheme="minorHAnsi"/>
        </w:rPr>
        <w:t xml:space="preserve">With the imminent creation of a website for the newly created Office of Complementary Medicines, this situation might </w:t>
      </w:r>
      <w:r w:rsidRPr="004203EA">
        <w:rPr>
          <w:rFonts w:asciiTheme="minorHAnsi" w:hAnsiTheme="minorHAnsi"/>
        </w:rPr>
        <w:lastRenderedPageBreak/>
        <w:t>be partially remedied. The TGA could quickly update a cumulative list of all newly approved HCNs.</w:t>
      </w:r>
    </w:p>
    <w:p w:rsidR="0063486A" w:rsidRDefault="004203EA" w:rsidP="004203EA">
      <w:pPr>
        <w:numPr>
          <w:ilvl w:val="0"/>
          <w:numId w:val="37"/>
        </w:numPr>
        <w:spacing w:after="80" w:line="240" w:lineRule="auto"/>
        <w:ind w:left="357" w:hanging="357"/>
        <w:rPr>
          <w:rFonts w:asciiTheme="minorHAnsi" w:hAnsiTheme="minorHAnsi"/>
        </w:rPr>
      </w:pPr>
      <w:r w:rsidRPr="004203EA">
        <w:rPr>
          <w:rFonts w:asciiTheme="minorHAnsi" w:hAnsiTheme="minorHAnsi"/>
        </w:rPr>
        <w:t>The current system of allowing standardised ingredients to be expressed as non-standardised ingredients, whilst useful for sponsors, does lead to imprecise information being included in the Australian Register of Therapeutic Goods (ARTG).</w:t>
      </w:r>
      <w:r w:rsidR="0063486A">
        <w:rPr>
          <w:rFonts w:asciiTheme="minorHAnsi" w:hAnsiTheme="minorHAnsi"/>
        </w:rPr>
        <w:t xml:space="preserve"> </w:t>
      </w:r>
      <w:r w:rsidRPr="004203EA">
        <w:rPr>
          <w:rFonts w:asciiTheme="minorHAnsi" w:hAnsiTheme="minorHAnsi"/>
        </w:rPr>
        <w:br/>
        <w:t>Whilst the TGA does not necessarily want to limit the flexibility afforded by expressing standardised ingredients as non-standardised, quantification of standardised ingredients is specific for the amount of the standardised component (or group of components) in the ingredient.</w:t>
      </w:r>
      <w:r w:rsidR="0063486A">
        <w:rPr>
          <w:rFonts w:asciiTheme="minorHAnsi" w:hAnsiTheme="minorHAnsi"/>
        </w:rPr>
        <w:t xml:space="preserve"> </w:t>
      </w:r>
      <w:r w:rsidRPr="004203EA">
        <w:rPr>
          <w:rFonts w:asciiTheme="minorHAnsi" w:hAnsiTheme="minorHAnsi"/>
        </w:rPr>
        <w:t>The equivalent dry or fresh weight of herbal material used to make a standardised ingredient is thus usually given as a range.</w:t>
      </w:r>
      <w:r w:rsidR="0063486A">
        <w:rPr>
          <w:rFonts w:asciiTheme="minorHAnsi" w:hAnsiTheme="minorHAnsi"/>
        </w:rPr>
        <w:t xml:space="preserve"> </w:t>
      </w:r>
      <w:r w:rsidRPr="004203EA">
        <w:rPr>
          <w:rFonts w:asciiTheme="minorHAnsi" w:hAnsiTheme="minorHAnsi"/>
        </w:rPr>
        <w:t>At present the ELF system does not allow a range to be entered in the quantity field. Sponsors are thus required to estimate the equivalent amount of dry or fresh material used to make the ingredient.</w:t>
      </w:r>
      <w:r w:rsidR="0063486A">
        <w:rPr>
          <w:rFonts w:asciiTheme="minorHAnsi" w:hAnsiTheme="minorHAnsi"/>
        </w:rPr>
        <w:t xml:space="preserve"> </w:t>
      </w:r>
      <w:r w:rsidRPr="004203EA">
        <w:rPr>
          <w:rFonts w:asciiTheme="minorHAnsi" w:hAnsiTheme="minorHAnsi"/>
        </w:rPr>
        <w:t>This is of potential concern with regard to TGAL testing of the product, based on ARTG details.</w:t>
      </w:r>
    </w:p>
    <w:p w:rsidR="004203EA" w:rsidRPr="004203EA" w:rsidRDefault="004203EA" w:rsidP="004203EA">
      <w:pPr>
        <w:numPr>
          <w:ilvl w:val="0"/>
          <w:numId w:val="37"/>
        </w:numPr>
        <w:spacing w:after="80" w:line="240" w:lineRule="auto"/>
        <w:ind w:left="357" w:hanging="357"/>
        <w:rPr>
          <w:rFonts w:asciiTheme="minorHAnsi" w:hAnsiTheme="minorHAnsi"/>
        </w:rPr>
      </w:pPr>
      <w:r w:rsidRPr="004203EA">
        <w:rPr>
          <w:rFonts w:asciiTheme="minorHAnsi" w:hAnsiTheme="minorHAnsi"/>
        </w:rPr>
        <w:t xml:space="preserve">The TGA is unsure what HCNs actually mean to consumers. The TGA is aware that HCNs may be either marker substances with no (known) therapeutic activity, or constituents that are suspected, or known, to have a role in the therapeutic activity of the plant. Clinical trials involving herbals tend to employ ingredients that have been standardised to a particular component suspected of having therapeutic activity. </w:t>
      </w:r>
      <w:proofErr w:type="gramStart"/>
      <w:r w:rsidRPr="004203EA">
        <w:rPr>
          <w:rFonts w:asciiTheme="minorHAnsi" w:hAnsiTheme="minorHAnsi"/>
        </w:rPr>
        <w:t>Industry have</w:t>
      </w:r>
      <w:proofErr w:type="gramEnd"/>
      <w:r w:rsidRPr="004203EA">
        <w:rPr>
          <w:rFonts w:asciiTheme="minorHAnsi" w:hAnsiTheme="minorHAnsi"/>
        </w:rPr>
        <w:t xml:space="preserve"> stated that the use of component names is an important marketing tool, thus it may be useful for the both TGA and Industry to identify the situations in which they are used.</w:t>
      </w:r>
    </w:p>
    <w:p w:rsidR="004203EA" w:rsidRPr="004203EA" w:rsidRDefault="004203EA" w:rsidP="004203EA">
      <w:pPr>
        <w:numPr>
          <w:ilvl w:val="0"/>
          <w:numId w:val="37"/>
        </w:numPr>
        <w:spacing w:after="80" w:line="240" w:lineRule="auto"/>
        <w:ind w:left="357" w:hanging="357"/>
        <w:rPr>
          <w:rFonts w:asciiTheme="minorHAnsi" w:hAnsiTheme="minorHAnsi"/>
        </w:rPr>
      </w:pPr>
      <w:r w:rsidRPr="004203EA">
        <w:rPr>
          <w:rFonts w:asciiTheme="minorHAnsi" w:hAnsiTheme="minorHAnsi"/>
        </w:rPr>
        <w:t>Whilst the HINC holds records of the specific individual components that a group component name refers to (and the plant parts they are sourced from), there is the potential that a group of components, measured by different methods, could result in differing quantities. The same could occur for a group of components sourced from different plant parts, as there is the potential for variations in the individual components present.</w:t>
      </w:r>
      <w:r w:rsidR="0063486A">
        <w:rPr>
          <w:rFonts w:asciiTheme="minorHAnsi" w:hAnsiTheme="minorHAnsi"/>
        </w:rPr>
        <w:t xml:space="preserve"> </w:t>
      </w:r>
      <w:r w:rsidRPr="004203EA">
        <w:rPr>
          <w:rFonts w:asciiTheme="minorHAnsi" w:hAnsiTheme="minorHAnsi"/>
        </w:rPr>
        <w:t>The TGA attempted to address this issue by including plant part in the approved HCN. However some members of Industry claimed that this was being too prescriptive.</w:t>
      </w:r>
    </w:p>
    <w:p w:rsidR="004203EA" w:rsidRPr="004203EA" w:rsidRDefault="004203EA" w:rsidP="004203EA">
      <w:pPr>
        <w:numPr>
          <w:ilvl w:val="0"/>
          <w:numId w:val="37"/>
        </w:numPr>
        <w:spacing w:after="80" w:line="240" w:lineRule="auto"/>
        <w:ind w:left="357" w:hanging="357"/>
        <w:rPr>
          <w:rFonts w:asciiTheme="minorHAnsi" w:hAnsiTheme="minorHAnsi"/>
        </w:rPr>
      </w:pPr>
      <w:r w:rsidRPr="004203EA">
        <w:rPr>
          <w:rFonts w:asciiTheme="minorHAnsi" w:hAnsiTheme="minorHAnsi"/>
        </w:rPr>
        <w:t>There is currently no means of differentiating between ingredients which have been “chemically standardised” to a particular component only, or those ingredients which have been standardised from seed to end product in an attempt to ensure consistency between all components in the plant.</w:t>
      </w:r>
    </w:p>
    <w:p w:rsidR="004203EA" w:rsidRPr="004203EA" w:rsidRDefault="004203EA" w:rsidP="00CB515F">
      <w:pPr>
        <w:pStyle w:val="Heading1"/>
      </w:pPr>
      <w:r w:rsidRPr="004203EA">
        <w:t>Regulatory implication of the abolition of HCNs</w:t>
      </w:r>
    </w:p>
    <w:p w:rsidR="004203EA" w:rsidRPr="004203EA" w:rsidRDefault="004203EA" w:rsidP="004203EA">
      <w:pPr>
        <w:spacing w:after="120"/>
        <w:rPr>
          <w:rFonts w:asciiTheme="minorHAnsi" w:hAnsiTheme="minorHAnsi"/>
        </w:rPr>
      </w:pPr>
      <w:r w:rsidRPr="004203EA">
        <w:rPr>
          <w:rFonts w:asciiTheme="minorHAnsi" w:hAnsiTheme="minorHAnsi"/>
        </w:rPr>
        <w:t>As discussed above, HCNs are currently required to correctly express standardised herbal ingredients in the ARTG.</w:t>
      </w:r>
      <w:r w:rsidR="0063486A">
        <w:rPr>
          <w:rFonts w:asciiTheme="minorHAnsi" w:hAnsiTheme="minorHAnsi"/>
        </w:rPr>
        <w:t xml:space="preserve"> </w:t>
      </w:r>
      <w:r w:rsidRPr="004203EA">
        <w:rPr>
          <w:rFonts w:asciiTheme="minorHAnsi" w:hAnsiTheme="minorHAnsi"/>
        </w:rPr>
        <w:t>The degree of information currently required on the ARTG reflects the needs of TGAL with regard to testing and screening of herbal products, and is also used by the TGA to compare products and to clarify safety and other issues.</w:t>
      </w:r>
    </w:p>
    <w:p w:rsidR="004203EA" w:rsidRPr="004203EA" w:rsidRDefault="004203EA" w:rsidP="004203EA">
      <w:pPr>
        <w:spacing w:after="120"/>
        <w:rPr>
          <w:rFonts w:asciiTheme="minorHAnsi" w:hAnsiTheme="minorHAnsi"/>
        </w:rPr>
      </w:pPr>
      <w:r w:rsidRPr="004203EA">
        <w:rPr>
          <w:rFonts w:asciiTheme="minorHAnsi" w:hAnsiTheme="minorHAnsi"/>
        </w:rPr>
        <w:t>The complete abolition of HCNs therefore, would mean that it would not be possible to express standardised ingredients as being standardised to a particular component.</w:t>
      </w:r>
      <w:r w:rsidR="0063486A">
        <w:rPr>
          <w:rFonts w:asciiTheme="minorHAnsi" w:hAnsiTheme="minorHAnsi"/>
        </w:rPr>
        <w:t xml:space="preserve"> </w:t>
      </w:r>
      <w:r w:rsidRPr="004203EA">
        <w:rPr>
          <w:rFonts w:asciiTheme="minorHAnsi" w:hAnsiTheme="minorHAnsi"/>
        </w:rPr>
        <w:t xml:space="preserve">The immediate implication of this would be that the equivalent dry/fresh weight of </w:t>
      </w:r>
      <w:proofErr w:type="gramStart"/>
      <w:r w:rsidRPr="004203EA">
        <w:rPr>
          <w:rFonts w:asciiTheme="minorHAnsi" w:hAnsiTheme="minorHAnsi"/>
        </w:rPr>
        <w:t>a</w:t>
      </w:r>
      <w:proofErr w:type="gramEnd"/>
      <w:r w:rsidRPr="004203EA">
        <w:rPr>
          <w:rFonts w:asciiTheme="minorHAnsi" w:hAnsiTheme="minorHAnsi"/>
        </w:rPr>
        <w:t xml:space="preserve"> herbal ingredient would then be ambiguous.</w:t>
      </w:r>
      <w:r w:rsidR="0063486A">
        <w:rPr>
          <w:rFonts w:asciiTheme="minorHAnsi" w:hAnsiTheme="minorHAnsi"/>
        </w:rPr>
        <w:t xml:space="preserve"> </w:t>
      </w:r>
      <w:r w:rsidRPr="004203EA">
        <w:rPr>
          <w:rFonts w:asciiTheme="minorHAnsi" w:hAnsiTheme="minorHAnsi"/>
        </w:rPr>
        <w:t>As the TGA considers that a change in the amount of an active ingredient creates a new product, this has obvious regulatory implications.</w:t>
      </w:r>
    </w:p>
    <w:p w:rsidR="004203EA" w:rsidRPr="004203EA" w:rsidRDefault="004203EA" w:rsidP="004203EA">
      <w:pPr>
        <w:spacing w:after="120"/>
        <w:rPr>
          <w:rFonts w:asciiTheme="minorHAnsi" w:hAnsiTheme="minorHAnsi"/>
        </w:rPr>
      </w:pPr>
      <w:r w:rsidRPr="004203EA">
        <w:rPr>
          <w:rFonts w:asciiTheme="minorHAnsi" w:hAnsiTheme="minorHAnsi"/>
        </w:rPr>
        <w:lastRenderedPageBreak/>
        <w:t>There is also the question of whether products should be able to claim “standardisation”, when there would be no real indication of what “standardised” means.</w:t>
      </w:r>
    </w:p>
    <w:p w:rsidR="004203EA" w:rsidRPr="004203EA" w:rsidRDefault="004203EA" w:rsidP="00CB515F">
      <w:pPr>
        <w:pStyle w:val="Heading1"/>
      </w:pPr>
      <w:r w:rsidRPr="004203EA">
        <w:t>Options for CMEC action</w:t>
      </w:r>
    </w:p>
    <w:p w:rsidR="004203EA" w:rsidRPr="00905BCC" w:rsidRDefault="004203EA" w:rsidP="00905BCC">
      <w:pPr>
        <w:pStyle w:val="Heading2"/>
        <w:numPr>
          <w:ilvl w:val="0"/>
          <w:numId w:val="0"/>
        </w:numPr>
        <w:ind w:left="357" w:hanging="357"/>
        <w:rPr>
          <w:i/>
          <w:sz w:val="22"/>
          <w:szCs w:val="22"/>
        </w:rPr>
      </w:pPr>
      <w:r w:rsidRPr="00905BCC">
        <w:rPr>
          <w:i/>
          <w:sz w:val="22"/>
          <w:szCs w:val="22"/>
        </w:rPr>
        <w:t>Option 1</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Maintain the status quo.</w:t>
      </w:r>
    </w:p>
    <w:p w:rsidR="004203EA" w:rsidRPr="004203EA" w:rsidRDefault="004203EA" w:rsidP="004203EA">
      <w:pPr>
        <w:rPr>
          <w:rFonts w:asciiTheme="minorHAnsi" w:hAnsiTheme="minorHAnsi"/>
          <w:szCs w:val="22"/>
        </w:rPr>
      </w:pPr>
      <w:r w:rsidRPr="004203EA">
        <w:rPr>
          <w:rFonts w:asciiTheme="minorHAnsi" w:hAnsiTheme="minorHAnsi"/>
          <w:szCs w:val="22"/>
        </w:rPr>
        <w:t>This option would not address the current concerns of either the Complementary Healthcare Council, or the TGA.</w:t>
      </w:r>
    </w:p>
    <w:p w:rsidR="004203EA" w:rsidRPr="00905BCC" w:rsidRDefault="004203EA" w:rsidP="00905BCC">
      <w:pPr>
        <w:pStyle w:val="Heading2"/>
        <w:numPr>
          <w:ilvl w:val="0"/>
          <w:numId w:val="0"/>
        </w:numPr>
        <w:ind w:left="357" w:hanging="357"/>
        <w:rPr>
          <w:i/>
          <w:sz w:val="22"/>
          <w:szCs w:val="22"/>
        </w:rPr>
      </w:pPr>
      <w:r w:rsidRPr="00905BCC">
        <w:rPr>
          <w:i/>
          <w:sz w:val="22"/>
          <w:szCs w:val="22"/>
        </w:rPr>
        <w:t>Option 2</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Omit Herbal Component Names altogether.</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As highlighted in “Regulatory implication of the abolition of HCNs” above, this option would affect the expression of standardised herbal ingredients, hence the information contained in the ARTG. This could thus impede the duties of the TGAL and other sections of the TGA.</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There is also the issue of what “standardised” might mean to the consumer, when not linked to a specific component.</w:t>
      </w:r>
      <w:r w:rsidR="0063486A">
        <w:rPr>
          <w:rFonts w:asciiTheme="minorHAnsi" w:hAnsiTheme="minorHAnsi"/>
          <w:szCs w:val="22"/>
        </w:rPr>
        <w:t xml:space="preserve"> </w:t>
      </w:r>
      <w:r w:rsidRPr="004203EA">
        <w:rPr>
          <w:rFonts w:asciiTheme="minorHAnsi" w:hAnsiTheme="minorHAnsi"/>
          <w:szCs w:val="22"/>
        </w:rPr>
        <w:t>The question could be asked. “Standardised to what?”</w:t>
      </w:r>
    </w:p>
    <w:p w:rsidR="004203EA" w:rsidRPr="00905BCC" w:rsidRDefault="004203EA" w:rsidP="00905BCC">
      <w:pPr>
        <w:pStyle w:val="Heading2"/>
        <w:numPr>
          <w:ilvl w:val="0"/>
          <w:numId w:val="0"/>
        </w:numPr>
        <w:ind w:left="357" w:hanging="357"/>
        <w:rPr>
          <w:i/>
          <w:sz w:val="22"/>
          <w:szCs w:val="22"/>
        </w:rPr>
      </w:pPr>
      <w:r w:rsidRPr="00905BCC">
        <w:rPr>
          <w:i/>
          <w:sz w:val="22"/>
          <w:szCs w:val="22"/>
        </w:rPr>
        <w:t>Option 3</w:t>
      </w:r>
    </w:p>
    <w:p w:rsidR="004203EA" w:rsidRPr="004203EA" w:rsidRDefault="004203EA" w:rsidP="004203EA">
      <w:pPr>
        <w:rPr>
          <w:rFonts w:asciiTheme="minorHAnsi" w:hAnsiTheme="minorHAnsi"/>
          <w:szCs w:val="22"/>
        </w:rPr>
      </w:pPr>
      <w:r w:rsidRPr="004203EA">
        <w:rPr>
          <w:rFonts w:asciiTheme="minorHAnsi" w:hAnsiTheme="minorHAnsi"/>
          <w:szCs w:val="22"/>
        </w:rPr>
        <w:t>Allow sponsors to name herbal components as they wish.</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This option could address Industry concerns regarding to speed and flexibility.</w:t>
      </w:r>
      <w:r w:rsidR="0063486A">
        <w:rPr>
          <w:rFonts w:asciiTheme="minorHAnsi" w:hAnsiTheme="minorHAnsi"/>
          <w:szCs w:val="22"/>
        </w:rPr>
        <w:t xml:space="preserve"> </w:t>
      </w:r>
      <w:r w:rsidRPr="004203EA">
        <w:rPr>
          <w:rFonts w:asciiTheme="minorHAnsi" w:hAnsiTheme="minorHAnsi"/>
          <w:szCs w:val="22"/>
        </w:rPr>
        <w:t>Industry has not indicated how they see this model proceeding however.</w:t>
      </w:r>
      <w:r w:rsidR="0063486A">
        <w:rPr>
          <w:rFonts w:asciiTheme="minorHAnsi" w:hAnsiTheme="minorHAnsi"/>
          <w:szCs w:val="22"/>
        </w:rPr>
        <w:t xml:space="preserve"> </w:t>
      </w:r>
      <w:r w:rsidRPr="004203EA">
        <w:rPr>
          <w:rFonts w:asciiTheme="minorHAnsi" w:hAnsiTheme="minorHAnsi"/>
          <w:szCs w:val="22"/>
        </w:rPr>
        <w:t>It is not apparent whether they mean for sponsors to name components on an individual basis as required, with the possibility of a range of names for the same substance, or whether this process would be administered by an Industry organisation such as the CHC.</w:t>
      </w:r>
    </w:p>
    <w:p w:rsidR="004203EA" w:rsidRPr="004203EA" w:rsidRDefault="004203EA" w:rsidP="004203EA">
      <w:pPr>
        <w:spacing w:after="120"/>
        <w:rPr>
          <w:rFonts w:asciiTheme="minorHAnsi" w:hAnsiTheme="minorHAnsi"/>
          <w:szCs w:val="22"/>
        </w:rPr>
      </w:pPr>
      <w:r w:rsidRPr="004203EA">
        <w:rPr>
          <w:rFonts w:asciiTheme="minorHAnsi" w:hAnsiTheme="minorHAnsi"/>
          <w:szCs w:val="22"/>
        </w:rPr>
        <w:t>This option might not meet the TGA standard of accurate, consistent naming.</w:t>
      </w:r>
      <w:r w:rsidR="0063486A">
        <w:rPr>
          <w:rFonts w:asciiTheme="minorHAnsi" w:hAnsiTheme="minorHAnsi"/>
          <w:szCs w:val="22"/>
        </w:rPr>
        <w:t xml:space="preserve"> </w:t>
      </w:r>
      <w:r w:rsidRPr="004203EA">
        <w:rPr>
          <w:rFonts w:asciiTheme="minorHAnsi" w:hAnsiTheme="minorHAnsi"/>
          <w:szCs w:val="22"/>
        </w:rPr>
        <w:t>The basis of Australian Approved Names is to ensure that the TGA, and all stakeholders, are aware of what a particular name refers to. This allows for unambiguous and comparable substances.</w:t>
      </w:r>
    </w:p>
    <w:p w:rsidR="004203EA" w:rsidRPr="00905BCC" w:rsidRDefault="004203EA" w:rsidP="00905BCC">
      <w:pPr>
        <w:pStyle w:val="Heading2"/>
        <w:numPr>
          <w:ilvl w:val="0"/>
          <w:numId w:val="0"/>
        </w:numPr>
        <w:rPr>
          <w:i/>
          <w:sz w:val="22"/>
          <w:szCs w:val="22"/>
        </w:rPr>
      </w:pPr>
      <w:r w:rsidRPr="00905BCC">
        <w:rPr>
          <w:i/>
          <w:sz w:val="22"/>
          <w:szCs w:val="22"/>
        </w:rPr>
        <w:t>Option 4</w:t>
      </w:r>
    </w:p>
    <w:p w:rsidR="004203EA" w:rsidRPr="004203EA" w:rsidRDefault="004203EA" w:rsidP="004203EA">
      <w:pPr>
        <w:pStyle w:val="DepartmentalNormal"/>
        <w:spacing w:before="120"/>
        <w:rPr>
          <w:rFonts w:asciiTheme="minorHAnsi" w:hAnsiTheme="minorHAnsi"/>
          <w:sz w:val="22"/>
          <w:szCs w:val="22"/>
        </w:rPr>
      </w:pPr>
      <w:r w:rsidRPr="004203EA">
        <w:rPr>
          <w:rFonts w:asciiTheme="minorHAnsi" w:hAnsiTheme="minorHAnsi"/>
          <w:sz w:val="22"/>
          <w:szCs w:val="22"/>
        </w:rPr>
        <w:t>For the Industry and the TGA to work together to produce a workable mechanism that addresses both Industry and TGA concerns.</w:t>
      </w:r>
    </w:p>
    <w:p w:rsidR="004203EA" w:rsidRPr="00905BCC" w:rsidRDefault="004203EA">
      <w:pPr>
        <w:rPr>
          <w:rFonts w:asciiTheme="minorHAnsi" w:hAnsiTheme="minorHAnsi"/>
          <w:szCs w:val="22"/>
        </w:rPr>
      </w:pPr>
      <w:r w:rsidRPr="004203EA">
        <w:rPr>
          <w:rFonts w:asciiTheme="minorHAnsi" w:hAnsiTheme="minorHAnsi"/>
          <w:szCs w:val="22"/>
        </w:rPr>
        <w:t>This option is to be explored at an Herbal Task Force Meeting to be held on Friday 19</w:t>
      </w:r>
      <w:r w:rsidRPr="004203EA">
        <w:rPr>
          <w:rFonts w:asciiTheme="minorHAnsi" w:hAnsiTheme="minorHAnsi"/>
          <w:szCs w:val="22"/>
          <w:vertAlign w:val="superscript"/>
        </w:rPr>
        <w:t>th</w:t>
      </w:r>
      <w:r w:rsidRPr="004203EA">
        <w:rPr>
          <w:rFonts w:asciiTheme="minorHAnsi" w:hAnsiTheme="minorHAnsi"/>
          <w:szCs w:val="22"/>
        </w:rPr>
        <w:t xml:space="preserve"> February 1999.</w:t>
      </w:r>
      <w:r w:rsidR="0063486A">
        <w:rPr>
          <w:rFonts w:asciiTheme="minorHAnsi" w:hAnsiTheme="minorHAnsi"/>
          <w:szCs w:val="22"/>
        </w:rPr>
        <w:t xml:space="preserve"> </w:t>
      </w:r>
      <w:r w:rsidRPr="004203EA">
        <w:rPr>
          <w:rFonts w:asciiTheme="minorHAnsi" w:hAnsiTheme="minorHAnsi"/>
          <w:szCs w:val="22"/>
        </w:rPr>
        <w:t>The outcome of this meeting will be forwarded to CMEC members as a late paper.</w:t>
      </w:r>
    </w:p>
    <w:p w:rsidR="004203EA" w:rsidRDefault="004203EA">
      <w:pPr>
        <w:rPr>
          <w:b/>
        </w:rPr>
        <w:sectPr w:rsidR="004203EA" w:rsidSect="004203EA">
          <w:footerReference w:type="first" r:id="rId28"/>
          <w:pgSz w:w="11906" w:h="16838" w:code="9"/>
          <w:pgMar w:top="1418" w:right="1701" w:bottom="851" w:left="1701" w:header="1134" w:footer="623" w:gutter="0"/>
          <w:cols w:space="708"/>
          <w:docGrid w:linePitch="360"/>
        </w:sectPr>
      </w:pPr>
    </w:p>
    <w:p w:rsidR="0084580B" w:rsidRPr="009401F6" w:rsidRDefault="0084580B" w:rsidP="00F8404D">
      <w:pPr>
        <w:pStyle w:val="Footer"/>
      </w:pPr>
    </w:p>
    <w:sectPr w:rsidR="0084580B" w:rsidRPr="009401F6" w:rsidSect="004203EA">
      <w:headerReference w:type="first" r:id="rId29"/>
      <w:footerReference w:type="first" r:id="rId30"/>
      <w:pgSz w:w="11906" w:h="16838" w:code="9"/>
      <w:pgMar w:top="1134" w:right="1701" w:bottom="709" w:left="1701" w:header="1134" w:footer="6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481" w:rsidRDefault="006B3481" w:rsidP="00C40A36">
      <w:pPr>
        <w:spacing w:after="0"/>
      </w:pPr>
      <w:r>
        <w:separator/>
      </w:r>
    </w:p>
    <w:p w:rsidR="006B3481" w:rsidRDefault="006B3481"/>
  </w:endnote>
  <w:endnote w:type="continuationSeparator" w:id="0">
    <w:p w:rsidR="006B3481" w:rsidRDefault="006B3481" w:rsidP="00C40A36">
      <w:pPr>
        <w:spacing w:after="0"/>
      </w:pPr>
      <w:r>
        <w:continuationSeparator/>
      </w:r>
    </w:p>
    <w:p w:rsidR="006B3481" w:rsidRDefault="006B34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D1" w:rsidRDefault="00F739D1" w:rsidP="00A3654F">
    <w:pPr>
      <w:pStyle w:val="Footer"/>
      <w:tabs>
        <w:tab w:val="left" w:pos="7620"/>
        <w:tab w:val="right" w:pos="8504"/>
      </w:tabs>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quot;"/>
    </w:tblPr>
    <w:tblGrid>
      <w:gridCol w:w="4360"/>
      <w:gridCol w:w="4360"/>
    </w:tblGrid>
    <w:tr w:rsidR="00F739D1" w:rsidRPr="00257138" w:rsidTr="0063486A">
      <w:trPr>
        <w:trHeight w:val="423"/>
        <w:tblHeader/>
      </w:trPr>
      <w:tc>
        <w:tcPr>
          <w:tcW w:w="4360" w:type="dxa"/>
          <w:tcBorders>
            <w:top w:val="single" w:sz="4" w:space="0" w:color="auto"/>
          </w:tcBorders>
        </w:tcPr>
        <w:p w:rsidR="00F739D1" w:rsidRDefault="00F739D1" w:rsidP="008D4740">
          <w:pPr>
            <w:pStyle w:val="Footer"/>
          </w:pPr>
        </w:p>
        <w:p w:rsidR="00F739D1" w:rsidRPr="00257138" w:rsidRDefault="00F739D1" w:rsidP="009B15F1">
          <w:pPr>
            <w:pStyle w:val="Footer"/>
          </w:pPr>
          <w:r>
            <w:t>Document title</w:t>
          </w:r>
          <w:r w:rsidR="00B64DFF">
            <w:t>: D17-646612</w:t>
          </w:r>
        </w:p>
      </w:tc>
      <w:tc>
        <w:tcPr>
          <w:tcW w:w="4360" w:type="dxa"/>
          <w:tcBorders>
            <w:top w:val="single" w:sz="4" w:space="0" w:color="auto"/>
          </w:tcBorders>
        </w:tcPr>
        <w:sdt>
          <w:sdtPr>
            <w:id w:val="-2018454797"/>
            <w:docPartObj>
              <w:docPartGallery w:val="Page Numbers (Top of Page)"/>
              <w:docPartUnique/>
            </w:docPartObj>
          </w:sdtPr>
          <w:sdtEndPr/>
          <w:sdtContent>
            <w:p w:rsidR="00F739D1" w:rsidRDefault="00F739D1" w:rsidP="008D4740">
              <w:pPr>
                <w:pStyle w:val="Footer"/>
                <w:jc w:val="right"/>
              </w:pPr>
            </w:p>
            <w:p w:rsidR="00F739D1" w:rsidRPr="00257138" w:rsidRDefault="00F739D1" w:rsidP="008D4740">
              <w:pPr>
                <w:pStyle w:val="Footer"/>
                <w:jc w:val="right"/>
              </w:pPr>
              <w:r w:rsidRPr="00257138">
                <w:t xml:space="preserve">Page </w:t>
              </w:r>
              <w:r w:rsidR="00F87B87">
                <w:fldChar w:fldCharType="begin"/>
              </w:r>
              <w:r w:rsidR="00F87B87">
                <w:instrText xml:space="preserve"> PAGE </w:instrText>
              </w:r>
              <w:r w:rsidR="00F87B87">
                <w:fldChar w:fldCharType="separate"/>
              </w:r>
              <w:r w:rsidR="00CB515F">
                <w:rPr>
                  <w:noProof/>
                </w:rPr>
                <w:t>2</w:t>
              </w:r>
              <w:r w:rsidR="00F87B87">
                <w:rPr>
                  <w:noProof/>
                </w:rPr>
                <w:fldChar w:fldCharType="end"/>
              </w:r>
              <w:r w:rsidRPr="00257138">
                <w:t xml:space="preserve"> of </w:t>
              </w:r>
              <w:r w:rsidR="00C17A86">
                <w:fldChar w:fldCharType="begin"/>
              </w:r>
              <w:r w:rsidR="00C17A86">
                <w:instrText xml:space="preserve"> NUMPAGES  </w:instrText>
              </w:r>
              <w:r w:rsidR="00C17A86">
                <w:fldChar w:fldCharType="separate"/>
              </w:r>
              <w:r w:rsidR="00CB515F">
                <w:rPr>
                  <w:noProof/>
                </w:rPr>
                <w:t>14</w:t>
              </w:r>
              <w:r w:rsidR="00C17A86">
                <w:rPr>
                  <w:noProof/>
                </w:rPr>
                <w:fldChar w:fldCharType="end"/>
              </w:r>
            </w:p>
          </w:sdtContent>
        </w:sdt>
      </w:tc>
    </w:tr>
    <w:tr w:rsidR="00F739D1" w:rsidRPr="00257138" w:rsidTr="0063486A">
      <w:trPr>
        <w:trHeight w:val="263"/>
        <w:tblHeader/>
      </w:trPr>
      <w:tc>
        <w:tcPr>
          <w:tcW w:w="4360" w:type="dxa"/>
        </w:tcPr>
        <w:p w:rsidR="00F739D1" w:rsidRPr="00257138" w:rsidRDefault="00F739D1" w:rsidP="008D4740">
          <w:pPr>
            <w:pStyle w:val="Footer"/>
          </w:pPr>
        </w:p>
      </w:tc>
      <w:tc>
        <w:tcPr>
          <w:tcW w:w="4360" w:type="dxa"/>
        </w:tcPr>
        <w:p w:rsidR="00F739D1" w:rsidRPr="00257138" w:rsidRDefault="00F739D1" w:rsidP="008D4740">
          <w:pPr>
            <w:pStyle w:val="Footer"/>
            <w:jc w:val="right"/>
          </w:pPr>
        </w:p>
      </w:tc>
    </w:tr>
  </w:tbl>
  <w:p w:rsidR="00F739D1" w:rsidRPr="00826007" w:rsidRDefault="00F739D1" w:rsidP="00A3654F">
    <w:pPr>
      <w:pStyle w:val="Footer"/>
      <w:tabs>
        <w:tab w:val="left" w:pos="7620"/>
        <w:tab w:val="right" w:pos="8504"/>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D1" w:rsidRDefault="00F739D1" w:rsidP="00FF7B50">
    <w:pPr>
      <w:pStyle w:val="Footer"/>
      <w:ind w:left="-1757" w:right="-2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quot; &quot;"/>
    </w:tblPr>
    <w:tblGrid>
      <w:gridCol w:w="7479"/>
      <w:gridCol w:w="1241"/>
    </w:tblGrid>
    <w:tr w:rsidR="00F739D1" w:rsidRPr="00257138" w:rsidTr="00B117F0">
      <w:trPr>
        <w:trHeight w:val="423"/>
        <w:tblHeader/>
      </w:trPr>
      <w:tc>
        <w:tcPr>
          <w:tcW w:w="7479" w:type="dxa"/>
        </w:tcPr>
        <w:p w:rsidR="00F739D1" w:rsidRPr="00257138" w:rsidRDefault="008874D1">
          <w:pPr>
            <w:pStyle w:val="Footer"/>
            <w:spacing w:before="120" w:after="120"/>
          </w:pPr>
          <w:r w:rsidRPr="00EB4135">
            <w:t>Discontinuing pre-market evaluation of Herbal Component Name</w:t>
          </w:r>
          <w:r>
            <w:t>s</w:t>
          </w:r>
          <w:r w:rsidRPr="00EB4135">
            <w:t xml:space="preserve"> </w:t>
          </w:r>
          <w:r w:rsidR="00EE1482">
            <w:br/>
          </w:r>
        </w:p>
      </w:tc>
      <w:tc>
        <w:tcPr>
          <w:tcW w:w="1241" w:type="dxa"/>
        </w:tcPr>
        <w:sdt>
          <w:sdtPr>
            <w:id w:val="-858649078"/>
            <w:docPartObj>
              <w:docPartGallery w:val="Page Numbers (Top of Page)"/>
              <w:docPartUnique/>
            </w:docPartObj>
          </w:sdtPr>
          <w:sdtEndPr/>
          <w:sdtContent>
            <w:p w:rsidR="00F739D1" w:rsidRPr="00257138" w:rsidRDefault="00F739D1" w:rsidP="00EE1482">
              <w:pPr>
                <w:pStyle w:val="Footer"/>
                <w:spacing w:before="120" w:after="120"/>
                <w:jc w:val="right"/>
              </w:pPr>
              <w:r w:rsidRPr="00257138">
                <w:t xml:space="preserve">Page </w:t>
              </w:r>
              <w:r w:rsidR="00F87B87">
                <w:fldChar w:fldCharType="begin"/>
              </w:r>
              <w:r w:rsidR="00F87B87">
                <w:instrText xml:space="preserve"> PAGE </w:instrText>
              </w:r>
              <w:r w:rsidR="00F87B87">
                <w:fldChar w:fldCharType="separate"/>
              </w:r>
              <w:r w:rsidR="00C74A63">
                <w:rPr>
                  <w:noProof/>
                </w:rPr>
                <w:t>11</w:t>
              </w:r>
              <w:r w:rsidR="00F87B87">
                <w:rPr>
                  <w:noProof/>
                </w:rPr>
                <w:fldChar w:fldCharType="end"/>
              </w:r>
              <w:r w:rsidRPr="00257138">
                <w:t xml:space="preserve"> of </w:t>
              </w:r>
              <w:r w:rsidR="00C17A86">
                <w:fldChar w:fldCharType="begin"/>
              </w:r>
              <w:r w:rsidR="00C17A86">
                <w:instrText xml:space="preserve"> NUMPAGES  </w:instrText>
              </w:r>
              <w:r w:rsidR="00C17A86">
                <w:fldChar w:fldCharType="separate"/>
              </w:r>
              <w:r w:rsidR="00C74A63">
                <w:rPr>
                  <w:noProof/>
                </w:rPr>
                <w:t>12</w:t>
              </w:r>
              <w:r w:rsidR="00C17A86">
                <w:rPr>
                  <w:noProof/>
                </w:rPr>
                <w:fldChar w:fldCharType="end"/>
              </w:r>
            </w:p>
          </w:sdtContent>
        </w:sdt>
      </w:tc>
    </w:tr>
  </w:tbl>
  <w:p w:rsidR="00F739D1" w:rsidRPr="00826007" w:rsidRDefault="00F739D1" w:rsidP="00CB515F">
    <w:pPr>
      <w:pStyle w:val="Footer"/>
      <w:tabs>
        <w:tab w:val="left" w:pos="7620"/>
        <w:tab w:val="right" w:pos="8504"/>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D1" w:rsidRPr="00F8404D" w:rsidRDefault="00F739D1" w:rsidP="00F8404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EA" w:rsidRPr="00F8404D" w:rsidRDefault="004203EA" w:rsidP="00F8404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5" w:type="dxa"/>
      <w:jc w:val="center"/>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03 1605&#10;https://www.tga.gov.auReference/Publication D17-819755&#10;"/>
    </w:tblPr>
    <w:tblGrid>
      <w:gridCol w:w="9145"/>
    </w:tblGrid>
    <w:tr w:rsidR="004203EA" w:rsidRPr="009401F6" w:rsidTr="00CB515F">
      <w:trPr>
        <w:trHeight w:hRule="exact" w:val="565"/>
        <w:jc w:val="center"/>
      </w:trPr>
      <w:tc>
        <w:tcPr>
          <w:tcW w:w="9145" w:type="dxa"/>
        </w:tcPr>
        <w:p w:rsidR="004203EA" w:rsidRPr="009401F6" w:rsidRDefault="004203EA" w:rsidP="00347017">
          <w:pPr>
            <w:pStyle w:val="TGASignoff"/>
            <w:spacing w:after="120"/>
          </w:pPr>
          <w:r w:rsidRPr="009401F6">
            <w:t>Therapeutic Goods Administration</w:t>
          </w:r>
        </w:p>
      </w:tc>
    </w:tr>
    <w:tr w:rsidR="004203EA" w:rsidRPr="009401F6" w:rsidTr="00CB515F">
      <w:trPr>
        <w:trHeight w:val="963"/>
        <w:jc w:val="center"/>
      </w:trPr>
      <w:tc>
        <w:tcPr>
          <w:tcW w:w="9145" w:type="dxa"/>
          <w:tcMar>
            <w:top w:w="28" w:type="dxa"/>
          </w:tcMar>
        </w:tcPr>
        <w:p w:rsidR="004203EA" w:rsidRPr="009401F6" w:rsidRDefault="004203EA" w:rsidP="00347017">
          <w:pPr>
            <w:pStyle w:val="Address"/>
            <w:spacing w:before="120" w:after="120"/>
            <w:jc w:val="center"/>
          </w:pPr>
          <w:r w:rsidRPr="009401F6">
            <w:t>PO Box 100 Woden ACT 2606 Australia</w:t>
          </w:r>
        </w:p>
        <w:p w:rsidR="004203EA" w:rsidRPr="009401F6" w:rsidRDefault="004203EA" w:rsidP="00347017">
          <w:pPr>
            <w:pStyle w:val="Address"/>
            <w:spacing w:before="120" w:after="120"/>
            <w:jc w:val="center"/>
          </w:pPr>
          <w:r w:rsidRPr="009401F6">
            <w:t xml:space="preserve">Email: </w:t>
          </w:r>
          <w:hyperlink r:id="rId1" w:history="1">
            <w:r w:rsidRPr="009401F6">
              <w:rPr>
                <w:rStyle w:val="Hyperlink"/>
              </w:rPr>
              <w:t>info@tga.gov.au</w:t>
            </w:r>
          </w:hyperlink>
          <w:r w:rsidR="0063486A">
            <w:t xml:space="preserve"> </w:t>
          </w:r>
          <w:r w:rsidRPr="009401F6">
            <w:t>Phone: 1800 020 653</w:t>
          </w:r>
          <w:r w:rsidR="0063486A">
            <w:t xml:space="preserve"> </w:t>
          </w:r>
          <w:r w:rsidRPr="009401F6">
            <w:t>Fax: 02 62</w:t>
          </w:r>
          <w:r>
            <w:t>0</w:t>
          </w:r>
          <w:r w:rsidRPr="009401F6">
            <w:t xml:space="preserve">3 </w:t>
          </w:r>
          <w:r>
            <w:t>1</w:t>
          </w:r>
          <w:r w:rsidRPr="009401F6">
            <w:t>605</w:t>
          </w:r>
        </w:p>
        <w:p w:rsidR="004203EA" w:rsidRPr="009401F6" w:rsidRDefault="00AC751B" w:rsidP="00347017">
          <w:pPr>
            <w:pStyle w:val="Address"/>
            <w:spacing w:before="120" w:after="120" w:line="260" w:lineRule="atLeast"/>
            <w:jc w:val="center"/>
            <w:rPr>
              <w:rStyle w:val="Hyperlink"/>
              <w:b/>
            </w:rPr>
          </w:pPr>
          <w:hyperlink r:id="rId2" w:history="1">
            <w:r w:rsidR="004203EA" w:rsidRPr="009401F6">
              <w:rPr>
                <w:rStyle w:val="Hyperlink"/>
                <w:b/>
              </w:rPr>
              <w:t>https://www.tga.gov.au</w:t>
            </w:r>
          </w:hyperlink>
        </w:p>
      </w:tc>
    </w:tr>
    <w:tr w:rsidR="004203EA" w:rsidRPr="009401F6" w:rsidTr="00CB515F">
      <w:trPr>
        <w:trHeight w:val="251"/>
        <w:jc w:val="center"/>
      </w:trPr>
      <w:tc>
        <w:tcPr>
          <w:tcW w:w="9145" w:type="dxa"/>
          <w:tcMar>
            <w:top w:w="28" w:type="dxa"/>
          </w:tcMar>
        </w:tcPr>
        <w:p w:rsidR="004203EA" w:rsidRPr="009401F6" w:rsidRDefault="004203EA" w:rsidP="00347017">
          <w:pPr>
            <w:pStyle w:val="Address"/>
            <w:jc w:val="center"/>
          </w:pPr>
          <w:r w:rsidRPr="000948A1">
            <w:t xml:space="preserve">Reference/Publication </w:t>
          </w:r>
          <w:r>
            <w:t>D17-819755</w:t>
          </w:r>
        </w:p>
      </w:tc>
    </w:tr>
  </w:tbl>
  <w:p w:rsidR="004203EA" w:rsidRPr="00F8404D" w:rsidRDefault="004203EA" w:rsidP="00F840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481" w:rsidRDefault="006B3481" w:rsidP="00FE1941">
      <w:pPr>
        <w:spacing w:after="0"/>
      </w:pPr>
      <w:r>
        <w:separator/>
      </w:r>
    </w:p>
  </w:footnote>
  <w:footnote w:type="continuationSeparator" w:id="0">
    <w:p w:rsidR="006B3481" w:rsidRDefault="006B3481" w:rsidP="00C40A36">
      <w:pPr>
        <w:spacing w:after="0"/>
      </w:pPr>
      <w:r>
        <w:continuationSeparator/>
      </w:r>
    </w:p>
    <w:p w:rsidR="006B3481" w:rsidRDefault="006B3481"/>
  </w:footnote>
  <w:footnote w:id="1">
    <w:p w:rsidR="008377C1" w:rsidRPr="00CB515F" w:rsidRDefault="008377C1" w:rsidP="00CB515F">
      <w:pPr>
        <w:spacing w:before="0" w:after="120"/>
        <w:contextualSpacing/>
        <w:rPr>
          <w:rFonts w:eastAsia="Calibri"/>
          <w:sz w:val="20"/>
        </w:rPr>
      </w:pPr>
      <w:r w:rsidRPr="00022A5D">
        <w:rPr>
          <w:rStyle w:val="FootnoteReference"/>
          <w:sz w:val="20"/>
        </w:rPr>
        <w:footnoteRef/>
      </w:r>
      <w:r w:rsidRPr="00022A5D">
        <w:rPr>
          <w:sz w:val="20"/>
        </w:rPr>
        <w:t xml:space="preserve"> </w:t>
      </w:r>
      <w:r w:rsidRPr="00022A5D">
        <w:rPr>
          <w:rFonts w:eastAsia="Calibri"/>
          <w:sz w:val="20"/>
        </w:rPr>
        <w:t xml:space="preserve">As is currently the case, sponsors must ensure that they hold evidence to support the validity of the standardised component claim on their label. Claims that are made on a medicine label </w:t>
      </w:r>
      <w:r>
        <w:rPr>
          <w:rFonts w:eastAsia="Calibri"/>
          <w:sz w:val="20"/>
        </w:rPr>
        <w:t>may</w:t>
      </w:r>
      <w:r w:rsidRPr="00022A5D">
        <w:rPr>
          <w:rFonts w:eastAsia="Calibri"/>
          <w:sz w:val="20"/>
        </w:rPr>
        <w:t xml:space="preserve"> be evaluated as part of a post-market compliance review.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3F84" w:rsidRDefault="00AC75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922" o:spid="_x0000_s2082" type="#_x0000_t136" style="position:absolute;left:0;text-align:left;margin-left:0;margin-top:0;width:511.45pt;height:127.85pt;rotation:315;z-index:-251654656;mso-position-horizontal:center;mso-position-horizontal-relative:margin;mso-position-vertical:center;mso-position-vertical-relative:margin" o:allowincell="f" fillcolor="silver" stroked="f">
          <v:fill opacity=".5"/>
          <v:textpath style="font-family:&quot;Calibri&quot;;font-size:1pt" string="CONSULTATION"/>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EA" w:rsidRPr="002B0C2E" w:rsidRDefault="004203EA" w:rsidP="002B0C2E">
    <w:pPr>
      <w:pStyle w:val="HeaderNo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18D0" w:rsidRPr="005D4EA1" w:rsidRDefault="00AC751B" w:rsidP="008318D0">
    <w:pPr>
      <w:pStyle w:val="LegalSubheading"/>
      <w:pageBreakBefor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923" o:spid="_x0000_s2083" type="#_x0000_t136" style="position:absolute;margin-left:0;margin-top:0;width:511.45pt;height:127.85pt;rotation:315;z-index:-251652608;mso-position-horizontal:center;mso-position-horizontal-relative:margin;mso-position-vertical:center;mso-position-vertical-relative:margin" o:allowincell="f" fillcolor="silver" stroked="f">
          <v:fill opacity=".5"/>
          <v:textpath style="font-family:&quot;Calibri&quot;;font-size:1pt" string="CONSULTATION"/>
          <w10:wrap anchorx="margin" anchory="margin"/>
        </v:shape>
      </w:pict>
    </w:r>
    <w:r w:rsidR="008318D0" w:rsidRPr="00691723">
      <w:t>Copyright</w:t>
    </w:r>
  </w:p>
  <w:p w:rsidR="008318D0" w:rsidRDefault="008318D0" w:rsidP="008318D0">
    <w:pPr>
      <w:pStyle w:val="LegalCopy"/>
      <w:spacing w:after="0"/>
    </w:pPr>
    <w:r w:rsidRPr="009401F6">
      <w:t>© Commonwealth of Australia 201</w:t>
    </w:r>
    <w:r>
      <w:t>7</w:t>
    </w:r>
    <w:r w:rsidRPr="009401F6">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401F6">
      <w:rPr>
        <w:i/>
      </w:rPr>
      <w:t>Copyright Act 1968</w:t>
    </w:r>
    <w:r w:rsidRPr="009401F6">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 w:history="1">
      <w:r w:rsidRPr="009401F6">
        <w:rPr>
          <w:rStyle w:val="Hyperlink"/>
          <w:rFonts w:cs="Arial"/>
        </w:rPr>
        <w:t>tga.copyright@tga.gov.au</w:t>
      </w:r>
    </w:hyperlink>
    <w:r w:rsidRPr="009401F6">
      <w:t>&gt;</w:t>
    </w:r>
  </w:p>
  <w:p w:rsidR="008318D0" w:rsidRPr="009401F6" w:rsidRDefault="008318D0" w:rsidP="008318D0">
    <w:pPr>
      <w:pStyle w:val="LegalSubheading"/>
    </w:pPr>
    <w:r w:rsidRPr="009401F6">
      <w:t>Confidentiality</w:t>
    </w:r>
  </w:p>
  <w:p w:rsidR="008318D0" w:rsidRDefault="008318D0" w:rsidP="008318D0">
    <w:pPr>
      <w:pStyle w:val="LegalCopy"/>
      <w:rPr>
        <w:lang w:eastAsia="en-AU"/>
      </w:rPr>
    </w:pPr>
    <w:r w:rsidRPr="00EB182C">
      <w:rPr>
        <w:lang w:eastAsia="en-AU"/>
      </w:rP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form. For submission made by individuals, all personal details, other than your name, will be removed from your submission before it is published on the TGA’s Internet site. In addition, a list of parties making submissions will be published. If you do not wish to be identified with your submission you must specifically request this in the space provided on the submission form.</w:t>
    </w:r>
  </w:p>
  <w:p w:rsidR="00F739D1" w:rsidRPr="00920FF4" w:rsidRDefault="00F739D1" w:rsidP="00920FF4">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B50" w:rsidRPr="00E32326" w:rsidRDefault="00AC751B" w:rsidP="00F202A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921" o:spid="_x0000_s2081" type="#_x0000_t136" style="position:absolute;margin-left:0;margin-top:0;width:511.45pt;height:127.85pt;rotation:315;z-index:-251656704;mso-position-horizontal:center;mso-position-horizontal-relative:margin;mso-position-vertical:center;mso-position-vertical-relative:margin" o:allowincell="f" fillcolor="silver" stroked="f">
          <v:fill opacity=".5"/>
          <v:textpath style="font-family:&quot;Calibri&quot;;font-size:1pt" string="CONSULTATION"/>
          <w10:wrap anchorx="margin" anchory="margin"/>
        </v:shape>
      </w:pict>
    </w:r>
    <w:r w:rsidR="00F3255D" w:rsidRPr="00F3255D">
      <w:rPr>
        <w:noProof/>
        <w:lang w:eastAsia="en-AU"/>
      </w:rPr>
      <w:drawing>
        <wp:anchor distT="0" distB="0" distL="114300" distR="114300" simplePos="0" relativeHeight="251657728" behindDoc="0" locked="0" layoutInCell="1" allowOverlap="1" wp14:anchorId="4A14EC5D" wp14:editId="1FBC85DA">
          <wp:simplePos x="0" y="0"/>
          <wp:positionH relativeFrom="column">
            <wp:posOffset>-195580</wp:posOffset>
          </wp:positionH>
          <wp:positionV relativeFrom="paragraph">
            <wp:posOffset>-62230</wp:posOffset>
          </wp:positionV>
          <wp:extent cx="3524250" cy="1209675"/>
          <wp:effectExtent l="0" t="0" r="0" b="9525"/>
          <wp:wrapTopAndBottom/>
          <wp:docPr id="10" name="Picture 10" descr="Therapeutic Goods Adminis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Work\_resources\TGA Vector Graphics\DH&amp;A\New crests Sept 2013\DH-TGA_inline_black-RGB-1200.gif"/>
                  <pic:cNvPicPr>
                    <a:picLocks noChangeAspect="1" noChangeArrowheads="1"/>
                  </pic:cNvPicPr>
                </pic:nvPicPr>
                <pic:blipFill>
                  <a:blip r:embed="rId1"/>
                  <a:srcRect/>
                  <a:stretch>
                    <a:fillRect/>
                  </a:stretch>
                </pic:blipFill>
                <pic:spPr bwMode="auto">
                  <a:xfrm>
                    <a:off x="0" y="0"/>
                    <a:ext cx="3524250" cy="1209675"/>
                  </a:xfrm>
                  <a:prstGeom prst="rect">
                    <a:avLst/>
                  </a:prstGeom>
                  <a:noFill/>
                  <a:ln w="9525">
                    <a:noFill/>
                    <a:miter lim="800000"/>
                    <a:headEnd/>
                    <a:tailEnd/>
                  </a:ln>
                </pic:spPr>
              </pic:pic>
            </a:graphicData>
          </a:graphic>
        </wp:anchor>
      </w:drawing>
    </w:r>
  </w:p>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quot; &quot;"/>
    </w:tblPr>
    <w:tblGrid>
      <w:gridCol w:w="11964"/>
    </w:tblGrid>
    <w:tr w:rsidR="00FF7B50" w:rsidRPr="00FF7B50" w:rsidTr="00B117F0">
      <w:trPr>
        <w:trHeight w:hRule="exact" w:val="8845"/>
        <w:tblHeader/>
      </w:trPr>
      <w:tc>
        <w:tcPr>
          <w:tcW w:w="11964" w:type="dxa"/>
        </w:tcPr>
        <w:p w:rsidR="00FF7B50" w:rsidRPr="00FF7B50" w:rsidRDefault="00AC751B" w:rsidP="00AE0320">
          <w:pPr>
            <w:pStyle w:val="Header"/>
            <w:ind w:left="-57"/>
            <w:jc w:val="left"/>
            <w:rPr>
              <w:noProof/>
              <w:lang w:eastAsia="en-AU"/>
            </w:rPr>
          </w:pPr>
          <w:sdt>
            <w:sdtPr>
              <w:rPr>
                <w:noProof/>
                <w:lang w:eastAsia="en-AU"/>
              </w:rPr>
              <w:id w:val="687798579"/>
              <w:picture/>
            </w:sdtPr>
            <w:sdtEndPr/>
            <w:sdtContent>
              <w:r w:rsidR="00FF7B50" w:rsidRPr="00FF7B50">
                <w:rPr>
                  <w:noProof/>
                  <w:lang w:eastAsia="en-AU"/>
                </w:rPr>
                <w:drawing>
                  <wp:inline distT="0" distB="0" distL="0" distR="0" wp14:anchorId="1E67BC69" wp14:editId="0CB3D52D">
                    <wp:extent cx="7610475" cy="5069167"/>
                    <wp:effectExtent l="0" t="0" r="0" b="0"/>
                    <wp:docPr id="11"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10475" cy="5069167"/>
                            </a:xfrm>
                            <a:prstGeom prst="rect">
                              <a:avLst/>
                            </a:prstGeom>
                            <a:noFill/>
                            <a:ln w="9525">
                              <a:noFill/>
                              <a:miter lim="800000"/>
                              <a:headEnd/>
                              <a:tailEnd/>
                            </a:ln>
                          </pic:spPr>
                        </pic:pic>
                      </a:graphicData>
                    </a:graphic>
                  </wp:inline>
                </w:drawing>
              </w:r>
            </w:sdtContent>
          </w:sdt>
        </w:p>
      </w:tc>
    </w:tr>
  </w:tbl>
  <w:p w:rsidR="00F739D1" w:rsidRPr="00E32326" w:rsidRDefault="00FF7B50" w:rsidP="00F202AB">
    <w:r>
      <w:rPr>
        <w:noProof/>
        <w:lang w:eastAsia="en-AU"/>
      </w:rPr>
      <w:drawing>
        <wp:anchor distT="0" distB="0" distL="114300" distR="114300" simplePos="0" relativeHeight="251656704" behindDoc="0" locked="0" layoutInCell="0" allowOverlap="1" wp14:anchorId="6A05C855" wp14:editId="7AE34C6D">
          <wp:simplePos x="0" y="0"/>
          <wp:positionH relativeFrom="column">
            <wp:posOffset>-900430</wp:posOffset>
          </wp:positionH>
          <wp:positionV relativeFrom="page">
            <wp:posOffset>4171950</wp:posOffset>
          </wp:positionV>
          <wp:extent cx="7600950" cy="2457450"/>
          <wp:effectExtent l="0" t="0" r="0" b="0"/>
          <wp:wrapNone/>
          <wp:docPr id="12" name="Picture 1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etct\Desktop\TGA-Swoosh-w-Wordmark-Green-CMYK.gif"/>
                  <pic:cNvPicPr>
                    <a:picLocks noChangeAspect="1" noChangeArrowheads="1"/>
                  </pic:cNvPicPr>
                </pic:nvPicPr>
                <pic:blipFill>
                  <a:blip r:embed="rId3" cstate="print"/>
                  <a:srcRect/>
                  <a:stretch>
                    <a:fillRect/>
                  </a:stretch>
                </pic:blipFill>
                <pic:spPr bwMode="auto">
                  <a:xfrm>
                    <a:off x="0" y="0"/>
                    <a:ext cx="7600950" cy="24574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6E0" w:rsidRDefault="00AC75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925" o:spid="_x0000_s2085" type="#_x0000_t136" style="position:absolute;left:0;text-align:left;margin-left:0;margin-top:0;width:511.45pt;height:127.85pt;rotation:315;z-index:-251648512;mso-position-horizontal:center;mso-position-horizontal-relative:margin;mso-position-vertical:center;mso-position-vertical-relative:margin" o:allowincell="f" fillcolor="silver" stroked="f">
          <v:fill opacity=".5"/>
          <v:textpath style="font-family:&quot;Calibri&quot;;font-size:1pt" string="CONSULTATION"/>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9D1" w:rsidRPr="00920FF4" w:rsidRDefault="00AC751B" w:rsidP="00920F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926" o:spid="_x0000_s2086" type="#_x0000_t136" style="position:absolute;left:0;text-align:left;margin-left:0;margin-top:0;width:511.45pt;height:127.85pt;rotation:315;z-index:-251646464;mso-position-horizontal:center;mso-position-horizontal-relative:margin;mso-position-vertical:center;mso-position-vertical-relative:margin" o:allowincell="f" fillcolor="silver" stroked="f">
          <v:fill opacity=".5"/>
          <v:textpath style="font-family:&quot;Calibri&quot;;font-size:1pt" string="CONSULTATION"/>
          <w10:wrap anchorx="margin" anchory="margin"/>
        </v:shape>
      </w:pict>
    </w:r>
    <w:r w:rsidR="00F739D1">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480A" w:rsidRPr="00920FF4" w:rsidRDefault="00AC751B" w:rsidP="001D48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924" o:spid="_x0000_s2084" type="#_x0000_t136" style="position:absolute;left:0;text-align:left;margin-left:0;margin-top:0;width:511.45pt;height:127.85pt;rotation:315;z-index:-251650560;mso-position-horizontal:center;mso-position-horizontal-relative:margin;mso-position-vertical:center;mso-position-vertical-relative:margin" o:allowincell="f" fillcolor="silver" stroked="f">
          <v:fill opacity=".5"/>
          <v:textpath style="font-family:&quot;Calibri&quot;;font-size:1pt" string="CONSULTATION"/>
          <w10:wrap anchorx="margin" anchory="margin"/>
        </v:shape>
      </w:pict>
    </w:r>
    <w:r w:rsidR="001D480A">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6E0" w:rsidRDefault="00AC751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928" o:spid="_x0000_s2088" type="#_x0000_t136" style="position:absolute;left:0;text-align:left;margin-left:0;margin-top:0;width:511.45pt;height:127.85pt;rotation:315;z-index:-251642368;mso-position-horizontal:center;mso-position-horizontal-relative:margin;mso-position-vertical:center;mso-position-vertical-relative:margin" o:allowincell="f" fillcolor="silver" stroked="f">
          <v:fill opacity=".5"/>
          <v:textpath style="font-family:&quot;Calibri&quot;;font-size:1pt" string="CONSULTATION"/>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6E0" w:rsidRPr="004203EA" w:rsidRDefault="00AC751B">
    <w:pPr>
      <w:pStyle w:val="Header"/>
      <w:rPr>
        <w:b/>
        <w:sz w:val="18"/>
      </w:rPr>
    </w:pPr>
    <w:r>
      <w:rPr>
        <w:b/>
        <w:noProof/>
        <w:sz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929" o:spid="_x0000_s2089" type="#_x0000_t136" style="position:absolute;left:0;text-align:left;margin-left:0;margin-top:0;width:511.45pt;height:127.85pt;rotation:315;z-index:-251640320;mso-position-horizontal:center;mso-position-horizontal-relative:margin;mso-position-vertical:center;mso-position-vertical-relative:margin" o:allowincell="f" fillcolor="silver" stroked="f">
          <v:fill opacity=".5"/>
          <v:textpath style="font-family:&quot;Calibri&quot;;font-size:1pt" string="CONSULTATION"/>
          <w10:wrap anchorx="margin" anchory="margin"/>
        </v:shape>
      </w:pict>
    </w:r>
    <w:r w:rsidR="004203EA" w:rsidRPr="004203EA">
      <w:rPr>
        <w:b/>
        <w:sz w:val="18"/>
      </w:rPr>
      <w:t>Attachment A</w:t>
    </w:r>
  </w:p>
  <w:p w:rsidR="000948A1" w:rsidRDefault="000948A1"/>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72E" w:rsidRPr="004203EA" w:rsidRDefault="00AC751B" w:rsidP="004203EA">
    <w:pPr>
      <w:jc w:val="right"/>
      <w:rPr>
        <w:b/>
      </w:rPr>
    </w:pPr>
    <w:r>
      <w:rPr>
        <w:b/>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3927" o:spid="_x0000_s2087" type="#_x0000_t136" style="position:absolute;left:0;text-align:left;margin-left:0;margin-top:0;width:511.45pt;height:127.85pt;rotation:315;z-index:-251644416;mso-position-horizontal:center;mso-position-horizontal-relative:margin;mso-position-vertical:center;mso-position-vertical-relative:margin" o:allowincell="f" fillcolor="silver" stroked="f">
          <v:fill opacity=".5"/>
          <v:textpath style="font-family:&quot;Calibri&quot;;font-size:1pt" string="CONSULTATION"/>
          <w10:wrap anchorx="margin" anchory="margin"/>
        </v:shape>
      </w:pict>
    </w:r>
    <w:r w:rsidR="004203EA" w:rsidRPr="004203EA">
      <w:rPr>
        <w:b/>
      </w:rPr>
      <w:t>Attachment A</w:t>
    </w:r>
  </w:p>
  <w:p w:rsidR="00F739D1" w:rsidRPr="002B0C2E" w:rsidRDefault="00F739D1" w:rsidP="002B0C2E">
    <w:pPr>
      <w:pStyle w:val="HeaderNo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02536AC1"/>
    <w:multiLevelType w:val="hybridMultilevel"/>
    <w:tmpl w:val="93DE0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2B332D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nsid w:val="05C03A67"/>
    <w:multiLevelType w:val="hybridMultilevel"/>
    <w:tmpl w:val="82464E86"/>
    <w:lvl w:ilvl="0" w:tplc="DF3C81C6">
      <w:start w:val="1"/>
      <w:numFmt w:val="decimal"/>
      <w:lvlText w:val="%1."/>
      <w:lvlJc w:val="left"/>
      <w:pPr>
        <w:ind w:left="720" w:hanging="360"/>
      </w:pPr>
      <w:rPr>
        <w:rFonts w:hint="default"/>
        <w:b w:val="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91352A6"/>
    <w:multiLevelType w:val="hybridMultilevel"/>
    <w:tmpl w:val="C6622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B685134"/>
    <w:multiLevelType w:val="hybridMultilevel"/>
    <w:tmpl w:val="1D36104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530B8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18F11905"/>
    <w:multiLevelType w:val="singleLevel"/>
    <w:tmpl w:val="0C09000F"/>
    <w:lvl w:ilvl="0">
      <w:start w:val="1"/>
      <w:numFmt w:val="decimal"/>
      <w:lvlText w:val="%1."/>
      <w:lvlJc w:val="left"/>
      <w:pPr>
        <w:tabs>
          <w:tab w:val="num" w:pos="360"/>
        </w:tabs>
        <w:ind w:left="360" w:hanging="360"/>
      </w:pPr>
    </w:lvl>
  </w:abstractNum>
  <w:abstractNum w:abstractNumId="12">
    <w:nsid w:val="19ED60D3"/>
    <w:multiLevelType w:val="hybridMultilevel"/>
    <w:tmpl w:val="4FAA9A2A"/>
    <w:lvl w:ilvl="0" w:tplc="DE3897C0">
      <w:start w:val="1"/>
      <w:numFmt w:val="decimal"/>
      <w:pStyle w:val="Heading5"/>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20B44E74"/>
    <w:multiLevelType w:val="hybridMultilevel"/>
    <w:tmpl w:val="E64EE9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75A6525"/>
    <w:multiLevelType w:val="hybridMultilevel"/>
    <w:tmpl w:val="EE6AFD8C"/>
    <w:lvl w:ilvl="0" w:tplc="0C090011">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8DD72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AFD59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B4C3115"/>
    <w:multiLevelType w:val="hybridMultilevel"/>
    <w:tmpl w:val="6B32E6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EDA0439"/>
    <w:multiLevelType w:val="hybridMultilevel"/>
    <w:tmpl w:val="B85C3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1C61AAB"/>
    <w:multiLevelType w:val="hybridMultilevel"/>
    <w:tmpl w:val="860E4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22253D8"/>
    <w:multiLevelType w:val="multilevel"/>
    <w:tmpl w:val="BDE8F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0016F0"/>
    <w:multiLevelType w:val="hybridMultilevel"/>
    <w:tmpl w:val="10C231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52AE177C"/>
    <w:multiLevelType w:val="multilevel"/>
    <w:tmpl w:val="43546DCC"/>
    <w:lvl w:ilvl="0">
      <w:start w:val="1"/>
      <w:numFmt w:val="decimal"/>
      <w:lvlText w:val="%1)"/>
      <w:lvlJc w:val="left"/>
      <w:pPr>
        <w:ind w:left="850" w:hanging="425"/>
      </w:pPr>
      <w:rPr>
        <w:rFonts w:hint="default"/>
      </w:rPr>
    </w:lvl>
    <w:lvl w:ilvl="1">
      <w:start w:val="1"/>
      <w:numFmt w:val="lowerLetter"/>
      <w:lvlText w:val="%2."/>
      <w:lvlJc w:val="left"/>
      <w:pPr>
        <w:ind w:left="1276" w:hanging="426"/>
      </w:pPr>
      <w:rPr>
        <w:rFonts w:hint="default"/>
      </w:rPr>
    </w:lvl>
    <w:lvl w:ilvl="2">
      <w:start w:val="1"/>
      <w:numFmt w:val="lowerRoman"/>
      <w:lvlText w:val="%3."/>
      <w:lvlJc w:val="left"/>
      <w:pPr>
        <w:ind w:left="1701" w:hanging="425"/>
      </w:pPr>
      <w:rPr>
        <w:rFonts w:hint="default"/>
      </w:rPr>
    </w:lvl>
    <w:lvl w:ilvl="3">
      <w:start w:val="1"/>
      <w:numFmt w:val="none"/>
      <w:lvlText w:val=""/>
      <w:lvlJc w:val="left"/>
      <w:pPr>
        <w:ind w:left="1701" w:hanging="425"/>
      </w:pPr>
      <w:rPr>
        <w:rFonts w:hint="default"/>
      </w:rPr>
    </w:lvl>
    <w:lvl w:ilvl="4">
      <w:start w:val="1"/>
      <w:numFmt w:val="none"/>
      <w:lvlText w:val=""/>
      <w:lvlJc w:val="left"/>
      <w:pPr>
        <w:ind w:left="1701" w:hanging="425"/>
      </w:pPr>
      <w:rPr>
        <w:rFonts w:hint="default"/>
      </w:rPr>
    </w:lvl>
    <w:lvl w:ilvl="5">
      <w:start w:val="1"/>
      <w:numFmt w:val="none"/>
      <w:lvlText w:val=""/>
      <w:lvlJc w:val="left"/>
      <w:pPr>
        <w:ind w:left="1701" w:hanging="425"/>
      </w:pPr>
      <w:rPr>
        <w:rFonts w:hint="default"/>
      </w:rPr>
    </w:lvl>
    <w:lvl w:ilvl="6">
      <w:start w:val="1"/>
      <w:numFmt w:val="none"/>
      <w:lvlText w:val="%7"/>
      <w:lvlJc w:val="left"/>
      <w:pPr>
        <w:ind w:left="1701" w:hanging="425"/>
      </w:pPr>
      <w:rPr>
        <w:rFonts w:hint="default"/>
      </w:rPr>
    </w:lvl>
    <w:lvl w:ilvl="7">
      <w:start w:val="1"/>
      <w:numFmt w:val="none"/>
      <w:lvlText w:val=""/>
      <w:lvlJc w:val="left"/>
      <w:pPr>
        <w:ind w:left="1701" w:hanging="425"/>
      </w:pPr>
      <w:rPr>
        <w:rFonts w:hint="default"/>
      </w:rPr>
    </w:lvl>
    <w:lvl w:ilvl="8">
      <w:start w:val="1"/>
      <w:numFmt w:val="none"/>
      <w:lvlText w:val=""/>
      <w:lvlJc w:val="left"/>
      <w:pPr>
        <w:ind w:left="1701" w:hanging="425"/>
      </w:pPr>
      <w:rPr>
        <w:rFonts w:hint="default"/>
      </w:rPr>
    </w:lvl>
  </w:abstractNum>
  <w:abstractNum w:abstractNumId="23">
    <w:nsid w:val="6D78766A"/>
    <w:multiLevelType w:val="hybridMultilevel"/>
    <w:tmpl w:val="DB804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9"/>
  </w:num>
  <w:num w:numId="9">
    <w:abstractNumId w:val="9"/>
  </w:num>
  <w:num w:numId="10">
    <w:abstractNumId w:val="9"/>
  </w:num>
  <w:num w:numId="11">
    <w:abstractNumId w:val="9"/>
  </w:num>
  <w:num w:numId="12">
    <w:abstractNumId w:val="10"/>
  </w:num>
  <w:num w:numId="13">
    <w:abstractNumId w:val="10"/>
  </w:num>
  <w:num w:numId="14">
    <w:abstractNumId w:val="10"/>
  </w:num>
  <w:num w:numId="15">
    <w:abstractNumId w:val="9"/>
  </w:num>
  <w:num w:numId="16">
    <w:abstractNumId w:val="9"/>
  </w:num>
  <w:num w:numId="17">
    <w:abstractNumId w:val="9"/>
  </w:num>
  <w:num w:numId="18">
    <w:abstractNumId w:val="10"/>
  </w:num>
  <w:num w:numId="19">
    <w:abstractNumId w:val="10"/>
  </w:num>
  <w:num w:numId="20">
    <w:abstractNumId w:val="10"/>
  </w:num>
  <w:num w:numId="21">
    <w:abstractNumId w:val="9"/>
  </w:num>
  <w:num w:numId="22">
    <w:abstractNumId w:val="9"/>
  </w:num>
  <w:num w:numId="23">
    <w:abstractNumId w:val="9"/>
  </w:num>
  <w:num w:numId="24">
    <w:abstractNumId w:val="13"/>
  </w:num>
  <w:num w:numId="25">
    <w:abstractNumId w:val="10"/>
  </w:num>
  <w:num w:numId="26">
    <w:abstractNumId w:val="10"/>
  </w:num>
  <w:num w:numId="27">
    <w:abstractNumId w:val="10"/>
  </w:num>
  <w:num w:numId="28">
    <w:abstractNumId w:val="9"/>
  </w:num>
  <w:num w:numId="29">
    <w:abstractNumId w:val="9"/>
  </w:num>
  <w:num w:numId="30">
    <w:abstractNumId w:val="9"/>
  </w:num>
  <w:num w:numId="31">
    <w:abstractNumId w:val="18"/>
  </w:num>
  <w:num w:numId="32">
    <w:abstractNumId w:val="7"/>
  </w:num>
  <w:num w:numId="33">
    <w:abstractNumId w:val="23"/>
  </w:num>
  <w:num w:numId="34">
    <w:abstractNumId w:val="19"/>
  </w:num>
  <w:num w:numId="35">
    <w:abstractNumId w:val="15"/>
  </w:num>
  <w:num w:numId="36">
    <w:abstractNumId w:val="16"/>
  </w:num>
  <w:num w:numId="37">
    <w:abstractNumId w:val="8"/>
  </w:num>
  <w:num w:numId="38">
    <w:abstractNumId w:val="4"/>
  </w:num>
  <w:num w:numId="39">
    <w:abstractNumId w:val="21"/>
  </w:num>
  <w:num w:numId="40">
    <w:abstractNumId w:val="5"/>
  </w:num>
  <w:num w:numId="41">
    <w:abstractNumId w:val="17"/>
  </w:num>
  <w:num w:numId="42">
    <w:abstractNumId w:val="12"/>
  </w:num>
  <w:num w:numId="43">
    <w:abstractNumId w:val="20"/>
  </w:num>
  <w:num w:numId="44">
    <w:abstractNumId w:val="6"/>
  </w:num>
  <w:num w:numId="45">
    <w:abstractNumId w:val="3"/>
  </w:num>
  <w:num w:numId="46">
    <w:abstractNumId w:val="14"/>
  </w:num>
  <w:num w:numId="47">
    <w:abstractNumId w:val="11"/>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90"/>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135"/>
    <w:rsid w:val="00000781"/>
    <w:rsid w:val="00002031"/>
    <w:rsid w:val="00004734"/>
    <w:rsid w:val="00006B22"/>
    <w:rsid w:val="0001276A"/>
    <w:rsid w:val="00022A5D"/>
    <w:rsid w:val="000246AE"/>
    <w:rsid w:val="00025C67"/>
    <w:rsid w:val="0003306D"/>
    <w:rsid w:val="00034624"/>
    <w:rsid w:val="00042537"/>
    <w:rsid w:val="00055129"/>
    <w:rsid w:val="000554B4"/>
    <w:rsid w:val="0005559E"/>
    <w:rsid w:val="00061E51"/>
    <w:rsid w:val="00063028"/>
    <w:rsid w:val="00077775"/>
    <w:rsid w:val="00077B41"/>
    <w:rsid w:val="00086BC0"/>
    <w:rsid w:val="00090471"/>
    <w:rsid w:val="000948A1"/>
    <w:rsid w:val="000958DF"/>
    <w:rsid w:val="000A0965"/>
    <w:rsid w:val="000B0A5D"/>
    <w:rsid w:val="000B17AA"/>
    <w:rsid w:val="000B210F"/>
    <w:rsid w:val="000B3532"/>
    <w:rsid w:val="000B3A75"/>
    <w:rsid w:val="000B7084"/>
    <w:rsid w:val="000C2D89"/>
    <w:rsid w:val="000C5A31"/>
    <w:rsid w:val="000C7ACC"/>
    <w:rsid w:val="000D391B"/>
    <w:rsid w:val="000D3D6D"/>
    <w:rsid w:val="000D4C76"/>
    <w:rsid w:val="000D4CCB"/>
    <w:rsid w:val="000D4FC7"/>
    <w:rsid w:val="000E298B"/>
    <w:rsid w:val="000F4869"/>
    <w:rsid w:val="000F5B42"/>
    <w:rsid w:val="000F5BDC"/>
    <w:rsid w:val="000F6E6F"/>
    <w:rsid w:val="000F7074"/>
    <w:rsid w:val="001003F2"/>
    <w:rsid w:val="0010601F"/>
    <w:rsid w:val="00107378"/>
    <w:rsid w:val="00110EA5"/>
    <w:rsid w:val="001119DF"/>
    <w:rsid w:val="00115240"/>
    <w:rsid w:val="001167D0"/>
    <w:rsid w:val="00123537"/>
    <w:rsid w:val="00125091"/>
    <w:rsid w:val="00125318"/>
    <w:rsid w:val="001305A2"/>
    <w:rsid w:val="00133238"/>
    <w:rsid w:val="00140FE3"/>
    <w:rsid w:val="0014197B"/>
    <w:rsid w:val="0014344A"/>
    <w:rsid w:val="001447CD"/>
    <w:rsid w:val="00145426"/>
    <w:rsid w:val="001516B1"/>
    <w:rsid w:val="001525B4"/>
    <w:rsid w:val="00156316"/>
    <w:rsid w:val="00160006"/>
    <w:rsid w:val="00165389"/>
    <w:rsid w:val="00170CED"/>
    <w:rsid w:val="00170E8C"/>
    <w:rsid w:val="0017693F"/>
    <w:rsid w:val="0018110E"/>
    <w:rsid w:val="00181684"/>
    <w:rsid w:val="00183AC5"/>
    <w:rsid w:val="001843C6"/>
    <w:rsid w:val="001850E0"/>
    <w:rsid w:val="0018693C"/>
    <w:rsid w:val="00186B97"/>
    <w:rsid w:val="00192086"/>
    <w:rsid w:val="0019255A"/>
    <w:rsid w:val="001A525F"/>
    <w:rsid w:val="001A69AB"/>
    <w:rsid w:val="001B09F9"/>
    <w:rsid w:val="001B572B"/>
    <w:rsid w:val="001B6448"/>
    <w:rsid w:val="001D480A"/>
    <w:rsid w:val="001D7B4D"/>
    <w:rsid w:val="001E07CF"/>
    <w:rsid w:val="001E59F1"/>
    <w:rsid w:val="001E61B4"/>
    <w:rsid w:val="001E7A2C"/>
    <w:rsid w:val="001F49EB"/>
    <w:rsid w:val="001F6CBA"/>
    <w:rsid w:val="001F78B9"/>
    <w:rsid w:val="00201D4E"/>
    <w:rsid w:val="00207515"/>
    <w:rsid w:val="00210462"/>
    <w:rsid w:val="00211C7B"/>
    <w:rsid w:val="00220B8A"/>
    <w:rsid w:val="002232C2"/>
    <w:rsid w:val="002257F3"/>
    <w:rsid w:val="002302EC"/>
    <w:rsid w:val="002303B0"/>
    <w:rsid w:val="002314E8"/>
    <w:rsid w:val="00233456"/>
    <w:rsid w:val="0023397F"/>
    <w:rsid w:val="002339A5"/>
    <w:rsid w:val="00237590"/>
    <w:rsid w:val="002452E7"/>
    <w:rsid w:val="00245F98"/>
    <w:rsid w:val="00246194"/>
    <w:rsid w:val="002538AE"/>
    <w:rsid w:val="002541E7"/>
    <w:rsid w:val="00255CB8"/>
    <w:rsid w:val="00257138"/>
    <w:rsid w:val="00257848"/>
    <w:rsid w:val="0027084A"/>
    <w:rsid w:val="00271109"/>
    <w:rsid w:val="002765F5"/>
    <w:rsid w:val="00277EF5"/>
    <w:rsid w:val="00286434"/>
    <w:rsid w:val="00286C59"/>
    <w:rsid w:val="00290CE0"/>
    <w:rsid w:val="00291CE0"/>
    <w:rsid w:val="002942D1"/>
    <w:rsid w:val="002A0556"/>
    <w:rsid w:val="002B0C2E"/>
    <w:rsid w:val="002B1638"/>
    <w:rsid w:val="002C1D7D"/>
    <w:rsid w:val="002C2511"/>
    <w:rsid w:val="002C3FB8"/>
    <w:rsid w:val="002D1EDF"/>
    <w:rsid w:val="002D23B0"/>
    <w:rsid w:val="002E4C9A"/>
    <w:rsid w:val="002F11F8"/>
    <w:rsid w:val="002F3F56"/>
    <w:rsid w:val="002F44B5"/>
    <w:rsid w:val="00311AC0"/>
    <w:rsid w:val="003204DD"/>
    <w:rsid w:val="00322946"/>
    <w:rsid w:val="003312E5"/>
    <w:rsid w:val="00331DBB"/>
    <w:rsid w:val="00332680"/>
    <w:rsid w:val="00337832"/>
    <w:rsid w:val="00341227"/>
    <w:rsid w:val="003521E8"/>
    <w:rsid w:val="0035224B"/>
    <w:rsid w:val="00365DDD"/>
    <w:rsid w:val="003664BF"/>
    <w:rsid w:val="003728F3"/>
    <w:rsid w:val="00390900"/>
    <w:rsid w:val="003A35BD"/>
    <w:rsid w:val="003A5757"/>
    <w:rsid w:val="003A5AC3"/>
    <w:rsid w:val="003B00C5"/>
    <w:rsid w:val="003B2F70"/>
    <w:rsid w:val="003B443E"/>
    <w:rsid w:val="003B7E39"/>
    <w:rsid w:val="003C58DC"/>
    <w:rsid w:val="003C7461"/>
    <w:rsid w:val="003D0CD9"/>
    <w:rsid w:val="003E3208"/>
    <w:rsid w:val="003E3D34"/>
    <w:rsid w:val="003E4275"/>
    <w:rsid w:val="003E7EAA"/>
    <w:rsid w:val="003F0B04"/>
    <w:rsid w:val="003F1F4D"/>
    <w:rsid w:val="0040134E"/>
    <w:rsid w:val="00402864"/>
    <w:rsid w:val="0040580F"/>
    <w:rsid w:val="00410839"/>
    <w:rsid w:val="0041452B"/>
    <w:rsid w:val="004169A8"/>
    <w:rsid w:val="004203D8"/>
    <w:rsid w:val="004203EA"/>
    <w:rsid w:val="0043150C"/>
    <w:rsid w:val="00436BF7"/>
    <w:rsid w:val="00440A2D"/>
    <w:rsid w:val="004414E4"/>
    <w:rsid w:val="00455A6F"/>
    <w:rsid w:val="004564A7"/>
    <w:rsid w:val="004617BF"/>
    <w:rsid w:val="004634F1"/>
    <w:rsid w:val="00465AC7"/>
    <w:rsid w:val="00465E90"/>
    <w:rsid w:val="004738E3"/>
    <w:rsid w:val="0047772E"/>
    <w:rsid w:val="00477BB1"/>
    <w:rsid w:val="00486961"/>
    <w:rsid w:val="004923FF"/>
    <w:rsid w:val="00494E60"/>
    <w:rsid w:val="00496BAC"/>
    <w:rsid w:val="004B114D"/>
    <w:rsid w:val="004B3A1A"/>
    <w:rsid w:val="004B4AC6"/>
    <w:rsid w:val="004B5A6B"/>
    <w:rsid w:val="004B7A74"/>
    <w:rsid w:val="004B7B76"/>
    <w:rsid w:val="004C0070"/>
    <w:rsid w:val="004D27C5"/>
    <w:rsid w:val="004D51A6"/>
    <w:rsid w:val="004E69DB"/>
    <w:rsid w:val="004F0F38"/>
    <w:rsid w:val="004F1A46"/>
    <w:rsid w:val="004F4D12"/>
    <w:rsid w:val="004F6887"/>
    <w:rsid w:val="00501921"/>
    <w:rsid w:val="00504AAA"/>
    <w:rsid w:val="00511904"/>
    <w:rsid w:val="00520D3B"/>
    <w:rsid w:val="00522A0C"/>
    <w:rsid w:val="00530354"/>
    <w:rsid w:val="00531B11"/>
    <w:rsid w:val="005434C6"/>
    <w:rsid w:val="00543B39"/>
    <w:rsid w:val="0054583D"/>
    <w:rsid w:val="005477E7"/>
    <w:rsid w:val="00550096"/>
    <w:rsid w:val="0055532D"/>
    <w:rsid w:val="00557FF9"/>
    <w:rsid w:val="00560B7D"/>
    <w:rsid w:val="00576378"/>
    <w:rsid w:val="005765D3"/>
    <w:rsid w:val="00577279"/>
    <w:rsid w:val="00577E38"/>
    <w:rsid w:val="0058491B"/>
    <w:rsid w:val="00585322"/>
    <w:rsid w:val="00593AD1"/>
    <w:rsid w:val="00594D03"/>
    <w:rsid w:val="00597877"/>
    <w:rsid w:val="005A1131"/>
    <w:rsid w:val="005A1907"/>
    <w:rsid w:val="005A61CE"/>
    <w:rsid w:val="005B6812"/>
    <w:rsid w:val="005C502E"/>
    <w:rsid w:val="005C5570"/>
    <w:rsid w:val="005C79A4"/>
    <w:rsid w:val="005D4E09"/>
    <w:rsid w:val="005D4EA1"/>
    <w:rsid w:val="005D5442"/>
    <w:rsid w:val="005E6592"/>
    <w:rsid w:val="00611B57"/>
    <w:rsid w:val="00617EAC"/>
    <w:rsid w:val="006239CD"/>
    <w:rsid w:val="0063486A"/>
    <w:rsid w:val="00640190"/>
    <w:rsid w:val="006405A9"/>
    <w:rsid w:val="00640FC3"/>
    <w:rsid w:val="00642020"/>
    <w:rsid w:val="00651C87"/>
    <w:rsid w:val="0065337B"/>
    <w:rsid w:val="00653FBF"/>
    <w:rsid w:val="0065419D"/>
    <w:rsid w:val="006604D8"/>
    <w:rsid w:val="00662BEF"/>
    <w:rsid w:val="00664A5B"/>
    <w:rsid w:val="00665F8C"/>
    <w:rsid w:val="00667942"/>
    <w:rsid w:val="00667B4F"/>
    <w:rsid w:val="00670A54"/>
    <w:rsid w:val="00680C08"/>
    <w:rsid w:val="006827A4"/>
    <w:rsid w:val="0068741A"/>
    <w:rsid w:val="00691723"/>
    <w:rsid w:val="006931B1"/>
    <w:rsid w:val="00693CDB"/>
    <w:rsid w:val="006A15C0"/>
    <w:rsid w:val="006A1D12"/>
    <w:rsid w:val="006A2FD8"/>
    <w:rsid w:val="006A3F84"/>
    <w:rsid w:val="006A3FC5"/>
    <w:rsid w:val="006A555C"/>
    <w:rsid w:val="006B188D"/>
    <w:rsid w:val="006B3481"/>
    <w:rsid w:val="006C1F3B"/>
    <w:rsid w:val="006C3E2A"/>
    <w:rsid w:val="006C626D"/>
    <w:rsid w:val="006C642F"/>
    <w:rsid w:val="006C6EDB"/>
    <w:rsid w:val="006D039E"/>
    <w:rsid w:val="006D03E5"/>
    <w:rsid w:val="006D0C3B"/>
    <w:rsid w:val="006D2708"/>
    <w:rsid w:val="006D5D3E"/>
    <w:rsid w:val="006E08B3"/>
    <w:rsid w:val="006E5AB4"/>
    <w:rsid w:val="006F572E"/>
    <w:rsid w:val="007046D6"/>
    <w:rsid w:val="00705DB0"/>
    <w:rsid w:val="00706AFE"/>
    <w:rsid w:val="00707189"/>
    <w:rsid w:val="00725A8B"/>
    <w:rsid w:val="0074066C"/>
    <w:rsid w:val="00742004"/>
    <w:rsid w:val="0074253D"/>
    <w:rsid w:val="0074429B"/>
    <w:rsid w:val="00744E85"/>
    <w:rsid w:val="007477F8"/>
    <w:rsid w:val="00753E0E"/>
    <w:rsid w:val="007615BC"/>
    <w:rsid w:val="00762F05"/>
    <w:rsid w:val="00763336"/>
    <w:rsid w:val="007637A2"/>
    <w:rsid w:val="00764EB9"/>
    <w:rsid w:val="007652FF"/>
    <w:rsid w:val="00766F39"/>
    <w:rsid w:val="00771329"/>
    <w:rsid w:val="00773EF7"/>
    <w:rsid w:val="00774E1D"/>
    <w:rsid w:val="0077675A"/>
    <w:rsid w:val="00780355"/>
    <w:rsid w:val="007817B3"/>
    <w:rsid w:val="00785721"/>
    <w:rsid w:val="007937D4"/>
    <w:rsid w:val="00793A59"/>
    <w:rsid w:val="007A2162"/>
    <w:rsid w:val="007B302B"/>
    <w:rsid w:val="007B404B"/>
    <w:rsid w:val="007B43ED"/>
    <w:rsid w:val="007B4BF9"/>
    <w:rsid w:val="007B4DAC"/>
    <w:rsid w:val="007B61AB"/>
    <w:rsid w:val="007B7B64"/>
    <w:rsid w:val="007C0F3D"/>
    <w:rsid w:val="007C1AF7"/>
    <w:rsid w:val="007C7A6D"/>
    <w:rsid w:val="007C7B5B"/>
    <w:rsid w:val="007D1967"/>
    <w:rsid w:val="007D22D4"/>
    <w:rsid w:val="007E7BF8"/>
    <w:rsid w:val="007F2FF0"/>
    <w:rsid w:val="007F3787"/>
    <w:rsid w:val="00810598"/>
    <w:rsid w:val="00811166"/>
    <w:rsid w:val="008111A0"/>
    <w:rsid w:val="00814492"/>
    <w:rsid w:val="00821776"/>
    <w:rsid w:val="00826007"/>
    <w:rsid w:val="0083072C"/>
    <w:rsid w:val="008318D0"/>
    <w:rsid w:val="008321F5"/>
    <w:rsid w:val="00832369"/>
    <w:rsid w:val="00834660"/>
    <w:rsid w:val="00834C8E"/>
    <w:rsid w:val="00836BC2"/>
    <w:rsid w:val="008377C1"/>
    <w:rsid w:val="0084580B"/>
    <w:rsid w:val="00845BCA"/>
    <w:rsid w:val="0084633D"/>
    <w:rsid w:val="00853C8F"/>
    <w:rsid w:val="0085641B"/>
    <w:rsid w:val="00857136"/>
    <w:rsid w:val="00870B12"/>
    <w:rsid w:val="00871480"/>
    <w:rsid w:val="00872AB8"/>
    <w:rsid w:val="008752CE"/>
    <w:rsid w:val="00875CF3"/>
    <w:rsid w:val="008821AA"/>
    <w:rsid w:val="008855B8"/>
    <w:rsid w:val="008874D1"/>
    <w:rsid w:val="00896018"/>
    <w:rsid w:val="008A07FF"/>
    <w:rsid w:val="008A2B9D"/>
    <w:rsid w:val="008A5E0B"/>
    <w:rsid w:val="008A5E18"/>
    <w:rsid w:val="008A6B34"/>
    <w:rsid w:val="008A6D59"/>
    <w:rsid w:val="008B2D31"/>
    <w:rsid w:val="008B4B03"/>
    <w:rsid w:val="008B596F"/>
    <w:rsid w:val="008C159F"/>
    <w:rsid w:val="008C1623"/>
    <w:rsid w:val="008C4179"/>
    <w:rsid w:val="008C51A9"/>
    <w:rsid w:val="008C56D9"/>
    <w:rsid w:val="008D2B09"/>
    <w:rsid w:val="008D4740"/>
    <w:rsid w:val="008E642B"/>
    <w:rsid w:val="008E7B83"/>
    <w:rsid w:val="008F1CCC"/>
    <w:rsid w:val="008F2967"/>
    <w:rsid w:val="008F407A"/>
    <w:rsid w:val="0090354E"/>
    <w:rsid w:val="0090496F"/>
    <w:rsid w:val="00905BCC"/>
    <w:rsid w:val="00907ACE"/>
    <w:rsid w:val="0091665B"/>
    <w:rsid w:val="00920330"/>
    <w:rsid w:val="00920FF4"/>
    <w:rsid w:val="009219D7"/>
    <w:rsid w:val="00922C98"/>
    <w:rsid w:val="00922D53"/>
    <w:rsid w:val="00922E8D"/>
    <w:rsid w:val="00923B70"/>
    <w:rsid w:val="00925DC5"/>
    <w:rsid w:val="0092600B"/>
    <w:rsid w:val="00930237"/>
    <w:rsid w:val="00934397"/>
    <w:rsid w:val="009401F6"/>
    <w:rsid w:val="00940F44"/>
    <w:rsid w:val="00941988"/>
    <w:rsid w:val="0094783A"/>
    <w:rsid w:val="00952562"/>
    <w:rsid w:val="00961839"/>
    <w:rsid w:val="00963C08"/>
    <w:rsid w:val="009650E1"/>
    <w:rsid w:val="009826E0"/>
    <w:rsid w:val="0098538A"/>
    <w:rsid w:val="00997420"/>
    <w:rsid w:val="009A09AA"/>
    <w:rsid w:val="009A394D"/>
    <w:rsid w:val="009A474D"/>
    <w:rsid w:val="009A4CED"/>
    <w:rsid w:val="009B129B"/>
    <w:rsid w:val="009B15F1"/>
    <w:rsid w:val="009B1D12"/>
    <w:rsid w:val="009B416B"/>
    <w:rsid w:val="009C4BD5"/>
    <w:rsid w:val="009D2334"/>
    <w:rsid w:val="009D2E04"/>
    <w:rsid w:val="009D7B77"/>
    <w:rsid w:val="009E0BB0"/>
    <w:rsid w:val="009E3FBB"/>
    <w:rsid w:val="009E71F4"/>
    <w:rsid w:val="009F018D"/>
    <w:rsid w:val="009F1451"/>
    <w:rsid w:val="009F7D61"/>
    <w:rsid w:val="00A0426E"/>
    <w:rsid w:val="00A04BF5"/>
    <w:rsid w:val="00A052B5"/>
    <w:rsid w:val="00A1235B"/>
    <w:rsid w:val="00A14DF7"/>
    <w:rsid w:val="00A1625A"/>
    <w:rsid w:val="00A23F3C"/>
    <w:rsid w:val="00A26978"/>
    <w:rsid w:val="00A26A9E"/>
    <w:rsid w:val="00A3246D"/>
    <w:rsid w:val="00A3654F"/>
    <w:rsid w:val="00A36FA7"/>
    <w:rsid w:val="00A45923"/>
    <w:rsid w:val="00A475B7"/>
    <w:rsid w:val="00A47AF7"/>
    <w:rsid w:val="00A47C3E"/>
    <w:rsid w:val="00A50226"/>
    <w:rsid w:val="00A539AC"/>
    <w:rsid w:val="00A56488"/>
    <w:rsid w:val="00A60BAD"/>
    <w:rsid w:val="00A64387"/>
    <w:rsid w:val="00A67359"/>
    <w:rsid w:val="00A736F3"/>
    <w:rsid w:val="00A73A8D"/>
    <w:rsid w:val="00A824E9"/>
    <w:rsid w:val="00A84503"/>
    <w:rsid w:val="00A84F53"/>
    <w:rsid w:val="00A85B04"/>
    <w:rsid w:val="00A87334"/>
    <w:rsid w:val="00AA132F"/>
    <w:rsid w:val="00AA16F5"/>
    <w:rsid w:val="00AA2919"/>
    <w:rsid w:val="00AB6DCE"/>
    <w:rsid w:val="00AB6F47"/>
    <w:rsid w:val="00AC2B40"/>
    <w:rsid w:val="00AC2BB2"/>
    <w:rsid w:val="00AC2C3C"/>
    <w:rsid w:val="00AC3BD9"/>
    <w:rsid w:val="00AC751B"/>
    <w:rsid w:val="00AC7EB0"/>
    <w:rsid w:val="00AE0320"/>
    <w:rsid w:val="00AE65EB"/>
    <w:rsid w:val="00AF1D94"/>
    <w:rsid w:val="00AF432B"/>
    <w:rsid w:val="00AF520C"/>
    <w:rsid w:val="00AF60C5"/>
    <w:rsid w:val="00B009C6"/>
    <w:rsid w:val="00B01548"/>
    <w:rsid w:val="00B10F34"/>
    <w:rsid w:val="00B117F0"/>
    <w:rsid w:val="00B146F5"/>
    <w:rsid w:val="00B15D90"/>
    <w:rsid w:val="00B21D29"/>
    <w:rsid w:val="00B21FC5"/>
    <w:rsid w:val="00B21FEE"/>
    <w:rsid w:val="00B25034"/>
    <w:rsid w:val="00B304C6"/>
    <w:rsid w:val="00B33863"/>
    <w:rsid w:val="00B37D17"/>
    <w:rsid w:val="00B4175E"/>
    <w:rsid w:val="00B42503"/>
    <w:rsid w:val="00B510E1"/>
    <w:rsid w:val="00B54C25"/>
    <w:rsid w:val="00B600DA"/>
    <w:rsid w:val="00B6055E"/>
    <w:rsid w:val="00B64DFF"/>
    <w:rsid w:val="00B64F68"/>
    <w:rsid w:val="00B74CFA"/>
    <w:rsid w:val="00B76B91"/>
    <w:rsid w:val="00B92C72"/>
    <w:rsid w:val="00BA6FF1"/>
    <w:rsid w:val="00BB0909"/>
    <w:rsid w:val="00BB58E5"/>
    <w:rsid w:val="00BB6529"/>
    <w:rsid w:val="00BC1CAB"/>
    <w:rsid w:val="00BC3EDB"/>
    <w:rsid w:val="00BC4B38"/>
    <w:rsid w:val="00BC622A"/>
    <w:rsid w:val="00BC794A"/>
    <w:rsid w:val="00BD6F8A"/>
    <w:rsid w:val="00BE0A78"/>
    <w:rsid w:val="00BE79F0"/>
    <w:rsid w:val="00BF046D"/>
    <w:rsid w:val="00BF1831"/>
    <w:rsid w:val="00BF5D04"/>
    <w:rsid w:val="00C016BC"/>
    <w:rsid w:val="00C078E5"/>
    <w:rsid w:val="00C13563"/>
    <w:rsid w:val="00C17A86"/>
    <w:rsid w:val="00C3093F"/>
    <w:rsid w:val="00C339C6"/>
    <w:rsid w:val="00C404A6"/>
    <w:rsid w:val="00C408F5"/>
    <w:rsid w:val="00C40A36"/>
    <w:rsid w:val="00C44419"/>
    <w:rsid w:val="00C45E7B"/>
    <w:rsid w:val="00C471B1"/>
    <w:rsid w:val="00C52BEE"/>
    <w:rsid w:val="00C54E93"/>
    <w:rsid w:val="00C57A1B"/>
    <w:rsid w:val="00C6316B"/>
    <w:rsid w:val="00C634A9"/>
    <w:rsid w:val="00C6636D"/>
    <w:rsid w:val="00C74A63"/>
    <w:rsid w:val="00C772FF"/>
    <w:rsid w:val="00C77BC8"/>
    <w:rsid w:val="00C801AF"/>
    <w:rsid w:val="00C80256"/>
    <w:rsid w:val="00C809E1"/>
    <w:rsid w:val="00CA57A5"/>
    <w:rsid w:val="00CA77CC"/>
    <w:rsid w:val="00CB42EE"/>
    <w:rsid w:val="00CB515F"/>
    <w:rsid w:val="00CB6BC0"/>
    <w:rsid w:val="00CB6C37"/>
    <w:rsid w:val="00CC1B7C"/>
    <w:rsid w:val="00CC727F"/>
    <w:rsid w:val="00CD2699"/>
    <w:rsid w:val="00CD7871"/>
    <w:rsid w:val="00CE0865"/>
    <w:rsid w:val="00CE5BB0"/>
    <w:rsid w:val="00CF15C3"/>
    <w:rsid w:val="00CF2B6F"/>
    <w:rsid w:val="00CF3409"/>
    <w:rsid w:val="00CF7563"/>
    <w:rsid w:val="00D017ED"/>
    <w:rsid w:val="00D153B1"/>
    <w:rsid w:val="00D224FE"/>
    <w:rsid w:val="00D229BA"/>
    <w:rsid w:val="00D26B84"/>
    <w:rsid w:val="00D41D34"/>
    <w:rsid w:val="00D55B10"/>
    <w:rsid w:val="00D5616E"/>
    <w:rsid w:val="00D634FE"/>
    <w:rsid w:val="00D644DD"/>
    <w:rsid w:val="00D6493E"/>
    <w:rsid w:val="00D828C0"/>
    <w:rsid w:val="00D94DFF"/>
    <w:rsid w:val="00DA1124"/>
    <w:rsid w:val="00DA1854"/>
    <w:rsid w:val="00DA1DEF"/>
    <w:rsid w:val="00DA3043"/>
    <w:rsid w:val="00DB181D"/>
    <w:rsid w:val="00DB7E94"/>
    <w:rsid w:val="00DC5A56"/>
    <w:rsid w:val="00DD4C9F"/>
    <w:rsid w:val="00DD75A3"/>
    <w:rsid w:val="00DD7A91"/>
    <w:rsid w:val="00DE024B"/>
    <w:rsid w:val="00DE02AE"/>
    <w:rsid w:val="00DE222D"/>
    <w:rsid w:val="00DE6A0C"/>
    <w:rsid w:val="00DE6C04"/>
    <w:rsid w:val="00DE75AC"/>
    <w:rsid w:val="00DF1D7F"/>
    <w:rsid w:val="00E02FB4"/>
    <w:rsid w:val="00E071A7"/>
    <w:rsid w:val="00E1340C"/>
    <w:rsid w:val="00E20571"/>
    <w:rsid w:val="00E21651"/>
    <w:rsid w:val="00E235F7"/>
    <w:rsid w:val="00E239D4"/>
    <w:rsid w:val="00E32326"/>
    <w:rsid w:val="00E40B22"/>
    <w:rsid w:val="00E4588F"/>
    <w:rsid w:val="00E46DA3"/>
    <w:rsid w:val="00E51164"/>
    <w:rsid w:val="00E625F3"/>
    <w:rsid w:val="00E62831"/>
    <w:rsid w:val="00E8120B"/>
    <w:rsid w:val="00EA16DE"/>
    <w:rsid w:val="00EA406B"/>
    <w:rsid w:val="00EA453A"/>
    <w:rsid w:val="00EB0798"/>
    <w:rsid w:val="00EB182C"/>
    <w:rsid w:val="00EB19F8"/>
    <w:rsid w:val="00EB40AD"/>
    <w:rsid w:val="00EB4135"/>
    <w:rsid w:val="00EB586E"/>
    <w:rsid w:val="00EB5FC8"/>
    <w:rsid w:val="00EC0049"/>
    <w:rsid w:val="00EC1271"/>
    <w:rsid w:val="00ED0C8B"/>
    <w:rsid w:val="00ED5A41"/>
    <w:rsid w:val="00EE1482"/>
    <w:rsid w:val="00EE255A"/>
    <w:rsid w:val="00EF10B1"/>
    <w:rsid w:val="00EF465F"/>
    <w:rsid w:val="00EF578B"/>
    <w:rsid w:val="00F033EC"/>
    <w:rsid w:val="00F04F68"/>
    <w:rsid w:val="00F0627D"/>
    <w:rsid w:val="00F1120F"/>
    <w:rsid w:val="00F11A17"/>
    <w:rsid w:val="00F11B2D"/>
    <w:rsid w:val="00F12670"/>
    <w:rsid w:val="00F14B27"/>
    <w:rsid w:val="00F202AB"/>
    <w:rsid w:val="00F20D82"/>
    <w:rsid w:val="00F3148D"/>
    <w:rsid w:val="00F3255D"/>
    <w:rsid w:val="00F35298"/>
    <w:rsid w:val="00F3529E"/>
    <w:rsid w:val="00F36B37"/>
    <w:rsid w:val="00F36C32"/>
    <w:rsid w:val="00F40F73"/>
    <w:rsid w:val="00F4305F"/>
    <w:rsid w:val="00F44B0D"/>
    <w:rsid w:val="00F4663D"/>
    <w:rsid w:val="00F467A6"/>
    <w:rsid w:val="00F47E37"/>
    <w:rsid w:val="00F623FD"/>
    <w:rsid w:val="00F63C0D"/>
    <w:rsid w:val="00F640B6"/>
    <w:rsid w:val="00F66D1F"/>
    <w:rsid w:val="00F67B16"/>
    <w:rsid w:val="00F739D1"/>
    <w:rsid w:val="00F80E40"/>
    <w:rsid w:val="00F8321D"/>
    <w:rsid w:val="00F8365F"/>
    <w:rsid w:val="00F8404D"/>
    <w:rsid w:val="00F87B87"/>
    <w:rsid w:val="00F91C90"/>
    <w:rsid w:val="00FA4D6D"/>
    <w:rsid w:val="00FA5B82"/>
    <w:rsid w:val="00FA639E"/>
    <w:rsid w:val="00FB59CE"/>
    <w:rsid w:val="00FC03C8"/>
    <w:rsid w:val="00FC25E4"/>
    <w:rsid w:val="00FC260C"/>
    <w:rsid w:val="00FC4EF7"/>
    <w:rsid w:val="00FD04C6"/>
    <w:rsid w:val="00FD1B8B"/>
    <w:rsid w:val="00FE1941"/>
    <w:rsid w:val="00FE1DEE"/>
    <w:rsid w:val="00FF2126"/>
    <w:rsid w:val="00FF69BE"/>
    <w:rsid w:val="00FF7B50"/>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9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text" w:uiPriority="0"/>
    <w:lsdException w:name="List Bullet" w:semiHidden="0" w:uiPriority="1" w:unhideWhenUsed="0" w:qFormat="1"/>
    <w:lsdException w:name="List Bullet 2" w:semiHidden="0" w:uiPriority="1" w:unhideWhenUsed="0" w:qFormat="1"/>
    <w:lsdException w:name="List Bullet 3" w:uiPriority="1"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Body Text 2" w:uiPriority="0"/>
    <w:lsdException w:name="Followed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10462"/>
    <w:pPr>
      <w:spacing w:before="120" w:after="180" w:line="276" w:lineRule="auto"/>
    </w:pPr>
    <w:rPr>
      <w:sz w:val="22"/>
      <w:lang w:eastAsia="en-US"/>
    </w:rPr>
  </w:style>
  <w:style w:type="paragraph" w:styleId="Heading1">
    <w:name w:val="heading 1"/>
    <w:basedOn w:val="Heading4"/>
    <w:next w:val="Normal"/>
    <w:link w:val="Heading1Char"/>
    <w:rsid w:val="00CB515F"/>
    <w:pPr>
      <w:outlineLvl w:val="0"/>
    </w:pPr>
  </w:style>
  <w:style w:type="paragraph" w:styleId="Heading2">
    <w:name w:val="heading 2"/>
    <w:basedOn w:val="Heading5"/>
    <w:next w:val="Normal"/>
    <w:link w:val="Heading2Char"/>
    <w:qFormat/>
    <w:rsid w:val="00CB515F"/>
    <w:pPr>
      <w:outlineLvl w:val="1"/>
    </w:pPr>
  </w:style>
  <w:style w:type="paragraph" w:styleId="Heading3">
    <w:name w:val="heading 3"/>
    <w:basedOn w:val="Normal"/>
    <w:next w:val="Normal"/>
    <w:link w:val="Heading3Char"/>
    <w:qFormat/>
    <w:rsid w:val="00EE1482"/>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EE1482"/>
    <w:pPr>
      <w:keepNext/>
      <w:keepLines/>
      <w:spacing w:before="360" w:after="120"/>
      <w:outlineLvl w:val="3"/>
    </w:pPr>
    <w:rPr>
      <w:rFonts w:ascii="Arial" w:hAnsi="Arial"/>
      <w:b/>
      <w:bCs/>
      <w:sz w:val="26"/>
      <w:szCs w:val="26"/>
    </w:rPr>
  </w:style>
  <w:style w:type="paragraph" w:styleId="Heading5">
    <w:name w:val="heading 5"/>
    <w:basedOn w:val="ListParagraph"/>
    <w:next w:val="Normal"/>
    <w:link w:val="Heading5Char"/>
    <w:uiPriority w:val="9"/>
    <w:rsid w:val="00210462"/>
    <w:pPr>
      <w:keepNext/>
      <w:numPr>
        <w:numId w:val="42"/>
      </w:numPr>
      <w:spacing w:before="240" w:after="120"/>
      <w:ind w:left="357" w:hanging="357"/>
      <w:outlineLvl w:val="4"/>
    </w:pPr>
    <w:rPr>
      <w:rFonts w:asciiTheme="majorHAnsi" w:eastAsia="Calibri" w:hAnsiTheme="majorHAnsi" w:cstheme="majorHAnsi"/>
      <w:b/>
      <w:sz w:val="24"/>
      <w:szCs w:val="24"/>
    </w:rPr>
  </w:style>
  <w:style w:type="paragraph" w:styleId="Heading6">
    <w:name w:val="heading 6"/>
    <w:basedOn w:val="Normal"/>
    <w:next w:val="Normal"/>
    <w:link w:val="Heading6Char"/>
    <w:uiPriority w:val="9"/>
    <w:rsid w:val="00EE1482"/>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EE1482"/>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515F"/>
    <w:rPr>
      <w:rFonts w:ascii="Arial" w:hAnsi="Arial"/>
      <w:b/>
      <w:bCs/>
      <w:sz w:val="26"/>
      <w:szCs w:val="26"/>
      <w:lang w:eastAsia="en-US"/>
    </w:rPr>
  </w:style>
  <w:style w:type="character" w:customStyle="1" w:styleId="Heading2Char">
    <w:name w:val="Heading 2 Char"/>
    <w:basedOn w:val="DefaultParagraphFont"/>
    <w:link w:val="Heading2"/>
    <w:rsid w:val="00CB515F"/>
    <w:rPr>
      <w:rFonts w:asciiTheme="majorHAnsi" w:eastAsia="Calibri" w:hAnsiTheme="majorHAnsi" w:cstheme="majorHAnsi"/>
      <w:b/>
      <w:sz w:val="24"/>
      <w:szCs w:val="24"/>
      <w:lang w:eastAsia="en-US"/>
    </w:rPr>
  </w:style>
  <w:style w:type="character" w:customStyle="1" w:styleId="Heading3Char">
    <w:name w:val="Heading 3 Char"/>
    <w:basedOn w:val="DefaultParagraphFont"/>
    <w:link w:val="Heading3"/>
    <w:rsid w:val="002B0C2E"/>
    <w:rPr>
      <w:rFonts w:ascii="Arial" w:eastAsia="Times New Roman" w:hAnsi="Arial"/>
      <w:b/>
      <w:bCs/>
      <w:sz w:val="32"/>
      <w:szCs w:val="32"/>
      <w:lang w:eastAsia="en-US"/>
    </w:rPr>
  </w:style>
  <w:style w:type="paragraph" w:customStyle="1" w:styleId="Address">
    <w:name w:val="Address"/>
    <w:basedOn w:val="Normal"/>
    <w:rsid w:val="00140FE3"/>
    <w:pPr>
      <w:spacing w:before="0" w:after="0" w:line="240" w:lineRule="auto"/>
    </w:pPr>
    <w:rPr>
      <w:sz w:val="21"/>
    </w:rPr>
  </w:style>
  <w:style w:type="paragraph" w:styleId="DocumentMap">
    <w:name w:val="Document Map"/>
    <w:basedOn w:val="Normal"/>
    <w:link w:val="DocumentMapChar"/>
    <w:uiPriority w:val="99"/>
    <w:semiHidden/>
    <w:unhideWhenUsed/>
    <w:rsid w:val="00FB59C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59CE"/>
    <w:rPr>
      <w:rFonts w:ascii="Tahoma" w:hAnsi="Tahoma" w:cs="Tahoma"/>
      <w:sz w:val="16"/>
      <w:szCs w:val="16"/>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TOC4">
    <w:name w:val="toc 4"/>
    <w:basedOn w:val="Normal"/>
    <w:next w:val="Normal"/>
    <w:autoRedefine/>
    <w:uiPriority w:val="39"/>
    <w:semiHidden/>
    <w:unhideWhenUsed/>
    <w:rsid w:val="008A07FF"/>
    <w:pPr>
      <w:tabs>
        <w:tab w:val="right" w:leader="hyphen" w:pos="8505"/>
      </w:tabs>
      <w:spacing w:after="100"/>
      <w:ind w:left="1276"/>
    </w:pPr>
  </w:style>
  <w:style w:type="paragraph" w:styleId="TOC5">
    <w:name w:val="toc 5"/>
    <w:basedOn w:val="Normal"/>
    <w:next w:val="Normal"/>
    <w:autoRedefine/>
    <w:uiPriority w:val="39"/>
    <w:semiHidden/>
    <w:unhideWhenUsed/>
    <w:rsid w:val="008A07FF"/>
    <w:pPr>
      <w:tabs>
        <w:tab w:val="right" w:leader="dot" w:pos="8505"/>
      </w:tabs>
      <w:spacing w:after="100"/>
      <w:ind w:left="1701"/>
    </w:pPr>
    <w:rPr>
      <w:noProof/>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styleId="TOC6">
    <w:name w:val="toc 6"/>
    <w:basedOn w:val="Normal"/>
    <w:next w:val="Normal"/>
    <w:autoRedefine/>
    <w:uiPriority w:val="39"/>
    <w:semiHidden/>
    <w:unhideWhenUsed/>
    <w:rsid w:val="008A07FF"/>
    <w:pPr>
      <w:tabs>
        <w:tab w:val="right" w:pos="8505"/>
      </w:tabs>
      <w:spacing w:after="100"/>
      <w:ind w:left="2126"/>
    </w:pPr>
  </w:style>
  <w:style w:type="paragraph" w:styleId="TOC7">
    <w:name w:val="toc 7"/>
    <w:basedOn w:val="Normal"/>
    <w:next w:val="Normal"/>
    <w:autoRedefine/>
    <w:uiPriority w:val="39"/>
    <w:semiHidden/>
    <w:unhideWhenUsed/>
    <w:rsid w:val="008A07FF"/>
    <w:pPr>
      <w:spacing w:after="100"/>
      <w:ind w:left="2211"/>
    </w:pPr>
  </w:style>
  <w:style w:type="character" w:customStyle="1" w:styleId="Heading4Char">
    <w:name w:val="Heading 4 Char"/>
    <w:basedOn w:val="DefaultParagraphFont"/>
    <w:link w:val="Heading4"/>
    <w:rsid w:val="00C339C6"/>
    <w:rPr>
      <w:rFonts w:ascii="Arial" w:hAnsi="Arial"/>
      <w:b/>
      <w:bCs/>
      <w:sz w:val="26"/>
      <w:szCs w:val="26"/>
      <w:lang w:eastAsia="en-US"/>
    </w:rPr>
  </w:style>
  <w:style w:type="character" w:styleId="FollowedHyperlink">
    <w:name w:val="FollowedHyperlink"/>
    <w:basedOn w:val="DefaultParagraphFont"/>
    <w:semiHidden/>
    <w:unhideWhenUsed/>
    <w:rsid w:val="00EE1482"/>
    <w:rPr>
      <w:color w:val="800080"/>
      <w:u w:val="single"/>
    </w:rPr>
  </w:style>
  <w:style w:type="paragraph" w:styleId="Footer">
    <w:name w:val="footer"/>
    <w:basedOn w:val="Normal"/>
    <w:link w:val="FooterChar"/>
    <w:uiPriority w:val="99"/>
    <w:rsid w:val="00EE1482"/>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EE1482"/>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210462"/>
    <w:rPr>
      <w:rFonts w:asciiTheme="majorHAnsi" w:eastAsia="Calibri" w:hAnsiTheme="majorHAnsi" w:cstheme="majorHAnsi"/>
      <w:b/>
      <w:sz w:val="24"/>
      <w:szCs w:val="24"/>
      <w:lang w:eastAsia="en-US"/>
    </w:rPr>
  </w:style>
  <w:style w:type="character" w:customStyle="1" w:styleId="Heading6Char">
    <w:name w:val="Heading 6 Char"/>
    <w:basedOn w:val="DefaultParagraphFont"/>
    <w:link w:val="Heading6"/>
    <w:uiPriority w:val="9"/>
    <w:rsid w:val="00C339C6"/>
    <w:rPr>
      <w:rFonts w:eastAsia="Times New Roman"/>
      <w:b/>
      <w:bCs/>
      <w:i/>
      <w:sz w:val="22"/>
      <w:szCs w:val="21"/>
      <w:lang w:eastAsia="en-US"/>
    </w:rPr>
  </w:style>
  <w:style w:type="character" w:customStyle="1" w:styleId="Heading7Char">
    <w:name w:val="Heading 7 Char"/>
    <w:basedOn w:val="DefaultParagraphFont"/>
    <w:link w:val="Heading7"/>
    <w:uiPriority w:val="9"/>
    <w:rsid w:val="00C339C6"/>
    <w:rPr>
      <w:rFonts w:eastAsia="Times New Roman"/>
      <w:bCs/>
      <w:i/>
      <w:sz w:val="22"/>
      <w:szCs w:val="22"/>
      <w:lang w:eastAsia="en-US"/>
    </w:rPr>
  </w:style>
  <w:style w:type="character" w:styleId="Hyperlink">
    <w:name w:val="Hyperlink"/>
    <w:basedOn w:val="DefaultParagraphFont"/>
    <w:uiPriority w:val="99"/>
    <w:unhideWhenUsed/>
    <w:rsid w:val="006A1D12"/>
    <w:rPr>
      <w:rFonts w:asciiTheme="minorHAnsi" w:hAnsiTheme="minorHAnsi"/>
      <w:color w:val="0000FF"/>
      <w:sz w:val="22"/>
      <w:u w:val="single"/>
    </w:rPr>
  </w:style>
  <w:style w:type="paragraph" w:customStyle="1" w:styleId="LegalCopy">
    <w:name w:val="Legal Copy"/>
    <w:basedOn w:val="Footer"/>
    <w:rsid w:val="008855B8"/>
    <w:pPr>
      <w:spacing w:after="180"/>
    </w:pPr>
  </w:style>
  <w:style w:type="paragraph" w:customStyle="1" w:styleId="LegalSubheading">
    <w:name w:val="Legal Subheading"/>
    <w:basedOn w:val="Footer"/>
    <w:rsid w:val="004634F1"/>
    <w:pPr>
      <w:spacing w:before="120"/>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1"/>
    <w:qFormat/>
    <w:rsid w:val="004B5A6B"/>
    <w:pPr>
      <w:numPr>
        <w:numId w:val="27"/>
      </w:numPr>
      <w:ind w:left="425" w:hanging="425"/>
    </w:pPr>
  </w:style>
  <w:style w:type="paragraph" w:styleId="ListBullet2">
    <w:name w:val="List Bullet 2"/>
    <w:basedOn w:val="Normal"/>
    <w:uiPriority w:val="1"/>
    <w:qFormat/>
    <w:rsid w:val="004B5A6B"/>
    <w:pPr>
      <w:numPr>
        <w:ilvl w:val="1"/>
        <w:numId w:val="27"/>
      </w:numPr>
      <w:ind w:left="850" w:hanging="425"/>
    </w:pPr>
  </w:style>
  <w:style w:type="paragraph" w:styleId="ListBullet3">
    <w:name w:val="List Bullet 3"/>
    <w:basedOn w:val="Normal"/>
    <w:uiPriority w:val="1"/>
    <w:qFormat/>
    <w:rsid w:val="004B5A6B"/>
    <w:pPr>
      <w:numPr>
        <w:ilvl w:val="2"/>
        <w:numId w:val="27"/>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2"/>
    <w:qFormat/>
    <w:rsid w:val="00EE1482"/>
    <w:pPr>
      <w:numPr>
        <w:numId w:val="30"/>
      </w:numPr>
    </w:pPr>
  </w:style>
  <w:style w:type="paragraph" w:customStyle="1" w:styleId="Numberbullet2">
    <w:name w:val="Number bullet 2"/>
    <w:basedOn w:val="ListBullet2"/>
    <w:uiPriority w:val="2"/>
    <w:qFormat/>
    <w:rsid w:val="00EE1482"/>
    <w:pPr>
      <w:numPr>
        <w:numId w:val="30"/>
      </w:numPr>
    </w:pPr>
  </w:style>
  <w:style w:type="paragraph" w:customStyle="1" w:styleId="Numberbullet3">
    <w:name w:val="Number bullet 3"/>
    <w:basedOn w:val="ListBullet3"/>
    <w:uiPriority w:val="2"/>
    <w:qFormat/>
    <w:rsid w:val="00EE1482"/>
    <w:pPr>
      <w:numPr>
        <w:numId w:val="30"/>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EE1482"/>
    <w:pPr>
      <w:spacing w:before="40" w:after="0"/>
      <w:ind w:left="170" w:hanging="170"/>
    </w:pPr>
    <w:rPr>
      <w:sz w:val="19"/>
    </w:rPr>
  </w:style>
  <w:style w:type="paragraph" w:styleId="Subtitle">
    <w:name w:val="Subtitle"/>
    <w:basedOn w:val="Normal"/>
    <w:link w:val="SubtitleChar"/>
    <w:uiPriority w:val="11"/>
    <w:rsid w:val="0054583D"/>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54583D"/>
    <w:rPr>
      <w:rFonts w:ascii="Arial" w:eastAsia="Times New Roman" w:hAnsi="Arial"/>
      <w:bCs/>
      <w:iCs/>
      <w:color w:val="006DA7"/>
      <w:sz w:val="40"/>
      <w:szCs w:val="24"/>
      <w:lang w:eastAsia="en-US"/>
    </w:rPr>
  </w:style>
  <w:style w:type="paragraph" w:styleId="EndnoteText">
    <w:name w:val="endnote text"/>
    <w:basedOn w:val="FootnoteText"/>
    <w:link w:val="EndnoteTextChar"/>
    <w:semiHidden/>
    <w:unhideWhenUsed/>
    <w:rsid w:val="00594D03"/>
    <w:rPr>
      <w:rFonts w:asciiTheme="minorHAnsi" w:hAnsiTheme="minorHAnsi" w:cstheme="minorBidi"/>
      <w:szCs w:val="22"/>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2303B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2303B0"/>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F3148D"/>
    <w:pPr>
      <w:jc w:val="center"/>
    </w:pPr>
    <w:rPr>
      <w:rFonts w:ascii="Arial" w:hAnsi="Arial"/>
      <w:b/>
      <w:sz w:val="28"/>
    </w:rPr>
  </w:style>
  <w:style w:type="paragraph" w:styleId="Title">
    <w:name w:val="Title"/>
    <w:link w:val="TitleChar"/>
    <w:uiPriority w:val="10"/>
    <w:rsid w:val="00186B97"/>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186B97"/>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8A07F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8A07F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8A07F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spacing w:before="480" w:after="0"/>
      <w:outlineLvl w:val="9"/>
    </w:pPr>
    <w:rPr>
      <w:color w:val="002035"/>
      <w:sz w:val="28"/>
      <w:lang w:val="en-US"/>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aliases w:val="(NECG) Footnote Text"/>
    <w:basedOn w:val="Normal"/>
    <w:link w:val="FootnoteTextChar"/>
    <w:uiPriority w:val="99"/>
    <w:rsid w:val="00EE1482"/>
    <w:pPr>
      <w:keepLines/>
      <w:spacing w:before="0" w:after="0"/>
    </w:pPr>
    <w:rPr>
      <w:sz w:val="20"/>
    </w:rPr>
  </w:style>
  <w:style w:type="character" w:customStyle="1" w:styleId="FootnoteTextChar">
    <w:name w:val="Footnote Text Char"/>
    <w:aliases w:val="(NECG) Footnote Text Char"/>
    <w:basedOn w:val="DefaultParagraphFont"/>
    <w:link w:val="FootnoteText"/>
    <w:uiPriority w:val="99"/>
    <w:rsid w:val="001525B4"/>
    <w:rPr>
      <w:lang w:eastAsia="en-US"/>
    </w:rPr>
  </w:style>
  <w:style w:type="character" w:styleId="FootnoteReference">
    <w:name w:val="footnote reference"/>
    <w:aliases w:val="(NECG) Footnote Reference"/>
    <w:basedOn w:val="DefaultParagraphFont"/>
    <w:uiPriority w:val="99"/>
    <w:unhideWhenUsed/>
    <w:rsid w:val="001525B4"/>
    <w:rPr>
      <w:vertAlign w:val="superscript"/>
    </w:rPr>
  </w:style>
  <w:style w:type="character" w:customStyle="1" w:styleId="EndnoteTextChar">
    <w:name w:val="Endnote Text Char"/>
    <w:basedOn w:val="DefaultParagraphFont"/>
    <w:link w:val="EndnoteText"/>
    <w:semiHidden/>
    <w:rsid w:val="0084580B"/>
    <w:rPr>
      <w:rFonts w:asciiTheme="minorHAnsi" w:hAnsiTheme="minorHAnsi" w:cstheme="minorBidi"/>
      <w:szCs w:val="22"/>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customStyle="1" w:styleId="NonTOCheading2">
    <w:name w:val="Non TOC heading 2"/>
    <w:basedOn w:val="Normal"/>
    <w:next w:val="Normal"/>
    <w:rsid w:val="00EE1482"/>
    <w:pPr>
      <w:keepNext/>
      <w:keepLines/>
      <w:spacing w:before="360"/>
    </w:pPr>
    <w:rPr>
      <w:rFonts w:ascii="Arial" w:hAnsi="Arial"/>
      <w:b/>
      <w:sz w:val="38"/>
    </w:rPr>
  </w:style>
  <w:style w:type="paragraph" w:customStyle="1" w:styleId="Figuredescription">
    <w:name w:val="Figure description"/>
    <w:basedOn w:val="Normal"/>
    <w:next w:val="Normal"/>
    <w:rsid w:val="00EE1482"/>
    <w:pPr>
      <w:spacing w:after="240" w:line="180" w:lineRule="atLeast"/>
    </w:pPr>
    <w:rPr>
      <w:sz w:val="18"/>
    </w:rPr>
  </w:style>
  <w:style w:type="paragraph" w:customStyle="1" w:styleId="Figuretitle">
    <w:name w:val="Figure title"/>
    <w:basedOn w:val="Normal"/>
    <w:next w:val="Normal"/>
    <w:rsid w:val="00FE1941"/>
    <w:pPr>
      <w:keepNext/>
      <w:keepLines/>
      <w:outlineLvl w:val="4"/>
    </w:pPr>
    <w:rPr>
      <w:b/>
    </w:rPr>
  </w:style>
  <w:style w:type="paragraph" w:customStyle="1" w:styleId="Headernoline0">
    <w:name w:val="Header no line"/>
    <w:basedOn w:val="Header"/>
    <w:rsid w:val="00EE1482"/>
    <w:pPr>
      <w:pBdr>
        <w:bottom w:val="none" w:sz="0" w:space="0" w:color="auto"/>
      </w:pBdr>
      <w:spacing w:line="240" w:lineRule="atLeast"/>
    </w:pPr>
  </w:style>
  <w:style w:type="paragraph" w:customStyle="1" w:styleId="Quotation">
    <w:name w:val="Quotation"/>
    <w:basedOn w:val="Normal"/>
    <w:next w:val="Normal"/>
    <w:uiPriority w:val="3"/>
    <w:qFormat/>
    <w:rsid w:val="00EE1482"/>
    <w:pPr>
      <w:ind w:left="425"/>
    </w:pPr>
    <w:rPr>
      <w:sz w:val="20"/>
    </w:rPr>
  </w:style>
  <w:style w:type="paragraph" w:customStyle="1" w:styleId="Tabledescription">
    <w:name w:val="Table description"/>
    <w:basedOn w:val="Figuredescription"/>
    <w:next w:val="Normal"/>
    <w:rsid w:val="00EE1482"/>
  </w:style>
  <w:style w:type="paragraph" w:customStyle="1" w:styleId="Tabletitle">
    <w:name w:val="Table title"/>
    <w:basedOn w:val="Normal"/>
    <w:next w:val="Normal"/>
    <w:rsid w:val="00EE1482"/>
    <w:pPr>
      <w:keepNext/>
      <w:outlineLvl w:val="4"/>
    </w:pPr>
    <w:rPr>
      <w:b/>
    </w:rPr>
  </w:style>
  <w:style w:type="character" w:styleId="CommentReference">
    <w:name w:val="annotation reference"/>
    <w:basedOn w:val="DefaultParagraphFont"/>
    <w:uiPriority w:val="99"/>
    <w:semiHidden/>
    <w:unhideWhenUsed/>
    <w:rsid w:val="000B0A5D"/>
    <w:rPr>
      <w:sz w:val="16"/>
      <w:szCs w:val="16"/>
    </w:rPr>
  </w:style>
  <w:style w:type="paragraph" w:styleId="CommentText">
    <w:name w:val="annotation text"/>
    <w:basedOn w:val="Normal"/>
    <w:link w:val="CommentTextChar"/>
    <w:uiPriority w:val="99"/>
    <w:semiHidden/>
    <w:unhideWhenUsed/>
    <w:rsid w:val="000B0A5D"/>
    <w:pPr>
      <w:spacing w:line="240" w:lineRule="auto"/>
    </w:pPr>
    <w:rPr>
      <w:sz w:val="20"/>
    </w:rPr>
  </w:style>
  <w:style w:type="character" w:customStyle="1" w:styleId="CommentTextChar">
    <w:name w:val="Comment Text Char"/>
    <w:basedOn w:val="DefaultParagraphFont"/>
    <w:link w:val="CommentText"/>
    <w:uiPriority w:val="99"/>
    <w:semiHidden/>
    <w:rsid w:val="000B0A5D"/>
    <w:rPr>
      <w:lang w:eastAsia="en-US"/>
    </w:rPr>
  </w:style>
  <w:style w:type="paragraph" w:styleId="CommentSubject">
    <w:name w:val="annotation subject"/>
    <w:basedOn w:val="CommentText"/>
    <w:next w:val="CommentText"/>
    <w:link w:val="CommentSubjectChar"/>
    <w:uiPriority w:val="99"/>
    <w:semiHidden/>
    <w:unhideWhenUsed/>
    <w:rsid w:val="000B0A5D"/>
    <w:rPr>
      <w:b/>
      <w:bCs/>
    </w:rPr>
  </w:style>
  <w:style w:type="character" w:customStyle="1" w:styleId="CommentSubjectChar">
    <w:name w:val="Comment Subject Char"/>
    <w:basedOn w:val="CommentTextChar"/>
    <w:link w:val="CommentSubject"/>
    <w:uiPriority w:val="99"/>
    <w:semiHidden/>
    <w:rsid w:val="000B0A5D"/>
    <w:rPr>
      <w:b/>
      <w:bCs/>
      <w:lang w:eastAsia="en-US"/>
    </w:rPr>
  </w:style>
  <w:style w:type="table" w:customStyle="1" w:styleId="TableTGAblack1">
    <w:name w:val="Table TGA black1"/>
    <w:basedOn w:val="TableNormal"/>
    <w:uiPriority w:val="99"/>
    <w:rsid w:val="00EB4135"/>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styleId="ListParagraph">
    <w:name w:val="List Paragraph"/>
    <w:basedOn w:val="Normal"/>
    <w:uiPriority w:val="34"/>
    <w:rsid w:val="00C408F5"/>
    <w:pPr>
      <w:ind w:left="720"/>
      <w:contextualSpacing/>
    </w:pPr>
  </w:style>
  <w:style w:type="paragraph" w:styleId="Revision">
    <w:name w:val="Revision"/>
    <w:hidden/>
    <w:uiPriority w:val="99"/>
    <w:semiHidden/>
    <w:rsid w:val="008318D0"/>
    <w:rPr>
      <w:sz w:val="22"/>
      <w:lang w:eastAsia="en-US"/>
    </w:rPr>
  </w:style>
  <w:style w:type="paragraph" w:styleId="BodyText">
    <w:name w:val="Body Text"/>
    <w:basedOn w:val="Normal"/>
    <w:link w:val="BodyTextChar"/>
    <w:semiHidden/>
    <w:rsid w:val="004203EA"/>
    <w:pPr>
      <w:spacing w:before="0" w:after="0" w:line="240" w:lineRule="auto"/>
      <w:jc w:val="both"/>
    </w:pPr>
    <w:rPr>
      <w:rFonts w:ascii="Times New Roman" w:eastAsia="Times New Roman" w:hAnsi="Times New Roman"/>
      <w:sz w:val="28"/>
      <w:lang w:eastAsia="en-AU"/>
    </w:rPr>
  </w:style>
  <w:style w:type="character" w:customStyle="1" w:styleId="BodyTextChar">
    <w:name w:val="Body Text Char"/>
    <w:basedOn w:val="DefaultParagraphFont"/>
    <w:link w:val="BodyText"/>
    <w:semiHidden/>
    <w:rsid w:val="004203EA"/>
    <w:rPr>
      <w:rFonts w:ascii="Times New Roman" w:eastAsia="Times New Roman" w:hAnsi="Times New Roman"/>
      <w:sz w:val="28"/>
    </w:rPr>
  </w:style>
  <w:style w:type="paragraph" w:customStyle="1" w:styleId="DepartmentalHeading2">
    <w:name w:val="Departmental Heading 2"/>
    <w:basedOn w:val="Heading2"/>
    <w:rsid w:val="004203EA"/>
    <w:pPr>
      <w:spacing w:after="60" w:line="240" w:lineRule="auto"/>
    </w:pPr>
    <w:rPr>
      <w:bCs/>
      <w:szCs w:val="20"/>
      <w:lang w:eastAsia="en-AU"/>
    </w:rPr>
  </w:style>
  <w:style w:type="paragraph" w:customStyle="1" w:styleId="DepartmentalNormal">
    <w:name w:val="Departmental Normal"/>
    <w:basedOn w:val="Normal"/>
    <w:rsid w:val="004203EA"/>
    <w:pPr>
      <w:spacing w:before="0" w:after="0" w:line="240" w:lineRule="auto"/>
    </w:pPr>
    <w:rPr>
      <w:rFonts w:ascii="Times New Roman" w:eastAsia="Times New Roman" w:hAnsi="Times New Roman"/>
      <w:sz w:val="24"/>
      <w:lang w:eastAsia="en-AU"/>
    </w:rPr>
  </w:style>
  <w:style w:type="paragraph" w:styleId="BodyText2">
    <w:name w:val="Body Text 2"/>
    <w:basedOn w:val="Normal"/>
    <w:link w:val="BodyText2Char"/>
    <w:semiHidden/>
    <w:rsid w:val="004203EA"/>
    <w:pPr>
      <w:spacing w:before="0" w:after="120" w:line="240" w:lineRule="auto"/>
      <w:jc w:val="both"/>
    </w:pPr>
    <w:rPr>
      <w:rFonts w:ascii="Times New Roman" w:eastAsia="Times New Roman" w:hAnsi="Times New Roman"/>
      <w:sz w:val="24"/>
      <w:lang w:eastAsia="en-AU"/>
    </w:rPr>
  </w:style>
  <w:style w:type="character" w:customStyle="1" w:styleId="BodyText2Char">
    <w:name w:val="Body Text 2 Char"/>
    <w:basedOn w:val="DefaultParagraphFont"/>
    <w:link w:val="BodyText2"/>
    <w:semiHidden/>
    <w:rsid w:val="004203EA"/>
    <w:rPr>
      <w:rFonts w:ascii="Times New Roman" w:eastAsia="Times New Roman" w:hAnsi="Times New Roman"/>
      <w:sz w:val="24"/>
    </w:rPr>
  </w:style>
  <w:style w:type="paragraph" w:customStyle="1" w:styleId="Pre-bulletparagraph">
    <w:name w:val="Pre-bullet paragraph"/>
    <w:basedOn w:val="Normal"/>
    <w:link w:val="Pre-bulletparagraphChar"/>
    <w:qFormat/>
    <w:rsid w:val="00A824E9"/>
    <w:pPr>
      <w:keepNext/>
    </w:pPr>
  </w:style>
  <w:style w:type="character" w:customStyle="1" w:styleId="Pre-bulletparagraphChar">
    <w:name w:val="Pre-bullet paragraph Char"/>
    <w:basedOn w:val="DefaultParagraphFont"/>
    <w:link w:val="Pre-bulletparagraph"/>
    <w:rsid w:val="00A824E9"/>
    <w:rPr>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endnote text" w:uiPriority="0"/>
    <w:lsdException w:name="List Bullet" w:semiHidden="0" w:uiPriority="1" w:unhideWhenUsed="0" w:qFormat="1"/>
    <w:lsdException w:name="List Bullet 2" w:semiHidden="0" w:uiPriority="1" w:unhideWhenUsed="0" w:qFormat="1"/>
    <w:lsdException w:name="List Bullet 3" w:uiPriority="1"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Body Text 2" w:uiPriority="0"/>
    <w:lsdException w:name="Followed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10462"/>
    <w:pPr>
      <w:spacing w:before="120" w:after="180" w:line="276" w:lineRule="auto"/>
    </w:pPr>
    <w:rPr>
      <w:sz w:val="22"/>
      <w:lang w:eastAsia="en-US"/>
    </w:rPr>
  </w:style>
  <w:style w:type="paragraph" w:styleId="Heading1">
    <w:name w:val="heading 1"/>
    <w:basedOn w:val="Heading4"/>
    <w:next w:val="Normal"/>
    <w:link w:val="Heading1Char"/>
    <w:rsid w:val="00CB515F"/>
    <w:pPr>
      <w:outlineLvl w:val="0"/>
    </w:pPr>
  </w:style>
  <w:style w:type="paragraph" w:styleId="Heading2">
    <w:name w:val="heading 2"/>
    <w:basedOn w:val="Heading5"/>
    <w:next w:val="Normal"/>
    <w:link w:val="Heading2Char"/>
    <w:qFormat/>
    <w:rsid w:val="00CB515F"/>
    <w:pPr>
      <w:outlineLvl w:val="1"/>
    </w:pPr>
  </w:style>
  <w:style w:type="paragraph" w:styleId="Heading3">
    <w:name w:val="heading 3"/>
    <w:basedOn w:val="Normal"/>
    <w:next w:val="Normal"/>
    <w:link w:val="Heading3Char"/>
    <w:qFormat/>
    <w:rsid w:val="00EE1482"/>
    <w:pPr>
      <w:keepNext/>
      <w:keepLines/>
      <w:spacing w:before="480" w:after="120"/>
      <w:outlineLvl w:val="2"/>
    </w:pPr>
    <w:rPr>
      <w:rFonts w:ascii="Arial" w:eastAsia="Times New Roman" w:hAnsi="Arial"/>
      <w:b/>
      <w:bCs/>
      <w:sz w:val="32"/>
      <w:szCs w:val="32"/>
    </w:rPr>
  </w:style>
  <w:style w:type="paragraph" w:styleId="Heading4">
    <w:name w:val="heading 4"/>
    <w:basedOn w:val="Normal"/>
    <w:next w:val="Normal"/>
    <w:link w:val="Heading4Char"/>
    <w:qFormat/>
    <w:rsid w:val="00EE1482"/>
    <w:pPr>
      <w:keepNext/>
      <w:keepLines/>
      <w:spacing w:before="360" w:after="120"/>
      <w:outlineLvl w:val="3"/>
    </w:pPr>
    <w:rPr>
      <w:rFonts w:ascii="Arial" w:hAnsi="Arial"/>
      <w:b/>
      <w:bCs/>
      <w:sz w:val="26"/>
      <w:szCs w:val="26"/>
    </w:rPr>
  </w:style>
  <w:style w:type="paragraph" w:styleId="Heading5">
    <w:name w:val="heading 5"/>
    <w:basedOn w:val="ListParagraph"/>
    <w:next w:val="Normal"/>
    <w:link w:val="Heading5Char"/>
    <w:uiPriority w:val="9"/>
    <w:rsid w:val="00210462"/>
    <w:pPr>
      <w:keepNext/>
      <w:numPr>
        <w:numId w:val="42"/>
      </w:numPr>
      <w:spacing w:before="240" w:after="120"/>
      <w:ind w:left="357" w:hanging="357"/>
      <w:outlineLvl w:val="4"/>
    </w:pPr>
    <w:rPr>
      <w:rFonts w:asciiTheme="majorHAnsi" w:eastAsia="Calibri" w:hAnsiTheme="majorHAnsi" w:cstheme="majorHAnsi"/>
      <w:b/>
      <w:sz w:val="24"/>
      <w:szCs w:val="24"/>
    </w:rPr>
  </w:style>
  <w:style w:type="paragraph" w:styleId="Heading6">
    <w:name w:val="heading 6"/>
    <w:basedOn w:val="Normal"/>
    <w:next w:val="Normal"/>
    <w:link w:val="Heading6Char"/>
    <w:uiPriority w:val="9"/>
    <w:rsid w:val="00EE1482"/>
    <w:pPr>
      <w:keepNext/>
      <w:keepLines/>
      <w:spacing w:before="240" w:after="120"/>
      <w:outlineLvl w:val="5"/>
    </w:pPr>
    <w:rPr>
      <w:rFonts w:eastAsia="Times New Roman"/>
      <w:b/>
      <w:bCs/>
      <w:i/>
      <w:szCs w:val="21"/>
    </w:rPr>
  </w:style>
  <w:style w:type="paragraph" w:styleId="Heading7">
    <w:name w:val="heading 7"/>
    <w:basedOn w:val="Normal"/>
    <w:next w:val="Normal"/>
    <w:link w:val="Heading7Char"/>
    <w:uiPriority w:val="9"/>
    <w:rsid w:val="00EE1482"/>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515F"/>
    <w:rPr>
      <w:rFonts w:ascii="Arial" w:hAnsi="Arial"/>
      <w:b/>
      <w:bCs/>
      <w:sz w:val="26"/>
      <w:szCs w:val="26"/>
      <w:lang w:eastAsia="en-US"/>
    </w:rPr>
  </w:style>
  <w:style w:type="character" w:customStyle="1" w:styleId="Heading2Char">
    <w:name w:val="Heading 2 Char"/>
    <w:basedOn w:val="DefaultParagraphFont"/>
    <w:link w:val="Heading2"/>
    <w:rsid w:val="00CB515F"/>
    <w:rPr>
      <w:rFonts w:asciiTheme="majorHAnsi" w:eastAsia="Calibri" w:hAnsiTheme="majorHAnsi" w:cstheme="majorHAnsi"/>
      <w:b/>
      <w:sz w:val="24"/>
      <w:szCs w:val="24"/>
      <w:lang w:eastAsia="en-US"/>
    </w:rPr>
  </w:style>
  <w:style w:type="character" w:customStyle="1" w:styleId="Heading3Char">
    <w:name w:val="Heading 3 Char"/>
    <w:basedOn w:val="DefaultParagraphFont"/>
    <w:link w:val="Heading3"/>
    <w:rsid w:val="002B0C2E"/>
    <w:rPr>
      <w:rFonts w:ascii="Arial" w:eastAsia="Times New Roman" w:hAnsi="Arial"/>
      <w:b/>
      <w:bCs/>
      <w:sz w:val="32"/>
      <w:szCs w:val="32"/>
      <w:lang w:eastAsia="en-US"/>
    </w:rPr>
  </w:style>
  <w:style w:type="paragraph" w:customStyle="1" w:styleId="Address">
    <w:name w:val="Address"/>
    <w:basedOn w:val="Normal"/>
    <w:rsid w:val="00140FE3"/>
    <w:pPr>
      <w:spacing w:before="0" w:after="0" w:line="240" w:lineRule="auto"/>
    </w:pPr>
    <w:rPr>
      <w:sz w:val="21"/>
    </w:rPr>
  </w:style>
  <w:style w:type="paragraph" w:styleId="DocumentMap">
    <w:name w:val="Document Map"/>
    <w:basedOn w:val="Normal"/>
    <w:link w:val="DocumentMapChar"/>
    <w:uiPriority w:val="99"/>
    <w:semiHidden/>
    <w:unhideWhenUsed/>
    <w:rsid w:val="00FB59CE"/>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59CE"/>
    <w:rPr>
      <w:rFonts w:ascii="Tahoma" w:hAnsi="Tahoma" w:cs="Tahoma"/>
      <w:sz w:val="16"/>
      <w:szCs w:val="16"/>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TOC4">
    <w:name w:val="toc 4"/>
    <w:basedOn w:val="Normal"/>
    <w:next w:val="Normal"/>
    <w:autoRedefine/>
    <w:uiPriority w:val="39"/>
    <w:semiHidden/>
    <w:unhideWhenUsed/>
    <w:rsid w:val="008A07FF"/>
    <w:pPr>
      <w:tabs>
        <w:tab w:val="right" w:leader="hyphen" w:pos="8505"/>
      </w:tabs>
      <w:spacing w:after="100"/>
      <w:ind w:left="1276"/>
    </w:pPr>
  </w:style>
  <w:style w:type="paragraph" w:styleId="TOC5">
    <w:name w:val="toc 5"/>
    <w:basedOn w:val="Normal"/>
    <w:next w:val="Normal"/>
    <w:autoRedefine/>
    <w:uiPriority w:val="39"/>
    <w:semiHidden/>
    <w:unhideWhenUsed/>
    <w:rsid w:val="008A07FF"/>
    <w:pPr>
      <w:tabs>
        <w:tab w:val="right" w:leader="dot" w:pos="8505"/>
      </w:tabs>
      <w:spacing w:after="100"/>
      <w:ind w:left="1701"/>
    </w:pPr>
    <w:rPr>
      <w:noProof/>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styleId="TOC6">
    <w:name w:val="toc 6"/>
    <w:basedOn w:val="Normal"/>
    <w:next w:val="Normal"/>
    <w:autoRedefine/>
    <w:uiPriority w:val="39"/>
    <w:semiHidden/>
    <w:unhideWhenUsed/>
    <w:rsid w:val="008A07FF"/>
    <w:pPr>
      <w:tabs>
        <w:tab w:val="right" w:pos="8505"/>
      </w:tabs>
      <w:spacing w:after="100"/>
      <w:ind w:left="2126"/>
    </w:pPr>
  </w:style>
  <w:style w:type="paragraph" w:styleId="TOC7">
    <w:name w:val="toc 7"/>
    <w:basedOn w:val="Normal"/>
    <w:next w:val="Normal"/>
    <w:autoRedefine/>
    <w:uiPriority w:val="39"/>
    <w:semiHidden/>
    <w:unhideWhenUsed/>
    <w:rsid w:val="008A07FF"/>
    <w:pPr>
      <w:spacing w:after="100"/>
      <w:ind w:left="2211"/>
    </w:pPr>
  </w:style>
  <w:style w:type="character" w:customStyle="1" w:styleId="Heading4Char">
    <w:name w:val="Heading 4 Char"/>
    <w:basedOn w:val="DefaultParagraphFont"/>
    <w:link w:val="Heading4"/>
    <w:rsid w:val="00C339C6"/>
    <w:rPr>
      <w:rFonts w:ascii="Arial" w:hAnsi="Arial"/>
      <w:b/>
      <w:bCs/>
      <w:sz w:val="26"/>
      <w:szCs w:val="26"/>
      <w:lang w:eastAsia="en-US"/>
    </w:rPr>
  </w:style>
  <w:style w:type="character" w:styleId="FollowedHyperlink">
    <w:name w:val="FollowedHyperlink"/>
    <w:basedOn w:val="DefaultParagraphFont"/>
    <w:semiHidden/>
    <w:unhideWhenUsed/>
    <w:rsid w:val="00EE1482"/>
    <w:rPr>
      <w:color w:val="800080"/>
      <w:u w:val="single"/>
    </w:rPr>
  </w:style>
  <w:style w:type="paragraph" w:styleId="Footer">
    <w:name w:val="footer"/>
    <w:basedOn w:val="Normal"/>
    <w:link w:val="FooterChar"/>
    <w:uiPriority w:val="99"/>
    <w:rsid w:val="00EE1482"/>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uiPriority w:val="99"/>
    <w:rsid w:val="00EE1482"/>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210462"/>
    <w:rPr>
      <w:rFonts w:asciiTheme="majorHAnsi" w:eastAsia="Calibri" w:hAnsiTheme="majorHAnsi" w:cstheme="majorHAnsi"/>
      <w:b/>
      <w:sz w:val="24"/>
      <w:szCs w:val="24"/>
      <w:lang w:eastAsia="en-US"/>
    </w:rPr>
  </w:style>
  <w:style w:type="character" w:customStyle="1" w:styleId="Heading6Char">
    <w:name w:val="Heading 6 Char"/>
    <w:basedOn w:val="DefaultParagraphFont"/>
    <w:link w:val="Heading6"/>
    <w:uiPriority w:val="9"/>
    <w:rsid w:val="00C339C6"/>
    <w:rPr>
      <w:rFonts w:eastAsia="Times New Roman"/>
      <w:b/>
      <w:bCs/>
      <w:i/>
      <w:sz w:val="22"/>
      <w:szCs w:val="21"/>
      <w:lang w:eastAsia="en-US"/>
    </w:rPr>
  </w:style>
  <w:style w:type="character" w:customStyle="1" w:styleId="Heading7Char">
    <w:name w:val="Heading 7 Char"/>
    <w:basedOn w:val="DefaultParagraphFont"/>
    <w:link w:val="Heading7"/>
    <w:uiPriority w:val="9"/>
    <w:rsid w:val="00C339C6"/>
    <w:rPr>
      <w:rFonts w:eastAsia="Times New Roman"/>
      <w:bCs/>
      <w:i/>
      <w:sz w:val="22"/>
      <w:szCs w:val="22"/>
      <w:lang w:eastAsia="en-US"/>
    </w:rPr>
  </w:style>
  <w:style w:type="character" w:styleId="Hyperlink">
    <w:name w:val="Hyperlink"/>
    <w:basedOn w:val="DefaultParagraphFont"/>
    <w:uiPriority w:val="99"/>
    <w:unhideWhenUsed/>
    <w:rsid w:val="006A1D12"/>
    <w:rPr>
      <w:rFonts w:asciiTheme="minorHAnsi" w:hAnsiTheme="minorHAnsi"/>
      <w:color w:val="0000FF"/>
      <w:sz w:val="22"/>
      <w:u w:val="single"/>
    </w:rPr>
  </w:style>
  <w:style w:type="paragraph" w:customStyle="1" w:styleId="LegalCopy">
    <w:name w:val="Legal Copy"/>
    <w:basedOn w:val="Footer"/>
    <w:rsid w:val="008855B8"/>
    <w:pPr>
      <w:spacing w:after="180"/>
    </w:pPr>
  </w:style>
  <w:style w:type="paragraph" w:customStyle="1" w:styleId="LegalSubheading">
    <w:name w:val="Legal Subheading"/>
    <w:basedOn w:val="Footer"/>
    <w:rsid w:val="004634F1"/>
    <w:pPr>
      <w:spacing w:before="120"/>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1"/>
    <w:qFormat/>
    <w:rsid w:val="004B5A6B"/>
    <w:pPr>
      <w:numPr>
        <w:numId w:val="27"/>
      </w:numPr>
      <w:ind w:left="425" w:hanging="425"/>
    </w:pPr>
  </w:style>
  <w:style w:type="paragraph" w:styleId="ListBullet2">
    <w:name w:val="List Bullet 2"/>
    <w:basedOn w:val="Normal"/>
    <w:uiPriority w:val="1"/>
    <w:qFormat/>
    <w:rsid w:val="004B5A6B"/>
    <w:pPr>
      <w:numPr>
        <w:ilvl w:val="1"/>
        <w:numId w:val="27"/>
      </w:numPr>
      <w:ind w:left="850" w:hanging="425"/>
    </w:pPr>
  </w:style>
  <w:style w:type="paragraph" w:styleId="ListBullet3">
    <w:name w:val="List Bullet 3"/>
    <w:basedOn w:val="Normal"/>
    <w:uiPriority w:val="1"/>
    <w:qFormat/>
    <w:rsid w:val="004B5A6B"/>
    <w:pPr>
      <w:numPr>
        <w:ilvl w:val="2"/>
        <w:numId w:val="27"/>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2"/>
    <w:qFormat/>
    <w:rsid w:val="00EE1482"/>
    <w:pPr>
      <w:numPr>
        <w:numId w:val="30"/>
      </w:numPr>
    </w:pPr>
  </w:style>
  <w:style w:type="paragraph" w:customStyle="1" w:styleId="Numberbullet2">
    <w:name w:val="Number bullet 2"/>
    <w:basedOn w:val="ListBullet2"/>
    <w:uiPriority w:val="2"/>
    <w:qFormat/>
    <w:rsid w:val="00EE1482"/>
    <w:pPr>
      <w:numPr>
        <w:numId w:val="30"/>
      </w:numPr>
    </w:pPr>
  </w:style>
  <w:style w:type="paragraph" w:customStyle="1" w:styleId="Numberbullet3">
    <w:name w:val="Number bullet 3"/>
    <w:basedOn w:val="ListBullet3"/>
    <w:uiPriority w:val="2"/>
    <w:qFormat/>
    <w:rsid w:val="00EE1482"/>
    <w:pPr>
      <w:numPr>
        <w:numId w:val="30"/>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EE1482"/>
    <w:pPr>
      <w:spacing w:before="40" w:after="0"/>
      <w:ind w:left="170" w:hanging="170"/>
    </w:pPr>
    <w:rPr>
      <w:sz w:val="19"/>
    </w:rPr>
  </w:style>
  <w:style w:type="paragraph" w:styleId="Subtitle">
    <w:name w:val="Subtitle"/>
    <w:basedOn w:val="Normal"/>
    <w:link w:val="SubtitleChar"/>
    <w:uiPriority w:val="11"/>
    <w:rsid w:val="0054583D"/>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54583D"/>
    <w:rPr>
      <w:rFonts w:ascii="Arial" w:eastAsia="Times New Roman" w:hAnsi="Arial"/>
      <w:bCs/>
      <w:iCs/>
      <w:color w:val="006DA7"/>
      <w:sz w:val="40"/>
      <w:szCs w:val="24"/>
      <w:lang w:eastAsia="en-US"/>
    </w:rPr>
  </w:style>
  <w:style w:type="paragraph" w:styleId="EndnoteText">
    <w:name w:val="endnote text"/>
    <w:basedOn w:val="FootnoteText"/>
    <w:link w:val="EndnoteTextChar"/>
    <w:semiHidden/>
    <w:unhideWhenUsed/>
    <w:rsid w:val="00594D03"/>
    <w:rPr>
      <w:rFonts w:asciiTheme="minorHAnsi" w:hAnsiTheme="minorHAnsi" w:cstheme="minorBidi"/>
      <w:szCs w:val="22"/>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2303B0"/>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2303B0"/>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F3148D"/>
    <w:pPr>
      <w:jc w:val="center"/>
    </w:pPr>
    <w:rPr>
      <w:rFonts w:ascii="Arial" w:hAnsi="Arial"/>
      <w:b/>
      <w:sz w:val="28"/>
    </w:rPr>
  </w:style>
  <w:style w:type="paragraph" w:styleId="Title">
    <w:name w:val="Title"/>
    <w:link w:val="TitleChar"/>
    <w:uiPriority w:val="10"/>
    <w:rsid w:val="00186B97"/>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186B97"/>
    <w:rPr>
      <w:rFonts w:ascii="Arial" w:eastAsia="Times New Roman" w:hAnsi="Arial"/>
      <w:color w:val="002C47"/>
      <w:spacing w:val="5"/>
      <w:kern w:val="28"/>
      <w:sz w:val="52"/>
      <w:szCs w:val="52"/>
      <w:lang w:eastAsia="en-US"/>
    </w:rPr>
  </w:style>
  <w:style w:type="paragraph" w:styleId="TOC1">
    <w:name w:val="toc 1"/>
    <w:basedOn w:val="Normal"/>
    <w:next w:val="Normal"/>
    <w:uiPriority w:val="39"/>
    <w:unhideWhenUsed/>
    <w:rsid w:val="008A07FF"/>
    <w:pPr>
      <w:keepNext/>
      <w:keepLines/>
      <w:tabs>
        <w:tab w:val="right" w:leader="underscore" w:pos="8505"/>
      </w:tabs>
      <w:spacing w:after="200"/>
    </w:pPr>
    <w:rPr>
      <w:rFonts w:ascii="Arial" w:hAnsi="Arial"/>
      <w:b/>
      <w:sz w:val="32"/>
    </w:rPr>
  </w:style>
  <w:style w:type="paragraph" w:styleId="TOC2">
    <w:name w:val="toc 2"/>
    <w:basedOn w:val="Normal"/>
    <w:next w:val="Normal"/>
    <w:uiPriority w:val="39"/>
    <w:unhideWhenUsed/>
    <w:rsid w:val="008A07F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8A07F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spacing w:before="480" w:after="0"/>
      <w:outlineLvl w:val="9"/>
    </w:pPr>
    <w:rPr>
      <w:color w:val="002035"/>
      <w:sz w:val="28"/>
      <w:lang w:val="en-US"/>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aliases w:val="(NECG) Footnote Text"/>
    <w:basedOn w:val="Normal"/>
    <w:link w:val="FootnoteTextChar"/>
    <w:uiPriority w:val="99"/>
    <w:rsid w:val="00EE1482"/>
    <w:pPr>
      <w:keepLines/>
      <w:spacing w:before="0" w:after="0"/>
    </w:pPr>
    <w:rPr>
      <w:sz w:val="20"/>
    </w:rPr>
  </w:style>
  <w:style w:type="character" w:customStyle="1" w:styleId="FootnoteTextChar">
    <w:name w:val="Footnote Text Char"/>
    <w:aliases w:val="(NECG) Footnote Text Char"/>
    <w:basedOn w:val="DefaultParagraphFont"/>
    <w:link w:val="FootnoteText"/>
    <w:uiPriority w:val="99"/>
    <w:rsid w:val="001525B4"/>
    <w:rPr>
      <w:lang w:eastAsia="en-US"/>
    </w:rPr>
  </w:style>
  <w:style w:type="character" w:styleId="FootnoteReference">
    <w:name w:val="footnote reference"/>
    <w:aliases w:val="(NECG) Footnote Reference"/>
    <w:basedOn w:val="DefaultParagraphFont"/>
    <w:uiPriority w:val="99"/>
    <w:unhideWhenUsed/>
    <w:rsid w:val="001525B4"/>
    <w:rPr>
      <w:vertAlign w:val="superscript"/>
    </w:rPr>
  </w:style>
  <w:style w:type="character" w:customStyle="1" w:styleId="EndnoteTextChar">
    <w:name w:val="Endnote Text Char"/>
    <w:basedOn w:val="DefaultParagraphFont"/>
    <w:link w:val="EndnoteText"/>
    <w:semiHidden/>
    <w:rsid w:val="0084580B"/>
    <w:rPr>
      <w:rFonts w:asciiTheme="minorHAnsi" w:hAnsiTheme="minorHAnsi" w:cstheme="minorBidi"/>
      <w:szCs w:val="22"/>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customStyle="1" w:styleId="NonTOCheading2">
    <w:name w:val="Non TOC heading 2"/>
    <w:basedOn w:val="Normal"/>
    <w:next w:val="Normal"/>
    <w:rsid w:val="00EE1482"/>
    <w:pPr>
      <w:keepNext/>
      <w:keepLines/>
      <w:spacing w:before="360"/>
    </w:pPr>
    <w:rPr>
      <w:rFonts w:ascii="Arial" w:hAnsi="Arial"/>
      <w:b/>
      <w:sz w:val="38"/>
    </w:rPr>
  </w:style>
  <w:style w:type="paragraph" w:customStyle="1" w:styleId="Figuredescription">
    <w:name w:val="Figure description"/>
    <w:basedOn w:val="Normal"/>
    <w:next w:val="Normal"/>
    <w:rsid w:val="00EE1482"/>
    <w:pPr>
      <w:spacing w:after="240" w:line="180" w:lineRule="atLeast"/>
    </w:pPr>
    <w:rPr>
      <w:sz w:val="18"/>
    </w:rPr>
  </w:style>
  <w:style w:type="paragraph" w:customStyle="1" w:styleId="Figuretitle">
    <w:name w:val="Figure title"/>
    <w:basedOn w:val="Normal"/>
    <w:next w:val="Normal"/>
    <w:rsid w:val="00FE1941"/>
    <w:pPr>
      <w:keepNext/>
      <w:keepLines/>
      <w:outlineLvl w:val="4"/>
    </w:pPr>
    <w:rPr>
      <w:b/>
    </w:rPr>
  </w:style>
  <w:style w:type="paragraph" w:customStyle="1" w:styleId="Headernoline0">
    <w:name w:val="Header no line"/>
    <w:basedOn w:val="Header"/>
    <w:rsid w:val="00EE1482"/>
    <w:pPr>
      <w:pBdr>
        <w:bottom w:val="none" w:sz="0" w:space="0" w:color="auto"/>
      </w:pBdr>
      <w:spacing w:line="240" w:lineRule="atLeast"/>
    </w:pPr>
  </w:style>
  <w:style w:type="paragraph" w:customStyle="1" w:styleId="Quotation">
    <w:name w:val="Quotation"/>
    <w:basedOn w:val="Normal"/>
    <w:next w:val="Normal"/>
    <w:uiPriority w:val="3"/>
    <w:qFormat/>
    <w:rsid w:val="00EE1482"/>
    <w:pPr>
      <w:ind w:left="425"/>
    </w:pPr>
    <w:rPr>
      <w:sz w:val="20"/>
    </w:rPr>
  </w:style>
  <w:style w:type="paragraph" w:customStyle="1" w:styleId="Tabledescription">
    <w:name w:val="Table description"/>
    <w:basedOn w:val="Figuredescription"/>
    <w:next w:val="Normal"/>
    <w:rsid w:val="00EE1482"/>
  </w:style>
  <w:style w:type="paragraph" w:customStyle="1" w:styleId="Tabletitle">
    <w:name w:val="Table title"/>
    <w:basedOn w:val="Normal"/>
    <w:next w:val="Normal"/>
    <w:rsid w:val="00EE1482"/>
    <w:pPr>
      <w:keepNext/>
      <w:outlineLvl w:val="4"/>
    </w:pPr>
    <w:rPr>
      <w:b/>
    </w:rPr>
  </w:style>
  <w:style w:type="character" w:styleId="CommentReference">
    <w:name w:val="annotation reference"/>
    <w:basedOn w:val="DefaultParagraphFont"/>
    <w:uiPriority w:val="99"/>
    <w:semiHidden/>
    <w:unhideWhenUsed/>
    <w:rsid w:val="000B0A5D"/>
    <w:rPr>
      <w:sz w:val="16"/>
      <w:szCs w:val="16"/>
    </w:rPr>
  </w:style>
  <w:style w:type="paragraph" w:styleId="CommentText">
    <w:name w:val="annotation text"/>
    <w:basedOn w:val="Normal"/>
    <w:link w:val="CommentTextChar"/>
    <w:uiPriority w:val="99"/>
    <w:semiHidden/>
    <w:unhideWhenUsed/>
    <w:rsid w:val="000B0A5D"/>
    <w:pPr>
      <w:spacing w:line="240" w:lineRule="auto"/>
    </w:pPr>
    <w:rPr>
      <w:sz w:val="20"/>
    </w:rPr>
  </w:style>
  <w:style w:type="character" w:customStyle="1" w:styleId="CommentTextChar">
    <w:name w:val="Comment Text Char"/>
    <w:basedOn w:val="DefaultParagraphFont"/>
    <w:link w:val="CommentText"/>
    <w:uiPriority w:val="99"/>
    <w:semiHidden/>
    <w:rsid w:val="000B0A5D"/>
    <w:rPr>
      <w:lang w:eastAsia="en-US"/>
    </w:rPr>
  </w:style>
  <w:style w:type="paragraph" w:styleId="CommentSubject">
    <w:name w:val="annotation subject"/>
    <w:basedOn w:val="CommentText"/>
    <w:next w:val="CommentText"/>
    <w:link w:val="CommentSubjectChar"/>
    <w:uiPriority w:val="99"/>
    <w:semiHidden/>
    <w:unhideWhenUsed/>
    <w:rsid w:val="000B0A5D"/>
    <w:rPr>
      <w:b/>
      <w:bCs/>
    </w:rPr>
  </w:style>
  <w:style w:type="character" w:customStyle="1" w:styleId="CommentSubjectChar">
    <w:name w:val="Comment Subject Char"/>
    <w:basedOn w:val="CommentTextChar"/>
    <w:link w:val="CommentSubject"/>
    <w:uiPriority w:val="99"/>
    <w:semiHidden/>
    <w:rsid w:val="000B0A5D"/>
    <w:rPr>
      <w:b/>
      <w:bCs/>
      <w:lang w:eastAsia="en-US"/>
    </w:rPr>
  </w:style>
  <w:style w:type="table" w:customStyle="1" w:styleId="TableTGAblack1">
    <w:name w:val="Table TGA black1"/>
    <w:basedOn w:val="TableNormal"/>
    <w:uiPriority w:val="99"/>
    <w:rsid w:val="00EB4135"/>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styleId="ListParagraph">
    <w:name w:val="List Paragraph"/>
    <w:basedOn w:val="Normal"/>
    <w:uiPriority w:val="34"/>
    <w:rsid w:val="00C408F5"/>
    <w:pPr>
      <w:ind w:left="720"/>
      <w:contextualSpacing/>
    </w:pPr>
  </w:style>
  <w:style w:type="paragraph" w:styleId="Revision">
    <w:name w:val="Revision"/>
    <w:hidden/>
    <w:uiPriority w:val="99"/>
    <w:semiHidden/>
    <w:rsid w:val="008318D0"/>
    <w:rPr>
      <w:sz w:val="22"/>
      <w:lang w:eastAsia="en-US"/>
    </w:rPr>
  </w:style>
  <w:style w:type="paragraph" w:styleId="BodyText">
    <w:name w:val="Body Text"/>
    <w:basedOn w:val="Normal"/>
    <w:link w:val="BodyTextChar"/>
    <w:semiHidden/>
    <w:rsid w:val="004203EA"/>
    <w:pPr>
      <w:spacing w:before="0" w:after="0" w:line="240" w:lineRule="auto"/>
      <w:jc w:val="both"/>
    </w:pPr>
    <w:rPr>
      <w:rFonts w:ascii="Times New Roman" w:eastAsia="Times New Roman" w:hAnsi="Times New Roman"/>
      <w:sz w:val="28"/>
      <w:lang w:eastAsia="en-AU"/>
    </w:rPr>
  </w:style>
  <w:style w:type="character" w:customStyle="1" w:styleId="BodyTextChar">
    <w:name w:val="Body Text Char"/>
    <w:basedOn w:val="DefaultParagraphFont"/>
    <w:link w:val="BodyText"/>
    <w:semiHidden/>
    <w:rsid w:val="004203EA"/>
    <w:rPr>
      <w:rFonts w:ascii="Times New Roman" w:eastAsia="Times New Roman" w:hAnsi="Times New Roman"/>
      <w:sz w:val="28"/>
    </w:rPr>
  </w:style>
  <w:style w:type="paragraph" w:customStyle="1" w:styleId="DepartmentalHeading2">
    <w:name w:val="Departmental Heading 2"/>
    <w:basedOn w:val="Heading2"/>
    <w:rsid w:val="004203EA"/>
    <w:pPr>
      <w:spacing w:after="60" w:line="240" w:lineRule="auto"/>
    </w:pPr>
    <w:rPr>
      <w:bCs/>
      <w:szCs w:val="20"/>
      <w:lang w:eastAsia="en-AU"/>
    </w:rPr>
  </w:style>
  <w:style w:type="paragraph" w:customStyle="1" w:styleId="DepartmentalNormal">
    <w:name w:val="Departmental Normal"/>
    <w:basedOn w:val="Normal"/>
    <w:rsid w:val="004203EA"/>
    <w:pPr>
      <w:spacing w:before="0" w:after="0" w:line="240" w:lineRule="auto"/>
    </w:pPr>
    <w:rPr>
      <w:rFonts w:ascii="Times New Roman" w:eastAsia="Times New Roman" w:hAnsi="Times New Roman"/>
      <w:sz w:val="24"/>
      <w:lang w:eastAsia="en-AU"/>
    </w:rPr>
  </w:style>
  <w:style w:type="paragraph" w:styleId="BodyText2">
    <w:name w:val="Body Text 2"/>
    <w:basedOn w:val="Normal"/>
    <w:link w:val="BodyText2Char"/>
    <w:semiHidden/>
    <w:rsid w:val="004203EA"/>
    <w:pPr>
      <w:spacing w:before="0" w:after="120" w:line="240" w:lineRule="auto"/>
      <w:jc w:val="both"/>
    </w:pPr>
    <w:rPr>
      <w:rFonts w:ascii="Times New Roman" w:eastAsia="Times New Roman" w:hAnsi="Times New Roman"/>
      <w:sz w:val="24"/>
      <w:lang w:eastAsia="en-AU"/>
    </w:rPr>
  </w:style>
  <w:style w:type="character" w:customStyle="1" w:styleId="BodyText2Char">
    <w:name w:val="Body Text 2 Char"/>
    <w:basedOn w:val="DefaultParagraphFont"/>
    <w:link w:val="BodyText2"/>
    <w:semiHidden/>
    <w:rsid w:val="004203EA"/>
    <w:rPr>
      <w:rFonts w:ascii="Times New Roman" w:eastAsia="Times New Roman" w:hAnsi="Times New Roman"/>
      <w:sz w:val="24"/>
    </w:rPr>
  </w:style>
  <w:style w:type="paragraph" w:customStyle="1" w:styleId="Pre-bulletparagraph">
    <w:name w:val="Pre-bullet paragraph"/>
    <w:basedOn w:val="Normal"/>
    <w:link w:val="Pre-bulletparagraphChar"/>
    <w:qFormat/>
    <w:rsid w:val="00A824E9"/>
    <w:pPr>
      <w:keepNext/>
    </w:pPr>
  </w:style>
  <w:style w:type="character" w:customStyle="1" w:styleId="Pre-bulletparagraphChar">
    <w:name w:val="Pre-bullet paragraph Char"/>
    <w:basedOn w:val="DefaultParagraphFont"/>
    <w:link w:val="Pre-bulletparagraph"/>
    <w:rsid w:val="00A824E9"/>
    <w:rPr>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999103">
      <w:bodyDiv w:val="1"/>
      <w:marLeft w:val="0"/>
      <w:marRight w:val="0"/>
      <w:marTop w:val="0"/>
      <w:marBottom w:val="0"/>
      <w:divBdr>
        <w:top w:val="none" w:sz="0" w:space="0" w:color="auto"/>
        <w:left w:val="none" w:sz="0" w:space="0" w:color="auto"/>
        <w:bottom w:val="none" w:sz="0" w:space="0" w:color="auto"/>
        <w:right w:val="none" w:sz="0" w:space="0" w:color="auto"/>
      </w:divBdr>
      <w:divsChild>
        <w:div w:id="1471940713">
          <w:marLeft w:val="0"/>
          <w:marRight w:val="0"/>
          <w:marTop w:val="0"/>
          <w:marBottom w:val="0"/>
          <w:divBdr>
            <w:top w:val="none" w:sz="0" w:space="0" w:color="auto"/>
            <w:left w:val="none" w:sz="0" w:space="0" w:color="auto"/>
            <w:bottom w:val="none" w:sz="0" w:space="0" w:color="auto"/>
            <w:right w:val="none" w:sz="0" w:space="0" w:color="auto"/>
          </w:divBdr>
          <w:divsChild>
            <w:div w:id="1408072935">
              <w:marLeft w:val="0"/>
              <w:marRight w:val="0"/>
              <w:marTop w:val="0"/>
              <w:marBottom w:val="0"/>
              <w:divBdr>
                <w:top w:val="none" w:sz="0" w:space="0" w:color="auto"/>
                <w:left w:val="none" w:sz="0" w:space="0" w:color="auto"/>
                <w:bottom w:val="none" w:sz="0" w:space="0" w:color="auto"/>
                <w:right w:val="none" w:sz="0" w:space="0" w:color="auto"/>
              </w:divBdr>
              <w:divsChild>
                <w:div w:id="201285080">
                  <w:marLeft w:val="0"/>
                  <w:marRight w:val="0"/>
                  <w:marTop w:val="0"/>
                  <w:marBottom w:val="0"/>
                  <w:divBdr>
                    <w:top w:val="none" w:sz="0" w:space="0" w:color="auto"/>
                    <w:left w:val="none" w:sz="0" w:space="0" w:color="auto"/>
                    <w:bottom w:val="none" w:sz="0" w:space="0" w:color="auto"/>
                    <w:right w:val="none" w:sz="0" w:space="0" w:color="auto"/>
                  </w:divBdr>
                  <w:divsChild>
                    <w:div w:id="1216696286">
                      <w:marLeft w:val="0"/>
                      <w:marRight w:val="0"/>
                      <w:marTop w:val="0"/>
                      <w:marBottom w:val="0"/>
                      <w:divBdr>
                        <w:top w:val="none" w:sz="0" w:space="0" w:color="auto"/>
                        <w:left w:val="none" w:sz="0" w:space="0" w:color="auto"/>
                        <w:bottom w:val="none" w:sz="0" w:space="0" w:color="auto"/>
                        <w:right w:val="none" w:sz="0" w:space="0" w:color="auto"/>
                      </w:divBdr>
                      <w:divsChild>
                        <w:div w:id="1252542624">
                          <w:marLeft w:val="0"/>
                          <w:marRight w:val="0"/>
                          <w:marTop w:val="0"/>
                          <w:marBottom w:val="0"/>
                          <w:divBdr>
                            <w:top w:val="none" w:sz="0" w:space="0" w:color="auto"/>
                            <w:left w:val="none" w:sz="0" w:space="0" w:color="auto"/>
                            <w:bottom w:val="none" w:sz="0" w:space="0" w:color="auto"/>
                            <w:right w:val="none" w:sz="0" w:space="0" w:color="auto"/>
                          </w:divBdr>
                          <w:divsChild>
                            <w:div w:id="692920761">
                              <w:marLeft w:val="0"/>
                              <w:marRight w:val="0"/>
                              <w:marTop w:val="0"/>
                              <w:marBottom w:val="0"/>
                              <w:divBdr>
                                <w:top w:val="none" w:sz="0" w:space="0" w:color="auto"/>
                                <w:left w:val="none" w:sz="0" w:space="0" w:color="auto"/>
                                <w:bottom w:val="none" w:sz="0" w:space="0" w:color="auto"/>
                                <w:right w:val="none" w:sz="0" w:space="0" w:color="auto"/>
                              </w:divBdr>
                              <w:divsChild>
                                <w:div w:id="1166559198">
                                  <w:marLeft w:val="0"/>
                                  <w:marRight w:val="0"/>
                                  <w:marTop w:val="0"/>
                                  <w:marBottom w:val="0"/>
                                  <w:divBdr>
                                    <w:top w:val="none" w:sz="0" w:space="0" w:color="auto"/>
                                    <w:left w:val="none" w:sz="0" w:space="0" w:color="auto"/>
                                    <w:bottom w:val="none" w:sz="0" w:space="0" w:color="auto"/>
                                    <w:right w:val="none" w:sz="0" w:space="0" w:color="auto"/>
                                  </w:divBdr>
                                  <w:divsChild>
                                    <w:div w:id="222912627">
                                      <w:marLeft w:val="0"/>
                                      <w:marRight w:val="0"/>
                                      <w:marTop w:val="0"/>
                                      <w:marBottom w:val="0"/>
                                      <w:divBdr>
                                        <w:top w:val="none" w:sz="0" w:space="0" w:color="auto"/>
                                        <w:left w:val="none" w:sz="0" w:space="0" w:color="auto"/>
                                        <w:bottom w:val="none" w:sz="0" w:space="0" w:color="auto"/>
                                        <w:right w:val="none" w:sz="0" w:space="0" w:color="auto"/>
                                      </w:divBdr>
                                      <w:divsChild>
                                        <w:div w:id="61302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387424">
      <w:bodyDiv w:val="1"/>
      <w:marLeft w:val="0"/>
      <w:marRight w:val="0"/>
      <w:marTop w:val="0"/>
      <w:marBottom w:val="0"/>
      <w:divBdr>
        <w:top w:val="none" w:sz="0" w:space="0" w:color="auto"/>
        <w:left w:val="none" w:sz="0" w:space="0" w:color="auto"/>
        <w:bottom w:val="none" w:sz="0" w:space="0" w:color="auto"/>
        <w:right w:val="none" w:sz="0" w:space="0" w:color="auto"/>
      </w:divBdr>
    </w:div>
    <w:div w:id="1407730075">
      <w:bodyDiv w:val="1"/>
      <w:marLeft w:val="0"/>
      <w:marRight w:val="0"/>
      <w:marTop w:val="0"/>
      <w:marBottom w:val="0"/>
      <w:divBdr>
        <w:top w:val="none" w:sz="0" w:space="0" w:color="auto"/>
        <w:left w:val="none" w:sz="0" w:space="0" w:color="auto"/>
        <w:bottom w:val="none" w:sz="0" w:space="0" w:color="auto"/>
        <w:right w:val="none" w:sz="0" w:space="0" w:color="auto"/>
      </w:divBdr>
    </w:div>
    <w:div w:id="2111464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legislation.gov.au/Details/F2016L01287"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mailto:complementary.medicines@health.gov.au" TargetMode="Externa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tga.gov.au/therapeutic-goods-determinations" TargetMode="External"/><Relationship Id="rId20" Type="http://schemas.openxmlformats.org/officeDocument/2006/relationships/header" Target="header4.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tga.gov.au/publication/poisons-standard-susmp" TargetMode="External"/><Relationship Id="rId23" Type="http://schemas.openxmlformats.org/officeDocument/2006/relationships/header" Target="header6.xm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s://www.tga.gov.au/form/proposed-herbal-component-name-hcn-application-form"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www.tga.gov.au/approved-names-herbal-ingredients-medicines"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s>
</file>

<file path=word/_rels/footer6.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tga.copyright@tga.gov.au"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I:\Departmental%20Templates\TGA%20External\Consultation%20paper.dotx" TargetMode="External"/></Relationships>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B605C8-466E-4571-9F94-BD6988A48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paper.dotx</Template>
  <TotalTime>857</TotalTime>
  <Pages>12</Pages>
  <Words>4009</Words>
  <Characters>21528</Characters>
  <Application>Microsoft Office Word</Application>
  <DocSecurity>0</DocSecurity>
  <Lines>385</Lines>
  <Paragraphs>149</Paragraphs>
  <ScaleCrop>false</ScaleCrop>
  <HeadingPairs>
    <vt:vector size="2" baseType="variant">
      <vt:variant>
        <vt:lpstr>Title</vt:lpstr>
      </vt:variant>
      <vt:variant>
        <vt:i4>1</vt:i4>
      </vt:variant>
    </vt:vector>
  </HeadingPairs>
  <TitlesOfParts>
    <vt:vector size="1" baseType="lpstr">
      <vt:lpstr>Consultation: Discontinuing pre-market evaluation of Herbal Component Names (HCNs)</vt:lpstr>
    </vt:vector>
  </TitlesOfParts>
  <Company>Department of Health </Company>
  <LinksUpToDate>false</LinksUpToDate>
  <CharactersWithSpaces>25431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Discontinuing pre-market evaluation of Herbal Component Names (HCNs)</dc:title>
  <dc:subject>consultation </dc:subject>
  <dc:creator>Therapeutic Goods Administration</dc:creator>
  <cp:keywords>consultation</cp:keywords>
  <cp:lastModifiedBy>Therapeutic Goods Administration (TGA) </cp:lastModifiedBy>
  <cp:revision>58</cp:revision>
  <cp:lastPrinted>2017-10-10T05:23:00Z</cp:lastPrinted>
  <dcterms:created xsi:type="dcterms:W3CDTF">2017-10-04T00:40:00Z</dcterms:created>
  <dcterms:modified xsi:type="dcterms:W3CDTF">2017-11-08T03:38:00Z</dcterms:modified>
</cp:coreProperties>
</file>