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RPr="009401F6" w:rsidTr="00ED0C8B">
        <w:tc>
          <w:tcPr>
            <w:tcW w:w="8720" w:type="dxa"/>
          </w:tcPr>
          <w:p w:rsidR="001D480A" w:rsidRPr="009401F6" w:rsidRDefault="00DF554F" w:rsidP="00DF554F">
            <w:pPr>
              <w:pStyle w:val="Title"/>
            </w:pPr>
            <w:r>
              <w:t>Comparable overseas regulators</w:t>
            </w:r>
            <w:r w:rsidR="007D4892">
              <w:t xml:space="preserve"> – </w:t>
            </w:r>
            <w:r>
              <w:t>m</w:t>
            </w:r>
            <w:r w:rsidR="007D4892">
              <w:t>edical devices</w:t>
            </w:r>
          </w:p>
        </w:tc>
      </w:tr>
      <w:tr w:rsidR="00ED0C8B" w:rsidRPr="009401F6" w:rsidTr="00ED0C8B">
        <w:trPr>
          <w:trHeight w:val="1387"/>
        </w:trPr>
        <w:tc>
          <w:tcPr>
            <w:tcW w:w="8720" w:type="dxa"/>
          </w:tcPr>
          <w:p w:rsidR="000C5FCF" w:rsidRPr="000C5FCF" w:rsidRDefault="00DF554F" w:rsidP="008F6C37">
            <w:pPr>
              <w:pStyle w:val="Subtitle"/>
              <w:framePr w:hSpace="0" w:wrap="auto" w:vAnchor="margin" w:hAnchor="text" w:yAlign="inline"/>
              <w:rPr>
                <w:b/>
                <w:i/>
              </w:rPr>
            </w:pPr>
            <w:r>
              <w:t>Criteria and implementation</w:t>
            </w:r>
          </w:p>
        </w:tc>
      </w:tr>
      <w:tr w:rsidR="00ED0C8B" w:rsidRPr="009401F6" w:rsidTr="00ED0C8B">
        <w:tc>
          <w:tcPr>
            <w:tcW w:w="8720" w:type="dxa"/>
          </w:tcPr>
          <w:p w:rsidR="007D4892" w:rsidRPr="009401F6" w:rsidRDefault="00ED0C8B" w:rsidP="00A15A83">
            <w:pPr>
              <w:pStyle w:val="Date"/>
              <w:rPr>
                <w:lang w:eastAsia="en-AU"/>
              </w:rPr>
            </w:pPr>
            <w:r w:rsidRPr="009401F6">
              <w:rPr>
                <w:lang w:eastAsia="en-AU"/>
              </w:rPr>
              <w:t>Version 1.</w:t>
            </w:r>
            <w:r w:rsidR="00AC1152">
              <w:rPr>
                <w:lang w:eastAsia="en-AU"/>
              </w:rPr>
              <w:t>0</w:t>
            </w:r>
            <w:r w:rsidRPr="009401F6">
              <w:rPr>
                <w:lang w:eastAsia="en-AU"/>
              </w:rPr>
              <w:t xml:space="preserve">, </w:t>
            </w:r>
            <w:r w:rsidR="00A15A83">
              <w:rPr>
                <w:lang w:eastAsia="en-AU"/>
              </w:rPr>
              <w:t xml:space="preserve">May </w:t>
            </w:r>
            <w:r w:rsidR="007D4892">
              <w:rPr>
                <w:lang w:eastAsia="en-AU"/>
              </w:rPr>
              <w:t>2017</w:t>
            </w:r>
          </w:p>
        </w:tc>
      </w:tr>
    </w:tbl>
    <w:p w:rsidR="00BA6FF1" w:rsidRPr="009401F6" w:rsidRDefault="00BA6FF1" w:rsidP="007C7B5B">
      <w:pPr>
        <w:rPr>
          <w:lang w:eastAsia="en-AU"/>
        </w:rPr>
      </w:pPr>
    </w:p>
    <w:p w:rsidR="001D480A" w:rsidRPr="009401F6" w:rsidRDefault="001D480A" w:rsidP="0054583D">
      <w:pPr>
        <w:rPr>
          <w:lang w:eastAsia="en-AU"/>
        </w:rPr>
        <w:sectPr w:rsidR="001D480A" w:rsidRPr="009401F6" w:rsidSect="00F8404D">
          <w:headerReference w:type="default" r:id="rId9"/>
          <w:footerReference w:type="default" r:id="rId10"/>
          <w:headerReference w:type="first" r:id="rId11"/>
          <w:footerReference w:type="first" r:id="rId12"/>
          <w:type w:val="continuous"/>
          <w:pgSz w:w="11906" w:h="16838" w:code="9"/>
          <w:pgMar w:top="6923" w:right="1418" w:bottom="709" w:left="1418" w:header="998" w:footer="0" w:gutter="0"/>
          <w:cols w:space="708"/>
          <w:titlePg/>
          <w:docGrid w:linePitch="360"/>
        </w:sectPr>
      </w:pPr>
    </w:p>
    <w:p w:rsidR="00BA6FF1" w:rsidRPr="005D4EA1" w:rsidRDefault="00BA6FF1" w:rsidP="00506B33">
      <w:pPr>
        <w:pStyle w:val="LegalSubheading"/>
        <w:pageBreakBefore/>
      </w:pPr>
      <w:r w:rsidRPr="00691723">
        <w:lastRenderedPageBreak/>
        <w:t>Copyright</w:t>
      </w:r>
    </w:p>
    <w:p w:rsidR="00611B57" w:rsidRDefault="00EA453A" w:rsidP="00506B33">
      <w:pPr>
        <w:pStyle w:val="LegalCopy"/>
        <w:spacing w:after="0"/>
      </w:pPr>
      <w:r w:rsidRPr="009401F6">
        <w:t>© Commonwealth of Australia 201</w:t>
      </w:r>
      <w:r w:rsidR="002578A1">
        <w:t>7</w:t>
      </w:r>
      <w:r w:rsidRPr="009401F6">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01F6">
        <w:rPr>
          <w:i/>
        </w:rPr>
        <w:t>Copyright Act 1968</w:t>
      </w:r>
      <w:r w:rsidRPr="009401F6">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9401F6">
          <w:rPr>
            <w:rStyle w:val="Hyperlink"/>
            <w:rFonts w:cs="Arial"/>
          </w:rPr>
          <w:t>tga.copyright@tga.gov.au</w:t>
        </w:r>
      </w:hyperlink>
      <w:r w:rsidR="004169A8" w:rsidRPr="009401F6">
        <w:t>&gt;</w:t>
      </w:r>
    </w:p>
    <w:p w:rsidR="008D2B09" w:rsidRPr="009401F6" w:rsidRDefault="008D2B09" w:rsidP="00611B57">
      <w:pPr>
        <w:pStyle w:val="LegalSubheading"/>
      </w:pPr>
      <w:r w:rsidRPr="009401F6">
        <w:t>Confidentiality</w:t>
      </w:r>
    </w:p>
    <w:p w:rsidR="00F8365F" w:rsidRPr="009401F6" w:rsidRDefault="008D2B09" w:rsidP="0025750D">
      <w:pPr>
        <w:pStyle w:val="LegalCopy"/>
      </w:pPr>
      <w:r w:rsidRPr="00447762">
        <w:t>All submissions received will be placed on the TGA’s Internet site, unless marked confidential. Any confidential</w:t>
      </w:r>
      <w:r w:rsidR="00907ACE" w:rsidRPr="00447762">
        <w:t xml:space="preserve"> </w:t>
      </w:r>
      <w:r w:rsidRPr="00447762">
        <w:t>material contained within your submission should be provided under a separate cover and clearly marked</w:t>
      </w:r>
      <w:r w:rsidR="00907ACE" w:rsidRPr="00447762">
        <w:t xml:space="preserve"> </w:t>
      </w:r>
      <w:r w:rsidRPr="00447762">
        <w:t>“IN CONFIDENCE”. Reasons for a claim to confidentiality must be included in the space provided on the TGA</w:t>
      </w:r>
      <w:r w:rsidR="00907ACE" w:rsidRPr="00447762">
        <w:t xml:space="preserve"> </w:t>
      </w:r>
      <w:r w:rsidRPr="00447762">
        <w:t xml:space="preserve">submission </w:t>
      </w:r>
      <w:r w:rsidR="003C7461" w:rsidRPr="00447762">
        <w:t>form</w:t>
      </w:r>
      <w:r w:rsidRPr="00447762">
        <w:t>.</w:t>
      </w:r>
      <w:r w:rsidR="00611B57" w:rsidRPr="00447762">
        <w:t xml:space="preserve"> </w:t>
      </w:r>
      <w:r w:rsidRPr="00447762">
        <w:t>For submission made by individuals, all personal details, other than your name, will be removed from your</w:t>
      </w:r>
      <w:r w:rsidR="00611B57" w:rsidRPr="00447762">
        <w:t xml:space="preserve"> </w:t>
      </w:r>
      <w:r w:rsidRPr="00447762">
        <w:t>submission before it is published on the TGA’s Internet site.</w:t>
      </w:r>
      <w:r w:rsidR="00611B57" w:rsidRPr="00447762">
        <w:t xml:space="preserve"> </w:t>
      </w:r>
      <w:r w:rsidRPr="00447762">
        <w:t>In addition, a list of parties making submissions will be published. If you do not wish to be identified with your</w:t>
      </w:r>
      <w:r w:rsidR="00611B57" w:rsidRPr="00447762">
        <w:t xml:space="preserve"> </w:t>
      </w:r>
      <w:r w:rsidRPr="00447762">
        <w:t xml:space="preserve">submission you must specifically request this in the space provided on the submission </w:t>
      </w:r>
      <w:r w:rsidR="003C7461" w:rsidRPr="00447762">
        <w:t>form.</w:t>
      </w:r>
      <w:r w:rsidR="00277EF5" w:rsidRPr="009401F6">
        <w:br w:type="page"/>
      </w:r>
      <w:bookmarkStart w:id="0" w:name="_Toc323738670"/>
    </w:p>
    <w:sdt>
      <w:sdtPr>
        <w:rPr>
          <w:rFonts w:ascii="Cambria" w:hAnsi="Cambria"/>
          <w:b w:val="0"/>
          <w:sz w:val="22"/>
        </w:rPr>
        <w:id w:val="3701955"/>
        <w:docPartObj>
          <w:docPartGallery w:val="Table of Contents"/>
          <w:docPartUnique/>
        </w:docPartObj>
      </w:sdtPr>
      <w:sdtEndPr>
        <w:rPr>
          <w:b/>
          <w:sz w:val="2"/>
          <w:szCs w:val="2"/>
        </w:rPr>
      </w:sdtEndPr>
      <w:sdtContent>
        <w:p w:rsidR="00B92C72" w:rsidRPr="009401F6" w:rsidRDefault="00B92C72" w:rsidP="00B92C72">
          <w:pPr>
            <w:pStyle w:val="NonTOCheading2"/>
          </w:pPr>
          <w:r w:rsidRPr="009401F6">
            <w:t>Contents</w:t>
          </w:r>
        </w:p>
        <w:p w:rsidR="002D54AB" w:rsidRDefault="006C626D" w:rsidP="002D54AB">
          <w:pPr>
            <w:pStyle w:val="TOC1"/>
            <w:spacing w:after="0"/>
            <w:rPr>
              <w:rFonts w:asciiTheme="minorHAnsi" w:eastAsiaTheme="minorEastAsia" w:hAnsiTheme="minorHAnsi" w:cstheme="minorBidi"/>
              <w:b w:val="0"/>
              <w:noProof/>
              <w:sz w:val="22"/>
              <w:szCs w:val="22"/>
              <w:lang w:eastAsia="en-AU"/>
            </w:rPr>
          </w:pPr>
          <w:r w:rsidRPr="009401F6">
            <w:fldChar w:fldCharType="begin"/>
          </w:r>
          <w:r w:rsidR="00B92C72" w:rsidRPr="009401F6">
            <w:instrText xml:space="preserve"> TOC \h \z \u \t "Heading 2,1,Heading 3,2,Heading 4,3" </w:instrText>
          </w:r>
          <w:r w:rsidRPr="009401F6">
            <w:fldChar w:fldCharType="separate"/>
          </w:r>
          <w:hyperlink w:anchor="_Toc482100425" w:history="1">
            <w:r w:rsidR="002D54AB" w:rsidRPr="00E63F33">
              <w:rPr>
                <w:rStyle w:val="Hyperlink"/>
                <w:noProof/>
              </w:rPr>
              <w:t>Purpose and scope</w:t>
            </w:r>
            <w:r w:rsidR="002D54AB">
              <w:rPr>
                <w:noProof/>
                <w:webHidden/>
              </w:rPr>
              <w:tab/>
            </w:r>
            <w:r w:rsidR="002D54AB">
              <w:rPr>
                <w:noProof/>
                <w:webHidden/>
              </w:rPr>
              <w:fldChar w:fldCharType="begin"/>
            </w:r>
            <w:r w:rsidR="002D54AB">
              <w:rPr>
                <w:noProof/>
                <w:webHidden/>
              </w:rPr>
              <w:instrText xml:space="preserve"> PAGEREF _Toc482100425 \h </w:instrText>
            </w:r>
            <w:r w:rsidR="002D54AB">
              <w:rPr>
                <w:noProof/>
                <w:webHidden/>
              </w:rPr>
            </w:r>
            <w:r w:rsidR="002D54AB">
              <w:rPr>
                <w:noProof/>
                <w:webHidden/>
              </w:rPr>
              <w:fldChar w:fldCharType="separate"/>
            </w:r>
            <w:r w:rsidR="00CF63E6">
              <w:rPr>
                <w:noProof/>
                <w:webHidden/>
              </w:rPr>
              <w:t>4</w:t>
            </w:r>
            <w:r w:rsidR="002D54AB">
              <w:rPr>
                <w:noProof/>
                <w:webHidden/>
              </w:rPr>
              <w:fldChar w:fldCharType="end"/>
            </w:r>
          </w:hyperlink>
        </w:p>
        <w:p w:rsidR="002D54AB" w:rsidRDefault="00CF63E6" w:rsidP="002D54AB">
          <w:pPr>
            <w:pStyle w:val="TOC1"/>
            <w:spacing w:after="0"/>
            <w:rPr>
              <w:rFonts w:asciiTheme="minorHAnsi" w:eastAsiaTheme="minorEastAsia" w:hAnsiTheme="minorHAnsi" w:cstheme="minorBidi"/>
              <w:b w:val="0"/>
              <w:noProof/>
              <w:sz w:val="22"/>
              <w:szCs w:val="22"/>
              <w:lang w:eastAsia="en-AU"/>
            </w:rPr>
          </w:pPr>
          <w:hyperlink w:anchor="_Toc482100426" w:history="1">
            <w:r w:rsidR="002D54AB" w:rsidRPr="00E63F33">
              <w:rPr>
                <w:rStyle w:val="Hyperlink"/>
                <w:noProof/>
              </w:rPr>
              <w:t>Background</w:t>
            </w:r>
            <w:r w:rsidR="002D54AB">
              <w:rPr>
                <w:noProof/>
                <w:webHidden/>
              </w:rPr>
              <w:tab/>
            </w:r>
            <w:r w:rsidR="002D54AB">
              <w:rPr>
                <w:noProof/>
                <w:webHidden/>
              </w:rPr>
              <w:fldChar w:fldCharType="begin"/>
            </w:r>
            <w:r w:rsidR="002D54AB">
              <w:rPr>
                <w:noProof/>
                <w:webHidden/>
              </w:rPr>
              <w:instrText xml:space="preserve"> PAGEREF _Toc482100426 \h </w:instrText>
            </w:r>
            <w:r w:rsidR="002D54AB">
              <w:rPr>
                <w:noProof/>
                <w:webHidden/>
              </w:rPr>
            </w:r>
            <w:r w:rsidR="002D54AB">
              <w:rPr>
                <w:noProof/>
                <w:webHidden/>
              </w:rPr>
              <w:fldChar w:fldCharType="separate"/>
            </w:r>
            <w:r>
              <w:rPr>
                <w:noProof/>
                <w:webHidden/>
              </w:rPr>
              <w:t>4</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27" w:history="1">
            <w:r w:rsidR="002D54AB" w:rsidRPr="00E63F33">
              <w:rPr>
                <w:rStyle w:val="Hyperlink"/>
                <w:noProof/>
              </w:rPr>
              <w:t>MMDR</w:t>
            </w:r>
            <w:r w:rsidR="002D54AB">
              <w:rPr>
                <w:noProof/>
                <w:webHidden/>
              </w:rPr>
              <w:tab/>
            </w:r>
            <w:r w:rsidR="002D54AB">
              <w:rPr>
                <w:noProof/>
                <w:webHidden/>
              </w:rPr>
              <w:fldChar w:fldCharType="begin"/>
            </w:r>
            <w:r w:rsidR="002D54AB">
              <w:rPr>
                <w:noProof/>
                <w:webHidden/>
              </w:rPr>
              <w:instrText xml:space="preserve"> PAGEREF _Toc482100427 \h </w:instrText>
            </w:r>
            <w:r w:rsidR="002D54AB">
              <w:rPr>
                <w:noProof/>
                <w:webHidden/>
              </w:rPr>
            </w:r>
            <w:r w:rsidR="002D54AB">
              <w:rPr>
                <w:noProof/>
                <w:webHidden/>
              </w:rPr>
              <w:fldChar w:fldCharType="separate"/>
            </w:r>
            <w:r>
              <w:rPr>
                <w:noProof/>
                <w:webHidden/>
              </w:rPr>
              <w:t>4</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28" w:history="1">
            <w:r w:rsidR="002D54AB" w:rsidRPr="00E63F33">
              <w:rPr>
                <w:rStyle w:val="Hyperlink"/>
                <w:noProof/>
              </w:rPr>
              <w:t>Current use of overseas assessments</w:t>
            </w:r>
            <w:r w:rsidR="002D54AB">
              <w:rPr>
                <w:noProof/>
                <w:webHidden/>
              </w:rPr>
              <w:tab/>
            </w:r>
            <w:r w:rsidR="002D54AB">
              <w:rPr>
                <w:noProof/>
                <w:webHidden/>
              </w:rPr>
              <w:fldChar w:fldCharType="begin"/>
            </w:r>
            <w:r w:rsidR="002D54AB">
              <w:rPr>
                <w:noProof/>
                <w:webHidden/>
              </w:rPr>
              <w:instrText xml:space="preserve"> PAGEREF _Toc482100428 \h </w:instrText>
            </w:r>
            <w:r w:rsidR="002D54AB">
              <w:rPr>
                <w:noProof/>
                <w:webHidden/>
              </w:rPr>
            </w:r>
            <w:r w:rsidR="002D54AB">
              <w:rPr>
                <w:noProof/>
                <w:webHidden/>
              </w:rPr>
              <w:fldChar w:fldCharType="separate"/>
            </w:r>
            <w:r>
              <w:rPr>
                <w:noProof/>
                <w:webHidden/>
              </w:rPr>
              <w:t>5</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29" w:history="1">
            <w:r w:rsidR="002D54AB" w:rsidRPr="00E63F33">
              <w:rPr>
                <w:rStyle w:val="Hyperlink"/>
                <w:noProof/>
              </w:rPr>
              <w:t>International engagement</w:t>
            </w:r>
            <w:r w:rsidR="002D54AB">
              <w:rPr>
                <w:noProof/>
                <w:webHidden/>
              </w:rPr>
              <w:tab/>
            </w:r>
            <w:r w:rsidR="002D54AB">
              <w:rPr>
                <w:noProof/>
                <w:webHidden/>
              </w:rPr>
              <w:fldChar w:fldCharType="begin"/>
            </w:r>
            <w:r w:rsidR="002D54AB">
              <w:rPr>
                <w:noProof/>
                <w:webHidden/>
              </w:rPr>
              <w:instrText xml:space="preserve"> PAGEREF _Toc482100429 \h </w:instrText>
            </w:r>
            <w:r w:rsidR="002D54AB">
              <w:rPr>
                <w:noProof/>
                <w:webHidden/>
              </w:rPr>
            </w:r>
            <w:r w:rsidR="002D54AB">
              <w:rPr>
                <w:noProof/>
                <w:webHidden/>
              </w:rPr>
              <w:fldChar w:fldCharType="separate"/>
            </w:r>
            <w:r>
              <w:rPr>
                <w:noProof/>
                <w:webHidden/>
              </w:rPr>
              <w:t>6</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0" w:history="1">
            <w:r w:rsidR="002D54AB" w:rsidRPr="00E63F33">
              <w:rPr>
                <w:rStyle w:val="Hyperlink"/>
                <w:noProof/>
              </w:rPr>
              <w:t>Global regulatory convergence</w:t>
            </w:r>
            <w:r w:rsidR="002D54AB">
              <w:rPr>
                <w:noProof/>
                <w:webHidden/>
              </w:rPr>
              <w:tab/>
            </w:r>
            <w:r w:rsidR="002D54AB">
              <w:rPr>
                <w:noProof/>
                <w:webHidden/>
              </w:rPr>
              <w:fldChar w:fldCharType="begin"/>
            </w:r>
            <w:r w:rsidR="002D54AB">
              <w:rPr>
                <w:noProof/>
                <w:webHidden/>
              </w:rPr>
              <w:instrText xml:space="preserve"> PAGEREF _Toc482100430 \h </w:instrText>
            </w:r>
            <w:r w:rsidR="002D54AB">
              <w:rPr>
                <w:noProof/>
                <w:webHidden/>
              </w:rPr>
            </w:r>
            <w:r w:rsidR="002D54AB">
              <w:rPr>
                <w:noProof/>
                <w:webHidden/>
              </w:rPr>
              <w:fldChar w:fldCharType="separate"/>
            </w:r>
            <w:r>
              <w:rPr>
                <w:noProof/>
                <w:webHidden/>
              </w:rPr>
              <w:t>6</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1" w:history="1">
            <w:r w:rsidR="002D54AB" w:rsidRPr="00E63F33">
              <w:rPr>
                <w:rStyle w:val="Hyperlink"/>
                <w:noProof/>
              </w:rPr>
              <w:t>MDSAP</w:t>
            </w:r>
            <w:r w:rsidR="002D54AB">
              <w:rPr>
                <w:noProof/>
                <w:webHidden/>
              </w:rPr>
              <w:tab/>
            </w:r>
            <w:r w:rsidR="002D54AB">
              <w:rPr>
                <w:noProof/>
                <w:webHidden/>
              </w:rPr>
              <w:fldChar w:fldCharType="begin"/>
            </w:r>
            <w:r w:rsidR="002D54AB">
              <w:rPr>
                <w:noProof/>
                <w:webHidden/>
              </w:rPr>
              <w:instrText xml:space="preserve"> PAGEREF _Toc482100431 \h </w:instrText>
            </w:r>
            <w:r w:rsidR="002D54AB">
              <w:rPr>
                <w:noProof/>
                <w:webHidden/>
              </w:rPr>
            </w:r>
            <w:r w:rsidR="002D54AB">
              <w:rPr>
                <w:noProof/>
                <w:webHidden/>
              </w:rPr>
              <w:fldChar w:fldCharType="separate"/>
            </w:r>
            <w:r>
              <w:rPr>
                <w:noProof/>
                <w:webHidden/>
              </w:rPr>
              <w:t>7</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2" w:history="1">
            <w:r w:rsidR="002D54AB" w:rsidRPr="00E63F33">
              <w:rPr>
                <w:rStyle w:val="Hyperlink"/>
                <w:noProof/>
              </w:rPr>
              <w:t>Cooperative agreements</w:t>
            </w:r>
            <w:r w:rsidR="002D54AB">
              <w:rPr>
                <w:noProof/>
                <w:webHidden/>
              </w:rPr>
              <w:tab/>
            </w:r>
            <w:r w:rsidR="002D54AB">
              <w:rPr>
                <w:noProof/>
                <w:webHidden/>
              </w:rPr>
              <w:fldChar w:fldCharType="begin"/>
            </w:r>
            <w:r w:rsidR="002D54AB">
              <w:rPr>
                <w:noProof/>
                <w:webHidden/>
              </w:rPr>
              <w:instrText xml:space="preserve"> PAGEREF _Toc482100432 \h </w:instrText>
            </w:r>
            <w:r w:rsidR="002D54AB">
              <w:rPr>
                <w:noProof/>
                <w:webHidden/>
              </w:rPr>
            </w:r>
            <w:r w:rsidR="002D54AB">
              <w:rPr>
                <w:noProof/>
                <w:webHidden/>
              </w:rPr>
              <w:fldChar w:fldCharType="separate"/>
            </w:r>
            <w:r>
              <w:rPr>
                <w:noProof/>
                <w:webHidden/>
              </w:rPr>
              <w:t>7</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3" w:history="1">
            <w:r w:rsidR="002D54AB" w:rsidRPr="00E63F33">
              <w:rPr>
                <w:rStyle w:val="Hyperlink"/>
                <w:noProof/>
              </w:rPr>
              <w:t>Use of international standards</w:t>
            </w:r>
            <w:r w:rsidR="002D54AB">
              <w:rPr>
                <w:noProof/>
                <w:webHidden/>
              </w:rPr>
              <w:tab/>
            </w:r>
            <w:r w:rsidR="002D54AB">
              <w:rPr>
                <w:noProof/>
                <w:webHidden/>
              </w:rPr>
              <w:fldChar w:fldCharType="begin"/>
            </w:r>
            <w:r w:rsidR="002D54AB">
              <w:rPr>
                <w:noProof/>
                <w:webHidden/>
              </w:rPr>
              <w:instrText xml:space="preserve"> PAGEREF _Toc482100433 \h </w:instrText>
            </w:r>
            <w:r w:rsidR="002D54AB">
              <w:rPr>
                <w:noProof/>
                <w:webHidden/>
              </w:rPr>
            </w:r>
            <w:r w:rsidR="002D54AB">
              <w:rPr>
                <w:noProof/>
                <w:webHidden/>
              </w:rPr>
              <w:fldChar w:fldCharType="separate"/>
            </w:r>
            <w:r>
              <w:rPr>
                <w:noProof/>
                <w:webHidden/>
              </w:rPr>
              <w:t>8</w:t>
            </w:r>
            <w:r w:rsidR="002D54AB">
              <w:rPr>
                <w:noProof/>
                <w:webHidden/>
              </w:rPr>
              <w:fldChar w:fldCharType="end"/>
            </w:r>
          </w:hyperlink>
        </w:p>
        <w:p w:rsidR="002D54AB" w:rsidRDefault="00CF63E6" w:rsidP="002D54AB">
          <w:pPr>
            <w:pStyle w:val="TOC1"/>
            <w:spacing w:after="0"/>
            <w:rPr>
              <w:rFonts w:asciiTheme="minorHAnsi" w:eastAsiaTheme="minorEastAsia" w:hAnsiTheme="minorHAnsi" w:cstheme="minorBidi"/>
              <w:b w:val="0"/>
              <w:noProof/>
              <w:sz w:val="22"/>
              <w:szCs w:val="22"/>
              <w:lang w:eastAsia="en-AU"/>
            </w:rPr>
          </w:pPr>
          <w:hyperlink w:anchor="_Toc482100434" w:history="1">
            <w:r w:rsidR="002D54AB" w:rsidRPr="00E63F33">
              <w:rPr>
                <w:rStyle w:val="Hyperlink"/>
                <w:noProof/>
              </w:rPr>
              <w:t>Use of overseas regulatory approvals</w:t>
            </w:r>
            <w:r w:rsidR="002D54AB">
              <w:rPr>
                <w:noProof/>
                <w:webHidden/>
              </w:rPr>
              <w:tab/>
            </w:r>
            <w:r w:rsidR="002D54AB">
              <w:rPr>
                <w:noProof/>
                <w:webHidden/>
              </w:rPr>
              <w:fldChar w:fldCharType="begin"/>
            </w:r>
            <w:r w:rsidR="002D54AB">
              <w:rPr>
                <w:noProof/>
                <w:webHidden/>
              </w:rPr>
              <w:instrText xml:space="preserve"> PAGEREF _Toc482100434 \h </w:instrText>
            </w:r>
            <w:r w:rsidR="002D54AB">
              <w:rPr>
                <w:noProof/>
                <w:webHidden/>
              </w:rPr>
            </w:r>
            <w:r w:rsidR="002D54AB">
              <w:rPr>
                <w:noProof/>
                <w:webHidden/>
              </w:rPr>
              <w:fldChar w:fldCharType="separate"/>
            </w:r>
            <w:r>
              <w:rPr>
                <w:noProof/>
                <w:webHidden/>
              </w:rPr>
              <w:t>8</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35" w:history="1">
            <w:r w:rsidR="002D54AB" w:rsidRPr="00E63F33">
              <w:rPr>
                <w:rStyle w:val="Hyperlink"/>
                <w:noProof/>
              </w:rPr>
              <w:t>Proposed use of overseas assessments</w:t>
            </w:r>
            <w:r w:rsidR="002D54AB">
              <w:rPr>
                <w:noProof/>
                <w:webHidden/>
              </w:rPr>
              <w:tab/>
            </w:r>
            <w:r w:rsidR="002D54AB">
              <w:rPr>
                <w:noProof/>
                <w:webHidden/>
              </w:rPr>
              <w:fldChar w:fldCharType="begin"/>
            </w:r>
            <w:r w:rsidR="002D54AB">
              <w:rPr>
                <w:noProof/>
                <w:webHidden/>
              </w:rPr>
              <w:instrText xml:space="preserve"> PAGEREF _Toc482100435 \h </w:instrText>
            </w:r>
            <w:r w:rsidR="002D54AB">
              <w:rPr>
                <w:noProof/>
                <w:webHidden/>
              </w:rPr>
            </w:r>
            <w:r w:rsidR="002D54AB">
              <w:rPr>
                <w:noProof/>
                <w:webHidden/>
              </w:rPr>
              <w:fldChar w:fldCharType="separate"/>
            </w:r>
            <w:r>
              <w:rPr>
                <w:noProof/>
                <w:webHidden/>
              </w:rPr>
              <w:t>9</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6" w:history="1">
            <w:r w:rsidR="002D54AB" w:rsidRPr="00E63F33">
              <w:rPr>
                <w:rStyle w:val="Hyperlink"/>
                <w:noProof/>
              </w:rPr>
              <w:t>Use of overseas approvals to support inclusion in the ARTG</w:t>
            </w:r>
            <w:r w:rsidR="002D54AB">
              <w:rPr>
                <w:noProof/>
                <w:webHidden/>
              </w:rPr>
              <w:tab/>
            </w:r>
            <w:r w:rsidR="002D54AB">
              <w:rPr>
                <w:noProof/>
                <w:webHidden/>
              </w:rPr>
              <w:fldChar w:fldCharType="begin"/>
            </w:r>
            <w:r w:rsidR="002D54AB">
              <w:rPr>
                <w:noProof/>
                <w:webHidden/>
              </w:rPr>
              <w:instrText xml:space="preserve"> PAGEREF _Toc482100436 \h </w:instrText>
            </w:r>
            <w:r w:rsidR="002D54AB">
              <w:rPr>
                <w:noProof/>
                <w:webHidden/>
              </w:rPr>
            </w:r>
            <w:r w:rsidR="002D54AB">
              <w:rPr>
                <w:noProof/>
                <w:webHidden/>
              </w:rPr>
              <w:fldChar w:fldCharType="separate"/>
            </w:r>
            <w:r>
              <w:rPr>
                <w:noProof/>
                <w:webHidden/>
              </w:rPr>
              <w:t>9</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7" w:history="1">
            <w:r w:rsidR="002D54AB" w:rsidRPr="00E63F33">
              <w:rPr>
                <w:rStyle w:val="Hyperlink"/>
                <w:noProof/>
              </w:rPr>
              <w:t>Work-sharing with comparable overseas regulators</w:t>
            </w:r>
            <w:r w:rsidR="002D54AB">
              <w:rPr>
                <w:noProof/>
                <w:webHidden/>
              </w:rPr>
              <w:tab/>
            </w:r>
            <w:r w:rsidR="002D54AB">
              <w:rPr>
                <w:noProof/>
                <w:webHidden/>
              </w:rPr>
              <w:fldChar w:fldCharType="begin"/>
            </w:r>
            <w:r w:rsidR="002D54AB">
              <w:rPr>
                <w:noProof/>
                <w:webHidden/>
              </w:rPr>
              <w:instrText xml:space="preserve"> PAGEREF _Toc482100437 \h </w:instrText>
            </w:r>
            <w:r w:rsidR="002D54AB">
              <w:rPr>
                <w:noProof/>
                <w:webHidden/>
              </w:rPr>
            </w:r>
            <w:r w:rsidR="002D54AB">
              <w:rPr>
                <w:noProof/>
                <w:webHidden/>
              </w:rPr>
              <w:fldChar w:fldCharType="separate"/>
            </w:r>
            <w:r>
              <w:rPr>
                <w:noProof/>
                <w:webHidden/>
              </w:rPr>
              <w:t>9</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38" w:history="1">
            <w:r w:rsidR="002D54AB" w:rsidRPr="00E63F33">
              <w:rPr>
                <w:rStyle w:val="Hyperlink"/>
                <w:noProof/>
              </w:rPr>
              <w:t>Discussion</w:t>
            </w:r>
            <w:bookmarkStart w:id="1" w:name="_GoBack"/>
            <w:bookmarkEnd w:id="1"/>
            <w:r w:rsidR="002D54AB">
              <w:rPr>
                <w:noProof/>
                <w:webHidden/>
              </w:rPr>
              <w:tab/>
            </w:r>
            <w:r w:rsidR="002D54AB">
              <w:rPr>
                <w:noProof/>
                <w:webHidden/>
              </w:rPr>
              <w:fldChar w:fldCharType="begin"/>
            </w:r>
            <w:r w:rsidR="002D54AB">
              <w:rPr>
                <w:noProof/>
                <w:webHidden/>
              </w:rPr>
              <w:instrText xml:space="preserve"> PAGEREF _Toc482100438 \h </w:instrText>
            </w:r>
            <w:r w:rsidR="002D54AB">
              <w:rPr>
                <w:noProof/>
                <w:webHidden/>
              </w:rPr>
            </w:r>
            <w:r w:rsidR="002D54AB">
              <w:rPr>
                <w:noProof/>
                <w:webHidden/>
              </w:rPr>
              <w:fldChar w:fldCharType="separate"/>
            </w:r>
            <w:r>
              <w:rPr>
                <w:noProof/>
                <w:webHidden/>
              </w:rPr>
              <w:t>10</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39" w:history="1">
            <w:r w:rsidR="002D54AB" w:rsidRPr="00E63F33">
              <w:rPr>
                <w:rStyle w:val="Hyperlink"/>
                <w:noProof/>
              </w:rPr>
              <w:t>Gap analysis</w:t>
            </w:r>
            <w:r w:rsidR="002D54AB">
              <w:rPr>
                <w:noProof/>
                <w:webHidden/>
              </w:rPr>
              <w:tab/>
            </w:r>
            <w:r w:rsidR="002D54AB">
              <w:rPr>
                <w:noProof/>
                <w:webHidden/>
              </w:rPr>
              <w:fldChar w:fldCharType="begin"/>
            </w:r>
            <w:r w:rsidR="002D54AB">
              <w:rPr>
                <w:noProof/>
                <w:webHidden/>
              </w:rPr>
              <w:instrText xml:space="preserve"> PAGEREF _Toc482100439 \h </w:instrText>
            </w:r>
            <w:r w:rsidR="002D54AB">
              <w:rPr>
                <w:noProof/>
                <w:webHidden/>
              </w:rPr>
            </w:r>
            <w:r w:rsidR="002D54AB">
              <w:rPr>
                <w:noProof/>
                <w:webHidden/>
              </w:rPr>
              <w:fldChar w:fldCharType="separate"/>
            </w:r>
            <w:r>
              <w:rPr>
                <w:noProof/>
                <w:webHidden/>
              </w:rPr>
              <w:t>10</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40" w:history="1">
            <w:r w:rsidR="002D54AB" w:rsidRPr="00E63F33">
              <w:rPr>
                <w:rStyle w:val="Hyperlink"/>
                <w:noProof/>
              </w:rPr>
              <w:t>Application audits</w:t>
            </w:r>
            <w:r w:rsidR="002D54AB">
              <w:rPr>
                <w:noProof/>
                <w:webHidden/>
              </w:rPr>
              <w:tab/>
            </w:r>
            <w:r w:rsidR="002D54AB">
              <w:rPr>
                <w:noProof/>
                <w:webHidden/>
              </w:rPr>
              <w:fldChar w:fldCharType="begin"/>
            </w:r>
            <w:r w:rsidR="002D54AB">
              <w:rPr>
                <w:noProof/>
                <w:webHidden/>
              </w:rPr>
              <w:instrText xml:space="preserve"> PAGEREF _Toc482100440 \h </w:instrText>
            </w:r>
            <w:r w:rsidR="002D54AB">
              <w:rPr>
                <w:noProof/>
                <w:webHidden/>
              </w:rPr>
            </w:r>
            <w:r w:rsidR="002D54AB">
              <w:rPr>
                <w:noProof/>
                <w:webHidden/>
              </w:rPr>
              <w:fldChar w:fldCharType="separate"/>
            </w:r>
            <w:r>
              <w:rPr>
                <w:noProof/>
                <w:webHidden/>
              </w:rPr>
              <w:t>10</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41" w:history="1">
            <w:r w:rsidR="002D54AB" w:rsidRPr="00E63F33">
              <w:rPr>
                <w:rStyle w:val="Hyperlink"/>
                <w:noProof/>
              </w:rPr>
              <w:t>Implementation mechanism</w:t>
            </w:r>
            <w:r w:rsidR="002D54AB">
              <w:rPr>
                <w:noProof/>
                <w:webHidden/>
              </w:rPr>
              <w:tab/>
            </w:r>
            <w:r w:rsidR="002D54AB">
              <w:rPr>
                <w:noProof/>
                <w:webHidden/>
              </w:rPr>
              <w:fldChar w:fldCharType="begin"/>
            </w:r>
            <w:r w:rsidR="002D54AB">
              <w:rPr>
                <w:noProof/>
                <w:webHidden/>
              </w:rPr>
              <w:instrText xml:space="preserve"> PAGEREF _Toc482100441 \h </w:instrText>
            </w:r>
            <w:r w:rsidR="002D54AB">
              <w:rPr>
                <w:noProof/>
                <w:webHidden/>
              </w:rPr>
            </w:r>
            <w:r w:rsidR="002D54AB">
              <w:rPr>
                <w:noProof/>
                <w:webHidden/>
              </w:rPr>
              <w:fldChar w:fldCharType="separate"/>
            </w:r>
            <w:r>
              <w:rPr>
                <w:noProof/>
                <w:webHidden/>
              </w:rPr>
              <w:t>12</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42" w:history="1">
            <w:r w:rsidR="002D54AB" w:rsidRPr="00E63F33">
              <w:rPr>
                <w:rStyle w:val="Hyperlink"/>
                <w:noProof/>
              </w:rPr>
              <w:t>Expected recognition of overseas regulators</w:t>
            </w:r>
            <w:r w:rsidR="002D54AB">
              <w:rPr>
                <w:noProof/>
                <w:webHidden/>
              </w:rPr>
              <w:tab/>
            </w:r>
            <w:r w:rsidR="002D54AB">
              <w:rPr>
                <w:noProof/>
                <w:webHidden/>
              </w:rPr>
              <w:fldChar w:fldCharType="begin"/>
            </w:r>
            <w:r w:rsidR="002D54AB">
              <w:rPr>
                <w:noProof/>
                <w:webHidden/>
              </w:rPr>
              <w:instrText xml:space="preserve"> PAGEREF _Toc482100442 \h </w:instrText>
            </w:r>
            <w:r w:rsidR="002D54AB">
              <w:rPr>
                <w:noProof/>
                <w:webHidden/>
              </w:rPr>
            </w:r>
            <w:r w:rsidR="002D54AB">
              <w:rPr>
                <w:noProof/>
                <w:webHidden/>
              </w:rPr>
              <w:fldChar w:fldCharType="separate"/>
            </w:r>
            <w:r>
              <w:rPr>
                <w:noProof/>
                <w:webHidden/>
              </w:rPr>
              <w:t>13</w:t>
            </w:r>
            <w:r w:rsidR="002D54AB">
              <w:rPr>
                <w:noProof/>
                <w:webHidden/>
              </w:rPr>
              <w:fldChar w:fldCharType="end"/>
            </w:r>
          </w:hyperlink>
        </w:p>
        <w:p w:rsidR="002D54AB" w:rsidRDefault="00CF63E6" w:rsidP="002D54AB">
          <w:pPr>
            <w:pStyle w:val="TOC1"/>
            <w:spacing w:after="0"/>
            <w:rPr>
              <w:rFonts w:asciiTheme="minorHAnsi" w:eastAsiaTheme="minorEastAsia" w:hAnsiTheme="minorHAnsi" w:cstheme="minorBidi"/>
              <w:b w:val="0"/>
              <w:noProof/>
              <w:sz w:val="22"/>
              <w:szCs w:val="22"/>
              <w:lang w:eastAsia="en-AU"/>
            </w:rPr>
          </w:pPr>
          <w:hyperlink w:anchor="_Toc482100443" w:history="1">
            <w:r w:rsidR="002D54AB" w:rsidRPr="00E63F33">
              <w:rPr>
                <w:rStyle w:val="Hyperlink"/>
                <w:noProof/>
              </w:rPr>
              <w:t>Proposed criteria</w:t>
            </w:r>
            <w:r w:rsidR="002D54AB">
              <w:rPr>
                <w:noProof/>
                <w:webHidden/>
              </w:rPr>
              <w:tab/>
            </w:r>
            <w:r w:rsidR="002D54AB">
              <w:rPr>
                <w:noProof/>
                <w:webHidden/>
              </w:rPr>
              <w:fldChar w:fldCharType="begin"/>
            </w:r>
            <w:r w:rsidR="002D54AB">
              <w:rPr>
                <w:noProof/>
                <w:webHidden/>
              </w:rPr>
              <w:instrText xml:space="preserve"> PAGEREF _Toc482100443 \h </w:instrText>
            </w:r>
            <w:r w:rsidR="002D54AB">
              <w:rPr>
                <w:noProof/>
                <w:webHidden/>
              </w:rPr>
            </w:r>
            <w:r w:rsidR="002D54AB">
              <w:rPr>
                <w:noProof/>
                <w:webHidden/>
              </w:rPr>
              <w:fldChar w:fldCharType="separate"/>
            </w:r>
            <w:r>
              <w:rPr>
                <w:noProof/>
                <w:webHidden/>
              </w:rPr>
              <w:t>14</w:t>
            </w:r>
            <w:r w:rsidR="002D54AB">
              <w:rPr>
                <w:noProof/>
                <w:webHidden/>
              </w:rPr>
              <w:fldChar w:fldCharType="end"/>
            </w:r>
          </w:hyperlink>
        </w:p>
        <w:p w:rsidR="002D54AB" w:rsidRDefault="00CF63E6" w:rsidP="002D54AB">
          <w:pPr>
            <w:pStyle w:val="TOC2"/>
            <w:tabs>
              <w:tab w:val="left" w:pos="1276"/>
            </w:tabs>
            <w:spacing w:after="0"/>
            <w:rPr>
              <w:rFonts w:asciiTheme="minorHAnsi" w:eastAsiaTheme="minorEastAsia" w:hAnsiTheme="minorHAnsi" w:cstheme="minorBidi"/>
              <w:b w:val="0"/>
              <w:noProof/>
              <w:sz w:val="22"/>
              <w:szCs w:val="22"/>
              <w:lang w:eastAsia="en-AU"/>
            </w:rPr>
          </w:pPr>
          <w:hyperlink w:anchor="_Toc482100444" w:history="1">
            <w:r w:rsidR="002D54AB" w:rsidRPr="00E63F33">
              <w:rPr>
                <w:rStyle w:val="Hyperlink"/>
                <w:noProof/>
              </w:rPr>
              <w:t>1.</w:t>
            </w:r>
            <w:r w:rsidR="002D54AB">
              <w:rPr>
                <w:rFonts w:asciiTheme="minorHAnsi" w:eastAsiaTheme="minorEastAsia" w:hAnsiTheme="minorHAnsi" w:cstheme="minorBidi"/>
                <w:b w:val="0"/>
                <w:noProof/>
                <w:sz w:val="22"/>
                <w:szCs w:val="22"/>
                <w:lang w:eastAsia="en-AU"/>
              </w:rPr>
              <w:tab/>
            </w:r>
            <w:r w:rsidR="002D54AB" w:rsidRPr="00E63F33">
              <w:rPr>
                <w:rStyle w:val="Hyperlink"/>
                <w:noProof/>
              </w:rPr>
              <w:t>Comparability of the regulatory framework</w:t>
            </w:r>
            <w:r w:rsidR="002D54AB">
              <w:rPr>
                <w:noProof/>
                <w:webHidden/>
              </w:rPr>
              <w:tab/>
            </w:r>
            <w:r w:rsidR="002D54AB">
              <w:rPr>
                <w:noProof/>
                <w:webHidden/>
              </w:rPr>
              <w:fldChar w:fldCharType="begin"/>
            </w:r>
            <w:r w:rsidR="002D54AB">
              <w:rPr>
                <w:noProof/>
                <w:webHidden/>
              </w:rPr>
              <w:instrText xml:space="preserve"> PAGEREF _Toc482100444 \h </w:instrText>
            </w:r>
            <w:r w:rsidR="002D54AB">
              <w:rPr>
                <w:noProof/>
                <w:webHidden/>
              </w:rPr>
            </w:r>
            <w:r w:rsidR="002D54AB">
              <w:rPr>
                <w:noProof/>
                <w:webHidden/>
              </w:rPr>
              <w:fldChar w:fldCharType="separate"/>
            </w:r>
            <w:r>
              <w:rPr>
                <w:noProof/>
                <w:webHidden/>
              </w:rPr>
              <w:t>14</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45" w:history="1">
            <w:r w:rsidR="002D54AB" w:rsidRPr="00E63F33">
              <w:rPr>
                <w:rStyle w:val="Hyperlink"/>
                <w:noProof/>
              </w:rPr>
              <w:t>Scope</w:t>
            </w:r>
            <w:r w:rsidR="002D54AB">
              <w:rPr>
                <w:noProof/>
                <w:webHidden/>
              </w:rPr>
              <w:tab/>
            </w:r>
            <w:r w:rsidR="002D54AB">
              <w:rPr>
                <w:noProof/>
                <w:webHidden/>
              </w:rPr>
              <w:fldChar w:fldCharType="begin"/>
            </w:r>
            <w:r w:rsidR="002D54AB">
              <w:rPr>
                <w:noProof/>
                <w:webHidden/>
              </w:rPr>
              <w:instrText xml:space="preserve"> PAGEREF _Toc482100445 \h </w:instrText>
            </w:r>
            <w:r w:rsidR="002D54AB">
              <w:rPr>
                <w:noProof/>
                <w:webHidden/>
              </w:rPr>
            </w:r>
            <w:r w:rsidR="002D54AB">
              <w:rPr>
                <w:noProof/>
                <w:webHidden/>
              </w:rPr>
              <w:fldChar w:fldCharType="separate"/>
            </w:r>
            <w:r>
              <w:rPr>
                <w:noProof/>
                <w:webHidden/>
              </w:rPr>
              <w:t>14</w:t>
            </w:r>
            <w:r w:rsidR="002D54AB">
              <w:rPr>
                <w:noProof/>
                <w:webHidden/>
              </w:rPr>
              <w:fldChar w:fldCharType="end"/>
            </w:r>
          </w:hyperlink>
        </w:p>
        <w:p w:rsidR="002D54AB" w:rsidRDefault="00CF63E6" w:rsidP="002D54AB">
          <w:pPr>
            <w:pStyle w:val="TOC3"/>
            <w:spacing w:after="0"/>
            <w:rPr>
              <w:rFonts w:asciiTheme="minorHAnsi" w:eastAsiaTheme="minorEastAsia" w:hAnsiTheme="minorHAnsi" w:cstheme="minorBidi"/>
              <w:b w:val="0"/>
              <w:noProof/>
              <w:szCs w:val="22"/>
              <w:lang w:eastAsia="en-AU"/>
            </w:rPr>
          </w:pPr>
          <w:hyperlink w:anchor="_Toc482100446" w:history="1">
            <w:r w:rsidR="002D54AB" w:rsidRPr="00E63F33">
              <w:rPr>
                <w:rStyle w:val="Hyperlink"/>
                <w:noProof/>
              </w:rPr>
              <w:t>Operational alignment</w:t>
            </w:r>
            <w:r w:rsidR="002D54AB">
              <w:rPr>
                <w:noProof/>
                <w:webHidden/>
              </w:rPr>
              <w:tab/>
            </w:r>
            <w:r w:rsidR="002D54AB">
              <w:rPr>
                <w:noProof/>
                <w:webHidden/>
              </w:rPr>
              <w:fldChar w:fldCharType="begin"/>
            </w:r>
            <w:r w:rsidR="002D54AB">
              <w:rPr>
                <w:noProof/>
                <w:webHidden/>
              </w:rPr>
              <w:instrText xml:space="preserve"> PAGEREF _Toc482100446 \h </w:instrText>
            </w:r>
            <w:r w:rsidR="002D54AB">
              <w:rPr>
                <w:noProof/>
                <w:webHidden/>
              </w:rPr>
            </w:r>
            <w:r w:rsidR="002D54AB">
              <w:rPr>
                <w:noProof/>
                <w:webHidden/>
              </w:rPr>
              <w:fldChar w:fldCharType="separate"/>
            </w:r>
            <w:r>
              <w:rPr>
                <w:noProof/>
                <w:webHidden/>
              </w:rPr>
              <w:t>15</w:t>
            </w:r>
            <w:r w:rsidR="002D54AB">
              <w:rPr>
                <w:noProof/>
                <w:webHidden/>
              </w:rPr>
              <w:fldChar w:fldCharType="end"/>
            </w:r>
          </w:hyperlink>
        </w:p>
        <w:p w:rsidR="002D54AB" w:rsidRDefault="00CF63E6" w:rsidP="002D54AB">
          <w:pPr>
            <w:pStyle w:val="TOC2"/>
            <w:tabs>
              <w:tab w:val="left" w:pos="1276"/>
            </w:tabs>
            <w:spacing w:after="0"/>
            <w:rPr>
              <w:rFonts w:asciiTheme="minorHAnsi" w:eastAsiaTheme="minorEastAsia" w:hAnsiTheme="minorHAnsi" w:cstheme="minorBidi"/>
              <w:b w:val="0"/>
              <w:noProof/>
              <w:sz w:val="22"/>
              <w:szCs w:val="22"/>
              <w:lang w:eastAsia="en-AU"/>
            </w:rPr>
          </w:pPr>
          <w:hyperlink w:anchor="_Toc482100447" w:history="1">
            <w:r w:rsidR="002D54AB" w:rsidRPr="00E63F33">
              <w:rPr>
                <w:rStyle w:val="Hyperlink"/>
                <w:noProof/>
              </w:rPr>
              <w:t>2.</w:t>
            </w:r>
            <w:r w:rsidR="002D54AB">
              <w:rPr>
                <w:rFonts w:asciiTheme="minorHAnsi" w:eastAsiaTheme="minorEastAsia" w:hAnsiTheme="minorHAnsi" w:cstheme="minorBidi"/>
                <w:b w:val="0"/>
                <w:noProof/>
                <w:sz w:val="22"/>
                <w:szCs w:val="22"/>
                <w:lang w:eastAsia="en-AU"/>
              </w:rPr>
              <w:tab/>
            </w:r>
            <w:r w:rsidR="002D54AB" w:rsidRPr="00E63F33">
              <w:rPr>
                <w:rStyle w:val="Hyperlink"/>
                <w:noProof/>
              </w:rPr>
              <w:t>IMDRF membership</w:t>
            </w:r>
            <w:r w:rsidR="002D54AB">
              <w:rPr>
                <w:noProof/>
                <w:webHidden/>
              </w:rPr>
              <w:tab/>
            </w:r>
            <w:r w:rsidR="002D54AB">
              <w:rPr>
                <w:noProof/>
                <w:webHidden/>
              </w:rPr>
              <w:fldChar w:fldCharType="begin"/>
            </w:r>
            <w:r w:rsidR="002D54AB">
              <w:rPr>
                <w:noProof/>
                <w:webHidden/>
              </w:rPr>
              <w:instrText xml:space="preserve"> PAGEREF _Toc482100447 \h </w:instrText>
            </w:r>
            <w:r w:rsidR="002D54AB">
              <w:rPr>
                <w:noProof/>
                <w:webHidden/>
              </w:rPr>
            </w:r>
            <w:r w:rsidR="002D54AB">
              <w:rPr>
                <w:noProof/>
                <w:webHidden/>
              </w:rPr>
              <w:fldChar w:fldCharType="separate"/>
            </w:r>
            <w:r>
              <w:rPr>
                <w:noProof/>
                <w:webHidden/>
              </w:rPr>
              <w:t>15</w:t>
            </w:r>
            <w:r w:rsidR="002D54AB">
              <w:rPr>
                <w:noProof/>
                <w:webHidden/>
              </w:rPr>
              <w:fldChar w:fldCharType="end"/>
            </w:r>
          </w:hyperlink>
        </w:p>
        <w:p w:rsidR="002D54AB" w:rsidRDefault="00CF63E6" w:rsidP="002D54AB">
          <w:pPr>
            <w:pStyle w:val="TOC2"/>
            <w:tabs>
              <w:tab w:val="left" w:pos="1276"/>
            </w:tabs>
            <w:spacing w:after="0"/>
            <w:rPr>
              <w:rFonts w:asciiTheme="minorHAnsi" w:eastAsiaTheme="minorEastAsia" w:hAnsiTheme="minorHAnsi" w:cstheme="minorBidi"/>
              <w:b w:val="0"/>
              <w:noProof/>
              <w:sz w:val="22"/>
              <w:szCs w:val="22"/>
              <w:lang w:eastAsia="en-AU"/>
            </w:rPr>
          </w:pPr>
          <w:hyperlink w:anchor="_Toc482100448" w:history="1">
            <w:r w:rsidR="002D54AB" w:rsidRPr="00E63F33">
              <w:rPr>
                <w:rStyle w:val="Hyperlink"/>
                <w:noProof/>
              </w:rPr>
              <w:t>3.</w:t>
            </w:r>
            <w:r w:rsidR="002D54AB">
              <w:rPr>
                <w:rFonts w:asciiTheme="minorHAnsi" w:eastAsiaTheme="minorEastAsia" w:hAnsiTheme="minorHAnsi" w:cstheme="minorBidi"/>
                <w:b w:val="0"/>
                <w:noProof/>
                <w:sz w:val="22"/>
                <w:szCs w:val="22"/>
                <w:lang w:eastAsia="en-AU"/>
              </w:rPr>
              <w:tab/>
            </w:r>
            <w:r w:rsidR="002D54AB" w:rsidRPr="00E63F33">
              <w:rPr>
                <w:rStyle w:val="Hyperlink"/>
                <w:noProof/>
              </w:rPr>
              <w:t>Life cycle approach and post-market vigilance</w:t>
            </w:r>
            <w:r w:rsidR="002D54AB">
              <w:rPr>
                <w:noProof/>
                <w:webHidden/>
              </w:rPr>
              <w:tab/>
            </w:r>
            <w:r w:rsidR="002D54AB">
              <w:rPr>
                <w:noProof/>
                <w:webHidden/>
              </w:rPr>
              <w:fldChar w:fldCharType="begin"/>
            </w:r>
            <w:r w:rsidR="002D54AB">
              <w:rPr>
                <w:noProof/>
                <w:webHidden/>
              </w:rPr>
              <w:instrText xml:space="preserve"> PAGEREF _Toc482100448 \h </w:instrText>
            </w:r>
            <w:r w:rsidR="002D54AB">
              <w:rPr>
                <w:noProof/>
                <w:webHidden/>
              </w:rPr>
            </w:r>
            <w:r w:rsidR="002D54AB">
              <w:rPr>
                <w:noProof/>
                <w:webHidden/>
              </w:rPr>
              <w:fldChar w:fldCharType="separate"/>
            </w:r>
            <w:r>
              <w:rPr>
                <w:noProof/>
                <w:webHidden/>
              </w:rPr>
              <w:t>16</w:t>
            </w:r>
            <w:r w:rsidR="002D54AB">
              <w:rPr>
                <w:noProof/>
                <w:webHidden/>
              </w:rPr>
              <w:fldChar w:fldCharType="end"/>
            </w:r>
          </w:hyperlink>
        </w:p>
        <w:p w:rsidR="002D54AB" w:rsidRDefault="00CF63E6" w:rsidP="002D54AB">
          <w:pPr>
            <w:pStyle w:val="TOC2"/>
            <w:tabs>
              <w:tab w:val="left" w:pos="1276"/>
            </w:tabs>
            <w:spacing w:after="0"/>
            <w:rPr>
              <w:rFonts w:asciiTheme="minorHAnsi" w:eastAsiaTheme="minorEastAsia" w:hAnsiTheme="minorHAnsi" w:cstheme="minorBidi"/>
              <w:b w:val="0"/>
              <w:noProof/>
              <w:sz w:val="22"/>
              <w:szCs w:val="22"/>
              <w:lang w:eastAsia="en-AU"/>
            </w:rPr>
          </w:pPr>
          <w:hyperlink w:anchor="_Toc482100449" w:history="1">
            <w:r w:rsidR="002D54AB" w:rsidRPr="00E63F33">
              <w:rPr>
                <w:rStyle w:val="Hyperlink"/>
                <w:noProof/>
              </w:rPr>
              <w:t>4.</w:t>
            </w:r>
            <w:r w:rsidR="002D54AB">
              <w:rPr>
                <w:rFonts w:asciiTheme="minorHAnsi" w:eastAsiaTheme="minorEastAsia" w:hAnsiTheme="minorHAnsi" w:cstheme="minorBidi"/>
                <w:b w:val="0"/>
                <w:noProof/>
                <w:sz w:val="22"/>
                <w:szCs w:val="22"/>
                <w:lang w:eastAsia="en-AU"/>
              </w:rPr>
              <w:tab/>
            </w:r>
            <w:r w:rsidR="002D54AB" w:rsidRPr="00E63F33">
              <w:rPr>
                <w:rStyle w:val="Hyperlink"/>
                <w:noProof/>
              </w:rPr>
              <w:t>Communication and cooperation with overseas regulators</w:t>
            </w:r>
            <w:r w:rsidR="002D54AB">
              <w:rPr>
                <w:noProof/>
                <w:webHidden/>
              </w:rPr>
              <w:tab/>
            </w:r>
            <w:r w:rsidR="002D54AB">
              <w:rPr>
                <w:noProof/>
                <w:webHidden/>
              </w:rPr>
              <w:fldChar w:fldCharType="begin"/>
            </w:r>
            <w:r w:rsidR="002D54AB">
              <w:rPr>
                <w:noProof/>
                <w:webHidden/>
              </w:rPr>
              <w:instrText xml:space="preserve"> PAGEREF _Toc482100449 \h </w:instrText>
            </w:r>
            <w:r w:rsidR="002D54AB">
              <w:rPr>
                <w:noProof/>
                <w:webHidden/>
              </w:rPr>
            </w:r>
            <w:r w:rsidR="002D54AB">
              <w:rPr>
                <w:noProof/>
                <w:webHidden/>
              </w:rPr>
              <w:fldChar w:fldCharType="separate"/>
            </w:r>
            <w:r>
              <w:rPr>
                <w:noProof/>
                <w:webHidden/>
              </w:rPr>
              <w:t>16</w:t>
            </w:r>
            <w:r w:rsidR="002D54AB">
              <w:rPr>
                <w:noProof/>
                <w:webHidden/>
              </w:rPr>
              <w:fldChar w:fldCharType="end"/>
            </w:r>
          </w:hyperlink>
        </w:p>
        <w:p w:rsidR="002D54AB" w:rsidRDefault="00CF63E6" w:rsidP="002D54AB">
          <w:pPr>
            <w:pStyle w:val="TOC2"/>
            <w:tabs>
              <w:tab w:val="left" w:pos="1276"/>
            </w:tabs>
            <w:spacing w:after="0"/>
            <w:rPr>
              <w:rFonts w:asciiTheme="minorHAnsi" w:eastAsiaTheme="minorEastAsia" w:hAnsiTheme="minorHAnsi" w:cstheme="minorBidi"/>
              <w:b w:val="0"/>
              <w:noProof/>
              <w:sz w:val="22"/>
              <w:szCs w:val="22"/>
              <w:lang w:eastAsia="en-AU"/>
            </w:rPr>
          </w:pPr>
          <w:hyperlink w:anchor="_Toc482100450" w:history="1">
            <w:r w:rsidR="002D54AB" w:rsidRPr="00E63F33">
              <w:rPr>
                <w:rStyle w:val="Hyperlink"/>
                <w:noProof/>
              </w:rPr>
              <w:t>5.</w:t>
            </w:r>
            <w:r w:rsidR="002D54AB">
              <w:rPr>
                <w:rFonts w:asciiTheme="minorHAnsi" w:eastAsiaTheme="minorEastAsia" w:hAnsiTheme="minorHAnsi" w:cstheme="minorBidi"/>
                <w:b w:val="0"/>
                <w:noProof/>
                <w:sz w:val="22"/>
                <w:szCs w:val="22"/>
                <w:lang w:eastAsia="en-AU"/>
              </w:rPr>
              <w:tab/>
            </w:r>
            <w:r w:rsidR="002D54AB" w:rsidRPr="00E63F33">
              <w:rPr>
                <w:rStyle w:val="Hyperlink"/>
                <w:noProof/>
              </w:rPr>
              <w:t>Expertise of the overseas regulator</w:t>
            </w:r>
            <w:r w:rsidR="002D54AB">
              <w:rPr>
                <w:noProof/>
                <w:webHidden/>
              </w:rPr>
              <w:tab/>
            </w:r>
            <w:r w:rsidR="002D54AB">
              <w:rPr>
                <w:noProof/>
                <w:webHidden/>
              </w:rPr>
              <w:fldChar w:fldCharType="begin"/>
            </w:r>
            <w:r w:rsidR="002D54AB">
              <w:rPr>
                <w:noProof/>
                <w:webHidden/>
              </w:rPr>
              <w:instrText xml:space="preserve"> PAGEREF _Toc482100450 \h </w:instrText>
            </w:r>
            <w:r w:rsidR="002D54AB">
              <w:rPr>
                <w:noProof/>
                <w:webHidden/>
              </w:rPr>
            </w:r>
            <w:r w:rsidR="002D54AB">
              <w:rPr>
                <w:noProof/>
                <w:webHidden/>
              </w:rPr>
              <w:fldChar w:fldCharType="separate"/>
            </w:r>
            <w:r>
              <w:rPr>
                <w:noProof/>
                <w:webHidden/>
              </w:rPr>
              <w:t>17</w:t>
            </w:r>
            <w:r w:rsidR="002D54AB">
              <w:rPr>
                <w:noProof/>
                <w:webHidden/>
              </w:rPr>
              <w:fldChar w:fldCharType="end"/>
            </w:r>
          </w:hyperlink>
        </w:p>
        <w:p w:rsidR="002D54AB" w:rsidRDefault="00CF63E6" w:rsidP="002D54AB">
          <w:pPr>
            <w:pStyle w:val="TOC1"/>
            <w:spacing w:after="0"/>
            <w:rPr>
              <w:rFonts w:asciiTheme="minorHAnsi" w:eastAsiaTheme="minorEastAsia" w:hAnsiTheme="minorHAnsi" w:cstheme="minorBidi"/>
              <w:b w:val="0"/>
              <w:noProof/>
              <w:sz w:val="22"/>
              <w:szCs w:val="22"/>
              <w:lang w:eastAsia="en-AU"/>
            </w:rPr>
          </w:pPr>
          <w:hyperlink w:anchor="_Toc482100451" w:history="1">
            <w:r w:rsidR="002D54AB" w:rsidRPr="00E63F33">
              <w:rPr>
                <w:rStyle w:val="Hyperlink"/>
                <w:noProof/>
              </w:rPr>
              <w:t>Proposed implementation</w:t>
            </w:r>
            <w:r w:rsidR="002D54AB">
              <w:rPr>
                <w:noProof/>
                <w:webHidden/>
              </w:rPr>
              <w:tab/>
            </w:r>
            <w:r w:rsidR="002D54AB">
              <w:rPr>
                <w:noProof/>
                <w:webHidden/>
              </w:rPr>
              <w:fldChar w:fldCharType="begin"/>
            </w:r>
            <w:r w:rsidR="002D54AB">
              <w:rPr>
                <w:noProof/>
                <w:webHidden/>
              </w:rPr>
              <w:instrText xml:space="preserve"> PAGEREF _Toc482100451 \h </w:instrText>
            </w:r>
            <w:r w:rsidR="002D54AB">
              <w:rPr>
                <w:noProof/>
                <w:webHidden/>
              </w:rPr>
            </w:r>
            <w:r w:rsidR="002D54AB">
              <w:rPr>
                <w:noProof/>
                <w:webHidden/>
              </w:rPr>
              <w:fldChar w:fldCharType="separate"/>
            </w:r>
            <w:r>
              <w:rPr>
                <w:noProof/>
                <w:webHidden/>
              </w:rPr>
              <w:t>17</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52" w:history="1">
            <w:r w:rsidR="002D54AB" w:rsidRPr="00E63F33">
              <w:rPr>
                <w:rStyle w:val="Hyperlink"/>
                <w:noProof/>
              </w:rPr>
              <w:t>Legislative amendments</w:t>
            </w:r>
            <w:r w:rsidR="002D54AB">
              <w:rPr>
                <w:noProof/>
                <w:webHidden/>
              </w:rPr>
              <w:tab/>
            </w:r>
            <w:r w:rsidR="002D54AB">
              <w:rPr>
                <w:noProof/>
                <w:webHidden/>
              </w:rPr>
              <w:fldChar w:fldCharType="begin"/>
            </w:r>
            <w:r w:rsidR="002D54AB">
              <w:rPr>
                <w:noProof/>
                <w:webHidden/>
              </w:rPr>
              <w:instrText xml:space="preserve"> PAGEREF _Toc482100452 \h </w:instrText>
            </w:r>
            <w:r w:rsidR="002D54AB">
              <w:rPr>
                <w:noProof/>
                <w:webHidden/>
              </w:rPr>
            </w:r>
            <w:r w:rsidR="002D54AB">
              <w:rPr>
                <w:noProof/>
                <w:webHidden/>
              </w:rPr>
              <w:fldChar w:fldCharType="separate"/>
            </w:r>
            <w:r>
              <w:rPr>
                <w:noProof/>
                <w:webHidden/>
              </w:rPr>
              <w:t>17</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53" w:history="1">
            <w:r w:rsidR="002D54AB" w:rsidRPr="00E63F33">
              <w:rPr>
                <w:rStyle w:val="Hyperlink"/>
                <w:noProof/>
              </w:rPr>
              <w:t>Operational arrangements</w:t>
            </w:r>
            <w:r w:rsidR="002D54AB">
              <w:rPr>
                <w:noProof/>
                <w:webHidden/>
              </w:rPr>
              <w:tab/>
            </w:r>
            <w:r w:rsidR="002D54AB">
              <w:rPr>
                <w:noProof/>
                <w:webHidden/>
              </w:rPr>
              <w:fldChar w:fldCharType="begin"/>
            </w:r>
            <w:r w:rsidR="002D54AB">
              <w:rPr>
                <w:noProof/>
                <w:webHidden/>
              </w:rPr>
              <w:instrText xml:space="preserve"> PAGEREF _Toc482100453 \h </w:instrText>
            </w:r>
            <w:r w:rsidR="002D54AB">
              <w:rPr>
                <w:noProof/>
                <w:webHidden/>
              </w:rPr>
            </w:r>
            <w:r w:rsidR="002D54AB">
              <w:rPr>
                <w:noProof/>
                <w:webHidden/>
              </w:rPr>
              <w:fldChar w:fldCharType="separate"/>
            </w:r>
            <w:r>
              <w:rPr>
                <w:noProof/>
                <w:webHidden/>
              </w:rPr>
              <w:t>17</w:t>
            </w:r>
            <w:r w:rsidR="002D54AB">
              <w:rPr>
                <w:noProof/>
                <w:webHidden/>
              </w:rPr>
              <w:fldChar w:fldCharType="end"/>
            </w:r>
          </w:hyperlink>
        </w:p>
        <w:p w:rsidR="002D54AB" w:rsidRDefault="00CF63E6" w:rsidP="002D54AB">
          <w:pPr>
            <w:pStyle w:val="TOC1"/>
            <w:spacing w:after="0"/>
            <w:rPr>
              <w:rFonts w:asciiTheme="minorHAnsi" w:eastAsiaTheme="minorEastAsia" w:hAnsiTheme="minorHAnsi" w:cstheme="minorBidi"/>
              <w:b w:val="0"/>
              <w:noProof/>
              <w:sz w:val="22"/>
              <w:szCs w:val="22"/>
              <w:lang w:eastAsia="en-AU"/>
            </w:rPr>
          </w:pPr>
          <w:hyperlink w:anchor="_Toc482100454" w:history="1">
            <w:r w:rsidR="002D54AB" w:rsidRPr="00E63F33">
              <w:rPr>
                <w:rStyle w:val="Hyperlink"/>
                <w:noProof/>
              </w:rPr>
              <w:t>Attachments</w:t>
            </w:r>
            <w:r w:rsidR="002D54AB">
              <w:rPr>
                <w:noProof/>
                <w:webHidden/>
              </w:rPr>
              <w:tab/>
            </w:r>
            <w:r w:rsidR="002D54AB">
              <w:rPr>
                <w:noProof/>
                <w:webHidden/>
              </w:rPr>
              <w:fldChar w:fldCharType="begin"/>
            </w:r>
            <w:r w:rsidR="002D54AB">
              <w:rPr>
                <w:noProof/>
                <w:webHidden/>
              </w:rPr>
              <w:instrText xml:space="preserve"> PAGEREF _Toc482100454 \h </w:instrText>
            </w:r>
            <w:r w:rsidR="002D54AB">
              <w:rPr>
                <w:noProof/>
                <w:webHidden/>
              </w:rPr>
            </w:r>
            <w:r w:rsidR="002D54AB">
              <w:rPr>
                <w:noProof/>
                <w:webHidden/>
              </w:rPr>
              <w:fldChar w:fldCharType="separate"/>
            </w:r>
            <w:r>
              <w:rPr>
                <w:noProof/>
                <w:webHidden/>
              </w:rPr>
              <w:t>19</w:t>
            </w:r>
            <w:r w:rsidR="002D54AB">
              <w:rPr>
                <w:noProof/>
                <w:webHidden/>
              </w:rPr>
              <w:fldChar w:fldCharType="end"/>
            </w:r>
          </w:hyperlink>
        </w:p>
        <w:p w:rsidR="002D54AB" w:rsidRDefault="00CF63E6" w:rsidP="002D54AB">
          <w:pPr>
            <w:pStyle w:val="TOC2"/>
            <w:spacing w:after="0"/>
            <w:rPr>
              <w:rFonts w:asciiTheme="minorHAnsi" w:eastAsiaTheme="minorEastAsia" w:hAnsiTheme="minorHAnsi" w:cstheme="minorBidi"/>
              <w:b w:val="0"/>
              <w:noProof/>
              <w:sz w:val="22"/>
              <w:szCs w:val="22"/>
              <w:lang w:eastAsia="en-AU"/>
            </w:rPr>
          </w:pPr>
          <w:hyperlink w:anchor="_Toc482100455" w:history="1">
            <w:r w:rsidR="002D54AB" w:rsidRPr="00E63F33">
              <w:rPr>
                <w:rStyle w:val="Hyperlink"/>
                <w:noProof/>
              </w:rPr>
              <w:t>Attachment A - TGA assessment of medical devices</w:t>
            </w:r>
            <w:r w:rsidR="002D54AB">
              <w:rPr>
                <w:noProof/>
                <w:webHidden/>
              </w:rPr>
              <w:tab/>
            </w:r>
            <w:r w:rsidR="002D54AB">
              <w:rPr>
                <w:noProof/>
                <w:webHidden/>
              </w:rPr>
              <w:fldChar w:fldCharType="begin"/>
            </w:r>
            <w:r w:rsidR="002D54AB">
              <w:rPr>
                <w:noProof/>
                <w:webHidden/>
              </w:rPr>
              <w:instrText xml:space="preserve"> PAGEREF _Toc482100455 \h </w:instrText>
            </w:r>
            <w:r w:rsidR="002D54AB">
              <w:rPr>
                <w:noProof/>
                <w:webHidden/>
              </w:rPr>
            </w:r>
            <w:r w:rsidR="002D54AB">
              <w:rPr>
                <w:noProof/>
                <w:webHidden/>
              </w:rPr>
              <w:fldChar w:fldCharType="separate"/>
            </w:r>
            <w:r>
              <w:rPr>
                <w:noProof/>
                <w:webHidden/>
              </w:rPr>
              <w:t>19</w:t>
            </w:r>
            <w:r w:rsidR="002D54AB">
              <w:rPr>
                <w:noProof/>
                <w:webHidden/>
              </w:rPr>
              <w:fldChar w:fldCharType="end"/>
            </w:r>
          </w:hyperlink>
        </w:p>
        <w:p w:rsidR="007F3EA0" w:rsidRPr="002D54AB" w:rsidRDefault="006C626D" w:rsidP="002D54AB">
          <w:pPr>
            <w:pStyle w:val="TOC2"/>
            <w:spacing w:after="0"/>
            <w:ind w:left="0"/>
            <w:rPr>
              <w:sz w:val="2"/>
              <w:szCs w:val="2"/>
            </w:rPr>
          </w:pPr>
          <w:r w:rsidRPr="009401F6">
            <w:fldChar w:fldCharType="end"/>
          </w:r>
        </w:p>
      </w:sdtContent>
    </w:sdt>
    <w:p w:rsidR="001525B4" w:rsidRDefault="009A76E9" w:rsidP="00791A1B">
      <w:pPr>
        <w:pStyle w:val="Heading2"/>
      </w:pPr>
      <w:bookmarkStart w:id="2" w:name="_Toc482100425"/>
      <w:bookmarkEnd w:id="0"/>
      <w:r>
        <w:lastRenderedPageBreak/>
        <w:t>Purpose and s</w:t>
      </w:r>
      <w:r w:rsidR="000E4470">
        <w:t>cope</w:t>
      </w:r>
      <w:bookmarkEnd w:id="2"/>
    </w:p>
    <w:p w:rsidR="00DF554F" w:rsidRDefault="00DF554F" w:rsidP="004D55B3">
      <w:r w:rsidRPr="00FE19F1">
        <w:t xml:space="preserve">The Therapeutic Goods Administration (TGA) is seeking comments on </w:t>
      </w:r>
      <w:r>
        <w:t xml:space="preserve">the use of </w:t>
      </w:r>
      <w:r w:rsidRPr="00056793">
        <w:t xml:space="preserve">marketing approval for </w:t>
      </w:r>
      <w:r w:rsidR="0014265D">
        <w:t>a</w:t>
      </w:r>
      <w:r w:rsidR="0014265D" w:rsidRPr="00056793">
        <w:t xml:space="preserve"> </w:t>
      </w:r>
      <w:r w:rsidRPr="00056793">
        <w:t>device in an overseas market</w:t>
      </w:r>
      <w:r w:rsidR="0014265D">
        <w:t xml:space="preserve"> to support inclusion of the device in the Australian Register of Therapeutic Goods (ARTG). This includes </w:t>
      </w:r>
      <w:r>
        <w:t xml:space="preserve">proposed criteria </w:t>
      </w:r>
      <w:r w:rsidRPr="00FE19F1">
        <w:t xml:space="preserve">to identify </w:t>
      </w:r>
      <w:r w:rsidRPr="00FE19F1">
        <w:rPr>
          <w:szCs w:val="22"/>
        </w:rPr>
        <w:t xml:space="preserve">comparable overseas regulators </w:t>
      </w:r>
      <w:r>
        <w:t xml:space="preserve">and mechanisms </w:t>
      </w:r>
      <w:r w:rsidRPr="00FE19F1">
        <w:t xml:space="preserve">to allow consideration of </w:t>
      </w:r>
      <w:r>
        <w:t>such</w:t>
      </w:r>
      <w:r w:rsidRPr="00FE19F1">
        <w:t xml:space="preserve"> overseas marketing approvals when deciding w</w:t>
      </w:r>
      <w:r>
        <w:t>h</w:t>
      </w:r>
      <w:r w:rsidRPr="00FE19F1">
        <w:t>ether a medical device should be approved for the Australian market.</w:t>
      </w:r>
    </w:p>
    <w:p w:rsidR="00A470F3" w:rsidRDefault="00A470F3" w:rsidP="00A470F3">
      <w:r>
        <w:t xml:space="preserve">The purpose of the criteria is to identify regulators with similar standards to the TGA, </w:t>
      </w:r>
      <w:r w:rsidR="00F71490">
        <w:t xml:space="preserve">and </w:t>
      </w:r>
      <w:r>
        <w:t>to allow confidence in the assessment undertaken by the regulator or the third parties that are oversighted by them</w:t>
      </w:r>
      <w:r w:rsidR="007F7E7A">
        <w:t>, so as to avoid duplication of work in Australia with</w:t>
      </w:r>
      <w:r w:rsidR="004D55B3">
        <w:t>out compromising public safety.</w:t>
      </w:r>
    </w:p>
    <w:p w:rsidR="00A470F3" w:rsidRDefault="00DF554F" w:rsidP="00E95760">
      <w:pPr>
        <w:spacing w:after="120"/>
      </w:pPr>
      <w:r w:rsidRPr="00FA571B">
        <w:t>We are specifically looking for feedback on</w:t>
      </w:r>
      <w:r w:rsidR="00A470F3">
        <w:t xml:space="preserve"> criteria for identifying</w:t>
      </w:r>
      <w:r w:rsidRPr="00FA571B">
        <w:t>:</w:t>
      </w:r>
    </w:p>
    <w:p w:rsidR="00DF554F" w:rsidRPr="00C8721B" w:rsidRDefault="00DF554F" w:rsidP="00E61A04">
      <w:pPr>
        <w:pStyle w:val="ListBullet"/>
      </w:pPr>
      <w:r w:rsidRPr="00C8721B">
        <w:t>comparable overseas regulators to allow consideration of their market authorisation decisions</w:t>
      </w:r>
      <w:r w:rsidR="00A470F3" w:rsidRPr="00C8721B">
        <w:t>; and</w:t>
      </w:r>
    </w:p>
    <w:p w:rsidR="00DF554F" w:rsidRPr="00C8721B" w:rsidRDefault="00DF554F" w:rsidP="00E61A04">
      <w:pPr>
        <w:pStyle w:val="ListBullet"/>
      </w:pPr>
      <w:proofErr w:type="gramStart"/>
      <w:r w:rsidRPr="00C8721B">
        <w:t>overseas</w:t>
      </w:r>
      <w:proofErr w:type="gramEnd"/>
      <w:r w:rsidR="00A470F3" w:rsidRPr="00C8721B">
        <w:t xml:space="preserve"> designating authorities</w:t>
      </w:r>
      <w:r w:rsidRPr="00C8721B">
        <w:t xml:space="preserve"> that are comparable to the TGA to allow confidence in the third parties they designate</w:t>
      </w:r>
      <w:r w:rsidR="00A470F3" w:rsidRPr="00C8721B">
        <w:t>.</w:t>
      </w:r>
    </w:p>
    <w:p w:rsidR="00B23139" w:rsidRDefault="00DF554F" w:rsidP="00DF554F">
      <w:r w:rsidRPr="00FA571B" w:rsidDel="00484299">
        <w:t xml:space="preserve">This consultation focusses on how these criteria will be applied within the </w:t>
      </w:r>
      <w:r w:rsidRPr="00FA571B">
        <w:t>medical devices</w:t>
      </w:r>
      <w:r w:rsidRPr="00FA571B" w:rsidDel="00484299">
        <w:t xml:space="preserve"> context. </w:t>
      </w:r>
      <w:r w:rsidR="00B23139">
        <w:t>Submission of your views o</w:t>
      </w:r>
      <w:r w:rsidR="00567939">
        <w:t>n this proposal is appreciated.</w:t>
      </w:r>
    </w:p>
    <w:p w:rsidR="000E4470" w:rsidRPr="00DC3AB8" w:rsidRDefault="000E4470" w:rsidP="00DC3AB8">
      <w:pPr>
        <w:pStyle w:val="Heading2"/>
      </w:pPr>
      <w:bookmarkStart w:id="3" w:name="_Toc482100426"/>
      <w:r>
        <w:t>Background</w:t>
      </w:r>
      <w:bookmarkEnd w:id="3"/>
    </w:p>
    <w:p w:rsidR="00A47DD1" w:rsidRDefault="00A47DD1" w:rsidP="007A23F7">
      <w:pPr>
        <w:pStyle w:val="Heading3"/>
      </w:pPr>
      <w:bookmarkStart w:id="4" w:name="_Toc482100427"/>
      <w:r>
        <w:t>MMDR</w:t>
      </w:r>
      <w:bookmarkEnd w:id="4"/>
    </w:p>
    <w:p w:rsidR="00A47DD1" w:rsidRPr="009D23B7" w:rsidRDefault="00A47DD1" w:rsidP="00A47DD1">
      <w:pPr>
        <w:rPr>
          <w:szCs w:val="22"/>
        </w:rPr>
      </w:pPr>
      <w:r w:rsidRPr="009D23B7">
        <w:rPr>
          <w:szCs w:val="22"/>
        </w:rPr>
        <w:t xml:space="preserve">The </w:t>
      </w:r>
      <w:r w:rsidR="0082599F">
        <w:rPr>
          <w:szCs w:val="22"/>
        </w:rPr>
        <w:t>expert p</w:t>
      </w:r>
      <w:r w:rsidR="0082599F" w:rsidRPr="009D23B7">
        <w:rPr>
          <w:szCs w:val="22"/>
        </w:rPr>
        <w:t xml:space="preserve">anel </w:t>
      </w:r>
      <w:r w:rsidRPr="009D23B7">
        <w:rPr>
          <w:szCs w:val="22"/>
        </w:rPr>
        <w:t xml:space="preserve">conducting the Review of </w:t>
      </w:r>
      <w:hyperlink r:id="rId14" w:history="1">
        <w:r w:rsidRPr="009D23B7">
          <w:rPr>
            <w:rStyle w:val="Hyperlink"/>
            <w:szCs w:val="22"/>
          </w:rPr>
          <w:t>Medicines and Medical Devices Regulation</w:t>
        </w:r>
      </w:hyperlink>
      <w:r w:rsidRPr="009D23B7">
        <w:rPr>
          <w:rStyle w:val="FootnoteReference"/>
          <w:szCs w:val="22"/>
        </w:rPr>
        <w:footnoteReference w:id="1"/>
      </w:r>
      <w:r w:rsidRPr="009D23B7">
        <w:rPr>
          <w:szCs w:val="22"/>
        </w:rPr>
        <w:t xml:space="preserve"> (MMDR) made recommendations aimed at streamlining the TGA’s processes for including medical devices in the Australian Register of Therapeutic Goods, </w:t>
      </w:r>
      <w:r>
        <w:rPr>
          <w:szCs w:val="22"/>
        </w:rPr>
        <w:t>in order to</w:t>
      </w:r>
      <w:r w:rsidRPr="009D23B7">
        <w:rPr>
          <w:szCs w:val="22"/>
        </w:rPr>
        <w:t xml:space="preserve"> improv</w:t>
      </w:r>
      <w:r>
        <w:rPr>
          <w:szCs w:val="22"/>
        </w:rPr>
        <w:t>e the</w:t>
      </w:r>
      <w:r w:rsidRPr="009D23B7">
        <w:rPr>
          <w:szCs w:val="22"/>
        </w:rPr>
        <w:t xml:space="preserve"> timel</w:t>
      </w:r>
      <w:r>
        <w:rPr>
          <w:szCs w:val="22"/>
        </w:rPr>
        <w:t>iness of</w:t>
      </w:r>
      <w:r w:rsidRPr="009D23B7">
        <w:rPr>
          <w:szCs w:val="22"/>
        </w:rPr>
        <w:t xml:space="preserve"> access by Australian co</w:t>
      </w:r>
      <w:r w:rsidR="00567939">
        <w:rPr>
          <w:szCs w:val="22"/>
        </w:rPr>
        <w:t>nsumers to new medical devices.</w:t>
      </w:r>
    </w:p>
    <w:p w:rsidR="000F2C91" w:rsidRDefault="0082599F" w:rsidP="00A47DD1">
      <w:pPr>
        <w:rPr>
          <w:szCs w:val="22"/>
        </w:rPr>
      </w:pPr>
      <w:r>
        <w:rPr>
          <w:szCs w:val="22"/>
        </w:rPr>
        <w:t>The Government has decided</w:t>
      </w:r>
      <w:r w:rsidR="0026731B">
        <w:rPr>
          <w:rStyle w:val="FootnoteReference"/>
          <w:szCs w:val="22"/>
        </w:rPr>
        <w:footnoteReference w:id="2"/>
      </w:r>
      <w:r>
        <w:rPr>
          <w:szCs w:val="22"/>
        </w:rPr>
        <w:t xml:space="preserve"> </w:t>
      </w:r>
      <w:r w:rsidR="00A47DD1" w:rsidRPr="00AD5652">
        <w:rPr>
          <w:szCs w:val="22"/>
        </w:rPr>
        <w:t xml:space="preserve">that the TGA should make greater use of marketing approvals for devices in overseas markets when the device has been approved by a </w:t>
      </w:r>
      <w:r w:rsidR="00A47DD1">
        <w:rPr>
          <w:szCs w:val="22"/>
        </w:rPr>
        <w:t xml:space="preserve">third party that has been designated by an authority that is similar to the TGA or by a </w:t>
      </w:r>
      <w:r w:rsidR="00FD502D">
        <w:rPr>
          <w:szCs w:val="22"/>
        </w:rPr>
        <w:t xml:space="preserve">comparable overseas regulator </w:t>
      </w:r>
      <w:r w:rsidR="00A47DD1">
        <w:rPr>
          <w:szCs w:val="22"/>
        </w:rPr>
        <w:t>(</w:t>
      </w:r>
      <w:r>
        <w:rPr>
          <w:szCs w:val="22"/>
        </w:rPr>
        <w:t xml:space="preserve">in line with MMDR </w:t>
      </w:r>
      <w:r w:rsidR="00A47DD1">
        <w:rPr>
          <w:szCs w:val="22"/>
        </w:rPr>
        <w:t>Recommen</w:t>
      </w:r>
      <w:r w:rsidR="00567939">
        <w:rPr>
          <w:szCs w:val="22"/>
        </w:rPr>
        <w:t>dation 15, Pathways 2A &amp; 2B).</w:t>
      </w:r>
    </w:p>
    <w:p w:rsidR="000F2C91" w:rsidRDefault="0082599F" w:rsidP="00A47DD1">
      <w:r>
        <w:t xml:space="preserve">The Government accepted-in-principle </w:t>
      </w:r>
      <w:r w:rsidR="000F2C91" w:rsidRPr="00497659">
        <w:t>the MMDR review recommended that the TGA develop</w:t>
      </w:r>
      <w:r w:rsidR="000F2C91">
        <w:t xml:space="preserve"> and apply transparent criteria </w:t>
      </w:r>
      <w:r w:rsidR="000F2C91" w:rsidRPr="00497659">
        <w:t xml:space="preserve">for identifying </w:t>
      </w:r>
      <w:r w:rsidR="000F2C91">
        <w:rPr>
          <w:szCs w:val="22"/>
        </w:rPr>
        <w:t>comparable overseas regulator</w:t>
      </w:r>
      <w:r w:rsidR="000F2C91" w:rsidRPr="00497659">
        <w:t>s</w:t>
      </w:r>
      <w:r w:rsidR="00E95760">
        <w:t xml:space="preserve"> and designating authorities (R</w:t>
      </w:r>
      <w:r w:rsidR="000F2C91">
        <w:t>ecommendation 17), taking into consideration:</w:t>
      </w:r>
    </w:p>
    <w:p w:rsidR="000F2C91" w:rsidRPr="004A2F25" w:rsidRDefault="000F2C91" w:rsidP="00E61A04">
      <w:pPr>
        <w:pStyle w:val="Numberbullet"/>
      </w:pPr>
      <w:r w:rsidRPr="004A2F25">
        <w:t>Population de</w:t>
      </w:r>
      <w:r w:rsidR="00567939" w:rsidRPr="004A2F25">
        <w:t>mographics and health outcomes.</w:t>
      </w:r>
    </w:p>
    <w:p w:rsidR="000F2C91" w:rsidRPr="004A2F25" w:rsidRDefault="000F2C91" w:rsidP="00E61A04">
      <w:pPr>
        <w:pStyle w:val="Numberbullet"/>
      </w:pPr>
      <w:r w:rsidRPr="004A2F25">
        <w:t xml:space="preserve">Adoption of </w:t>
      </w:r>
      <w:r w:rsidR="00EB4FA7" w:rsidRPr="004A2F25">
        <w:t xml:space="preserve">Global Harmonisation Taskforce (GHTF) </w:t>
      </w:r>
      <w:r w:rsidR="00567939" w:rsidRPr="004A2F25">
        <w:t>guidelines.</w:t>
      </w:r>
    </w:p>
    <w:p w:rsidR="000F2C91" w:rsidRPr="000F2C91" w:rsidRDefault="000F2C91" w:rsidP="00E61A04">
      <w:pPr>
        <w:pStyle w:val="Numberbullet"/>
      </w:pPr>
      <w:r w:rsidRPr="004A2F25">
        <w:t>The track record of the organisation in evaluating/assessing medical devices and/or oversighting the evalu</w:t>
      </w:r>
      <w:r w:rsidRPr="000F2C91">
        <w:t>ation/assessment of medic</w:t>
      </w:r>
      <w:r w:rsidR="00567939">
        <w:t>al devices.</w:t>
      </w:r>
    </w:p>
    <w:p w:rsidR="000F2C91" w:rsidRPr="000F2C91" w:rsidRDefault="00567939" w:rsidP="00E61A04">
      <w:pPr>
        <w:pStyle w:val="Numberbullet"/>
      </w:pPr>
      <w:r>
        <w:t>Independence and impartiality.</w:t>
      </w:r>
    </w:p>
    <w:p w:rsidR="000F2C91" w:rsidRPr="000F2C91" w:rsidRDefault="000F2C91" w:rsidP="00E61A04">
      <w:pPr>
        <w:pStyle w:val="Numberbullet"/>
      </w:pPr>
      <w:r w:rsidRPr="000F2C91">
        <w:lastRenderedPageBreak/>
        <w:t>Transpa</w:t>
      </w:r>
      <w:r w:rsidR="00567939">
        <w:t>rency of systems and processes.</w:t>
      </w:r>
    </w:p>
    <w:p w:rsidR="000F2C91" w:rsidRPr="000F2C91" w:rsidRDefault="00567939" w:rsidP="00E61A04">
      <w:pPr>
        <w:pStyle w:val="Numberbullet"/>
      </w:pPr>
      <w:r>
        <w:t>Technical competence.</w:t>
      </w:r>
    </w:p>
    <w:p w:rsidR="000F2C91" w:rsidRPr="000F2C91" w:rsidRDefault="000F2C91" w:rsidP="00E61A04">
      <w:pPr>
        <w:pStyle w:val="Numberbullet"/>
      </w:pPr>
      <w:r w:rsidRPr="000F2C91">
        <w:t>Utilisation</w:t>
      </w:r>
      <w:r w:rsidR="00567939">
        <w:t xml:space="preserve"> of Quality Management Systems.</w:t>
      </w:r>
    </w:p>
    <w:p w:rsidR="000F2C91" w:rsidRPr="000F2C91" w:rsidRDefault="000F2C91" w:rsidP="00E61A04">
      <w:pPr>
        <w:pStyle w:val="Numberbullet"/>
      </w:pPr>
      <w:r w:rsidRPr="000F2C91">
        <w:t>Accountability, incl</w:t>
      </w:r>
      <w:r w:rsidR="00567939">
        <w:t>uding independent review/audit.</w:t>
      </w:r>
    </w:p>
    <w:p w:rsidR="000F2C91" w:rsidRPr="000F2C91" w:rsidRDefault="00567939" w:rsidP="00E61A04">
      <w:pPr>
        <w:pStyle w:val="Numberbullet"/>
      </w:pPr>
      <w:r>
        <w:t>Reporting and communication.</w:t>
      </w:r>
    </w:p>
    <w:p w:rsidR="000F2C91" w:rsidRPr="000F2C91" w:rsidRDefault="000F2C91" w:rsidP="00E61A04">
      <w:pPr>
        <w:pStyle w:val="Numberbullet"/>
      </w:pPr>
      <w:r w:rsidRPr="000F2C91">
        <w:t xml:space="preserve">Timeliness of access </w:t>
      </w:r>
      <w:r w:rsidR="00567939">
        <w:t>to information and data.</w:t>
      </w:r>
    </w:p>
    <w:p w:rsidR="000F2C91" w:rsidRPr="000F2C91" w:rsidRDefault="000F2C91" w:rsidP="00E61A04">
      <w:pPr>
        <w:pStyle w:val="Numberbullet"/>
      </w:pPr>
      <w:r w:rsidRPr="000F2C91">
        <w:t>Compatibility of evaluation/assessment of medical devices with the A</w:t>
      </w:r>
      <w:r w:rsidR="00567939">
        <w:t>ustralian Essential Principles.</w:t>
      </w:r>
    </w:p>
    <w:p w:rsidR="000F2C91" w:rsidRDefault="000F2C91" w:rsidP="00A47DD1">
      <w:pPr>
        <w:rPr>
          <w:szCs w:val="22"/>
        </w:rPr>
      </w:pPr>
      <w:r w:rsidRPr="00497659">
        <w:t>Consequently, t</w:t>
      </w:r>
      <w:r w:rsidRPr="00497659">
        <w:rPr>
          <w:szCs w:val="22"/>
        </w:rPr>
        <w:t xml:space="preserve">his paper expands on the </w:t>
      </w:r>
      <w:r>
        <w:rPr>
          <w:szCs w:val="22"/>
        </w:rPr>
        <w:t xml:space="preserve">factors for consideration </w:t>
      </w:r>
      <w:r w:rsidRPr="00497659">
        <w:rPr>
          <w:szCs w:val="22"/>
        </w:rPr>
        <w:t>outl</w:t>
      </w:r>
      <w:r>
        <w:rPr>
          <w:szCs w:val="22"/>
        </w:rPr>
        <w:t xml:space="preserve">ined in the MMDR </w:t>
      </w:r>
      <w:r w:rsidR="0082599F">
        <w:rPr>
          <w:szCs w:val="22"/>
        </w:rPr>
        <w:t>report</w:t>
      </w:r>
      <w:r w:rsidRPr="00497659">
        <w:rPr>
          <w:szCs w:val="22"/>
        </w:rPr>
        <w:t xml:space="preserve"> </w:t>
      </w:r>
      <w:r>
        <w:rPr>
          <w:szCs w:val="22"/>
        </w:rPr>
        <w:t xml:space="preserve">in developing the </w:t>
      </w:r>
      <w:r w:rsidR="0082599F">
        <w:rPr>
          <w:szCs w:val="22"/>
        </w:rPr>
        <w:t xml:space="preserve">proposed </w:t>
      </w:r>
      <w:r>
        <w:rPr>
          <w:szCs w:val="22"/>
        </w:rPr>
        <w:t xml:space="preserve">criteria </w:t>
      </w:r>
      <w:r w:rsidRPr="00497659">
        <w:rPr>
          <w:szCs w:val="22"/>
        </w:rPr>
        <w:t>and outlines how these would be applied.</w:t>
      </w:r>
    </w:p>
    <w:p w:rsidR="00A47DD1" w:rsidRDefault="00A47DD1" w:rsidP="00A47DD1">
      <w:pPr>
        <w:rPr>
          <w:szCs w:val="22"/>
        </w:rPr>
      </w:pPr>
      <w:r w:rsidRPr="009D23B7">
        <w:rPr>
          <w:szCs w:val="22"/>
        </w:rPr>
        <w:t>In using internati</w:t>
      </w:r>
      <w:r w:rsidRPr="00544015">
        <w:t>onal approvals to support Australian Register of Therapeutic Goods (ARTG) inclusion, the TGA</w:t>
      </w:r>
      <w:r w:rsidRPr="009D23B7">
        <w:rPr>
          <w:szCs w:val="22"/>
        </w:rPr>
        <w:t xml:space="preserve"> would continue to make the final regulatory decisions, ensuring that quality and safety are not compromised and that the Australian context is taken into account.</w:t>
      </w:r>
      <w:r w:rsidR="00A02DC1">
        <w:rPr>
          <w:szCs w:val="22"/>
        </w:rPr>
        <w:t xml:space="preserve"> </w:t>
      </w:r>
      <w:r>
        <w:rPr>
          <w:szCs w:val="22"/>
        </w:rPr>
        <w:t xml:space="preserve">These considerations </w:t>
      </w:r>
      <w:r w:rsidR="000F2C91">
        <w:rPr>
          <w:szCs w:val="22"/>
        </w:rPr>
        <w:t xml:space="preserve">(outlined in </w:t>
      </w:r>
      <w:r w:rsidR="0082599F">
        <w:rPr>
          <w:szCs w:val="22"/>
        </w:rPr>
        <w:t xml:space="preserve">MMDR </w:t>
      </w:r>
      <w:r w:rsidR="000F2C91">
        <w:rPr>
          <w:szCs w:val="22"/>
        </w:rPr>
        <w:t xml:space="preserve">Recommendation 18) </w:t>
      </w:r>
      <w:r>
        <w:rPr>
          <w:szCs w:val="22"/>
        </w:rPr>
        <w:t>include whether:</w:t>
      </w:r>
    </w:p>
    <w:p w:rsidR="00A47DD1" w:rsidRPr="004A2F25" w:rsidRDefault="00A47DD1" w:rsidP="00E61A04">
      <w:pPr>
        <w:pStyle w:val="Numberbullet"/>
        <w:numPr>
          <w:ilvl w:val="0"/>
          <w:numId w:val="11"/>
        </w:numPr>
      </w:pPr>
      <w:r w:rsidRPr="004A2F25">
        <w:t>the device has been correctly classified</w:t>
      </w:r>
      <w:r w:rsidR="0014265D" w:rsidRPr="004A2F25">
        <w:t xml:space="preserve"> under the Australian regulatory framework</w:t>
      </w:r>
      <w:r w:rsidR="00567939" w:rsidRPr="004A2F25">
        <w:t>; and</w:t>
      </w:r>
    </w:p>
    <w:p w:rsidR="00270709" w:rsidRPr="0053039E" w:rsidRDefault="00A47DD1" w:rsidP="00E61A04">
      <w:pPr>
        <w:pStyle w:val="Numberbullet"/>
      </w:pPr>
      <w:r w:rsidRPr="0053039E">
        <w:t xml:space="preserve">the ‘marketing approval’ documentation is in </w:t>
      </w:r>
      <w:r w:rsidR="007F7E7A">
        <w:t xml:space="preserve">complete and correct </w:t>
      </w:r>
      <w:r w:rsidRPr="0053039E">
        <w:t>and meets Australian requirements; and</w:t>
      </w:r>
    </w:p>
    <w:p w:rsidR="0014265D" w:rsidRDefault="00A47DD1" w:rsidP="00E61A04">
      <w:pPr>
        <w:pStyle w:val="Numberbullet"/>
      </w:pPr>
      <w:r w:rsidRPr="0053039E">
        <w:t xml:space="preserve">the product is identical to the one assessed by the </w:t>
      </w:r>
      <w:r w:rsidR="00FD502D" w:rsidRPr="00270709">
        <w:t>comparable overseas regulator</w:t>
      </w:r>
      <w:r>
        <w:t xml:space="preserve"> or designated third party</w:t>
      </w:r>
      <w:r w:rsidRPr="0053039E">
        <w:t>, having been made in the same manufacturing facility, of the same materials, and for the same intended purpose</w:t>
      </w:r>
      <w:r w:rsidR="0014265D">
        <w:t>; and</w:t>
      </w:r>
    </w:p>
    <w:p w:rsidR="00A47DD1" w:rsidRPr="0053039E" w:rsidRDefault="0014265D" w:rsidP="00E61A04">
      <w:pPr>
        <w:pStyle w:val="Numberbullet"/>
      </w:pPr>
      <w:r>
        <w:t>in meeting the Australian requirements the device complies with the relevant state-of-the-art standards for use in the Australian health system</w:t>
      </w:r>
      <w:r w:rsidR="00A47DD1" w:rsidRPr="0053039E">
        <w:t>; and</w:t>
      </w:r>
    </w:p>
    <w:p w:rsidR="00A47DD1" w:rsidRPr="0053039E" w:rsidRDefault="00A47DD1" w:rsidP="00E61A04">
      <w:pPr>
        <w:pStyle w:val="Numberbullet"/>
      </w:pPr>
      <w:r w:rsidRPr="0053039E">
        <w:t>there are any specific issues regarding applicability to the Australian context that need to be examined, including in respect to post-market monitoring and risk management; and</w:t>
      </w:r>
    </w:p>
    <w:p w:rsidR="00A47DD1" w:rsidRDefault="00A47DD1" w:rsidP="00E61A04">
      <w:pPr>
        <w:pStyle w:val="Numberbullet"/>
      </w:pPr>
      <w:r w:rsidRPr="0053039E">
        <w:t>proposed product labelling and product information/instructions are appropriate and consistent w</w:t>
      </w:r>
      <w:r>
        <w:t>ith Australian requirements; and</w:t>
      </w:r>
    </w:p>
    <w:p w:rsidR="00A47DD1" w:rsidRPr="0053039E" w:rsidRDefault="00A47DD1" w:rsidP="00E61A04">
      <w:pPr>
        <w:pStyle w:val="Numberbullet"/>
      </w:pPr>
      <w:proofErr w:type="gramStart"/>
      <w:r>
        <w:t>a</w:t>
      </w:r>
      <w:r w:rsidRPr="004A3FE7">
        <w:t>ny</w:t>
      </w:r>
      <w:proofErr w:type="gramEnd"/>
      <w:r w:rsidRPr="004A3FE7">
        <w:t xml:space="preserve"> conditions or provisions that are imposed on the marketing approval of the medical device under the terms of the overseas marketing approval are able to be replicated and complied with in the Australian market.</w:t>
      </w:r>
    </w:p>
    <w:p w:rsidR="00A02DC1" w:rsidRDefault="00A47DD1" w:rsidP="00E61A04">
      <w:pPr>
        <w:pStyle w:val="Numberbullet"/>
      </w:pPr>
      <w:r w:rsidRPr="00497659">
        <w:t>To ensure clarity and consistency in processes, the MMDR review also recommended that the TGA develop</w:t>
      </w:r>
      <w:r>
        <w:t xml:space="preserve"> and apply transparent criteria </w:t>
      </w:r>
      <w:r w:rsidRPr="00497659">
        <w:t xml:space="preserve">for identifying </w:t>
      </w:r>
      <w:r w:rsidR="00FD502D" w:rsidRPr="00A02DC1">
        <w:rPr>
          <w:szCs w:val="22"/>
        </w:rPr>
        <w:t>comparable overseas regulator</w:t>
      </w:r>
      <w:r w:rsidRPr="00497659">
        <w:t>s</w:t>
      </w:r>
      <w:r w:rsidR="00E95760">
        <w:t xml:space="preserve"> and designating authorities (R</w:t>
      </w:r>
      <w:r>
        <w:t>ecommendation 17)</w:t>
      </w:r>
      <w:r w:rsidRPr="00497659">
        <w:t>. Consequently, t</w:t>
      </w:r>
      <w:r w:rsidRPr="00A02DC1">
        <w:rPr>
          <w:szCs w:val="22"/>
        </w:rPr>
        <w:t>his paper expands on the draft criteria outlined in the MMDR recommendations and outlines how these would be applied.</w:t>
      </w:r>
    </w:p>
    <w:p w:rsidR="00DC4C8C" w:rsidRPr="00DC4C8C" w:rsidRDefault="00DC4C8C" w:rsidP="00544015">
      <w:pPr>
        <w:pStyle w:val="Heading3"/>
      </w:pPr>
      <w:bookmarkStart w:id="5" w:name="_Toc482100428"/>
      <w:r w:rsidRPr="00DC4C8C">
        <w:t>Current use of overseas assessments</w:t>
      </w:r>
      <w:bookmarkEnd w:id="5"/>
    </w:p>
    <w:p w:rsidR="00DC4C8C" w:rsidRDefault="00DC4C8C" w:rsidP="00544015">
      <w:r>
        <w:t>TGA may currently use assessments by overseas regulators or the bodies they designate in two key ways:</w:t>
      </w:r>
    </w:p>
    <w:p w:rsidR="00DC4C8C" w:rsidRPr="00C63677" w:rsidRDefault="00DC4C8C" w:rsidP="00E61A04">
      <w:pPr>
        <w:pStyle w:val="ListBullet"/>
      </w:pPr>
      <w:r w:rsidRPr="00F9431C">
        <w:rPr>
          <w:b/>
          <w:i/>
        </w:rPr>
        <w:t>Conformity assessment</w:t>
      </w:r>
      <w:r>
        <w:rPr>
          <w:b/>
          <w:i/>
        </w:rPr>
        <w:t>:</w:t>
      </w:r>
      <w:r>
        <w:t xml:space="preserve"> may be </w:t>
      </w:r>
      <w:r w:rsidR="00270709">
        <w:t xml:space="preserve">used to </w:t>
      </w:r>
      <w:r>
        <w:t>abridge</w:t>
      </w:r>
      <w:r w:rsidR="00270709">
        <w:t xml:space="preserve"> assessment</w:t>
      </w:r>
      <w:r>
        <w:t xml:space="preserve"> (to a lesser or greater extent) where evidence of assessment by an overseas regulator is submitted as support for the application. This is typically the detailed audit or design examination reports from European notified bodies. </w:t>
      </w:r>
      <w:r w:rsidRPr="00C8721B">
        <w:t>The TGA reserves the right to conduct a full assessment if the TGA is not fully satisfied with the evidence of compliance provided</w:t>
      </w:r>
      <w:r w:rsidR="00270709">
        <w:t xml:space="preserve"> by the applicant</w:t>
      </w:r>
      <w:r w:rsidR="00567939">
        <w:t>.</w:t>
      </w:r>
    </w:p>
    <w:p w:rsidR="00DC4C8C" w:rsidRPr="00C8721B" w:rsidRDefault="00DC4C8C" w:rsidP="00DC4C8C">
      <w:pPr>
        <w:pStyle w:val="ListBullet2"/>
        <w:numPr>
          <w:ilvl w:val="0"/>
          <w:numId w:val="0"/>
        </w:numPr>
        <w:ind w:left="357"/>
      </w:pPr>
      <w:r>
        <w:lastRenderedPageBreak/>
        <w:t>On-site audits of the quality management system assessments may be abridged based on site visits and detailed supporting reports from overseas regulators</w:t>
      </w:r>
      <w:r w:rsidRPr="00E96D19">
        <w:t xml:space="preserve">. </w:t>
      </w:r>
      <w:r>
        <w:t xml:space="preserve">It is anticipated that MDSAP reports (discussed </w:t>
      </w:r>
      <w:r w:rsidR="00963084">
        <w:t>later in this paper</w:t>
      </w:r>
      <w:r>
        <w:t>) may also be relied on for this purpose.</w:t>
      </w:r>
    </w:p>
    <w:p w:rsidR="00DC4C8C" w:rsidRPr="00C8721B" w:rsidRDefault="00DC4C8C" w:rsidP="00E61A04">
      <w:pPr>
        <w:pStyle w:val="ListBullet"/>
      </w:pPr>
      <w:r w:rsidRPr="00CA751C">
        <w:rPr>
          <w:b/>
          <w:i/>
        </w:rPr>
        <w:t>Inclusion in the ARTG:</w:t>
      </w:r>
      <w:r>
        <w:t xml:space="preserve"> </w:t>
      </w:r>
      <w:r w:rsidR="0026731B">
        <w:t xml:space="preserve">As </w:t>
      </w:r>
      <w:r w:rsidRPr="00E96D19">
        <w:t xml:space="preserve">the Australian and the EU regulatory requirements are </w:t>
      </w:r>
      <w:r w:rsidR="0026731B">
        <w:t xml:space="preserve">currently </w:t>
      </w:r>
      <w:r w:rsidRPr="00E96D19">
        <w:t>similar</w:t>
      </w:r>
      <w:r>
        <w:rPr>
          <w:rStyle w:val="FootnoteReference"/>
        </w:rPr>
        <w:footnoteReference w:id="3"/>
      </w:r>
      <w:r w:rsidR="0026731B">
        <w:t xml:space="preserve">, </w:t>
      </w:r>
      <w:r w:rsidRPr="006A705D">
        <w:t xml:space="preserve">TGA </w:t>
      </w:r>
      <w:r w:rsidR="001611F5">
        <w:t xml:space="preserve">legislation permits </w:t>
      </w:r>
      <w:r w:rsidRPr="006A705D">
        <w:t xml:space="preserve">that certificates issued by </w:t>
      </w:r>
      <w:r>
        <w:t>European</w:t>
      </w:r>
      <w:r w:rsidRPr="006A705D">
        <w:t xml:space="preserve"> notified bodies</w:t>
      </w:r>
      <w:r>
        <w:rPr>
          <w:rStyle w:val="FootnoteReference"/>
        </w:rPr>
        <w:footnoteReference w:id="4"/>
      </w:r>
      <w:r w:rsidRPr="006A705D">
        <w:t xml:space="preserve"> may be accepted as </w:t>
      </w:r>
      <w:r>
        <w:t xml:space="preserve">the evidence of the application of the appropriate </w:t>
      </w:r>
      <w:r w:rsidRPr="006A705D">
        <w:t xml:space="preserve">conformity assessment </w:t>
      </w:r>
      <w:r>
        <w:t>procedures to the devices</w:t>
      </w:r>
      <w:r w:rsidRPr="006A705D">
        <w:t xml:space="preserve"> for the </w:t>
      </w:r>
      <w:r>
        <w:t xml:space="preserve">purposes of seeking pre-market approvals for those devices for </w:t>
      </w:r>
      <w:r w:rsidRPr="006A705D">
        <w:t>supply in Australia</w:t>
      </w:r>
      <w:r>
        <w:t xml:space="preserve"> (with some qualifications</w:t>
      </w:r>
      <w:r>
        <w:rPr>
          <w:rStyle w:val="FootnoteReference"/>
        </w:rPr>
        <w:footnoteReference w:id="5"/>
      </w:r>
      <w:r>
        <w:t xml:space="preserve"> and exceptions</w:t>
      </w:r>
      <w:r>
        <w:rPr>
          <w:rStyle w:val="FootnoteReference"/>
        </w:rPr>
        <w:footnoteReference w:id="6"/>
      </w:r>
      <w:r>
        <w:t xml:space="preserve">). In practice European notified bodies’ EC certificates support more than 90% of existing </w:t>
      </w:r>
      <w:r w:rsidRPr="009379DD">
        <w:t>ARTG</w:t>
      </w:r>
      <w:r>
        <w:t xml:space="preserve"> entries</w:t>
      </w:r>
      <w:r>
        <w:rPr>
          <w:rStyle w:val="FootnoteReference"/>
        </w:rPr>
        <w:footnoteReference w:id="7"/>
      </w:r>
      <w:r w:rsidR="009379DD">
        <w:t>.</w:t>
      </w:r>
    </w:p>
    <w:p w:rsidR="0026731B" w:rsidRDefault="00602814" w:rsidP="00544015">
      <w:r>
        <w:t>Even where a medical device has been approved by a comparable overseas regulator, Australian approval is not automatic. Differences between Australian and overseas regulatory requirements, difference in the time when the medical device was assessed (</w:t>
      </w:r>
      <w:r w:rsidR="009379DD">
        <w:t xml:space="preserve">potentially </w:t>
      </w:r>
      <w:r>
        <w:t xml:space="preserve">there can be significant changes in a device if some time has elapsed between the overseas and Australian assessments), </w:t>
      </w:r>
      <w:r w:rsidR="009379DD">
        <w:t xml:space="preserve">post-market data including records of adverse events, </w:t>
      </w:r>
      <w:r>
        <w:t>and different expectations regarding safety of medical devices in Australia and overseas may result in rejection of an application for pre-market approval of a medical device even though it has been appro</w:t>
      </w:r>
      <w:r w:rsidR="00A02DC1">
        <w:t xml:space="preserve">ved overseas. </w:t>
      </w:r>
      <w:r w:rsidR="007C4028">
        <w:t>There may also be some scope differences which preclude use of approvals from recognised comparable overseas regulators, such as where particular devices are classified differently in different jurisdictions (discussed in more detail below).</w:t>
      </w:r>
    </w:p>
    <w:p w:rsidR="00602814" w:rsidRDefault="00602814" w:rsidP="009333C8">
      <w:r>
        <w:t>It is anticipated that similar issues will arise when relying on approvals from other regulators</w:t>
      </w:r>
      <w:r w:rsidR="00EB4FA7">
        <w:t xml:space="preserve">, and these will need to be managed to enable use of approvals from other overseas regulators. </w:t>
      </w:r>
      <w:r>
        <w:t xml:space="preserve">Based on lessons learned in relying on European certification, </w:t>
      </w:r>
      <w:r w:rsidR="00827ED7">
        <w:t xml:space="preserve">the criteria for </w:t>
      </w:r>
      <w:r w:rsidR="00270709">
        <w:t xml:space="preserve">the </w:t>
      </w:r>
      <w:r w:rsidR="00827ED7">
        <w:t xml:space="preserve">selection </w:t>
      </w:r>
      <w:r w:rsidR="00270709">
        <w:t xml:space="preserve">of </w:t>
      </w:r>
      <w:r w:rsidR="00827ED7">
        <w:t xml:space="preserve">overseas regulators </w:t>
      </w:r>
      <w:r w:rsidR="00AA1DCD">
        <w:t xml:space="preserve">are </w:t>
      </w:r>
      <w:r w:rsidR="00827ED7">
        <w:t>designed to ensure overseas regulators are comparable, and the differences between regulatory approaches are fully appreciated and managed. E</w:t>
      </w:r>
      <w:r>
        <w:t xml:space="preserve">xisting </w:t>
      </w:r>
      <w:r w:rsidR="00827ED7">
        <w:t xml:space="preserve">application </w:t>
      </w:r>
      <w:r>
        <w:t xml:space="preserve">audit arrangements </w:t>
      </w:r>
      <w:r w:rsidR="00827ED7">
        <w:t xml:space="preserve">will </w:t>
      </w:r>
      <w:r w:rsidR="00270709">
        <w:t>remain</w:t>
      </w:r>
      <w:r w:rsidR="00827ED7">
        <w:t xml:space="preserve"> to enable </w:t>
      </w:r>
      <w:r w:rsidR="00270709">
        <w:t xml:space="preserve">the </w:t>
      </w:r>
      <w:r w:rsidR="00827ED7">
        <w:t>risks associated with the lack of direct oversight of the regulatory approval to be managed</w:t>
      </w:r>
      <w:r w:rsidR="005F7985">
        <w:t>.</w:t>
      </w:r>
    </w:p>
    <w:p w:rsidR="00A470F3" w:rsidRDefault="00A470F3" w:rsidP="00544015">
      <w:pPr>
        <w:pStyle w:val="Heading3"/>
      </w:pPr>
      <w:bookmarkStart w:id="6" w:name="_Toc482100429"/>
      <w:r>
        <w:t>International engagement</w:t>
      </w:r>
      <w:bookmarkEnd w:id="6"/>
      <w:r>
        <w:t xml:space="preserve"> </w:t>
      </w:r>
    </w:p>
    <w:p w:rsidR="00254A01" w:rsidRDefault="00254A01" w:rsidP="00254A01">
      <w:pPr>
        <w:pStyle w:val="Heading4"/>
      </w:pPr>
      <w:bookmarkStart w:id="7" w:name="_Toc482100430"/>
      <w:r>
        <w:t xml:space="preserve">Global </w:t>
      </w:r>
      <w:r w:rsidR="00EB4FA7">
        <w:t>regulatory convergence</w:t>
      </w:r>
      <w:bookmarkEnd w:id="7"/>
    </w:p>
    <w:p w:rsidR="00254FAB" w:rsidRPr="005C2123" w:rsidRDefault="00254FAB" w:rsidP="00254FAB">
      <w:r>
        <w:t>T</w:t>
      </w:r>
      <w:r w:rsidRPr="005C2123">
        <w:t>he TGA is a founding member and active participant in the International Medical Device Regulators Forum (IMDRF). This group is the successor organisation to the Global Harmonisation Task Force (GHTF), of which the T</w:t>
      </w:r>
      <w:r w:rsidR="00A02DC1">
        <w:t xml:space="preserve">GA was also a founding member. </w:t>
      </w:r>
      <w:r w:rsidRPr="005C2123">
        <w:t>The GHTF guidance material underpins the medical device regulatory frameworks of many of the IMDRF member nations, including Australia</w:t>
      </w:r>
      <w:r w:rsidR="00137E89">
        <w:t>.</w:t>
      </w:r>
    </w:p>
    <w:p w:rsidR="00254FAB" w:rsidRPr="002C3EFF" w:rsidRDefault="00254FAB" w:rsidP="00254FAB">
      <w:r w:rsidRPr="002C3EFF">
        <w:lastRenderedPageBreak/>
        <w:t>TGA officers are active in the IMDRF Management Committee and are also participants in the IMDRF working groups. These activities promote deeper collaboration among medical device regulators and also create greater alignment between these agencies.</w:t>
      </w:r>
    </w:p>
    <w:p w:rsidR="00254A01" w:rsidRPr="00A470F3" w:rsidRDefault="00254FAB" w:rsidP="00254FAB">
      <w:r w:rsidRPr="007E26F6">
        <w:t xml:space="preserve">The TGA will continue to work with our international counterparts through these existing arrangements, supporting </w:t>
      </w:r>
      <w:r w:rsidR="00270709">
        <w:t xml:space="preserve">a </w:t>
      </w:r>
      <w:r w:rsidRPr="007E26F6">
        <w:t xml:space="preserve">continued movement towards globally harmonised medical device regulation. The criteria proposed in this paper are intended to allow a framework </w:t>
      </w:r>
      <w:r>
        <w:t>where the work of similar overseas medical device regulators can be recognised within the Australian jurisdiction.</w:t>
      </w:r>
    </w:p>
    <w:p w:rsidR="00254A01" w:rsidRDefault="00254A01" w:rsidP="00254A01">
      <w:pPr>
        <w:pStyle w:val="Heading4"/>
      </w:pPr>
      <w:bookmarkStart w:id="8" w:name="_Toc482100431"/>
      <w:r>
        <w:t>MDSAP</w:t>
      </w:r>
      <w:bookmarkEnd w:id="8"/>
    </w:p>
    <w:p w:rsidR="001611F5" w:rsidRDefault="00191369" w:rsidP="004A0DBC">
      <w:r>
        <w:t xml:space="preserve">The Medical Device Single Audit Program (MDSAP) is a flagship application of the work of the IMDRF for an operational program that pools resources and encourages the convergence of regulatory requirements of the participating Regulatory Authorities. </w:t>
      </w:r>
      <w:r w:rsidR="004A0DBC">
        <w:t xml:space="preserve">MDSAP is </w:t>
      </w:r>
      <w:r w:rsidR="001611F5">
        <w:t>designed to produce evidence that may be used for market authorisation decisions with the MDSAP evidence demonstrating the QMS requirements of the participating regulator</w:t>
      </w:r>
      <w:r w:rsidR="00404C46">
        <w:t>y authorities</w:t>
      </w:r>
      <w:r w:rsidR="007A23F7">
        <w:t xml:space="preserve"> (Australia, Brazil, Canada, Ja</w:t>
      </w:r>
      <w:r w:rsidR="00404C46">
        <w:t>pan and the USA)</w:t>
      </w:r>
      <w:r w:rsidR="001611F5">
        <w:t xml:space="preserve">. </w:t>
      </w:r>
      <w:r w:rsidR="00404C46">
        <w:t>The pilot of this single audit-program was completed at the end of 2016, with MDSAP now in a transition phase which will conclude in 2019.</w:t>
      </w:r>
    </w:p>
    <w:p w:rsidR="00404C46" w:rsidRDefault="00404C46" w:rsidP="004A0DBC">
      <w:r>
        <w:t>During the transition phase the participating regulators are using the MDSAP outputs as evidence of regulatory compliance within their respective regulato</w:t>
      </w:r>
      <w:r w:rsidR="004A2F90">
        <w:t xml:space="preserve">ry environments. The MDSAP FAQ number </w:t>
      </w:r>
      <w:r>
        <w:t>34</w:t>
      </w:r>
      <w:r>
        <w:rPr>
          <w:rStyle w:val="FootnoteReference"/>
        </w:rPr>
        <w:footnoteReference w:id="8"/>
      </w:r>
      <w:r>
        <w:t xml:space="preserve"> </w:t>
      </w:r>
      <w:r w:rsidR="0090045B">
        <w:t>provides more detail for each of the regulators</w:t>
      </w:r>
      <w:r w:rsidR="00191369">
        <w:t xml:space="preserve"> in the transition period</w:t>
      </w:r>
      <w:r w:rsidR="0090045B">
        <w:t>.</w:t>
      </w:r>
      <w:r w:rsidR="00191369">
        <w:t xml:space="preserve"> Since MDSAP produces evidence of regulatory compliance it can be used as a basis for comp</w:t>
      </w:r>
      <w:r w:rsidR="00567939">
        <w:t>arability for QMS requirements.</w:t>
      </w:r>
    </w:p>
    <w:p w:rsidR="00A470F3" w:rsidRDefault="00A470F3" w:rsidP="00A470F3">
      <w:pPr>
        <w:pStyle w:val="Heading4"/>
      </w:pPr>
      <w:bookmarkStart w:id="9" w:name="_Toc482100432"/>
      <w:r>
        <w:t>Cooperative agreements</w:t>
      </w:r>
      <w:bookmarkEnd w:id="9"/>
    </w:p>
    <w:p w:rsidR="00AA1DCD" w:rsidRDefault="00254FAB" w:rsidP="00254FAB">
      <w:r>
        <w:t>In addition to participation in IMDRF and MDSAP</w:t>
      </w:r>
      <w:r w:rsidRPr="000E3AAF">
        <w:t xml:space="preserve">, the TGA </w:t>
      </w:r>
      <w:r>
        <w:t xml:space="preserve">is also </w:t>
      </w:r>
      <w:r w:rsidRPr="000E3AAF">
        <w:t xml:space="preserve">involved in information-sharing and other activities with </w:t>
      </w:r>
      <w:r>
        <w:t xml:space="preserve">a number of </w:t>
      </w:r>
      <w:r w:rsidRPr="000E3AAF">
        <w:t>overseas regulators. The TGA has existing agreements and Memoranda of Understanding (MOUs) with many of these agencies</w:t>
      </w:r>
      <w:r w:rsidR="00AA1DCD">
        <w:t>, including the following IMDRF members</w:t>
      </w:r>
      <w:r w:rsidR="000F41CA">
        <w:t xml:space="preserve"> (including European member states)</w:t>
      </w:r>
      <w:r w:rsidR="00AA1DCD">
        <w:t>:</w:t>
      </w:r>
    </w:p>
    <w:p w:rsidR="000F41CA" w:rsidRDefault="000F41CA" w:rsidP="00E61A04">
      <w:pPr>
        <w:pStyle w:val="ListBullet"/>
      </w:pPr>
      <w:r>
        <w:t>Brazil</w:t>
      </w:r>
    </w:p>
    <w:p w:rsidR="000F41CA" w:rsidRDefault="000F41CA" w:rsidP="00E61A04">
      <w:pPr>
        <w:pStyle w:val="ListBullet"/>
      </w:pPr>
      <w:r>
        <w:t>Canada</w:t>
      </w:r>
    </w:p>
    <w:p w:rsidR="000F41CA" w:rsidRDefault="000F41CA" w:rsidP="00E61A04">
      <w:pPr>
        <w:pStyle w:val="ListBullet"/>
      </w:pPr>
      <w:r>
        <w:t>France</w:t>
      </w:r>
    </w:p>
    <w:p w:rsidR="000F41CA" w:rsidRDefault="000F41CA" w:rsidP="00E61A04">
      <w:pPr>
        <w:pStyle w:val="ListBullet"/>
      </w:pPr>
      <w:r>
        <w:t>Germany</w:t>
      </w:r>
    </w:p>
    <w:p w:rsidR="000F41CA" w:rsidRDefault="000F41CA" w:rsidP="00E61A04">
      <w:pPr>
        <w:pStyle w:val="ListBullet"/>
      </w:pPr>
      <w:r>
        <w:t>Ireland</w:t>
      </w:r>
    </w:p>
    <w:p w:rsidR="000F41CA" w:rsidRDefault="000F41CA" w:rsidP="00E61A04">
      <w:pPr>
        <w:pStyle w:val="ListBullet"/>
      </w:pPr>
      <w:r>
        <w:t>Japan</w:t>
      </w:r>
    </w:p>
    <w:p w:rsidR="000F41CA" w:rsidRDefault="000F41CA" w:rsidP="00E61A04">
      <w:pPr>
        <w:pStyle w:val="ListBullet"/>
      </w:pPr>
      <w:r>
        <w:t>Singapore</w:t>
      </w:r>
    </w:p>
    <w:p w:rsidR="000F41CA" w:rsidRDefault="000F41CA" w:rsidP="00E61A04">
      <w:pPr>
        <w:pStyle w:val="ListBullet"/>
      </w:pPr>
      <w:r>
        <w:t>United Kingdom</w:t>
      </w:r>
    </w:p>
    <w:p w:rsidR="000F41CA" w:rsidRDefault="000F41CA" w:rsidP="00E61A04">
      <w:pPr>
        <w:pStyle w:val="ListBullet"/>
      </w:pPr>
      <w:r>
        <w:t>United States of America</w:t>
      </w:r>
    </w:p>
    <w:p w:rsidR="0086061B" w:rsidRDefault="00254FAB" w:rsidP="0086061B">
      <w:r w:rsidRPr="000E3AAF">
        <w:t xml:space="preserve">Under the current Australian therapeutic goods legislation, these cooperative relationships underpin the TGA’s ability to release and share information. This is </w:t>
      </w:r>
      <w:r w:rsidR="003F0648">
        <w:t>critical</w:t>
      </w:r>
      <w:r w:rsidR="003F0648" w:rsidRPr="000E3AAF">
        <w:t xml:space="preserve"> </w:t>
      </w:r>
      <w:r w:rsidRPr="000E3AAF">
        <w:t xml:space="preserve">to protecting the health and safety of the populations of our respective countries. These written agreements </w:t>
      </w:r>
      <w:r w:rsidRPr="000E3AAF">
        <w:lastRenderedPageBreak/>
        <w:t xml:space="preserve">outline a history of international cooperation </w:t>
      </w:r>
      <w:r w:rsidR="0033692A">
        <w:t xml:space="preserve">that has been used to develop </w:t>
      </w:r>
      <w:r w:rsidRPr="000E3AAF">
        <w:t>an understanding of each agency’s regulatory practices and systems.</w:t>
      </w:r>
    </w:p>
    <w:p w:rsidR="00254A01" w:rsidRDefault="00254A01" w:rsidP="00254A01">
      <w:pPr>
        <w:pStyle w:val="Heading4"/>
      </w:pPr>
      <w:bookmarkStart w:id="10" w:name="_Toc482100433"/>
      <w:r>
        <w:t>Use of international standards</w:t>
      </w:r>
      <w:bookmarkEnd w:id="10"/>
    </w:p>
    <w:p w:rsidR="00A470F3" w:rsidRDefault="00254A01" w:rsidP="00A470F3">
      <w:r>
        <w:t xml:space="preserve">It is </w:t>
      </w:r>
      <w:r w:rsidR="00CA751C">
        <w:t xml:space="preserve">expected that </w:t>
      </w:r>
      <w:r>
        <w:t xml:space="preserve">manufacturers </w:t>
      </w:r>
      <w:r w:rsidRPr="00254A01">
        <w:t xml:space="preserve">demonstrate compliance with the Essential Principles </w:t>
      </w:r>
      <w:r>
        <w:t xml:space="preserve">by </w:t>
      </w:r>
      <w:r w:rsidRPr="00254A01">
        <w:t>meet</w:t>
      </w:r>
      <w:r>
        <w:t>ing</w:t>
      </w:r>
      <w:r w:rsidRPr="00254A01">
        <w:t xml:space="preserve"> a </w:t>
      </w:r>
      <w:r w:rsidR="00C064B9">
        <w:t xml:space="preserve">recognised </w:t>
      </w:r>
      <w:r w:rsidRPr="00254A01">
        <w:t xml:space="preserve">standard published by an Australian or International Standards Agency, a Pharmacopoeia, or a similar standard. </w:t>
      </w:r>
      <w:r w:rsidR="00577107">
        <w:t xml:space="preserve">Where an overseas regulatory approval is based on the same or comparable standards the assessment undertaken is more likely to also be of use in the Australian context. </w:t>
      </w:r>
      <w:r w:rsidRPr="00E11B57">
        <w:t xml:space="preserve">The criteria proposed in this consultation paper are not intended to revisit </w:t>
      </w:r>
      <w:r w:rsidR="006756F4">
        <w:t>this</w:t>
      </w:r>
      <w:r w:rsidRPr="00E11B57">
        <w:t xml:space="preserve">, but instead </w:t>
      </w:r>
      <w:r w:rsidR="00577107">
        <w:t xml:space="preserve">build on this </w:t>
      </w:r>
      <w:r w:rsidRPr="00E11B57">
        <w:t xml:space="preserve">work </w:t>
      </w:r>
      <w:r w:rsidR="00577107">
        <w:t xml:space="preserve">which </w:t>
      </w:r>
      <w:r w:rsidRPr="00E11B57">
        <w:t xml:space="preserve">has </w:t>
      </w:r>
      <w:r w:rsidR="00577107">
        <w:t xml:space="preserve">already </w:t>
      </w:r>
      <w:r w:rsidRPr="00E11B57">
        <w:t>been accomplished.</w:t>
      </w:r>
    </w:p>
    <w:p w:rsidR="0017401B" w:rsidRDefault="00145C11" w:rsidP="004A2F90">
      <w:pPr>
        <w:spacing w:after="240"/>
      </w:pPr>
      <w:r>
        <w:t>A</w:t>
      </w:r>
      <w:r w:rsidR="00EB4FA7">
        <w:t xml:space="preserve"> wide range of ISO standards </w:t>
      </w:r>
      <w:r>
        <w:t xml:space="preserve">are </w:t>
      </w:r>
      <w:r w:rsidR="00EB4FA7">
        <w:t>applicable to medical devices, some broad</w:t>
      </w:r>
      <w:r>
        <w:t xml:space="preserve">ly relevant and others relevant to </w:t>
      </w:r>
      <w:r w:rsidR="00E95760">
        <w:t xml:space="preserve">specific device streams. </w:t>
      </w:r>
      <w:r w:rsidR="00EB4FA7">
        <w:t>There may also be country or region specific versions of standards which may apply (for example, an Australian standard or European standard may be used). ISO standards which we would expect to see considered by overseas regulators include (but are not limited to):</w:t>
      </w:r>
    </w:p>
    <w:tbl>
      <w:tblPr>
        <w:tblStyle w:val="TableTGAblue2"/>
        <w:tblW w:w="0" w:type="auto"/>
        <w:tblInd w:w="250" w:type="dxa"/>
        <w:tblLook w:val="04A0" w:firstRow="1" w:lastRow="0" w:firstColumn="1" w:lastColumn="0" w:noHBand="0" w:noVBand="1"/>
      </w:tblPr>
      <w:tblGrid>
        <w:gridCol w:w="1701"/>
        <w:gridCol w:w="7229"/>
      </w:tblGrid>
      <w:tr w:rsidR="004A2F90" w:rsidRPr="004A2F90" w:rsidTr="007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8F5709" w:rsidP="004A2F90">
            <w:r>
              <w:t>R</w:t>
            </w:r>
            <w:r w:rsidR="004A2F90">
              <w:t>ef. number</w:t>
            </w:r>
          </w:p>
        </w:tc>
        <w:tc>
          <w:tcPr>
            <w:tcW w:w="7229" w:type="dxa"/>
          </w:tcPr>
          <w:p w:rsidR="004A2F90" w:rsidRPr="004A2F90" w:rsidRDefault="004A2F90" w:rsidP="004A2F90">
            <w:pPr>
              <w:cnfStyle w:val="100000000000" w:firstRow="1" w:lastRow="0" w:firstColumn="0" w:lastColumn="0" w:oddVBand="0" w:evenVBand="0" w:oddHBand="0" w:evenHBand="0" w:firstRowFirstColumn="0" w:firstRowLastColumn="0" w:lastRowFirstColumn="0" w:lastRowLastColumn="0"/>
            </w:pPr>
            <w:r>
              <w:t>Title</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4A2F90">
            <w:r w:rsidRPr="004A2F90">
              <w:t>ISO</w:t>
            </w:r>
            <w:r>
              <w:t xml:space="preserve"> </w:t>
            </w:r>
            <w:r w:rsidRPr="004A2F90">
              <w:t>13485</w:t>
            </w:r>
          </w:p>
        </w:tc>
        <w:tc>
          <w:tcPr>
            <w:tcW w:w="7229" w:type="dxa"/>
          </w:tcPr>
          <w:p w:rsidR="004A2F90" w:rsidRPr="004A2F90" w:rsidRDefault="004A2F90" w:rsidP="004A2F90">
            <w:pPr>
              <w:cnfStyle w:val="000000000000" w:firstRow="0" w:lastRow="0" w:firstColumn="0" w:lastColumn="0" w:oddVBand="0" w:evenVBand="0" w:oddHBand="0" w:evenHBand="0" w:firstRowFirstColumn="0" w:firstRowLastColumn="0" w:lastRowFirstColumn="0" w:lastRowLastColumn="0"/>
            </w:pPr>
            <w:r w:rsidRPr="004A2F90">
              <w:t>Quality Management Systems (QMS)</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4A2F90">
            <w:r w:rsidRPr="004A2F90">
              <w:t>ISO</w:t>
            </w:r>
            <w:r>
              <w:t xml:space="preserve"> </w:t>
            </w:r>
            <w:r w:rsidRPr="004A2F90">
              <w:t>14155</w:t>
            </w:r>
          </w:p>
        </w:tc>
        <w:tc>
          <w:tcPr>
            <w:tcW w:w="7229" w:type="dxa"/>
          </w:tcPr>
          <w:p w:rsidR="004A2F90" w:rsidRPr="004A2F90" w:rsidRDefault="004A2F90" w:rsidP="004A2F90">
            <w:pPr>
              <w:cnfStyle w:val="000000000000" w:firstRow="0" w:lastRow="0" w:firstColumn="0" w:lastColumn="0" w:oddVBand="0" w:evenVBand="0" w:oddHBand="0" w:evenHBand="0" w:firstRowFirstColumn="0" w:firstRowLastColumn="0" w:lastRowFirstColumn="0" w:lastRowLastColumn="0"/>
            </w:pPr>
            <w:r w:rsidRPr="004A2F90">
              <w:t>Good Clinical Practice</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791A1B">
            <w:r w:rsidRPr="004A2F90">
              <w:t>ISO 14971</w:t>
            </w:r>
          </w:p>
        </w:tc>
        <w:tc>
          <w:tcPr>
            <w:tcW w:w="7229" w:type="dxa"/>
          </w:tcPr>
          <w:p w:rsidR="004A2F90" w:rsidRPr="004A2F90" w:rsidRDefault="004A2F90" w:rsidP="00791A1B">
            <w:pPr>
              <w:cnfStyle w:val="000000000000" w:firstRow="0" w:lastRow="0" w:firstColumn="0" w:lastColumn="0" w:oddVBand="0" w:evenVBand="0" w:oddHBand="0" w:evenHBand="0" w:firstRowFirstColumn="0" w:firstRowLastColumn="0" w:lastRowFirstColumn="0" w:lastRowLastColumn="0"/>
            </w:pPr>
            <w:r w:rsidRPr="004A2F90">
              <w:t>Application of risk management to medical devices</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791A1B">
            <w:r w:rsidRPr="004A2F90">
              <w:t>ISO 11979-7</w:t>
            </w:r>
          </w:p>
        </w:tc>
        <w:tc>
          <w:tcPr>
            <w:tcW w:w="7229" w:type="dxa"/>
          </w:tcPr>
          <w:p w:rsidR="004A2F90" w:rsidRPr="004A2F90" w:rsidRDefault="004A2F90" w:rsidP="00791A1B">
            <w:pPr>
              <w:cnfStyle w:val="000000000000" w:firstRow="0" w:lastRow="0" w:firstColumn="0" w:lastColumn="0" w:oddVBand="0" w:evenVBand="0" w:oddHBand="0" w:evenHBand="0" w:firstRowFirstColumn="0" w:firstRowLastColumn="0" w:lastRowFirstColumn="0" w:lastRowLastColumn="0"/>
            </w:pPr>
            <w:r w:rsidRPr="004A2F90">
              <w:t>Ophthalmic implants - intraocular lenses</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Default="004A2F90" w:rsidP="004A2F90">
            <w:pPr>
              <w:spacing w:after="120"/>
            </w:pPr>
            <w:r w:rsidRPr="004A2F90">
              <w:t>ISO 5840-1</w:t>
            </w:r>
          </w:p>
          <w:p w:rsidR="004A2F90" w:rsidRDefault="004A2F90" w:rsidP="004A2F90">
            <w:pPr>
              <w:spacing w:after="120"/>
            </w:pPr>
            <w:r>
              <w:t>ISO 5840-2</w:t>
            </w:r>
          </w:p>
          <w:p w:rsidR="004A2F90" w:rsidRPr="004A2F90" w:rsidRDefault="004A2F90" w:rsidP="004A2F90">
            <w:pPr>
              <w:spacing w:after="120"/>
            </w:pPr>
            <w:r w:rsidRPr="004A2F90">
              <w:t>ISO 5840-3</w:t>
            </w:r>
          </w:p>
        </w:tc>
        <w:tc>
          <w:tcPr>
            <w:tcW w:w="7229" w:type="dxa"/>
          </w:tcPr>
          <w:p w:rsidR="004A2F90" w:rsidRPr="004A2F90" w:rsidRDefault="004A2F90" w:rsidP="00791A1B">
            <w:pPr>
              <w:cnfStyle w:val="000000000000" w:firstRow="0" w:lastRow="0" w:firstColumn="0" w:lastColumn="0" w:oddVBand="0" w:evenVBand="0" w:oddHBand="0" w:evenHBand="0" w:firstRowFirstColumn="0" w:firstRowLastColumn="0" w:lastRowFirstColumn="0" w:lastRowLastColumn="0"/>
            </w:pPr>
            <w:r w:rsidRPr="004A2F90">
              <w:t>Cardiovascular implants - cardiac valve prostheses</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791A1B">
            <w:r w:rsidRPr="004A2F90">
              <w:t>ISO 14708</w:t>
            </w:r>
          </w:p>
        </w:tc>
        <w:tc>
          <w:tcPr>
            <w:tcW w:w="7229" w:type="dxa"/>
          </w:tcPr>
          <w:p w:rsidR="004A2F90" w:rsidRPr="004A2F90" w:rsidRDefault="004A2F90" w:rsidP="00791A1B">
            <w:pPr>
              <w:cnfStyle w:val="000000000000" w:firstRow="0" w:lastRow="0" w:firstColumn="0" w:lastColumn="0" w:oddVBand="0" w:evenVBand="0" w:oddHBand="0" w:evenHBand="0" w:firstRowFirstColumn="0" w:firstRowLastColumn="0" w:lastRowFirstColumn="0" w:lastRowLastColumn="0"/>
            </w:pPr>
            <w:r w:rsidRPr="004A2F90">
              <w:t>Implants for surgery - Active implantable medical devices</w:t>
            </w:r>
          </w:p>
        </w:tc>
      </w:tr>
      <w:tr w:rsidR="004A2F90" w:rsidRPr="004A2F90" w:rsidTr="00791A1B">
        <w:tc>
          <w:tcPr>
            <w:cnfStyle w:val="001000000000" w:firstRow="0" w:lastRow="0" w:firstColumn="1" w:lastColumn="0" w:oddVBand="0" w:evenVBand="0" w:oddHBand="0" w:evenHBand="0" w:firstRowFirstColumn="0" w:firstRowLastColumn="0" w:lastRowFirstColumn="0" w:lastRowLastColumn="0"/>
            <w:tcW w:w="1701" w:type="dxa"/>
          </w:tcPr>
          <w:p w:rsidR="004A2F90" w:rsidRPr="004A2F90" w:rsidRDefault="004A2F90" w:rsidP="00791A1B">
            <w:r w:rsidRPr="004A2F90">
              <w:t>ISO 14117</w:t>
            </w:r>
          </w:p>
        </w:tc>
        <w:tc>
          <w:tcPr>
            <w:tcW w:w="7229" w:type="dxa"/>
          </w:tcPr>
          <w:p w:rsidR="004A2F90" w:rsidRPr="004A2F90" w:rsidRDefault="004A2F90" w:rsidP="00791A1B">
            <w:pPr>
              <w:cnfStyle w:val="000000000000" w:firstRow="0" w:lastRow="0" w:firstColumn="0" w:lastColumn="0" w:oddVBand="0" w:evenVBand="0" w:oddHBand="0" w:evenHBand="0" w:firstRowFirstColumn="0" w:firstRowLastColumn="0" w:lastRowFirstColumn="0" w:lastRowLastColumn="0"/>
            </w:pPr>
            <w:r w:rsidRPr="004A2F90">
              <w:t>Electromagnetic compatibility test protocols for active implantable medical devices</w:t>
            </w:r>
          </w:p>
        </w:tc>
      </w:tr>
    </w:tbl>
    <w:p w:rsidR="00CF63E6" w:rsidRDefault="00CF63E6">
      <w:pPr>
        <w:spacing w:before="0" w:after="0" w:line="240" w:lineRule="auto"/>
      </w:pPr>
    </w:p>
    <w:tbl>
      <w:tblPr>
        <w:tblpPr w:leftFromText="180" w:rightFromText="180" w:vertAnchor="text" w:horzAnchor="margin" w:tblpY="15"/>
        <w:tblOverlap w:val="never"/>
        <w:tblW w:w="9038" w:type="dxa"/>
        <w:tblLayout w:type="fixed"/>
        <w:tblCellMar>
          <w:left w:w="0" w:type="dxa"/>
          <w:right w:w="0" w:type="dxa"/>
        </w:tblCellMar>
        <w:tblLook w:val="04A0" w:firstRow="1" w:lastRow="0" w:firstColumn="1" w:lastColumn="0" w:noHBand="0" w:noVBand="1"/>
      </w:tblPr>
      <w:tblGrid>
        <w:gridCol w:w="1276"/>
        <w:gridCol w:w="7762"/>
      </w:tblGrid>
      <w:tr w:rsidR="00CF63E6" w:rsidRPr="009401F6" w:rsidTr="00CF63E6">
        <w:trPr>
          <w:trHeight w:val="1206"/>
        </w:trPr>
        <w:tc>
          <w:tcPr>
            <w:tcW w:w="1276" w:type="dxa"/>
            <w:vAlign w:val="center"/>
          </w:tcPr>
          <w:p w:rsidR="00CF63E6" w:rsidRPr="009401F6" w:rsidRDefault="00CF63E6" w:rsidP="00CF63E6">
            <w:pPr>
              <w:spacing w:before="0"/>
              <w:rPr>
                <w:sz w:val="20"/>
              </w:rPr>
            </w:pPr>
            <w:bookmarkStart w:id="11" w:name="_Toc482100434"/>
            <w:r>
              <w:rPr>
                <w:noProof/>
                <w:sz w:val="20"/>
                <w:lang w:eastAsia="en-AU"/>
              </w:rPr>
              <w:drawing>
                <wp:inline distT="0" distB="0" distL="0" distR="0" wp14:anchorId="1058EF44" wp14:editId="3EDFB0CF">
                  <wp:extent cx="489600" cy="4896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 787454  question-white-on-black-160x16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CF63E6" w:rsidRPr="009401F6" w:rsidRDefault="00CF63E6" w:rsidP="00CF63E6">
            <w:r>
              <w:rPr>
                <w:b/>
              </w:rPr>
              <w:t>Scope and context</w:t>
            </w:r>
          </w:p>
          <w:p w:rsidR="00CF63E6" w:rsidRPr="009401F6" w:rsidRDefault="00CF63E6" w:rsidP="00CF63E6">
            <w:r>
              <w:t>Are there additional issues which should be considered in developing this proposal?</w:t>
            </w:r>
          </w:p>
        </w:tc>
      </w:tr>
    </w:tbl>
    <w:p w:rsidR="00CF63E6" w:rsidRDefault="00CF63E6">
      <w:pPr>
        <w:spacing w:before="0" w:after="0" w:line="240" w:lineRule="auto"/>
      </w:pPr>
      <w:r>
        <w:br w:type="page"/>
      </w:r>
    </w:p>
    <w:p w:rsidR="008173E2" w:rsidRDefault="000E4470" w:rsidP="00CF63E6">
      <w:pPr>
        <w:pStyle w:val="Heading2"/>
      </w:pPr>
      <w:r>
        <w:lastRenderedPageBreak/>
        <w:t xml:space="preserve">Use of </w:t>
      </w:r>
      <w:r w:rsidR="00FD502D">
        <w:t>overseas regulatory approvals</w:t>
      </w:r>
      <w:bookmarkEnd w:id="11"/>
    </w:p>
    <w:p w:rsidR="008173E2" w:rsidRDefault="008173E2" w:rsidP="009333C8">
      <w:r>
        <w:t xml:space="preserve">The regulatory regimes of international jurisdictions differ, and assessments under each framework are aimed to satisfy that country’s particular regulatory requirements. The capacity for the TGA to use assessments by </w:t>
      </w:r>
      <w:r w:rsidR="00364550">
        <w:t xml:space="preserve">comparable </w:t>
      </w:r>
      <w:r>
        <w:t xml:space="preserve">overseas regulators </w:t>
      </w:r>
      <w:r w:rsidR="00FD502D">
        <w:t xml:space="preserve">or third parties they designate </w:t>
      </w:r>
      <w:r>
        <w:t xml:space="preserve">will vary based on the degree to which the assessment can be repurposed to demonstrate compliance </w:t>
      </w:r>
      <w:r w:rsidR="004E2B49">
        <w:t xml:space="preserve">with </w:t>
      </w:r>
      <w:r>
        <w:t xml:space="preserve">the Australian regulatory framework. A brief introduction to the Australian regulatory framework for medical devices is included at </w:t>
      </w:r>
      <w:hyperlink w:anchor="_Attachment_A_-" w:history="1">
        <w:r w:rsidRPr="004A2F90">
          <w:rPr>
            <w:rStyle w:val="Hyperlink"/>
            <w:b/>
          </w:rPr>
          <w:t>Attachment A</w:t>
        </w:r>
      </w:hyperlink>
      <w:r w:rsidR="00567939">
        <w:t>.</w:t>
      </w:r>
    </w:p>
    <w:p w:rsidR="00474E20" w:rsidRDefault="00474E20" w:rsidP="007A23F7">
      <w:pPr>
        <w:pStyle w:val="Heading3"/>
      </w:pPr>
      <w:bookmarkStart w:id="12" w:name="_Toc482100435"/>
      <w:r>
        <w:t>Proposed use of overseas assessments</w:t>
      </w:r>
      <w:bookmarkEnd w:id="12"/>
    </w:p>
    <w:p w:rsidR="00844C18" w:rsidRDefault="00474E20" w:rsidP="00474E20">
      <w:r>
        <w:t xml:space="preserve">The </w:t>
      </w:r>
      <w:r w:rsidR="002518A0">
        <w:t xml:space="preserve">primary </w:t>
      </w:r>
      <w:r>
        <w:t xml:space="preserve">objective of this proposal </w:t>
      </w:r>
      <w:r w:rsidR="0002562A">
        <w:t xml:space="preserve">is </w:t>
      </w:r>
      <w:r>
        <w:t>to</w:t>
      </w:r>
      <w:r w:rsidR="00844C18">
        <w:t xml:space="preserve"> identify comparable overseas regulators for either:</w:t>
      </w:r>
    </w:p>
    <w:p w:rsidR="00844C18" w:rsidRDefault="00844C18" w:rsidP="00E61A04">
      <w:pPr>
        <w:pStyle w:val="ListBullet"/>
      </w:pPr>
      <w:r>
        <w:t xml:space="preserve">use of </w:t>
      </w:r>
      <w:r w:rsidR="00474E20">
        <w:t xml:space="preserve">approvals from comparable overseas regulators as the evidence </w:t>
      </w:r>
      <w:r w:rsidR="00874498">
        <w:t xml:space="preserve">of the regulatory compliance </w:t>
      </w:r>
      <w:r w:rsidR="00474E20">
        <w:t xml:space="preserve">for </w:t>
      </w:r>
      <w:r w:rsidR="00874498">
        <w:t xml:space="preserve">the purposes of </w:t>
      </w:r>
      <w:r w:rsidR="00474E20">
        <w:t>applications for inclusion of medical device</w:t>
      </w:r>
      <w:r w:rsidR="00874498">
        <w:t>s</w:t>
      </w:r>
      <w:r w:rsidR="00474E20">
        <w:t xml:space="preserve"> in the ARTG</w:t>
      </w:r>
      <w:r w:rsidR="0091253D">
        <w:t>;</w:t>
      </w:r>
      <w:r w:rsidR="0002562A">
        <w:t xml:space="preserve"> or</w:t>
      </w:r>
    </w:p>
    <w:p w:rsidR="00844C18" w:rsidRDefault="00844C18" w:rsidP="00E61A04">
      <w:pPr>
        <w:pStyle w:val="ListBullet"/>
      </w:pPr>
      <w:r>
        <w:t>work-sharing with comparable overseas regulators to progress applications lodged in parallel in the two (or more) jurisdictions.</w:t>
      </w:r>
    </w:p>
    <w:p w:rsidR="00716879" w:rsidRDefault="00716879" w:rsidP="00716879">
      <w:pPr>
        <w:pStyle w:val="Heading4"/>
      </w:pPr>
      <w:bookmarkStart w:id="13" w:name="_Toc482100436"/>
      <w:r>
        <w:t>Use of overseas approvals to support inclusion in the ARTG</w:t>
      </w:r>
      <w:bookmarkEnd w:id="13"/>
    </w:p>
    <w:p w:rsidR="00474E20" w:rsidRDefault="00474E20" w:rsidP="00844C18">
      <w:r>
        <w:t>This would avoid the need for duplicate assessment</w:t>
      </w:r>
      <w:r w:rsidR="00874498">
        <w:t>s</w:t>
      </w:r>
      <w:r>
        <w:t xml:space="preserve"> where TGA has not issued </w:t>
      </w:r>
      <w:r w:rsidR="0091253D">
        <w:t xml:space="preserve">a </w:t>
      </w:r>
      <w:r>
        <w:t xml:space="preserve">conformity assessment </w:t>
      </w:r>
      <w:r w:rsidR="00874498">
        <w:t>certificate</w:t>
      </w:r>
      <w:r w:rsidR="0091253D">
        <w:t xml:space="preserve">. This </w:t>
      </w:r>
      <w:r>
        <w:t xml:space="preserve">is already the case </w:t>
      </w:r>
      <w:r w:rsidR="002518A0">
        <w:t xml:space="preserve">in practice </w:t>
      </w:r>
      <w:r>
        <w:t xml:space="preserve">when relying on conformity assessment certification </w:t>
      </w:r>
      <w:r w:rsidR="004F5733">
        <w:t xml:space="preserve">(EC Certificates) </w:t>
      </w:r>
      <w:r>
        <w:t xml:space="preserve">from European notified bodies. </w:t>
      </w:r>
      <w:r w:rsidR="00350122">
        <w:t xml:space="preserve">As applies now when relying on European certification, this would not </w:t>
      </w:r>
      <w:r w:rsidR="00504EF2">
        <w:t>apply for</w:t>
      </w:r>
      <w:r w:rsidR="00350122">
        <w:t xml:space="preserve"> inclusion applications for those very high risk devices which require TGA conformity assessment.</w:t>
      </w:r>
      <w:r w:rsidR="00350122">
        <w:rPr>
          <w:rStyle w:val="FootnoteReference"/>
        </w:rPr>
        <w:footnoteReference w:id="9"/>
      </w:r>
    </w:p>
    <w:p w:rsidR="00474E20" w:rsidRDefault="00474E20" w:rsidP="00474E20">
      <w:r>
        <w:t>To use overseas regulatory approvals, the assessments undertaken by the regulator or designated body will need to be mapped against the Australian requirements to ensure:</w:t>
      </w:r>
    </w:p>
    <w:p w:rsidR="00474E20" w:rsidRPr="0002562A" w:rsidRDefault="00474E20" w:rsidP="00E61A04">
      <w:pPr>
        <w:pStyle w:val="ListBullet"/>
      </w:pPr>
      <w:r>
        <w:t xml:space="preserve">safety, quality and performance are demonstrated to meet the Australian requirements for compliance against </w:t>
      </w:r>
      <w:r w:rsidRPr="0002562A">
        <w:t>the Essential Principles</w:t>
      </w:r>
      <w:r w:rsidR="00640B26">
        <w:t xml:space="preserve"> (noting that overseas jurisdictions do not assess against ‘Essential Principles’, but </w:t>
      </w:r>
      <w:r w:rsidR="002B77D4">
        <w:t>do assess safety, quality and performance)</w:t>
      </w:r>
      <w:r w:rsidRPr="0002562A">
        <w:t>;</w:t>
      </w:r>
    </w:p>
    <w:p w:rsidR="00474E20" w:rsidRDefault="00474E20" w:rsidP="00E61A04">
      <w:pPr>
        <w:pStyle w:val="ListBullet"/>
      </w:pPr>
      <w:proofErr w:type="gramStart"/>
      <w:r>
        <w:t>comparable</w:t>
      </w:r>
      <w:proofErr w:type="gramEnd"/>
      <w:r>
        <w:t xml:space="preserve"> classification of the medical device, so that the rigour of the assessment is appropriate to the Australian categorisation of the risk of the medical device.</w:t>
      </w:r>
    </w:p>
    <w:p w:rsidR="00DC4BCA" w:rsidRDefault="00474E20" w:rsidP="004A2F90">
      <w:pPr>
        <w:spacing w:after="120"/>
      </w:pPr>
      <w:r>
        <w:t xml:space="preserve">This is </w:t>
      </w:r>
      <w:r w:rsidR="002518A0">
        <w:t xml:space="preserve">typically fairly </w:t>
      </w:r>
      <w:r>
        <w:t xml:space="preserve">straightforward in respect of certificates issued by </w:t>
      </w:r>
      <w:r w:rsidR="0033692A">
        <w:t>a</w:t>
      </w:r>
      <w:r w:rsidR="004E2B49">
        <w:t xml:space="preserve"> </w:t>
      </w:r>
      <w:r>
        <w:t xml:space="preserve">European </w:t>
      </w:r>
      <w:r w:rsidR="0026731B">
        <w:t>n</w:t>
      </w:r>
      <w:r>
        <w:t xml:space="preserve">otified </w:t>
      </w:r>
      <w:r w:rsidR="0033692A">
        <w:t>B</w:t>
      </w:r>
      <w:r>
        <w:t>ody, given the close parallels between the Australian and European regul</w:t>
      </w:r>
      <w:r w:rsidR="00A02DC1">
        <w:t xml:space="preserve">atory frameworks. </w:t>
      </w:r>
      <w:r>
        <w:t>The extent that this is practicable for assessments by other overseas regulators will vary</w:t>
      </w:r>
      <w:r w:rsidR="008F7F8F">
        <w:t xml:space="preserve"> based on:</w:t>
      </w:r>
    </w:p>
    <w:p w:rsidR="008F7F8F" w:rsidRDefault="007C3274" w:rsidP="00E61A04">
      <w:pPr>
        <w:pStyle w:val="ListBullet"/>
      </w:pPr>
      <w:r w:rsidRPr="0086061B">
        <w:rPr>
          <w:b/>
        </w:rPr>
        <w:t>comparability</w:t>
      </w:r>
      <w:r>
        <w:t xml:space="preserve"> of </w:t>
      </w:r>
      <w:r w:rsidR="008F7F8F">
        <w:t xml:space="preserve">the overseas regulator, </w:t>
      </w:r>
      <w:r>
        <w:t xml:space="preserve">as </w:t>
      </w:r>
      <w:r w:rsidR="008F7F8F">
        <w:t>assessed against the proposed criteria outlined below; and</w:t>
      </w:r>
    </w:p>
    <w:p w:rsidR="008F7F8F" w:rsidRDefault="008F7F8F" w:rsidP="00E61A04">
      <w:pPr>
        <w:pStyle w:val="ListBullet"/>
      </w:pPr>
      <w:r>
        <w:t xml:space="preserve">the scope </w:t>
      </w:r>
      <w:r w:rsidR="0033692A">
        <w:t xml:space="preserve">and </w:t>
      </w:r>
      <w:r w:rsidR="0091253D">
        <w:t>practicality</w:t>
      </w:r>
      <w:r w:rsidR="0033692A">
        <w:t xml:space="preserve"> </w:t>
      </w:r>
      <w:r>
        <w:t xml:space="preserve">of </w:t>
      </w:r>
      <w:r w:rsidR="0033692A">
        <w:t xml:space="preserve">the </w:t>
      </w:r>
      <w:r>
        <w:t xml:space="preserve">additional assessment required to </w:t>
      </w:r>
      <w:r w:rsidR="002518A0">
        <w:t xml:space="preserve">bridge any </w:t>
      </w:r>
      <w:r w:rsidR="002518A0" w:rsidRPr="002518A0">
        <w:rPr>
          <w:b/>
        </w:rPr>
        <w:t>gap</w:t>
      </w:r>
      <w:r w:rsidR="002518A0">
        <w:t xml:space="preserve"> between the evaluation of evidence in the </w:t>
      </w:r>
      <w:r>
        <w:t xml:space="preserve">overseas assessment </w:t>
      </w:r>
      <w:r w:rsidR="002518A0">
        <w:t xml:space="preserve">and the evaluation of evidence required to </w:t>
      </w:r>
      <w:r>
        <w:t>support a decision against the Australian regulatory framework.</w:t>
      </w:r>
    </w:p>
    <w:p w:rsidR="00A7247A" w:rsidRDefault="00A7247A" w:rsidP="00A7247A">
      <w:pPr>
        <w:pStyle w:val="Heading4"/>
      </w:pPr>
      <w:bookmarkStart w:id="14" w:name="_Toc482100437"/>
      <w:r>
        <w:t>Work-sh</w:t>
      </w:r>
      <w:r w:rsidRPr="008F5709">
        <w:t>a</w:t>
      </w:r>
      <w:r>
        <w:t>ring with comparable overseas regulators</w:t>
      </w:r>
      <w:bookmarkEnd w:id="14"/>
    </w:p>
    <w:p w:rsidR="00A7247A" w:rsidRDefault="00A7247A" w:rsidP="00A7247A">
      <w:pPr>
        <w:rPr>
          <w:szCs w:val="22"/>
        </w:rPr>
      </w:pPr>
      <w:r>
        <w:rPr>
          <w:szCs w:val="22"/>
        </w:rPr>
        <w:t xml:space="preserve">Work-sharing is where a medical device application dossier is submitted simultaneously to two (or more) regulators and is then jointly assessed. This would apply to conformity assessment </w:t>
      </w:r>
      <w:r>
        <w:rPr>
          <w:szCs w:val="22"/>
        </w:rPr>
        <w:lastRenderedPageBreak/>
        <w:t xml:space="preserve">applications, as applications for inclusion pre-suppose conformity assessment </w:t>
      </w:r>
      <w:r w:rsidR="008639E3">
        <w:rPr>
          <w:szCs w:val="22"/>
        </w:rPr>
        <w:t xml:space="preserve">(or an equivalent regulatory approval as outlined above) </w:t>
      </w:r>
      <w:r>
        <w:rPr>
          <w:szCs w:val="22"/>
        </w:rPr>
        <w:t>has already</w:t>
      </w:r>
      <w:r w:rsidR="00567939">
        <w:rPr>
          <w:szCs w:val="22"/>
        </w:rPr>
        <w:t xml:space="preserve"> been completed for the device.</w:t>
      </w:r>
    </w:p>
    <w:p w:rsidR="00A7247A" w:rsidRDefault="00A7247A" w:rsidP="008F5709">
      <w:r>
        <w:t>Again the extent that this is practicable for assessments by other overseas regulators will vary based on:</w:t>
      </w:r>
    </w:p>
    <w:p w:rsidR="00A7247A" w:rsidRDefault="00A7247A" w:rsidP="00E61A04">
      <w:pPr>
        <w:pStyle w:val="ListBullet"/>
      </w:pPr>
      <w:r w:rsidRPr="00A7247A">
        <w:t>the</w:t>
      </w:r>
      <w:r>
        <w:rPr>
          <w:b/>
        </w:rPr>
        <w:t xml:space="preserve"> </w:t>
      </w:r>
      <w:r w:rsidRPr="0086061B">
        <w:rPr>
          <w:b/>
        </w:rPr>
        <w:t>comparability</w:t>
      </w:r>
      <w:r>
        <w:t xml:space="preserve"> of the overseas regulator, as assessed against the proposed criteria outlined below; and</w:t>
      </w:r>
    </w:p>
    <w:p w:rsidR="00A7247A" w:rsidRPr="002B77D4" w:rsidRDefault="00A7247A" w:rsidP="00E61A04">
      <w:pPr>
        <w:pStyle w:val="ListBullet"/>
      </w:pPr>
      <w:proofErr w:type="gramStart"/>
      <w:r>
        <w:t>the</w:t>
      </w:r>
      <w:proofErr w:type="gramEnd"/>
      <w:r>
        <w:t xml:space="preserve"> </w:t>
      </w:r>
      <w:r w:rsidRPr="00A7247A">
        <w:rPr>
          <w:b/>
        </w:rPr>
        <w:t>willingness</w:t>
      </w:r>
      <w:r>
        <w:t xml:space="preserve"> of </w:t>
      </w:r>
      <w:r w:rsidR="00640B26">
        <w:t xml:space="preserve">and any </w:t>
      </w:r>
      <w:r w:rsidR="00640B26" w:rsidRPr="00640B26">
        <w:rPr>
          <w:b/>
        </w:rPr>
        <w:t>logistical constrains</w:t>
      </w:r>
      <w:r w:rsidR="00640B26">
        <w:t xml:space="preserve"> in </w:t>
      </w:r>
      <w:r>
        <w:t xml:space="preserve">the overseas regulator </w:t>
      </w:r>
      <w:r w:rsidR="00640B26">
        <w:t>participating</w:t>
      </w:r>
      <w:r>
        <w:t xml:space="preserve"> in work-sharing.</w:t>
      </w:r>
    </w:p>
    <w:p w:rsidR="008118CB" w:rsidRDefault="002B77D4" w:rsidP="008F5709">
      <w:pPr>
        <w:rPr>
          <w:szCs w:val="22"/>
        </w:rPr>
      </w:pPr>
      <w:r>
        <w:t>It should be noted that use of all or part of completed assessments from overseas regulators already occurs in the conformity assessment context, where reports are provided by applicants.</w:t>
      </w:r>
      <w:r w:rsidR="008118CB">
        <w:t xml:space="preserve"> </w:t>
      </w:r>
      <w:r w:rsidR="008B02A2">
        <w:t xml:space="preserve">In addition, a number TGA conformity assessment applications are for combination products (those containing medicines, or materials of animal, microbial or recombinant origins). </w:t>
      </w:r>
      <w:r w:rsidR="008118CB">
        <w:t>In the context of work sharing it may be relevant to consider overseas assessments for these elements.</w:t>
      </w:r>
    </w:p>
    <w:p w:rsidR="00A7247A" w:rsidRDefault="00A7247A" w:rsidP="007A23F7">
      <w:pPr>
        <w:pStyle w:val="Heading3"/>
      </w:pPr>
      <w:bookmarkStart w:id="15" w:name="_Toc482100438"/>
      <w:r>
        <w:t>Discussion</w:t>
      </w:r>
      <w:bookmarkEnd w:id="15"/>
    </w:p>
    <w:p w:rsidR="00474E20" w:rsidRDefault="002518A0" w:rsidP="008639E3">
      <w:pPr>
        <w:pStyle w:val="Heading4"/>
      </w:pPr>
      <w:bookmarkStart w:id="16" w:name="_Toc482100439"/>
      <w:r>
        <w:t>Gap analysis</w:t>
      </w:r>
      <w:bookmarkEnd w:id="16"/>
    </w:p>
    <w:p w:rsidR="00474E20" w:rsidRDefault="007C3274" w:rsidP="00474E20">
      <w:r>
        <w:t>Australian specific requirements, such as local recall</w:t>
      </w:r>
      <w:r w:rsidR="00C76FD9">
        <w:t xml:space="preserve"> and adverse event reporting</w:t>
      </w:r>
      <w:r>
        <w:t xml:space="preserve"> procedures </w:t>
      </w:r>
      <w:r w:rsidR="008B02A2">
        <w:t>etc.</w:t>
      </w:r>
      <w:r>
        <w:t xml:space="preserve">, would not </w:t>
      </w:r>
      <w:r w:rsidR="00C76FD9">
        <w:t xml:space="preserve">usually </w:t>
      </w:r>
      <w:r>
        <w:t xml:space="preserve">be covered by an </w:t>
      </w:r>
      <w:r w:rsidR="00474E20">
        <w:t>assessment by the overseas regulator</w:t>
      </w:r>
      <w:r w:rsidR="00C76FD9">
        <w:rPr>
          <w:rStyle w:val="FootnoteReference"/>
        </w:rPr>
        <w:footnoteReference w:id="10"/>
      </w:r>
      <w:r w:rsidR="00474E20">
        <w:t xml:space="preserve"> (or their designated third party assessment body)</w:t>
      </w:r>
      <w:r>
        <w:t>. A</w:t>
      </w:r>
      <w:r w:rsidR="00474E20">
        <w:t xml:space="preserve">dditional evidence may be required in addition to the overseas regulatory approval to address such gaps. </w:t>
      </w:r>
      <w:r w:rsidR="008F7F8F">
        <w:t>The way in which the overseas assessment is structured and undertaken may also complicate using reports to demonstrate compliance with Australian regulations.</w:t>
      </w:r>
    </w:p>
    <w:p w:rsidR="00474E20" w:rsidRDefault="008639E3" w:rsidP="00474E20">
      <w:r>
        <w:t xml:space="preserve">For use of overseas approvals, the </w:t>
      </w:r>
      <w:r w:rsidR="00474E20">
        <w:t xml:space="preserve">extent of the gap between the overseas approval and the additional information required by TGA to establish compliance with the regulatory framework will be critical. If </w:t>
      </w:r>
      <w:r w:rsidR="0091253D">
        <w:t xml:space="preserve">the </w:t>
      </w:r>
      <w:r w:rsidR="00474E20">
        <w:t>additional information to be assessed by the TGA is too extensive it will be impractical to allow use of the overseas approval, as the TGA would effectively be undertaking an abridged conformity assessment (without the corresponding fee). As the TGA’s pre</w:t>
      </w:r>
      <w:r w:rsidR="00DC4BCA">
        <w:t>-</w:t>
      </w:r>
      <w:r w:rsidR="00474E20">
        <w:t>market activity is cost recovered on a fee for service basis, it would be inappropriate to cross-subsidise extensive additional assessment in the application for inclusion process.</w:t>
      </w:r>
    </w:p>
    <w:p w:rsidR="006243DD" w:rsidRDefault="006243DD" w:rsidP="00474E20">
      <w:r>
        <w:t>Such gaps</w:t>
      </w:r>
      <w:r w:rsidR="0091253D">
        <w:t>,</w:t>
      </w:r>
      <w:r>
        <w:t xml:space="preserve"> and how to bridge them</w:t>
      </w:r>
      <w:r w:rsidR="0091253D">
        <w:t>,</w:t>
      </w:r>
      <w:r>
        <w:t xml:space="preserve"> will also need to be clearly articulated in guidance, to allow applicants to judge whether to apply for inclusion on the </w:t>
      </w:r>
      <w:r w:rsidR="00567939">
        <w:t>basis of such evidence.</w:t>
      </w:r>
    </w:p>
    <w:p w:rsidR="008639E3" w:rsidRDefault="008639E3" w:rsidP="00474E20">
      <w:r>
        <w:t>For work-sharing, pre-submission discussions between regulators will be critical to establishing a willingness to cooperate on the assessment. The specifics of work-sharing would need to be finalised early in the assessment process to allow</w:t>
      </w:r>
      <w:r w:rsidR="0091253D">
        <w:t xml:space="preserve"> an</w:t>
      </w:r>
      <w:r>
        <w:t xml:space="preserve"> appropriate abridgement of fees by one or both regulators. Any country specific requirements would be under</w:t>
      </w:r>
      <w:r w:rsidR="00567939">
        <w:t>taken by appropriate regulator.</w:t>
      </w:r>
    </w:p>
    <w:p w:rsidR="00474E20" w:rsidRDefault="00474E20" w:rsidP="00481C4B">
      <w:pPr>
        <w:pStyle w:val="Heading4"/>
      </w:pPr>
      <w:bookmarkStart w:id="17" w:name="_Toc482100440"/>
      <w:r>
        <w:t>Application audits</w:t>
      </w:r>
      <w:bookmarkEnd w:id="17"/>
    </w:p>
    <w:p w:rsidR="00474E20" w:rsidRDefault="00474E20" w:rsidP="00474E20">
      <w:r>
        <w:t xml:space="preserve">At present the TGA may audit any application for inclusion in the ARTG, and must audit </w:t>
      </w:r>
      <w:r w:rsidR="000F68F9">
        <w:t xml:space="preserve">applications for </w:t>
      </w:r>
      <w:r>
        <w:t xml:space="preserve">high risk devices where </w:t>
      </w:r>
      <w:r w:rsidR="008B4D8D">
        <w:t xml:space="preserve">a </w:t>
      </w:r>
      <w:r w:rsidR="0081676A">
        <w:t xml:space="preserve">device is </w:t>
      </w:r>
      <w:r>
        <w:t xml:space="preserve">not supported by </w:t>
      </w:r>
      <w:r w:rsidR="008B4D8D">
        <w:t xml:space="preserve">a </w:t>
      </w:r>
      <w:r>
        <w:t xml:space="preserve">TGA conformity assessment </w:t>
      </w:r>
      <w:r w:rsidR="0081676A">
        <w:t>certificate</w:t>
      </w:r>
      <w:r>
        <w:t xml:space="preserve">. This </w:t>
      </w:r>
      <w:r w:rsidR="008B4D8D">
        <w:t xml:space="preserve">application </w:t>
      </w:r>
      <w:r>
        <w:t>audit process manages the risk of using overseas approvals</w:t>
      </w:r>
      <w:r w:rsidRPr="006056E4">
        <w:t xml:space="preserve"> </w:t>
      </w:r>
      <w:r>
        <w:t xml:space="preserve">where TGA otherwise has no oversight of the overseas assessment process, providing a mechanism to assure that the approval is appropriate </w:t>
      </w:r>
      <w:r w:rsidR="008B4D8D">
        <w:t>for</w:t>
      </w:r>
      <w:r w:rsidR="00567939">
        <w:t xml:space="preserve"> the Australian context.</w:t>
      </w:r>
    </w:p>
    <w:p w:rsidR="00474E20" w:rsidRDefault="00474E20" w:rsidP="00474E20">
      <w:r>
        <w:lastRenderedPageBreak/>
        <w:t xml:space="preserve">It is proposed this </w:t>
      </w:r>
      <w:r w:rsidR="008B4D8D">
        <w:t xml:space="preserve">application </w:t>
      </w:r>
      <w:r>
        <w:t>audit requirement would apply when relying</w:t>
      </w:r>
      <w:r w:rsidR="004E2B49">
        <w:t xml:space="preserve"> on</w:t>
      </w:r>
      <w:r>
        <w:t xml:space="preserve"> </w:t>
      </w:r>
      <w:r w:rsidR="00D83BE0">
        <w:t xml:space="preserve">the approval of a </w:t>
      </w:r>
      <w:r>
        <w:t xml:space="preserve">high risk device from </w:t>
      </w:r>
      <w:r w:rsidR="00D83BE0">
        <w:t xml:space="preserve">a </w:t>
      </w:r>
      <w:r>
        <w:t>comparable overseas regulator</w:t>
      </w:r>
      <w:r w:rsidR="008B4D8D">
        <w:t>. The application audit process is currently used for such devices</w:t>
      </w:r>
      <w:r>
        <w:t xml:space="preserve"> when </w:t>
      </w:r>
      <w:r w:rsidR="008B4D8D">
        <w:t xml:space="preserve">an applicant is </w:t>
      </w:r>
      <w:r>
        <w:t xml:space="preserve">relying </w:t>
      </w:r>
      <w:r w:rsidR="008B4D8D">
        <w:t>on</w:t>
      </w:r>
      <w:r>
        <w:t xml:space="preserve"> European notified body conformity assessment </w:t>
      </w:r>
      <w:r w:rsidR="0081676A">
        <w:t>certification (EC Certificates)</w:t>
      </w:r>
      <w:r>
        <w:t>.</w:t>
      </w:r>
      <w:r w:rsidR="007C4028">
        <w:t xml:space="preserve"> The focus of application audits may vary based on the comparable overseas regulator, so address differences in regulatory frameworks.</w:t>
      </w:r>
    </w:p>
    <w:p w:rsidR="00474E20" w:rsidRDefault="00474E20" w:rsidP="00474E20">
      <w:r>
        <w:t xml:space="preserve">There is a parallel MMDR proposal to establish Australian conformity assessment bodies </w:t>
      </w:r>
      <w:r w:rsidR="008B4D8D">
        <w:t xml:space="preserve">that are to be </w:t>
      </w:r>
      <w:r>
        <w:t>directly designated by the TGA.</w:t>
      </w:r>
      <w:r>
        <w:rPr>
          <w:rStyle w:val="FootnoteReference"/>
        </w:rPr>
        <w:footnoteReference w:id="11"/>
      </w:r>
      <w:r>
        <w:t xml:space="preserve"> </w:t>
      </w:r>
      <w:r w:rsidR="008B02A2">
        <w:t xml:space="preserve">In that proposal, applications for inclusion in the ARTG, that rely on certificates from a conformity assessment body(ies) designated by TGA, would not require a compulsory application audit even for high risk devices. </w:t>
      </w:r>
      <w:r>
        <w:t>The associated risk would be managed through the process of designating the conformity assessment body, rather than by auditing individual applicati</w:t>
      </w:r>
      <w:r w:rsidR="00A02DC1">
        <w:t xml:space="preserve">ons for inclusion in the ARTG. </w:t>
      </w:r>
      <w:r>
        <w:t>TGA would continue to have the discretion to audit any ARTG inclusion application, and some very high risk devices would continue to require</w:t>
      </w:r>
      <w:r w:rsidR="00527293">
        <w:t xml:space="preserve"> a</w:t>
      </w:r>
      <w:r>
        <w:t xml:space="preserve"> TGA conformity assessment </w:t>
      </w:r>
      <w:r w:rsidR="00AA1D19">
        <w:t>certificate</w:t>
      </w:r>
      <w:r w:rsidR="008B4D8D">
        <w:t xml:space="preserve"> (that may require both a product assessment and an on-site QMS audit by the TGA)</w:t>
      </w:r>
      <w:r>
        <w:t>.</w:t>
      </w:r>
    </w:p>
    <w:p w:rsidR="00481C4B" w:rsidRPr="003F6BCE" w:rsidRDefault="00481C4B" w:rsidP="003F0648">
      <w:pPr>
        <w:pStyle w:val="Heading5"/>
      </w:pPr>
      <w:r>
        <w:t>Timing and assessment of conformity assessment applications</w:t>
      </w:r>
    </w:p>
    <w:p w:rsidR="00481C4B" w:rsidRDefault="00481C4B" w:rsidP="00481C4B">
      <w:pPr>
        <w:rPr>
          <w:szCs w:val="22"/>
        </w:rPr>
      </w:pPr>
      <w:r>
        <w:rPr>
          <w:szCs w:val="22"/>
        </w:rPr>
        <w:t>For work sharing</w:t>
      </w:r>
      <w:r w:rsidR="00937FEC">
        <w:rPr>
          <w:szCs w:val="22"/>
        </w:rPr>
        <w:t>,</w:t>
      </w:r>
      <w:r>
        <w:rPr>
          <w:szCs w:val="22"/>
        </w:rPr>
        <w:t xml:space="preserve"> a joint proposal would need to be submitted by related companies in each country with the express consent of each </w:t>
      </w:r>
      <w:r w:rsidR="00937FEC">
        <w:rPr>
          <w:szCs w:val="22"/>
        </w:rPr>
        <w:t xml:space="preserve">other </w:t>
      </w:r>
      <w:r>
        <w:rPr>
          <w:szCs w:val="22"/>
        </w:rPr>
        <w:t xml:space="preserve">to </w:t>
      </w:r>
      <w:r w:rsidR="00937FEC">
        <w:rPr>
          <w:szCs w:val="22"/>
        </w:rPr>
        <w:t xml:space="preserve">apply </w:t>
      </w:r>
      <w:r>
        <w:rPr>
          <w:szCs w:val="22"/>
        </w:rPr>
        <w:t>the work sharing</w:t>
      </w:r>
      <w:r w:rsidR="00937FEC">
        <w:rPr>
          <w:szCs w:val="22"/>
        </w:rPr>
        <w:t xml:space="preserve"> process</w:t>
      </w:r>
      <w:r>
        <w:rPr>
          <w:szCs w:val="22"/>
        </w:rPr>
        <w:t>. The process would be based on each agency taking responsibility for the assessment of discrete elements of the application. For example, clinical evidence may be examined by one regulator, while bio-materials are assessed by another. At the completion of the assessments, reports would be exchanged directly between the agencies. Each agency then follows their own independ</w:t>
      </w:r>
      <w:r w:rsidR="004A2F90">
        <w:rPr>
          <w:szCs w:val="22"/>
        </w:rPr>
        <w:t xml:space="preserve">ent decision-making processes, </w:t>
      </w:r>
      <w:r>
        <w:rPr>
          <w:szCs w:val="22"/>
        </w:rPr>
        <w:t>including the right to refer to expert advisory bodies.</w:t>
      </w:r>
    </w:p>
    <w:p w:rsidR="00481C4B" w:rsidRDefault="00481C4B" w:rsidP="00481C4B">
      <w:pPr>
        <w:rPr>
          <w:szCs w:val="22"/>
        </w:rPr>
      </w:pPr>
      <w:r>
        <w:rPr>
          <w:szCs w:val="22"/>
        </w:rPr>
        <w:t xml:space="preserve">In practice this would operate </w:t>
      </w:r>
      <w:r w:rsidR="00937FEC">
        <w:rPr>
          <w:szCs w:val="22"/>
        </w:rPr>
        <w:t>similar to</w:t>
      </w:r>
      <w:r>
        <w:rPr>
          <w:szCs w:val="22"/>
        </w:rPr>
        <w:t xml:space="preserve"> </w:t>
      </w:r>
      <w:r w:rsidR="00937FEC">
        <w:rPr>
          <w:szCs w:val="22"/>
        </w:rPr>
        <w:t xml:space="preserve">the process for </w:t>
      </w:r>
      <w:r>
        <w:rPr>
          <w:szCs w:val="22"/>
        </w:rPr>
        <w:t>abridging a conformi</w:t>
      </w:r>
      <w:r w:rsidR="00A02DC1">
        <w:rPr>
          <w:szCs w:val="22"/>
        </w:rPr>
        <w:t xml:space="preserve">ty assessment application. </w:t>
      </w:r>
      <w:r>
        <w:rPr>
          <w:szCs w:val="22"/>
        </w:rPr>
        <w:t xml:space="preserve">The key difference is that the component assessments would be developed in parallel by the different regulators during the time of the application assessment, rather than </w:t>
      </w:r>
      <w:r w:rsidR="00937FEC">
        <w:rPr>
          <w:szCs w:val="22"/>
        </w:rPr>
        <w:t xml:space="preserve">by using </w:t>
      </w:r>
      <w:r>
        <w:rPr>
          <w:szCs w:val="22"/>
        </w:rPr>
        <w:t>prior assessmen</w:t>
      </w:r>
      <w:r w:rsidRPr="008F5709">
        <w:t>t</w:t>
      </w:r>
      <w:r>
        <w:rPr>
          <w:szCs w:val="22"/>
        </w:rPr>
        <w:t xml:space="preserve">s completed by other regulators </w:t>
      </w:r>
      <w:r w:rsidR="00937FEC">
        <w:rPr>
          <w:szCs w:val="22"/>
        </w:rPr>
        <w:t xml:space="preserve">that would be </w:t>
      </w:r>
      <w:r>
        <w:rPr>
          <w:szCs w:val="22"/>
        </w:rPr>
        <w:t>submitted to the TGA at the time of the application.</w:t>
      </w:r>
      <w:r w:rsidR="003F0648">
        <w:rPr>
          <w:szCs w:val="22"/>
        </w:rPr>
        <w:t xml:space="preserve"> It should be noted that work sharing would only occur at the request of the applicant and would be subject to agreement by the comparable regulator, on an application by application basis.</w:t>
      </w:r>
    </w:p>
    <w:p w:rsidR="00D606D0" w:rsidRDefault="00DF0BE1" w:rsidP="003F0648">
      <w:pPr>
        <w:pStyle w:val="Heading5"/>
      </w:pPr>
      <w:r>
        <w:t xml:space="preserve">Assessment procedures </w:t>
      </w:r>
      <w:r w:rsidR="00D606D0">
        <w:t xml:space="preserve">and </w:t>
      </w:r>
      <w:r w:rsidR="00ED2243">
        <w:t>guidance</w:t>
      </w:r>
    </w:p>
    <w:p w:rsidR="00481C4B" w:rsidRDefault="00481C4B" w:rsidP="00481C4B">
      <w:r>
        <w:t>As discussed above, the capacity to use overseas regulator assessments depends both on the extent to which the overseas regulator is ‘comparable’ as assessed against the criteria, and the practical capacity to bridge the gap between the overseas assessment and the Australian regulatory requirements.</w:t>
      </w:r>
    </w:p>
    <w:p w:rsidR="00666CA2" w:rsidRDefault="005D6BF3" w:rsidP="00A34B90">
      <w:pPr>
        <w:spacing w:after="120"/>
      </w:pPr>
      <w:r>
        <w:t xml:space="preserve">In order to implement the use of approvals from comparable overseas regulators as the evidence for applications for inclusion of the medical device in the ARTG it will be necessary to assess comparability of the regulator and undertake an analysis of </w:t>
      </w:r>
      <w:r w:rsidR="000D75E3">
        <w:t>a comparable</w:t>
      </w:r>
      <w:r w:rsidR="0086061B">
        <w:t xml:space="preserve"> </w:t>
      </w:r>
      <w:r w:rsidR="000D75E3">
        <w:t xml:space="preserve">overseas regulator’s </w:t>
      </w:r>
      <w:r>
        <w:t xml:space="preserve">assessment process to generate a </w:t>
      </w:r>
      <w:r w:rsidR="00E36C49">
        <w:t xml:space="preserve">standard process </w:t>
      </w:r>
      <w:r>
        <w:t xml:space="preserve">for </w:t>
      </w:r>
      <w:r w:rsidR="00E36C49">
        <w:t xml:space="preserve">TGA’s assessment of </w:t>
      </w:r>
      <w:r>
        <w:t>applicat</w:t>
      </w:r>
      <w:r w:rsidR="00A02DC1">
        <w:t xml:space="preserve">ions relying on such evidence. </w:t>
      </w:r>
      <w:r>
        <w:t>Review of the assessment process is expected to include</w:t>
      </w:r>
      <w:r w:rsidR="00666CA2">
        <w:t>:</w:t>
      </w:r>
    </w:p>
    <w:p w:rsidR="00666CA2" w:rsidRDefault="005D6BF3" w:rsidP="00E61A04">
      <w:pPr>
        <w:pStyle w:val="ListBullet"/>
      </w:pPr>
      <w:proofErr w:type="gramStart"/>
      <w:r>
        <w:t>review</w:t>
      </w:r>
      <w:proofErr w:type="gramEnd"/>
      <w:r>
        <w:t xml:space="preserve"> of the overseas</w:t>
      </w:r>
      <w:r w:rsidR="00666CA2">
        <w:t xml:space="preserve"> regulatory framework</w:t>
      </w:r>
      <w:r w:rsidR="005B7EBB">
        <w:t>, including its objectives, processes, the requisite competencies to conduct assessments and the suitability of any outputs for use as objectiv</w:t>
      </w:r>
      <w:r w:rsidR="00567939">
        <w:t>e evidence for decision making.</w:t>
      </w:r>
    </w:p>
    <w:p w:rsidR="00666CA2" w:rsidRDefault="003F0648" w:rsidP="00E61A04">
      <w:pPr>
        <w:pStyle w:val="ListBullet"/>
      </w:pPr>
      <w:r>
        <w:t>a</w:t>
      </w:r>
      <w:r w:rsidR="005B7EBB">
        <w:t xml:space="preserve">n </w:t>
      </w:r>
      <w:r w:rsidR="005D6BF3">
        <w:t>analysis of sample assessment reports</w:t>
      </w:r>
    </w:p>
    <w:p w:rsidR="005D6BF3" w:rsidRDefault="00666CA2" w:rsidP="00E61A04">
      <w:pPr>
        <w:pStyle w:val="ListBullet"/>
      </w:pPr>
      <w:r>
        <w:lastRenderedPageBreak/>
        <w:t xml:space="preserve">gap analysis comparing the overseas and Australian </w:t>
      </w:r>
      <w:r w:rsidR="00E36C49">
        <w:t>regulatory requirement</w:t>
      </w:r>
    </w:p>
    <w:p w:rsidR="00666CA2" w:rsidRDefault="005426DC" w:rsidP="00E61A04">
      <w:pPr>
        <w:pStyle w:val="ListBullet"/>
      </w:pPr>
      <w:proofErr w:type="gramStart"/>
      <w:r>
        <w:t>identifying</w:t>
      </w:r>
      <w:proofErr w:type="gramEnd"/>
      <w:r>
        <w:t xml:space="preserve"> and </w:t>
      </w:r>
      <w:r w:rsidR="00666CA2">
        <w:t>documenting</w:t>
      </w:r>
      <w:r>
        <w:t xml:space="preserve"> the</w:t>
      </w:r>
      <w:r w:rsidR="00666CA2">
        <w:t xml:space="preserve"> </w:t>
      </w:r>
      <w:r w:rsidR="00E36C49">
        <w:t xml:space="preserve">information required </w:t>
      </w:r>
      <w:r w:rsidR="00666CA2">
        <w:t xml:space="preserve">to be assessed </w:t>
      </w:r>
      <w:r w:rsidR="00E36C49">
        <w:t xml:space="preserve">for </w:t>
      </w:r>
      <w:r w:rsidR="00666CA2">
        <w:t>the application</w:t>
      </w:r>
      <w:r w:rsidR="00E36C49">
        <w:t>s</w:t>
      </w:r>
      <w:r w:rsidR="00666CA2">
        <w:t xml:space="preserve"> for </w:t>
      </w:r>
      <w:r w:rsidR="00E36C49">
        <w:t xml:space="preserve">ARTG </w:t>
      </w:r>
      <w:r w:rsidR="00666CA2">
        <w:t>inclusion</w:t>
      </w:r>
      <w:r w:rsidR="00E36C49">
        <w:t>s</w:t>
      </w:r>
      <w:r w:rsidR="00567939">
        <w:t>.</w:t>
      </w:r>
    </w:p>
    <w:p w:rsidR="00A96EF1" w:rsidRDefault="0073110A" w:rsidP="00A96EF1">
      <w:pPr>
        <w:pStyle w:val="Heading4"/>
      </w:pPr>
      <w:bookmarkStart w:id="18" w:name="_Toc482100441"/>
      <w:r>
        <w:t>Implementation mechanism</w:t>
      </w:r>
      <w:bookmarkEnd w:id="18"/>
    </w:p>
    <w:p w:rsidR="0073110A" w:rsidRDefault="0073110A" w:rsidP="0073110A">
      <w:r>
        <w:t>Criteria for assessing the comparability of an overseas regulator would be the same, whether for use of overseas approvals to support inclusion in the ARTG or work-sharing, although their application for different jurisdictions may vary. For example the information and assurance to support use of overseas approvals to support inclusion in the ARTG may be in place for a particular regulator, but that regulator may be unwilling to participate in</w:t>
      </w:r>
      <w:r w:rsidR="00567939">
        <w:t xml:space="preserve"> work-sharing arrangements.</w:t>
      </w:r>
    </w:p>
    <w:p w:rsidR="00A96EF1" w:rsidRDefault="00A96EF1" w:rsidP="00132955">
      <w:pPr>
        <w:pStyle w:val="Heading5"/>
      </w:pPr>
      <w:r>
        <w:t>Regulatory list of comparable overseas regulators</w:t>
      </w:r>
    </w:p>
    <w:p w:rsidR="00A96EF1" w:rsidRDefault="00A96EF1" w:rsidP="00A96EF1">
      <w:r>
        <w:t xml:space="preserve">Once an overseas regulator has been assessed as both comparable and the use of their assessments practically appropriate, </w:t>
      </w:r>
      <w:r w:rsidR="005B7EBB">
        <w:t>they</w:t>
      </w:r>
      <w:r>
        <w:t xml:space="preserve"> would be included as a ‘comparable overseas regulator’ in a list </w:t>
      </w:r>
      <w:r w:rsidR="00E8444F">
        <w:t xml:space="preserve">published as a </w:t>
      </w:r>
      <w:r w:rsidR="00032EED">
        <w:t>legislative instrument</w:t>
      </w:r>
      <w:r w:rsidR="00E8444F">
        <w:t xml:space="preserve"> on the TGA website</w:t>
      </w:r>
      <w:r w:rsidR="00A02DC1">
        <w:t xml:space="preserve">. </w:t>
      </w:r>
      <w:r>
        <w:t xml:space="preserve">This list </w:t>
      </w:r>
      <w:r w:rsidR="00032EED">
        <w:t xml:space="preserve">may </w:t>
      </w:r>
      <w:r w:rsidR="00C82EC8">
        <w:t>need to be updated regularly. It would</w:t>
      </w:r>
      <w:r>
        <w:t xml:space="preserve"> include overseas regulators </w:t>
      </w:r>
      <w:r w:rsidR="00BC235F">
        <w:t>who</w:t>
      </w:r>
      <w:r>
        <w:t xml:space="preserve"> directly undertake assessments</w:t>
      </w:r>
      <w:r w:rsidR="005B7EBB">
        <w:t xml:space="preserve"> and </w:t>
      </w:r>
      <w:r>
        <w:t xml:space="preserve">those regulators </w:t>
      </w:r>
      <w:r w:rsidR="00BC235F">
        <w:t>who</w:t>
      </w:r>
      <w:r>
        <w:t xml:space="preserve"> designate third party assessment bodies</w:t>
      </w:r>
      <w:r w:rsidR="005B7EBB">
        <w:t xml:space="preserve"> to undertake assessments on their behalf</w:t>
      </w:r>
      <w:r>
        <w:t xml:space="preserve"> (such as European regulators, which designate European notified </w:t>
      </w:r>
      <w:r w:rsidR="00567939">
        <w:t>bodies in their jurisdictions).</w:t>
      </w:r>
    </w:p>
    <w:p w:rsidR="00132955" w:rsidRDefault="00132955" w:rsidP="00132955">
      <w:r>
        <w:t xml:space="preserve">In practice the arrangements for </w:t>
      </w:r>
      <w:r w:rsidR="005B7EBB">
        <w:t xml:space="preserve">the </w:t>
      </w:r>
      <w:r>
        <w:t>use of overseas approvals</w:t>
      </w:r>
      <w:r w:rsidR="005B7EBB">
        <w:t>,</w:t>
      </w:r>
      <w:r>
        <w:t xml:space="preserve"> to support inclusion in the ARTG</w:t>
      </w:r>
      <w:r w:rsidR="005B7EBB">
        <w:t>,</w:t>
      </w:r>
      <w:r>
        <w:t xml:space="preserve"> need to be clear to applicants to allow them to judge whether they have sufficient information to support t</w:t>
      </w:r>
      <w:r w:rsidR="00A02DC1">
        <w:t xml:space="preserve">heir application. </w:t>
      </w:r>
      <w:r>
        <w:t xml:space="preserve">For that reason the approach proposed above would </w:t>
      </w:r>
      <w:r w:rsidR="005B7EBB">
        <w:t xml:space="preserve">also </w:t>
      </w:r>
      <w:r>
        <w:t xml:space="preserve">apply for </w:t>
      </w:r>
      <w:r w:rsidR="005B7EBB">
        <w:t xml:space="preserve">the </w:t>
      </w:r>
      <w:r>
        <w:t xml:space="preserve">use of overseas approvals to </w:t>
      </w:r>
      <w:r w:rsidR="00A02DC1">
        <w:t xml:space="preserve">support inclusion in the ARTG. </w:t>
      </w:r>
      <w:r>
        <w:t>The list would also provide an indication of regulators which would be favourably considered for work-sharing, but the capacity to engage in work-sharing would need to be assessed on a</w:t>
      </w:r>
      <w:r w:rsidR="00386A04">
        <w:t>n</w:t>
      </w:r>
      <w:r>
        <w:t xml:space="preserve"> </w:t>
      </w:r>
      <w:r w:rsidR="00386A04">
        <w:t xml:space="preserve">application </w:t>
      </w:r>
      <w:r>
        <w:t xml:space="preserve">by </w:t>
      </w:r>
      <w:r w:rsidR="00386A04">
        <w:t xml:space="preserve">application </w:t>
      </w:r>
      <w:r w:rsidR="00A02DC1">
        <w:t xml:space="preserve">basis. </w:t>
      </w:r>
      <w:r>
        <w:t>Any conformity assessment applicant wishing to be considered for work-sharing should approach TGA on options as par</w:t>
      </w:r>
      <w:r w:rsidR="00567939">
        <w:t>t of pre-submission engagement.</w:t>
      </w:r>
    </w:p>
    <w:p w:rsidR="00A96EF1" w:rsidRDefault="00A96EF1" w:rsidP="008F5709">
      <w:pPr>
        <w:pStyle w:val="Heading5"/>
      </w:pPr>
      <w:r>
        <w:t>Possible scope exclusions</w:t>
      </w:r>
    </w:p>
    <w:p w:rsidR="00A96EF1" w:rsidRDefault="00A96EF1" w:rsidP="00A96EF1">
      <w:r>
        <w:t>There are some differences between Australian and European requirements, for example some devic</w:t>
      </w:r>
      <w:r w:rsidR="00A02DC1">
        <w:t xml:space="preserve">es are classified differently. </w:t>
      </w:r>
      <w:r w:rsidR="004F36D7">
        <w:t>This</w:t>
      </w:r>
      <w:r>
        <w:t xml:space="preserve"> means that European notified body certification issued in relation to the device that is classified lower in Europe than in Australia cannot be used in Australia.</w:t>
      </w:r>
      <w:r>
        <w:rPr>
          <w:rStyle w:val="FootnoteReference"/>
        </w:rPr>
        <w:footnoteReference w:id="12"/>
      </w:r>
      <w:r>
        <w:t xml:space="preserve"> These exclusions may also apply for overseas approvals of particular medical devices </w:t>
      </w:r>
      <w:r w:rsidR="005B7EBB">
        <w:t>where</w:t>
      </w:r>
      <w:r>
        <w:t xml:space="preserve"> particular assessment processes undertaken by the regulators</w:t>
      </w:r>
      <w:r w:rsidR="005B7EBB">
        <w:t xml:space="preserve"> are not sufficiently comparable to Australian assessment processes </w:t>
      </w:r>
      <w:r>
        <w:t xml:space="preserve">(for example, the capacity to rely on the US FDA’s </w:t>
      </w:r>
      <w:hyperlink r:id="rId16" w:history="1">
        <w:r w:rsidRPr="00AE7141">
          <w:rPr>
            <w:rStyle w:val="Hyperlink"/>
          </w:rPr>
          <w:t>Premarket Approval (PMA)</w:t>
        </w:r>
      </w:hyperlink>
      <w:r>
        <w:t xml:space="preserve"> and </w:t>
      </w:r>
      <w:hyperlink r:id="rId17" w:history="1">
        <w:r w:rsidRPr="00AE7141">
          <w:rPr>
            <w:rStyle w:val="Hyperlink"/>
            <w:lang w:val="en"/>
          </w:rPr>
          <w:t xml:space="preserve">Premarket Notification </w:t>
        </w:r>
        <w:r w:rsidRPr="00AE7141">
          <w:rPr>
            <w:rStyle w:val="Hyperlink"/>
          </w:rPr>
          <w:t>510k</w:t>
        </w:r>
      </w:hyperlink>
      <w:r>
        <w:t xml:space="preserve"> processes may differ).</w:t>
      </w:r>
    </w:p>
    <w:p w:rsidR="00A96EF1" w:rsidRDefault="00A96EF1" w:rsidP="00A96EF1">
      <w:r>
        <w:t xml:space="preserve">Assessment of comparability of a regulator against the criteria and the gap analysis to develop </w:t>
      </w:r>
      <w:r w:rsidR="007C30F0">
        <w:t>standard operating procedures (</w:t>
      </w:r>
      <w:r>
        <w:t>SOPs</w:t>
      </w:r>
      <w:r w:rsidR="007C30F0">
        <w:t>)</w:t>
      </w:r>
      <w:r>
        <w:t xml:space="preserve"> and guidance is a significan</w:t>
      </w:r>
      <w:r w:rsidR="00A02DC1">
        <w:t xml:space="preserve">t investment of TGA resources. </w:t>
      </w:r>
      <w:r>
        <w:t xml:space="preserve">Undertaking this analysis may be of marginal value in respect of some overseas regulators; such as where few applicants are expected from sponsors </w:t>
      </w:r>
      <w:r w:rsidR="004F36D7">
        <w:t>who</w:t>
      </w:r>
      <w:r>
        <w:t xml:space="preserve"> wish to rely on an approval from a </w:t>
      </w:r>
      <w:r w:rsidR="00A02DC1">
        <w:t xml:space="preserve">particular overseas regulator. </w:t>
      </w:r>
      <w:r>
        <w:t xml:space="preserve">TGA may also be unable to satisfactorily complete such analysis, where details of the assessment process are not sufficiently transparent or </w:t>
      </w:r>
      <w:r w:rsidR="005B7EBB">
        <w:t xml:space="preserve">a </w:t>
      </w:r>
      <w:r>
        <w:t>sufficient sample of assessment rep</w:t>
      </w:r>
      <w:r w:rsidR="00A02DC1">
        <w:t xml:space="preserve">orts are not available to TGA. </w:t>
      </w:r>
      <w:r>
        <w:t xml:space="preserve">Hence, meeting the criteria for </w:t>
      </w:r>
      <w:r>
        <w:lastRenderedPageBreak/>
        <w:t>a comparable overseas regulator is necessary, but may not be a sufficient basis to formally recognise an overseas regulator as a comparable overseas regulator</w:t>
      </w:r>
      <w:r w:rsidR="006D34F8">
        <w:t>.</w:t>
      </w:r>
    </w:p>
    <w:p w:rsidR="003F6BCE" w:rsidRPr="00716879" w:rsidRDefault="00A96EF1" w:rsidP="00716879">
      <w:r>
        <w:t>It should also be noted that it is unlikely that work-sharing will be possible with European notified bodies (or other commercial bodies designated by regulators to undertake assessments). International cooperative agreements operate between government regulators rather than commercial organisations. Even where this can be overcome, it is unlikely a commercial organisation will wish to participate in such an arrangement when it is likely to be</w:t>
      </w:r>
      <w:r w:rsidR="00567939">
        <w:t xml:space="preserve"> to their commercial detriment.</w:t>
      </w:r>
    </w:p>
    <w:p w:rsidR="00705FFC" w:rsidRDefault="00705FFC" w:rsidP="00716879">
      <w:pPr>
        <w:pStyle w:val="Heading4"/>
      </w:pPr>
      <w:bookmarkStart w:id="19" w:name="_Toc482100442"/>
      <w:r>
        <w:t>Expected recognition of overseas regulators</w:t>
      </w:r>
      <w:bookmarkEnd w:id="19"/>
    </w:p>
    <w:p w:rsidR="00716879" w:rsidRDefault="00D606D0" w:rsidP="00E61A04">
      <w:pPr>
        <w:pStyle w:val="ListBullet"/>
      </w:pPr>
      <w:r>
        <w:t>At this stage</w:t>
      </w:r>
      <w:r w:rsidR="000D75E3">
        <w:t>, i</w:t>
      </w:r>
      <w:r w:rsidR="0086061B">
        <w:t>n line with the criteria below,</w:t>
      </w:r>
      <w:r>
        <w:t xml:space="preserve"> it is anticipated that </w:t>
      </w:r>
      <w:r w:rsidR="000D75E3">
        <w:t xml:space="preserve">only </w:t>
      </w:r>
      <w:r>
        <w:t xml:space="preserve">overseas regulators </w:t>
      </w:r>
      <w:r w:rsidR="000D75E3">
        <w:t xml:space="preserve">which are participating members of the IMDRF (members of the management committee) </w:t>
      </w:r>
      <w:r>
        <w:t xml:space="preserve">would be </w:t>
      </w:r>
      <w:r w:rsidR="002D0187">
        <w:t xml:space="preserve">evaluated against criteria </w:t>
      </w:r>
      <w:r>
        <w:t>for inclusion in the list of comparable overseas regulators</w:t>
      </w:r>
      <w:r w:rsidR="000B752F">
        <w:t>.</w:t>
      </w:r>
      <w:r w:rsidR="000D75E3" w:rsidRPr="000D75E3">
        <w:t xml:space="preserve"> </w:t>
      </w:r>
      <w:r w:rsidR="00716879">
        <w:t>For use of overseas approvals to support inclusion in the ARTG:</w:t>
      </w:r>
      <w:r w:rsidR="00481C4B">
        <w:t xml:space="preserve"> Analysis of overseas regulators would be considered on a regulator by </w:t>
      </w:r>
      <w:r w:rsidR="00E8444F">
        <w:t xml:space="preserve">regulator </w:t>
      </w:r>
      <w:r w:rsidR="00481C4B">
        <w:t>basis, taking into account:</w:t>
      </w:r>
    </w:p>
    <w:p w:rsidR="00716879" w:rsidRDefault="000B752F" w:rsidP="008F5709">
      <w:pPr>
        <w:pStyle w:val="ListBullet2"/>
      </w:pPr>
      <w:proofErr w:type="gramStart"/>
      <w:r>
        <w:t>the</w:t>
      </w:r>
      <w:proofErr w:type="gramEnd"/>
      <w:r>
        <w:t xml:space="preserve"> r</w:t>
      </w:r>
      <w:r w:rsidR="008F263C">
        <w:t>esources required</w:t>
      </w:r>
      <w:r>
        <w:t xml:space="preserve"> in TGA to undertake the assessment and develop the assessment material and guidance required to implement use of the overseas approval</w:t>
      </w:r>
      <w:r w:rsidR="00716879">
        <w:t xml:space="preserve">, </w:t>
      </w:r>
      <w:r w:rsidR="008F263C">
        <w:t xml:space="preserve">expected utilisation of approvals from the regulator, </w:t>
      </w:r>
      <w:r w:rsidR="00391194">
        <w:t xml:space="preserve">and </w:t>
      </w:r>
      <w:r w:rsidR="008F263C">
        <w:t>accessibility of sample assessment reports</w:t>
      </w:r>
      <w:r>
        <w:t xml:space="preserve"> to support analysis</w:t>
      </w:r>
      <w:r w:rsidR="00567939">
        <w:t>.</w:t>
      </w:r>
    </w:p>
    <w:p w:rsidR="00716879" w:rsidRDefault="00E8444F" w:rsidP="008F5709">
      <w:pPr>
        <w:pStyle w:val="ListBullet2"/>
      </w:pPr>
      <w:proofErr w:type="gramStart"/>
      <w:r>
        <w:t>c</w:t>
      </w:r>
      <w:r w:rsidR="00716879">
        <w:t>onsultation</w:t>
      </w:r>
      <w:proofErr w:type="gramEnd"/>
      <w:r w:rsidR="00716879">
        <w:t xml:space="preserve"> would be undertaken with the requesting individual or organisations and industry representatives (via the </w:t>
      </w:r>
      <w:hyperlink r:id="rId18" w:history="1">
        <w:r w:rsidR="00716879" w:rsidRPr="008F263C">
          <w:rPr>
            <w:rStyle w:val="Hyperlink"/>
          </w:rPr>
          <w:t>Regulatory and Technical Consultative Forum</w:t>
        </w:r>
      </w:hyperlink>
      <w:r w:rsidR="00716879">
        <w:t>) prior to deciding whe</w:t>
      </w:r>
      <w:r w:rsidR="00567939">
        <w:t>ther to proceed with analysis.</w:t>
      </w:r>
    </w:p>
    <w:p w:rsidR="00A70F74" w:rsidRDefault="00716879" w:rsidP="00E61A04">
      <w:pPr>
        <w:pStyle w:val="ListBullet"/>
      </w:pPr>
      <w:r>
        <w:t>For work-sharing:</w:t>
      </w:r>
      <w:r w:rsidR="00481C4B" w:rsidRPr="00481C4B">
        <w:t xml:space="preserve"> </w:t>
      </w:r>
      <w:r w:rsidR="00481C4B">
        <w:t>Analysis of overseas regulators would be considered on a</w:t>
      </w:r>
      <w:r w:rsidR="00427686">
        <w:t>n</w:t>
      </w:r>
      <w:r w:rsidR="00481C4B">
        <w:t xml:space="preserve"> application by application basis, taking into account</w:t>
      </w:r>
      <w:r w:rsidR="006D34F8">
        <w:t xml:space="preserve"> the</w:t>
      </w:r>
      <w:r w:rsidR="00481C4B">
        <w:t>:</w:t>
      </w:r>
    </w:p>
    <w:p w:rsidR="00481C4B" w:rsidRDefault="00481C4B" w:rsidP="00716879">
      <w:pPr>
        <w:pStyle w:val="ListBullet2"/>
      </w:pPr>
      <w:r>
        <w:t>comparability of the assessment required by each regulator, such as component assessments which both jurisdictions agree need to be undertak</w:t>
      </w:r>
      <w:r w:rsidR="006D34F8">
        <w:t>en</w:t>
      </w:r>
      <w:r w:rsidR="00567939">
        <w:t>; and</w:t>
      </w:r>
    </w:p>
    <w:p w:rsidR="00DB58FF" w:rsidRDefault="00481C4B" w:rsidP="00DB58FF">
      <w:pPr>
        <w:pStyle w:val="ListBullet2"/>
        <w:spacing w:after="360"/>
        <w:ind w:left="714" w:hanging="357"/>
      </w:pPr>
      <w:proofErr w:type="gramStart"/>
      <w:r>
        <w:t>w</w:t>
      </w:r>
      <w:r w:rsidR="00716879">
        <w:t>illingness</w:t>
      </w:r>
      <w:proofErr w:type="gramEnd"/>
      <w:r w:rsidR="00716879">
        <w:t xml:space="preserve"> of the overseas regulator to participate</w:t>
      </w:r>
      <w:r w:rsidR="006D34F8">
        <w:t>,</w:t>
      </w:r>
      <w:r w:rsidR="00716879">
        <w:t xml:space="preserve"> and the existence and scope of cooperative agreements</w:t>
      </w:r>
      <w:r w:rsidR="006D34F8">
        <w:t>,</w:t>
      </w:r>
      <w:r w:rsidR="00716879">
        <w:t xml:space="preserve"> to facilitate work-sharing</w:t>
      </w:r>
      <w:r>
        <w:t>.</w:t>
      </w:r>
    </w:p>
    <w:p w:rsidR="00CF63E6" w:rsidRDefault="00CF63E6" w:rsidP="00CF63E6"/>
    <w:tbl>
      <w:tblPr>
        <w:tblpPr w:leftFromText="180" w:rightFromText="180" w:vertAnchor="text" w:horzAnchor="margin" w:tblpY="-250"/>
        <w:tblOverlap w:val="never"/>
        <w:tblW w:w="9038" w:type="dxa"/>
        <w:tblLayout w:type="fixed"/>
        <w:tblCellMar>
          <w:left w:w="0" w:type="dxa"/>
          <w:right w:w="0" w:type="dxa"/>
        </w:tblCellMar>
        <w:tblLook w:val="04A0" w:firstRow="1" w:lastRow="0" w:firstColumn="1" w:lastColumn="0" w:noHBand="0" w:noVBand="1"/>
      </w:tblPr>
      <w:tblGrid>
        <w:gridCol w:w="1276"/>
        <w:gridCol w:w="7762"/>
      </w:tblGrid>
      <w:tr w:rsidR="00DB58FF" w:rsidRPr="009401F6" w:rsidTr="00DB58FF">
        <w:trPr>
          <w:trHeight w:val="1206"/>
        </w:trPr>
        <w:tc>
          <w:tcPr>
            <w:tcW w:w="1276" w:type="dxa"/>
            <w:vAlign w:val="center"/>
          </w:tcPr>
          <w:p w:rsidR="00DB58FF" w:rsidRPr="009401F6" w:rsidRDefault="00DB58FF" w:rsidP="00DB58FF">
            <w:pPr>
              <w:spacing w:before="0"/>
              <w:rPr>
                <w:sz w:val="20"/>
              </w:rPr>
            </w:pPr>
            <w:r>
              <w:rPr>
                <w:noProof/>
                <w:sz w:val="20"/>
                <w:lang w:eastAsia="en-AU"/>
              </w:rPr>
              <w:drawing>
                <wp:inline distT="0" distB="0" distL="0" distR="0" wp14:anchorId="391A8085" wp14:editId="48C13D11">
                  <wp:extent cx="489600" cy="489600"/>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 787454  question-white-on-black-160x16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DB58FF" w:rsidRPr="00D46806" w:rsidRDefault="00DB58FF" w:rsidP="00DB58FF">
            <w:pPr>
              <w:spacing w:before="0"/>
              <w:rPr>
                <w:b/>
              </w:rPr>
            </w:pPr>
            <w:r>
              <w:rPr>
                <w:b/>
              </w:rPr>
              <w:t>Use of overseas regulatory approvals</w:t>
            </w:r>
          </w:p>
          <w:p w:rsidR="00DB58FF" w:rsidRDefault="00DB58FF" w:rsidP="00E61A04">
            <w:pPr>
              <w:pStyle w:val="ListBullet"/>
            </w:pPr>
            <w:r>
              <w:t>Is the proposed use of a list of comparable overseas regulators in a legislative instrument published on the TGA website, rather than the criteria, appropriate?</w:t>
            </w:r>
          </w:p>
          <w:p w:rsidR="00DB58FF" w:rsidRDefault="00DB58FF" w:rsidP="00E61A04">
            <w:pPr>
              <w:pStyle w:val="ListBullet"/>
            </w:pPr>
            <w:r>
              <w:t>Are there additional issues which should be addressed in the regulations, assessment procedures or guidance?</w:t>
            </w:r>
          </w:p>
          <w:p w:rsidR="00DB58FF" w:rsidRDefault="00DB58FF" w:rsidP="00E61A04">
            <w:pPr>
              <w:pStyle w:val="ListBullet"/>
            </w:pPr>
            <w:r>
              <w:t>Are there other overseas regulators you would expect to be included, beyond IMDRF management committee members?</w:t>
            </w:r>
          </w:p>
          <w:p w:rsidR="00DB58FF" w:rsidRPr="00406930" w:rsidRDefault="00DB58FF" w:rsidP="00DB58FF">
            <w:pPr>
              <w:spacing w:after="120"/>
              <w:rPr>
                <w:b/>
              </w:rPr>
            </w:pPr>
            <w:r w:rsidRPr="00406930">
              <w:rPr>
                <w:b/>
              </w:rPr>
              <w:t>Work-sharing</w:t>
            </w:r>
          </w:p>
          <w:p w:rsidR="00DB58FF" w:rsidRPr="009401F6" w:rsidRDefault="00DB58FF" w:rsidP="00E61A04">
            <w:pPr>
              <w:pStyle w:val="ListBullet"/>
            </w:pPr>
            <w:r>
              <w:t>Is an ‘application by application’ arrangement for work- sharing appropriate, or can you suggest how a more systematic approach might operate?</w:t>
            </w:r>
          </w:p>
        </w:tc>
      </w:tr>
    </w:tbl>
    <w:p w:rsidR="00A47DD1" w:rsidRDefault="00A47DD1" w:rsidP="00DB58FF">
      <w:pPr>
        <w:pStyle w:val="Heading2"/>
      </w:pPr>
      <w:bookmarkStart w:id="20" w:name="_Toc482100443"/>
      <w:r w:rsidRPr="008B02A2">
        <w:lastRenderedPageBreak/>
        <w:t>Proposed criteria</w:t>
      </w:r>
      <w:bookmarkEnd w:id="20"/>
    </w:p>
    <w:p w:rsidR="00B07050" w:rsidRPr="00B07050" w:rsidRDefault="0082599F" w:rsidP="00B07050">
      <w:r>
        <w:t xml:space="preserve">Taking into account the various factors outlined in the </w:t>
      </w:r>
      <w:r w:rsidR="00A70F74">
        <w:t>MMDR Report</w:t>
      </w:r>
      <w:r w:rsidR="00AE498F">
        <w:t xml:space="preserve"> </w:t>
      </w:r>
      <w:r w:rsidR="00F91479">
        <w:t xml:space="preserve">(at Recommendation 17) </w:t>
      </w:r>
      <w:r w:rsidR="00AE498F">
        <w:t xml:space="preserve">the following </w:t>
      </w:r>
      <w:r w:rsidR="00F17687" w:rsidRPr="00F17687">
        <w:t>criteria</w:t>
      </w:r>
      <w:r w:rsidR="00AE498F">
        <w:t xml:space="preserve"> are proposed:</w:t>
      </w:r>
    </w:p>
    <w:p w:rsidR="00B07050" w:rsidRPr="008B02A2" w:rsidRDefault="00CF63E6" w:rsidP="00E61A04">
      <w:pPr>
        <w:pStyle w:val="Numberbullet"/>
        <w:numPr>
          <w:ilvl w:val="0"/>
          <w:numId w:val="12"/>
        </w:numPr>
      </w:pPr>
      <w:hyperlink w:anchor="_Comparability_of_the" w:history="1">
        <w:r w:rsidR="00B07050" w:rsidRPr="008B02A2">
          <w:rPr>
            <w:rStyle w:val="Hyperlink"/>
          </w:rPr>
          <w:t>Comparability of the regulatory framework of the overseas regulator</w:t>
        </w:r>
      </w:hyperlink>
    </w:p>
    <w:p w:rsidR="00B07050" w:rsidRPr="008B02A2" w:rsidRDefault="00CF63E6" w:rsidP="00E61A04">
      <w:pPr>
        <w:pStyle w:val="Numberbullet"/>
        <w:numPr>
          <w:ilvl w:val="0"/>
          <w:numId w:val="12"/>
        </w:numPr>
      </w:pPr>
      <w:hyperlink w:anchor="_IMDRF_membership" w:history="1">
        <w:r w:rsidR="00B07050" w:rsidRPr="008B02A2">
          <w:rPr>
            <w:rStyle w:val="Hyperlink"/>
          </w:rPr>
          <w:t>IMDRF membership</w:t>
        </w:r>
      </w:hyperlink>
    </w:p>
    <w:p w:rsidR="00B07050" w:rsidRPr="008B02A2" w:rsidRDefault="00CF63E6" w:rsidP="00E61A04">
      <w:pPr>
        <w:pStyle w:val="Numberbullet"/>
        <w:numPr>
          <w:ilvl w:val="0"/>
          <w:numId w:val="12"/>
        </w:numPr>
      </w:pPr>
      <w:hyperlink w:anchor="_Life_cycle_approach" w:history="1">
        <w:r w:rsidR="00B07050" w:rsidRPr="008B02A2">
          <w:rPr>
            <w:rStyle w:val="Hyperlink"/>
          </w:rPr>
          <w:t>Life cycle approach and post market vigilance</w:t>
        </w:r>
      </w:hyperlink>
    </w:p>
    <w:p w:rsidR="00B07050" w:rsidRDefault="00CF63E6" w:rsidP="00E61A04">
      <w:pPr>
        <w:pStyle w:val="Numberbullet"/>
        <w:numPr>
          <w:ilvl w:val="0"/>
          <w:numId w:val="12"/>
        </w:numPr>
      </w:pPr>
      <w:hyperlink w:anchor="_Communication_and_cooperation" w:history="1">
        <w:r w:rsidR="00B07050" w:rsidRPr="008B02A2">
          <w:rPr>
            <w:rStyle w:val="Hyperlink"/>
          </w:rPr>
          <w:t>Communication and cooperation with overseas regulators</w:t>
        </w:r>
      </w:hyperlink>
    </w:p>
    <w:p w:rsidR="00B07050" w:rsidRDefault="00CF63E6" w:rsidP="00E61A04">
      <w:pPr>
        <w:pStyle w:val="Numberbullet"/>
        <w:numPr>
          <w:ilvl w:val="0"/>
          <w:numId w:val="12"/>
        </w:numPr>
      </w:pPr>
      <w:hyperlink w:anchor="_Expertise_of_the" w:history="1">
        <w:r w:rsidR="00B07050" w:rsidRPr="008B02A2">
          <w:rPr>
            <w:rStyle w:val="Hyperlink"/>
          </w:rPr>
          <w:t>Expertise of the overseas regulator</w:t>
        </w:r>
      </w:hyperlink>
    </w:p>
    <w:p w:rsidR="00F50AC2" w:rsidRPr="0026731B" w:rsidRDefault="00DE0594" w:rsidP="00316B4C">
      <w:pPr>
        <w:pStyle w:val="Heading3"/>
        <w:numPr>
          <w:ilvl w:val="0"/>
          <w:numId w:val="8"/>
        </w:numPr>
        <w:spacing w:before="480"/>
        <w:ind w:left="567" w:hanging="567"/>
      </w:pPr>
      <w:bookmarkStart w:id="21" w:name="_Comparability_of_the"/>
      <w:bookmarkStart w:id="22" w:name="_Toc482100444"/>
      <w:bookmarkEnd w:id="21"/>
      <w:r w:rsidRPr="0026731B">
        <w:t xml:space="preserve">Comparability </w:t>
      </w:r>
      <w:r w:rsidR="00F50AC2" w:rsidRPr="0026731B">
        <w:t xml:space="preserve">of the </w:t>
      </w:r>
      <w:r w:rsidR="00F17687" w:rsidRPr="0026731B">
        <w:t>regulatory fram</w:t>
      </w:r>
      <w:r w:rsidR="00F50AC2" w:rsidRPr="0026731B">
        <w:t>ework</w:t>
      </w:r>
      <w:bookmarkEnd w:id="22"/>
    </w:p>
    <w:p w:rsidR="0045312F" w:rsidRDefault="0045312F" w:rsidP="00316B4C">
      <w:pPr>
        <w:pStyle w:val="Heading4"/>
        <w:spacing w:after="240"/>
      </w:pPr>
      <w:bookmarkStart w:id="23" w:name="_Toc477879971"/>
      <w:bookmarkStart w:id="24" w:name="_Toc478656715"/>
      <w:bookmarkStart w:id="25" w:name="_Toc480550333"/>
      <w:bookmarkStart w:id="26" w:name="_Toc482100445"/>
      <w:r>
        <w:t>Scope</w:t>
      </w:r>
      <w:bookmarkEnd w:id="23"/>
      <w:bookmarkEnd w:id="24"/>
      <w:bookmarkEnd w:id="25"/>
      <w:bookmarkEnd w:id="26"/>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552C5E" w:rsidRPr="008B02A2" w:rsidTr="00552C5E">
        <w:trPr>
          <w:trHeight w:val="1206"/>
        </w:trPr>
        <w:tc>
          <w:tcPr>
            <w:tcW w:w="8789" w:type="dxa"/>
            <w:shd w:val="clear" w:color="auto" w:fill="E7F5FF"/>
            <w:tcMar>
              <w:top w:w="170" w:type="dxa"/>
              <w:left w:w="170" w:type="dxa"/>
              <w:bottom w:w="170" w:type="dxa"/>
              <w:right w:w="170" w:type="dxa"/>
            </w:tcMar>
          </w:tcPr>
          <w:p w:rsidR="00552C5E" w:rsidRPr="00F50AC2" w:rsidRDefault="00552C5E" w:rsidP="00E61A04">
            <w:pPr>
              <w:pStyle w:val="ListBullet"/>
            </w:pPr>
            <w:r w:rsidRPr="00F50AC2">
              <w:t xml:space="preserve">Does the overseas regulator take into account the </w:t>
            </w:r>
            <w:r>
              <w:t xml:space="preserve">same or similar regulatory objectives and other </w:t>
            </w:r>
            <w:r w:rsidRPr="00F50AC2">
              <w:t>factors that are prescribed in the TGA’s legislation and regulations</w:t>
            </w:r>
            <w:r>
              <w:t xml:space="preserve"> (e.g. is the definition of a medical device substantially the same)</w:t>
            </w:r>
            <w:r w:rsidR="00567939">
              <w:t>?</w:t>
            </w:r>
          </w:p>
          <w:p w:rsidR="00552C5E" w:rsidRDefault="00552C5E" w:rsidP="00E61A04">
            <w:pPr>
              <w:pStyle w:val="ListBullet"/>
            </w:pPr>
            <w:r w:rsidRPr="00F50AC2">
              <w:t xml:space="preserve">Does it take into account </w:t>
            </w:r>
            <w:r>
              <w:t xml:space="preserve">objectives </w:t>
            </w:r>
            <w:r w:rsidRPr="00F50AC2">
              <w:t>that are excluded in the Australian legislation</w:t>
            </w:r>
            <w:r>
              <w:t>,</w:t>
            </w:r>
            <w:r w:rsidRPr="00F50AC2">
              <w:t xml:space="preserve"> for example additional policy objectives such as industry development</w:t>
            </w:r>
            <w:r>
              <w:t xml:space="preserve"> or environmental protection</w:t>
            </w:r>
            <w:r w:rsidRPr="00F50AC2">
              <w:t>?</w:t>
            </w:r>
          </w:p>
          <w:p w:rsidR="00552C5E" w:rsidRPr="008B02A2" w:rsidRDefault="00552C5E" w:rsidP="00E61A04">
            <w:pPr>
              <w:pStyle w:val="ListBullet"/>
            </w:pPr>
            <w:r w:rsidRPr="001F292A">
              <w:t>Does the overseas regulato</w:t>
            </w:r>
            <w:r w:rsidRPr="00DB58FF">
              <w:t>r</w:t>
            </w:r>
            <w:r w:rsidRPr="001F292A">
              <w:t xml:space="preserve"> provide complete (un-redacted) reports and is</w:t>
            </w:r>
            <w:r>
              <w:t xml:space="preserve"> supporting</w:t>
            </w:r>
            <w:r w:rsidRPr="001F292A">
              <w:t xml:space="preserve"> scientific data used in assessments </w:t>
            </w:r>
            <w:r>
              <w:t xml:space="preserve">available </w:t>
            </w:r>
            <w:r w:rsidRPr="001F292A">
              <w:t>if necessary?</w:t>
            </w:r>
          </w:p>
        </w:tc>
      </w:tr>
    </w:tbl>
    <w:p w:rsidR="00F17687" w:rsidRPr="00F50AC2" w:rsidRDefault="00F17687" w:rsidP="00DB58FF">
      <w:r w:rsidRPr="00F50AC2">
        <w:t xml:space="preserve">The scope, definitions, and required approaches within the TGA framework </w:t>
      </w:r>
      <w:r w:rsidR="00F50AC2">
        <w:t>reflect</w:t>
      </w:r>
      <w:r w:rsidRPr="00F50AC2">
        <w:t xml:space="preserve"> the policy intentions of government. These may not always line up with the corresponding legislative framework in other countries. Differences can be as fundamental as the definitions of what is actually regulated, </w:t>
      </w:r>
      <w:r w:rsidR="002306B2">
        <w:t xml:space="preserve">the issues to be considered, </w:t>
      </w:r>
      <w:r w:rsidRPr="00F50AC2">
        <w:t xml:space="preserve">the risks that are to be assessed in the regulation and the actual process to be used </w:t>
      </w:r>
      <w:r w:rsidR="00ED370E">
        <w:t xml:space="preserve">in the management of that </w:t>
      </w:r>
      <w:r w:rsidRPr="00F50AC2">
        <w:t xml:space="preserve">risk. </w:t>
      </w:r>
      <w:r w:rsidR="002306B2">
        <w:t>These differences may not preclude use of overseas regulator</w:t>
      </w:r>
      <w:r w:rsidR="00E219CF">
        <w:t>y</w:t>
      </w:r>
      <w:r w:rsidR="002306B2">
        <w:t xml:space="preserve"> </w:t>
      </w:r>
      <w:r w:rsidR="008B02A2">
        <w:t>assessments;</w:t>
      </w:r>
      <w:r w:rsidR="00ED370E">
        <w:t xml:space="preserve"> however the TGA</w:t>
      </w:r>
      <w:r w:rsidR="002306B2">
        <w:t xml:space="preserve"> will </w:t>
      </w:r>
      <w:r w:rsidRPr="00F50AC2">
        <w:t>need to take</w:t>
      </w:r>
      <w:r w:rsidR="0045312F">
        <w:t xml:space="preserve"> any differences</w:t>
      </w:r>
      <w:r w:rsidRPr="00F50AC2">
        <w:t xml:space="preserve"> into account when </w:t>
      </w:r>
      <w:r w:rsidR="0045312F">
        <w:t xml:space="preserve">contemplating the </w:t>
      </w:r>
      <w:r w:rsidRPr="00F50AC2">
        <w:t>us</w:t>
      </w:r>
      <w:r w:rsidR="00567939">
        <w:t>e of international assessments.</w:t>
      </w:r>
    </w:p>
    <w:p w:rsidR="00F17687" w:rsidRPr="00F50AC2" w:rsidRDefault="00F17687" w:rsidP="00DB58FF">
      <w:r w:rsidRPr="00F50AC2">
        <w:t>It is important that the use of international assessments is done in a manner that is consistent with the legal construct of the TGA to ensure that</w:t>
      </w:r>
      <w:r w:rsidR="0045312F">
        <w:t xml:space="preserve"> the legally accountable</w:t>
      </w:r>
      <w:r w:rsidRPr="00F50AC2">
        <w:t xml:space="preserve"> regulatory decisions </w:t>
      </w:r>
      <w:r w:rsidR="0045312F">
        <w:t xml:space="preserve">taken by TGA’s delegates (decision makers) </w:t>
      </w:r>
      <w:r w:rsidRPr="00F50AC2">
        <w:t>are not compromised and hence open to successful challenge</w:t>
      </w:r>
      <w:r w:rsidR="0045312F">
        <w:t>.</w:t>
      </w:r>
      <w:r w:rsidR="0045312F" w:rsidRPr="00F50AC2">
        <w:t xml:space="preserve"> </w:t>
      </w:r>
      <w:r w:rsidR="0045312F">
        <w:t xml:space="preserve">A loss of such a challenge may lead </w:t>
      </w:r>
      <w:r w:rsidRPr="00F50AC2">
        <w:t xml:space="preserve">to a loss of confidence in the regulator. Consequently, the overseas regulator should have a transparent system for regulating therapeutic goods, including </w:t>
      </w:r>
      <w:r w:rsidR="00CD1A2B">
        <w:t xml:space="preserve">competent and </w:t>
      </w:r>
      <w:r w:rsidR="0045312F">
        <w:t>robust</w:t>
      </w:r>
      <w:r w:rsidR="0045312F" w:rsidRPr="00F50AC2">
        <w:t xml:space="preserve"> </w:t>
      </w:r>
      <w:r w:rsidRPr="00F50AC2">
        <w:t>assessment proc</w:t>
      </w:r>
      <w:r w:rsidR="00567939">
        <w:t>esses and legal accountability.</w:t>
      </w:r>
    </w:p>
    <w:p w:rsidR="00F17687" w:rsidRPr="00F50AC2" w:rsidRDefault="00F17687" w:rsidP="00DB58FF">
      <w:r w:rsidRPr="00F50AC2">
        <w:t xml:space="preserve">In relation to this criterion, the TGA should ensure that it has a good understanding of the approaches used by the particular country and satisfy itself that it reflects best practice (including on factors such as safety, quality, objectivity, </w:t>
      </w:r>
      <w:r w:rsidR="00CD1A2B">
        <w:t xml:space="preserve">competence </w:t>
      </w:r>
      <w:r w:rsidR="00567939">
        <w:t>and conflict of interest).</w:t>
      </w:r>
    </w:p>
    <w:p w:rsidR="00F17687" w:rsidRDefault="00F17687" w:rsidP="00DB58FF">
      <w:r w:rsidRPr="00F50AC2">
        <w:t xml:space="preserve">This framework will need to take </w:t>
      </w:r>
      <w:r w:rsidR="00971B80">
        <w:t xml:space="preserve">into </w:t>
      </w:r>
      <w:r w:rsidRPr="00F50AC2">
        <w:t xml:space="preserve">account </w:t>
      </w:r>
      <w:r w:rsidR="00971B80">
        <w:t>legislative</w:t>
      </w:r>
      <w:r w:rsidRPr="00F50AC2">
        <w:t xml:space="preserve"> requirements in both countries (including matters such as confidentiality, intellectual property, transparency and conflict of interest). The framework will also need to include provision for access to full, un-redacted reports (and relevant scientific data), and the ability to seek clarification on those reports with the overseas regulator.</w:t>
      </w:r>
    </w:p>
    <w:p w:rsidR="001C4E89" w:rsidRDefault="001C4E89" w:rsidP="00F17687">
      <w:r>
        <w:lastRenderedPageBreak/>
        <w:t>It should be noted that redacted reports are not adequate for assessing compliance with Australian requirements. When relying on overseas approvals it is the responsibility of the applicant to ensure that un-redacted reports are available to support their application.</w:t>
      </w:r>
    </w:p>
    <w:p w:rsidR="00C0431E" w:rsidRDefault="0082599F" w:rsidP="00DB58FF">
      <w:pPr>
        <w:pStyle w:val="Heading4"/>
      </w:pPr>
      <w:bookmarkStart w:id="27" w:name="_Toc476669063"/>
      <w:bookmarkStart w:id="28" w:name="_Toc476669193"/>
      <w:bookmarkStart w:id="29" w:name="_Toc476755179"/>
      <w:bookmarkStart w:id="30" w:name="_Toc477879972"/>
      <w:bookmarkStart w:id="31" w:name="_Toc478656716"/>
      <w:bookmarkStart w:id="32" w:name="_Toc480550334"/>
      <w:bookmarkStart w:id="33" w:name="_Toc482100446"/>
      <w:r>
        <w:t>O</w:t>
      </w:r>
      <w:r w:rsidR="00ED370E">
        <w:t xml:space="preserve">perational </w:t>
      </w:r>
      <w:r w:rsidR="003C01F0">
        <w:t>alignment</w:t>
      </w:r>
      <w:bookmarkEnd w:id="27"/>
      <w:bookmarkEnd w:id="28"/>
      <w:bookmarkEnd w:id="29"/>
      <w:bookmarkEnd w:id="30"/>
      <w:bookmarkEnd w:id="31"/>
      <w:bookmarkEnd w:id="32"/>
      <w:bookmarkEnd w:id="33"/>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495101" w:rsidRPr="008B02A2" w:rsidTr="00791A1B">
        <w:trPr>
          <w:trHeight w:val="1206"/>
        </w:trPr>
        <w:tc>
          <w:tcPr>
            <w:tcW w:w="8789" w:type="dxa"/>
            <w:shd w:val="clear" w:color="auto" w:fill="E7F5FF"/>
            <w:tcMar>
              <w:top w:w="170" w:type="dxa"/>
              <w:left w:w="170" w:type="dxa"/>
              <w:bottom w:w="170" w:type="dxa"/>
              <w:right w:w="170" w:type="dxa"/>
            </w:tcMar>
          </w:tcPr>
          <w:p w:rsidR="00495101" w:rsidRPr="00495101" w:rsidRDefault="00495101" w:rsidP="00E61A04">
            <w:pPr>
              <w:pStyle w:val="ListBullet"/>
            </w:pPr>
            <w:r w:rsidRPr="00495101">
              <w:t>Is there a clearly defined framework within which assessment reports are prepared by an overseas regulator?</w:t>
            </w:r>
          </w:p>
          <w:p w:rsidR="00495101" w:rsidRPr="00495101" w:rsidRDefault="00495101" w:rsidP="00E61A04">
            <w:pPr>
              <w:pStyle w:val="ListBullet"/>
            </w:pPr>
            <w:r w:rsidRPr="00495101">
              <w:t>Does the overseas regulator require or allow for compliance with international standards in assessing medical devices?</w:t>
            </w:r>
          </w:p>
          <w:p w:rsidR="00495101" w:rsidRPr="008B02A2" w:rsidRDefault="00495101" w:rsidP="00E61A04">
            <w:pPr>
              <w:pStyle w:val="ListBullet"/>
            </w:pPr>
            <w:r w:rsidRPr="00495101">
              <w:t>Does the overseas regulator routinely provide its assessment reports in English and are these available to the relevant sponsor?</w:t>
            </w:r>
          </w:p>
        </w:tc>
      </w:tr>
    </w:tbl>
    <w:p w:rsidR="003715CE" w:rsidRDefault="00FC33AD" w:rsidP="00DB58FF">
      <w:r>
        <w:t xml:space="preserve">Understanding the way in which assessments are undertaken by overseas regulators will be important in providing assurance to TGA </w:t>
      </w:r>
      <w:r w:rsidR="000E606F">
        <w:t>in relying on such assessments.</w:t>
      </w:r>
    </w:p>
    <w:p w:rsidR="00FC33AD" w:rsidRDefault="00AD2D34" w:rsidP="00DB58FF">
      <w:r>
        <w:t>The a</w:t>
      </w:r>
      <w:r w:rsidRPr="00E539C4">
        <w:t xml:space="preserve">doption </w:t>
      </w:r>
      <w:r w:rsidR="00FC33AD" w:rsidRPr="00E539C4">
        <w:t xml:space="preserve">of international standards </w:t>
      </w:r>
      <w:r w:rsidR="00E539C4" w:rsidRPr="00E539C4">
        <w:t xml:space="preserve">is a key </w:t>
      </w:r>
      <w:r w:rsidR="00385501" w:rsidRPr="00E539C4">
        <w:t>mechanism</w:t>
      </w:r>
      <w:r w:rsidR="00E539C4" w:rsidRPr="00E539C4">
        <w:t xml:space="preserve"> for </w:t>
      </w:r>
      <w:r w:rsidR="00FC33AD" w:rsidRPr="00E539C4">
        <w:t>ensur</w:t>
      </w:r>
      <w:r>
        <w:t>ing</w:t>
      </w:r>
      <w:r w:rsidR="00FC33AD" w:rsidRPr="00E539C4">
        <w:t xml:space="preserve"> that the data requirements and assessments reflect agreed international best practice. </w:t>
      </w:r>
      <w:r w:rsidR="00E539C4" w:rsidRPr="00E539C4">
        <w:t xml:space="preserve">Applicants under the Australian regulatory framework </w:t>
      </w:r>
      <w:r>
        <w:t xml:space="preserve">are expected to </w:t>
      </w:r>
      <w:r w:rsidR="00E539C4" w:rsidRPr="00E539C4">
        <w:t xml:space="preserve">rely on standards to demonstrate </w:t>
      </w:r>
      <w:r w:rsidR="00E539C4">
        <w:t>compliance with the E</w:t>
      </w:r>
      <w:r w:rsidR="00E539C4" w:rsidRPr="00E539C4">
        <w:t xml:space="preserve">ssential Principles, although TGA does not mandate such compliance as the only way to demonstrate this. </w:t>
      </w:r>
      <w:r w:rsidR="00FC33AD" w:rsidRPr="00E539C4">
        <w:t xml:space="preserve">Any differences in how international </w:t>
      </w:r>
      <w:r w:rsidR="00E539C4" w:rsidRPr="00E539C4">
        <w:t>o</w:t>
      </w:r>
      <w:r w:rsidR="00E219CF">
        <w:t>r</w:t>
      </w:r>
      <w:r w:rsidR="00E539C4" w:rsidRPr="00E539C4">
        <w:t xml:space="preserve"> more localised </w:t>
      </w:r>
      <w:r w:rsidR="00FC33AD" w:rsidRPr="00E539C4">
        <w:t xml:space="preserve">standards are </w:t>
      </w:r>
      <w:r w:rsidR="00E539C4" w:rsidRPr="00E539C4">
        <w:t xml:space="preserve">relied upon </w:t>
      </w:r>
      <w:r w:rsidR="00FC33AD" w:rsidRPr="00E539C4">
        <w:t>will need to be understood to best make use of overseas assessments.</w:t>
      </w:r>
    </w:p>
    <w:p w:rsidR="000D0293" w:rsidRPr="00F17687" w:rsidRDefault="000D0293" w:rsidP="00DB58FF">
      <w:r>
        <w:t>Reporting in English is necessary</w:t>
      </w:r>
      <w:r w:rsidRPr="000D0293">
        <w:t xml:space="preserve"> to ensure that neither time nor accuracy is lost in translation. For the same reasons, it is important that TGA evaluators</w:t>
      </w:r>
      <w:r w:rsidR="00CD1A2B">
        <w:t>,</w:t>
      </w:r>
      <w:r>
        <w:t xml:space="preserve"> where required</w:t>
      </w:r>
      <w:r w:rsidR="00CD1A2B">
        <w:t>,</w:t>
      </w:r>
      <w:r w:rsidRPr="000D0293">
        <w:t xml:space="preserve"> are able to communicate in English with those who conduct the assessments</w:t>
      </w:r>
      <w:r w:rsidR="00BD7DC6">
        <w:t>, particularly where work-sharing is undertaken</w:t>
      </w:r>
      <w:r w:rsidRPr="000D0293">
        <w:t xml:space="preserve">. The Australian sponsor must </w:t>
      </w:r>
      <w:r>
        <w:t xml:space="preserve">also be able to </w:t>
      </w:r>
      <w:r w:rsidRPr="000D0293">
        <w:t xml:space="preserve">access assessment reports to allow them </w:t>
      </w:r>
      <w:r>
        <w:t>to</w:t>
      </w:r>
      <w:r w:rsidR="00AD2D34">
        <w:t xml:space="preserve"> be</w:t>
      </w:r>
      <w:r>
        <w:t xml:space="preserve"> provide</w:t>
      </w:r>
      <w:r w:rsidR="00AD2D34">
        <w:t>d</w:t>
      </w:r>
      <w:r>
        <w:t xml:space="preserve"> to TGA and/or </w:t>
      </w:r>
      <w:r w:rsidR="00AD2D34">
        <w:t xml:space="preserve">to </w:t>
      </w:r>
      <w:r>
        <w:t>respond to TGA queries (even where report</w:t>
      </w:r>
      <w:r w:rsidR="004F621C">
        <w:t>s</w:t>
      </w:r>
      <w:r>
        <w:t xml:space="preserve"> </w:t>
      </w:r>
      <w:r w:rsidR="004F621C">
        <w:t xml:space="preserve">may be </w:t>
      </w:r>
      <w:r>
        <w:t>sourced directly from the overseas regulator).</w:t>
      </w:r>
      <w:r w:rsidR="00644C46">
        <w:t xml:space="preserve"> In particular circumstances certified translations may also be acceptable, such as where regulator</w:t>
      </w:r>
      <w:r w:rsidR="008B02A2">
        <w:t>y</w:t>
      </w:r>
      <w:r w:rsidR="00644C46">
        <w:t xml:space="preserve"> </w:t>
      </w:r>
      <w:proofErr w:type="gramStart"/>
      <w:r w:rsidR="00644C46">
        <w:t>staff are</w:t>
      </w:r>
      <w:proofErr w:type="gramEnd"/>
      <w:r w:rsidR="00644C46">
        <w:t xml:space="preserve"> able to communicate effectively in English, as is the case for many European countries.</w:t>
      </w:r>
    </w:p>
    <w:p w:rsidR="00DE0594" w:rsidRDefault="00DE0594" w:rsidP="00316B4C">
      <w:pPr>
        <w:pStyle w:val="Heading3"/>
        <w:numPr>
          <w:ilvl w:val="0"/>
          <w:numId w:val="8"/>
        </w:numPr>
        <w:spacing w:after="240"/>
        <w:ind w:left="567" w:hanging="567"/>
      </w:pPr>
      <w:bookmarkStart w:id="34" w:name="_IMDRF_membership"/>
      <w:bookmarkStart w:id="35" w:name="_Toc482100447"/>
      <w:bookmarkEnd w:id="34"/>
      <w:r w:rsidRPr="007A23F7">
        <w:t>IMDRF</w:t>
      </w:r>
      <w:r w:rsidR="00ED370E" w:rsidRPr="007A23F7">
        <w:t xml:space="preserve"> membership</w:t>
      </w:r>
      <w:bookmarkEnd w:id="35"/>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495101" w:rsidRPr="008B02A2" w:rsidTr="00495101">
        <w:trPr>
          <w:trHeight w:val="548"/>
        </w:trPr>
        <w:tc>
          <w:tcPr>
            <w:tcW w:w="8789" w:type="dxa"/>
            <w:shd w:val="clear" w:color="auto" w:fill="E7F5FF"/>
            <w:tcMar>
              <w:top w:w="170" w:type="dxa"/>
              <w:left w:w="170" w:type="dxa"/>
              <w:bottom w:w="170" w:type="dxa"/>
              <w:right w:w="170" w:type="dxa"/>
            </w:tcMar>
          </w:tcPr>
          <w:p w:rsidR="00495101" w:rsidRPr="008B02A2" w:rsidRDefault="00495101" w:rsidP="00E61A04">
            <w:pPr>
              <w:pStyle w:val="ListBullet"/>
            </w:pPr>
            <w:r w:rsidRPr="00495101">
              <w:t>Is the overseas regulator a participating member of the IMDRF (i.e. a member of the IMDRF management committee)?</w:t>
            </w:r>
          </w:p>
        </w:tc>
      </w:tr>
    </w:tbl>
    <w:p w:rsidR="00DB6593" w:rsidRDefault="007811F9" w:rsidP="00DB58FF">
      <w:r>
        <w:t xml:space="preserve">“The mission of the IMDRF is to </w:t>
      </w:r>
      <w:r w:rsidRPr="007811F9">
        <w:t>strategically accelerate international medical device regulatory convergence to promote an efficient and effective regulatory model for medical devices that is responsive to emerging challenges in the sector while protecting and maximizing public health and safety.</w:t>
      </w:r>
      <w:r>
        <w:t>”</w:t>
      </w:r>
      <w:r>
        <w:rPr>
          <w:rStyle w:val="FootnoteReference"/>
        </w:rPr>
        <w:footnoteReference w:id="13"/>
      </w:r>
    </w:p>
    <w:p w:rsidR="007811F9" w:rsidRDefault="007811F9" w:rsidP="00E61A04">
      <w:r>
        <w:t xml:space="preserve">Active participation on </w:t>
      </w:r>
      <w:r w:rsidR="005955D5">
        <w:t xml:space="preserve">the </w:t>
      </w:r>
      <w:r>
        <w:t xml:space="preserve">IMDRF demonstrates a commitment to work towards international regulatory </w:t>
      </w:r>
      <w:r w:rsidRPr="0082599F">
        <w:rPr>
          <w:b/>
        </w:rPr>
        <w:t>convergence</w:t>
      </w:r>
      <w:r>
        <w:t>, and indicates</w:t>
      </w:r>
      <w:r w:rsidR="00CD1A2B">
        <w:t xml:space="preserve"> an</w:t>
      </w:r>
      <w:r>
        <w:t xml:space="preserve"> acceptance (at varying levels) </w:t>
      </w:r>
      <w:r w:rsidR="00CD1A2B">
        <w:t xml:space="preserve">of the </w:t>
      </w:r>
      <w:r>
        <w:t>GHTF regulatory guidance material on</w:t>
      </w:r>
      <w:r w:rsidRPr="00E61A04">
        <w:t xml:space="preserve"> </w:t>
      </w:r>
      <w:r>
        <w:t xml:space="preserve">which </w:t>
      </w:r>
      <w:r w:rsidR="005955D5">
        <w:t xml:space="preserve">the </w:t>
      </w:r>
      <w:r>
        <w:t>IMDRF work is based.</w:t>
      </w:r>
      <w:r w:rsidRPr="007811F9">
        <w:t xml:space="preserve"> </w:t>
      </w:r>
      <w:r>
        <w:t>Participation in</w:t>
      </w:r>
      <w:r w:rsidR="005955D5">
        <w:t xml:space="preserve"> the</w:t>
      </w:r>
      <w:r>
        <w:t xml:space="preserve"> IMDRF provides assurance that future regulatory changes in a particular country are likely to be consistent with working towards international harmonisation of medical device regulation.</w:t>
      </w:r>
    </w:p>
    <w:p w:rsidR="00FD502D" w:rsidRDefault="00AE498F" w:rsidP="00316B4C">
      <w:pPr>
        <w:pStyle w:val="Heading3"/>
        <w:numPr>
          <w:ilvl w:val="0"/>
          <w:numId w:val="8"/>
        </w:numPr>
        <w:spacing w:after="240"/>
        <w:ind w:left="567" w:hanging="567"/>
      </w:pPr>
      <w:bookmarkStart w:id="36" w:name="_Life_cycle_approach"/>
      <w:bookmarkStart w:id="37" w:name="_Toc482100448"/>
      <w:bookmarkEnd w:id="36"/>
      <w:r w:rsidRPr="00C0431E">
        <w:lastRenderedPageBreak/>
        <w:t>Life cycle approach and p</w:t>
      </w:r>
      <w:r w:rsidR="00F17687" w:rsidRPr="00C0431E">
        <w:t>ost-market vigilance</w:t>
      </w:r>
      <w:bookmarkEnd w:id="37"/>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495101" w:rsidRPr="008B02A2" w:rsidTr="00495101">
        <w:trPr>
          <w:trHeight w:val="1008"/>
        </w:trPr>
        <w:tc>
          <w:tcPr>
            <w:tcW w:w="8789" w:type="dxa"/>
            <w:shd w:val="clear" w:color="auto" w:fill="E7F5FF"/>
            <w:tcMar>
              <w:top w:w="170" w:type="dxa"/>
              <w:left w:w="170" w:type="dxa"/>
              <w:bottom w:w="170" w:type="dxa"/>
              <w:right w:w="170" w:type="dxa"/>
            </w:tcMar>
          </w:tcPr>
          <w:p w:rsidR="00495101" w:rsidRPr="00E61A04" w:rsidRDefault="00495101" w:rsidP="00E61A04">
            <w:pPr>
              <w:pStyle w:val="ListBullet"/>
            </w:pPr>
            <w:r w:rsidRPr="00495101">
              <w:t>Doe</w:t>
            </w:r>
            <w:r w:rsidRPr="00E61A04">
              <w:t>s the overseas regulatory framework apply across the life cycle of medical devices?</w:t>
            </w:r>
          </w:p>
          <w:p w:rsidR="00495101" w:rsidRPr="008B02A2" w:rsidRDefault="00495101" w:rsidP="00E61A04">
            <w:pPr>
              <w:pStyle w:val="ListBullet"/>
            </w:pPr>
            <w:r w:rsidRPr="00E61A04">
              <w:t>Does the overseas regulator have a robust approach to post-market vi</w:t>
            </w:r>
            <w:r w:rsidRPr="00495101">
              <w:t>gilance?</w:t>
            </w:r>
          </w:p>
        </w:tc>
      </w:tr>
    </w:tbl>
    <w:p w:rsidR="00C0431E" w:rsidRDefault="00C0431E" w:rsidP="00E61A04">
      <w:r>
        <w:t>Under the Australian regulatory framework</w:t>
      </w:r>
      <w:r w:rsidR="005C5FA7">
        <w:t>,</w:t>
      </w:r>
      <w:r>
        <w:t xml:space="preserve"> once a device is approved</w:t>
      </w:r>
      <w:r w:rsidR="005C5FA7">
        <w:t>,</w:t>
      </w:r>
      <w:r>
        <w:t xml:space="preserve"> m</w:t>
      </w:r>
      <w:r w:rsidRPr="00B10847">
        <w:t xml:space="preserve">anufacturers are </w:t>
      </w:r>
      <w:r w:rsidRPr="00C0431E">
        <w:t>expected to continue to monitor the performance and safety of devices, and ensure continued</w:t>
      </w:r>
      <w:r>
        <w:t xml:space="preserve"> compliance </w:t>
      </w:r>
      <w:r w:rsidR="00A02DC1">
        <w:t xml:space="preserve">with the Essential Principles. </w:t>
      </w:r>
      <w:r>
        <w:t xml:space="preserve">This </w:t>
      </w:r>
      <w:r w:rsidRPr="00B10847">
        <w:t>surve</w:t>
      </w:r>
      <w:r>
        <w:t>illance program is part of the</w:t>
      </w:r>
      <w:r w:rsidRPr="00B10847">
        <w:t xml:space="preserve"> </w:t>
      </w:r>
      <w:r>
        <w:t xml:space="preserve">quality management system aspect of their conformity assessment, and </w:t>
      </w:r>
      <w:r w:rsidR="004E7C87">
        <w:t xml:space="preserve">it is expected it </w:t>
      </w:r>
      <w:r>
        <w:t>will be periodically checked by the certifying body. While an overseas regulator may not be focused on ongoing application of the ‘conformity assessment procedure’, regulation based on a life cycle regulatory approach (rather than a simple point in time assessment) and an ongoing post-market surveillance program would be a necessary requirement.</w:t>
      </w:r>
      <w:r w:rsidR="007811F9">
        <w:t xml:space="preserve"> Comparability of regulatory actions, such as recall processes and the suspension or cancellation of marketing approval, would also need to be considered.</w:t>
      </w:r>
    </w:p>
    <w:p w:rsidR="00C0431E" w:rsidRDefault="007069EE" w:rsidP="00316B4C">
      <w:pPr>
        <w:pStyle w:val="Heading3"/>
        <w:numPr>
          <w:ilvl w:val="0"/>
          <w:numId w:val="8"/>
        </w:numPr>
        <w:spacing w:after="240"/>
        <w:ind w:left="567" w:hanging="567"/>
      </w:pPr>
      <w:bookmarkStart w:id="38" w:name="_Communication_and_cooperation"/>
      <w:bookmarkStart w:id="39" w:name="_Toc482100449"/>
      <w:bookmarkEnd w:id="38"/>
      <w:r w:rsidRPr="007F3EA0">
        <w:t>C</w:t>
      </w:r>
      <w:r w:rsidR="00C0431E" w:rsidRPr="00E172D6">
        <w:t xml:space="preserve">ommunication </w:t>
      </w:r>
      <w:r w:rsidRPr="00E172D6">
        <w:t>and cooperat</w:t>
      </w:r>
      <w:r w:rsidRPr="009A6A81">
        <w:t xml:space="preserve">ion </w:t>
      </w:r>
      <w:r w:rsidR="00C0431E" w:rsidRPr="009A6A81">
        <w:t>with overseas regulator</w:t>
      </w:r>
      <w:r w:rsidR="00F834CE" w:rsidRPr="009A6A81">
        <w:t>s</w:t>
      </w:r>
      <w:bookmarkEnd w:id="39"/>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7D495B" w:rsidRPr="008B02A2" w:rsidTr="00791A1B">
        <w:trPr>
          <w:trHeight w:val="1008"/>
        </w:trPr>
        <w:tc>
          <w:tcPr>
            <w:tcW w:w="8789" w:type="dxa"/>
            <w:shd w:val="clear" w:color="auto" w:fill="E7F5FF"/>
            <w:tcMar>
              <w:top w:w="170" w:type="dxa"/>
              <w:left w:w="170" w:type="dxa"/>
              <w:bottom w:w="170" w:type="dxa"/>
              <w:right w:w="170" w:type="dxa"/>
            </w:tcMar>
          </w:tcPr>
          <w:p w:rsidR="007D495B" w:rsidRPr="00E61A04" w:rsidRDefault="007D495B" w:rsidP="00E61A04">
            <w:pPr>
              <w:pStyle w:val="ListBullet"/>
            </w:pPr>
            <w:r w:rsidRPr="00E61A04">
              <w:t>Do the overseas regulator and TGA have communication and/or cooperative arrangements in place?</w:t>
            </w:r>
          </w:p>
          <w:p w:rsidR="007D495B" w:rsidRPr="008B02A2" w:rsidRDefault="007D495B" w:rsidP="00E61A04">
            <w:pPr>
              <w:pStyle w:val="ListBullet"/>
            </w:pPr>
            <w:r w:rsidRPr="00E61A04">
              <w:t>Is there a framework within which assessment reports prepared by overseas regulators, as well as surveillance signals, regulatory actions etc., can be shared with the TGA (and vice versa)?</w:t>
            </w:r>
          </w:p>
        </w:tc>
      </w:tr>
    </w:tbl>
    <w:p w:rsidR="00AD2D34" w:rsidRDefault="00755C84" w:rsidP="001E5793">
      <w:r>
        <w:t xml:space="preserve">TGA </w:t>
      </w:r>
      <w:r w:rsidRPr="004E7C87">
        <w:t>has arrangements</w:t>
      </w:r>
      <w:r>
        <w:t xml:space="preserve"> in place with a range of overseas regulators</w:t>
      </w:r>
      <w:r w:rsidR="007811F9">
        <w:t xml:space="preserve">, </w:t>
      </w:r>
      <w:r>
        <w:t>such as Memorandums of Understanding (MOUs)</w:t>
      </w:r>
      <w:r w:rsidR="007811F9">
        <w:t>,</w:t>
      </w:r>
      <w:r>
        <w:t xml:space="preserve"> to facilitate effective communication a</w:t>
      </w:r>
      <w:r w:rsidR="00567939">
        <w:t>nd the exchange of information.</w:t>
      </w:r>
    </w:p>
    <w:p w:rsidR="00755C84" w:rsidRDefault="00AD2D34" w:rsidP="001E5793">
      <w:r>
        <w:t xml:space="preserve">Product assessment and QMS audit reports are intended to be a </w:t>
      </w:r>
      <w:r w:rsidRPr="00AD2D34">
        <w:rPr>
          <w:i/>
        </w:rPr>
        <w:t>prima facie</w:t>
      </w:r>
      <w:r>
        <w:t xml:space="preserve"> (sufficient) evidence to demonstrate fulfilment of regulatory requirements</w:t>
      </w:r>
      <w:r w:rsidR="003D73CC">
        <w:t xml:space="preserve">, which typically involves </w:t>
      </w:r>
      <w:r>
        <w:t xml:space="preserve">the assessor or auditor </w:t>
      </w:r>
      <w:r w:rsidR="003D73CC">
        <w:t xml:space="preserve">to </w:t>
      </w:r>
      <w:r>
        <w:t>tak</w:t>
      </w:r>
      <w:r w:rsidR="003D73CC">
        <w:t>e</w:t>
      </w:r>
      <w:r>
        <w:t xml:space="preserve"> into account Australian regulatory requirements. </w:t>
      </w:r>
      <w:r w:rsidR="003715CE">
        <w:t>While there are other methods to obtain the necessary work product to support assessment, such as provision of reports by the applicant, the existence and scope of an MOU</w:t>
      </w:r>
      <w:r>
        <w:t>, Statement of Cooperation (SoC)</w:t>
      </w:r>
      <w:r w:rsidR="003715CE">
        <w:t xml:space="preserve"> </w:t>
      </w:r>
      <w:r>
        <w:t xml:space="preserve">or </w:t>
      </w:r>
      <w:r w:rsidR="003715CE">
        <w:t>similar arrangement will be a relevant consideration.</w:t>
      </w:r>
      <w:r>
        <w:t xml:space="preserve"> There is an opportunity within these arrangements for the content of regulatory reporting to be agreed by the participants.</w:t>
      </w:r>
    </w:p>
    <w:p w:rsidR="00A1341B" w:rsidRDefault="00A1341B" w:rsidP="001E5793">
      <w:r>
        <w:t>For work-sharing, regulators may also be constrained from sharing information due to legislative</w:t>
      </w:r>
      <w:r w:rsidR="00A02DC1">
        <w:t xml:space="preserve"> confidentiality requirements. </w:t>
      </w:r>
      <w:r>
        <w:t>The existence of cooperative arrangement means the capacity and mechanisms for the regulators sharing informati</w:t>
      </w:r>
      <w:r w:rsidR="00567939">
        <w:t>on will be clearly established.</w:t>
      </w:r>
    </w:p>
    <w:p w:rsidR="00C0431E" w:rsidRDefault="003715CE" w:rsidP="001E5793">
      <w:r>
        <w:t>The existence of such cooperative arrangements is also important in respect of sharing the findings of the regulator’s post-mark</w:t>
      </w:r>
      <w:r w:rsidRPr="003715CE">
        <w:t xml:space="preserve">et vigilance </w:t>
      </w:r>
      <w:r>
        <w:t>and surveillance activities, up to and including suspension or cancellation of marketing approval by the regulator.</w:t>
      </w:r>
      <w:r w:rsidR="00AD2D34">
        <w:t xml:space="preserve"> While sponsors of </w:t>
      </w:r>
      <w:r w:rsidR="004E7C87">
        <w:t xml:space="preserve">medical devices </w:t>
      </w:r>
      <w:r w:rsidR="00AD2D34">
        <w:t>are required to advise TGA of overseas regulatory actions, independent communication with other regulators mitigates the risk of sponsors failing to provide accurate and</w:t>
      </w:r>
      <w:r w:rsidR="000E606F">
        <w:t xml:space="preserve"> timely advice on these issues.</w:t>
      </w:r>
    </w:p>
    <w:p w:rsidR="003715CE" w:rsidRDefault="003715CE" w:rsidP="001E5793">
      <w:r>
        <w:lastRenderedPageBreak/>
        <w:t xml:space="preserve">IMDRF </w:t>
      </w:r>
      <w:r w:rsidR="003C01F0">
        <w:t xml:space="preserve">membership indicates a shared commitment in working towards a </w:t>
      </w:r>
      <w:r w:rsidR="003C01F0" w:rsidRPr="007E26F6">
        <w:t>globally harm</w:t>
      </w:r>
      <w:r w:rsidR="003C01F0">
        <w:t xml:space="preserve">onised medical device regulatory system. Periodic IMDRF meetings also provide a forum for regular contact, </w:t>
      </w:r>
      <w:r w:rsidR="00FC33AD">
        <w:t xml:space="preserve">and participation in international forums creates confidence between regulators, </w:t>
      </w:r>
      <w:r w:rsidR="003C01F0">
        <w:t>supporting cooper</w:t>
      </w:r>
      <w:r w:rsidR="000E606F">
        <w:t>ation and mutual understanding.</w:t>
      </w:r>
    </w:p>
    <w:p w:rsidR="00C35B5C" w:rsidRDefault="00755C84" w:rsidP="007D495B">
      <w:pPr>
        <w:pStyle w:val="Heading3"/>
        <w:numPr>
          <w:ilvl w:val="0"/>
          <w:numId w:val="8"/>
        </w:numPr>
        <w:spacing w:after="240"/>
        <w:ind w:left="567" w:hanging="567"/>
      </w:pPr>
      <w:bookmarkStart w:id="40" w:name="_Expertise_of_the"/>
      <w:bookmarkStart w:id="41" w:name="_Toc482100450"/>
      <w:bookmarkEnd w:id="40"/>
      <w:r w:rsidRPr="00755C84">
        <w:t>Expertise of the overseas regulator</w:t>
      </w:r>
      <w:bookmarkEnd w:id="41"/>
    </w:p>
    <w:tbl>
      <w:tblPr>
        <w:tblW w:w="8789" w:type="dxa"/>
        <w:tblInd w:w="170" w:type="dxa"/>
        <w:tblBorders>
          <w:top w:val="single" w:sz="12" w:space="0" w:color="00517D" w:themeColor="accent1" w:themeShade="BF"/>
          <w:left w:val="single" w:sz="12" w:space="0" w:color="00517D" w:themeColor="accent1" w:themeShade="BF"/>
          <w:bottom w:val="single" w:sz="12" w:space="0" w:color="00517D" w:themeColor="accent1" w:themeShade="BF"/>
          <w:right w:val="single" w:sz="12" w:space="0" w:color="00517D" w:themeColor="accent1" w:themeShade="BF"/>
          <w:insideH w:val="single" w:sz="12" w:space="0" w:color="00517D" w:themeColor="accent1" w:themeShade="BF"/>
          <w:insideV w:val="single" w:sz="12" w:space="0" w:color="00517D" w:themeColor="accent1" w:themeShade="BF"/>
        </w:tblBorders>
        <w:shd w:val="clear" w:color="auto" w:fill="E7F5FF"/>
        <w:tblLayout w:type="fixed"/>
        <w:tblCellMar>
          <w:left w:w="0" w:type="dxa"/>
          <w:right w:w="0" w:type="dxa"/>
        </w:tblCellMar>
        <w:tblLook w:val="04A0" w:firstRow="1" w:lastRow="0" w:firstColumn="1" w:lastColumn="0" w:noHBand="0" w:noVBand="1"/>
      </w:tblPr>
      <w:tblGrid>
        <w:gridCol w:w="8789"/>
      </w:tblGrid>
      <w:tr w:rsidR="007D495B" w:rsidRPr="008B02A2" w:rsidTr="00791A1B">
        <w:trPr>
          <w:trHeight w:val="548"/>
        </w:trPr>
        <w:tc>
          <w:tcPr>
            <w:tcW w:w="8789" w:type="dxa"/>
            <w:shd w:val="clear" w:color="auto" w:fill="E7F5FF"/>
            <w:tcMar>
              <w:top w:w="170" w:type="dxa"/>
              <w:left w:w="170" w:type="dxa"/>
              <w:bottom w:w="170" w:type="dxa"/>
              <w:right w:w="170" w:type="dxa"/>
            </w:tcMar>
          </w:tcPr>
          <w:p w:rsidR="007D495B" w:rsidRPr="008B02A2" w:rsidRDefault="007D495B" w:rsidP="001E5793">
            <w:pPr>
              <w:pStyle w:val="ListBullet"/>
            </w:pPr>
            <w:r w:rsidRPr="007D495B">
              <w:t>Does the overseas regulator have experience in conducting product evaluations and QMS assessments, by competent resources, which would satisfy the expectations for internationally agreed best practice, both generally and for particular types of medical devices?</w:t>
            </w:r>
          </w:p>
        </w:tc>
      </w:tr>
    </w:tbl>
    <w:p w:rsidR="00755C84" w:rsidRPr="00755C84" w:rsidRDefault="00755C84" w:rsidP="001E5793">
      <w:r w:rsidRPr="00755C84">
        <w:t xml:space="preserve">The overseas regulator will need to have experience in conducting full </w:t>
      </w:r>
      <w:r w:rsidRPr="00755C84">
        <w:rPr>
          <w:i/>
        </w:rPr>
        <w:t>de novo</w:t>
      </w:r>
      <w:r w:rsidRPr="00755C84">
        <w:t xml:space="preserve"> assessments of the type of applications that are of interest to the TGA</w:t>
      </w:r>
      <w:r>
        <w:t xml:space="preserve">. The </w:t>
      </w:r>
      <w:r w:rsidR="00AD2D34">
        <w:t xml:space="preserve">demonstrable competence (knowledge, skills and experience) of the expert resources used </w:t>
      </w:r>
      <w:r>
        <w:t xml:space="preserve">in undertaking assessment of particular technologies </w:t>
      </w:r>
      <w:r w:rsidR="00AD2D34">
        <w:t xml:space="preserve">is </w:t>
      </w:r>
      <w:r>
        <w:t xml:space="preserve">a </w:t>
      </w:r>
      <w:r w:rsidR="00AD2D34">
        <w:t xml:space="preserve">necessary </w:t>
      </w:r>
      <w:r>
        <w:t>consideration.</w:t>
      </w:r>
    </w:p>
    <w:p w:rsidR="001E5793" w:rsidRDefault="00755C84" w:rsidP="001E5793">
      <w:r>
        <w:t>Importantly, the regulator</w:t>
      </w:r>
      <w:r w:rsidRPr="00755C84">
        <w:t xml:space="preserve"> should have established processes to evaluate dossiers containing scientific data</w:t>
      </w:r>
      <w:r>
        <w:t>,</w:t>
      </w:r>
      <w:r w:rsidRPr="00755C84">
        <w:t xml:space="preserve"> a system of peer review</w:t>
      </w:r>
      <w:r>
        <w:t>,</w:t>
      </w:r>
      <w:r w:rsidRPr="00755C84">
        <w:t xml:space="preserve"> and referral for independent expert advice in</w:t>
      </w:r>
      <w:r w:rsidR="000E606F">
        <w:t xml:space="preserve"> relation to their assessments.</w:t>
      </w:r>
    </w:p>
    <w:tbl>
      <w:tblPr>
        <w:tblpPr w:leftFromText="180" w:rightFromText="180" w:vertAnchor="text" w:horzAnchor="margin" w:tblpY="53"/>
        <w:tblOverlap w:val="never"/>
        <w:tblW w:w="9038" w:type="dxa"/>
        <w:tblLayout w:type="fixed"/>
        <w:tblCellMar>
          <w:left w:w="0" w:type="dxa"/>
          <w:right w:w="0" w:type="dxa"/>
        </w:tblCellMar>
        <w:tblLook w:val="04A0" w:firstRow="1" w:lastRow="0" w:firstColumn="1" w:lastColumn="0" w:noHBand="0" w:noVBand="1"/>
      </w:tblPr>
      <w:tblGrid>
        <w:gridCol w:w="1276"/>
        <w:gridCol w:w="7762"/>
      </w:tblGrid>
      <w:tr w:rsidR="001E5793" w:rsidRPr="009401F6" w:rsidTr="001E5793">
        <w:trPr>
          <w:trHeight w:val="1206"/>
        </w:trPr>
        <w:tc>
          <w:tcPr>
            <w:tcW w:w="1276" w:type="dxa"/>
            <w:vAlign w:val="center"/>
          </w:tcPr>
          <w:p w:rsidR="001E5793" w:rsidRPr="009401F6" w:rsidRDefault="001E5793" w:rsidP="001E5793">
            <w:pPr>
              <w:spacing w:before="0"/>
              <w:rPr>
                <w:sz w:val="20"/>
              </w:rPr>
            </w:pPr>
            <w:r>
              <w:rPr>
                <w:noProof/>
                <w:sz w:val="20"/>
                <w:lang w:eastAsia="en-AU"/>
              </w:rPr>
              <w:drawing>
                <wp:inline distT="0" distB="0" distL="0" distR="0" wp14:anchorId="38508B58" wp14:editId="04FE8477">
                  <wp:extent cx="489600" cy="489600"/>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 787454  question-white-on-black-160x16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E5793" w:rsidRPr="00D46806" w:rsidRDefault="001E5793" w:rsidP="001E5793">
            <w:pPr>
              <w:rPr>
                <w:b/>
              </w:rPr>
            </w:pPr>
            <w:r>
              <w:rPr>
                <w:b/>
              </w:rPr>
              <w:t>Proposed criteria</w:t>
            </w:r>
          </w:p>
          <w:p w:rsidR="001E5793" w:rsidRDefault="001E5793" w:rsidP="001E5793">
            <w:pPr>
              <w:pStyle w:val="ListBullet"/>
            </w:pPr>
            <w:r>
              <w:t>Are the proposed criteria appropriate? Are there additional issues within particular criteria which need to be considered?</w:t>
            </w:r>
          </w:p>
          <w:p w:rsidR="001E5793" w:rsidRDefault="001E5793" w:rsidP="001E5793">
            <w:pPr>
              <w:pStyle w:val="ListBullet"/>
            </w:pPr>
            <w:r>
              <w:t>Are the criteria appropriate for both use of overseas approvals and work-sharing?</w:t>
            </w:r>
          </w:p>
          <w:p w:rsidR="001E5793" w:rsidRPr="009401F6" w:rsidRDefault="001E5793" w:rsidP="001E5793">
            <w:pPr>
              <w:pStyle w:val="ListBullet"/>
            </w:pPr>
            <w:r>
              <w:t>Are there additional criteria which should be included on consideration of comparable overseas regulators?</w:t>
            </w:r>
          </w:p>
        </w:tc>
      </w:tr>
    </w:tbl>
    <w:p w:rsidR="000E4470" w:rsidRDefault="00F147B0" w:rsidP="000E4470">
      <w:pPr>
        <w:pStyle w:val="Heading2"/>
      </w:pPr>
      <w:bookmarkStart w:id="42" w:name="_Toc482100451"/>
      <w:r>
        <w:t>Proposed implementation</w:t>
      </w:r>
      <w:bookmarkEnd w:id="42"/>
    </w:p>
    <w:p w:rsidR="00BE1FA0" w:rsidRPr="00274580" w:rsidRDefault="00BE1FA0" w:rsidP="00816D7D">
      <w:pPr>
        <w:pStyle w:val="Heading3"/>
      </w:pPr>
      <w:bookmarkStart w:id="43" w:name="_Toc466632012"/>
      <w:bookmarkStart w:id="44" w:name="_Toc482100452"/>
      <w:r>
        <w:t>Legislative</w:t>
      </w:r>
      <w:r w:rsidRPr="00274580">
        <w:t xml:space="preserve"> </w:t>
      </w:r>
      <w:r>
        <w:t>amendments</w:t>
      </w:r>
      <w:bookmarkEnd w:id="43"/>
      <w:bookmarkEnd w:id="44"/>
    </w:p>
    <w:p w:rsidR="00BE1FA0" w:rsidRDefault="00BE1FA0" w:rsidP="00BE1FA0">
      <w:r w:rsidRPr="003F005B">
        <w:t xml:space="preserve">Legislative amendment to the </w:t>
      </w:r>
      <w:r w:rsidRPr="003F005B">
        <w:rPr>
          <w:i/>
        </w:rPr>
        <w:t>Therapeutic Goods Act 1989</w:t>
      </w:r>
      <w:r>
        <w:rPr>
          <w:i/>
        </w:rPr>
        <w:t xml:space="preserve"> </w:t>
      </w:r>
      <w:r w:rsidRPr="00721DFC">
        <w:t>(the Act)</w:t>
      </w:r>
      <w:r w:rsidRPr="003F005B">
        <w:t xml:space="preserve"> </w:t>
      </w:r>
      <w:r>
        <w:t xml:space="preserve">are expected to </w:t>
      </w:r>
      <w:r w:rsidRPr="003F005B">
        <w:t>be necessary to implement these changes</w:t>
      </w:r>
      <w:r>
        <w:t xml:space="preserve">. The changes will </w:t>
      </w:r>
      <w:r w:rsidR="00E6674D">
        <w:t xml:space="preserve">primarily provide </w:t>
      </w:r>
      <w:r w:rsidRPr="003F005B">
        <w:t xml:space="preserve">for </w:t>
      </w:r>
      <w:r w:rsidR="00E6674D">
        <w:t>the inclusion of</w:t>
      </w:r>
      <w:r>
        <w:t xml:space="preserve"> a list of comparable overseas regulators in the </w:t>
      </w:r>
      <w:r w:rsidR="00032EED">
        <w:t>medical device</w:t>
      </w:r>
      <w:r>
        <w:t xml:space="preserve"> </w:t>
      </w:r>
      <w:r w:rsidR="00032EED">
        <w:t>regulatory framework</w:t>
      </w:r>
      <w:r w:rsidR="000E606F">
        <w:t>.</w:t>
      </w:r>
    </w:p>
    <w:p w:rsidR="00BE1FA0" w:rsidRDefault="005955D5" w:rsidP="00BE1FA0">
      <w:r>
        <w:t>C</w:t>
      </w:r>
      <w:r w:rsidR="00E6674D">
        <w:t xml:space="preserve">hanges to </w:t>
      </w:r>
      <w:r w:rsidR="00BE1FA0">
        <w:t xml:space="preserve">fees and charges </w:t>
      </w:r>
      <w:r w:rsidR="00D10D3A">
        <w:t>need to be consistent with co</w:t>
      </w:r>
      <w:r w:rsidR="000E606F">
        <w:t>st recovery principles.</w:t>
      </w:r>
    </w:p>
    <w:p w:rsidR="00BE1FA0" w:rsidRDefault="00BE1FA0" w:rsidP="00BE1FA0">
      <w:r>
        <w:t>Based on the outcome of this consultation and the passage of legislation, the regulatory amendments will be developed during 2017, for a scheduled 1 January 2018 commencement.</w:t>
      </w:r>
    </w:p>
    <w:p w:rsidR="00BE1FA0" w:rsidRDefault="00BE1FA0" w:rsidP="007A23F7">
      <w:pPr>
        <w:pStyle w:val="Heading3"/>
      </w:pPr>
      <w:bookmarkStart w:id="45" w:name="_Toc466632013"/>
      <w:bookmarkStart w:id="46" w:name="_Toc482100453"/>
      <w:r>
        <w:t>Operational arrangements</w:t>
      </w:r>
      <w:bookmarkEnd w:id="45"/>
      <w:bookmarkEnd w:id="46"/>
    </w:p>
    <w:p w:rsidR="00BE1FA0" w:rsidRDefault="00BE1FA0" w:rsidP="00BE1FA0">
      <w:r>
        <w:t xml:space="preserve">Policy, procedures, guidance and operational supports (information technology, etc.) to support the operation will be </w:t>
      </w:r>
      <w:r w:rsidR="00C41C08">
        <w:t>required</w:t>
      </w:r>
      <w:r>
        <w:t>.</w:t>
      </w:r>
      <w:r w:rsidR="00120100">
        <w:t xml:space="preserve"> It should be noted that, for use of overseas approvals to support </w:t>
      </w:r>
      <w:r w:rsidR="00120100">
        <w:lastRenderedPageBreak/>
        <w:t>inclusion in the ARTG, this is expected to include changes to the existing manufacturers’ evidence processes and IT systems.</w:t>
      </w:r>
    </w:p>
    <w:p w:rsidR="000E4470" w:rsidRDefault="00BE1FA0" w:rsidP="00037876">
      <w:pPr>
        <w:spacing w:after="360"/>
      </w:pPr>
      <w:r>
        <w:t xml:space="preserve">Based on the outcomes of this consultation, these would </w:t>
      </w:r>
      <w:r w:rsidR="00E6674D">
        <w:t xml:space="preserve">also </w:t>
      </w:r>
      <w:r>
        <w:t>be developed throughout 2017, to be in place in anticipation of the scheduled 1 January 2018 commencement.</w:t>
      </w:r>
    </w:p>
    <w:tbl>
      <w:tblPr>
        <w:tblpPr w:leftFromText="180" w:rightFromText="180" w:vertAnchor="text" w:horzAnchor="margin" w:tblpY="58"/>
        <w:tblOverlap w:val="never"/>
        <w:tblW w:w="9038" w:type="dxa"/>
        <w:tblLayout w:type="fixed"/>
        <w:tblCellMar>
          <w:left w:w="0" w:type="dxa"/>
          <w:right w:w="0" w:type="dxa"/>
        </w:tblCellMar>
        <w:tblLook w:val="04A0" w:firstRow="1" w:lastRow="0" w:firstColumn="1" w:lastColumn="0" w:noHBand="0" w:noVBand="1"/>
      </w:tblPr>
      <w:tblGrid>
        <w:gridCol w:w="1276"/>
        <w:gridCol w:w="7762"/>
      </w:tblGrid>
      <w:tr w:rsidR="001E5793" w:rsidRPr="009401F6" w:rsidTr="001E5793">
        <w:trPr>
          <w:trHeight w:val="1206"/>
        </w:trPr>
        <w:tc>
          <w:tcPr>
            <w:tcW w:w="1276" w:type="dxa"/>
            <w:vAlign w:val="center"/>
          </w:tcPr>
          <w:p w:rsidR="001E5793" w:rsidRPr="009401F6" w:rsidRDefault="001E5793" w:rsidP="001E5793">
            <w:pPr>
              <w:spacing w:before="0"/>
              <w:rPr>
                <w:sz w:val="20"/>
              </w:rPr>
            </w:pPr>
            <w:r>
              <w:rPr>
                <w:noProof/>
                <w:sz w:val="20"/>
                <w:lang w:eastAsia="en-AU"/>
              </w:rPr>
              <w:drawing>
                <wp:inline distT="0" distB="0" distL="0" distR="0" wp14:anchorId="332C8660" wp14:editId="4E2BCCBE">
                  <wp:extent cx="489600" cy="489600"/>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 787454  question-white-on-black-160x16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E5793" w:rsidRPr="00D46806" w:rsidRDefault="001E5793" w:rsidP="001E5793">
            <w:pPr>
              <w:rPr>
                <w:b/>
              </w:rPr>
            </w:pPr>
            <w:r>
              <w:rPr>
                <w:b/>
              </w:rPr>
              <w:t>Proposed implementation</w:t>
            </w:r>
          </w:p>
          <w:p w:rsidR="001E5793" w:rsidRDefault="001E5793" w:rsidP="001E5793">
            <w:pPr>
              <w:pStyle w:val="ListBullet"/>
            </w:pPr>
            <w:r>
              <w:t>Ar</w:t>
            </w:r>
            <w:r w:rsidRPr="00D974FF">
              <w:t xml:space="preserve">e there any gaps in the proposed </w:t>
            </w:r>
            <w:r>
              <w:t xml:space="preserve">approach to </w:t>
            </w:r>
            <w:r w:rsidRPr="00D974FF">
              <w:t>implementation?</w:t>
            </w:r>
          </w:p>
          <w:p w:rsidR="001E5793" w:rsidRPr="009401F6" w:rsidRDefault="001E5793" w:rsidP="001E5793">
            <w:pPr>
              <w:pStyle w:val="ListBullet"/>
            </w:pPr>
            <w:r>
              <w:t xml:space="preserve">In addition to any feedback on specific aspects of the proposed approach outlined above, do you have </w:t>
            </w:r>
            <w:r w:rsidRPr="008C681A">
              <w:t>br</w:t>
            </w:r>
            <w:r>
              <w:t>oader comments on the proposal?</w:t>
            </w:r>
          </w:p>
        </w:tc>
      </w:tr>
    </w:tbl>
    <w:p w:rsidR="001A2847" w:rsidRDefault="001A2847" w:rsidP="00816D7D">
      <w:r>
        <w:br w:type="page"/>
      </w:r>
    </w:p>
    <w:p w:rsidR="001A2847" w:rsidRDefault="001A2847" w:rsidP="001A2847">
      <w:pPr>
        <w:pStyle w:val="Heading2"/>
      </w:pPr>
      <w:bookmarkStart w:id="47" w:name="_Toc482100454"/>
      <w:r>
        <w:lastRenderedPageBreak/>
        <w:t>Attachments</w:t>
      </w:r>
      <w:bookmarkEnd w:id="47"/>
    </w:p>
    <w:p w:rsidR="001A2847" w:rsidRPr="00242490" w:rsidRDefault="001A2847" w:rsidP="00671B0F">
      <w:pPr>
        <w:pStyle w:val="Heading3"/>
        <w:spacing w:before="240"/>
      </w:pPr>
      <w:bookmarkStart w:id="48" w:name="_Attachment_A_-"/>
      <w:bookmarkStart w:id="49" w:name="_Toc482100455"/>
      <w:bookmarkEnd w:id="48"/>
      <w:r>
        <w:t>Attachment A - TGA assessment of medical devices</w:t>
      </w:r>
      <w:bookmarkEnd w:id="49"/>
    </w:p>
    <w:p w:rsidR="001A2847" w:rsidRPr="001A2847" w:rsidRDefault="001A2847" w:rsidP="001A2847">
      <w:r w:rsidRPr="001A2847">
        <w:t xml:space="preserve">The </w:t>
      </w:r>
      <w:hyperlink r:id="rId19" w:history="1">
        <w:r w:rsidRPr="001A2847">
          <w:t>regulatory framework for medical devices</w:t>
        </w:r>
      </w:hyperlink>
      <w:r w:rsidRPr="001A2847">
        <w:t xml:space="preserve"> spans the life cycle for these products. Medical devices are assessed, in line with their </w:t>
      </w:r>
      <w:r w:rsidR="00474692">
        <w:t xml:space="preserve">intended purpose and </w:t>
      </w:r>
      <w:r w:rsidRPr="001A2847">
        <w:t>risk based classification, against Essential Principles relating to the safety and p</w:t>
      </w:r>
      <w:r w:rsidR="00A02DC1">
        <w:t xml:space="preserve">erformance of medical devices. </w:t>
      </w:r>
      <w:r w:rsidRPr="001A2847">
        <w:t>This process includes:</w:t>
      </w:r>
    </w:p>
    <w:p w:rsidR="001A2847" w:rsidRPr="007946AF" w:rsidRDefault="001A2847" w:rsidP="000120F6">
      <w:pPr>
        <w:pStyle w:val="ListBullet"/>
      </w:pPr>
      <w:r w:rsidRPr="001A2847">
        <w:rPr>
          <w:b/>
        </w:rPr>
        <w:t>Pre-market assessment:</w:t>
      </w:r>
      <w:r w:rsidRPr="00717EC8">
        <w:t xml:space="preserve"> </w:t>
      </w:r>
      <w:r w:rsidRPr="007946AF">
        <w:t>Conformity assessment</w:t>
      </w:r>
    </w:p>
    <w:p w:rsidR="001A2847" w:rsidRPr="007946AF" w:rsidRDefault="001A2847" w:rsidP="00E61A04">
      <w:pPr>
        <w:pStyle w:val="ListBullet"/>
      </w:pPr>
      <w:r w:rsidRPr="001A2847">
        <w:rPr>
          <w:b/>
        </w:rPr>
        <w:t xml:space="preserve">Market authorisation: </w:t>
      </w:r>
      <w:r w:rsidRPr="007946AF">
        <w:t xml:space="preserve">Inclusion </w:t>
      </w:r>
      <w:r w:rsidR="00474692">
        <w:t>i</w:t>
      </w:r>
      <w:r w:rsidR="00474692" w:rsidRPr="007946AF">
        <w:t xml:space="preserve">n </w:t>
      </w:r>
      <w:r w:rsidRPr="007946AF">
        <w:t>the Australian Register of Therapeutic Goods (ARTG)</w:t>
      </w:r>
    </w:p>
    <w:p w:rsidR="001A2847" w:rsidRDefault="001A2847" w:rsidP="00E61A04">
      <w:pPr>
        <w:pStyle w:val="ListBullet"/>
      </w:pPr>
      <w:r w:rsidRPr="001A2847">
        <w:rPr>
          <w:b/>
        </w:rPr>
        <w:t>Post-market monitoring:</w:t>
      </w:r>
      <w:r w:rsidRPr="004A40F7">
        <w:t xml:space="preserve"> </w:t>
      </w:r>
      <w:r w:rsidRPr="007946AF">
        <w:t>Continuing compliance with all regulatory, safety and performance requirements and standards.</w:t>
      </w:r>
    </w:p>
    <w:p w:rsidR="001A2847" w:rsidRPr="001A2847" w:rsidRDefault="001A2847" w:rsidP="001A2847">
      <w:r w:rsidRPr="001A2847">
        <w:t>These concepts are outlined below.</w:t>
      </w:r>
    </w:p>
    <w:p w:rsidR="001A2847" w:rsidRPr="00573840" w:rsidRDefault="001A2847" w:rsidP="00573840">
      <w:pPr>
        <w:pStyle w:val="NonTOCheading4"/>
      </w:pPr>
      <w:bookmarkStart w:id="50" w:name="_Toc474838535"/>
      <w:r w:rsidRPr="00573840">
        <w:t>What is a medical device</w:t>
      </w:r>
      <w:bookmarkEnd w:id="50"/>
      <w:r w:rsidR="007A23F7">
        <w:t>?</w:t>
      </w:r>
    </w:p>
    <w:p w:rsidR="001A2847" w:rsidRPr="00F147B5" w:rsidRDefault="001A2847" w:rsidP="001A2847">
      <w:pPr>
        <w:rPr>
          <w:rFonts w:asciiTheme="minorHAnsi" w:hAnsiTheme="minorHAnsi"/>
        </w:rPr>
      </w:pPr>
      <w:r>
        <w:t xml:space="preserve">Medical devices are defined by section 41BD of the </w:t>
      </w:r>
      <w:r w:rsidRPr="001C40FD">
        <w:rPr>
          <w:i/>
        </w:rPr>
        <w:t>Therapeutic Goods Act 1989</w:t>
      </w:r>
      <w:r w:rsidRPr="001B49D0">
        <w:rPr>
          <w:rStyle w:val="FootnoteReference"/>
          <w:rFonts w:asciiTheme="majorHAnsi" w:hAnsiTheme="majorHAnsi"/>
        </w:rPr>
        <w:footnoteReference w:id="14"/>
      </w:r>
      <w:r w:rsidR="00A02DC1">
        <w:t xml:space="preserve">. </w:t>
      </w:r>
      <w:r w:rsidRPr="001B49D0">
        <w:t>In summary</w:t>
      </w:r>
      <w:r w:rsidRPr="00841555">
        <w:t xml:space="preserve">, </w:t>
      </w:r>
      <w:r>
        <w:t>these are devices</w:t>
      </w:r>
      <w:r w:rsidRPr="00F147B5">
        <w:rPr>
          <w:rFonts w:asciiTheme="minorHAnsi" w:hAnsiTheme="minorHAnsi"/>
        </w:rPr>
        <w:t xml:space="preserve"> which are used on humans, have therapeutic benefits or modify anatomy, and generally have a physical</w:t>
      </w:r>
      <w:r w:rsidR="00F147B5" w:rsidRPr="00F147B5">
        <w:rPr>
          <w:rFonts w:asciiTheme="minorHAnsi" w:hAnsiTheme="minorHAnsi"/>
        </w:rPr>
        <w:t xml:space="preserve">, </w:t>
      </w:r>
      <w:r w:rsidRPr="00F147B5">
        <w:rPr>
          <w:rFonts w:asciiTheme="minorHAnsi" w:hAnsiTheme="minorHAnsi"/>
        </w:rPr>
        <w:t xml:space="preserve">mechanical </w:t>
      </w:r>
      <w:r w:rsidR="00474692" w:rsidRPr="00F147B5">
        <w:rPr>
          <w:rFonts w:asciiTheme="minorHAnsi" w:hAnsiTheme="minorHAnsi"/>
        </w:rPr>
        <w:t xml:space="preserve">or chemical </w:t>
      </w:r>
      <w:r w:rsidRPr="00F147B5">
        <w:rPr>
          <w:rFonts w:asciiTheme="minorHAnsi" w:hAnsiTheme="minorHAnsi"/>
        </w:rPr>
        <w:t>effect on the body or are used to measure or monitor functions of the body. Implantable prostheses are medical devices</w:t>
      </w:r>
      <w:r w:rsidRPr="00F147B5">
        <w:rPr>
          <w:rStyle w:val="FootnoteReference"/>
          <w:rFonts w:asciiTheme="minorHAnsi" w:hAnsiTheme="minorHAnsi"/>
        </w:rPr>
        <w:footnoteReference w:id="15"/>
      </w:r>
      <w:r w:rsidR="000E606F">
        <w:rPr>
          <w:rFonts w:asciiTheme="minorHAnsi" w:hAnsiTheme="minorHAnsi"/>
        </w:rPr>
        <w:t>.</w:t>
      </w:r>
    </w:p>
    <w:p w:rsidR="001A2847" w:rsidRPr="00F147B5" w:rsidRDefault="001A2847" w:rsidP="001A2847">
      <w:pPr>
        <w:rPr>
          <w:rFonts w:asciiTheme="minorHAnsi" w:hAnsiTheme="minorHAnsi"/>
        </w:rPr>
      </w:pPr>
      <w:r w:rsidRPr="00F147B5">
        <w:rPr>
          <w:rFonts w:asciiTheme="minorHAnsi" w:hAnsiTheme="minorHAnsi"/>
        </w:rPr>
        <w:t xml:space="preserve">Under the </w:t>
      </w:r>
      <w:r w:rsidRPr="00F147B5">
        <w:rPr>
          <w:rFonts w:asciiTheme="minorHAnsi" w:hAnsiTheme="minorHAnsi"/>
          <w:i/>
        </w:rPr>
        <w:t>Therapeutic Goods Act 1989</w:t>
      </w:r>
      <w:r w:rsidRPr="00F147B5">
        <w:rPr>
          <w:rFonts w:asciiTheme="minorHAnsi" w:hAnsiTheme="minorHAnsi"/>
        </w:rPr>
        <w:t xml:space="preserve"> a ‘kind of medical device’ must be included in the Australian Register of Therapeutic Goods (ARTG) prior to supply in Australia, unless an exemption applies</w:t>
      </w:r>
      <w:r w:rsidRPr="00F147B5">
        <w:rPr>
          <w:rStyle w:val="FootnoteReference"/>
          <w:rFonts w:asciiTheme="minorHAnsi" w:hAnsiTheme="minorHAnsi"/>
        </w:rPr>
        <w:footnoteReference w:id="16"/>
      </w:r>
      <w:r w:rsidRPr="00F147B5">
        <w:rPr>
          <w:rFonts w:asciiTheme="minorHAnsi" w:hAnsiTheme="minorHAnsi"/>
        </w:rPr>
        <w:t>. For all but the lowest risk Class I medical devices this includes a premarket assessment by the TGA before the device is authorised to be supplied in Australia</w:t>
      </w:r>
      <w:r w:rsidRPr="00F147B5">
        <w:rPr>
          <w:rStyle w:val="FootnoteReference"/>
          <w:rFonts w:asciiTheme="minorHAnsi" w:hAnsiTheme="minorHAnsi"/>
        </w:rPr>
        <w:footnoteReference w:id="17"/>
      </w:r>
      <w:r w:rsidR="00A02DC1">
        <w:rPr>
          <w:rFonts w:asciiTheme="minorHAnsi" w:hAnsiTheme="minorHAnsi"/>
        </w:rPr>
        <w:t xml:space="preserve">. </w:t>
      </w:r>
      <w:r w:rsidRPr="00F147B5">
        <w:rPr>
          <w:rFonts w:asciiTheme="minorHAnsi" w:hAnsiTheme="minorHAnsi"/>
        </w:rPr>
        <w:t>The rigour of this assessment is based on the intended use and risk classification of the device.</w:t>
      </w:r>
    </w:p>
    <w:p w:rsidR="001A2847" w:rsidRPr="00671B0F" w:rsidRDefault="001A2847" w:rsidP="00F47664">
      <w:pPr>
        <w:pStyle w:val="NonTOCheading5"/>
      </w:pPr>
      <w:bookmarkStart w:id="51" w:name="_Toc474838536"/>
      <w:r w:rsidRPr="00671B0F">
        <w:t>Kind of device</w:t>
      </w:r>
      <w:bookmarkEnd w:id="51"/>
    </w:p>
    <w:p w:rsidR="001A2847" w:rsidRPr="00F147B5" w:rsidRDefault="001A2847" w:rsidP="00F47664">
      <w:r w:rsidRPr="00F147B5">
        <w:t xml:space="preserve">For high risk devices (Class III and AIMD) ‘kind of device’ is a fairly narrow grouping restricted to a single Unique Product Identifier (UPI), typically covering design variations of a single device such as devices with different length, width, shape, </w:t>
      </w:r>
      <w:r w:rsidR="008B02A2" w:rsidRPr="00F147B5">
        <w:t>etc.</w:t>
      </w:r>
      <w:r w:rsidRPr="00F147B5">
        <w:t xml:space="preserve"> </w:t>
      </w:r>
      <w:r w:rsidR="00E2474D">
        <w:t xml:space="preserve">to provide for the anatomical differences between patients </w:t>
      </w:r>
      <w:r w:rsidRPr="00F147B5">
        <w:t>(defined i</w:t>
      </w:r>
      <w:r w:rsidR="000E606F">
        <w:t>n the regulations as variants).</w:t>
      </w:r>
    </w:p>
    <w:p w:rsidR="001A2847" w:rsidRDefault="001A2847" w:rsidP="001A2847">
      <w:r w:rsidRPr="00F147B5">
        <w:rPr>
          <w:rFonts w:asciiTheme="minorHAnsi" w:hAnsiTheme="minorHAnsi"/>
        </w:rPr>
        <w:t>It should be noted that a ‘kind of medical device’ is a broader concept for Class IIb and lower classifications, and covers a range of similar products which have the same sponsor, manufacturer, classification and are described by the same Global Medical Device Nomenclature (GMDN)</w:t>
      </w:r>
      <w:r w:rsidRPr="00F147B5">
        <w:rPr>
          <w:rStyle w:val="FootnoteReference"/>
          <w:rFonts w:asciiTheme="minorHAnsi" w:hAnsiTheme="minorHAnsi"/>
        </w:rPr>
        <w:footnoteReference w:id="18"/>
      </w:r>
      <w:r w:rsidRPr="00F147B5">
        <w:rPr>
          <w:rFonts w:asciiTheme="minorHAnsi" w:hAnsiTheme="minorHAnsi"/>
        </w:rPr>
        <w:t xml:space="preserve"> code. For example, a single ARTG entry may</w:t>
      </w:r>
      <w:r w:rsidRPr="0060038F">
        <w:t xml:space="preserve"> cover a range of different models </w:t>
      </w:r>
      <w:r>
        <w:t xml:space="preserve">or brands </w:t>
      </w:r>
      <w:r w:rsidRPr="0060038F">
        <w:t>of similar device</w:t>
      </w:r>
      <w:r>
        <w:t>s, such as the multiple variations of intravenous infusion sets from the same manufacturer and sponsor</w:t>
      </w:r>
      <w:r w:rsidR="000E606F">
        <w:t>.</w:t>
      </w:r>
    </w:p>
    <w:p w:rsidR="001A2847" w:rsidRPr="00C231C6" w:rsidRDefault="001A2847" w:rsidP="001A2847">
      <w:r>
        <w:lastRenderedPageBreak/>
        <w:t>N</w:t>
      </w:r>
      <w:r w:rsidRPr="0060038F">
        <w:t>ew products may be supplied under an appropriate existing ARTG entry without further clearance by or notification to the TGA</w:t>
      </w:r>
      <w:r w:rsidR="00D611D0">
        <w:t xml:space="preserve"> (unless it is required under the conditions of ARTG inclusions or when information entered on the ARTG in relation to the device should be corrected)</w:t>
      </w:r>
      <w:r w:rsidRPr="0060038F">
        <w:t>.</w:t>
      </w:r>
      <w:r w:rsidRPr="00C564BF">
        <w:t xml:space="preserve"> </w:t>
      </w:r>
      <w:r>
        <w:t>H</w:t>
      </w:r>
      <w:r w:rsidRPr="0060038F">
        <w:t>owever</w:t>
      </w:r>
      <w:r>
        <w:t>,</w:t>
      </w:r>
      <w:r w:rsidRPr="00C564BF">
        <w:t xml:space="preserve"> </w:t>
      </w:r>
      <w:r w:rsidR="00D611D0">
        <w:t xml:space="preserve">any </w:t>
      </w:r>
      <w:r w:rsidRPr="0060038F">
        <w:t>new device which fit</w:t>
      </w:r>
      <w:r w:rsidR="00F147B5">
        <w:t>s</w:t>
      </w:r>
      <w:r w:rsidRPr="0060038F">
        <w:t xml:space="preserve"> within the ‘kind’ </w:t>
      </w:r>
      <w:r>
        <w:t>must meet the requirements</w:t>
      </w:r>
      <w:r w:rsidRPr="0060038F">
        <w:t xml:space="preserve"> of </w:t>
      </w:r>
      <w:r>
        <w:t xml:space="preserve">the </w:t>
      </w:r>
      <w:r w:rsidRPr="0060038F">
        <w:t xml:space="preserve">conformity assessment procedures </w:t>
      </w:r>
      <w:r>
        <w:t>implemented by the manufacturer in relation to that kind (and</w:t>
      </w:r>
      <w:r w:rsidRPr="0060038F">
        <w:t xml:space="preserve"> </w:t>
      </w:r>
      <w:r>
        <w:t xml:space="preserve">in line with the risk of the device will be assessed or monitored via the ongoing certification </w:t>
      </w:r>
      <w:r w:rsidRPr="0060038F">
        <w:t xml:space="preserve">by </w:t>
      </w:r>
      <w:r>
        <w:t xml:space="preserve">either </w:t>
      </w:r>
      <w:r w:rsidRPr="0060038F">
        <w:t>TGA or a European notified body)</w:t>
      </w:r>
      <w:r>
        <w:t>.</w:t>
      </w:r>
    </w:p>
    <w:p w:rsidR="001A2847" w:rsidRPr="00C32648" w:rsidRDefault="001A2847" w:rsidP="00573840">
      <w:pPr>
        <w:pStyle w:val="NonTOCheading4"/>
      </w:pPr>
      <w:bookmarkStart w:id="52" w:name="_Toc474838537"/>
      <w:r w:rsidRPr="002721C3">
        <w:t>Essential Principles</w:t>
      </w:r>
      <w:bookmarkEnd w:id="52"/>
    </w:p>
    <w:p w:rsidR="001A2847" w:rsidRPr="001C40FD" w:rsidRDefault="001A2847" w:rsidP="001A2847">
      <w:r w:rsidRPr="001C40FD">
        <w:t xml:space="preserve">Medical devices must </w:t>
      </w:r>
      <w:r>
        <w:t xml:space="preserve">conform to </w:t>
      </w:r>
      <w:r w:rsidRPr="001C40FD">
        <w:t xml:space="preserve">the Essential Principles, </w:t>
      </w:r>
      <w:r>
        <w:t xml:space="preserve">with </w:t>
      </w:r>
      <w:r w:rsidRPr="001C40FD">
        <w:t xml:space="preserve">the rigour of the </w:t>
      </w:r>
      <w:r>
        <w:t xml:space="preserve">‘conformity </w:t>
      </w:r>
      <w:r w:rsidRPr="001C40FD">
        <w:t>assessment</w:t>
      </w:r>
      <w:r>
        <w:t>’</w:t>
      </w:r>
      <w:r>
        <w:rPr>
          <w:rStyle w:val="FootnoteReference"/>
          <w:rFonts w:cstheme="minorHAnsi"/>
        </w:rPr>
        <w:footnoteReference w:id="19"/>
      </w:r>
      <w:r w:rsidR="00671B0F">
        <w:t xml:space="preserve"> to the Essential Principles</w:t>
      </w:r>
      <w:r>
        <w:t xml:space="preserve"> varying</w:t>
      </w:r>
      <w:r w:rsidRPr="001C40FD">
        <w:t xml:space="preserve"> in line with the risk of the medical device, as indicated by the classification.</w:t>
      </w:r>
    </w:p>
    <w:p w:rsidR="001A2847" w:rsidRDefault="001A2847" w:rsidP="001A2847">
      <w:r w:rsidRPr="001C40FD">
        <w:t>The Essential Principles</w:t>
      </w:r>
      <w:r w:rsidRPr="001C40FD">
        <w:rPr>
          <w:rStyle w:val="FootnoteReference"/>
          <w:rFonts w:cstheme="minorHAnsi"/>
        </w:rPr>
        <w:footnoteReference w:id="20"/>
      </w:r>
      <w:r w:rsidRPr="001C40FD">
        <w:t xml:space="preserve"> set out the requirements relating to the safety and performance characteristics of medical devices. There are six general Essential Principles that apply to all devices – relating to health and safety, including long term safety, with benefits outweighing the risks - and a further nine Essential Principles about design and construction that apply to devices on a case-by-case basis. </w:t>
      </w:r>
      <w:r w:rsidR="00DC4C8C">
        <w:t>There are:</w:t>
      </w:r>
    </w:p>
    <w:p w:rsidR="00DC4C8C" w:rsidRPr="00671B0F" w:rsidRDefault="00DC4C8C" w:rsidP="004C2FAB">
      <w:pPr>
        <w:pStyle w:val="NonTOCheading5"/>
      </w:pPr>
      <w:r w:rsidRPr="00671B0F">
        <w:t>Part 1 – General Principles</w:t>
      </w:r>
    </w:p>
    <w:p w:rsidR="00DC4C8C" w:rsidRPr="00257A05" w:rsidRDefault="00DC4C8C" w:rsidP="00E61A04">
      <w:pPr>
        <w:pStyle w:val="Numberbullet"/>
        <w:numPr>
          <w:ilvl w:val="0"/>
          <w:numId w:val="12"/>
        </w:numPr>
      </w:pPr>
      <w:bookmarkStart w:id="53" w:name="_Toc456600882"/>
      <w:r w:rsidRPr="00257A05">
        <w:t>Use of medical devices not to compromise health and safety</w:t>
      </w:r>
      <w:bookmarkEnd w:id="53"/>
    </w:p>
    <w:p w:rsidR="00DC4C8C" w:rsidRPr="00DC4C8C" w:rsidRDefault="00DC4C8C" w:rsidP="00E61A04">
      <w:pPr>
        <w:pStyle w:val="Numberbullet"/>
        <w:numPr>
          <w:ilvl w:val="0"/>
          <w:numId w:val="12"/>
        </w:numPr>
      </w:pPr>
      <w:bookmarkStart w:id="54" w:name="_Toc456600883"/>
      <w:r w:rsidRPr="00DC4C8C">
        <w:t>Design and construction of medical devices to conform with safety principles</w:t>
      </w:r>
      <w:bookmarkEnd w:id="54"/>
    </w:p>
    <w:p w:rsidR="00DC4C8C" w:rsidRPr="00DC4C8C" w:rsidRDefault="00DC4C8C" w:rsidP="00E61A04">
      <w:pPr>
        <w:pStyle w:val="Numberbullet"/>
        <w:numPr>
          <w:ilvl w:val="0"/>
          <w:numId w:val="12"/>
        </w:numPr>
      </w:pPr>
      <w:bookmarkStart w:id="55" w:name="_Toc456600884"/>
      <w:r w:rsidRPr="00DC4C8C">
        <w:t>Medical devices to be suitable for intended purpose</w:t>
      </w:r>
      <w:bookmarkEnd w:id="55"/>
    </w:p>
    <w:p w:rsidR="00DC4C8C" w:rsidRPr="00DC4C8C" w:rsidRDefault="00DC4C8C" w:rsidP="00E61A04">
      <w:pPr>
        <w:pStyle w:val="Numberbullet"/>
        <w:numPr>
          <w:ilvl w:val="0"/>
          <w:numId w:val="12"/>
        </w:numPr>
      </w:pPr>
      <w:bookmarkStart w:id="56" w:name="_Toc456600885"/>
      <w:r w:rsidRPr="00DC4C8C">
        <w:t>Long</w:t>
      </w:r>
      <w:r w:rsidRPr="00DC4C8C">
        <w:noBreakHyphen/>
        <w:t>term safet</w:t>
      </w:r>
      <w:bookmarkEnd w:id="56"/>
      <w:r w:rsidRPr="00DC4C8C">
        <w:t>y</w:t>
      </w:r>
    </w:p>
    <w:p w:rsidR="00DC4C8C" w:rsidRPr="00DC4C8C" w:rsidRDefault="00DC4C8C" w:rsidP="00E61A04">
      <w:pPr>
        <w:pStyle w:val="Numberbullet"/>
        <w:numPr>
          <w:ilvl w:val="0"/>
          <w:numId w:val="12"/>
        </w:numPr>
      </w:pPr>
      <w:bookmarkStart w:id="57" w:name="_Toc456600886"/>
      <w:r w:rsidRPr="00DC4C8C">
        <w:t>Medical devices not to be adversely affected by transport or storage</w:t>
      </w:r>
      <w:bookmarkEnd w:id="57"/>
    </w:p>
    <w:p w:rsidR="00DC4C8C" w:rsidRPr="00DC4C8C" w:rsidRDefault="00DC4C8C" w:rsidP="00E61A04">
      <w:pPr>
        <w:pStyle w:val="Numberbullet"/>
        <w:numPr>
          <w:ilvl w:val="0"/>
          <w:numId w:val="12"/>
        </w:numPr>
      </w:pPr>
      <w:bookmarkStart w:id="58" w:name="_Toc456600887"/>
      <w:r w:rsidRPr="00DC4C8C">
        <w:t>Benefits of medical devices to outweigh any undesirable effects</w:t>
      </w:r>
      <w:bookmarkEnd w:id="58"/>
    </w:p>
    <w:p w:rsidR="00DC4C8C" w:rsidRPr="00671B0F" w:rsidRDefault="00DC4C8C" w:rsidP="004C2FAB">
      <w:pPr>
        <w:pStyle w:val="NonTOCheading5"/>
      </w:pPr>
      <w:r w:rsidRPr="00671B0F">
        <w:t xml:space="preserve">Part 2 - </w:t>
      </w:r>
      <w:bookmarkStart w:id="59" w:name="_Toc456600888"/>
      <w:r w:rsidRPr="00671B0F">
        <w:t>Principles about design and construction</w:t>
      </w:r>
      <w:bookmarkEnd w:id="59"/>
    </w:p>
    <w:p w:rsidR="00DC4C8C" w:rsidRPr="00DC4C8C" w:rsidRDefault="00DC4C8C" w:rsidP="00E61A04">
      <w:pPr>
        <w:pStyle w:val="Numberbullet"/>
        <w:numPr>
          <w:ilvl w:val="0"/>
          <w:numId w:val="12"/>
        </w:numPr>
      </w:pPr>
      <w:bookmarkStart w:id="60" w:name="_Toc456600889"/>
      <w:r w:rsidRPr="00DC4C8C">
        <w:t>Chemical, physical and biological properties</w:t>
      </w:r>
      <w:bookmarkEnd w:id="60"/>
    </w:p>
    <w:p w:rsidR="00DC4C8C" w:rsidRPr="00DC4C8C" w:rsidRDefault="00DC4C8C" w:rsidP="00E61A04">
      <w:pPr>
        <w:pStyle w:val="Numberbullet"/>
        <w:numPr>
          <w:ilvl w:val="0"/>
          <w:numId w:val="12"/>
        </w:numPr>
      </w:pPr>
      <w:bookmarkStart w:id="61" w:name="_Toc456600896"/>
      <w:r w:rsidRPr="00DC4C8C">
        <w:t>Infection and microbial contamination</w:t>
      </w:r>
      <w:bookmarkEnd w:id="61"/>
    </w:p>
    <w:p w:rsidR="00DC4C8C" w:rsidRPr="00DC4C8C" w:rsidRDefault="00DC4C8C" w:rsidP="00E61A04">
      <w:pPr>
        <w:pStyle w:val="Numberbullet"/>
        <w:numPr>
          <w:ilvl w:val="0"/>
          <w:numId w:val="12"/>
        </w:numPr>
      </w:pPr>
      <w:bookmarkStart w:id="62" w:name="_Toc456600902"/>
      <w:r w:rsidRPr="00DC4C8C">
        <w:t>Construction and environmental properties</w:t>
      </w:r>
      <w:bookmarkEnd w:id="62"/>
    </w:p>
    <w:p w:rsidR="00DC4C8C" w:rsidRPr="00DC4C8C" w:rsidRDefault="00DC4C8C" w:rsidP="00E61A04">
      <w:pPr>
        <w:pStyle w:val="Numberbullet"/>
        <w:numPr>
          <w:ilvl w:val="0"/>
          <w:numId w:val="12"/>
        </w:numPr>
      </w:pPr>
      <w:bookmarkStart w:id="63" w:name="_Toc456600905"/>
      <w:r w:rsidRPr="009A6A81">
        <w:t>Medical devices with a measuring function</w:t>
      </w:r>
      <w:bookmarkEnd w:id="63"/>
    </w:p>
    <w:p w:rsidR="00DC4C8C" w:rsidRPr="00DC4C8C" w:rsidRDefault="00DC4C8C" w:rsidP="00E61A04">
      <w:pPr>
        <w:pStyle w:val="Numberbullet"/>
        <w:numPr>
          <w:ilvl w:val="0"/>
          <w:numId w:val="12"/>
        </w:numPr>
      </w:pPr>
      <w:bookmarkStart w:id="64" w:name="_Toc456600906"/>
      <w:r w:rsidRPr="00DC4C8C">
        <w:t>Protection against radiation</w:t>
      </w:r>
      <w:bookmarkEnd w:id="64"/>
    </w:p>
    <w:p w:rsidR="00DC4C8C" w:rsidRPr="00DC4C8C" w:rsidRDefault="00DC4C8C" w:rsidP="00E61A04">
      <w:pPr>
        <w:pStyle w:val="Numberbullet"/>
        <w:numPr>
          <w:ilvl w:val="0"/>
          <w:numId w:val="12"/>
        </w:numPr>
      </w:pPr>
      <w:bookmarkStart w:id="65" w:name="_Toc456600912"/>
      <w:r w:rsidRPr="00DC4C8C">
        <w:t>Medical devices connected to or equipped with an energy source</w:t>
      </w:r>
      <w:bookmarkEnd w:id="65"/>
    </w:p>
    <w:p w:rsidR="00DC4C8C" w:rsidRPr="00DC4C8C" w:rsidRDefault="00DC4C8C" w:rsidP="00E61A04">
      <w:pPr>
        <w:pStyle w:val="Numberbullet"/>
        <w:numPr>
          <w:ilvl w:val="0"/>
          <w:numId w:val="12"/>
        </w:numPr>
      </w:pPr>
      <w:bookmarkStart w:id="66" w:name="_Toc456600926"/>
      <w:r w:rsidRPr="00DC4C8C">
        <w:t>Information to be provided with medical devices</w:t>
      </w:r>
      <w:bookmarkEnd w:id="66"/>
    </w:p>
    <w:p w:rsidR="00DC4C8C" w:rsidRPr="00DC4C8C" w:rsidRDefault="00DC4C8C" w:rsidP="00E61A04">
      <w:pPr>
        <w:pStyle w:val="Numberbullet"/>
        <w:numPr>
          <w:ilvl w:val="0"/>
          <w:numId w:val="12"/>
        </w:numPr>
      </w:pPr>
      <w:bookmarkStart w:id="67" w:name="_Toc456600931"/>
      <w:r w:rsidRPr="00DC4C8C">
        <w:t>Clinical evidence</w:t>
      </w:r>
      <w:bookmarkEnd w:id="67"/>
    </w:p>
    <w:p w:rsidR="00DC4C8C" w:rsidRDefault="00DC4C8C" w:rsidP="00E61A04">
      <w:pPr>
        <w:pStyle w:val="Numberbullet"/>
        <w:numPr>
          <w:ilvl w:val="0"/>
          <w:numId w:val="12"/>
        </w:numPr>
      </w:pPr>
      <w:bookmarkStart w:id="68" w:name="_Toc456600932"/>
      <w:r w:rsidRPr="00DC4C8C">
        <w:t>Principles applying to IVD medical devices only</w:t>
      </w:r>
      <w:bookmarkEnd w:id="68"/>
    </w:p>
    <w:p w:rsidR="001A2847" w:rsidRPr="001C40FD" w:rsidRDefault="001A2847" w:rsidP="001A2847">
      <w:r>
        <w:t>This</w:t>
      </w:r>
      <w:r w:rsidRPr="001C40FD">
        <w:t xml:space="preserve"> principles based regulatory framework caters for technological advances and changes in the development of new medical devices and provides flexibility for manufacturers. It does not </w:t>
      </w:r>
      <w:r w:rsidRPr="001C40FD">
        <w:lastRenderedPageBreak/>
        <w:t>mandate the means by which a manufacturer must prove that they have met the Essential Principles.</w:t>
      </w:r>
    </w:p>
    <w:p w:rsidR="001A2847" w:rsidRPr="00841555" w:rsidRDefault="001A2847" w:rsidP="00C7010D">
      <w:pPr>
        <w:pStyle w:val="NonTOCheading4"/>
        <w:spacing w:after="120"/>
      </w:pPr>
      <w:bookmarkStart w:id="69" w:name="_Toc474838538"/>
      <w:r w:rsidRPr="00841555">
        <w:t>Classification of medical devices</w:t>
      </w:r>
      <w:bookmarkEnd w:id="69"/>
    </w:p>
    <w:p w:rsidR="001A2847" w:rsidRPr="001C40FD" w:rsidRDefault="001A2847" w:rsidP="001A2847">
      <w:r w:rsidRPr="001C40FD">
        <w:t xml:space="preserve">The risk management approach </w:t>
      </w:r>
      <w:r>
        <w:t>underpins the</w:t>
      </w:r>
      <w:r w:rsidRPr="001C40FD">
        <w:t xml:space="preserve"> classification system for medical devices. Manufacturers classify the medical device according to its intended purpose and the degree of risk involved for the </w:t>
      </w:r>
      <w:r w:rsidRPr="00841555">
        <w:rPr>
          <w:rFonts w:cstheme="minorHAnsi"/>
        </w:rPr>
        <w:t>patient</w:t>
      </w:r>
      <w:r w:rsidRPr="001C40FD">
        <w:t>, the user and the environment. The device classifications are determined using a set of rules</w:t>
      </w:r>
      <w:r w:rsidRPr="001C40FD">
        <w:rPr>
          <w:rStyle w:val="FootnoteReference"/>
        </w:rPr>
        <w:footnoteReference w:id="21"/>
      </w:r>
      <w:r w:rsidRPr="001C40FD">
        <w:t xml:space="preserve"> that take into account the degree of invasiveness in the human body, the duration and location of use and whether the device relies on a source of energy other than the body or gravity. </w:t>
      </w:r>
      <w:r w:rsidRPr="004263CA">
        <w:t>Multiple classification rules may apply for any given medical device, and the device will be classified at the highest applicable classification.</w:t>
      </w:r>
    </w:p>
    <w:p w:rsidR="001A2847" w:rsidRPr="001C40FD" w:rsidRDefault="001A2847" w:rsidP="00DC4C8C">
      <w:pPr>
        <w:keepNext/>
      </w:pPr>
      <w:r w:rsidRPr="001C40FD">
        <w:t xml:space="preserve">The classification rules for medical devices </w:t>
      </w:r>
      <w:r w:rsidR="00671B0F">
        <w:t xml:space="preserve">and IVDs </w:t>
      </w:r>
      <w:r w:rsidRPr="001C40FD">
        <w:t>are summarised in the following table</w:t>
      </w:r>
      <w:r w:rsidR="00671B0F">
        <w:t>s</w:t>
      </w:r>
      <w:r w:rsidRPr="001C40FD">
        <w:t>:</w:t>
      </w:r>
    </w:p>
    <w:p w:rsidR="001A2847" w:rsidRPr="00671B0F" w:rsidRDefault="001A2847" w:rsidP="00C7010D">
      <w:pPr>
        <w:pStyle w:val="Tabletitle"/>
        <w:spacing w:before="360"/>
      </w:pPr>
      <w:r w:rsidRPr="00671B0F">
        <w:t>Cl</w:t>
      </w:r>
      <w:r w:rsidR="00257A05">
        <w:t>assification of medical devices</w:t>
      </w:r>
    </w:p>
    <w:tbl>
      <w:tblPr>
        <w:tblStyle w:val="TableTGAblue1"/>
        <w:tblW w:w="0" w:type="auto"/>
        <w:tblInd w:w="108" w:type="dxa"/>
        <w:tblLook w:val="04A0" w:firstRow="1" w:lastRow="0" w:firstColumn="1" w:lastColumn="0" w:noHBand="0" w:noVBand="1"/>
      </w:tblPr>
      <w:tblGrid>
        <w:gridCol w:w="2784"/>
        <w:gridCol w:w="2110"/>
        <w:gridCol w:w="4284"/>
      </w:tblGrid>
      <w:tr w:rsidR="001A2847" w:rsidRPr="001A2847" w:rsidTr="009C1AE8">
        <w:trPr>
          <w:cnfStyle w:val="100000000000" w:firstRow="1" w:lastRow="0" w:firstColumn="0" w:lastColumn="0" w:oddVBand="0" w:evenVBand="0" w:oddHBand="0" w:evenHBand="0" w:firstRowFirstColumn="0" w:firstRowLastColumn="0" w:lastRowFirstColumn="0" w:lastRowLastColumn="0"/>
          <w:cantSplit w:val="0"/>
          <w:tblHeader/>
        </w:trPr>
        <w:tc>
          <w:tcPr>
            <w:tcW w:w="2977" w:type="dxa"/>
            <w:tcBorders>
              <w:right w:val="single" w:sz="8" w:space="0" w:color="FFFFFF"/>
            </w:tcBorders>
            <w:shd w:val="clear" w:color="auto" w:fill="0070C0"/>
          </w:tcPr>
          <w:p w:rsidR="001A2847" w:rsidRPr="001A2847" w:rsidRDefault="001A2847" w:rsidP="009C1AE8">
            <w:pPr>
              <w:spacing w:before="60" w:after="60"/>
              <w:jc w:val="center"/>
              <w:rPr>
                <w:rFonts w:asciiTheme="minorHAnsi" w:eastAsia="Calibri" w:hAnsiTheme="minorHAnsi"/>
              </w:rPr>
            </w:pPr>
            <w:r w:rsidRPr="001A2847">
              <w:rPr>
                <w:rFonts w:asciiTheme="minorHAnsi" w:eastAsia="Calibri" w:hAnsiTheme="minorHAnsi"/>
              </w:rPr>
              <w:t>Class</w:t>
            </w:r>
          </w:p>
        </w:tc>
        <w:tc>
          <w:tcPr>
            <w:tcW w:w="2268" w:type="dxa"/>
            <w:tcBorders>
              <w:left w:val="single" w:sz="8" w:space="0" w:color="FFFFFF"/>
              <w:right w:val="single" w:sz="8" w:space="0" w:color="FFFFFF"/>
            </w:tcBorders>
            <w:shd w:val="clear" w:color="auto" w:fill="0070C0"/>
          </w:tcPr>
          <w:p w:rsidR="001A2847" w:rsidRPr="001A2847" w:rsidRDefault="001A2847" w:rsidP="009C1AE8">
            <w:pPr>
              <w:spacing w:before="60" w:after="60"/>
              <w:jc w:val="center"/>
              <w:rPr>
                <w:rFonts w:asciiTheme="minorHAnsi" w:eastAsia="Calibri" w:hAnsiTheme="minorHAnsi"/>
              </w:rPr>
            </w:pPr>
            <w:r w:rsidRPr="001A2847">
              <w:rPr>
                <w:rFonts w:asciiTheme="minorHAnsi" w:eastAsia="Calibri" w:hAnsiTheme="minorHAnsi"/>
              </w:rPr>
              <w:t>Risk</w:t>
            </w:r>
          </w:p>
        </w:tc>
        <w:tc>
          <w:tcPr>
            <w:tcW w:w="4678" w:type="dxa"/>
            <w:tcBorders>
              <w:left w:val="single" w:sz="8" w:space="0" w:color="FFFFFF"/>
            </w:tcBorders>
            <w:shd w:val="clear" w:color="auto" w:fill="0070C0"/>
          </w:tcPr>
          <w:p w:rsidR="001A2847" w:rsidRPr="001A2847" w:rsidRDefault="001A2847" w:rsidP="009C1AE8">
            <w:pPr>
              <w:spacing w:before="60" w:after="60"/>
              <w:jc w:val="center"/>
              <w:rPr>
                <w:rFonts w:asciiTheme="minorHAnsi" w:eastAsia="Calibri" w:hAnsiTheme="minorHAnsi"/>
              </w:rPr>
            </w:pPr>
            <w:r w:rsidRPr="001A2847">
              <w:rPr>
                <w:rFonts w:asciiTheme="minorHAnsi" w:eastAsia="Calibri" w:hAnsiTheme="minorHAnsi"/>
              </w:rPr>
              <w:t>Examples</w:t>
            </w:r>
          </w:p>
        </w:tc>
      </w:tr>
      <w:tr w:rsidR="001A2847" w:rsidRPr="002306B2" w:rsidTr="009C1AE8">
        <w:tc>
          <w:tcPr>
            <w:tcW w:w="2977" w:type="dxa"/>
          </w:tcPr>
          <w:p w:rsidR="001A2847" w:rsidRPr="002306B2" w:rsidRDefault="001A2847" w:rsidP="009C1AE8">
            <w:pPr>
              <w:spacing w:before="60" w:after="60"/>
              <w:rPr>
                <w:rFonts w:asciiTheme="minorHAnsi" w:hAnsiTheme="minorHAnsi"/>
              </w:rPr>
            </w:pPr>
            <w:r w:rsidRPr="002306B2">
              <w:rPr>
                <w:rFonts w:asciiTheme="minorHAnsi" w:hAnsiTheme="minorHAnsi"/>
              </w:rPr>
              <w:t>Class I</w:t>
            </w:r>
          </w:p>
        </w:tc>
        <w:tc>
          <w:tcPr>
            <w:tcW w:w="2268" w:type="dxa"/>
            <w:vAlign w:val="center"/>
          </w:tcPr>
          <w:p w:rsidR="001A2847" w:rsidRPr="002306B2" w:rsidRDefault="001A2847" w:rsidP="009C1AE8">
            <w:pPr>
              <w:spacing w:before="60" w:after="60"/>
              <w:rPr>
                <w:rFonts w:asciiTheme="minorHAnsi" w:hAnsiTheme="minorHAnsi"/>
              </w:rPr>
            </w:pPr>
            <w:r w:rsidRPr="002306B2">
              <w:rPr>
                <w:rFonts w:asciiTheme="minorHAnsi" w:hAnsiTheme="minorHAnsi"/>
              </w:rPr>
              <w:t>Low</w:t>
            </w:r>
          </w:p>
        </w:tc>
        <w:tc>
          <w:tcPr>
            <w:tcW w:w="4678" w:type="dxa"/>
          </w:tcPr>
          <w:p w:rsidR="001A2847" w:rsidRPr="002306B2" w:rsidRDefault="001A2847" w:rsidP="009C1AE8">
            <w:pPr>
              <w:spacing w:before="60" w:after="60"/>
              <w:rPr>
                <w:rFonts w:asciiTheme="minorHAnsi" w:hAnsiTheme="minorHAnsi"/>
              </w:rPr>
            </w:pPr>
            <w:r w:rsidRPr="002306B2">
              <w:rPr>
                <w:rFonts w:asciiTheme="minorHAnsi" w:hAnsiTheme="minorHAnsi"/>
              </w:rPr>
              <w:t>Surgical retractors, tongue depressors</w:t>
            </w:r>
          </w:p>
        </w:tc>
      </w:tr>
      <w:tr w:rsidR="001A2847" w:rsidRPr="002306B2" w:rsidTr="009C1AE8">
        <w:tc>
          <w:tcPr>
            <w:tcW w:w="2977" w:type="dxa"/>
          </w:tcPr>
          <w:p w:rsidR="001A2847" w:rsidRPr="002306B2" w:rsidRDefault="001A2847" w:rsidP="009C1AE8">
            <w:pPr>
              <w:spacing w:before="60" w:after="60"/>
              <w:rPr>
                <w:rFonts w:asciiTheme="minorHAnsi" w:hAnsiTheme="minorHAnsi"/>
              </w:rPr>
            </w:pPr>
            <w:r w:rsidRPr="002306B2">
              <w:rPr>
                <w:rFonts w:asciiTheme="minorHAnsi" w:hAnsiTheme="minorHAnsi"/>
              </w:rPr>
              <w:t xml:space="preserve">Class I – supplied sterile </w:t>
            </w:r>
            <w:r w:rsidRPr="002306B2">
              <w:rPr>
                <w:rFonts w:asciiTheme="minorHAnsi" w:hAnsiTheme="minorHAnsi"/>
              </w:rPr>
              <w:br/>
              <w:t>Class I – incorporating a measuring function</w:t>
            </w:r>
          </w:p>
        </w:tc>
        <w:tc>
          <w:tcPr>
            <w:tcW w:w="2268" w:type="dxa"/>
            <w:vMerge w:val="restart"/>
            <w:vAlign w:val="center"/>
          </w:tcPr>
          <w:p w:rsidR="001A2847" w:rsidRPr="002306B2" w:rsidRDefault="001A2847" w:rsidP="009C1AE8">
            <w:pPr>
              <w:spacing w:before="60" w:after="60"/>
              <w:rPr>
                <w:rFonts w:asciiTheme="minorHAnsi" w:hAnsiTheme="minorHAnsi"/>
              </w:rPr>
            </w:pPr>
            <w:r w:rsidRPr="002306B2">
              <w:rPr>
                <w:rFonts w:asciiTheme="minorHAnsi" w:hAnsiTheme="minorHAnsi"/>
              </w:rPr>
              <w:t>Low-medium</w:t>
            </w:r>
          </w:p>
        </w:tc>
        <w:tc>
          <w:tcPr>
            <w:tcW w:w="4678" w:type="dxa"/>
          </w:tcPr>
          <w:p w:rsidR="001A2847" w:rsidRPr="002306B2" w:rsidRDefault="001A2847" w:rsidP="009C1AE8">
            <w:pPr>
              <w:spacing w:before="60" w:after="60"/>
              <w:rPr>
                <w:rFonts w:asciiTheme="minorHAnsi" w:hAnsiTheme="minorHAnsi"/>
              </w:rPr>
            </w:pPr>
            <w:r w:rsidRPr="002306B2">
              <w:rPr>
                <w:rFonts w:asciiTheme="minorHAnsi" w:hAnsiTheme="minorHAnsi"/>
              </w:rPr>
              <w:t>Sterile bandages, drainage bags</w:t>
            </w:r>
          </w:p>
        </w:tc>
      </w:tr>
      <w:tr w:rsidR="001A2847" w:rsidRPr="002306B2" w:rsidTr="009C1AE8">
        <w:trPr>
          <w:trHeight w:val="763"/>
        </w:trPr>
        <w:tc>
          <w:tcPr>
            <w:tcW w:w="2977" w:type="dxa"/>
          </w:tcPr>
          <w:p w:rsidR="001A2847" w:rsidRPr="002306B2" w:rsidRDefault="001A2847" w:rsidP="009C1AE8">
            <w:pPr>
              <w:spacing w:before="60" w:after="60"/>
              <w:rPr>
                <w:rFonts w:asciiTheme="minorHAnsi" w:hAnsiTheme="minorHAnsi"/>
              </w:rPr>
            </w:pPr>
            <w:r w:rsidRPr="002306B2">
              <w:rPr>
                <w:rFonts w:asciiTheme="minorHAnsi" w:hAnsiTheme="minorHAnsi"/>
              </w:rPr>
              <w:t>Class IIa</w:t>
            </w:r>
          </w:p>
        </w:tc>
        <w:tc>
          <w:tcPr>
            <w:tcW w:w="2268" w:type="dxa"/>
            <w:vMerge/>
            <w:vAlign w:val="center"/>
          </w:tcPr>
          <w:p w:rsidR="001A2847" w:rsidRPr="002306B2" w:rsidRDefault="001A2847" w:rsidP="009C1AE8">
            <w:pPr>
              <w:spacing w:before="60" w:after="60"/>
              <w:rPr>
                <w:rFonts w:asciiTheme="minorHAnsi" w:hAnsiTheme="minorHAnsi"/>
              </w:rPr>
            </w:pPr>
          </w:p>
        </w:tc>
        <w:tc>
          <w:tcPr>
            <w:tcW w:w="4678" w:type="dxa"/>
          </w:tcPr>
          <w:p w:rsidR="001A2847" w:rsidRPr="002306B2" w:rsidRDefault="001A2847" w:rsidP="009C1AE8">
            <w:pPr>
              <w:spacing w:before="60" w:after="60"/>
              <w:rPr>
                <w:rFonts w:asciiTheme="minorHAnsi" w:hAnsiTheme="minorHAnsi"/>
              </w:rPr>
            </w:pPr>
            <w:r w:rsidRPr="002306B2">
              <w:rPr>
                <w:rFonts w:asciiTheme="minorHAnsi" w:hAnsiTheme="minorHAnsi"/>
              </w:rPr>
              <w:t>Hypodermic needles, suction unit</w:t>
            </w:r>
          </w:p>
        </w:tc>
      </w:tr>
      <w:tr w:rsidR="001A2847" w:rsidRPr="00F147B5" w:rsidTr="009C1AE8">
        <w:tc>
          <w:tcPr>
            <w:tcW w:w="2977" w:type="dxa"/>
          </w:tcPr>
          <w:p w:rsidR="001A2847" w:rsidRPr="002306B2" w:rsidRDefault="001A2847" w:rsidP="00F147B5">
            <w:pPr>
              <w:spacing w:before="60" w:after="60"/>
              <w:rPr>
                <w:rFonts w:asciiTheme="minorHAnsi" w:hAnsiTheme="minorHAnsi"/>
              </w:rPr>
            </w:pPr>
            <w:r w:rsidRPr="002306B2">
              <w:rPr>
                <w:rFonts w:asciiTheme="minorHAnsi" w:hAnsiTheme="minorHAnsi"/>
              </w:rPr>
              <w:t>Class IIb</w:t>
            </w:r>
          </w:p>
        </w:tc>
        <w:tc>
          <w:tcPr>
            <w:tcW w:w="2268" w:type="dxa"/>
            <w:vAlign w:val="center"/>
          </w:tcPr>
          <w:p w:rsidR="001A2847" w:rsidRPr="002306B2" w:rsidRDefault="001A2847" w:rsidP="00F147B5">
            <w:pPr>
              <w:spacing w:before="60" w:after="60"/>
              <w:rPr>
                <w:rFonts w:asciiTheme="minorHAnsi" w:hAnsiTheme="minorHAnsi"/>
              </w:rPr>
            </w:pPr>
            <w:r w:rsidRPr="002306B2">
              <w:rPr>
                <w:rFonts w:asciiTheme="minorHAnsi" w:hAnsiTheme="minorHAnsi"/>
              </w:rPr>
              <w:t>Medium-high</w:t>
            </w:r>
          </w:p>
        </w:tc>
        <w:tc>
          <w:tcPr>
            <w:tcW w:w="4678" w:type="dxa"/>
          </w:tcPr>
          <w:p w:rsidR="001A2847" w:rsidRPr="002306B2" w:rsidRDefault="001A2847" w:rsidP="00F147B5">
            <w:pPr>
              <w:spacing w:before="60" w:after="60"/>
              <w:rPr>
                <w:rFonts w:asciiTheme="minorHAnsi" w:hAnsiTheme="minorHAnsi"/>
              </w:rPr>
            </w:pPr>
            <w:r w:rsidRPr="002306B2">
              <w:rPr>
                <w:rFonts w:asciiTheme="minorHAnsi" w:hAnsiTheme="minorHAnsi"/>
              </w:rPr>
              <w:t>Lung ventilator, surgical meshes</w:t>
            </w:r>
          </w:p>
        </w:tc>
      </w:tr>
      <w:tr w:rsidR="001A2847" w:rsidRPr="00F147B5" w:rsidTr="009C1AE8">
        <w:tc>
          <w:tcPr>
            <w:tcW w:w="2977" w:type="dxa"/>
          </w:tcPr>
          <w:p w:rsidR="001A2847" w:rsidRPr="002306B2" w:rsidRDefault="001A2847" w:rsidP="00F147B5">
            <w:pPr>
              <w:spacing w:before="60" w:after="60"/>
              <w:rPr>
                <w:rFonts w:asciiTheme="minorHAnsi" w:hAnsiTheme="minorHAnsi"/>
              </w:rPr>
            </w:pPr>
            <w:r w:rsidRPr="002306B2">
              <w:rPr>
                <w:rFonts w:asciiTheme="minorHAnsi" w:hAnsiTheme="minorHAnsi"/>
              </w:rPr>
              <w:t>Class III</w:t>
            </w:r>
          </w:p>
        </w:tc>
        <w:tc>
          <w:tcPr>
            <w:tcW w:w="2268" w:type="dxa"/>
            <w:vMerge w:val="restart"/>
            <w:vAlign w:val="center"/>
          </w:tcPr>
          <w:p w:rsidR="001A2847" w:rsidRPr="002306B2" w:rsidRDefault="001A2847" w:rsidP="00F147B5">
            <w:pPr>
              <w:spacing w:before="60" w:after="60"/>
              <w:rPr>
                <w:rFonts w:asciiTheme="minorHAnsi" w:hAnsiTheme="minorHAnsi"/>
              </w:rPr>
            </w:pPr>
            <w:r w:rsidRPr="002306B2">
              <w:rPr>
                <w:rFonts w:asciiTheme="minorHAnsi" w:hAnsiTheme="minorHAnsi"/>
              </w:rPr>
              <w:t>High</w:t>
            </w:r>
          </w:p>
        </w:tc>
        <w:tc>
          <w:tcPr>
            <w:tcW w:w="4678" w:type="dxa"/>
          </w:tcPr>
          <w:p w:rsidR="001A2847" w:rsidRPr="002306B2" w:rsidRDefault="001A2847" w:rsidP="00F147B5">
            <w:pPr>
              <w:spacing w:before="60" w:after="60"/>
              <w:rPr>
                <w:rFonts w:asciiTheme="minorHAnsi" w:hAnsiTheme="minorHAnsi"/>
              </w:rPr>
            </w:pPr>
            <w:r w:rsidRPr="002306B2">
              <w:rPr>
                <w:rFonts w:asciiTheme="minorHAnsi" w:hAnsiTheme="minorHAnsi"/>
              </w:rPr>
              <w:t>Heart valves, devices containing medicines or tissues, cells or substances of animal, biological or microbiological origin</w:t>
            </w:r>
          </w:p>
        </w:tc>
      </w:tr>
      <w:tr w:rsidR="001A2847" w:rsidRPr="00F147B5" w:rsidTr="009C1AE8">
        <w:trPr>
          <w:trHeight w:val="564"/>
        </w:trPr>
        <w:tc>
          <w:tcPr>
            <w:tcW w:w="2977" w:type="dxa"/>
          </w:tcPr>
          <w:p w:rsidR="001A2847" w:rsidRPr="002306B2" w:rsidRDefault="001A2847" w:rsidP="00671B0F">
            <w:pPr>
              <w:keepNext w:val="0"/>
              <w:spacing w:before="60" w:after="60"/>
              <w:rPr>
                <w:rFonts w:asciiTheme="minorHAnsi" w:hAnsiTheme="minorHAnsi"/>
              </w:rPr>
            </w:pPr>
            <w:r w:rsidRPr="002306B2">
              <w:rPr>
                <w:rFonts w:asciiTheme="minorHAnsi" w:hAnsiTheme="minorHAnsi"/>
              </w:rPr>
              <w:t>AIMD (Active Implantable Medical Devices)</w:t>
            </w:r>
          </w:p>
        </w:tc>
        <w:tc>
          <w:tcPr>
            <w:tcW w:w="2268" w:type="dxa"/>
            <w:vMerge/>
          </w:tcPr>
          <w:p w:rsidR="001A2847" w:rsidRPr="002306B2" w:rsidRDefault="001A2847" w:rsidP="00671B0F">
            <w:pPr>
              <w:keepNext w:val="0"/>
              <w:spacing w:before="60" w:after="60"/>
              <w:rPr>
                <w:rFonts w:asciiTheme="minorHAnsi" w:hAnsiTheme="minorHAnsi"/>
              </w:rPr>
            </w:pPr>
          </w:p>
        </w:tc>
        <w:tc>
          <w:tcPr>
            <w:tcW w:w="4678" w:type="dxa"/>
          </w:tcPr>
          <w:p w:rsidR="001A2847" w:rsidRPr="002306B2" w:rsidRDefault="001A2847" w:rsidP="00671B0F">
            <w:pPr>
              <w:keepNext w:val="0"/>
              <w:spacing w:before="60" w:after="60"/>
              <w:rPr>
                <w:rFonts w:asciiTheme="minorHAnsi" w:hAnsiTheme="minorHAnsi"/>
              </w:rPr>
            </w:pPr>
            <w:r w:rsidRPr="002306B2">
              <w:rPr>
                <w:rFonts w:asciiTheme="minorHAnsi" w:hAnsiTheme="minorHAnsi"/>
              </w:rPr>
              <w:t>Implantable defibrillator</w:t>
            </w:r>
          </w:p>
        </w:tc>
      </w:tr>
    </w:tbl>
    <w:p w:rsidR="00C7010D" w:rsidRDefault="00C7010D">
      <w:pPr>
        <w:spacing w:before="0" w:after="0" w:line="240" w:lineRule="auto"/>
        <w:rPr>
          <w:b/>
        </w:rPr>
      </w:pPr>
      <w:bookmarkStart w:id="70" w:name="_Toc474838539"/>
      <w:r>
        <w:br w:type="page"/>
      </w:r>
    </w:p>
    <w:p w:rsidR="009A6A81" w:rsidRPr="00671B0F" w:rsidRDefault="009A6A81" w:rsidP="004C2FAB">
      <w:pPr>
        <w:pStyle w:val="Tabletitle"/>
        <w:spacing w:before="360"/>
      </w:pPr>
      <w:r w:rsidRPr="00671B0F">
        <w:lastRenderedPageBreak/>
        <w:t>Classification of IVDs</w:t>
      </w:r>
    </w:p>
    <w:tbl>
      <w:tblPr>
        <w:tblStyle w:val="TableTGAblue1"/>
        <w:tblW w:w="0" w:type="auto"/>
        <w:tblInd w:w="108" w:type="dxa"/>
        <w:tblLook w:val="04A0" w:firstRow="1" w:lastRow="0" w:firstColumn="1" w:lastColumn="0" w:noHBand="0" w:noVBand="1"/>
      </w:tblPr>
      <w:tblGrid>
        <w:gridCol w:w="2749"/>
        <w:gridCol w:w="2105"/>
        <w:gridCol w:w="4324"/>
      </w:tblGrid>
      <w:tr w:rsidR="00F17876" w:rsidRPr="001A2847" w:rsidTr="00F17876">
        <w:trPr>
          <w:cnfStyle w:val="100000000000" w:firstRow="1" w:lastRow="0" w:firstColumn="0" w:lastColumn="0" w:oddVBand="0" w:evenVBand="0" w:oddHBand="0" w:evenHBand="0" w:firstRowFirstColumn="0" w:firstRowLastColumn="0" w:lastRowFirstColumn="0" w:lastRowLastColumn="0"/>
          <w:cantSplit w:val="0"/>
          <w:tblHeader/>
        </w:trPr>
        <w:tc>
          <w:tcPr>
            <w:tcW w:w="2749" w:type="dxa"/>
            <w:tcBorders>
              <w:right w:val="single" w:sz="8" w:space="0" w:color="FFFFFF"/>
            </w:tcBorders>
            <w:shd w:val="clear" w:color="auto" w:fill="0070C0"/>
          </w:tcPr>
          <w:p w:rsidR="00F17876" w:rsidRPr="001A2847" w:rsidRDefault="00F17876" w:rsidP="00671B0F">
            <w:pPr>
              <w:keepNext w:val="0"/>
              <w:spacing w:before="60" w:after="60"/>
              <w:jc w:val="center"/>
              <w:rPr>
                <w:rFonts w:asciiTheme="minorHAnsi" w:eastAsia="Calibri" w:hAnsiTheme="minorHAnsi"/>
              </w:rPr>
            </w:pPr>
            <w:r w:rsidRPr="001A2847">
              <w:rPr>
                <w:rFonts w:asciiTheme="minorHAnsi" w:eastAsia="Calibri" w:hAnsiTheme="minorHAnsi"/>
              </w:rPr>
              <w:t>Class</w:t>
            </w:r>
          </w:p>
        </w:tc>
        <w:tc>
          <w:tcPr>
            <w:tcW w:w="2105" w:type="dxa"/>
            <w:tcBorders>
              <w:left w:val="single" w:sz="8" w:space="0" w:color="FFFFFF"/>
              <w:right w:val="single" w:sz="8" w:space="0" w:color="FFFFFF"/>
            </w:tcBorders>
            <w:shd w:val="clear" w:color="auto" w:fill="0070C0"/>
          </w:tcPr>
          <w:p w:rsidR="00F17876" w:rsidRPr="001A2847" w:rsidRDefault="00F17876" w:rsidP="00671B0F">
            <w:pPr>
              <w:keepNext w:val="0"/>
              <w:spacing w:before="60" w:after="60"/>
              <w:jc w:val="center"/>
              <w:rPr>
                <w:rFonts w:asciiTheme="minorHAnsi" w:eastAsia="Calibri" w:hAnsiTheme="minorHAnsi"/>
              </w:rPr>
            </w:pPr>
            <w:r w:rsidRPr="001A2847">
              <w:rPr>
                <w:rFonts w:asciiTheme="minorHAnsi" w:eastAsia="Calibri" w:hAnsiTheme="minorHAnsi"/>
              </w:rPr>
              <w:t>Risk</w:t>
            </w:r>
          </w:p>
        </w:tc>
        <w:tc>
          <w:tcPr>
            <w:tcW w:w="4324" w:type="dxa"/>
            <w:tcBorders>
              <w:left w:val="single" w:sz="8" w:space="0" w:color="FFFFFF"/>
            </w:tcBorders>
            <w:shd w:val="clear" w:color="auto" w:fill="0070C0"/>
          </w:tcPr>
          <w:p w:rsidR="00F17876" w:rsidRPr="001A2847" w:rsidRDefault="00F17876" w:rsidP="00671B0F">
            <w:pPr>
              <w:keepNext w:val="0"/>
              <w:spacing w:before="60" w:after="60"/>
              <w:jc w:val="center"/>
              <w:rPr>
                <w:rFonts w:asciiTheme="minorHAnsi" w:eastAsia="Calibri" w:hAnsiTheme="minorHAnsi"/>
              </w:rPr>
            </w:pPr>
            <w:r w:rsidRPr="001A2847">
              <w:rPr>
                <w:rFonts w:asciiTheme="minorHAnsi" w:eastAsia="Calibri" w:hAnsiTheme="minorHAnsi"/>
              </w:rPr>
              <w:t>Examples</w:t>
            </w:r>
          </w:p>
        </w:tc>
      </w:tr>
      <w:tr w:rsidR="00F17876" w:rsidRPr="00F17876" w:rsidTr="00F17876">
        <w:tc>
          <w:tcPr>
            <w:tcW w:w="2749" w:type="dxa"/>
          </w:tcPr>
          <w:p w:rsidR="00F17876" w:rsidRPr="002306B2" w:rsidRDefault="00F17876" w:rsidP="00671B0F">
            <w:pPr>
              <w:keepNext w:val="0"/>
              <w:spacing w:before="60" w:after="60"/>
              <w:rPr>
                <w:rFonts w:asciiTheme="minorHAnsi" w:hAnsiTheme="minorHAnsi"/>
              </w:rPr>
            </w:pPr>
            <w:r w:rsidRPr="00F17876">
              <w:rPr>
                <w:rFonts w:asciiTheme="minorHAnsi" w:hAnsiTheme="minorHAnsi"/>
              </w:rPr>
              <w:t>Class 1 IVD</w:t>
            </w:r>
          </w:p>
        </w:tc>
        <w:tc>
          <w:tcPr>
            <w:tcW w:w="2105" w:type="dxa"/>
          </w:tcPr>
          <w:p w:rsidR="00F17876" w:rsidRPr="002306B2" w:rsidRDefault="00F17876" w:rsidP="00671B0F">
            <w:pPr>
              <w:keepNext w:val="0"/>
              <w:spacing w:before="60" w:after="60"/>
              <w:rPr>
                <w:rFonts w:asciiTheme="minorHAnsi" w:hAnsiTheme="minorHAnsi"/>
              </w:rPr>
            </w:pPr>
            <w:r w:rsidRPr="00F17876">
              <w:rPr>
                <w:rFonts w:asciiTheme="minorHAnsi" w:hAnsiTheme="minorHAnsi"/>
              </w:rPr>
              <w:t>No public health risk or low personal risk</w:t>
            </w:r>
          </w:p>
        </w:tc>
        <w:tc>
          <w:tcPr>
            <w:tcW w:w="4324"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Instrumentation and analysers (e.g., glucose meter).</w:t>
            </w:r>
          </w:p>
          <w:p w:rsidR="00F17876" w:rsidRPr="002306B2" w:rsidRDefault="00F17876" w:rsidP="00671B0F">
            <w:pPr>
              <w:keepNext w:val="0"/>
              <w:spacing w:before="60" w:after="60"/>
              <w:rPr>
                <w:rFonts w:asciiTheme="minorHAnsi" w:hAnsiTheme="minorHAnsi"/>
              </w:rPr>
            </w:pPr>
            <w:r w:rsidRPr="00F17876">
              <w:rPr>
                <w:rFonts w:asciiTheme="minorHAnsi" w:hAnsiTheme="minorHAnsi"/>
              </w:rPr>
              <w:t>Microbiological culture media.</w:t>
            </w:r>
          </w:p>
        </w:tc>
      </w:tr>
      <w:tr w:rsidR="00F17876" w:rsidRPr="00F17876" w:rsidTr="00F17876">
        <w:tc>
          <w:tcPr>
            <w:tcW w:w="2749"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Class 2 IVD</w:t>
            </w:r>
          </w:p>
        </w:tc>
        <w:tc>
          <w:tcPr>
            <w:tcW w:w="2105"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Low public health risk or moderate personal risk</w:t>
            </w:r>
          </w:p>
        </w:tc>
        <w:tc>
          <w:tcPr>
            <w:tcW w:w="4324"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Pregnancy self-testing kit.</w:t>
            </w:r>
          </w:p>
          <w:p w:rsidR="00F17876" w:rsidRPr="00F17876" w:rsidRDefault="00F17876" w:rsidP="00671B0F">
            <w:pPr>
              <w:keepNext w:val="0"/>
              <w:spacing w:before="60" w:after="60"/>
              <w:rPr>
                <w:rFonts w:asciiTheme="minorHAnsi" w:hAnsiTheme="minorHAnsi"/>
              </w:rPr>
            </w:pPr>
            <w:r w:rsidRPr="00F17876">
              <w:rPr>
                <w:rFonts w:asciiTheme="minorHAnsi" w:hAnsiTheme="minorHAnsi"/>
              </w:rPr>
              <w:t>Liver function tests.</w:t>
            </w:r>
          </w:p>
        </w:tc>
      </w:tr>
      <w:tr w:rsidR="00F17876" w:rsidRPr="00F17876" w:rsidTr="00F17876">
        <w:tc>
          <w:tcPr>
            <w:tcW w:w="2749"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Class 3 IVD</w:t>
            </w:r>
          </w:p>
        </w:tc>
        <w:tc>
          <w:tcPr>
            <w:tcW w:w="2105"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Moderate public health risk or high personal risk</w:t>
            </w:r>
          </w:p>
        </w:tc>
        <w:tc>
          <w:tcPr>
            <w:tcW w:w="4324"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Test to detect the presence or exposure to a sexually transmitted agent such as C. trachomatis or N. gonorrhoea.</w:t>
            </w:r>
          </w:p>
        </w:tc>
      </w:tr>
      <w:tr w:rsidR="00F17876" w:rsidRPr="00F17876" w:rsidTr="00F17876">
        <w:tc>
          <w:tcPr>
            <w:tcW w:w="2749"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Class 4 IVD</w:t>
            </w:r>
          </w:p>
        </w:tc>
        <w:tc>
          <w:tcPr>
            <w:tcW w:w="2105"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High public health risk</w:t>
            </w:r>
          </w:p>
        </w:tc>
        <w:tc>
          <w:tcPr>
            <w:tcW w:w="4324" w:type="dxa"/>
          </w:tcPr>
          <w:p w:rsidR="00F17876" w:rsidRPr="00F17876" w:rsidRDefault="00F17876" w:rsidP="00671B0F">
            <w:pPr>
              <w:keepNext w:val="0"/>
              <w:spacing w:before="60" w:after="60"/>
              <w:rPr>
                <w:rFonts w:asciiTheme="minorHAnsi" w:hAnsiTheme="minorHAnsi"/>
              </w:rPr>
            </w:pPr>
            <w:r w:rsidRPr="00F17876">
              <w:rPr>
                <w:rFonts w:asciiTheme="minorHAnsi" w:hAnsiTheme="minorHAnsi"/>
              </w:rPr>
              <w:t>Assay intended for the clinical diagnosis of HIV.</w:t>
            </w:r>
          </w:p>
          <w:p w:rsidR="00F17876" w:rsidRPr="00F17876" w:rsidRDefault="00F17876" w:rsidP="00671B0F">
            <w:pPr>
              <w:keepNext w:val="0"/>
              <w:spacing w:before="60" w:after="60"/>
              <w:rPr>
                <w:rFonts w:asciiTheme="minorHAnsi" w:hAnsiTheme="minorHAnsi"/>
              </w:rPr>
            </w:pPr>
            <w:r w:rsidRPr="00F17876">
              <w:rPr>
                <w:rFonts w:asciiTheme="minorHAnsi" w:hAnsiTheme="minorHAnsi"/>
              </w:rPr>
              <w:t>Assay intended for screening blood donations for Hepatitis C virus.</w:t>
            </w:r>
          </w:p>
        </w:tc>
      </w:tr>
    </w:tbl>
    <w:p w:rsidR="001A2847" w:rsidRPr="001C40FD" w:rsidRDefault="001A2847" w:rsidP="004A2F25">
      <w:pPr>
        <w:pStyle w:val="NonTOCheading4"/>
      </w:pPr>
      <w:r w:rsidRPr="001F73FD">
        <w:t xml:space="preserve">Pre-market assessment </w:t>
      </w:r>
      <w:r>
        <w:t xml:space="preserve">- </w:t>
      </w:r>
      <w:r w:rsidRPr="001C40FD">
        <w:t>Conformity assessment of medical devices</w:t>
      </w:r>
      <w:r w:rsidR="00C97535">
        <w:t xml:space="preserve">, including </w:t>
      </w:r>
      <w:r w:rsidRPr="001C40FD">
        <w:t>IVDs</w:t>
      </w:r>
      <w:bookmarkEnd w:id="70"/>
    </w:p>
    <w:p w:rsidR="001A2847" w:rsidRDefault="001A2847" w:rsidP="001A2847">
      <w:r w:rsidRPr="00021F17">
        <w:rPr>
          <w:bCs/>
        </w:rPr>
        <w:t>Conformity assessment</w:t>
      </w:r>
      <w:r w:rsidRPr="00021F17">
        <w:t xml:space="preserve"> </w:t>
      </w:r>
      <w:r>
        <w:t>i</w:t>
      </w:r>
      <w:r w:rsidRPr="00021F17">
        <w:t xml:space="preserve">s the systematic </w:t>
      </w:r>
      <w:r>
        <w:t xml:space="preserve">and ongoing </w:t>
      </w:r>
      <w:r w:rsidRPr="00021F17">
        <w:t xml:space="preserve">examination by the manufacturer </w:t>
      </w:r>
      <w:r w:rsidRPr="00B10847">
        <w:t xml:space="preserve">of evidence and procedures </w:t>
      </w:r>
      <w:r w:rsidRPr="00021F17">
        <w:t xml:space="preserve">to determine that </w:t>
      </w:r>
      <w:r>
        <w:t xml:space="preserve">the safety of </w:t>
      </w:r>
      <w:r w:rsidRPr="00021F17">
        <w:t xml:space="preserve">a medical device is </w:t>
      </w:r>
      <w:r>
        <w:t xml:space="preserve">acceptable </w:t>
      </w:r>
      <w:r w:rsidRPr="00021F17">
        <w:t xml:space="preserve">and </w:t>
      </w:r>
      <w:r>
        <w:t xml:space="preserve">the device </w:t>
      </w:r>
      <w:r w:rsidRPr="00021F17">
        <w:t xml:space="preserve">performs as intended and, therefore, conforms to the Essential </w:t>
      </w:r>
      <w:r>
        <w:t>Principles</w:t>
      </w:r>
      <w:r w:rsidR="000E606F">
        <w:t>.</w:t>
      </w:r>
    </w:p>
    <w:p w:rsidR="001A2847" w:rsidRPr="001C40FD" w:rsidRDefault="001A2847" w:rsidP="001A2847">
      <w:r w:rsidRPr="001C40FD">
        <w:t xml:space="preserve">To be included in the ARTG an appropriate conformity assessment procedure must have been applied to the medical device. </w:t>
      </w:r>
      <w:r>
        <w:t xml:space="preserve">This is usually demonstrated by </w:t>
      </w:r>
      <w:r w:rsidRPr="001C40FD">
        <w:t>relying on certification issued by a conformity assessment body</w:t>
      </w:r>
      <w:r>
        <w:t xml:space="preserve"> (such as the TGA or a European notified body)</w:t>
      </w:r>
      <w:r w:rsidRPr="001C40FD">
        <w:t>.</w:t>
      </w:r>
    </w:p>
    <w:p w:rsidR="001A2847" w:rsidRPr="001C40FD" w:rsidRDefault="001A2847" w:rsidP="001A2847">
      <w:r w:rsidRPr="001C40FD">
        <w:t xml:space="preserve">The level of assessment required is commensurate with the level and nature of the risks posed by the device to the patient, ranging from manufacturer self-assessment for low risk devices through to </w:t>
      </w:r>
      <w:r>
        <w:t xml:space="preserve">an assessment of the manufacturer’s quality management system and examination of the design of the specific device by </w:t>
      </w:r>
      <w:r w:rsidRPr="001C40FD">
        <w:t>a conformity assessment body</w:t>
      </w:r>
      <w:r>
        <w:t>,</w:t>
      </w:r>
      <w:r w:rsidRPr="001C40FD">
        <w:t xml:space="preserve"> for the highest risk devices</w:t>
      </w:r>
      <w:r w:rsidRPr="001C40FD">
        <w:rPr>
          <w:rStyle w:val="FootnoteReference"/>
        </w:rPr>
        <w:footnoteReference w:id="22"/>
      </w:r>
      <w:r>
        <w:t>.</w:t>
      </w:r>
    </w:p>
    <w:p w:rsidR="001A2847" w:rsidRPr="001C40FD" w:rsidRDefault="001A2847" w:rsidP="001A2847">
      <w:r w:rsidRPr="001C40FD">
        <w:t xml:space="preserve">Manufacturers are required to hold </w:t>
      </w:r>
      <w:r>
        <w:t xml:space="preserve">a </w:t>
      </w:r>
      <w:r w:rsidRPr="001C40FD">
        <w:t xml:space="preserve">TGA conformity assessment </w:t>
      </w:r>
      <w:r>
        <w:t>certificate</w:t>
      </w:r>
      <w:r w:rsidRPr="001C40FD">
        <w:t xml:space="preserve"> in relation to </w:t>
      </w:r>
      <w:r w:rsidR="00E624BB">
        <w:t>specified</w:t>
      </w:r>
      <w:r w:rsidR="00E624BB" w:rsidRPr="001C40FD">
        <w:t xml:space="preserve"> </w:t>
      </w:r>
      <w:r w:rsidRPr="001C40FD">
        <w:t xml:space="preserve">highest risk medical devices. These are those medical devices that contain medicines or </w:t>
      </w:r>
      <w:r>
        <w:t>tissues, cells or substances</w:t>
      </w:r>
      <w:r w:rsidRPr="001C40FD">
        <w:t xml:space="preserve"> of animal, biological or microbiological origin</w:t>
      </w:r>
      <w:r w:rsidR="00C97535">
        <w:t xml:space="preserve"> and Class 4 IVDs</w:t>
      </w:r>
      <w:r w:rsidR="00E624BB">
        <w:t xml:space="preserve"> and are identified in the Regulations.</w:t>
      </w:r>
      <w:r w:rsidR="00E624BB">
        <w:rPr>
          <w:rStyle w:val="FootnoteReference"/>
        </w:rPr>
        <w:footnoteReference w:id="23"/>
      </w:r>
    </w:p>
    <w:p w:rsidR="001A2847" w:rsidRPr="001C40FD" w:rsidRDefault="001A2847" w:rsidP="001A2847">
      <w:r w:rsidRPr="001C40FD">
        <w:t>For other medical devices</w:t>
      </w:r>
      <w:r>
        <w:t>, and</w:t>
      </w:r>
      <w:r w:rsidRPr="001C40FD">
        <w:t xml:space="preserve"> given the close parallels between the European and Australian regulatory frameworks</w:t>
      </w:r>
      <w:r>
        <w:t>,</w:t>
      </w:r>
      <w:r w:rsidRPr="001C40FD">
        <w:t xml:space="preserve"> the TGA </w:t>
      </w:r>
      <w:r>
        <w:t xml:space="preserve">generally accepts </w:t>
      </w:r>
      <w:r w:rsidRPr="001C40FD">
        <w:t>conformity assessment cer</w:t>
      </w:r>
      <w:r>
        <w:t>tification</w:t>
      </w:r>
      <w:r w:rsidRPr="001C40FD">
        <w:t xml:space="preserve"> </w:t>
      </w:r>
      <w:r w:rsidR="00571EE0">
        <w:t xml:space="preserve">(EC Certificates) </w:t>
      </w:r>
      <w:r w:rsidRPr="001C40FD">
        <w:t xml:space="preserve">from European notified bodies </w:t>
      </w:r>
      <w:r>
        <w:t>issued</w:t>
      </w:r>
      <w:r w:rsidRPr="001C40FD">
        <w:t xml:space="preserve"> under the European Medical Device Directives</w:t>
      </w:r>
      <w:r w:rsidRPr="001C40FD">
        <w:rPr>
          <w:rStyle w:val="FootnoteReference"/>
        </w:rPr>
        <w:footnoteReference w:id="24"/>
      </w:r>
      <w:r w:rsidRPr="001C40FD">
        <w:t>.</w:t>
      </w:r>
    </w:p>
    <w:p w:rsidR="001A2847" w:rsidRPr="00021F17" w:rsidRDefault="001A2847" w:rsidP="004A2F25">
      <w:pPr>
        <w:pStyle w:val="NonTOCheading4"/>
      </w:pPr>
      <w:bookmarkStart w:id="71" w:name="_Toc474838540"/>
      <w:r w:rsidRPr="00021F17">
        <w:lastRenderedPageBreak/>
        <w:t>Market authorisation - Inclusion of medical devices in the ARTG</w:t>
      </w:r>
      <w:bookmarkEnd w:id="71"/>
    </w:p>
    <w:p w:rsidR="001A2847" w:rsidRPr="00EB4A0A" w:rsidRDefault="001A2847" w:rsidP="004A2F25">
      <w:r w:rsidRPr="00EB4A0A">
        <w:t xml:space="preserve">Once conformity assessment certification is obtained from an appropriate conformity assessment body, an application to include the medical device in the ARTG can be made. The </w:t>
      </w:r>
      <w:r>
        <w:t>applicant</w:t>
      </w:r>
      <w:r w:rsidRPr="00EB4A0A">
        <w:t xml:space="preserve"> must be </w:t>
      </w:r>
      <w:r>
        <w:t xml:space="preserve">an </w:t>
      </w:r>
      <w:r w:rsidRPr="00EB4A0A">
        <w:t>Australian</w:t>
      </w:r>
      <w:r>
        <w:t xml:space="preserve"> entity</w:t>
      </w:r>
      <w:r w:rsidRPr="00EB4A0A">
        <w:t xml:space="preserve">, and </w:t>
      </w:r>
      <w:r>
        <w:t xml:space="preserve">usually is an </w:t>
      </w:r>
      <w:r w:rsidRPr="00EB4A0A">
        <w:t xml:space="preserve">Australian importer of overseas manufactured medical devices. </w:t>
      </w:r>
      <w:r>
        <w:t xml:space="preserve">Applicants </w:t>
      </w:r>
      <w:r w:rsidRPr="00EB4A0A">
        <w:t>must have a relationship</w:t>
      </w:r>
      <w:r>
        <w:t xml:space="preserve"> </w:t>
      </w:r>
      <w:r w:rsidRPr="00EB4A0A">
        <w:t>with the manufacturer to enable them to fulfil their regulatory obligations.</w:t>
      </w:r>
    </w:p>
    <w:p w:rsidR="001A2847" w:rsidRPr="00EB4A0A" w:rsidRDefault="001A2847" w:rsidP="004A2F25">
      <w:r w:rsidRPr="00EB4A0A">
        <w:t xml:space="preserve">The degree of rigour of the assessment conducted by the TGA at the point of application for ARTG inclusion depends on the </w:t>
      </w:r>
      <w:r>
        <w:t xml:space="preserve">intended use and </w:t>
      </w:r>
      <w:r w:rsidRPr="00EB4A0A">
        <w:t xml:space="preserve">risk classification of the device and the source of the conformity assessment certification. The TGA may approve the inclusion of a device in the ARTG based solely on the application received, or may </w:t>
      </w:r>
      <w:r>
        <w:t xml:space="preserve">require a more detailed </w:t>
      </w:r>
      <w:r w:rsidRPr="00EB4A0A">
        <w:t xml:space="preserve">audit </w:t>
      </w:r>
      <w:r>
        <w:t xml:space="preserve">of </w:t>
      </w:r>
      <w:r w:rsidRPr="00EB4A0A">
        <w:t xml:space="preserve">the application </w:t>
      </w:r>
      <w:r>
        <w:t xml:space="preserve">involving </w:t>
      </w:r>
      <w:r w:rsidRPr="00EB4A0A">
        <w:t>a desk top review of information such as the labelling, instructions for use</w:t>
      </w:r>
      <w:r>
        <w:t>, technical</w:t>
      </w:r>
      <w:r w:rsidRPr="00EB4A0A">
        <w:t xml:space="preserve"> </w:t>
      </w:r>
      <w:r>
        <w:t xml:space="preserve">and advertising materials for the device, and possibly a review of </w:t>
      </w:r>
      <w:r w:rsidRPr="00EB4A0A">
        <w:t xml:space="preserve">the clinical evidence </w:t>
      </w:r>
      <w:r>
        <w:t xml:space="preserve">and risk management documentation </w:t>
      </w:r>
      <w:r w:rsidR="000E606F">
        <w:t>for the device.</w:t>
      </w:r>
    </w:p>
    <w:p w:rsidR="001A2847" w:rsidRDefault="001A2847" w:rsidP="004A2F25">
      <w:r w:rsidRPr="00EB4A0A">
        <w:t xml:space="preserve">The scope of any </w:t>
      </w:r>
      <w:r w:rsidR="005867CE">
        <w:t xml:space="preserve">application </w:t>
      </w:r>
      <w:r w:rsidRPr="00EB4A0A">
        <w:t>audit will depend largely on the issues identified by the TGA as requiring further scrutiny. In most cases high risk devices (Class III</w:t>
      </w:r>
      <w:r>
        <w:t xml:space="preserve">, </w:t>
      </w:r>
      <w:r w:rsidR="00734C47">
        <w:t>AIMDs)</w:t>
      </w:r>
      <w:r w:rsidR="004A4D22">
        <w:t>,</w:t>
      </w:r>
      <w:r>
        <w:t xml:space="preserve"> selected Class IIb</w:t>
      </w:r>
      <w:r w:rsidR="004A4D22">
        <w:t>,</w:t>
      </w:r>
      <w:r>
        <w:t xml:space="preserve"> </w:t>
      </w:r>
      <w:r w:rsidR="004A4D22">
        <w:t xml:space="preserve">and </w:t>
      </w:r>
      <w:r w:rsidR="00734C47">
        <w:t xml:space="preserve">some </w:t>
      </w:r>
      <w:r w:rsidR="004A4D22">
        <w:t xml:space="preserve">IVD </w:t>
      </w:r>
      <w:r>
        <w:t>medical devices</w:t>
      </w:r>
      <w:r w:rsidR="00734C47">
        <w:t>,</w:t>
      </w:r>
      <w:r w:rsidRPr="00EB4A0A">
        <w:t xml:space="preserve"> are subject to mandatory application audits</w:t>
      </w:r>
      <w:r>
        <w:rPr>
          <w:rStyle w:val="FootnoteReference"/>
        </w:rPr>
        <w:footnoteReference w:id="25"/>
      </w:r>
      <w:r w:rsidRPr="00EB4A0A">
        <w:t xml:space="preserve"> where the </w:t>
      </w:r>
      <w:r w:rsidR="004A4D22">
        <w:t xml:space="preserve">manufacturers’ </w:t>
      </w:r>
      <w:r w:rsidRPr="00EB4A0A">
        <w:t xml:space="preserve">conformity assessment </w:t>
      </w:r>
      <w:r w:rsidR="004A4D22">
        <w:t>procedures have not been assessed by the TGA</w:t>
      </w:r>
      <w:r w:rsidR="000E606F">
        <w:t>.</w:t>
      </w:r>
    </w:p>
    <w:p w:rsidR="001A2847" w:rsidRDefault="001A2847" w:rsidP="004A2F25">
      <w:pPr>
        <w:pStyle w:val="NonTOCheading4"/>
      </w:pPr>
      <w:bookmarkStart w:id="72" w:name="_Toc474838541"/>
      <w:r>
        <w:t>Post</w:t>
      </w:r>
      <w:r w:rsidRPr="001F73FD">
        <w:t>-market assessment of medical devices and IVDs</w:t>
      </w:r>
      <w:bookmarkEnd w:id="72"/>
    </w:p>
    <w:p w:rsidR="001A2847" w:rsidRPr="00671B0F" w:rsidRDefault="001A2847" w:rsidP="004A2F25">
      <w:pPr>
        <w:pStyle w:val="NonTOCheading5"/>
      </w:pPr>
      <w:r w:rsidRPr="004C2FAB">
        <w:t>Maintenance of conformity assessment</w:t>
      </w:r>
    </w:p>
    <w:p w:rsidR="001A2847" w:rsidRDefault="001A2847" w:rsidP="001A2847">
      <w:r>
        <w:t>Once a device is approved m</w:t>
      </w:r>
      <w:r w:rsidRPr="00B10847">
        <w:t>anufacturers are expected to continue to monitor the performance and safety of devic</w:t>
      </w:r>
      <w:r>
        <w:t xml:space="preserve">es, and ensure continued compliance </w:t>
      </w:r>
      <w:r w:rsidR="00A02DC1">
        <w:t xml:space="preserve">with the Essential Principles. </w:t>
      </w:r>
      <w:r>
        <w:t xml:space="preserve">This </w:t>
      </w:r>
      <w:r w:rsidRPr="00B10847">
        <w:t>surve</w:t>
      </w:r>
      <w:r>
        <w:t>illance program is part of the</w:t>
      </w:r>
      <w:r w:rsidRPr="00B10847">
        <w:t xml:space="preserve"> </w:t>
      </w:r>
      <w:r>
        <w:t>quality management system aspect of their conformity assessment, and will be periodically checked by the certifying body (whether this is the TGA or a European notified body)</w:t>
      </w:r>
      <w:r w:rsidRPr="00B10847">
        <w:t xml:space="preserve">. These </w:t>
      </w:r>
      <w:r>
        <w:t xml:space="preserve">surveillance </w:t>
      </w:r>
      <w:r w:rsidRPr="00B10847">
        <w:t>programs should be appropriate to t</w:t>
      </w:r>
      <w:r w:rsidR="000E606F">
        <w:t>he use and risks of the device.</w:t>
      </w:r>
    </w:p>
    <w:p w:rsidR="001A2847" w:rsidRPr="00C32648" w:rsidRDefault="001A2847" w:rsidP="001A2847">
      <w:r w:rsidRPr="00B10847">
        <w:t>The data generated from safety and adverse event reports and complaints, newly identified risks, literature, any updated or new clinical investigations, significant regulatory actions and formal surveillance activities such as registries should be used to review the performance, safety and benefit</w:t>
      </w:r>
      <w:r w:rsidR="000E606F">
        <w:t>-risk assessment of the device.</w:t>
      </w:r>
    </w:p>
    <w:p w:rsidR="001A2847" w:rsidRPr="00671B0F" w:rsidRDefault="001A2847" w:rsidP="004A2F25">
      <w:pPr>
        <w:pStyle w:val="NonTOCheading5"/>
      </w:pPr>
      <w:r w:rsidRPr="004C2FAB">
        <w:t>TGA post market vigilance and monitoring</w:t>
      </w:r>
    </w:p>
    <w:p w:rsidR="001A2847" w:rsidRDefault="001A2847" w:rsidP="004A2F25">
      <w:r w:rsidRPr="00B10847">
        <w:t xml:space="preserve">The </w:t>
      </w:r>
      <w:r>
        <w:t xml:space="preserve">medical device </w:t>
      </w:r>
      <w:r w:rsidRPr="00B10847">
        <w:t>regulatory framework includes provision for post</w:t>
      </w:r>
      <w:r>
        <w:t>-</w:t>
      </w:r>
      <w:r w:rsidRPr="00B10847">
        <w:t>market mo</w:t>
      </w:r>
      <w:r w:rsidR="000E606F">
        <w:t>nitoring by the TGA, including:</w:t>
      </w:r>
    </w:p>
    <w:p w:rsidR="001A2847" w:rsidRPr="004A2F25" w:rsidRDefault="001A2847" w:rsidP="000120F6">
      <w:pPr>
        <w:pStyle w:val="ListBullet"/>
      </w:pPr>
      <w:r>
        <w:t>risk assessme</w:t>
      </w:r>
      <w:r w:rsidRPr="004A2F25">
        <w:t>nt and investigation of medical device adverse event and complaint reports</w:t>
      </w:r>
    </w:p>
    <w:p w:rsidR="001A2847" w:rsidRPr="004A2F25" w:rsidRDefault="001A2847" w:rsidP="000120F6">
      <w:pPr>
        <w:pStyle w:val="ListBullet"/>
      </w:pPr>
      <w:r w:rsidRPr="004A2F25">
        <w:t>checking evidence of conformity a</w:t>
      </w:r>
      <w:r w:rsidR="000E606F" w:rsidRPr="004A2F25">
        <w:t>gainst the Essential Principles</w:t>
      </w:r>
    </w:p>
    <w:p w:rsidR="001A2847" w:rsidRPr="004A2F25" w:rsidRDefault="001A2847" w:rsidP="000120F6">
      <w:pPr>
        <w:pStyle w:val="ListBullet"/>
      </w:pPr>
      <w:r w:rsidRPr="004A2F25">
        <w:t xml:space="preserve">conducting periodic </w:t>
      </w:r>
      <w:r w:rsidR="005867CE" w:rsidRPr="004A2F25">
        <w:t xml:space="preserve">audits </w:t>
      </w:r>
      <w:r w:rsidRPr="004A2F25">
        <w:t xml:space="preserve">of </w:t>
      </w:r>
      <w:r w:rsidR="005867CE" w:rsidRPr="004A2F25">
        <w:t xml:space="preserve">a </w:t>
      </w:r>
      <w:r w:rsidRPr="004A2F25">
        <w:t>manufacturers' quality management system and technical documentation</w:t>
      </w:r>
    </w:p>
    <w:p w:rsidR="001A2847" w:rsidRDefault="001A2847" w:rsidP="000120F6">
      <w:pPr>
        <w:pStyle w:val="ListBullet"/>
      </w:pPr>
      <w:proofErr w:type="gramStart"/>
      <w:r w:rsidRPr="004A2F25">
        <w:t>imposing</w:t>
      </w:r>
      <w:proofErr w:type="gramEnd"/>
      <w:r w:rsidRPr="004A2F25">
        <w:t xml:space="preserve"> specific requirements for manufacturers and sponsors to report, within specified timeframes, adverse incidents i</w:t>
      </w:r>
      <w:r w:rsidR="000E606F" w:rsidRPr="004A2F25">
        <w:t>nvol</w:t>
      </w:r>
      <w:r w:rsidR="000E606F">
        <w:t>ving their medical devices.</w:t>
      </w:r>
    </w:p>
    <w:p w:rsidR="001A2847" w:rsidRDefault="001A2847" w:rsidP="001A2847">
      <w:r w:rsidRPr="00B10847">
        <w:lastRenderedPageBreak/>
        <w:t>Post</w:t>
      </w:r>
      <w:r>
        <w:t>-</w:t>
      </w:r>
      <w:r w:rsidRPr="00B10847">
        <w:t>market monitoring by the TGA is carried out to ensure the ongoing regulatory compliance and safety of medical devices sup</w:t>
      </w:r>
      <w:r w:rsidR="000E606F">
        <w:t>plied to the Australian market.</w:t>
      </w:r>
    </w:p>
    <w:p w:rsidR="001A2847" w:rsidRDefault="001A2847" w:rsidP="004A2F25">
      <w:pPr>
        <w:rPr>
          <w:rFonts w:ascii="Helvetica" w:hAnsi="Helvetica"/>
          <w:spacing w:val="-74"/>
          <w:szCs w:val="22"/>
          <w:lang w:val="en"/>
        </w:rPr>
      </w:pPr>
      <w:r w:rsidRPr="00B10847">
        <w:t>In support of the TGA's post</w:t>
      </w:r>
      <w:r w:rsidR="005867CE">
        <w:t>-</w:t>
      </w:r>
      <w:r w:rsidRPr="00B10847">
        <w:t>market monitoring activities, the sponsor of a medical device has ongoing responsibilities once a device has been included in the ARTG. These statutory responsibilities include that the sponsor must repo</w:t>
      </w:r>
      <w:r>
        <w:t>rt to the TGA adverse incidents, overseas regulatory actions,</w:t>
      </w:r>
      <w:r w:rsidRPr="00B10847">
        <w:t xml:space="preserve"> and the results of investigations undertaken by the manufacturer</w:t>
      </w:r>
      <w:r>
        <w:t xml:space="preserve"> such as further clinical studies, reviews of adverse events, etc</w:t>
      </w:r>
      <w:r w:rsidRPr="00B10847">
        <w:t>. The sponsor must also maintain distribution records.</w:t>
      </w:r>
      <w:r w:rsidRPr="00B10847">
        <w:rPr>
          <w:rFonts w:ascii="Helvetica" w:hAnsi="Helvetica"/>
          <w:spacing w:val="-74"/>
          <w:szCs w:val="22"/>
          <w:lang w:val="en"/>
        </w:rPr>
        <w:t xml:space="preserve"> </w:t>
      </w:r>
    </w:p>
    <w:p w:rsidR="001A2847" w:rsidRDefault="001A2847" w:rsidP="001A2847">
      <w:r w:rsidRPr="00311145">
        <w:t>All adverse event reports or complaints received by the TGA are entered into a database</w:t>
      </w:r>
      <w:r>
        <w:t xml:space="preserve">, and a </w:t>
      </w:r>
      <w:r w:rsidRPr="00311145">
        <w:t xml:space="preserve">risk assessment is undertaken by a panel of clinicians and scientists within the TGA to determine if investigation is required. </w:t>
      </w:r>
      <w:r w:rsidR="005867CE">
        <w:t>External e</w:t>
      </w:r>
      <w:r>
        <w:t xml:space="preserve">xpert advice may be </w:t>
      </w:r>
      <w:r w:rsidR="000E606F">
        <w:t>sought during an investigation.</w:t>
      </w:r>
    </w:p>
    <w:p w:rsidR="001A2847" w:rsidRDefault="001A2847" w:rsidP="004A2F25">
      <w:r w:rsidRPr="00B10847">
        <w:t>The outcomes of the TGA's investigations may result i</w:t>
      </w:r>
      <w:r>
        <w:t xml:space="preserve">n product recovery (recalls); hazard and safety alerts; </w:t>
      </w:r>
      <w:r w:rsidRPr="00B10847">
        <w:t>product modification/improvement by a manufacturer; or surveillance audits of manufacturing sites.</w:t>
      </w:r>
    </w:p>
    <w:p w:rsidR="00BA6FF1" w:rsidRDefault="00BA6FF1" w:rsidP="00F8404D">
      <w:r>
        <w:br w:type="page"/>
      </w:r>
    </w:p>
    <w:p w:rsidR="003E3D34" w:rsidRPr="009401F6" w:rsidRDefault="003E3D34" w:rsidP="00F8404D">
      <w:pPr>
        <w:sectPr w:rsidR="003E3D34" w:rsidRPr="009401F6" w:rsidSect="0074066C">
          <w:headerReference w:type="default" r:id="rId20"/>
          <w:footerReference w:type="default" r:id="rId21"/>
          <w:headerReference w:type="first" r:id="rId22"/>
          <w:type w:val="continuous"/>
          <w:pgSz w:w="11906" w:h="16838" w:code="9"/>
          <w:pgMar w:top="1530" w:right="1418" w:bottom="1361" w:left="1418" w:header="998" w:footer="283" w:gutter="0"/>
          <w:cols w:space="708"/>
          <w:titlePg/>
          <w:docGrid w:linePitch="360"/>
        </w:sectPr>
      </w:pPr>
    </w:p>
    <w:tbl>
      <w:tblPr>
        <w:tblW w:w="9145" w:type="dxa"/>
        <w:jc w:val="center"/>
        <w:tblInd w:w="-284" w:type="dxa"/>
        <w:tblLayout w:type="fixed"/>
        <w:tblCellMar>
          <w:left w:w="0" w:type="dxa"/>
          <w:right w:w="0" w:type="dxa"/>
        </w:tblCellMar>
        <w:tblLook w:val="04A0" w:firstRow="1" w:lastRow="0" w:firstColumn="1" w:lastColumn="0" w:noHBand="0" w:noVBand="1"/>
      </w:tblPr>
      <w:tblGrid>
        <w:gridCol w:w="9145"/>
      </w:tblGrid>
      <w:tr w:rsidR="00F8404D" w:rsidRPr="009401F6" w:rsidTr="009C1AE8">
        <w:trPr>
          <w:trHeight w:hRule="exact" w:val="565"/>
          <w:jc w:val="center"/>
        </w:trPr>
        <w:tc>
          <w:tcPr>
            <w:tcW w:w="9145" w:type="dxa"/>
          </w:tcPr>
          <w:p w:rsidR="00F8404D" w:rsidRPr="009401F6" w:rsidRDefault="00F8404D" w:rsidP="009C1AE8">
            <w:pPr>
              <w:pStyle w:val="TGASignoff"/>
            </w:pPr>
            <w:r w:rsidRPr="009401F6">
              <w:lastRenderedPageBreak/>
              <w:t>Therapeutic Goods Administration</w:t>
            </w:r>
          </w:p>
        </w:tc>
      </w:tr>
      <w:tr w:rsidR="00F8404D" w:rsidRPr="009401F6" w:rsidTr="009C1AE8">
        <w:trPr>
          <w:trHeight w:val="963"/>
          <w:jc w:val="center"/>
        </w:trPr>
        <w:tc>
          <w:tcPr>
            <w:tcW w:w="9145" w:type="dxa"/>
            <w:tcMar>
              <w:top w:w="28" w:type="dxa"/>
            </w:tcMar>
          </w:tcPr>
          <w:p w:rsidR="00F8404D" w:rsidRPr="009401F6" w:rsidRDefault="00F8404D" w:rsidP="009C1AE8">
            <w:pPr>
              <w:pStyle w:val="Address"/>
              <w:jc w:val="center"/>
            </w:pPr>
            <w:r w:rsidRPr="009401F6">
              <w:t>PO Box 100 Woden ACT 2606 Australia</w:t>
            </w:r>
          </w:p>
          <w:p w:rsidR="00F8404D" w:rsidRPr="009401F6" w:rsidRDefault="00F8404D" w:rsidP="009C1AE8">
            <w:pPr>
              <w:pStyle w:val="Address"/>
              <w:jc w:val="center"/>
            </w:pPr>
            <w:r w:rsidRPr="009401F6">
              <w:t xml:space="preserve">Email: </w:t>
            </w:r>
            <w:hyperlink r:id="rId23" w:history="1">
              <w:r w:rsidRPr="009401F6">
                <w:rPr>
                  <w:rStyle w:val="Hyperlink"/>
                </w:rPr>
                <w:t>info@tga.gov.au</w:t>
              </w:r>
            </w:hyperlink>
            <w:r w:rsidRPr="009401F6">
              <w:t xml:space="preserve">  Pho</w:t>
            </w:r>
            <w:r w:rsidR="00532F81">
              <w:t>ne: 1800 020 653  Fax: 02 6232 1</w:t>
            </w:r>
            <w:r w:rsidRPr="009401F6">
              <w:t>605</w:t>
            </w:r>
          </w:p>
          <w:p w:rsidR="00F8404D" w:rsidRPr="009401F6" w:rsidRDefault="00CF63E6" w:rsidP="009C1AE8">
            <w:pPr>
              <w:pStyle w:val="Address"/>
              <w:spacing w:line="260" w:lineRule="atLeast"/>
              <w:jc w:val="center"/>
              <w:rPr>
                <w:rStyle w:val="Hyperlink"/>
                <w:b/>
              </w:rPr>
            </w:pPr>
            <w:hyperlink r:id="rId24" w:history="1">
              <w:r w:rsidR="009401F6" w:rsidRPr="009401F6">
                <w:rPr>
                  <w:rStyle w:val="Hyperlink"/>
                  <w:b/>
                </w:rPr>
                <w:t>https://www.tga.gov.au</w:t>
              </w:r>
            </w:hyperlink>
          </w:p>
        </w:tc>
      </w:tr>
      <w:tr w:rsidR="00F8404D" w:rsidRPr="009401F6" w:rsidTr="009C1AE8">
        <w:trPr>
          <w:trHeight w:val="251"/>
          <w:jc w:val="center"/>
        </w:trPr>
        <w:tc>
          <w:tcPr>
            <w:tcW w:w="9145" w:type="dxa"/>
            <w:tcMar>
              <w:top w:w="28" w:type="dxa"/>
            </w:tcMar>
          </w:tcPr>
          <w:p w:rsidR="00F8404D" w:rsidRPr="009401F6" w:rsidRDefault="00F8404D" w:rsidP="009C1AE8">
            <w:pPr>
              <w:pStyle w:val="Address"/>
              <w:jc w:val="center"/>
            </w:pPr>
            <w:r w:rsidRPr="009401F6">
              <w:t>Reference/Publication #</w:t>
            </w:r>
            <w:r w:rsidR="007D495B">
              <w:t xml:space="preserve"> </w:t>
            </w:r>
            <w:hyperlink r:id="rId25" w:history="1">
              <w:r w:rsidR="007D495B">
                <w:rPr>
                  <w:rStyle w:val="Hyperlink"/>
                </w:rPr>
                <w:t>D17-312985</w:t>
              </w:r>
            </w:hyperlink>
          </w:p>
        </w:tc>
      </w:tr>
    </w:tbl>
    <w:p w:rsidR="0084580B" w:rsidRPr="009401F6" w:rsidRDefault="0084580B" w:rsidP="00F8404D">
      <w:pPr>
        <w:pStyle w:val="Footer"/>
      </w:pPr>
    </w:p>
    <w:sectPr w:rsidR="0084580B" w:rsidRPr="009401F6" w:rsidSect="00F8404D">
      <w:headerReference w:type="first" r:id="rId26"/>
      <w:footerReference w:type="first" r:id="rId27"/>
      <w:type w:val="continuous"/>
      <w:pgSz w:w="11906" w:h="16838" w:code="9"/>
      <w:pgMar w:top="13718" w:right="1701" w:bottom="709" w:left="1701" w:header="1134" w:footer="6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A1B" w:rsidRDefault="00791A1B" w:rsidP="00C40A36">
      <w:pPr>
        <w:spacing w:after="0"/>
      </w:pPr>
      <w:r>
        <w:separator/>
      </w:r>
    </w:p>
    <w:p w:rsidR="00791A1B" w:rsidRDefault="00791A1B"/>
  </w:endnote>
  <w:endnote w:type="continuationSeparator" w:id="0">
    <w:p w:rsidR="00791A1B" w:rsidRDefault="00791A1B" w:rsidP="00C40A36">
      <w:pPr>
        <w:spacing w:after="0"/>
      </w:pPr>
      <w:r>
        <w:continuationSeparator/>
      </w:r>
    </w:p>
    <w:p w:rsidR="00791A1B" w:rsidRDefault="00791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Default="00791A1B"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91A1B" w:rsidRPr="00257138" w:rsidTr="00A3654F">
      <w:trPr>
        <w:trHeight w:val="423"/>
      </w:trPr>
      <w:tc>
        <w:tcPr>
          <w:tcW w:w="4360" w:type="dxa"/>
          <w:tcBorders>
            <w:top w:val="single" w:sz="4" w:space="0" w:color="auto"/>
          </w:tcBorders>
        </w:tcPr>
        <w:p w:rsidR="00791A1B" w:rsidRDefault="00791A1B" w:rsidP="008D4740">
          <w:pPr>
            <w:pStyle w:val="Footer"/>
          </w:pPr>
        </w:p>
        <w:p w:rsidR="00791A1B" w:rsidRPr="00257138" w:rsidRDefault="00791A1B" w:rsidP="009B15F1">
          <w:pPr>
            <w:pStyle w:val="Footer"/>
          </w:pPr>
          <w:r>
            <w:t>Document title</w:t>
          </w:r>
        </w:p>
      </w:tc>
      <w:tc>
        <w:tcPr>
          <w:tcW w:w="4360" w:type="dxa"/>
          <w:tcBorders>
            <w:top w:val="single" w:sz="4" w:space="0" w:color="auto"/>
          </w:tcBorders>
        </w:tcPr>
        <w:sdt>
          <w:sdtPr>
            <w:id w:val="3702144"/>
            <w:docPartObj>
              <w:docPartGallery w:val="Page Numbers (Top of Page)"/>
              <w:docPartUnique/>
            </w:docPartObj>
          </w:sdtPr>
          <w:sdtEndPr/>
          <w:sdtContent>
            <w:p w:rsidR="00791A1B" w:rsidRDefault="00791A1B" w:rsidP="008D4740">
              <w:pPr>
                <w:pStyle w:val="Footer"/>
                <w:jc w:val="right"/>
              </w:pPr>
            </w:p>
            <w:p w:rsidR="00791A1B" w:rsidRPr="00257138" w:rsidRDefault="00791A1B" w:rsidP="008D4740">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CF63E6">
                <w:fldChar w:fldCharType="begin"/>
              </w:r>
              <w:r w:rsidR="00CF63E6">
                <w:instrText xml:space="preserve"> NUMPAGES  </w:instrText>
              </w:r>
              <w:r w:rsidR="00CF63E6">
                <w:fldChar w:fldCharType="separate"/>
              </w:r>
              <w:r>
                <w:rPr>
                  <w:noProof/>
                </w:rPr>
                <w:t>27</w:t>
              </w:r>
              <w:r w:rsidR="00CF63E6">
                <w:rPr>
                  <w:noProof/>
                </w:rPr>
                <w:fldChar w:fldCharType="end"/>
              </w:r>
            </w:p>
          </w:sdtContent>
        </w:sdt>
      </w:tc>
    </w:tr>
    <w:tr w:rsidR="00791A1B" w:rsidRPr="00257138" w:rsidTr="00A3654F">
      <w:trPr>
        <w:trHeight w:val="263"/>
      </w:trPr>
      <w:tc>
        <w:tcPr>
          <w:tcW w:w="4360" w:type="dxa"/>
        </w:tcPr>
        <w:p w:rsidR="00791A1B" w:rsidRPr="00257138" w:rsidRDefault="00791A1B" w:rsidP="008D4740">
          <w:pPr>
            <w:pStyle w:val="Footer"/>
          </w:pPr>
          <w:r w:rsidRPr="00257138">
            <w:t xml:space="preserve">V1.0 </w:t>
          </w:r>
          <w:r>
            <w:t>Month</w:t>
          </w:r>
          <w:r w:rsidRPr="00257138">
            <w:t xml:space="preserve"> 201</w:t>
          </w:r>
          <w:r>
            <w:t>2</w:t>
          </w:r>
        </w:p>
      </w:tc>
      <w:tc>
        <w:tcPr>
          <w:tcW w:w="4360" w:type="dxa"/>
        </w:tcPr>
        <w:p w:rsidR="00791A1B" w:rsidRPr="00257138" w:rsidRDefault="00791A1B" w:rsidP="008D4740">
          <w:pPr>
            <w:pStyle w:val="Footer"/>
            <w:jc w:val="right"/>
          </w:pPr>
        </w:p>
      </w:tc>
    </w:tr>
  </w:tbl>
  <w:p w:rsidR="00791A1B" w:rsidRPr="00826007" w:rsidRDefault="00791A1B" w:rsidP="00A3654F">
    <w:pPr>
      <w:pStyle w:val="Footer"/>
      <w:tabs>
        <w:tab w:val="left" w:pos="7620"/>
        <w:tab w:val="right" w:pos="85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Default="00791A1B" w:rsidP="00FF7B50">
    <w:pPr>
      <w:pStyle w:val="Footer"/>
      <w:ind w:left="-1757" w:right="-2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01"/>
    </w:tblGrid>
    <w:tr w:rsidR="00791A1B" w:rsidRPr="00257138" w:rsidTr="007811F9">
      <w:trPr>
        <w:trHeight w:val="423"/>
      </w:trPr>
      <w:tc>
        <w:tcPr>
          <w:tcW w:w="7479" w:type="dxa"/>
        </w:tcPr>
        <w:p w:rsidR="00791A1B" w:rsidRPr="00257138" w:rsidRDefault="00791A1B" w:rsidP="00A15A83">
          <w:pPr>
            <w:pStyle w:val="Footer"/>
            <w:spacing w:before="120" w:after="120"/>
          </w:pPr>
          <w:r>
            <w:t>Comparable overseas regulators – Medical devices</w:t>
          </w:r>
          <w:r>
            <w:br/>
          </w:r>
          <w:r w:rsidRPr="00257138">
            <w:t>V1.</w:t>
          </w:r>
          <w:r>
            <w:t>0</w:t>
          </w:r>
          <w:r w:rsidRPr="00257138">
            <w:t xml:space="preserve"> </w:t>
          </w:r>
          <w:r>
            <w:t>May 2017</w:t>
          </w:r>
        </w:p>
      </w:tc>
      <w:tc>
        <w:tcPr>
          <w:tcW w:w="1701" w:type="dxa"/>
        </w:tcPr>
        <w:sdt>
          <w:sdtPr>
            <w:id w:val="3702141"/>
            <w:docPartObj>
              <w:docPartGallery w:val="Page Numbers (Top of Page)"/>
              <w:docPartUnique/>
            </w:docPartObj>
          </w:sdtPr>
          <w:sdtEndPr/>
          <w:sdtContent>
            <w:p w:rsidR="00791A1B" w:rsidRPr="00257138" w:rsidRDefault="00791A1B" w:rsidP="00EE1482">
              <w:pPr>
                <w:pStyle w:val="Footer"/>
                <w:spacing w:before="120" w:after="120"/>
                <w:jc w:val="right"/>
              </w:pPr>
              <w:r w:rsidRPr="00257138">
                <w:t xml:space="preserve">Page </w:t>
              </w:r>
              <w:r>
                <w:fldChar w:fldCharType="begin"/>
              </w:r>
              <w:r>
                <w:instrText xml:space="preserve"> PAGE </w:instrText>
              </w:r>
              <w:r>
                <w:fldChar w:fldCharType="separate"/>
              </w:r>
              <w:r w:rsidR="00CF63E6">
                <w:rPr>
                  <w:noProof/>
                </w:rPr>
                <w:t>3</w:t>
              </w:r>
              <w:r>
                <w:rPr>
                  <w:noProof/>
                </w:rPr>
                <w:fldChar w:fldCharType="end"/>
              </w:r>
              <w:r w:rsidRPr="00257138">
                <w:t xml:space="preserve"> of </w:t>
              </w:r>
              <w:r w:rsidR="00CF63E6">
                <w:fldChar w:fldCharType="begin"/>
              </w:r>
              <w:r w:rsidR="00CF63E6">
                <w:instrText xml:space="preserve"> NUMPAGES  </w:instrText>
              </w:r>
              <w:r w:rsidR="00CF63E6">
                <w:fldChar w:fldCharType="separate"/>
              </w:r>
              <w:r w:rsidR="00CF63E6">
                <w:rPr>
                  <w:noProof/>
                </w:rPr>
                <w:t>25</w:t>
              </w:r>
              <w:r w:rsidR="00CF63E6">
                <w:rPr>
                  <w:noProof/>
                </w:rPr>
                <w:fldChar w:fldCharType="end"/>
              </w:r>
            </w:p>
          </w:sdtContent>
        </w:sdt>
      </w:tc>
    </w:tr>
  </w:tbl>
  <w:p w:rsidR="00791A1B" w:rsidRPr="00826007" w:rsidRDefault="00791A1B" w:rsidP="00F4663D">
    <w:pPr>
      <w:pStyle w:val="Footer"/>
      <w:tabs>
        <w:tab w:val="left" w:pos="7620"/>
        <w:tab w:val="right" w:pos="850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F8404D" w:rsidRDefault="00791A1B" w:rsidP="00F840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A1B" w:rsidRDefault="00791A1B" w:rsidP="00506B33">
      <w:pPr>
        <w:spacing w:after="0"/>
      </w:pPr>
      <w:r>
        <w:separator/>
      </w:r>
    </w:p>
  </w:footnote>
  <w:footnote w:type="continuationSeparator" w:id="0">
    <w:p w:rsidR="00791A1B" w:rsidRDefault="00791A1B" w:rsidP="00C40A36">
      <w:pPr>
        <w:spacing w:after="0"/>
      </w:pPr>
      <w:r>
        <w:continuationSeparator/>
      </w:r>
    </w:p>
    <w:p w:rsidR="00791A1B" w:rsidRDefault="00791A1B"/>
  </w:footnote>
  <w:footnote w:id="1">
    <w:p w:rsidR="00791A1B" w:rsidRPr="008A5742" w:rsidRDefault="00791A1B" w:rsidP="00791A1B">
      <w:pPr>
        <w:pStyle w:val="FootnoteText"/>
      </w:pPr>
      <w:r>
        <w:rPr>
          <w:rStyle w:val="FootnoteReference"/>
        </w:rPr>
        <w:footnoteRef/>
      </w:r>
      <w:r>
        <w:t xml:space="preserve"> </w:t>
      </w:r>
      <w:r>
        <w:tab/>
      </w:r>
      <w:r w:rsidRPr="00791A1B">
        <w:t>http://www.health.gov.au/internet/main/publishing.nsf/Content/Expert-Review-of-Medicines-and-Medical-Devices-Regulation</w:t>
      </w:r>
    </w:p>
  </w:footnote>
  <w:footnote w:id="2">
    <w:p w:rsidR="00791A1B" w:rsidRPr="0026731B" w:rsidRDefault="00791A1B" w:rsidP="00791A1B">
      <w:pPr>
        <w:pStyle w:val="FootnoteText"/>
      </w:pPr>
      <w:r>
        <w:rPr>
          <w:rStyle w:val="FootnoteReference"/>
        </w:rPr>
        <w:footnoteRef/>
      </w:r>
      <w:r>
        <w:t xml:space="preserve"> </w:t>
      </w:r>
      <w:r>
        <w:tab/>
        <w:t>Government response to the MMDR Report -</w:t>
      </w:r>
      <w:r w:rsidRPr="00791A1B">
        <w:t xml:space="preserve"> https://www.tga.gov.au/sites/default/files/australian-government-response-mmdr-2016.pdf</w:t>
      </w:r>
    </w:p>
  </w:footnote>
  <w:footnote w:id="3">
    <w:p w:rsidR="00791A1B" w:rsidRPr="00820206" w:rsidRDefault="00791A1B" w:rsidP="00791A1B">
      <w:pPr>
        <w:pStyle w:val="FootnoteText"/>
      </w:pPr>
      <w:r>
        <w:rPr>
          <w:rStyle w:val="FootnoteReference"/>
        </w:rPr>
        <w:footnoteRef/>
      </w:r>
      <w:r>
        <w:t xml:space="preserve"> </w:t>
      </w:r>
      <w:r>
        <w:tab/>
        <w:t>The European and Australian regulatory frameworks are both aligned with the GHTF framework, with close parallels between the European ‘Essential Requirements’ and Australian ‘Essential Principles’, very similar classification rules, and comparable manufacturers’ conformity assessment procedure requirements.</w:t>
      </w:r>
    </w:p>
  </w:footnote>
  <w:footnote w:id="4">
    <w:p w:rsidR="00791A1B" w:rsidRPr="0086061B" w:rsidRDefault="00791A1B" w:rsidP="00791A1B">
      <w:pPr>
        <w:pStyle w:val="FootnoteText"/>
      </w:pPr>
      <w:r w:rsidRPr="00144465">
        <w:rPr>
          <w:rStyle w:val="FootnoteReference"/>
        </w:rPr>
        <w:footnoteRef/>
      </w:r>
      <w:r w:rsidRPr="00144465">
        <w:t xml:space="preserve"> </w:t>
      </w:r>
      <w:r>
        <w:tab/>
      </w:r>
      <w:proofErr w:type="gramStart"/>
      <w:r w:rsidRPr="0086061B">
        <w:t xml:space="preserve">EC certificates issued under </w:t>
      </w:r>
      <w:r w:rsidRPr="00144465">
        <w:t>EU Medical Devices Directive 93/42/EEC (MDD), EU Active Implantable Medical Devices Directive 90/385/EEC (AIMDD), or EU IVD Directive 98/79/EC (IVDD).</w:t>
      </w:r>
      <w:proofErr w:type="gramEnd"/>
    </w:p>
  </w:footnote>
  <w:footnote w:id="5">
    <w:p w:rsidR="00791A1B" w:rsidRPr="00144465" w:rsidRDefault="00791A1B" w:rsidP="00791A1B">
      <w:pPr>
        <w:pStyle w:val="FootnoteText"/>
      </w:pPr>
      <w:r w:rsidRPr="00144465">
        <w:rPr>
          <w:rStyle w:val="FootnoteReference"/>
        </w:rPr>
        <w:footnoteRef/>
      </w:r>
      <w:r w:rsidRPr="00144465">
        <w:t xml:space="preserve"> </w:t>
      </w:r>
      <w:r>
        <w:tab/>
      </w:r>
      <w:r w:rsidRPr="00144465">
        <w:t>For example, a mandatory application audit will be conducted once the sponsor lodges an Application for Inclusion</w:t>
      </w:r>
      <w:r>
        <w:t xml:space="preserve"> of any</w:t>
      </w:r>
      <w:r w:rsidRPr="00144465">
        <w:t xml:space="preserve"> Class</w:t>
      </w:r>
      <w:r>
        <w:t> </w:t>
      </w:r>
      <w:r w:rsidRPr="00144465">
        <w:t xml:space="preserve">III, AIMD, and some Class IIb devices covered by EC Certificates </w:t>
      </w:r>
      <w:r>
        <w:t>i</w:t>
      </w:r>
      <w:r w:rsidRPr="00144465">
        <w:t>n the ARTG with the T</w:t>
      </w:r>
      <w:r>
        <w:t>GA.</w:t>
      </w:r>
    </w:p>
  </w:footnote>
  <w:footnote w:id="6">
    <w:p w:rsidR="00791A1B" w:rsidRPr="00144465" w:rsidRDefault="00791A1B" w:rsidP="00791A1B">
      <w:pPr>
        <w:pStyle w:val="FootnoteText"/>
      </w:pPr>
      <w:r w:rsidRPr="00144465">
        <w:rPr>
          <w:rStyle w:val="FootnoteReference"/>
        </w:rPr>
        <w:footnoteRef/>
      </w:r>
      <w:r w:rsidRPr="00144465">
        <w:t xml:space="preserve"> </w:t>
      </w:r>
      <w:r>
        <w:tab/>
      </w:r>
      <w:r w:rsidRPr="00144465">
        <w:t xml:space="preserve">For example, EC certificates cannot be used to support applications for </w:t>
      </w:r>
      <w:r>
        <w:t xml:space="preserve">market authorisation (ARTG inclusion) for </w:t>
      </w:r>
      <w:r w:rsidRPr="00144465">
        <w:t xml:space="preserve">devices which include medicines or contain materials of animal, microbial or recombinant origin, </w:t>
      </w:r>
      <w:r>
        <w:t xml:space="preserve">and/or Class 4 IVDs, </w:t>
      </w:r>
      <w:r w:rsidRPr="00144465">
        <w:t xml:space="preserve">which must be supported by </w:t>
      </w:r>
      <w:r>
        <w:t xml:space="preserve">a </w:t>
      </w:r>
      <w:r w:rsidRPr="00144465">
        <w:t>TGA conformity assessment</w:t>
      </w:r>
      <w:r>
        <w:t xml:space="preserve"> certificate</w:t>
      </w:r>
      <w:r w:rsidRPr="00144465">
        <w:t>.</w:t>
      </w:r>
    </w:p>
  </w:footnote>
  <w:footnote w:id="7">
    <w:p w:rsidR="00791A1B" w:rsidRPr="00144465" w:rsidRDefault="00791A1B" w:rsidP="00791A1B">
      <w:pPr>
        <w:pStyle w:val="FootnoteText"/>
      </w:pPr>
      <w:r>
        <w:rPr>
          <w:rStyle w:val="FootnoteReference"/>
        </w:rPr>
        <w:footnoteRef/>
      </w:r>
      <w:r>
        <w:t xml:space="preserve"> </w:t>
      </w:r>
      <w:r>
        <w:tab/>
        <w:t>This excludes ARTG entries for low risk Class I medical devices, which are self-certified by manufacturers and do not require a conformity assessment certification.</w:t>
      </w:r>
    </w:p>
  </w:footnote>
  <w:footnote w:id="8">
    <w:p w:rsidR="00791A1B" w:rsidRDefault="00791A1B" w:rsidP="00791A1B">
      <w:pPr>
        <w:pStyle w:val="FootnoteText"/>
      </w:pPr>
      <w:r>
        <w:rPr>
          <w:rStyle w:val="FootnoteReference"/>
        </w:rPr>
        <w:footnoteRef/>
      </w:r>
      <w:r>
        <w:t xml:space="preserve"> US FDA website, Resources for You: Questions and Answers on the Medical Device A</w:t>
      </w:r>
      <w:r w:rsidR="00A02DC1">
        <w:t xml:space="preserve">udit Program December 16, 2016 </w:t>
      </w:r>
      <w:r w:rsidRPr="00544015">
        <w:t>https://www.fda.gov/downloads/MedicalDevices/InternationalPrograms/MDSAPPilot/UCM430563.pdf</w:t>
      </w:r>
    </w:p>
  </w:footnote>
  <w:footnote w:id="9">
    <w:p w:rsidR="00791A1B" w:rsidRPr="00350122" w:rsidRDefault="00791A1B" w:rsidP="00791A1B">
      <w:pPr>
        <w:pStyle w:val="FootnoteText"/>
      </w:pPr>
      <w:r>
        <w:rPr>
          <w:rStyle w:val="FootnoteReference"/>
        </w:rPr>
        <w:footnoteRef/>
      </w:r>
      <w:r>
        <w:tab/>
        <w:t>Therapeutic Goods (Medical Devices) Regulations 2002</w:t>
      </w:r>
      <w:r w:rsidRPr="00350122">
        <w:t xml:space="preserve"> </w:t>
      </w:r>
      <w:r>
        <w:t>Part 4, Regulation 4.1 requires TGA conformity assessment certification for medical devices which include medicines, materials of recombinant, human or animal origin, of Class 4 IVDs).</w:t>
      </w:r>
    </w:p>
  </w:footnote>
  <w:footnote w:id="10">
    <w:p w:rsidR="00791A1B" w:rsidRPr="0091253D" w:rsidRDefault="00791A1B" w:rsidP="008F5709">
      <w:pPr>
        <w:pStyle w:val="FootnoteText"/>
      </w:pPr>
      <w:r>
        <w:rPr>
          <w:rStyle w:val="FootnoteReference"/>
        </w:rPr>
        <w:footnoteRef/>
      </w:r>
      <w:r>
        <w:tab/>
        <w:t>Unless it is an MDSAP audit that is required to specifically identify and audit the effectiveness of the arrangements with an Australian Sponsor for Australian recall and adverse event reporting.</w:t>
      </w:r>
    </w:p>
  </w:footnote>
  <w:footnote w:id="11">
    <w:p w:rsidR="00791A1B" w:rsidRPr="00A35AB2" w:rsidRDefault="00791A1B" w:rsidP="00791A1B">
      <w:pPr>
        <w:pStyle w:val="FootnoteText"/>
      </w:pPr>
      <w:r>
        <w:rPr>
          <w:rStyle w:val="FootnoteReference"/>
        </w:rPr>
        <w:footnoteRef/>
      </w:r>
      <w:r>
        <w:tab/>
        <w:t xml:space="preserve">Consultation on this proposal was recently undertaken. For details refer to the consultation paper available on the TGA website </w:t>
      </w:r>
      <w:hyperlink r:id="rId1" w:history="1">
        <w:r w:rsidRPr="00A07A0B">
          <w:rPr>
            <w:rStyle w:val="Hyperlink"/>
          </w:rPr>
          <w:t>https://www.tga.gov.au/consultation/consultation-designation-australian-conformity-assessment-bodies-medical-devices-implementation</w:t>
        </w:r>
      </w:hyperlink>
    </w:p>
  </w:footnote>
  <w:footnote w:id="12">
    <w:p w:rsidR="00791A1B" w:rsidRPr="00CA3B51" w:rsidRDefault="00791A1B" w:rsidP="00791A1B">
      <w:pPr>
        <w:pStyle w:val="FootnoteText"/>
      </w:pPr>
      <w:r>
        <w:rPr>
          <w:rStyle w:val="FootnoteReference"/>
        </w:rPr>
        <w:footnoteRef/>
      </w:r>
      <w:r>
        <w:tab/>
        <w:t>For example, the Australian definition of the central circulatory system extends beyond the current EU MDD definition to include the common iliac arteries. As a result some devices classified as Class III in Australia have a lower classification in Europe. A European conformity assessment certification appropriate for a Class IIb medical device may not be sufficient to support inclusion of the device in the ARTG as a Class III, and consequently a TGA conformity assessment certificate may be required.</w:t>
      </w:r>
    </w:p>
  </w:footnote>
  <w:footnote w:id="13">
    <w:p w:rsidR="00791A1B" w:rsidRPr="007811F9" w:rsidRDefault="00791A1B" w:rsidP="00791A1B">
      <w:pPr>
        <w:pStyle w:val="FootnoteText"/>
      </w:pPr>
      <w:r>
        <w:rPr>
          <w:rStyle w:val="FootnoteReference"/>
        </w:rPr>
        <w:footnoteRef/>
      </w:r>
      <w:r>
        <w:t xml:space="preserve"> </w:t>
      </w:r>
      <w:r>
        <w:tab/>
      </w:r>
      <w:r w:rsidRPr="00DB58FF">
        <w:t>http://www.imdrf.org/docs/imdrf/final/procedural/imdrf-proc-150102-terms-of-reference.pdf</w:t>
      </w:r>
    </w:p>
  </w:footnote>
  <w:footnote w:id="14">
    <w:p w:rsidR="00791A1B" w:rsidRPr="001A2847" w:rsidRDefault="00791A1B" w:rsidP="00791A1B">
      <w:pPr>
        <w:pStyle w:val="FootnoteText"/>
        <w:rPr>
          <w:rFonts w:asciiTheme="minorHAnsi" w:hAnsiTheme="minorHAnsi"/>
        </w:rPr>
      </w:pPr>
      <w:r w:rsidRPr="001A2847">
        <w:rPr>
          <w:rStyle w:val="FootnoteReference"/>
          <w:rFonts w:asciiTheme="minorHAnsi" w:hAnsiTheme="minorHAnsi"/>
        </w:rPr>
        <w:footnoteRef/>
      </w:r>
      <w:r w:rsidRPr="001A2847">
        <w:rPr>
          <w:rFonts w:asciiTheme="minorHAnsi" w:hAnsiTheme="minorHAnsi"/>
        </w:rPr>
        <w:t xml:space="preserve"> </w:t>
      </w:r>
      <w:r w:rsidRPr="001A2847">
        <w:rPr>
          <w:rFonts w:asciiTheme="minorHAnsi" w:hAnsiTheme="minorHAnsi"/>
        </w:rPr>
        <w:tab/>
      </w:r>
      <w:hyperlink r:id="rId2" w:history="1">
        <w:r w:rsidRPr="001A2847">
          <w:rPr>
            <w:rStyle w:val="Hyperlink"/>
            <w:rFonts w:asciiTheme="minorHAnsi" w:hAnsiTheme="minorHAnsi"/>
            <w:i/>
          </w:rPr>
          <w:t>Therapeutic Goods Act 1989</w:t>
        </w:r>
      </w:hyperlink>
    </w:p>
  </w:footnote>
  <w:footnote w:id="15">
    <w:p w:rsidR="00791A1B" w:rsidRPr="001A2847" w:rsidRDefault="00791A1B" w:rsidP="00791A1B">
      <w:pPr>
        <w:pStyle w:val="FootnoteText"/>
      </w:pPr>
      <w:r w:rsidRPr="001A2847">
        <w:rPr>
          <w:rStyle w:val="FootnoteReference"/>
          <w:rFonts w:asciiTheme="minorHAnsi" w:hAnsiTheme="minorHAnsi"/>
        </w:rPr>
        <w:footnoteRef/>
      </w:r>
      <w:r w:rsidRPr="001A2847">
        <w:t xml:space="preserve"> </w:t>
      </w:r>
      <w:r w:rsidRPr="001A2847">
        <w:tab/>
        <w:t>Due to their function to replace and/or modify the human anatomy and/or a physiological process</w:t>
      </w:r>
    </w:p>
  </w:footnote>
  <w:footnote w:id="16">
    <w:p w:rsidR="00791A1B" w:rsidRPr="001A2847" w:rsidRDefault="00791A1B" w:rsidP="00791A1B">
      <w:pPr>
        <w:pStyle w:val="FootnoteText"/>
      </w:pPr>
      <w:r w:rsidRPr="001A2847">
        <w:rPr>
          <w:rStyle w:val="FootnoteReference"/>
          <w:rFonts w:asciiTheme="minorHAnsi" w:hAnsiTheme="minorHAnsi"/>
        </w:rPr>
        <w:footnoteRef/>
      </w:r>
      <w:r w:rsidRPr="001A2847">
        <w:t xml:space="preserve"> </w:t>
      </w:r>
      <w:r w:rsidRPr="001A2847">
        <w:tab/>
        <w:t xml:space="preserve">For example, an exemption applies for custom made medical devices, which are regulated under the </w:t>
      </w:r>
      <w:r w:rsidRPr="001A2847">
        <w:rPr>
          <w:i/>
        </w:rPr>
        <w:t>Therapeutic Goods Act 1989</w:t>
      </w:r>
      <w:r w:rsidRPr="001A2847">
        <w:t xml:space="preserve"> but exempt from the requireme</w:t>
      </w:r>
      <w:r>
        <w:t>nt to include them in the ARTG.</w:t>
      </w:r>
    </w:p>
  </w:footnote>
  <w:footnote w:id="17">
    <w:p w:rsidR="00791A1B" w:rsidRPr="001A2847" w:rsidRDefault="00791A1B" w:rsidP="00791A1B">
      <w:pPr>
        <w:pStyle w:val="FootnoteText"/>
      </w:pPr>
      <w:r w:rsidRPr="001A2847">
        <w:rPr>
          <w:rStyle w:val="FootnoteReference"/>
          <w:rFonts w:asciiTheme="minorHAnsi" w:hAnsiTheme="minorHAnsi"/>
        </w:rPr>
        <w:footnoteRef/>
      </w:r>
      <w:r w:rsidRPr="001A2847">
        <w:t xml:space="preserve"> </w:t>
      </w:r>
      <w:r w:rsidRPr="001A2847">
        <w:tab/>
        <w:t>Given the low risk of Class I medical devices (</w:t>
      </w:r>
      <w:proofErr w:type="gramStart"/>
      <w:r w:rsidRPr="001A2847">
        <w:t>except</w:t>
      </w:r>
      <w:proofErr w:type="gramEnd"/>
      <w:r w:rsidRPr="001A2847">
        <w:t xml:space="preserve"> those which include a measuring function or are supplied sterile) and some Class 1 IVD devices, conformity assessment procedures are self-assessed by the manufacturer, and medical devices are included in the ARTG </w:t>
      </w:r>
      <w:r>
        <w:t>without further TGA assessment.</w:t>
      </w:r>
    </w:p>
  </w:footnote>
  <w:footnote w:id="18">
    <w:p w:rsidR="00791A1B" w:rsidRPr="001A2847" w:rsidRDefault="00791A1B" w:rsidP="00791A1B">
      <w:pPr>
        <w:pStyle w:val="FootnoteText"/>
      </w:pPr>
      <w:r w:rsidRPr="001A2847">
        <w:rPr>
          <w:rStyle w:val="FootnoteReference"/>
          <w:rFonts w:asciiTheme="minorHAnsi" w:hAnsiTheme="minorHAnsi"/>
        </w:rPr>
        <w:footnoteRef/>
      </w:r>
      <w:r w:rsidRPr="001A2847">
        <w:t xml:space="preserve"> </w:t>
      </w:r>
      <w:r w:rsidRPr="001A2847">
        <w:tab/>
        <w:t>The Global Medical Device Nomenclature (GMDN) is an international system used to identify medical devices. The TGA use the GMDN system as one of the criteria to distinguish one kind of medical device from another.</w:t>
      </w:r>
    </w:p>
  </w:footnote>
  <w:footnote w:id="19">
    <w:p w:rsidR="00791A1B" w:rsidRPr="00A357CA" w:rsidRDefault="00791A1B" w:rsidP="00791A1B">
      <w:pPr>
        <w:pStyle w:val="FootnoteText"/>
      </w:pPr>
      <w:r w:rsidRPr="00A357CA">
        <w:rPr>
          <w:rStyle w:val="FootnoteReference"/>
          <w:rFonts w:asciiTheme="minorHAnsi" w:hAnsiTheme="minorHAnsi"/>
        </w:rPr>
        <w:footnoteRef/>
      </w:r>
      <w:r w:rsidRPr="00A357CA">
        <w:t xml:space="preserve"> </w:t>
      </w:r>
      <w:r w:rsidRPr="00A357CA">
        <w:tab/>
        <w:t xml:space="preserve">Conformity assessment procedures are outlined in Part 3 of the </w:t>
      </w:r>
      <w:hyperlink r:id="rId3" w:history="1">
        <w:r w:rsidRPr="00A357CA">
          <w:rPr>
            <w:rStyle w:val="Hyperlink"/>
            <w:rFonts w:asciiTheme="minorHAnsi" w:hAnsiTheme="minorHAnsi"/>
          </w:rPr>
          <w:t>Therapeutic Goods (Medical Devices) Regulations 2002</w:t>
        </w:r>
      </w:hyperlink>
      <w:r w:rsidRPr="00A357CA">
        <w:rPr>
          <w:rStyle w:val="Hyperlink"/>
          <w:rFonts w:asciiTheme="minorHAnsi" w:hAnsiTheme="minorHAnsi"/>
        </w:rPr>
        <w:t>.</w:t>
      </w:r>
    </w:p>
  </w:footnote>
  <w:footnote w:id="20">
    <w:p w:rsidR="00791A1B" w:rsidRPr="00A357CA" w:rsidRDefault="00791A1B" w:rsidP="00791A1B">
      <w:pPr>
        <w:pStyle w:val="FootnoteText"/>
      </w:pPr>
      <w:r w:rsidRPr="00A357CA">
        <w:rPr>
          <w:rStyle w:val="FootnoteReference"/>
          <w:rFonts w:asciiTheme="minorHAnsi" w:hAnsiTheme="minorHAnsi"/>
        </w:rPr>
        <w:footnoteRef/>
      </w:r>
      <w:r w:rsidRPr="00A357CA">
        <w:t xml:space="preserve"> </w:t>
      </w:r>
      <w:r w:rsidRPr="00A357CA">
        <w:tab/>
        <w:t xml:space="preserve">The Essential Principles are prescribed in Schedule 1 of the </w:t>
      </w:r>
      <w:hyperlink r:id="rId4" w:history="1">
        <w:r w:rsidRPr="00A357CA">
          <w:rPr>
            <w:rStyle w:val="Hyperlink"/>
            <w:rFonts w:asciiTheme="minorHAnsi" w:hAnsiTheme="minorHAnsi"/>
          </w:rPr>
          <w:t>Therapeutic Goods (Medical Devices) Regulations 2002</w:t>
        </w:r>
      </w:hyperlink>
      <w:r>
        <w:t>.</w:t>
      </w:r>
    </w:p>
  </w:footnote>
  <w:footnote w:id="21">
    <w:p w:rsidR="00791A1B" w:rsidRPr="00A357CA" w:rsidRDefault="00791A1B" w:rsidP="00791A1B">
      <w:pPr>
        <w:pStyle w:val="FootnoteText"/>
      </w:pPr>
      <w:r w:rsidRPr="00A357CA">
        <w:rPr>
          <w:rStyle w:val="FootnoteReference"/>
          <w:rFonts w:asciiTheme="minorHAnsi" w:hAnsiTheme="minorHAnsi"/>
        </w:rPr>
        <w:footnoteRef/>
      </w:r>
      <w:r w:rsidRPr="00A357CA">
        <w:t xml:space="preserve"> </w:t>
      </w:r>
      <w:r w:rsidRPr="00A357CA">
        <w:tab/>
        <w:t xml:space="preserve">The classification rules for medical devices are prescribed in Schedule 2 of the </w:t>
      </w:r>
      <w:hyperlink r:id="rId5" w:history="1">
        <w:r w:rsidRPr="00A357CA">
          <w:rPr>
            <w:rStyle w:val="Hyperlink"/>
            <w:rFonts w:asciiTheme="minorHAnsi" w:hAnsiTheme="minorHAnsi"/>
          </w:rPr>
          <w:t>Therapeutic Goods (Medical Devices) Regulations 2002</w:t>
        </w:r>
      </w:hyperlink>
      <w:r w:rsidRPr="00A357CA">
        <w:t>.</w:t>
      </w:r>
    </w:p>
  </w:footnote>
  <w:footnote w:id="22">
    <w:p w:rsidR="00791A1B" w:rsidRPr="00A357CA" w:rsidRDefault="00791A1B" w:rsidP="00791A1B">
      <w:pPr>
        <w:pStyle w:val="FootnoteText"/>
      </w:pPr>
      <w:r w:rsidRPr="00A357CA">
        <w:rPr>
          <w:rStyle w:val="FootnoteReference"/>
          <w:rFonts w:asciiTheme="minorHAnsi" w:hAnsiTheme="minorHAnsi"/>
        </w:rPr>
        <w:footnoteRef/>
      </w:r>
      <w:r w:rsidRPr="00A357CA">
        <w:t xml:space="preserve"> </w:t>
      </w:r>
      <w:r w:rsidRPr="00A357CA">
        <w:tab/>
        <w:t xml:space="preserve">Conformity assessment procedures are outlined in Schedule 3 of the </w:t>
      </w:r>
      <w:hyperlink r:id="rId6" w:history="1">
        <w:r w:rsidRPr="00A357CA">
          <w:rPr>
            <w:rStyle w:val="Hyperlink"/>
            <w:rFonts w:asciiTheme="minorHAnsi" w:hAnsiTheme="minorHAnsi"/>
          </w:rPr>
          <w:t>Therapeutic Goods (Medical Devices) Regulations 2002</w:t>
        </w:r>
      </w:hyperlink>
      <w:r w:rsidRPr="00A357CA">
        <w:t>.</w:t>
      </w:r>
    </w:p>
  </w:footnote>
  <w:footnote w:id="23">
    <w:p w:rsidR="00791A1B" w:rsidRPr="00F17876" w:rsidRDefault="00791A1B" w:rsidP="00791A1B">
      <w:pPr>
        <w:pStyle w:val="FootnoteText"/>
      </w:pPr>
      <w:r>
        <w:rPr>
          <w:rStyle w:val="FootnoteReference"/>
        </w:rPr>
        <w:footnoteRef/>
      </w:r>
      <w:r>
        <w:t xml:space="preserve"> </w:t>
      </w:r>
      <w:r>
        <w:tab/>
        <w:t>Therapeutic Goods (Medical Devices) Regulations - Regulation 4.1</w:t>
      </w:r>
    </w:p>
  </w:footnote>
  <w:footnote w:id="24">
    <w:p w:rsidR="00791A1B" w:rsidRPr="00A357CA" w:rsidRDefault="00791A1B" w:rsidP="00791A1B">
      <w:pPr>
        <w:pStyle w:val="FootnoteText"/>
        <w:rPr>
          <w:rFonts w:asciiTheme="minorHAnsi" w:hAnsiTheme="minorHAnsi"/>
        </w:rPr>
      </w:pPr>
      <w:r w:rsidRPr="00A357CA">
        <w:rPr>
          <w:rStyle w:val="FootnoteReference"/>
          <w:rFonts w:asciiTheme="minorHAnsi" w:hAnsiTheme="minorHAnsi"/>
        </w:rPr>
        <w:footnoteRef/>
      </w:r>
      <w:r w:rsidRPr="00A357CA">
        <w:rPr>
          <w:rFonts w:asciiTheme="minorHAnsi" w:hAnsiTheme="minorHAnsi"/>
        </w:rPr>
        <w:t xml:space="preserve"> </w:t>
      </w:r>
      <w:r w:rsidRPr="00A357CA">
        <w:rPr>
          <w:rFonts w:asciiTheme="minorHAnsi" w:hAnsiTheme="minorHAnsi"/>
        </w:rPr>
        <w:tab/>
        <w:t xml:space="preserve">European Directive </w:t>
      </w:r>
      <w:hyperlink r:id="rId7" w:history="1">
        <w:r w:rsidRPr="00A357CA">
          <w:rPr>
            <w:rStyle w:val="Hyperlink"/>
            <w:rFonts w:asciiTheme="minorHAnsi" w:hAnsiTheme="minorHAnsi"/>
          </w:rPr>
          <w:t>93/42/EEC</w:t>
        </w:r>
      </w:hyperlink>
      <w:r w:rsidRPr="00A357CA">
        <w:rPr>
          <w:rFonts w:asciiTheme="minorHAnsi" w:hAnsiTheme="minorHAnsi"/>
        </w:rPr>
        <w:t xml:space="preserve"> on Medical Devices or Directive </w:t>
      </w:r>
      <w:hyperlink r:id="rId8" w:history="1">
        <w:r w:rsidRPr="00A357CA">
          <w:rPr>
            <w:rStyle w:val="Hyperlink"/>
            <w:rFonts w:asciiTheme="minorHAnsi" w:hAnsiTheme="minorHAnsi"/>
          </w:rPr>
          <w:t>90/385/EEC</w:t>
        </w:r>
      </w:hyperlink>
      <w:r w:rsidRPr="00A357CA">
        <w:rPr>
          <w:rFonts w:asciiTheme="minorHAnsi" w:hAnsiTheme="minorHAnsi"/>
        </w:rPr>
        <w:t xml:space="preserve"> on Active Implantable Medical Devices</w:t>
      </w:r>
    </w:p>
  </w:footnote>
  <w:footnote w:id="25">
    <w:p w:rsidR="00791A1B" w:rsidRPr="00A357CA" w:rsidRDefault="00791A1B" w:rsidP="004A2F25">
      <w:pPr>
        <w:pStyle w:val="FootnoteText"/>
      </w:pPr>
      <w:r w:rsidRPr="00A357CA">
        <w:rPr>
          <w:rStyle w:val="FootnoteReference"/>
          <w:rFonts w:asciiTheme="minorHAnsi" w:hAnsiTheme="minorHAnsi"/>
        </w:rPr>
        <w:footnoteRef/>
      </w:r>
      <w:r w:rsidRPr="00A357CA">
        <w:tab/>
        <w:t xml:space="preserve">Regulation 5.3 of the </w:t>
      </w:r>
      <w:hyperlink r:id="rId9" w:history="1">
        <w:r w:rsidRPr="00A357CA">
          <w:rPr>
            <w:rStyle w:val="Hyperlink"/>
            <w:rFonts w:asciiTheme="minorHAnsi" w:hAnsiTheme="minorHAnsi"/>
          </w:rPr>
          <w:t>Therapeutic Goods (Medical Devices) Regulations 2002</w:t>
        </w:r>
      </w:hyperlink>
      <w:r w:rsidRPr="00A357CA">
        <w:t xml:space="preserve"> outlines which medical devices MUST be selected for audit, and a fee will apply for these audits. TGA may select any application for audit, but no fee applies when the audit is at TGA’s discretion.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920FF4" w:rsidRDefault="00791A1B" w:rsidP="00920FF4">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E32326" w:rsidRDefault="00791A1B" w:rsidP="00F202AB">
    <w:r w:rsidRPr="00F3255D">
      <w:rPr>
        <w:noProof/>
        <w:lang w:eastAsia="en-AU"/>
      </w:rPr>
      <w:drawing>
        <wp:anchor distT="0" distB="0" distL="114300" distR="114300" simplePos="0" relativeHeight="251659264" behindDoc="0" locked="0" layoutInCell="1" allowOverlap="1" wp14:anchorId="03B576E9" wp14:editId="639F839C">
          <wp:simplePos x="0" y="0"/>
          <wp:positionH relativeFrom="column">
            <wp:posOffset>-195580</wp:posOffset>
          </wp:positionH>
          <wp:positionV relativeFrom="paragraph">
            <wp:posOffset>-62230</wp:posOffset>
          </wp:positionV>
          <wp:extent cx="3524250" cy="1209675"/>
          <wp:effectExtent l="19050" t="0" r="0" b="0"/>
          <wp:wrapTopAndBottom/>
          <wp:docPr id="3"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91A1B" w:rsidRPr="00FF7B50" w:rsidTr="009C1AE8">
      <w:trPr>
        <w:trHeight w:hRule="exact" w:val="8845"/>
      </w:trPr>
      <w:tc>
        <w:tcPr>
          <w:tcW w:w="11964" w:type="dxa"/>
        </w:tcPr>
        <w:p w:rsidR="00791A1B" w:rsidRPr="00FF7B50" w:rsidRDefault="00CF63E6" w:rsidP="00AE0320">
          <w:pPr>
            <w:pStyle w:val="Header"/>
            <w:ind w:left="-57"/>
            <w:jc w:val="left"/>
            <w:rPr>
              <w:noProof/>
              <w:lang w:eastAsia="en-AU"/>
            </w:rPr>
          </w:pPr>
          <w:sdt>
            <w:sdtPr>
              <w:rPr>
                <w:noProof/>
                <w:lang w:eastAsia="en-AU"/>
              </w:rPr>
              <w:id w:val="3702145"/>
              <w:picture/>
            </w:sdtPr>
            <w:sdtEndPr/>
            <w:sdtContent>
              <w:r w:rsidR="00791A1B" w:rsidRPr="00FF7B50">
                <w:rPr>
                  <w:noProof/>
                  <w:lang w:eastAsia="en-AU"/>
                </w:rPr>
                <w:drawing>
                  <wp:inline distT="0" distB="0" distL="0" distR="0" wp14:anchorId="7988F5FF" wp14:editId="16524148">
                    <wp:extent cx="7627172" cy="5809130"/>
                    <wp:effectExtent l="0" t="0" r="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0080" cy="5811345"/>
                            </a:xfrm>
                            <a:prstGeom prst="rect">
                              <a:avLst/>
                            </a:prstGeom>
                            <a:noFill/>
                            <a:ln w="9525">
                              <a:noFill/>
                              <a:miter lim="800000"/>
                              <a:headEnd/>
                              <a:tailEnd/>
                            </a:ln>
                          </pic:spPr>
                        </pic:pic>
                      </a:graphicData>
                    </a:graphic>
                  </wp:inline>
                </w:drawing>
              </w:r>
            </w:sdtContent>
          </w:sdt>
        </w:p>
      </w:tc>
    </w:tr>
  </w:tbl>
  <w:p w:rsidR="00791A1B" w:rsidRPr="00E32326" w:rsidRDefault="00791A1B" w:rsidP="00F202AB">
    <w:r>
      <w:rPr>
        <w:noProof/>
        <w:lang w:eastAsia="en-AU"/>
      </w:rPr>
      <w:drawing>
        <wp:anchor distT="0" distB="0" distL="114300" distR="114300" simplePos="0" relativeHeight="251657216" behindDoc="0" locked="0" layoutInCell="0" allowOverlap="1" wp14:anchorId="6C9F348E" wp14:editId="32B01DC7">
          <wp:simplePos x="0" y="0"/>
          <wp:positionH relativeFrom="column">
            <wp:posOffset>-900430</wp:posOffset>
          </wp:positionH>
          <wp:positionV relativeFrom="page">
            <wp:posOffset>4171950</wp:posOffset>
          </wp:positionV>
          <wp:extent cx="7600950" cy="2457450"/>
          <wp:effectExtent l="19050" t="0" r="0" b="0"/>
          <wp:wrapNone/>
          <wp:docPr id="2"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920FF4" w:rsidRDefault="00791A1B" w:rsidP="00920FF4">
    <w:pPr>
      <w:pStyle w:val="Header"/>
    </w:pPr>
    <w:r>
      <w:t>Therapeutic Goods Administration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920FF4" w:rsidRDefault="00791A1B" w:rsidP="001D480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1B" w:rsidRPr="009401F6" w:rsidRDefault="00791A1B" w:rsidP="0047772E"/>
  <w:p w:rsidR="00791A1B" w:rsidRPr="002B0C2E" w:rsidRDefault="00791A1B" w:rsidP="002B0C2E">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FA7E40"/>
    <w:lvl w:ilvl="0">
      <w:start w:val="1"/>
      <w:numFmt w:val="bullet"/>
      <w:lvlText w:val=""/>
      <w:lvlJc w:val="left"/>
      <w:pPr>
        <w:tabs>
          <w:tab w:val="num" w:pos="360"/>
        </w:tabs>
        <w:ind w:left="360" w:hanging="360"/>
      </w:pPr>
      <w:rPr>
        <w:rFonts w:ascii="Symbol" w:hAnsi="Symbol" w:hint="default"/>
      </w:rPr>
    </w:lvl>
  </w:abstractNum>
  <w:abstractNum w:abstractNumId="1">
    <w:nsid w:val="06C56F4E"/>
    <w:multiLevelType w:val="hybridMultilevel"/>
    <w:tmpl w:val="45D0C284"/>
    <w:lvl w:ilvl="0" w:tplc="BCFA5BD4">
      <w:start w:val="1"/>
      <w:numFmt w:val="upperLetter"/>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830890"/>
    <w:multiLevelType w:val="multilevel"/>
    <w:tmpl w:val="DF1E1EA6"/>
    <w:lvl w:ilvl="0">
      <w:start w:val="1"/>
      <w:numFmt w:val="upp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0053F11"/>
    <w:multiLevelType w:val="multilevel"/>
    <w:tmpl w:val="575CEDBE"/>
    <w:styleLink w:val="NumberBullet0"/>
    <w:lvl w:ilvl="0">
      <w:start w:val="1"/>
      <w:numFmt w:val="decimal"/>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46A56F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8F13E9"/>
    <w:multiLevelType w:val="multilevel"/>
    <w:tmpl w:val="824AD8C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F540833"/>
    <w:multiLevelType w:val="hybridMultilevel"/>
    <w:tmpl w:val="6B46D8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A53825"/>
    <w:multiLevelType w:val="multilevel"/>
    <w:tmpl w:val="5A54D2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5"/>
  </w:num>
  <w:num w:numId="2">
    <w:abstractNumId w:val="3"/>
  </w:num>
  <w:num w:numId="3">
    <w:abstractNumId w:val="5"/>
  </w:num>
  <w:num w:numId="4">
    <w:abstractNumId w:val="3"/>
  </w:num>
  <w:num w:numId="5">
    <w:abstractNumId w:val="7"/>
  </w:num>
  <w:num w:numId="6">
    <w:abstractNumId w:val="2"/>
  </w:num>
  <w:num w:numId="7">
    <w:abstractNumId w:val="1"/>
  </w:num>
  <w:num w:numId="8">
    <w:abstractNumId w:val="4"/>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49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A47B0E5-0237-4A72-99A1-4E6EC1929B5A}"/>
    <w:docVar w:name="dgnword-eventsink" w:val="138027688"/>
  </w:docVars>
  <w:rsids>
    <w:rsidRoot w:val="007D4892"/>
    <w:rsid w:val="00002031"/>
    <w:rsid w:val="00004734"/>
    <w:rsid w:val="000048C2"/>
    <w:rsid w:val="00006B22"/>
    <w:rsid w:val="000120F6"/>
    <w:rsid w:val="0001276A"/>
    <w:rsid w:val="00021CF1"/>
    <w:rsid w:val="000246AE"/>
    <w:rsid w:val="0002562A"/>
    <w:rsid w:val="00025C67"/>
    <w:rsid w:val="00032EED"/>
    <w:rsid w:val="0003306D"/>
    <w:rsid w:val="00034153"/>
    <w:rsid w:val="00037876"/>
    <w:rsid w:val="0004182B"/>
    <w:rsid w:val="00043BB2"/>
    <w:rsid w:val="00043FC0"/>
    <w:rsid w:val="00055129"/>
    <w:rsid w:val="000554B4"/>
    <w:rsid w:val="0005559E"/>
    <w:rsid w:val="00055FE5"/>
    <w:rsid w:val="00061E51"/>
    <w:rsid w:val="00063028"/>
    <w:rsid w:val="0006570D"/>
    <w:rsid w:val="00076C64"/>
    <w:rsid w:val="00077775"/>
    <w:rsid w:val="00081DCA"/>
    <w:rsid w:val="00090471"/>
    <w:rsid w:val="000958DF"/>
    <w:rsid w:val="000A0965"/>
    <w:rsid w:val="000B0A5D"/>
    <w:rsid w:val="000B3532"/>
    <w:rsid w:val="000B3A75"/>
    <w:rsid w:val="000B7084"/>
    <w:rsid w:val="000B752F"/>
    <w:rsid w:val="000B7DA3"/>
    <w:rsid w:val="000C208B"/>
    <w:rsid w:val="000C5A31"/>
    <w:rsid w:val="000C5FCF"/>
    <w:rsid w:val="000D0293"/>
    <w:rsid w:val="000D391B"/>
    <w:rsid w:val="000D3CF4"/>
    <w:rsid w:val="000D3D6D"/>
    <w:rsid w:val="000D4FC7"/>
    <w:rsid w:val="000D75E3"/>
    <w:rsid w:val="000E4470"/>
    <w:rsid w:val="000E606F"/>
    <w:rsid w:val="000F065F"/>
    <w:rsid w:val="000F2C91"/>
    <w:rsid w:val="000F41CA"/>
    <w:rsid w:val="000F4869"/>
    <w:rsid w:val="000F5B42"/>
    <w:rsid w:val="000F68F9"/>
    <w:rsid w:val="000F6E6F"/>
    <w:rsid w:val="001003F2"/>
    <w:rsid w:val="00101C47"/>
    <w:rsid w:val="0010601F"/>
    <w:rsid w:val="00107378"/>
    <w:rsid w:val="001106A6"/>
    <w:rsid w:val="00110EA5"/>
    <w:rsid w:val="001119DF"/>
    <w:rsid w:val="00115240"/>
    <w:rsid w:val="00116E81"/>
    <w:rsid w:val="00120100"/>
    <w:rsid w:val="00124B2B"/>
    <w:rsid w:val="00125091"/>
    <w:rsid w:val="00125318"/>
    <w:rsid w:val="001305A2"/>
    <w:rsid w:val="00132955"/>
    <w:rsid w:val="00133238"/>
    <w:rsid w:val="00137E89"/>
    <w:rsid w:val="00140FE3"/>
    <w:rsid w:val="0014197B"/>
    <w:rsid w:val="0014265D"/>
    <w:rsid w:val="00144465"/>
    <w:rsid w:val="001447CD"/>
    <w:rsid w:val="00145C11"/>
    <w:rsid w:val="00146A5A"/>
    <w:rsid w:val="001516B1"/>
    <w:rsid w:val="001525B4"/>
    <w:rsid w:val="00156316"/>
    <w:rsid w:val="00160006"/>
    <w:rsid w:val="001611F5"/>
    <w:rsid w:val="00165389"/>
    <w:rsid w:val="00170CED"/>
    <w:rsid w:val="0017401B"/>
    <w:rsid w:val="00174F40"/>
    <w:rsid w:val="0017633E"/>
    <w:rsid w:val="0017693F"/>
    <w:rsid w:val="0018110E"/>
    <w:rsid w:val="00181684"/>
    <w:rsid w:val="001843C6"/>
    <w:rsid w:val="001850E0"/>
    <w:rsid w:val="0018693C"/>
    <w:rsid w:val="00191369"/>
    <w:rsid w:val="0019255A"/>
    <w:rsid w:val="0019741C"/>
    <w:rsid w:val="001A1004"/>
    <w:rsid w:val="001A2847"/>
    <w:rsid w:val="001A525F"/>
    <w:rsid w:val="001A69AB"/>
    <w:rsid w:val="001A78FF"/>
    <w:rsid w:val="001B09F9"/>
    <w:rsid w:val="001B6448"/>
    <w:rsid w:val="001C4E89"/>
    <w:rsid w:val="001D1685"/>
    <w:rsid w:val="001D3BB9"/>
    <w:rsid w:val="001D480A"/>
    <w:rsid w:val="001E07CF"/>
    <w:rsid w:val="001E1171"/>
    <w:rsid w:val="001E5793"/>
    <w:rsid w:val="001E59F1"/>
    <w:rsid w:val="001F292A"/>
    <w:rsid w:val="001F49EB"/>
    <w:rsid w:val="001F6CBA"/>
    <w:rsid w:val="001F78B9"/>
    <w:rsid w:val="00201D4E"/>
    <w:rsid w:val="00206CBB"/>
    <w:rsid w:val="00207515"/>
    <w:rsid w:val="00211C7B"/>
    <w:rsid w:val="002133F8"/>
    <w:rsid w:val="00220B8A"/>
    <w:rsid w:val="002232C2"/>
    <w:rsid w:val="002257F3"/>
    <w:rsid w:val="002302EC"/>
    <w:rsid w:val="002303B0"/>
    <w:rsid w:val="002306B2"/>
    <w:rsid w:val="002314E8"/>
    <w:rsid w:val="00233456"/>
    <w:rsid w:val="0023397F"/>
    <w:rsid w:val="002339A5"/>
    <w:rsid w:val="002452E7"/>
    <w:rsid w:val="00245F98"/>
    <w:rsid w:val="00246194"/>
    <w:rsid w:val="002518A0"/>
    <w:rsid w:val="002538AE"/>
    <w:rsid w:val="002541E7"/>
    <w:rsid w:val="00254A01"/>
    <w:rsid w:val="00254FAB"/>
    <w:rsid w:val="00257138"/>
    <w:rsid w:val="0025750D"/>
    <w:rsid w:val="00257848"/>
    <w:rsid w:val="002578A1"/>
    <w:rsid w:val="00257A05"/>
    <w:rsid w:val="00260B4B"/>
    <w:rsid w:val="0026731B"/>
    <w:rsid w:val="00270709"/>
    <w:rsid w:val="0027084A"/>
    <w:rsid w:val="00271109"/>
    <w:rsid w:val="00277EF5"/>
    <w:rsid w:val="00286434"/>
    <w:rsid w:val="00286BC7"/>
    <w:rsid w:val="00286C59"/>
    <w:rsid w:val="002942D1"/>
    <w:rsid w:val="0029519A"/>
    <w:rsid w:val="00295727"/>
    <w:rsid w:val="002A0556"/>
    <w:rsid w:val="002A5916"/>
    <w:rsid w:val="002A6031"/>
    <w:rsid w:val="002B0C2E"/>
    <w:rsid w:val="002B0F7D"/>
    <w:rsid w:val="002B1638"/>
    <w:rsid w:val="002B77D4"/>
    <w:rsid w:val="002C1D7D"/>
    <w:rsid w:val="002C2511"/>
    <w:rsid w:val="002C4F80"/>
    <w:rsid w:val="002D0187"/>
    <w:rsid w:val="002D1EDF"/>
    <w:rsid w:val="002D54AB"/>
    <w:rsid w:val="002E058B"/>
    <w:rsid w:val="002E4C9A"/>
    <w:rsid w:val="002F11F8"/>
    <w:rsid w:val="002F3F56"/>
    <w:rsid w:val="002F44B5"/>
    <w:rsid w:val="00300414"/>
    <w:rsid w:val="00307DCB"/>
    <w:rsid w:val="00311AC0"/>
    <w:rsid w:val="00316B4C"/>
    <w:rsid w:val="00317AB6"/>
    <w:rsid w:val="00331DBB"/>
    <w:rsid w:val="00332680"/>
    <w:rsid w:val="0033692A"/>
    <w:rsid w:val="00344CD3"/>
    <w:rsid w:val="00347AB6"/>
    <w:rsid w:val="00350122"/>
    <w:rsid w:val="003521E8"/>
    <w:rsid w:val="0036346F"/>
    <w:rsid w:val="00364550"/>
    <w:rsid w:val="00365DDD"/>
    <w:rsid w:val="003664BF"/>
    <w:rsid w:val="003715CE"/>
    <w:rsid w:val="003728F3"/>
    <w:rsid w:val="00385501"/>
    <w:rsid w:val="00386A04"/>
    <w:rsid w:val="00386ED5"/>
    <w:rsid w:val="00387D67"/>
    <w:rsid w:val="00390900"/>
    <w:rsid w:val="00391194"/>
    <w:rsid w:val="003A35BD"/>
    <w:rsid w:val="003A705D"/>
    <w:rsid w:val="003B00C5"/>
    <w:rsid w:val="003B443E"/>
    <w:rsid w:val="003B7E39"/>
    <w:rsid w:val="003C01F0"/>
    <w:rsid w:val="003C58DC"/>
    <w:rsid w:val="003C7461"/>
    <w:rsid w:val="003D0CD9"/>
    <w:rsid w:val="003D73CC"/>
    <w:rsid w:val="003E3208"/>
    <w:rsid w:val="003E3D34"/>
    <w:rsid w:val="003E4EE1"/>
    <w:rsid w:val="003E7EAA"/>
    <w:rsid w:val="003F0648"/>
    <w:rsid w:val="003F0B04"/>
    <w:rsid w:val="003F6272"/>
    <w:rsid w:val="003F6BCE"/>
    <w:rsid w:val="0040134E"/>
    <w:rsid w:val="004045E7"/>
    <w:rsid w:val="00404C46"/>
    <w:rsid w:val="00406930"/>
    <w:rsid w:val="00410839"/>
    <w:rsid w:val="00411F86"/>
    <w:rsid w:val="0041452B"/>
    <w:rsid w:val="004169A8"/>
    <w:rsid w:val="00427686"/>
    <w:rsid w:val="00435F22"/>
    <w:rsid w:val="00440A2D"/>
    <w:rsid w:val="00447762"/>
    <w:rsid w:val="0045312F"/>
    <w:rsid w:val="00455A6F"/>
    <w:rsid w:val="004564A7"/>
    <w:rsid w:val="004617BF"/>
    <w:rsid w:val="004634F1"/>
    <w:rsid w:val="00465E90"/>
    <w:rsid w:val="00474692"/>
    <w:rsid w:val="00474E20"/>
    <w:rsid w:val="0047772E"/>
    <w:rsid w:val="00477BB1"/>
    <w:rsid w:val="00481C4B"/>
    <w:rsid w:val="004912CC"/>
    <w:rsid w:val="004923FF"/>
    <w:rsid w:val="00494E60"/>
    <w:rsid w:val="00495101"/>
    <w:rsid w:val="00496BAC"/>
    <w:rsid w:val="004A0DBC"/>
    <w:rsid w:val="004A2F25"/>
    <w:rsid w:val="004A2F90"/>
    <w:rsid w:val="004A4D22"/>
    <w:rsid w:val="004B5A6B"/>
    <w:rsid w:val="004B7B76"/>
    <w:rsid w:val="004C0070"/>
    <w:rsid w:val="004C219D"/>
    <w:rsid w:val="004C2FAB"/>
    <w:rsid w:val="004D51A6"/>
    <w:rsid w:val="004D55B3"/>
    <w:rsid w:val="004E2B49"/>
    <w:rsid w:val="004E5F1D"/>
    <w:rsid w:val="004E7C87"/>
    <w:rsid w:val="004F0F38"/>
    <w:rsid w:val="004F1A46"/>
    <w:rsid w:val="004F36D7"/>
    <w:rsid w:val="004F4D12"/>
    <w:rsid w:val="004F5733"/>
    <w:rsid w:val="004F621C"/>
    <w:rsid w:val="00501921"/>
    <w:rsid w:val="00504EF2"/>
    <w:rsid w:val="00506B33"/>
    <w:rsid w:val="00511904"/>
    <w:rsid w:val="00513138"/>
    <w:rsid w:val="00522A0C"/>
    <w:rsid w:val="00527293"/>
    <w:rsid w:val="00530354"/>
    <w:rsid w:val="00531B11"/>
    <w:rsid w:val="00532F81"/>
    <w:rsid w:val="005426DC"/>
    <w:rsid w:val="005434C6"/>
    <w:rsid w:val="00543B39"/>
    <w:rsid w:val="00544015"/>
    <w:rsid w:val="005447F9"/>
    <w:rsid w:val="0054583D"/>
    <w:rsid w:val="005477E7"/>
    <w:rsid w:val="00550096"/>
    <w:rsid w:val="00552C5E"/>
    <w:rsid w:val="0055532D"/>
    <w:rsid w:val="00557FF9"/>
    <w:rsid w:val="00567939"/>
    <w:rsid w:val="00571EE0"/>
    <w:rsid w:val="00573840"/>
    <w:rsid w:val="00576378"/>
    <w:rsid w:val="00577107"/>
    <w:rsid w:val="00577279"/>
    <w:rsid w:val="00577E38"/>
    <w:rsid w:val="00585322"/>
    <w:rsid w:val="005867CE"/>
    <w:rsid w:val="00593AD1"/>
    <w:rsid w:val="00594A43"/>
    <w:rsid w:val="00594D03"/>
    <w:rsid w:val="005955D5"/>
    <w:rsid w:val="00597877"/>
    <w:rsid w:val="005A1131"/>
    <w:rsid w:val="005A61CE"/>
    <w:rsid w:val="005B32A8"/>
    <w:rsid w:val="005B7EBB"/>
    <w:rsid w:val="005C5570"/>
    <w:rsid w:val="005C5FA7"/>
    <w:rsid w:val="005C79A4"/>
    <w:rsid w:val="005D325C"/>
    <w:rsid w:val="005D3E14"/>
    <w:rsid w:val="005D4EA1"/>
    <w:rsid w:val="005D5442"/>
    <w:rsid w:val="005D6BF3"/>
    <w:rsid w:val="005E4695"/>
    <w:rsid w:val="005E5473"/>
    <w:rsid w:val="005E6592"/>
    <w:rsid w:val="005F7985"/>
    <w:rsid w:val="00602814"/>
    <w:rsid w:val="00603E64"/>
    <w:rsid w:val="006056E4"/>
    <w:rsid w:val="00607737"/>
    <w:rsid w:val="00611B57"/>
    <w:rsid w:val="006134A4"/>
    <w:rsid w:val="00617EAC"/>
    <w:rsid w:val="006219FA"/>
    <w:rsid w:val="006239CD"/>
    <w:rsid w:val="006243DD"/>
    <w:rsid w:val="00636B10"/>
    <w:rsid w:val="00640190"/>
    <w:rsid w:val="006405A9"/>
    <w:rsid w:val="00640B26"/>
    <w:rsid w:val="00640FC3"/>
    <w:rsid w:val="00642020"/>
    <w:rsid w:val="00644C46"/>
    <w:rsid w:val="00651C87"/>
    <w:rsid w:val="0065337B"/>
    <w:rsid w:val="00653FBF"/>
    <w:rsid w:val="0065419D"/>
    <w:rsid w:val="00656236"/>
    <w:rsid w:val="006604D8"/>
    <w:rsid w:val="00661FAE"/>
    <w:rsid w:val="00664A5B"/>
    <w:rsid w:val="00665F8C"/>
    <w:rsid w:val="00666CA2"/>
    <w:rsid w:val="00667942"/>
    <w:rsid w:val="00667B4F"/>
    <w:rsid w:val="00671B0F"/>
    <w:rsid w:val="006756F4"/>
    <w:rsid w:val="00680C08"/>
    <w:rsid w:val="0068741A"/>
    <w:rsid w:val="00690DCE"/>
    <w:rsid w:val="00691723"/>
    <w:rsid w:val="006931B1"/>
    <w:rsid w:val="00693CDB"/>
    <w:rsid w:val="006A15C0"/>
    <w:rsid w:val="006A705D"/>
    <w:rsid w:val="006B188D"/>
    <w:rsid w:val="006C0F32"/>
    <w:rsid w:val="006C1F3B"/>
    <w:rsid w:val="006C3E2A"/>
    <w:rsid w:val="006C4FFE"/>
    <w:rsid w:val="006C626D"/>
    <w:rsid w:val="006C642F"/>
    <w:rsid w:val="006C6EDB"/>
    <w:rsid w:val="006D039E"/>
    <w:rsid w:val="006D03E5"/>
    <w:rsid w:val="006D0C3B"/>
    <w:rsid w:val="006D34F8"/>
    <w:rsid w:val="006D5D3E"/>
    <w:rsid w:val="006E08B3"/>
    <w:rsid w:val="006E4584"/>
    <w:rsid w:val="006E5AB4"/>
    <w:rsid w:val="006F572E"/>
    <w:rsid w:val="00702090"/>
    <w:rsid w:val="007046D6"/>
    <w:rsid w:val="00705DB0"/>
    <w:rsid w:val="00705FFC"/>
    <w:rsid w:val="007069EE"/>
    <w:rsid w:val="00706AFE"/>
    <w:rsid w:val="00716879"/>
    <w:rsid w:val="0072003E"/>
    <w:rsid w:val="00725A8B"/>
    <w:rsid w:val="0073110A"/>
    <w:rsid w:val="00734C47"/>
    <w:rsid w:val="0074066C"/>
    <w:rsid w:val="00742004"/>
    <w:rsid w:val="0074253D"/>
    <w:rsid w:val="00742A80"/>
    <w:rsid w:val="0074429B"/>
    <w:rsid w:val="007477F8"/>
    <w:rsid w:val="00753FEF"/>
    <w:rsid w:val="00755C84"/>
    <w:rsid w:val="007615BC"/>
    <w:rsid w:val="00762F05"/>
    <w:rsid w:val="00763336"/>
    <w:rsid w:val="00764EB9"/>
    <w:rsid w:val="007652FF"/>
    <w:rsid w:val="00765F49"/>
    <w:rsid w:val="00766AFF"/>
    <w:rsid w:val="00766F39"/>
    <w:rsid w:val="00771329"/>
    <w:rsid w:val="00773EF7"/>
    <w:rsid w:val="00774E1D"/>
    <w:rsid w:val="0077675A"/>
    <w:rsid w:val="00780355"/>
    <w:rsid w:val="007811F9"/>
    <w:rsid w:val="00785721"/>
    <w:rsid w:val="00785CE1"/>
    <w:rsid w:val="00791A1B"/>
    <w:rsid w:val="00793A59"/>
    <w:rsid w:val="007A0BEB"/>
    <w:rsid w:val="007A2162"/>
    <w:rsid w:val="007A23F7"/>
    <w:rsid w:val="007B302B"/>
    <w:rsid w:val="007B43ED"/>
    <w:rsid w:val="007B4BF9"/>
    <w:rsid w:val="007C0F3D"/>
    <w:rsid w:val="007C1AF7"/>
    <w:rsid w:val="007C30F0"/>
    <w:rsid w:val="007C3274"/>
    <w:rsid w:val="007C4028"/>
    <w:rsid w:val="007C7A6D"/>
    <w:rsid w:val="007C7B5B"/>
    <w:rsid w:val="007D4892"/>
    <w:rsid w:val="007D495B"/>
    <w:rsid w:val="007D7C2F"/>
    <w:rsid w:val="007E786F"/>
    <w:rsid w:val="007E7BF8"/>
    <w:rsid w:val="007F2FF0"/>
    <w:rsid w:val="007F360C"/>
    <w:rsid w:val="007F3EA0"/>
    <w:rsid w:val="007F7E7A"/>
    <w:rsid w:val="008025D2"/>
    <w:rsid w:val="00805E6C"/>
    <w:rsid w:val="0080650B"/>
    <w:rsid w:val="00810598"/>
    <w:rsid w:val="00811166"/>
    <w:rsid w:val="008118CB"/>
    <w:rsid w:val="00814492"/>
    <w:rsid w:val="0081676A"/>
    <w:rsid w:val="00816B58"/>
    <w:rsid w:val="00816D7D"/>
    <w:rsid w:val="008173E2"/>
    <w:rsid w:val="00820206"/>
    <w:rsid w:val="00820636"/>
    <w:rsid w:val="008216DD"/>
    <w:rsid w:val="00821776"/>
    <w:rsid w:val="0082599F"/>
    <w:rsid w:val="00826007"/>
    <w:rsid w:val="0082616E"/>
    <w:rsid w:val="00827ED7"/>
    <w:rsid w:val="008321F5"/>
    <w:rsid w:val="00832369"/>
    <w:rsid w:val="00834660"/>
    <w:rsid w:val="00834C8E"/>
    <w:rsid w:val="00836BC2"/>
    <w:rsid w:val="00837C1D"/>
    <w:rsid w:val="00844C18"/>
    <w:rsid w:val="0084580B"/>
    <w:rsid w:val="00845BCA"/>
    <w:rsid w:val="00853C8F"/>
    <w:rsid w:val="0085641B"/>
    <w:rsid w:val="00857136"/>
    <w:rsid w:val="0086061B"/>
    <w:rsid w:val="008623B1"/>
    <w:rsid w:val="008639E3"/>
    <w:rsid w:val="00870B12"/>
    <w:rsid w:val="00874498"/>
    <w:rsid w:val="008752CE"/>
    <w:rsid w:val="008766A4"/>
    <w:rsid w:val="008821AA"/>
    <w:rsid w:val="008855B8"/>
    <w:rsid w:val="00896018"/>
    <w:rsid w:val="008A07FF"/>
    <w:rsid w:val="008A2B9D"/>
    <w:rsid w:val="008A308B"/>
    <w:rsid w:val="008A4627"/>
    <w:rsid w:val="008A5E0B"/>
    <w:rsid w:val="008A5E18"/>
    <w:rsid w:val="008A6D59"/>
    <w:rsid w:val="008A7AB3"/>
    <w:rsid w:val="008B02A2"/>
    <w:rsid w:val="008B2D31"/>
    <w:rsid w:val="008B4B03"/>
    <w:rsid w:val="008B4D8D"/>
    <w:rsid w:val="008B596F"/>
    <w:rsid w:val="008C159F"/>
    <w:rsid w:val="008C1623"/>
    <w:rsid w:val="008C51A9"/>
    <w:rsid w:val="008C56D9"/>
    <w:rsid w:val="008D2B09"/>
    <w:rsid w:val="008D4740"/>
    <w:rsid w:val="008E7B83"/>
    <w:rsid w:val="008F1CCC"/>
    <w:rsid w:val="008F263C"/>
    <w:rsid w:val="008F2967"/>
    <w:rsid w:val="008F407A"/>
    <w:rsid w:val="008F5709"/>
    <w:rsid w:val="008F6C37"/>
    <w:rsid w:val="008F7F8F"/>
    <w:rsid w:val="0090045B"/>
    <w:rsid w:val="0090354E"/>
    <w:rsid w:val="00907ACE"/>
    <w:rsid w:val="0091253D"/>
    <w:rsid w:val="00917188"/>
    <w:rsid w:val="00920330"/>
    <w:rsid w:val="00920FF4"/>
    <w:rsid w:val="009219D7"/>
    <w:rsid w:val="00922D53"/>
    <w:rsid w:val="00923B70"/>
    <w:rsid w:val="00925DC5"/>
    <w:rsid w:val="0092600B"/>
    <w:rsid w:val="009270D8"/>
    <w:rsid w:val="00930237"/>
    <w:rsid w:val="0093217E"/>
    <w:rsid w:val="009333C8"/>
    <w:rsid w:val="00934397"/>
    <w:rsid w:val="009379DD"/>
    <w:rsid w:val="00937FEC"/>
    <w:rsid w:val="009401F6"/>
    <w:rsid w:val="00940F44"/>
    <w:rsid w:val="00941988"/>
    <w:rsid w:val="00952562"/>
    <w:rsid w:val="0095525A"/>
    <w:rsid w:val="00963084"/>
    <w:rsid w:val="00963C08"/>
    <w:rsid w:val="00971B80"/>
    <w:rsid w:val="00997420"/>
    <w:rsid w:val="009A09AA"/>
    <w:rsid w:val="009A474D"/>
    <w:rsid w:val="009A4CED"/>
    <w:rsid w:val="009A6A81"/>
    <w:rsid w:val="009A76E9"/>
    <w:rsid w:val="009B15F1"/>
    <w:rsid w:val="009B1D12"/>
    <w:rsid w:val="009B416B"/>
    <w:rsid w:val="009B61B5"/>
    <w:rsid w:val="009C1AE8"/>
    <w:rsid w:val="009C4BD5"/>
    <w:rsid w:val="009C6B54"/>
    <w:rsid w:val="009D2E04"/>
    <w:rsid w:val="009D3725"/>
    <w:rsid w:val="009D7B77"/>
    <w:rsid w:val="009E0BB0"/>
    <w:rsid w:val="009E2CE0"/>
    <w:rsid w:val="009E3FBB"/>
    <w:rsid w:val="009E5A2F"/>
    <w:rsid w:val="009E71F4"/>
    <w:rsid w:val="009F018D"/>
    <w:rsid w:val="009F7D61"/>
    <w:rsid w:val="00A02DC1"/>
    <w:rsid w:val="00A052B5"/>
    <w:rsid w:val="00A1235B"/>
    <w:rsid w:val="00A1341B"/>
    <w:rsid w:val="00A14DF7"/>
    <w:rsid w:val="00A15A83"/>
    <w:rsid w:val="00A215D5"/>
    <w:rsid w:val="00A2363C"/>
    <w:rsid w:val="00A23F3C"/>
    <w:rsid w:val="00A3246D"/>
    <w:rsid w:val="00A32858"/>
    <w:rsid w:val="00A33CFE"/>
    <w:rsid w:val="00A34B90"/>
    <w:rsid w:val="00A357CA"/>
    <w:rsid w:val="00A35AB2"/>
    <w:rsid w:val="00A3654F"/>
    <w:rsid w:val="00A36FA7"/>
    <w:rsid w:val="00A470F3"/>
    <w:rsid w:val="00A475B7"/>
    <w:rsid w:val="00A47AF7"/>
    <w:rsid w:val="00A47C3E"/>
    <w:rsid w:val="00A47DD1"/>
    <w:rsid w:val="00A50226"/>
    <w:rsid w:val="00A539AC"/>
    <w:rsid w:val="00A56488"/>
    <w:rsid w:val="00A60BAD"/>
    <w:rsid w:val="00A64387"/>
    <w:rsid w:val="00A70F74"/>
    <w:rsid w:val="00A7247A"/>
    <w:rsid w:val="00A736F3"/>
    <w:rsid w:val="00A73A8D"/>
    <w:rsid w:val="00A82FB3"/>
    <w:rsid w:val="00A84503"/>
    <w:rsid w:val="00A84D3B"/>
    <w:rsid w:val="00A85B04"/>
    <w:rsid w:val="00A87334"/>
    <w:rsid w:val="00A96EF1"/>
    <w:rsid w:val="00AA1D19"/>
    <w:rsid w:val="00AA1DCD"/>
    <w:rsid w:val="00AA6ED6"/>
    <w:rsid w:val="00AB6F47"/>
    <w:rsid w:val="00AC1152"/>
    <w:rsid w:val="00AC2B40"/>
    <w:rsid w:val="00AC2BB2"/>
    <w:rsid w:val="00AC2C3C"/>
    <w:rsid w:val="00AC3BD9"/>
    <w:rsid w:val="00AC7EB0"/>
    <w:rsid w:val="00AD2D34"/>
    <w:rsid w:val="00AD66E1"/>
    <w:rsid w:val="00AE0320"/>
    <w:rsid w:val="00AE3FF2"/>
    <w:rsid w:val="00AE498F"/>
    <w:rsid w:val="00AE5BBD"/>
    <w:rsid w:val="00AE65EB"/>
    <w:rsid w:val="00AE7141"/>
    <w:rsid w:val="00AF1D94"/>
    <w:rsid w:val="00AF60C5"/>
    <w:rsid w:val="00AF70B1"/>
    <w:rsid w:val="00B009C6"/>
    <w:rsid w:val="00B01548"/>
    <w:rsid w:val="00B023EC"/>
    <w:rsid w:val="00B043B3"/>
    <w:rsid w:val="00B07050"/>
    <w:rsid w:val="00B157E6"/>
    <w:rsid w:val="00B21D29"/>
    <w:rsid w:val="00B21FC5"/>
    <w:rsid w:val="00B21FEE"/>
    <w:rsid w:val="00B23139"/>
    <w:rsid w:val="00B25034"/>
    <w:rsid w:val="00B32D3E"/>
    <w:rsid w:val="00B33863"/>
    <w:rsid w:val="00B37D17"/>
    <w:rsid w:val="00B4175E"/>
    <w:rsid w:val="00B41CA5"/>
    <w:rsid w:val="00B510E1"/>
    <w:rsid w:val="00B54C25"/>
    <w:rsid w:val="00B600DA"/>
    <w:rsid w:val="00B6468D"/>
    <w:rsid w:val="00B64F68"/>
    <w:rsid w:val="00B7616F"/>
    <w:rsid w:val="00B76B91"/>
    <w:rsid w:val="00B92C72"/>
    <w:rsid w:val="00BA3533"/>
    <w:rsid w:val="00BA6FF1"/>
    <w:rsid w:val="00BB0909"/>
    <w:rsid w:val="00BB6529"/>
    <w:rsid w:val="00BC1CAB"/>
    <w:rsid w:val="00BC235F"/>
    <w:rsid w:val="00BC622A"/>
    <w:rsid w:val="00BC7E92"/>
    <w:rsid w:val="00BD042B"/>
    <w:rsid w:val="00BD6F8A"/>
    <w:rsid w:val="00BD7DC6"/>
    <w:rsid w:val="00BE0A78"/>
    <w:rsid w:val="00BE1FA0"/>
    <w:rsid w:val="00BE79F0"/>
    <w:rsid w:val="00BF046D"/>
    <w:rsid w:val="00BF5D04"/>
    <w:rsid w:val="00C03F71"/>
    <w:rsid w:val="00C0431E"/>
    <w:rsid w:val="00C064B9"/>
    <w:rsid w:val="00C13563"/>
    <w:rsid w:val="00C22FCB"/>
    <w:rsid w:val="00C338EB"/>
    <w:rsid w:val="00C339C6"/>
    <w:rsid w:val="00C35B5C"/>
    <w:rsid w:val="00C35C3F"/>
    <w:rsid w:val="00C404A6"/>
    <w:rsid w:val="00C40A36"/>
    <w:rsid w:val="00C41C08"/>
    <w:rsid w:val="00C44419"/>
    <w:rsid w:val="00C45E7B"/>
    <w:rsid w:val="00C471B1"/>
    <w:rsid w:val="00C47A8A"/>
    <w:rsid w:val="00C52BEE"/>
    <w:rsid w:val="00C6316B"/>
    <w:rsid w:val="00C634A9"/>
    <w:rsid w:val="00C63677"/>
    <w:rsid w:val="00C7010D"/>
    <w:rsid w:val="00C76FD9"/>
    <w:rsid w:val="00C772FF"/>
    <w:rsid w:val="00C77BC8"/>
    <w:rsid w:val="00C801AF"/>
    <w:rsid w:val="00C80256"/>
    <w:rsid w:val="00C81622"/>
    <w:rsid w:val="00C82EC8"/>
    <w:rsid w:val="00C8721B"/>
    <w:rsid w:val="00C966B2"/>
    <w:rsid w:val="00C97535"/>
    <w:rsid w:val="00CA3B51"/>
    <w:rsid w:val="00CA6236"/>
    <w:rsid w:val="00CA751C"/>
    <w:rsid w:val="00CA77CC"/>
    <w:rsid w:val="00CB6BC0"/>
    <w:rsid w:val="00CC1B7C"/>
    <w:rsid w:val="00CC727F"/>
    <w:rsid w:val="00CD1A2B"/>
    <w:rsid w:val="00CD2699"/>
    <w:rsid w:val="00CD7871"/>
    <w:rsid w:val="00CE5BB0"/>
    <w:rsid w:val="00CF15C3"/>
    <w:rsid w:val="00CF2B6F"/>
    <w:rsid w:val="00CF3409"/>
    <w:rsid w:val="00CF63E6"/>
    <w:rsid w:val="00D017ED"/>
    <w:rsid w:val="00D10D3A"/>
    <w:rsid w:val="00D136C0"/>
    <w:rsid w:val="00D153B1"/>
    <w:rsid w:val="00D224FE"/>
    <w:rsid w:val="00D229BA"/>
    <w:rsid w:val="00D26B84"/>
    <w:rsid w:val="00D311A0"/>
    <w:rsid w:val="00D45654"/>
    <w:rsid w:val="00D46983"/>
    <w:rsid w:val="00D519E5"/>
    <w:rsid w:val="00D5616E"/>
    <w:rsid w:val="00D57CA0"/>
    <w:rsid w:val="00D606D0"/>
    <w:rsid w:val="00D611D0"/>
    <w:rsid w:val="00D61571"/>
    <w:rsid w:val="00D634FE"/>
    <w:rsid w:val="00D6493E"/>
    <w:rsid w:val="00D72F91"/>
    <w:rsid w:val="00D7302B"/>
    <w:rsid w:val="00D80535"/>
    <w:rsid w:val="00D83BE0"/>
    <w:rsid w:val="00DA1124"/>
    <w:rsid w:val="00DA1DEF"/>
    <w:rsid w:val="00DA3043"/>
    <w:rsid w:val="00DB58FF"/>
    <w:rsid w:val="00DB6593"/>
    <w:rsid w:val="00DC0E36"/>
    <w:rsid w:val="00DC3AB8"/>
    <w:rsid w:val="00DC3B7B"/>
    <w:rsid w:val="00DC4BCA"/>
    <w:rsid w:val="00DC4C8C"/>
    <w:rsid w:val="00DD4C9F"/>
    <w:rsid w:val="00DD69C2"/>
    <w:rsid w:val="00DD75A3"/>
    <w:rsid w:val="00DD7A91"/>
    <w:rsid w:val="00DE02AE"/>
    <w:rsid w:val="00DE0594"/>
    <w:rsid w:val="00DE3C5B"/>
    <w:rsid w:val="00DE5851"/>
    <w:rsid w:val="00DE6A0C"/>
    <w:rsid w:val="00DE6C04"/>
    <w:rsid w:val="00DE75AC"/>
    <w:rsid w:val="00DF0BE1"/>
    <w:rsid w:val="00DF1D7F"/>
    <w:rsid w:val="00DF554F"/>
    <w:rsid w:val="00DF71B6"/>
    <w:rsid w:val="00E02FB4"/>
    <w:rsid w:val="00E05DA4"/>
    <w:rsid w:val="00E1340C"/>
    <w:rsid w:val="00E15F3D"/>
    <w:rsid w:val="00E16356"/>
    <w:rsid w:val="00E172D6"/>
    <w:rsid w:val="00E20571"/>
    <w:rsid w:val="00E21651"/>
    <w:rsid w:val="00E219CF"/>
    <w:rsid w:val="00E235F7"/>
    <w:rsid w:val="00E239D4"/>
    <w:rsid w:val="00E2474D"/>
    <w:rsid w:val="00E32326"/>
    <w:rsid w:val="00E36C49"/>
    <w:rsid w:val="00E409DF"/>
    <w:rsid w:val="00E40B22"/>
    <w:rsid w:val="00E42719"/>
    <w:rsid w:val="00E4588F"/>
    <w:rsid w:val="00E46DA3"/>
    <w:rsid w:val="00E51164"/>
    <w:rsid w:val="00E539C4"/>
    <w:rsid w:val="00E61A04"/>
    <w:rsid w:val="00E624BB"/>
    <w:rsid w:val="00E6674D"/>
    <w:rsid w:val="00E701EF"/>
    <w:rsid w:val="00E7116B"/>
    <w:rsid w:val="00E8120B"/>
    <w:rsid w:val="00E8444F"/>
    <w:rsid w:val="00E90055"/>
    <w:rsid w:val="00E95760"/>
    <w:rsid w:val="00E96D19"/>
    <w:rsid w:val="00EA16DE"/>
    <w:rsid w:val="00EA406B"/>
    <w:rsid w:val="00EA453A"/>
    <w:rsid w:val="00EB0798"/>
    <w:rsid w:val="00EB19F8"/>
    <w:rsid w:val="00EB40AD"/>
    <w:rsid w:val="00EB4FA7"/>
    <w:rsid w:val="00EB586E"/>
    <w:rsid w:val="00EB5FC8"/>
    <w:rsid w:val="00EC1271"/>
    <w:rsid w:val="00ED0C8B"/>
    <w:rsid w:val="00ED2243"/>
    <w:rsid w:val="00ED370E"/>
    <w:rsid w:val="00ED5A41"/>
    <w:rsid w:val="00EE1482"/>
    <w:rsid w:val="00EE255A"/>
    <w:rsid w:val="00EF2E16"/>
    <w:rsid w:val="00EF578B"/>
    <w:rsid w:val="00EF63EA"/>
    <w:rsid w:val="00EF7086"/>
    <w:rsid w:val="00F02C69"/>
    <w:rsid w:val="00F033EC"/>
    <w:rsid w:val="00F04550"/>
    <w:rsid w:val="00F04F68"/>
    <w:rsid w:val="00F0627D"/>
    <w:rsid w:val="00F11A17"/>
    <w:rsid w:val="00F12670"/>
    <w:rsid w:val="00F147B0"/>
    <w:rsid w:val="00F147B5"/>
    <w:rsid w:val="00F14B27"/>
    <w:rsid w:val="00F17687"/>
    <w:rsid w:val="00F17876"/>
    <w:rsid w:val="00F202AB"/>
    <w:rsid w:val="00F3148D"/>
    <w:rsid w:val="00F3255D"/>
    <w:rsid w:val="00F35298"/>
    <w:rsid w:val="00F3529E"/>
    <w:rsid w:val="00F35BB0"/>
    <w:rsid w:val="00F36C32"/>
    <w:rsid w:val="00F40F73"/>
    <w:rsid w:val="00F4305F"/>
    <w:rsid w:val="00F44B0D"/>
    <w:rsid w:val="00F4663D"/>
    <w:rsid w:val="00F467A6"/>
    <w:rsid w:val="00F47664"/>
    <w:rsid w:val="00F47E37"/>
    <w:rsid w:val="00F50595"/>
    <w:rsid w:val="00F50AC2"/>
    <w:rsid w:val="00F52841"/>
    <w:rsid w:val="00F53482"/>
    <w:rsid w:val="00F623FD"/>
    <w:rsid w:val="00F63C0D"/>
    <w:rsid w:val="00F640B6"/>
    <w:rsid w:val="00F67B16"/>
    <w:rsid w:val="00F71490"/>
    <w:rsid w:val="00F72403"/>
    <w:rsid w:val="00F7373B"/>
    <w:rsid w:val="00F739D1"/>
    <w:rsid w:val="00F73A70"/>
    <w:rsid w:val="00F80E40"/>
    <w:rsid w:val="00F834CE"/>
    <w:rsid w:val="00F8365F"/>
    <w:rsid w:val="00F8404D"/>
    <w:rsid w:val="00F87B87"/>
    <w:rsid w:val="00F91479"/>
    <w:rsid w:val="00F9431C"/>
    <w:rsid w:val="00FA4D6D"/>
    <w:rsid w:val="00FA5B82"/>
    <w:rsid w:val="00FA639E"/>
    <w:rsid w:val="00FB59CE"/>
    <w:rsid w:val="00FB6178"/>
    <w:rsid w:val="00FC03C8"/>
    <w:rsid w:val="00FC25E4"/>
    <w:rsid w:val="00FC260C"/>
    <w:rsid w:val="00FC33AD"/>
    <w:rsid w:val="00FC4EF7"/>
    <w:rsid w:val="00FD2739"/>
    <w:rsid w:val="00FD502D"/>
    <w:rsid w:val="00FE1DEE"/>
    <w:rsid w:val="00FF2126"/>
    <w:rsid w:val="00FF4A00"/>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1" w:unhideWhenUsed="0" w:qFormat="1"/>
    <w:lsdException w:name="List Bullet 2" w:semiHidden="0" w:uiPriority="1" w:unhideWhenUsed="0" w:qFormat="1"/>
    <w:lsdException w:name="List Bullet 3" w:uiPriority="1"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B59CE"/>
    <w:pPr>
      <w:spacing w:before="120" w:after="180" w:line="240" w:lineRule="atLeast"/>
    </w:pPr>
    <w:rPr>
      <w:sz w:val="22"/>
      <w:lang w:eastAsia="en-US"/>
    </w:rPr>
  </w:style>
  <w:style w:type="paragraph" w:styleId="Heading1">
    <w:name w:val="heading 1"/>
    <w:basedOn w:val="Normal"/>
    <w:next w:val="Normal"/>
    <w:link w:val="Heading1Char"/>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C7010D"/>
    <w:pPr>
      <w:keepNext/>
      <w:keepLines/>
      <w:spacing w:before="360" w:after="120"/>
      <w:ind w:left="357" w:hanging="357"/>
      <w:outlineLvl w:val="2"/>
    </w:pPr>
    <w:rPr>
      <w:rFonts w:ascii="Arial" w:eastAsia="Times New Roman" w:hAnsi="Arial"/>
      <w:b/>
      <w:bCs/>
      <w:sz w:val="32"/>
      <w:szCs w:val="32"/>
    </w:rPr>
  </w:style>
  <w:style w:type="paragraph" w:styleId="Heading4">
    <w:name w:val="heading 4"/>
    <w:basedOn w:val="Normal"/>
    <w:next w:val="Normal"/>
    <w:link w:val="Heading4Char"/>
    <w:qFormat/>
    <w:rsid w:val="00C7010D"/>
    <w:pPr>
      <w:keepNext/>
      <w:keepLines/>
      <w:spacing w:before="240" w:after="120"/>
      <w:outlineLvl w:val="3"/>
    </w:pPr>
    <w:rPr>
      <w:rFonts w:ascii="Arial" w:hAnsi="Arial"/>
      <w:b/>
      <w:bCs/>
      <w:sz w:val="26"/>
      <w:szCs w:val="26"/>
    </w:rPr>
  </w:style>
  <w:style w:type="paragraph" w:styleId="Heading5">
    <w:name w:val="heading 5"/>
    <w:basedOn w:val="Normal"/>
    <w:next w:val="Normal"/>
    <w:link w:val="Heading5Char"/>
    <w:uiPriority w:val="9"/>
    <w:rsid w:val="003F6BCE"/>
    <w:pPr>
      <w:keepNext/>
      <w:keepLines/>
      <w:spacing w:before="240" w:after="120"/>
      <w:outlineLvl w:val="4"/>
    </w:pPr>
    <w:rPr>
      <w:rFonts w:eastAsia="Times New Roman"/>
      <w:b/>
      <w:bCs/>
      <w:color w:val="001523"/>
      <w:sz w:val="24"/>
      <w:szCs w:val="24"/>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C7010D"/>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C7010D"/>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3F6BCE"/>
    <w:rPr>
      <w:rFonts w:eastAsia="Times New Roman"/>
      <w:b/>
      <w:bCs/>
      <w:color w:val="001523"/>
      <w:sz w:val="24"/>
      <w:szCs w:val="24"/>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E61A04"/>
    <w:pPr>
      <w:numPr>
        <w:numId w:val="3"/>
      </w:numPr>
      <w:spacing w:before="0" w:after="120"/>
      <w:ind w:left="357" w:hanging="357"/>
    </w:pPr>
  </w:style>
  <w:style w:type="paragraph" w:styleId="ListBullet2">
    <w:name w:val="List Bullet 2"/>
    <w:basedOn w:val="Normal"/>
    <w:uiPriority w:val="1"/>
    <w:qFormat/>
    <w:rsid w:val="004B5A6B"/>
    <w:pPr>
      <w:numPr>
        <w:ilvl w:val="1"/>
        <w:numId w:val="3"/>
      </w:numPr>
    </w:pPr>
  </w:style>
  <w:style w:type="paragraph" w:styleId="ListBullet3">
    <w:name w:val="List Bullet 3"/>
    <w:basedOn w:val="Normal"/>
    <w:uiPriority w:val="1"/>
    <w:qFormat/>
    <w:rsid w:val="004B5A6B"/>
    <w:pPr>
      <w:numPr>
        <w:ilvl w:val="2"/>
        <w:numId w:val="3"/>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
    <w:name w:val="Number bullet"/>
    <w:basedOn w:val="ListBullet"/>
    <w:uiPriority w:val="2"/>
    <w:qFormat/>
    <w:rsid w:val="004A2F25"/>
    <w:pPr>
      <w:numPr>
        <w:numId w:val="7"/>
      </w:numPr>
    </w:pPr>
  </w:style>
  <w:style w:type="paragraph" w:customStyle="1" w:styleId="Numberbullet2">
    <w:name w:val="Number bullet 2"/>
    <w:basedOn w:val="ListBullet2"/>
    <w:uiPriority w:val="2"/>
    <w:qFormat/>
    <w:rsid w:val="00EE1482"/>
    <w:pPr>
      <w:numPr>
        <w:numId w:val="4"/>
      </w:numPr>
    </w:pPr>
  </w:style>
  <w:style w:type="paragraph" w:customStyle="1" w:styleId="Numberbullet3">
    <w:name w:val="Number bullet 3"/>
    <w:basedOn w:val="ListBullet3"/>
    <w:uiPriority w:val="2"/>
    <w:qFormat/>
    <w:rsid w:val="00EE1482"/>
    <w:pPr>
      <w:numPr>
        <w:numId w:val="4"/>
      </w:numPr>
    </w:pPr>
  </w:style>
  <w:style w:type="numbering" w:customStyle="1" w:styleId="NumberBullet0">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8F6C37"/>
    <w:pPr>
      <w:framePr w:hSpace="180" w:wrap="around" w:vAnchor="page" w:hAnchor="margin" w:y="3166"/>
      <w:numPr>
        <w:ilvl w:val="1"/>
      </w:numPr>
      <w:spacing w:before="0" w:after="0"/>
    </w:pPr>
    <w:rPr>
      <w:rFonts w:ascii="Arial" w:eastAsia="Times New Roman" w:hAnsi="Arial"/>
      <w:bCs/>
      <w:iCs/>
      <w:color w:val="006DA7"/>
      <w:sz w:val="40"/>
      <w:szCs w:val="24"/>
      <w:lang w:eastAsia="en-AU"/>
    </w:rPr>
  </w:style>
  <w:style w:type="character" w:customStyle="1" w:styleId="SubtitleChar">
    <w:name w:val="Subtitle Char"/>
    <w:basedOn w:val="DefaultParagraphFont"/>
    <w:link w:val="Subtitle"/>
    <w:uiPriority w:val="11"/>
    <w:rsid w:val="008F6C37"/>
    <w:rPr>
      <w:rFonts w:ascii="Arial" w:eastAsia="Times New Roman" w:hAnsi="Arial"/>
      <w:bCs/>
      <w:iCs/>
      <w:color w:val="006DA7"/>
      <w:sz w:val="40"/>
      <w:szCs w:val="24"/>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uiPriority w:val="10"/>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791A1B"/>
    <w:pPr>
      <w:keepLines/>
      <w:spacing w:before="0" w:after="0"/>
      <w:ind w:left="426" w:hanging="426"/>
    </w:pPr>
    <w:rPr>
      <w:sz w:val="20"/>
      <w:lang w:val="en-US"/>
    </w:rPr>
  </w:style>
  <w:style w:type="character" w:customStyle="1" w:styleId="FootnoteTextChar">
    <w:name w:val="Footnote Text Char"/>
    <w:basedOn w:val="DefaultParagraphFont"/>
    <w:link w:val="FootnoteText"/>
    <w:uiPriority w:val="99"/>
    <w:rsid w:val="00791A1B"/>
    <w:rPr>
      <w:lang w:val="en-US" w:eastAsia="en-US"/>
    </w:rPr>
  </w:style>
  <w:style w:type="character" w:styleId="FootnoteReference">
    <w:name w:val="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EE1482"/>
    <w:pPr>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unhideWhenUsed/>
    <w:rsid w:val="000B0A5D"/>
    <w:pPr>
      <w:spacing w:line="240" w:lineRule="auto"/>
    </w:pPr>
    <w:rPr>
      <w:sz w:val="20"/>
    </w:rPr>
  </w:style>
  <w:style w:type="character" w:customStyle="1" w:styleId="CommentTextChar">
    <w:name w:val="Comment Text Char"/>
    <w:basedOn w:val="DefaultParagraphFont"/>
    <w:link w:val="CommentText"/>
    <w:uiPriority w:val="99"/>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paragraph" w:styleId="ListParagraph">
    <w:name w:val="List Paragraph"/>
    <w:basedOn w:val="Normal"/>
    <w:uiPriority w:val="34"/>
    <w:qFormat/>
    <w:rsid w:val="009270D8"/>
    <w:pPr>
      <w:spacing w:before="0" w:after="200" w:line="276" w:lineRule="auto"/>
      <w:ind w:left="720"/>
      <w:contextualSpacing/>
    </w:pPr>
    <w:rPr>
      <w:rFonts w:asciiTheme="minorHAnsi" w:eastAsiaTheme="minorHAnsi" w:hAnsiTheme="minorHAnsi" w:cstheme="minorBidi"/>
      <w:szCs w:val="22"/>
    </w:rPr>
  </w:style>
  <w:style w:type="paragraph" w:customStyle="1" w:styleId="Default">
    <w:name w:val="Default"/>
    <w:rsid w:val="00C8721B"/>
    <w:pPr>
      <w:autoSpaceDE w:val="0"/>
      <w:autoSpaceDN w:val="0"/>
      <w:adjustRightInd w:val="0"/>
    </w:pPr>
    <w:rPr>
      <w:rFonts w:cs="Cambria"/>
      <w:color w:val="000000"/>
      <w:sz w:val="24"/>
      <w:szCs w:val="24"/>
    </w:rPr>
  </w:style>
  <w:style w:type="table" w:customStyle="1" w:styleId="TableTGAblue1">
    <w:name w:val="Table TGA blue1"/>
    <w:basedOn w:val="TableNormal"/>
    <w:uiPriority w:val="99"/>
    <w:qFormat/>
    <w:rsid w:val="001A2847"/>
    <w:pPr>
      <w:keepNext/>
    </w:pPr>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paragraph" w:customStyle="1" w:styleId="NonTOCheading4">
    <w:name w:val="Non TOC heading 4"/>
    <w:basedOn w:val="NonTOCheading2"/>
    <w:qFormat/>
    <w:rsid w:val="00573840"/>
    <w:rPr>
      <w:sz w:val="26"/>
      <w:szCs w:val="26"/>
    </w:rPr>
  </w:style>
  <w:style w:type="paragraph" w:styleId="Revision">
    <w:name w:val="Revision"/>
    <w:hidden/>
    <w:uiPriority w:val="99"/>
    <w:semiHidden/>
    <w:rsid w:val="00021CF1"/>
    <w:rPr>
      <w:sz w:val="22"/>
      <w:lang w:eastAsia="en-US"/>
    </w:rPr>
  </w:style>
  <w:style w:type="character" w:customStyle="1" w:styleId="charparttext">
    <w:name w:val="charparttext"/>
    <w:basedOn w:val="DefaultParagraphFont"/>
    <w:rsid w:val="00DC4C8C"/>
  </w:style>
  <w:style w:type="paragraph" w:customStyle="1" w:styleId="NonTOCheading5">
    <w:name w:val="Non TOC heading 5"/>
    <w:basedOn w:val="NonTOCheading2"/>
    <w:qFormat/>
    <w:rsid w:val="00FF4A00"/>
    <w:pPr>
      <w:spacing w:before="240" w:after="120"/>
    </w:pPr>
    <w:rPr>
      <w:rFonts w:ascii="Cambria" w:hAnsi="Cambria"/>
      <w:sz w:val="24"/>
    </w:rPr>
  </w:style>
  <w:style w:type="table" w:customStyle="1" w:styleId="TableTGAblue2">
    <w:name w:val="Table TGA blue2"/>
    <w:basedOn w:val="TableNormal"/>
    <w:uiPriority w:val="99"/>
    <w:qFormat/>
    <w:rsid w:val="004A2F9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1" w:unhideWhenUsed="0" w:qFormat="1"/>
    <w:lsdException w:name="List Bullet 2" w:semiHidden="0" w:uiPriority="1" w:unhideWhenUsed="0" w:qFormat="1"/>
    <w:lsdException w:name="List Bullet 3" w:uiPriority="1"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B59CE"/>
    <w:pPr>
      <w:spacing w:before="120" w:after="180" w:line="240" w:lineRule="atLeast"/>
    </w:pPr>
    <w:rPr>
      <w:sz w:val="22"/>
      <w:lang w:eastAsia="en-US"/>
    </w:rPr>
  </w:style>
  <w:style w:type="paragraph" w:styleId="Heading1">
    <w:name w:val="heading 1"/>
    <w:basedOn w:val="Normal"/>
    <w:next w:val="Normal"/>
    <w:link w:val="Heading1Char"/>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C7010D"/>
    <w:pPr>
      <w:keepNext/>
      <w:keepLines/>
      <w:spacing w:before="360" w:after="120"/>
      <w:ind w:left="357" w:hanging="357"/>
      <w:outlineLvl w:val="2"/>
    </w:pPr>
    <w:rPr>
      <w:rFonts w:ascii="Arial" w:eastAsia="Times New Roman" w:hAnsi="Arial"/>
      <w:b/>
      <w:bCs/>
      <w:sz w:val="32"/>
      <w:szCs w:val="32"/>
    </w:rPr>
  </w:style>
  <w:style w:type="paragraph" w:styleId="Heading4">
    <w:name w:val="heading 4"/>
    <w:basedOn w:val="Normal"/>
    <w:next w:val="Normal"/>
    <w:link w:val="Heading4Char"/>
    <w:qFormat/>
    <w:rsid w:val="00C7010D"/>
    <w:pPr>
      <w:keepNext/>
      <w:keepLines/>
      <w:spacing w:before="240" w:after="120"/>
      <w:outlineLvl w:val="3"/>
    </w:pPr>
    <w:rPr>
      <w:rFonts w:ascii="Arial" w:hAnsi="Arial"/>
      <w:b/>
      <w:bCs/>
      <w:sz w:val="26"/>
      <w:szCs w:val="26"/>
    </w:rPr>
  </w:style>
  <w:style w:type="paragraph" w:styleId="Heading5">
    <w:name w:val="heading 5"/>
    <w:basedOn w:val="Normal"/>
    <w:next w:val="Normal"/>
    <w:link w:val="Heading5Char"/>
    <w:uiPriority w:val="9"/>
    <w:rsid w:val="003F6BCE"/>
    <w:pPr>
      <w:keepNext/>
      <w:keepLines/>
      <w:spacing w:before="240" w:after="120"/>
      <w:outlineLvl w:val="4"/>
    </w:pPr>
    <w:rPr>
      <w:rFonts w:eastAsia="Times New Roman"/>
      <w:b/>
      <w:bCs/>
      <w:color w:val="001523"/>
      <w:sz w:val="24"/>
      <w:szCs w:val="24"/>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C7010D"/>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C7010D"/>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3F6BCE"/>
    <w:rPr>
      <w:rFonts w:eastAsia="Times New Roman"/>
      <w:b/>
      <w:bCs/>
      <w:color w:val="001523"/>
      <w:sz w:val="24"/>
      <w:szCs w:val="24"/>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E61A04"/>
    <w:pPr>
      <w:numPr>
        <w:numId w:val="3"/>
      </w:numPr>
      <w:spacing w:before="0" w:after="120"/>
      <w:ind w:left="357" w:hanging="357"/>
    </w:pPr>
  </w:style>
  <w:style w:type="paragraph" w:styleId="ListBullet2">
    <w:name w:val="List Bullet 2"/>
    <w:basedOn w:val="Normal"/>
    <w:uiPriority w:val="1"/>
    <w:qFormat/>
    <w:rsid w:val="004B5A6B"/>
    <w:pPr>
      <w:numPr>
        <w:ilvl w:val="1"/>
        <w:numId w:val="3"/>
      </w:numPr>
    </w:pPr>
  </w:style>
  <w:style w:type="paragraph" w:styleId="ListBullet3">
    <w:name w:val="List Bullet 3"/>
    <w:basedOn w:val="Normal"/>
    <w:uiPriority w:val="1"/>
    <w:qFormat/>
    <w:rsid w:val="004B5A6B"/>
    <w:pPr>
      <w:numPr>
        <w:ilvl w:val="2"/>
        <w:numId w:val="3"/>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
    <w:name w:val="Number bullet"/>
    <w:basedOn w:val="ListBullet"/>
    <w:uiPriority w:val="2"/>
    <w:qFormat/>
    <w:rsid w:val="004A2F25"/>
    <w:pPr>
      <w:numPr>
        <w:numId w:val="7"/>
      </w:numPr>
    </w:pPr>
  </w:style>
  <w:style w:type="paragraph" w:customStyle="1" w:styleId="Numberbullet2">
    <w:name w:val="Number bullet 2"/>
    <w:basedOn w:val="ListBullet2"/>
    <w:uiPriority w:val="2"/>
    <w:qFormat/>
    <w:rsid w:val="00EE1482"/>
    <w:pPr>
      <w:numPr>
        <w:numId w:val="4"/>
      </w:numPr>
    </w:pPr>
  </w:style>
  <w:style w:type="paragraph" w:customStyle="1" w:styleId="Numberbullet3">
    <w:name w:val="Number bullet 3"/>
    <w:basedOn w:val="ListBullet3"/>
    <w:uiPriority w:val="2"/>
    <w:qFormat/>
    <w:rsid w:val="00EE1482"/>
    <w:pPr>
      <w:numPr>
        <w:numId w:val="4"/>
      </w:numPr>
    </w:pPr>
  </w:style>
  <w:style w:type="numbering" w:customStyle="1" w:styleId="NumberBullet0">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8F6C37"/>
    <w:pPr>
      <w:framePr w:hSpace="180" w:wrap="around" w:vAnchor="page" w:hAnchor="margin" w:y="3166"/>
      <w:numPr>
        <w:ilvl w:val="1"/>
      </w:numPr>
      <w:spacing w:before="0" w:after="0"/>
    </w:pPr>
    <w:rPr>
      <w:rFonts w:ascii="Arial" w:eastAsia="Times New Roman" w:hAnsi="Arial"/>
      <w:bCs/>
      <w:iCs/>
      <w:color w:val="006DA7"/>
      <w:sz w:val="40"/>
      <w:szCs w:val="24"/>
      <w:lang w:eastAsia="en-AU"/>
    </w:rPr>
  </w:style>
  <w:style w:type="character" w:customStyle="1" w:styleId="SubtitleChar">
    <w:name w:val="Subtitle Char"/>
    <w:basedOn w:val="DefaultParagraphFont"/>
    <w:link w:val="Subtitle"/>
    <w:uiPriority w:val="11"/>
    <w:rsid w:val="008F6C37"/>
    <w:rPr>
      <w:rFonts w:ascii="Arial" w:eastAsia="Times New Roman" w:hAnsi="Arial"/>
      <w:bCs/>
      <w:iCs/>
      <w:color w:val="006DA7"/>
      <w:sz w:val="40"/>
      <w:szCs w:val="24"/>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uiPriority w:val="10"/>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791A1B"/>
    <w:pPr>
      <w:keepLines/>
      <w:spacing w:before="0" w:after="0"/>
      <w:ind w:left="426" w:hanging="426"/>
    </w:pPr>
    <w:rPr>
      <w:sz w:val="20"/>
      <w:lang w:val="en-US"/>
    </w:rPr>
  </w:style>
  <w:style w:type="character" w:customStyle="1" w:styleId="FootnoteTextChar">
    <w:name w:val="Footnote Text Char"/>
    <w:basedOn w:val="DefaultParagraphFont"/>
    <w:link w:val="FootnoteText"/>
    <w:uiPriority w:val="99"/>
    <w:rsid w:val="00791A1B"/>
    <w:rPr>
      <w:lang w:val="en-US" w:eastAsia="en-US"/>
    </w:rPr>
  </w:style>
  <w:style w:type="character" w:styleId="FootnoteReference">
    <w:name w:val="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EE1482"/>
    <w:pPr>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unhideWhenUsed/>
    <w:rsid w:val="000B0A5D"/>
    <w:pPr>
      <w:spacing w:line="240" w:lineRule="auto"/>
    </w:pPr>
    <w:rPr>
      <w:sz w:val="20"/>
    </w:rPr>
  </w:style>
  <w:style w:type="character" w:customStyle="1" w:styleId="CommentTextChar">
    <w:name w:val="Comment Text Char"/>
    <w:basedOn w:val="DefaultParagraphFont"/>
    <w:link w:val="CommentText"/>
    <w:uiPriority w:val="99"/>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paragraph" w:styleId="ListParagraph">
    <w:name w:val="List Paragraph"/>
    <w:basedOn w:val="Normal"/>
    <w:uiPriority w:val="34"/>
    <w:qFormat/>
    <w:rsid w:val="009270D8"/>
    <w:pPr>
      <w:spacing w:before="0" w:after="200" w:line="276" w:lineRule="auto"/>
      <w:ind w:left="720"/>
      <w:contextualSpacing/>
    </w:pPr>
    <w:rPr>
      <w:rFonts w:asciiTheme="minorHAnsi" w:eastAsiaTheme="minorHAnsi" w:hAnsiTheme="minorHAnsi" w:cstheme="minorBidi"/>
      <w:szCs w:val="22"/>
    </w:rPr>
  </w:style>
  <w:style w:type="paragraph" w:customStyle="1" w:styleId="Default">
    <w:name w:val="Default"/>
    <w:rsid w:val="00C8721B"/>
    <w:pPr>
      <w:autoSpaceDE w:val="0"/>
      <w:autoSpaceDN w:val="0"/>
      <w:adjustRightInd w:val="0"/>
    </w:pPr>
    <w:rPr>
      <w:rFonts w:cs="Cambria"/>
      <w:color w:val="000000"/>
      <w:sz w:val="24"/>
      <w:szCs w:val="24"/>
    </w:rPr>
  </w:style>
  <w:style w:type="table" w:customStyle="1" w:styleId="TableTGAblue1">
    <w:name w:val="Table TGA blue1"/>
    <w:basedOn w:val="TableNormal"/>
    <w:uiPriority w:val="99"/>
    <w:qFormat/>
    <w:rsid w:val="001A2847"/>
    <w:pPr>
      <w:keepNext/>
    </w:pPr>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paragraph" w:customStyle="1" w:styleId="NonTOCheading4">
    <w:name w:val="Non TOC heading 4"/>
    <w:basedOn w:val="NonTOCheading2"/>
    <w:qFormat/>
    <w:rsid w:val="00573840"/>
    <w:rPr>
      <w:sz w:val="26"/>
      <w:szCs w:val="26"/>
    </w:rPr>
  </w:style>
  <w:style w:type="paragraph" w:styleId="Revision">
    <w:name w:val="Revision"/>
    <w:hidden/>
    <w:uiPriority w:val="99"/>
    <w:semiHidden/>
    <w:rsid w:val="00021CF1"/>
    <w:rPr>
      <w:sz w:val="22"/>
      <w:lang w:eastAsia="en-US"/>
    </w:rPr>
  </w:style>
  <w:style w:type="character" w:customStyle="1" w:styleId="charparttext">
    <w:name w:val="charparttext"/>
    <w:basedOn w:val="DefaultParagraphFont"/>
    <w:rsid w:val="00DC4C8C"/>
  </w:style>
  <w:style w:type="paragraph" w:customStyle="1" w:styleId="NonTOCheading5">
    <w:name w:val="Non TOC heading 5"/>
    <w:basedOn w:val="NonTOCheading2"/>
    <w:qFormat/>
    <w:rsid w:val="00FF4A00"/>
    <w:pPr>
      <w:spacing w:before="240" w:after="120"/>
    </w:pPr>
    <w:rPr>
      <w:rFonts w:ascii="Cambria" w:hAnsi="Cambria"/>
      <w:sz w:val="24"/>
    </w:rPr>
  </w:style>
  <w:style w:type="table" w:customStyle="1" w:styleId="TableTGAblue2">
    <w:name w:val="Table TGA blue2"/>
    <w:basedOn w:val="TableNormal"/>
    <w:uiPriority w:val="99"/>
    <w:qFormat/>
    <w:rsid w:val="004A2F9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343290">
      <w:bodyDiv w:val="1"/>
      <w:marLeft w:val="0"/>
      <w:marRight w:val="0"/>
      <w:marTop w:val="0"/>
      <w:marBottom w:val="0"/>
      <w:divBdr>
        <w:top w:val="none" w:sz="0" w:space="0" w:color="auto"/>
        <w:left w:val="none" w:sz="0" w:space="0" w:color="auto"/>
        <w:bottom w:val="none" w:sz="0" w:space="0" w:color="auto"/>
        <w:right w:val="none" w:sz="0" w:space="0" w:color="auto"/>
      </w:divBdr>
    </w:div>
    <w:div w:id="1737818937">
      <w:bodyDiv w:val="1"/>
      <w:marLeft w:val="0"/>
      <w:marRight w:val="0"/>
      <w:marTop w:val="0"/>
      <w:marBottom w:val="0"/>
      <w:divBdr>
        <w:top w:val="none" w:sz="0" w:space="0" w:color="auto"/>
        <w:left w:val="none" w:sz="0" w:space="0" w:color="auto"/>
        <w:bottom w:val="none" w:sz="0" w:space="0" w:color="auto"/>
        <w:right w:val="none" w:sz="0" w:space="0" w:color="auto"/>
      </w:divBdr>
      <w:divsChild>
        <w:div w:id="1888760565">
          <w:marLeft w:val="0"/>
          <w:marRight w:val="0"/>
          <w:marTop w:val="0"/>
          <w:marBottom w:val="0"/>
          <w:divBdr>
            <w:top w:val="none" w:sz="0" w:space="0" w:color="auto"/>
            <w:left w:val="none" w:sz="0" w:space="0" w:color="auto"/>
            <w:bottom w:val="none" w:sz="0" w:space="0" w:color="auto"/>
            <w:right w:val="none" w:sz="0" w:space="0" w:color="auto"/>
          </w:divBdr>
          <w:divsChild>
            <w:div w:id="1700818397">
              <w:marLeft w:val="0"/>
              <w:marRight w:val="0"/>
              <w:marTop w:val="0"/>
              <w:marBottom w:val="0"/>
              <w:divBdr>
                <w:top w:val="none" w:sz="0" w:space="0" w:color="auto"/>
                <w:left w:val="none" w:sz="0" w:space="0" w:color="auto"/>
                <w:bottom w:val="none" w:sz="0" w:space="0" w:color="auto"/>
                <w:right w:val="none" w:sz="0" w:space="0" w:color="auto"/>
              </w:divBdr>
              <w:divsChild>
                <w:div w:id="1712420031">
                  <w:marLeft w:val="0"/>
                  <w:marRight w:val="0"/>
                  <w:marTop w:val="0"/>
                  <w:marBottom w:val="0"/>
                  <w:divBdr>
                    <w:top w:val="none" w:sz="0" w:space="0" w:color="auto"/>
                    <w:left w:val="none" w:sz="0" w:space="0" w:color="auto"/>
                    <w:bottom w:val="none" w:sz="0" w:space="0" w:color="auto"/>
                    <w:right w:val="none" w:sz="0" w:space="0" w:color="auto"/>
                  </w:divBdr>
                  <w:divsChild>
                    <w:div w:id="498926578">
                      <w:marLeft w:val="0"/>
                      <w:marRight w:val="0"/>
                      <w:marTop w:val="0"/>
                      <w:marBottom w:val="0"/>
                      <w:divBdr>
                        <w:top w:val="none" w:sz="0" w:space="0" w:color="auto"/>
                        <w:left w:val="none" w:sz="0" w:space="0" w:color="auto"/>
                        <w:bottom w:val="none" w:sz="0" w:space="0" w:color="auto"/>
                        <w:right w:val="none" w:sz="0" w:space="0" w:color="auto"/>
                      </w:divBdr>
                      <w:divsChild>
                        <w:div w:id="783116232">
                          <w:marLeft w:val="0"/>
                          <w:marRight w:val="0"/>
                          <w:marTop w:val="0"/>
                          <w:marBottom w:val="0"/>
                          <w:divBdr>
                            <w:top w:val="none" w:sz="0" w:space="0" w:color="auto"/>
                            <w:left w:val="none" w:sz="0" w:space="0" w:color="auto"/>
                            <w:bottom w:val="none" w:sz="0" w:space="0" w:color="auto"/>
                            <w:right w:val="none" w:sz="0" w:space="0" w:color="auto"/>
                          </w:divBdr>
                          <w:divsChild>
                            <w:div w:id="49695547">
                              <w:marLeft w:val="0"/>
                              <w:marRight w:val="0"/>
                              <w:marTop w:val="0"/>
                              <w:marBottom w:val="0"/>
                              <w:divBdr>
                                <w:top w:val="none" w:sz="0" w:space="0" w:color="auto"/>
                                <w:left w:val="none" w:sz="0" w:space="0" w:color="auto"/>
                                <w:bottom w:val="none" w:sz="0" w:space="0" w:color="auto"/>
                                <w:right w:val="none" w:sz="0" w:space="0" w:color="auto"/>
                              </w:divBdr>
                              <w:divsChild>
                                <w:div w:id="330914525">
                                  <w:marLeft w:val="0"/>
                                  <w:marRight w:val="0"/>
                                  <w:marTop w:val="0"/>
                                  <w:marBottom w:val="0"/>
                                  <w:divBdr>
                                    <w:top w:val="none" w:sz="0" w:space="0" w:color="auto"/>
                                    <w:left w:val="none" w:sz="0" w:space="0" w:color="auto"/>
                                    <w:bottom w:val="none" w:sz="0" w:space="0" w:color="auto"/>
                                    <w:right w:val="none" w:sz="0" w:space="0" w:color="auto"/>
                                  </w:divBdr>
                                  <w:divsChild>
                                    <w:div w:id="222496338">
                                      <w:marLeft w:val="0"/>
                                      <w:marRight w:val="0"/>
                                      <w:marTop w:val="0"/>
                                      <w:marBottom w:val="0"/>
                                      <w:divBdr>
                                        <w:top w:val="none" w:sz="0" w:space="0" w:color="auto"/>
                                        <w:left w:val="none" w:sz="0" w:space="0" w:color="auto"/>
                                        <w:bottom w:val="none" w:sz="0" w:space="0" w:color="auto"/>
                                        <w:right w:val="none" w:sz="0" w:space="0" w:color="auto"/>
                                      </w:divBdr>
                                      <w:divsChild>
                                        <w:div w:id="14099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ga.copyright@tga.gov.au" TargetMode="External"/><Relationship Id="rId18" Type="http://schemas.openxmlformats.org/officeDocument/2006/relationships/hyperlink" Target="https://www.tga.gov.au/committee/regulatory-and-technical-consultative-forum-medical-devices-regtech-forum"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fda.gov/medicaldevices/deviceregulationandguidance/howtomarketyourdevice/premarketsubmissions/premarketnotification510k/default.htm" TargetMode="External"/><Relationship Id="rId25" Type="http://schemas.openxmlformats.org/officeDocument/2006/relationships/hyperlink" Target="trim://D17-312985?db=A7&amp;open" TargetMode="External"/><Relationship Id="rId2" Type="http://schemas.openxmlformats.org/officeDocument/2006/relationships/numbering" Target="numbering.xml"/><Relationship Id="rId16" Type="http://schemas.openxmlformats.org/officeDocument/2006/relationships/hyperlink" Target="http://www.fda.gov/medicaldevices/deviceregulationandguidance/howtomarketyourdevice/premarketsubmissions/premarketapprovalpma/"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info@tga.gov.a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ga.gov.au/medical-devices-regulation-basic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gov.au/internet/main/publishing.nsf/Content/Expert-Review-of-Medicines-and-Medical-Devices-Regulation" TargetMode="External"/><Relationship Id="rId22" Type="http://schemas.openxmlformats.org/officeDocument/2006/relationships/header" Target="header4.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growth/single-market/european-standards/harmonised-standards/implantable-medical-devices/index_en.htm" TargetMode="External"/><Relationship Id="rId3" Type="http://schemas.openxmlformats.org/officeDocument/2006/relationships/hyperlink" Target="https://www.legislation.gov.au/Details/F2016C00150/Html/Text" TargetMode="External"/><Relationship Id="rId7" Type="http://schemas.openxmlformats.org/officeDocument/2006/relationships/hyperlink" Target="http://ec.europa.eu/growth/single-market/european-standards/harmonised-standards/medical-devices/index_en.htm" TargetMode="External"/><Relationship Id="rId2" Type="http://schemas.openxmlformats.org/officeDocument/2006/relationships/hyperlink" Target="https://www.legislation.gov.au/Details/C2016C01117" TargetMode="External"/><Relationship Id="rId1" Type="http://schemas.openxmlformats.org/officeDocument/2006/relationships/hyperlink" Target="https://www.tga.gov.au/consultation/consultation-designation-australian-conformity-assessment-bodies-medical-devices-implementation" TargetMode="External"/><Relationship Id="rId6" Type="http://schemas.openxmlformats.org/officeDocument/2006/relationships/hyperlink" Target="https://www.legislation.gov.au/Details/F2016C00755" TargetMode="External"/><Relationship Id="rId5" Type="http://schemas.openxmlformats.org/officeDocument/2006/relationships/hyperlink" Target="https://www.legislation.gov.au/Details/F2016C00150/Html/Text" TargetMode="External"/><Relationship Id="rId4" Type="http://schemas.openxmlformats.org/officeDocument/2006/relationships/hyperlink" Target="https://www.legislation.gov.au/Details/F2016C00150/Html/Text" TargetMode="External"/><Relationship Id="rId9" Type="http://schemas.openxmlformats.org/officeDocument/2006/relationships/hyperlink" Target="https://www.legislation.gov.au/Details/F2016C0075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20External\Consultation%20paper.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550D-834D-421B-8450-C0C5637F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paper.dotx</Template>
  <TotalTime>216</TotalTime>
  <Pages>25</Pages>
  <Words>8476</Words>
  <Characters>49162</Characters>
  <Application>Microsoft Office Word</Application>
  <DocSecurity>0</DocSecurity>
  <Lines>877</Lines>
  <Paragraphs>430</Paragraphs>
  <ScaleCrop>false</ScaleCrop>
  <HeadingPairs>
    <vt:vector size="2" baseType="variant">
      <vt:variant>
        <vt:lpstr>Title</vt:lpstr>
      </vt:variant>
      <vt:variant>
        <vt:i4>1</vt:i4>
      </vt:variant>
    </vt:vector>
  </HeadingPairs>
  <TitlesOfParts>
    <vt:vector size="1" baseType="lpstr">
      <vt:lpstr>Consultation: Comparable overseas regulators - medical devices</vt:lpstr>
    </vt:vector>
  </TitlesOfParts>
  <Company>TGA</Company>
  <LinksUpToDate>false</LinksUpToDate>
  <CharactersWithSpaces>57208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Comparable overseas regulators - medical devices</dc:title>
  <dc:subject>medical devices</dc:subject>
  <dc:creator>Therapeutic Goods Administration</dc:creator>
  <cp:keywords>regulatory reform, medical devices</cp:keywords>
  <cp:lastModifiedBy>SHEPPARD, Fran</cp:lastModifiedBy>
  <cp:revision>31</cp:revision>
  <cp:lastPrinted>2017-03-30T06:09:00Z</cp:lastPrinted>
  <dcterms:created xsi:type="dcterms:W3CDTF">2017-04-20T05:37:00Z</dcterms:created>
  <dcterms:modified xsi:type="dcterms:W3CDTF">2017-05-09T03:47:00Z</dcterms:modified>
</cp:coreProperties>
</file>