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54746A" w:rsidP="001E3B58">
            <w:pPr>
              <w:pStyle w:val="Title"/>
              <w:framePr w:hSpace="0" w:wrap="auto" w:vAnchor="margin" w:hAnchor="text" w:yAlign="inline"/>
            </w:pPr>
            <w:r>
              <w:t xml:space="preserve">Alignment with European medical device </w:t>
            </w:r>
            <w:r w:rsidRPr="001E3B58">
              <w:t>regulatory</w:t>
            </w:r>
            <w:r>
              <w:t xml:space="preserve"> framework</w:t>
            </w:r>
          </w:p>
        </w:tc>
      </w:tr>
      <w:tr w:rsidR="00ED0C8B" w:rsidRPr="009401F6" w:rsidTr="00ED0C8B">
        <w:trPr>
          <w:trHeight w:val="1387"/>
        </w:trPr>
        <w:tc>
          <w:tcPr>
            <w:tcW w:w="8720" w:type="dxa"/>
          </w:tcPr>
          <w:p w:rsidR="001D480A" w:rsidRDefault="0054746A" w:rsidP="00ED0C8B">
            <w:pPr>
              <w:pStyle w:val="Subtitle"/>
              <w:ind w:left="0"/>
              <w:rPr>
                <w:lang w:eastAsia="en-AU"/>
              </w:rPr>
            </w:pPr>
            <w:r>
              <w:rPr>
                <w:lang w:eastAsia="en-AU"/>
              </w:rPr>
              <w:t>Up-classification of surgical mesh</w:t>
            </w:r>
          </w:p>
          <w:p w:rsidR="0054746A" w:rsidRPr="009401F6" w:rsidRDefault="0054746A" w:rsidP="00ED0C8B">
            <w:pPr>
              <w:pStyle w:val="Subtitle"/>
              <w:ind w:left="0"/>
              <w:rPr>
                <w:lang w:eastAsia="en-AU"/>
              </w:rPr>
            </w:pPr>
            <w:r>
              <w:rPr>
                <w:lang w:eastAsia="en-AU"/>
              </w:rPr>
              <w:t>Patient implant cards</w:t>
            </w:r>
          </w:p>
        </w:tc>
      </w:tr>
      <w:tr w:rsidR="00ED0C8B" w:rsidRPr="009401F6" w:rsidTr="00ED0C8B">
        <w:tc>
          <w:tcPr>
            <w:tcW w:w="8720" w:type="dxa"/>
          </w:tcPr>
          <w:p w:rsidR="00ED0C8B" w:rsidRPr="001E3B58" w:rsidRDefault="00ED0C8B" w:rsidP="001E3B58">
            <w:pPr>
              <w:pStyle w:val="Date"/>
            </w:pPr>
            <w:r w:rsidRPr="001E3B58">
              <w:t xml:space="preserve">Version 1.0, </w:t>
            </w:r>
            <w:r w:rsidR="0054746A" w:rsidRPr="001E3B58">
              <w:t>July 2017</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FE1941">
        <w:t>7</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r w:rsidR="00277EF5" w:rsidRPr="00EB182C">
        <w:br w:type="page"/>
      </w:r>
      <w:bookmarkStart w:id="0"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DD3643"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88929455" w:history="1">
            <w:r w:rsidR="00DD3643" w:rsidRPr="0009381A">
              <w:rPr>
                <w:rStyle w:val="Hyperlink"/>
                <w:noProof/>
              </w:rPr>
              <w:t>Introduction</w:t>
            </w:r>
            <w:r w:rsidR="00DD3643">
              <w:rPr>
                <w:noProof/>
                <w:webHidden/>
              </w:rPr>
              <w:tab/>
            </w:r>
            <w:r w:rsidR="00DD3643">
              <w:rPr>
                <w:noProof/>
                <w:webHidden/>
              </w:rPr>
              <w:fldChar w:fldCharType="begin"/>
            </w:r>
            <w:r w:rsidR="00DD3643">
              <w:rPr>
                <w:noProof/>
                <w:webHidden/>
              </w:rPr>
              <w:instrText xml:space="preserve"> PAGEREF _Toc488929455 \h </w:instrText>
            </w:r>
            <w:r w:rsidR="00DD3643">
              <w:rPr>
                <w:noProof/>
                <w:webHidden/>
              </w:rPr>
            </w:r>
            <w:r w:rsidR="00DD3643">
              <w:rPr>
                <w:noProof/>
                <w:webHidden/>
              </w:rPr>
              <w:fldChar w:fldCharType="separate"/>
            </w:r>
            <w:r w:rsidR="00DD3643">
              <w:rPr>
                <w:noProof/>
                <w:webHidden/>
              </w:rPr>
              <w:t>4</w:t>
            </w:r>
            <w:r w:rsidR="00DD3643">
              <w:rPr>
                <w:noProof/>
                <w:webHidden/>
              </w:rPr>
              <w:fldChar w:fldCharType="end"/>
            </w:r>
          </w:hyperlink>
        </w:p>
        <w:p w:rsidR="00DD3643" w:rsidRDefault="006E3AC2">
          <w:pPr>
            <w:pStyle w:val="TOC1"/>
            <w:rPr>
              <w:rFonts w:asciiTheme="minorHAnsi" w:eastAsiaTheme="minorEastAsia" w:hAnsiTheme="minorHAnsi" w:cstheme="minorBidi"/>
              <w:b w:val="0"/>
              <w:noProof/>
              <w:sz w:val="22"/>
              <w:szCs w:val="22"/>
              <w:lang w:eastAsia="en-AU"/>
            </w:rPr>
          </w:pPr>
          <w:hyperlink w:anchor="_Toc488929456" w:history="1">
            <w:r w:rsidR="00DD3643" w:rsidRPr="0009381A">
              <w:rPr>
                <w:rStyle w:val="Hyperlink"/>
                <w:noProof/>
              </w:rPr>
              <w:t>Background</w:t>
            </w:r>
            <w:r w:rsidR="00DD3643">
              <w:rPr>
                <w:noProof/>
                <w:webHidden/>
              </w:rPr>
              <w:tab/>
            </w:r>
            <w:r w:rsidR="00DD3643">
              <w:rPr>
                <w:noProof/>
                <w:webHidden/>
              </w:rPr>
              <w:fldChar w:fldCharType="begin"/>
            </w:r>
            <w:r w:rsidR="00DD3643">
              <w:rPr>
                <w:noProof/>
                <w:webHidden/>
              </w:rPr>
              <w:instrText xml:space="preserve"> PAGEREF _Toc488929456 \h </w:instrText>
            </w:r>
            <w:r w:rsidR="00DD3643">
              <w:rPr>
                <w:noProof/>
                <w:webHidden/>
              </w:rPr>
            </w:r>
            <w:r w:rsidR="00DD3643">
              <w:rPr>
                <w:noProof/>
                <w:webHidden/>
              </w:rPr>
              <w:fldChar w:fldCharType="separate"/>
            </w:r>
            <w:r w:rsidR="00DD3643">
              <w:rPr>
                <w:noProof/>
                <w:webHidden/>
              </w:rPr>
              <w:t>4</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57" w:history="1">
            <w:r w:rsidR="00DD3643" w:rsidRPr="0009381A">
              <w:rPr>
                <w:rStyle w:val="Hyperlink"/>
                <w:noProof/>
              </w:rPr>
              <w:t>Why change?</w:t>
            </w:r>
            <w:r w:rsidR="00DD3643">
              <w:rPr>
                <w:noProof/>
                <w:webHidden/>
              </w:rPr>
              <w:tab/>
            </w:r>
            <w:r w:rsidR="00DD3643">
              <w:rPr>
                <w:noProof/>
                <w:webHidden/>
              </w:rPr>
              <w:fldChar w:fldCharType="begin"/>
            </w:r>
            <w:r w:rsidR="00DD3643">
              <w:rPr>
                <w:noProof/>
                <w:webHidden/>
              </w:rPr>
              <w:instrText xml:space="preserve"> PAGEREF _Toc488929457 \h </w:instrText>
            </w:r>
            <w:r w:rsidR="00DD3643">
              <w:rPr>
                <w:noProof/>
                <w:webHidden/>
              </w:rPr>
            </w:r>
            <w:r w:rsidR="00DD3643">
              <w:rPr>
                <w:noProof/>
                <w:webHidden/>
              </w:rPr>
              <w:fldChar w:fldCharType="separate"/>
            </w:r>
            <w:r w:rsidR="00DD3643">
              <w:rPr>
                <w:noProof/>
                <w:webHidden/>
              </w:rPr>
              <w:t>4</w:t>
            </w:r>
            <w:r w:rsidR="00DD3643">
              <w:rPr>
                <w:noProof/>
                <w:webHidden/>
              </w:rPr>
              <w:fldChar w:fldCharType="end"/>
            </w:r>
          </w:hyperlink>
        </w:p>
        <w:p w:rsidR="00DD3643" w:rsidRDefault="006E3AC2">
          <w:pPr>
            <w:pStyle w:val="TOC1"/>
            <w:rPr>
              <w:rFonts w:asciiTheme="minorHAnsi" w:eastAsiaTheme="minorEastAsia" w:hAnsiTheme="minorHAnsi" w:cstheme="minorBidi"/>
              <w:b w:val="0"/>
              <w:noProof/>
              <w:sz w:val="22"/>
              <w:szCs w:val="22"/>
              <w:lang w:eastAsia="en-AU"/>
            </w:rPr>
          </w:pPr>
          <w:hyperlink w:anchor="_Toc488929458" w:history="1">
            <w:r w:rsidR="00DD3643" w:rsidRPr="0009381A">
              <w:rPr>
                <w:rStyle w:val="Hyperlink"/>
                <w:noProof/>
              </w:rPr>
              <w:t>Up-classification of surgical meshes</w:t>
            </w:r>
            <w:r w:rsidR="00DD3643">
              <w:rPr>
                <w:noProof/>
                <w:webHidden/>
              </w:rPr>
              <w:tab/>
            </w:r>
            <w:r w:rsidR="00DD3643">
              <w:rPr>
                <w:noProof/>
                <w:webHidden/>
              </w:rPr>
              <w:fldChar w:fldCharType="begin"/>
            </w:r>
            <w:r w:rsidR="00DD3643">
              <w:rPr>
                <w:noProof/>
                <w:webHidden/>
              </w:rPr>
              <w:instrText xml:space="preserve"> PAGEREF _Toc488929458 \h </w:instrText>
            </w:r>
            <w:r w:rsidR="00DD3643">
              <w:rPr>
                <w:noProof/>
                <w:webHidden/>
              </w:rPr>
            </w:r>
            <w:r w:rsidR="00DD3643">
              <w:rPr>
                <w:noProof/>
                <w:webHidden/>
              </w:rPr>
              <w:fldChar w:fldCharType="separate"/>
            </w:r>
            <w:r w:rsidR="00DD3643">
              <w:rPr>
                <w:noProof/>
                <w:webHidden/>
              </w:rPr>
              <w:t>5</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59" w:history="1">
            <w:r w:rsidR="00DD3643" w:rsidRPr="0009381A">
              <w:rPr>
                <w:rStyle w:val="Hyperlink"/>
                <w:noProof/>
              </w:rPr>
              <w:t>What are surgical meshes?</w:t>
            </w:r>
            <w:r w:rsidR="00DD3643">
              <w:rPr>
                <w:noProof/>
                <w:webHidden/>
              </w:rPr>
              <w:tab/>
            </w:r>
            <w:r w:rsidR="00DD3643">
              <w:rPr>
                <w:noProof/>
                <w:webHidden/>
              </w:rPr>
              <w:fldChar w:fldCharType="begin"/>
            </w:r>
            <w:r w:rsidR="00DD3643">
              <w:rPr>
                <w:noProof/>
                <w:webHidden/>
              </w:rPr>
              <w:instrText xml:space="preserve"> PAGEREF _Toc488929459 \h </w:instrText>
            </w:r>
            <w:r w:rsidR="00DD3643">
              <w:rPr>
                <w:noProof/>
                <w:webHidden/>
              </w:rPr>
            </w:r>
            <w:r w:rsidR="00DD3643">
              <w:rPr>
                <w:noProof/>
                <w:webHidden/>
              </w:rPr>
              <w:fldChar w:fldCharType="separate"/>
            </w:r>
            <w:r w:rsidR="00DD3643">
              <w:rPr>
                <w:noProof/>
                <w:webHidden/>
              </w:rPr>
              <w:t>5</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60" w:history="1">
            <w:r w:rsidR="00DD3643" w:rsidRPr="0009381A">
              <w:rPr>
                <w:rStyle w:val="Hyperlink"/>
                <w:noProof/>
              </w:rPr>
              <w:t>What’s changing?</w:t>
            </w:r>
            <w:r w:rsidR="00DD3643">
              <w:rPr>
                <w:noProof/>
                <w:webHidden/>
              </w:rPr>
              <w:tab/>
            </w:r>
            <w:r w:rsidR="00DD3643">
              <w:rPr>
                <w:noProof/>
                <w:webHidden/>
              </w:rPr>
              <w:fldChar w:fldCharType="begin"/>
            </w:r>
            <w:r w:rsidR="00DD3643">
              <w:rPr>
                <w:noProof/>
                <w:webHidden/>
              </w:rPr>
              <w:instrText xml:space="preserve"> PAGEREF _Toc488929460 \h </w:instrText>
            </w:r>
            <w:r w:rsidR="00DD3643">
              <w:rPr>
                <w:noProof/>
                <w:webHidden/>
              </w:rPr>
            </w:r>
            <w:r w:rsidR="00DD3643">
              <w:rPr>
                <w:noProof/>
                <w:webHidden/>
              </w:rPr>
              <w:fldChar w:fldCharType="separate"/>
            </w:r>
            <w:r w:rsidR="00DD3643">
              <w:rPr>
                <w:noProof/>
                <w:webHidden/>
              </w:rPr>
              <w:t>6</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61" w:history="1">
            <w:r w:rsidR="00DD3643" w:rsidRPr="0009381A">
              <w:rPr>
                <w:rStyle w:val="Hyperlink"/>
                <w:noProof/>
              </w:rPr>
              <w:t>How will this be implemented?</w:t>
            </w:r>
            <w:r w:rsidR="00DD3643">
              <w:rPr>
                <w:noProof/>
                <w:webHidden/>
              </w:rPr>
              <w:tab/>
            </w:r>
            <w:r w:rsidR="00DD3643">
              <w:rPr>
                <w:noProof/>
                <w:webHidden/>
              </w:rPr>
              <w:fldChar w:fldCharType="begin"/>
            </w:r>
            <w:r w:rsidR="00DD3643">
              <w:rPr>
                <w:noProof/>
                <w:webHidden/>
              </w:rPr>
              <w:instrText xml:space="preserve"> PAGEREF _Toc488929461 \h </w:instrText>
            </w:r>
            <w:r w:rsidR="00DD3643">
              <w:rPr>
                <w:noProof/>
                <w:webHidden/>
              </w:rPr>
            </w:r>
            <w:r w:rsidR="00DD3643">
              <w:rPr>
                <w:noProof/>
                <w:webHidden/>
              </w:rPr>
              <w:fldChar w:fldCharType="separate"/>
            </w:r>
            <w:r w:rsidR="00DD3643">
              <w:rPr>
                <w:noProof/>
                <w:webHidden/>
              </w:rPr>
              <w:t>6</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62" w:history="1">
            <w:r w:rsidR="00DD3643" w:rsidRPr="0009381A">
              <w:rPr>
                <w:rStyle w:val="Hyperlink"/>
                <w:noProof/>
              </w:rPr>
              <w:t>Transitional arrangements</w:t>
            </w:r>
            <w:r w:rsidR="00DD3643">
              <w:rPr>
                <w:noProof/>
                <w:webHidden/>
              </w:rPr>
              <w:tab/>
            </w:r>
            <w:r w:rsidR="00DD3643">
              <w:rPr>
                <w:noProof/>
                <w:webHidden/>
              </w:rPr>
              <w:fldChar w:fldCharType="begin"/>
            </w:r>
            <w:r w:rsidR="00DD3643">
              <w:rPr>
                <w:noProof/>
                <w:webHidden/>
              </w:rPr>
              <w:instrText xml:space="preserve"> PAGEREF _Toc488929462 \h </w:instrText>
            </w:r>
            <w:r w:rsidR="00DD3643">
              <w:rPr>
                <w:noProof/>
                <w:webHidden/>
              </w:rPr>
            </w:r>
            <w:r w:rsidR="00DD3643">
              <w:rPr>
                <w:noProof/>
                <w:webHidden/>
              </w:rPr>
              <w:fldChar w:fldCharType="separate"/>
            </w:r>
            <w:r w:rsidR="00DD3643">
              <w:rPr>
                <w:noProof/>
                <w:webHidden/>
              </w:rPr>
              <w:t>6</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63" w:history="1">
            <w:r w:rsidR="00DD3643" w:rsidRPr="0009381A">
              <w:rPr>
                <w:rStyle w:val="Hyperlink"/>
                <w:noProof/>
              </w:rPr>
              <w:t>Questions</w:t>
            </w:r>
            <w:r w:rsidR="00DD3643">
              <w:rPr>
                <w:noProof/>
                <w:webHidden/>
              </w:rPr>
              <w:tab/>
            </w:r>
            <w:r w:rsidR="00DD3643">
              <w:rPr>
                <w:noProof/>
                <w:webHidden/>
              </w:rPr>
              <w:fldChar w:fldCharType="begin"/>
            </w:r>
            <w:r w:rsidR="00DD3643">
              <w:rPr>
                <w:noProof/>
                <w:webHidden/>
              </w:rPr>
              <w:instrText xml:space="preserve"> PAGEREF _Toc488929463 \h </w:instrText>
            </w:r>
            <w:r w:rsidR="00DD3643">
              <w:rPr>
                <w:noProof/>
                <w:webHidden/>
              </w:rPr>
            </w:r>
            <w:r w:rsidR="00DD3643">
              <w:rPr>
                <w:noProof/>
                <w:webHidden/>
              </w:rPr>
              <w:fldChar w:fldCharType="separate"/>
            </w:r>
            <w:r w:rsidR="00DD3643">
              <w:rPr>
                <w:noProof/>
                <w:webHidden/>
              </w:rPr>
              <w:t>7</w:t>
            </w:r>
            <w:r w:rsidR="00DD3643">
              <w:rPr>
                <w:noProof/>
                <w:webHidden/>
              </w:rPr>
              <w:fldChar w:fldCharType="end"/>
            </w:r>
          </w:hyperlink>
        </w:p>
        <w:p w:rsidR="00DD3643" w:rsidRDefault="006E3AC2">
          <w:pPr>
            <w:pStyle w:val="TOC1"/>
            <w:rPr>
              <w:rFonts w:asciiTheme="minorHAnsi" w:eastAsiaTheme="minorEastAsia" w:hAnsiTheme="minorHAnsi" w:cstheme="minorBidi"/>
              <w:b w:val="0"/>
              <w:noProof/>
              <w:sz w:val="22"/>
              <w:szCs w:val="22"/>
              <w:lang w:eastAsia="en-AU"/>
            </w:rPr>
          </w:pPr>
          <w:hyperlink w:anchor="_Toc488929464" w:history="1">
            <w:r w:rsidR="00DD3643" w:rsidRPr="0009381A">
              <w:rPr>
                <w:rStyle w:val="Hyperlink"/>
                <w:noProof/>
              </w:rPr>
              <w:t>Patient implant cards</w:t>
            </w:r>
            <w:r w:rsidR="00DD3643">
              <w:rPr>
                <w:noProof/>
                <w:webHidden/>
              </w:rPr>
              <w:tab/>
            </w:r>
            <w:r w:rsidR="00DD3643">
              <w:rPr>
                <w:noProof/>
                <w:webHidden/>
              </w:rPr>
              <w:fldChar w:fldCharType="begin"/>
            </w:r>
            <w:r w:rsidR="00DD3643">
              <w:rPr>
                <w:noProof/>
                <w:webHidden/>
              </w:rPr>
              <w:instrText xml:space="preserve"> PAGEREF _Toc488929464 \h </w:instrText>
            </w:r>
            <w:r w:rsidR="00DD3643">
              <w:rPr>
                <w:noProof/>
                <w:webHidden/>
              </w:rPr>
            </w:r>
            <w:r w:rsidR="00DD3643">
              <w:rPr>
                <w:noProof/>
                <w:webHidden/>
              </w:rPr>
              <w:fldChar w:fldCharType="separate"/>
            </w:r>
            <w:r w:rsidR="00DD3643">
              <w:rPr>
                <w:noProof/>
                <w:webHidden/>
              </w:rPr>
              <w:t>8</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65" w:history="1">
            <w:r w:rsidR="00DD3643" w:rsidRPr="0009381A">
              <w:rPr>
                <w:rStyle w:val="Hyperlink"/>
                <w:noProof/>
              </w:rPr>
              <w:t>What are patient implant cards?</w:t>
            </w:r>
            <w:r w:rsidR="00DD3643">
              <w:rPr>
                <w:noProof/>
                <w:webHidden/>
              </w:rPr>
              <w:tab/>
            </w:r>
            <w:r w:rsidR="00DD3643">
              <w:rPr>
                <w:noProof/>
                <w:webHidden/>
              </w:rPr>
              <w:fldChar w:fldCharType="begin"/>
            </w:r>
            <w:r w:rsidR="00DD3643">
              <w:rPr>
                <w:noProof/>
                <w:webHidden/>
              </w:rPr>
              <w:instrText xml:space="preserve"> PAGEREF _Toc488929465 \h </w:instrText>
            </w:r>
            <w:r w:rsidR="00DD3643">
              <w:rPr>
                <w:noProof/>
                <w:webHidden/>
              </w:rPr>
            </w:r>
            <w:r w:rsidR="00DD3643">
              <w:rPr>
                <w:noProof/>
                <w:webHidden/>
              </w:rPr>
              <w:fldChar w:fldCharType="separate"/>
            </w:r>
            <w:r w:rsidR="00DD3643">
              <w:rPr>
                <w:noProof/>
                <w:webHidden/>
              </w:rPr>
              <w:t>8</w:t>
            </w:r>
            <w:r w:rsidR="00DD3643">
              <w:rPr>
                <w:noProof/>
                <w:webHidden/>
              </w:rPr>
              <w:fldChar w:fldCharType="end"/>
            </w:r>
          </w:hyperlink>
        </w:p>
        <w:p w:rsidR="00DD3643" w:rsidRDefault="006E3AC2">
          <w:pPr>
            <w:pStyle w:val="TOC2"/>
            <w:rPr>
              <w:rFonts w:asciiTheme="minorHAnsi" w:eastAsiaTheme="minorEastAsia" w:hAnsiTheme="minorHAnsi" w:cstheme="minorBidi"/>
              <w:b w:val="0"/>
              <w:noProof/>
              <w:sz w:val="22"/>
              <w:szCs w:val="22"/>
              <w:lang w:eastAsia="en-AU"/>
            </w:rPr>
          </w:pPr>
          <w:hyperlink w:anchor="_Toc488929466" w:history="1">
            <w:r w:rsidR="00DD3643" w:rsidRPr="0009381A">
              <w:rPr>
                <w:rStyle w:val="Hyperlink"/>
                <w:noProof/>
              </w:rPr>
              <w:t>How will this be implemented?</w:t>
            </w:r>
            <w:r w:rsidR="00DD3643">
              <w:rPr>
                <w:noProof/>
                <w:webHidden/>
              </w:rPr>
              <w:tab/>
            </w:r>
            <w:r w:rsidR="00DD3643">
              <w:rPr>
                <w:noProof/>
                <w:webHidden/>
              </w:rPr>
              <w:fldChar w:fldCharType="begin"/>
            </w:r>
            <w:r w:rsidR="00DD3643">
              <w:rPr>
                <w:noProof/>
                <w:webHidden/>
              </w:rPr>
              <w:instrText xml:space="preserve"> PAGEREF _Toc488929466 \h </w:instrText>
            </w:r>
            <w:r w:rsidR="00DD3643">
              <w:rPr>
                <w:noProof/>
                <w:webHidden/>
              </w:rPr>
            </w:r>
            <w:r w:rsidR="00DD3643">
              <w:rPr>
                <w:noProof/>
                <w:webHidden/>
              </w:rPr>
              <w:fldChar w:fldCharType="separate"/>
            </w:r>
            <w:r w:rsidR="00DD3643">
              <w:rPr>
                <w:noProof/>
                <w:webHidden/>
              </w:rPr>
              <w:t>9</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67" w:history="1">
            <w:r w:rsidR="00DD3643" w:rsidRPr="0009381A">
              <w:rPr>
                <w:rStyle w:val="Hyperlink"/>
                <w:noProof/>
              </w:rPr>
              <w:t>Transition</w:t>
            </w:r>
            <w:r w:rsidR="00DD3643">
              <w:rPr>
                <w:noProof/>
                <w:webHidden/>
              </w:rPr>
              <w:tab/>
            </w:r>
            <w:r w:rsidR="00DD3643">
              <w:rPr>
                <w:noProof/>
                <w:webHidden/>
              </w:rPr>
              <w:fldChar w:fldCharType="begin"/>
            </w:r>
            <w:r w:rsidR="00DD3643">
              <w:rPr>
                <w:noProof/>
                <w:webHidden/>
              </w:rPr>
              <w:instrText xml:space="preserve"> PAGEREF _Toc488929467 \h </w:instrText>
            </w:r>
            <w:r w:rsidR="00DD3643">
              <w:rPr>
                <w:noProof/>
                <w:webHidden/>
              </w:rPr>
            </w:r>
            <w:r w:rsidR="00DD3643">
              <w:rPr>
                <w:noProof/>
                <w:webHidden/>
              </w:rPr>
              <w:fldChar w:fldCharType="separate"/>
            </w:r>
            <w:r w:rsidR="00DD3643">
              <w:rPr>
                <w:noProof/>
                <w:webHidden/>
              </w:rPr>
              <w:t>9</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68" w:history="1">
            <w:r w:rsidR="00DD3643" w:rsidRPr="0009381A">
              <w:rPr>
                <w:rStyle w:val="Hyperlink"/>
                <w:noProof/>
              </w:rPr>
              <w:t>Publication</w:t>
            </w:r>
            <w:r w:rsidR="00DD3643">
              <w:rPr>
                <w:noProof/>
                <w:webHidden/>
              </w:rPr>
              <w:tab/>
            </w:r>
            <w:r w:rsidR="00DD3643">
              <w:rPr>
                <w:noProof/>
                <w:webHidden/>
              </w:rPr>
              <w:fldChar w:fldCharType="begin"/>
            </w:r>
            <w:r w:rsidR="00DD3643">
              <w:rPr>
                <w:noProof/>
                <w:webHidden/>
              </w:rPr>
              <w:instrText xml:space="preserve"> PAGEREF _Toc488929468 \h </w:instrText>
            </w:r>
            <w:r w:rsidR="00DD3643">
              <w:rPr>
                <w:noProof/>
                <w:webHidden/>
              </w:rPr>
            </w:r>
            <w:r w:rsidR="00DD3643">
              <w:rPr>
                <w:noProof/>
                <w:webHidden/>
              </w:rPr>
              <w:fldChar w:fldCharType="separate"/>
            </w:r>
            <w:r w:rsidR="00DD3643">
              <w:rPr>
                <w:noProof/>
                <w:webHidden/>
              </w:rPr>
              <w:t>9</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69" w:history="1">
            <w:r w:rsidR="00DD3643" w:rsidRPr="0009381A">
              <w:rPr>
                <w:rStyle w:val="Hyperlink"/>
                <w:noProof/>
              </w:rPr>
              <w:t>Education</w:t>
            </w:r>
            <w:r w:rsidR="00DD3643">
              <w:rPr>
                <w:noProof/>
                <w:webHidden/>
              </w:rPr>
              <w:tab/>
            </w:r>
            <w:r w:rsidR="00DD3643">
              <w:rPr>
                <w:noProof/>
                <w:webHidden/>
              </w:rPr>
              <w:fldChar w:fldCharType="begin"/>
            </w:r>
            <w:r w:rsidR="00DD3643">
              <w:rPr>
                <w:noProof/>
                <w:webHidden/>
              </w:rPr>
              <w:instrText xml:space="preserve"> PAGEREF _Toc488929469 \h </w:instrText>
            </w:r>
            <w:r w:rsidR="00DD3643">
              <w:rPr>
                <w:noProof/>
                <w:webHidden/>
              </w:rPr>
            </w:r>
            <w:r w:rsidR="00DD3643">
              <w:rPr>
                <w:noProof/>
                <w:webHidden/>
              </w:rPr>
              <w:fldChar w:fldCharType="separate"/>
            </w:r>
            <w:r w:rsidR="00DD3643">
              <w:rPr>
                <w:noProof/>
                <w:webHidden/>
              </w:rPr>
              <w:t>10</w:t>
            </w:r>
            <w:r w:rsidR="00DD3643">
              <w:rPr>
                <w:noProof/>
                <w:webHidden/>
              </w:rPr>
              <w:fldChar w:fldCharType="end"/>
            </w:r>
          </w:hyperlink>
        </w:p>
        <w:p w:rsidR="00DD3643" w:rsidRDefault="006E3AC2">
          <w:pPr>
            <w:pStyle w:val="TOC3"/>
            <w:rPr>
              <w:rFonts w:asciiTheme="minorHAnsi" w:eastAsiaTheme="minorEastAsia" w:hAnsiTheme="minorHAnsi" w:cstheme="minorBidi"/>
              <w:b w:val="0"/>
              <w:noProof/>
              <w:szCs w:val="22"/>
              <w:lang w:eastAsia="en-AU"/>
            </w:rPr>
          </w:pPr>
          <w:hyperlink w:anchor="_Toc488929470" w:history="1">
            <w:r w:rsidR="00DD3643" w:rsidRPr="0009381A">
              <w:rPr>
                <w:rStyle w:val="Hyperlink"/>
                <w:noProof/>
              </w:rPr>
              <w:t>Questions</w:t>
            </w:r>
            <w:r w:rsidR="00DD3643">
              <w:rPr>
                <w:noProof/>
                <w:webHidden/>
              </w:rPr>
              <w:tab/>
            </w:r>
            <w:r w:rsidR="00DD3643">
              <w:rPr>
                <w:noProof/>
                <w:webHidden/>
              </w:rPr>
              <w:fldChar w:fldCharType="begin"/>
            </w:r>
            <w:r w:rsidR="00DD3643">
              <w:rPr>
                <w:noProof/>
                <w:webHidden/>
              </w:rPr>
              <w:instrText xml:space="preserve"> PAGEREF _Toc488929470 \h </w:instrText>
            </w:r>
            <w:r w:rsidR="00DD3643">
              <w:rPr>
                <w:noProof/>
                <w:webHidden/>
              </w:rPr>
            </w:r>
            <w:r w:rsidR="00DD3643">
              <w:rPr>
                <w:noProof/>
                <w:webHidden/>
              </w:rPr>
              <w:fldChar w:fldCharType="separate"/>
            </w:r>
            <w:r w:rsidR="00DD3643">
              <w:rPr>
                <w:noProof/>
                <w:webHidden/>
              </w:rPr>
              <w:t>10</w:t>
            </w:r>
            <w:r w:rsidR="00DD3643">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1525B4" w:rsidRPr="009401F6" w:rsidRDefault="0090062F" w:rsidP="001E3B58">
      <w:pPr>
        <w:pStyle w:val="Heading2"/>
      </w:pPr>
      <w:bookmarkStart w:id="1" w:name="_Toc488929455"/>
      <w:bookmarkEnd w:id="0"/>
      <w:r w:rsidRPr="001E3B58">
        <w:lastRenderedPageBreak/>
        <w:t>Introduction</w:t>
      </w:r>
      <w:bookmarkEnd w:id="1"/>
    </w:p>
    <w:p w:rsidR="001525B4" w:rsidRDefault="0090062F" w:rsidP="001E3B58">
      <w:r>
        <w:t>This paper outlines the</w:t>
      </w:r>
      <w:r w:rsidR="003C0F20">
        <w:t xml:space="preserve"> </w:t>
      </w:r>
      <w:r w:rsidR="00875E9F">
        <w:t xml:space="preserve">TGA’s </w:t>
      </w:r>
      <w:r w:rsidR="003C0F20">
        <w:t>intention</w:t>
      </w:r>
      <w:r>
        <w:t xml:space="preserve"> </w:t>
      </w:r>
      <w:r w:rsidR="003C0F20">
        <w:t xml:space="preserve">to </w:t>
      </w:r>
      <w:r>
        <w:t>implement two measures to align Australian and European regulatory requirements:</w:t>
      </w:r>
    </w:p>
    <w:p w:rsidR="0090062F" w:rsidRPr="001E3B58" w:rsidRDefault="0090062F" w:rsidP="001E3B58">
      <w:pPr>
        <w:pStyle w:val="ListBullet"/>
      </w:pPr>
      <w:r w:rsidRPr="001E3B58">
        <w:t>Reclassification of all implantable surgical mesh medical devices from Class IIb (medium to high risk), to Class III (high risk); and</w:t>
      </w:r>
    </w:p>
    <w:p w:rsidR="0090062F" w:rsidRPr="001E3B58" w:rsidRDefault="0090062F" w:rsidP="001E3B58">
      <w:pPr>
        <w:pStyle w:val="ListBullet"/>
      </w:pPr>
      <w:r w:rsidRPr="001E3B58">
        <w:t>Introduction of formal requirements for medical device manufacturers to provide patient implant cards and product information</w:t>
      </w:r>
      <w:r w:rsidR="006F67E7" w:rsidRPr="001E3B58">
        <w:t xml:space="preserve"> directed at consumers</w:t>
      </w:r>
      <w:r w:rsidRPr="001E3B58">
        <w:t xml:space="preserve"> for all implantable medical devices.</w:t>
      </w:r>
    </w:p>
    <w:p w:rsidR="00875E9F" w:rsidRDefault="00875E9F" w:rsidP="001E3B58">
      <w:r>
        <w:t>We are</w:t>
      </w:r>
      <w:r w:rsidR="0090062F">
        <w:t xml:space="preserve"> looking for views and feedback on the proposed approach for </w:t>
      </w:r>
      <w:r>
        <w:t xml:space="preserve">implementing </w:t>
      </w:r>
      <w:r w:rsidR="0090062F">
        <w:t>these changes</w:t>
      </w:r>
      <w:r>
        <w:t>, and impacts</w:t>
      </w:r>
      <w:r w:rsidR="0090062F">
        <w:t xml:space="preserve"> on industry, healthcare professionals, </w:t>
      </w:r>
      <w:r w:rsidR="006F67E7">
        <w:t xml:space="preserve">and </w:t>
      </w:r>
      <w:r w:rsidR="0090062F">
        <w:t xml:space="preserve">current and potential future recipients of </w:t>
      </w:r>
      <w:r w:rsidR="001E3B58">
        <w:t>the medical devices.</w:t>
      </w:r>
    </w:p>
    <w:p w:rsidR="0090062F" w:rsidRDefault="0090062F" w:rsidP="001E3B58">
      <w:r>
        <w:t>Comments on all the options are welcomed from individuals, industry, healthcare and patient representatives</w:t>
      </w:r>
      <w:r w:rsidR="00875E9F">
        <w:t xml:space="preserve"> and individuals</w:t>
      </w:r>
      <w:r>
        <w:t>.</w:t>
      </w:r>
      <w:r w:rsidR="001E3B58">
        <w:t xml:space="preserve"> </w:t>
      </w:r>
      <w:r w:rsidR="00875E9F">
        <w:t>This feedback</w:t>
      </w:r>
      <w:r>
        <w:t xml:space="preserve"> will assist </w:t>
      </w:r>
      <w:r w:rsidR="00875E9F">
        <w:t>us</w:t>
      </w:r>
      <w:r>
        <w:t xml:space="preserve"> to identify issues and address any </w:t>
      </w:r>
      <w:r w:rsidR="003C0F20">
        <w:t xml:space="preserve">unintended consequences </w:t>
      </w:r>
      <w:r>
        <w:t>to inform the proposal and the regulatory amendment process.</w:t>
      </w:r>
    </w:p>
    <w:p w:rsidR="0090062F" w:rsidRDefault="0090062F" w:rsidP="001E3B58">
      <w:pPr>
        <w:pStyle w:val="Heading2"/>
      </w:pPr>
      <w:bookmarkStart w:id="2" w:name="_Toc488929456"/>
      <w:bookmarkStart w:id="3" w:name="_Toc323738672"/>
      <w:bookmarkStart w:id="4" w:name="_Toc356305158"/>
      <w:r w:rsidRPr="001E3B58">
        <w:t>Background</w:t>
      </w:r>
      <w:bookmarkEnd w:id="2"/>
    </w:p>
    <w:p w:rsidR="0090062F" w:rsidRDefault="0090062F" w:rsidP="001E3B58">
      <w:pPr>
        <w:pStyle w:val="Heading3"/>
      </w:pPr>
      <w:bookmarkStart w:id="5" w:name="_Toc488929457"/>
      <w:r>
        <w:t>Why change?</w:t>
      </w:r>
      <w:bookmarkEnd w:id="5"/>
    </w:p>
    <w:p w:rsidR="00875E9F" w:rsidRDefault="0090062F" w:rsidP="001E3B58">
      <w:r>
        <w:t xml:space="preserve">Implementation of these changes is in response to </w:t>
      </w:r>
      <w:r w:rsidR="00875E9F">
        <w:t xml:space="preserve">the Governments decision in September 2016 to accept </w:t>
      </w:r>
      <w:r>
        <w:t xml:space="preserve">Recommendation Twenty of the </w:t>
      </w:r>
      <w:r w:rsidR="00875E9F">
        <w:t xml:space="preserve">Expert Panel Review of </w:t>
      </w:r>
      <w:r>
        <w:t xml:space="preserve">Medicines and Medical Devices </w:t>
      </w:r>
      <w:r w:rsidR="00875E9F">
        <w:t>Regulation</w:t>
      </w:r>
      <w:r>
        <w:t xml:space="preserve"> (MMDR)</w:t>
      </w:r>
      <w:r w:rsidR="001E3B58">
        <w:t>.</w:t>
      </w:r>
    </w:p>
    <w:p w:rsidR="0090062F" w:rsidRDefault="00875E9F" w:rsidP="0090062F">
      <w:pPr>
        <w:pStyle w:val="ListBullet"/>
        <w:numPr>
          <w:ilvl w:val="0"/>
          <w:numId w:val="0"/>
        </w:numPr>
      </w:pPr>
      <w:r>
        <w:t xml:space="preserve">Because the European regulations were not finalised until recently (published and adopted in May 2017) </w:t>
      </w:r>
      <w:r w:rsidRPr="001E3B58">
        <w:t>we have not be able to</w:t>
      </w:r>
      <w:r>
        <w:t xml:space="preserve"> consult on this aspect of alignment with the European Regulations until this point in time.</w:t>
      </w:r>
    </w:p>
    <w:p w:rsidR="0090062F" w:rsidRPr="0090062F" w:rsidRDefault="001E3B58" w:rsidP="006260DF">
      <w:pPr>
        <w:spacing w:after="0"/>
        <w:ind w:left="357"/>
        <w:rPr>
          <w:b/>
        </w:rPr>
      </w:pPr>
      <w:r>
        <w:rPr>
          <w:b/>
        </w:rPr>
        <w:t>Recommendation Twenty</w:t>
      </w:r>
    </w:p>
    <w:p w:rsidR="0090062F" w:rsidRPr="0090062F" w:rsidRDefault="001E3B58" w:rsidP="006260DF">
      <w:pPr>
        <w:spacing w:after="0"/>
        <w:ind w:left="357"/>
      </w:pPr>
      <w:r>
        <w:t>The Panel recommends that:</w:t>
      </w:r>
    </w:p>
    <w:p w:rsidR="0090062F" w:rsidRPr="0090062F" w:rsidRDefault="0090062F" w:rsidP="001E3B58">
      <w:pPr>
        <w:pStyle w:val="Numberbullet0"/>
        <w:ind w:left="709" w:hanging="283"/>
      </w:pPr>
      <w:r w:rsidRPr="0090062F">
        <w:t xml:space="preserve">The regulation of medical devices by </w:t>
      </w:r>
      <w:r w:rsidR="003C0F20">
        <w:t xml:space="preserve">(TGA) </w:t>
      </w:r>
      <w:r w:rsidRPr="0090062F">
        <w:t>is, wherever possible, aligned with the European Union framewo</w:t>
      </w:r>
      <w:r w:rsidR="001E3B58">
        <w:t>rk including in respect of the:</w:t>
      </w:r>
    </w:p>
    <w:p w:rsidR="0090062F" w:rsidRPr="0090062F" w:rsidRDefault="0090062F" w:rsidP="006260DF">
      <w:pPr>
        <w:spacing w:after="0"/>
        <w:ind w:left="1134" w:hanging="425"/>
      </w:pPr>
      <w:r>
        <w:t>A.</w:t>
      </w:r>
      <w:r>
        <w:tab/>
      </w:r>
      <w:r w:rsidRPr="0090062F">
        <w:t>Cla</w:t>
      </w:r>
      <w:r w:rsidR="001E3B58">
        <w:t>ssification of medical devices;</w:t>
      </w:r>
    </w:p>
    <w:p w:rsidR="0090062F" w:rsidRPr="0090062F" w:rsidRDefault="0090062F" w:rsidP="006260DF">
      <w:pPr>
        <w:spacing w:after="0"/>
        <w:ind w:left="1134" w:hanging="425"/>
      </w:pPr>
      <w:r>
        <w:t>B.</w:t>
      </w:r>
      <w:r>
        <w:tab/>
      </w:r>
      <w:r w:rsidRPr="0090062F">
        <w:t>Essential Principles/Requirements</w:t>
      </w:r>
      <w:r w:rsidR="006F67E7">
        <w:t>;</w:t>
      </w:r>
    </w:p>
    <w:p w:rsidR="0090062F" w:rsidRPr="0090062F" w:rsidRDefault="0090062F" w:rsidP="006260DF">
      <w:pPr>
        <w:spacing w:after="0"/>
        <w:ind w:left="1134" w:hanging="425"/>
      </w:pPr>
      <w:r>
        <w:t>C.</w:t>
      </w:r>
      <w:r>
        <w:tab/>
      </w:r>
      <w:r w:rsidRPr="0090062F">
        <w:t>Adoption of a risk-based approach to</w:t>
      </w:r>
      <w:r w:rsidR="001E3B58">
        <w:t xml:space="preserve"> variations to medical devices.</w:t>
      </w:r>
    </w:p>
    <w:p w:rsidR="0090062F" w:rsidRPr="0090062F" w:rsidRDefault="0090062F" w:rsidP="001E3B58">
      <w:pPr>
        <w:pStyle w:val="Numberbullet0"/>
        <w:ind w:left="709" w:hanging="283"/>
      </w:pPr>
      <w:r w:rsidRPr="0090062F">
        <w:t>Should the</w:t>
      </w:r>
      <w:r>
        <w:t xml:space="preserve"> (TGA)</w:t>
      </w:r>
      <w:r w:rsidRPr="0090062F">
        <w:t xml:space="preserve"> seek to apply specific requirements, there must</w:t>
      </w:r>
      <w:r w:rsidR="001E3B58">
        <w:t xml:space="preserve"> be a clear rationale to do so.</w:t>
      </w:r>
    </w:p>
    <w:p w:rsidR="00ED3DA3" w:rsidRDefault="00FE05C4" w:rsidP="00A271B2">
      <w:r>
        <w:t xml:space="preserve">Revised </w:t>
      </w:r>
      <w:r w:rsidR="006F67E7">
        <w:t xml:space="preserve">European </w:t>
      </w:r>
      <w:r>
        <w:t xml:space="preserve">regulations on medical devices </w:t>
      </w:r>
      <w:r w:rsidR="00875E9F">
        <w:t xml:space="preserve">agreed </w:t>
      </w:r>
      <w:r w:rsidR="00ED3DA3">
        <w:t>on 5 April 2017</w:t>
      </w:r>
      <w:r>
        <w:rPr>
          <w:rStyle w:val="FootnoteReference"/>
        </w:rPr>
        <w:footnoteReference w:id="1"/>
      </w:r>
      <w:r>
        <w:t xml:space="preserve"> </w:t>
      </w:r>
      <w:r w:rsidR="00ED3DA3">
        <w:t xml:space="preserve">included significant changes to the previous </w:t>
      </w:r>
      <w:r w:rsidR="00875E9F">
        <w:t xml:space="preserve">regulatory </w:t>
      </w:r>
      <w:r w:rsidR="00ED3DA3">
        <w:t>arrangement</w:t>
      </w:r>
      <w:r w:rsidR="00875E9F">
        <w:t>s</w:t>
      </w:r>
      <w:r w:rsidR="00ED3DA3">
        <w:t xml:space="preserve">. This included the up-classification of surgical </w:t>
      </w:r>
      <w:r w:rsidR="00F318ED">
        <w:lastRenderedPageBreak/>
        <w:t>m</w:t>
      </w:r>
      <w:r w:rsidR="00ED3DA3">
        <w:t>eshes from Class IIb (medium to high risk) to Class III (high risk),</w:t>
      </w:r>
      <w:r w:rsidR="00ED3DA3">
        <w:rPr>
          <w:rStyle w:val="FootnoteReference"/>
        </w:rPr>
        <w:footnoteReference w:id="2"/>
      </w:r>
      <w:r w:rsidR="00ED3DA3">
        <w:t xml:space="preserve"> an</w:t>
      </w:r>
      <w:r w:rsidR="00ED3DA3" w:rsidRPr="00ED3DA3">
        <w:t xml:space="preserve">d </w:t>
      </w:r>
      <w:r w:rsidR="00ED3DA3" w:rsidRPr="00ED3DA3">
        <w:rPr>
          <w:lang w:val="en"/>
        </w:rPr>
        <w:t xml:space="preserve">the introduction of an ‘implant card’ </w:t>
      </w:r>
      <w:r w:rsidR="00ED3DA3">
        <w:rPr>
          <w:lang w:val="en"/>
        </w:rPr>
        <w:t>containing information about implanted medical devices for a patient.</w:t>
      </w:r>
      <w:r w:rsidR="00ED3DA3">
        <w:rPr>
          <w:rStyle w:val="FootnoteReference"/>
          <w:lang w:val="en"/>
        </w:rPr>
        <w:footnoteReference w:id="3"/>
      </w:r>
      <w:r w:rsidR="00ED3DA3">
        <w:rPr>
          <w:lang w:val="en"/>
        </w:rPr>
        <w:t xml:space="preserve"> </w:t>
      </w:r>
      <w:r w:rsidR="003521BE">
        <w:rPr>
          <w:lang w:val="en"/>
        </w:rPr>
        <w:t xml:space="preserve">The new rules apply after a transitional period, which for </w:t>
      </w:r>
      <w:r w:rsidR="00891BC9">
        <w:rPr>
          <w:lang w:val="en"/>
        </w:rPr>
        <w:t>surgical mesh</w:t>
      </w:r>
      <w:r w:rsidR="003521BE">
        <w:rPr>
          <w:lang w:val="en"/>
        </w:rPr>
        <w:t xml:space="preserve"> is three years after </w:t>
      </w:r>
      <w:r w:rsidR="00891BC9">
        <w:rPr>
          <w:lang w:val="en"/>
        </w:rPr>
        <w:t>the regulation came into</w:t>
      </w:r>
      <w:r w:rsidR="00A271B2">
        <w:rPr>
          <w:lang w:val="en"/>
        </w:rPr>
        <w:t xml:space="preserve"> force (</w:t>
      </w:r>
      <w:r w:rsidR="001D3237">
        <w:rPr>
          <w:lang w:val="en"/>
        </w:rPr>
        <w:t>2</w:t>
      </w:r>
      <w:r w:rsidR="00A271B2">
        <w:rPr>
          <w:lang w:val="en"/>
        </w:rPr>
        <w:t>5 May 2020).</w:t>
      </w:r>
    </w:p>
    <w:p w:rsidR="00264074" w:rsidRDefault="006260DF" w:rsidP="00A271B2">
      <w:r>
        <w:t xml:space="preserve">The update of the European regulatory framework was extensive, and there are a number of </w:t>
      </w:r>
      <w:r w:rsidR="00875E9F">
        <w:t xml:space="preserve">other </w:t>
      </w:r>
      <w:r>
        <w:t xml:space="preserve">changes to be considered in alignment with the European framework in the context </w:t>
      </w:r>
      <w:r w:rsidR="00A271B2">
        <w:t>of MMDR Recommendation Twenty.</w:t>
      </w:r>
    </w:p>
    <w:p w:rsidR="006260DF" w:rsidRPr="0090062F" w:rsidRDefault="006260DF" w:rsidP="00A271B2">
      <w:r>
        <w:t>These two measures are being progressed first, given the</w:t>
      </w:r>
      <w:r w:rsidR="00875E9F">
        <w:t>ir ability to positively impact on patie</w:t>
      </w:r>
      <w:r w:rsidR="00A271B2">
        <w:t xml:space="preserve">nt safety around mesh devices. </w:t>
      </w:r>
      <w:r w:rsidR="00264074">
        <w:t>Other m</w:t>
      </w:r>
      <w:r>
        <w:t xml:space="preserve">easures to further align with the new European regulatory framework will also be progressed, with planned consultation </w:t>
      </w:r>
      <w:r w:rsidR="00875E9F">
        <w:t>during</w:t>
      </w:r>
      <w:r w:rsidR="0085287A">
        <w:t xml:space="preserve"> </w:t>
      </w:r>
      <w:r w:rsidR="00A271B2">
        <w:t>2018.</w:t>
      </w:r>
    </w:p>
    <w:p w:rsidR="006260DF" w:rsidRDefault="00D65997" w:rsidP="00A271B2">
      <w:pPr>
        <w:pStyle w:val="Heading2"/>
      </w:pPr>
      <w:bookmarkStart w:id="6" w:name="_Toc488929458"/>
      <w:r>
        <w:t>Up</w:t>
      </w:r>
      <w:r w:rsidR="009F63E0">
        <w:t>-</w:t>
      </w:r>
      <w:r>
        <w:t xml:space="preserve">classification of </w:t>
      </w:r>
      <w:r w:rsidR="00776D2F">
        <w:t xml:space="preserve">surgical </w:t>
      </w:r>
      <w:r w:rsidR="006260DF">
        <w:t>meshes</w:t>
      </w:r>
      <w:bookmarkEnd w:id="6"/>
    </w:p>
    <w:p w:rsidR="005E4DBC" w:rsidRDefault="005E4DBC" w:rsidP="00A271B2">
      <w:pPr>
        <w:pStyle w:val="Heading3"/>
      </w:pPr>
      <w:bookmarkStart w:id="7" w:name="_Toc488929459"/>
      <w:r>
        <w:t>What are surgical meshes?</w:t>
      </w:r>
      <w:bookmarkEnd w:id="7"/>
    </w:p>
    <w:p w:rsidR="006260DF" w:rsidRDefault="005E4DBC" w:rsidP="00A271B2">
      <w:r>
        <w:t>Surgical mesh is used to provide temporary or permanent support for weakened structures and/or muscles in surgery. Repair of hernias, pelvic organ prolapse (POP) and stress urinary incontinence (SUI) conditions are common uses for surgical meshes.</w:t>
      </w:r>
    </w:p>
    <w:p w:rsidR="005E4DBC" w:rsidRDefault="005E4DBC" w:rsidP="00A271B2">
      <w:r>
        <w:rPr>
          <w:lang w:val="en"/>
        </w:rPr>
        <w:t xml:space="preserve">A </w:t>
      </w:r>
      <w:r w:rsidRPr="00AE32F6">
        <w:rPr>
          <w:bCs/>
          <w:lang w:val="en"/>
        </w:rPr>
        <w:t>hernia</w:t>
      </w:r>
      <w:r>
        <w:rPr>
          <w:lang w:val="en"/>
        </w:rPr>
        <w:t xml:space="preserve"> is the abnormal exit of tissue or an </w:t>
      </w:r>
      <w:r w:rsidR="003C0F20" w:rsidRPr="003C0F20">
        <w:rPr>
          <w:lang w:val="en"/>
        </w:rPr>
        <w:t>organ</w:t>
      </w:r>
      <w:r>
        <w:rPr>
          <w:lang w:val="en"/>
        </w:rPr>
        <w:t xml:space="preserve">, such as the </w:t>
      </w:r>
      <w:r w:rsidR="003C0F20" w:rsidRPr="003C0F20">
        <w:rPr>
          <w:lang w:val="en"/>
        </w:rPr>
        <w:t>bowel</w:t>
      </w:r>
      <w:r>
        <w:rPr>
          <w:lang w:val="en"/>
        </w:rPr>
        <w:t xml:space="preserve">, through the wall of the cavity in which it normally resides. Hernias come in a number of different types, and most commonly involve the </w:t>
      </w:r>
      <w:r w:rsidR="003C0F20" w:rsidRPr="003C0F20">
        <w:rPr>
          <w:lang w:val="en"/>
        </w:rPr>
        <w:t>abdomen</w:t>
      </w:r>
      <w:r>
        <w:rPr>
          <w:lang w:val="en"/>
        </w:rPr>
        <w:t>, specifically the groin.</w:t>
      </w:r>
      <w:r>
        <w:rPr>
          <w:vertAlign w:val="superscript"/>
          <w:lang w:val="en"/>
        </w:rPr>
        <w:t xml:space="preserve"> </w:t>
      </w:r>
      <w:r>
        <w:rPr>
          <w:lang w:val="en"/>
        </w:rPr>
        <w:t>About 27% of males and 3% of females develop a groin hernia at some time in their life. Uncomplicated hernias are principally repaired by pushing back, or "reducing", the herniated tissue, and then mending the weakness in muscle tissue, which may include reinforcing</w:t>
      </w:r>
      <w:r w:rsidR="00A271B2">
        <w:rPr>
          <w:lang w:val="en"/>
        </w:rPr>
        <w:t xml:space="preserve"> the defect with surgical mesh.</w:t>
      </w:r>
    </w:p>
    <w:p w:rsidR="005E4DBC" w:rsidRDefault="005E4DBC" w:rsidP="00A271B2">
      <w:pPr>
        <w:rPr>
          <w:lang w:val="en-US"/>
        </w:rPr>
      </w:pPr>
      <w:r>
        <w:t xml:space="preserve">POP </w:t>
      </w:r>
      <w:r>
        <w:rPr>
          <w:lang w:val="en-US"/>
        </w:rPr>
        <w:t>is a common condition where there is a weakness in the pelvic floor such that pelvic organs including the bladder, rectum or uterus are able to descend or sag into the vagina. These conditions generally arise through childbirth, injury or surgery. Up to 50% of women will have some prolapse present. Not all POP are symptomatic. If the POP is symptomatic and pose problems, patients may be treated either surgically or non-surgically. Among the surgical methods, repair can be done by using the patient’s own tissue; native tissue repair or using surgical mesh. Surgical mesh devices may be implanted through the abdominal or transvaginal approach to provide support to the pelvic floor muscles. The choice of surgical approach depends on the type of prolapse and indiv</w:t>
      </w:r>
      <w:r w:rsidR="00A271B2">
        <w:rPr>
          <w:lang w:val="en-US"/>
        </w:rPr>
        <w:t>idual patient characteristics.</w:t>
      </w:r>
    </w:p>
    <w:p w:rsidR="005E4DBC" w:rsidRDefault="005E4DBC" w:rsidP="00A271B2">
      <w:pPr>
        <w:rPr>
          <w:lang w:val="en-US"/>
        </w:rPr>
      </w:pPr>
      <w:r>
        <w:rPr>
          <w:lang w:val="en-US"/>
        </w:rPr>
        <w:t xml:space="preserve">SUI describes conditions where there is accidental urine leakage </w:t>
      </w:r>
      <w:r w:rsidRPr="00C26C77">
        <w:rPr>
          <w:lang w:val="en-US"/>
        </w:rPr>
        <w:t xml:space="preserve">when </w:t>
      </w:r>
      <w:r>
        <w:rPr>
          <w:lang w:val="en-US"/>
        </w:rPr>
        <w:t>the</w:t>
      </w:r>
      <w:r w:rsidRPr="00C26C77">
        <w:rPr>
          <w:lang w:val="en-US"/>
        </w:rPr>
        <w:t xml:space="preserve"> bladder is under pressure</w:t>
      </w:r>
      <w:r>
        <w:rPr>
          <w:lang w:val="en-US"/>
        </w:rPr>
        <w:t xml:space="preserve">, for example through coughing, exercising or other strenuous activity. As with POP, </w:t>
      </w:r>
      <w:r w:rsidRPr="00DF56CE">
        <w:rPr>
          <w:lang w:val="en-US"/>
        </w:rPr>
        <w:t>symptoms can</w:t>
      </w:r>
      <w:r>
        <w:rPr>
          <w:lang w:val="en-US"/>
        </w:rPr>
        <w:t xml:space="preserve"> be mild, </w:t>
      </w:r>
      <w:r w:rsidRPr="00A271B2">
        <w:t>moderate or severe or it can significantly affect quality of life. SUI that has become bothersome,</w:t>
      </w:r>
      <w:r>
        <w:t xml:space="preserve"> was reported in 15% of women aged 25-84 (Lukacz et al)</w:t>
      </w:r>
      <w:r>
        <w:rPr>
          <w:rStyle w:val="FootnoteReference"/>
        </w:rPr>
        <w:footnoteReference w:id="4"/>
      </w:r>
      <w:r>
        <w:t>. When used in the treatment of SUI, the mesh is implanted as a ‘mesh sling’ procedure to support the urethra or bladder neck.</w:t>
      </w:r>
    </w:p>
    <w:p w:rsidR="005E4DBC" w:rsidRPr="00BD05A5" w:rsidRDefault="005E4DBC" w:rsidP="00A271B2">
      <w:pPr>
        <w:rPr>
          <w:lang w:val="en-US"/>
        </w:rPr>
      </w:pPr>
      <w:r>
        <w:rPr>
          <w:lang w:val="en-US"/>
        </w:rPr>
        <w:lastRenderedPageBreak/>
        <w:t>Surgical mesh devices were first developed for the treatment of abdominal hernias. In the late 1990s, medical device manufacturers began to supply the meshes for use</w:t>
      </w:r>
      <w:r w:rsidR="00A271B2">
        <w:rPr>
          <w:lang w:val="en-US"/>
        </w:rPr>
        <w:t xml:space="preserve"> in urogynaecological surgery. </w:t>
      </w:r>
      <w:r>
        <w:rPr>
          <w:lang w:val="en-US"/>
        </w:rPr>
        <w:t xml:space="preserve">A rapid uptake of urogynaecological meshes for surgical treatment of SUI and POP, followed in the next decade, </w:t>
      </w:r>
      <w:r w:rsidR="00A271B2">
        <w:rPr>
          <w:lang w:val="en-US"/>
        </w:rPr>
        <w:t>both in Australia and overseas.</w:t>
      </w:r>
    </w:p>
    <w:p w:rsidR="005E4DBC" w:rsidRDefault="005E4DBC" w:rsidP="00A271B2">
      <w:pPr>
        <w:rPr>
          <w:lang w:val="en-US"/>
        </w:rPr>
      </w:pPr>
      <w:r>
        <w:rPr>
          <w:lang w:val="en-US"/>
        </w:rPr>
        <w:t>Surgical mesh can be made of synthetic or biological material. Polypropylene mesh is an example of the synthetic type. The mesh may be absorbable, non-absorbable or a combination of both. Absorbable mesh will degrade and lose strength over time but non-absorbable mesh will remain in the body permanently. Most urogynaecological me</w:t>
      </w:r>
      <w:r w:rsidR="00A271B2">
        <w:rPr>
          <w:lang w:val="en-US"/>
        </w:rPr>
        <w:t>sh is permanent synthetic mesh.</w:t>
      </w:r>
    </w:p>
    <w:p w:rsidR="00D46410" w:rsidRPr="00D46410" w:rsidRDefault="00D46410" w:rsidP="00A271B2">
      <w:pPr>
        <w:pStyle w:val="Heading3"/>
      </w:pPr>
      <w:bookmarkStart w:id="8" w:name="_Toc488929460"/>
      <w:r w:rsidRPr="00D46410">
        <w:t xml:space="preserve">What’s </w:t>
      </w:r>
      <w:r w:rsidRPr="00A271B2">
        <w:t>changing</w:t>
      </w:r>
      <w:r w:rsidRPr="00D46410">
        <w:t>?</w:t>
      </w:r>
      <w:bookmarkEnd w:id="8"/>
    </w:p>
    <w:p w:rsidR="009F63E0" w:rsidRDefault="00094AD6" w:rsidP="00A271B2">
      <w:r>
        <w:t xml:space="preserve">In Australia </w:t>
      </w:r>
      <w:r w:rsidR="00891BC9">
        <w:t xml:space="preserve">synthetic </w:t>
      </w:r>
      <w:r>
        <w:t>surgical meshes are currently classified as Class IIb</w:t>
      </w:r>
      <w:r>
        <w:rPr>
          <w:rStyle w:val="FootnoteReference"/>
        </w:rPr>
        <w:footnoteReference w:id="5"/>
      </w:r>
      <w:r w:rsidR="00A271B2">
        <w:t xml:space="preserve">. </w:t>
      </w:r>
      <w:r w:rsidR="00E6643C">
        <w:t>There are some surgical meshes which are already classified as Class III, such as meshes including medicines or materials of animal, microbial or recombinant origin</w:t>
      </w:r>
      <w:r w:rsidR="005A5B8D">
        <w:t>;</w:t>
      </w:r>
      <w:r w:rsidR="00E6643C">
        <w:t xml:space="preserve"> and there will be no change for t</w:t>
      </w:r>
      <w:r w:rsidR="00A271B2">
        <w:t>hose devices.</w:t>
      </w:r>
    </w:p>
    <w:p w:rsidR="00AE1511" w:rsidRDefault="003C0F20" w:rsidP="00A271B2">
      <w:pPr>
        <w:rPr>
          <w:rStyle w:val="charparttext"/>
        </w:rPr>
      </w:pPr>
      <w:r>
        <w:t>Under this proposal</w:t>
      </w:r>
      <w:r w:rsidR="00875E9F">
        <w:t>,</w:t>
      </w:r>
      <w:r>
        <w:t xml:space="preserve"> </w:t>
      </w:r>
      <w:r w:rsidR="00875E9F">
        <w:t xml:space="preserve">all </w:t>
      </w:r>
      <w:r>
        <w:t>s</w:t>
      </w:r>
      <w:r w:rsidR="00891BC9">
        <w:t>ynthetic mesh</w:t>
      </w:r>
      <w:r w:rsidR="00875E9F">
        <w:t>es</w:t>
      </w:r>
      <w:r w:rsidR="00B01F58">
        <w:t xml:space="preserve"> </w:t>
      </w:r>
      <w:r>
        <w:t xml:space="preserve">would </w:t>
      </w:r>
      <w:r w:rsidR="00875E9F">
        <w:t xml:space="preserve">be </w:t>
      </w:r>
      <w:r w:rsidR="00E6643C">
        <w:t>require</w:t>
      </w:r>
      <w:r w:rsidR="00B01F58">
        <w:t xml:space="preserve"> </w:t>
      </w:r>
      <w:r>
        <w:t xml:space="preserve">be </w:t>
      </w:r>
      <w:r w:rsidR="00B01F58">
        <w:t>up-</w:t>
      </w:r>
      <w:r w:rsidR="00AE1511">
        <w:t>classified</w:t>
      </w:r>
      <w:r w:rsidR="00B01F58">
        <w:t xml:space="preserve"> to Class III. As a result</w:t>
      </w:r>
      <w:r w:rsidR="00875E9F">
        <w:t>,</w:t>
      </w:r>
      <w:r w:rsidR="00B01F58">
        <w:t xml:space="preserve"> </w:t>
      </w:r>
      <w:r w:rsidR="00F42BD5">
        <w:t xml:space="preserve">manufacturers of </w:t>
      </w:r>
      <w:r w:rsidR="005A5B8D">
        <w:t xml:space="preserve">these </w:t>
      </w:r>
      <w:r w:rsidR="00F42BD5">
        <w:t xml:space="preserve">surgical meshes </w:t>
      </w:r>
      <w:r w:rsidR="00B01F58">
        <w:t xml:space="preserve">will be required </w:t>
      </w:r>
      <w:r w:rsidR="00F42BD5">
        <w:t xml:space="preserve">to seek </w:t>
      </w:r>
      <w:r w:rsidR="00E6643C">
        <w:t>additional</w:t>
      </w:r>
      <w:r w:rsidR="00F42BD5">
        <w:t xml:space="preserve"> confor</w:t>
      </w:r>
      <w:r w:rsidR="00A271B2">
        <w:t xml:space="preserve">mity assessment certification. </w:t>
      </w:r>
      <w:r w:rsidR="00F42BD5">
        <w:t xml:space="preserve">Manufacturers will already hold certification of </w:t>
      </w:r>
      <w:bookmarkStart w:id="10" w:name="_Toc487614930"/>
      <w:r w:rsidR="00F42BD5">
        <w:rPr>
          <w:rStyle w:val="charparttext"/>
        </w:rPr>
        <w:t>full quality assurance procedures</w:t>
      </w:r>
      <w:bookmarkEnd w:id="10"/>
      <w:r w:rsidR="00F42BD5">
        <w:rPr>
          <w:rStyle w:val="charparttext"/>
        </w:rPr>
        <w:t>,</w:t>
      </w:r>
      <w:r w:rsidR="00F42BD5">
        <w:rPr>
          <w:rStyle w:val="FootnoteReference"/>
        </w:rPr>
        <w:footnoteReference w:id="6"/>
      </w:r>
      <w:r w:rsidR="00F42BD5">
        <w:rPr>
          <w:rStyle w:val="charparttext"/>
        </w:rPr>
        <w:t xml:space="preserve"> but will now also require design examination certification</w:t>
      </w:r>
      <w:r w:rsidR="00E6643C">
        <w:rPr>
          <w:rStyle w:val="FootnoteReference"/>
        </w:rPr>
        <w:footnoteReference w:id="7"/>
      </w:r>
      <w:r w:rsidR="00E6643C">
        <w:rPr>
          <w:rStyle w:val="charparttext"/>
        </w:rPr>
        <w:t xml:space="preserve"> for each mesh</w:t>
      </w:r>
      <w:r w:rsidR="005A5B8D">
        <w:rPr>
          <w:rStyle w:val="charparttext"/>
        </w:rPr>
        <w:t xml:space="preserve"> medical device</w:t>
      </w:r>
      <w:r w:rsidR="00A271B2">
        <w:rPr>
          <w:rStyle w:val="charparttext"/>
        </w:rPr>
        <w:t>.</w:t>
      </w:r>
    </w:p>
    <w:p w:rsidR="002C48DB" w:rsidRDefault="00AE1511" w:rsidP="00A271B2">
      <w:r>
        <w:rPr>
          <w:rStyle w:val="charparttext"/>
        </w:rPr>
        <w:t xml:space="preserve">To supply, import or export </w:t>
      </w:r>
      <w:r w:rsidR="002C48DB">
        <w:rPr>
          <w:rStyle w:val="charparttext"/>
        </w:rPr>
        <w:t>medical</w:t>
      </w:r>
      <w:r>
        <w:rPr>
          <w:rStyle w:val="charparttext"/>
        </w:rPr>
        <w:t xml:space="preserve"> devices in Australia the device must be included in the Australian Register of Therapeutic Goods (ARTG). Once they have appropriate conformity assessment certification</w:t>
      </w:r>
      <w:r w:rsidR="00875E9F">
        <w:rPr>
          <w:rStyle w:val="charparttext"/>
        </w:rPr>
        <w:t>,</w:t>
      </w:r>
      <w:r>
        <w:rPr>
          <w:rStyle w:val="charparttext"/>
        </w:rPr>
        <w:t xml:space="preserve"> applicants will need to apply to up-classify </w:t>
      </w:r>
      <w:r w:rsidR="005A5B8D">
        <w:rPr>
          <w:rStyle w:val="charparttext"/>
        </w:rPr>
        <w:t xml:space="preserve">any existing </w:t>
      </w:r>
      <w:r>
        <w:rPr>
          <w:rStyle w:val="charparttext"/>
        </w:rPr>
        <w:t>Class IIb ARTG entries for surgic</w:t>
      </w:r>
      <w:r w:rsidR="00A271B2">
        <w:rPr>
          <w:rStyle w:val="charparttext"/>
        </w:rPr>
        <w:t xml:space="preserve">al meshes. </w:t>
      </w:r>
      <w:r>
        <w:t>A</w:t>
      </w:r>
      <w:r w:rsidR="00F42BD5">
        <w:t xml:space="preserve">pplicants </w:t>
      </w:r>
      <w:r w:rsidR="003C0F20">
        <w:t xml:space="preserve">may seek TGA conformity assessment certification </w:t>
      </w:r>
      <w:r w:rsidR="009F63E0">
        <w:t xml:space="preserve">or </w:t>
      </w:r>
      <w:r w:rsidR="00F42BD5">
        <w:t>have the option of using equivalent European conformity assessment certification when seeking marketing approval in Australia</w:t>
      </w:r>
      <w:r>
        <w:t xml:space="preserve">, as is already the case for existing </w:t>
      </w:r>
      <w:r w:rsidR="00A271B2">
        <w:t>ARTG entries.</w:t>
      </w:r>
    </w:p>
    <w:p w:rsidR="00D46410" w:rsidRDefault="00D46410" w:rsidP="00A271B2">
      <w:pPr>
        <w:pStyle w:val="Heading3"/>
      </w:pPr>
      <w:bookmarkStart w:id="11" w:name="_Toc488929461"/>
      <w:r>
        <w:t>How will this be implemented?</w:t>
      </w:r>
      <w:bookmarkEnd w:id="11"/>
    </w:p>
    <w:p w:rsidR="00B01F58" w:rsidRDefault="00B01F58" w:rsidP="00A271B2">
      <w:r>
        <w:t xml:space="preserve">This change will be </w:t>
      </w:r>
      <w:r w:rsidR="00E6643C">
        <w:t>implemented</w:t>
      </w:r>
      <w:r>
        <w:t xml:space="preserve"> by amendment of the Classification Rules in Schedule 2 of the Therapeutic Goods (Medical Devices) Regulations 2002.</w:t>
      </w:r>
    </w:p>
    <w:p w:rsidR="006026A9" w:rsidRDefault="006026A9" w:rsidP="00A271B2">
      <w:pPr>
        <w:pStyle w:val="Heading4"/>
      </w:pPr>
      <w:bookmarkStart w:id="12" w:name="_Toc488929462"/>
      <w:r>
        <w:t>Transitional arrangements</w:t>
      </w:r>
      <w:bookmarkEnd w:id="12"/>
    </w:p>
    <w:p w:rsidR="00AE1511" w:rsidRDefault="00875E9F" w:rsidP="00A271B2">
      <w:r>
        <w:t>It is proposed that t</w:t>
      </w:r>
      <w:r w:rsidR="00AE1511">
        <w:t xml:space="preserve">ransitional arrangements </w:t>
      </w:r>
      <w:r>
        <w:t xml:space="preserve">in Australia </w:t>
      </w:r>
      <w:r w:rsidR="00AE1511">
        <w:t xml:space="preserve">will mirror those in Europe, with </w:t>
      </w:r>
      <w:r>
        <w:t xml:space="preserve">a </w:t>
      </w:r>
      <w:r w:rsidR="00AE1511">
        <w:t>period of around three years</w:t>
      </w:r>
      <w:r w:rsidR="00F122FA">
        <w:t>.</w:t>
      </w:r>
    </w:p>
    <w:p w:rsidR="006026A9" w:rsidRDefault="006026A9" w:rsidP="007D418A">
      <w:r>
        <w:t xml:space="preserve">The transition arrangements in Europe for medical devices will end in </w:t>
      </w:r>
      <w:r w:rsidR="003C0F20">
        <w:t xml:space="preserve">May </w:t>
      </w:r>
      <w:r>
        <w:t>2020. The Australian transition would be schedule</w:t>
      </w:r>
      <w:r w:rsidRPr="00A271B2">
        <w:t>d</w:t>
      </w:r>
      <w:r>
        <w:t xml:space="preserve"> to end on 30 </w:t>
      </w:r>
      <w:r w:rsidR="00F25D48">
        <w:t xml:space="preserve">November </w:t>
      </w:r>
      <w:r>
        <w:t>2020</w:t>
      </w:r>
      <w:r w:rsidR="00F25D48">
        <w:t>, around 6 months after the end of the European transition</w:t>
      </w:r>
      <w:r>
        <w:t>. This provides a window for applicants to finalise European certification prior to lodging applications to include the device in the ARTG in Australia.</w:t>
      </w:r>
    </w:p>
    <w:p w:rsidR="006026A9" w:rsidRDefault="006026A9" w:rsidP="007D418A">
      <w:pPr>
        <w:pStyle w:val="Heading5"/>
        <w:pageBreakBefore/>
      </w:pPr>
      <w:r>
        <w:lastRenderedPageBreak/>
        <w:t>Applications</w:t>
      </w:r>
    </w:p>
    <w:p w:rsidR="00B01F58" w:rsidRDefault="00B01F58" w:rsidP="007D418A">
      <w:r>
        <w:t xml:space="preserve">As at the date that the </w:t>
      </w:r>
      <w:r w:rsidR="00F122FA">
        <w:t xml:space="preserve">proposed </w:t>
      </w:r>
      <w:r>
        <w:t>amendment comes into effect:</w:t>
      </w:r>
    </w:p>
    <w:p w:rsidR="00B01F58" w:rsidRPr="007D418A" w:rsidRDefault="00B01F58" w:rsidP="007D418A">
      <w:pPr>
        <w:pStyle w:val="ListBullet"/>
      </w:pPr>
      <w:r>
        <w:t xml:space="preserve">All new applications for marketing approval of surgical meshes in Australia will need to be for a Class III </w:t>
      </w:r>
      <w:r w:rsidRPr="007D418A">
        <w:t>medical device</w:t>
      </w:r>
      <w:r w:rsidR="007A1C40" w:rsidRPr="007D418A">
        <w:t>.</w:t>
      </w:r>
    </w:p>
    <w:p w:rsidR="00206EBF" w:rsidRPr="007D418A" w:rsidRDefault="00E6643C" w:rsidP="007D418A">
      <w:pPr>
        <w:pStyle w:val="ListBullet"/>
      </w:pPr>
      <w:r w:rsidRPr="007D418A">
        <w:t>Sponsors of e</w:t>
      </w:r>
      <w:r w:rsidR="00206EBF" w:rsidRPr="007D418A">
        <w:t>xisting surgical mesh devices already included in the ARTG as a Class IIb medical device will need to apply to have their device/s included as Class III medical</w:t>
      </w:r>
      <w:r w:rsidR="00AE1511" w:rsidRPr="007D418A">
        <w:t xml:space="preserve"> devices, with applications to up-classify all surgical meshes to have been received by the end of the </w:t>
      </w:r>
      <w:r w:rsidR="007D418A">
        <w:t xml:space="preserve">transition period. </w:t>
      </w:r>
      <w:r w:rsidR="00F25D48" w:rsidRPr="007D418A">
        <w:t>Where an application to up-classify the mesh has not been determined, the mesh can continue to be supplied under the existing ARTG entry until the Class III application is finalised (including applications not finalised at the end of the transition period)</w:t>
      </w:r>
      <w:r w:rsidR="00F355D6" w:rsidRPr="007D418A">
        <w:t xml:space="preserve"> or another decision has been made</w:t>
      </w:r>
      <w:r w:rsidR="00F25D48" w:rsidRPr="007D418A">
        <w:t>.</w:t>
      </w:r>
    </w:p>
    <w:p w:rsidR="00F25D48" w:rsidRPr="007D418A" w:rsidRDefault="00F25D48" w:rsidP="007D418A">
      <w:pPr>
        <w:pStyle w:val="ListBullet"/>
      </w:pPr>
      <w:r w:rsidRPr="007D418A">
        <w:t>A notification period would operate for the first six months of the</w:t>
      </w:r>
      <w:r w:rsidR="007D418A">
        <w:t xml:space="preserve"> Australian transition period. </w:t>
      </w:r>
      <w:r w:rsidRPr="007D418A">
        <w:t>All sponsors of existing Class IIb surgical meshes would need to notify the TGA within this period of all produ</w:t>
      </w:r>
      <w:r w:rsidR="007D418A">
        <w:t>cts they intend to up-classify.</w:t>
      </w:r>
      <w:r w:rsidRPr="007D418A">
        <w:t xml:space="preserve"> These products can continue to be supplied under the existing Class IIb entry for the duration of the transition. Any surgical mesh product not notified in this period would need to be covered by a Class III ARTG entry. Where an up-classification application is not received by the end of the transition period the related Class IIb ARTG entry will be cancelled.</w:t>
      </w:r>
    </w:p>
    <w:p w:rsidR="00D46410" w:rsidRPr="007D418A" w:rsidRDefault="00B01F58" w:rsidP="007D418A">
      <w:pPr>
        <w:pStyle w:val="ListBullet"/>
      </w:pPr>
      <w:r w:rsidRPr="007D418A">
        <w:t xml:space="preserve">Any marketing approval </w:t>
      </w:r>
      <w:r w:rsidR="003C0F20" w:rsidRPr="007D418A">
        <w:t xml:space="preserve">Class IIb </w:t>
      </w:r>
      <w:r w:rsidRPr="007D418A">
        <w:t>applications</w:t>
      </w:r>
      <w:r w:rsidR="003C0F20" w:rsidRPr="007D418A">
        <w:t xml:space="preserve"> for surgical meshes</w:t>
      </w:r>
      <w:r w:rsidRPr="007D418A">
        <w:t xml:space="preserve"> in progress </w:t>
      </w:r>
      <w:r w:rsidR="003C0F20" w:rsidRPr="007D418A">
        <w:t xml:space="preserve">on the date the regulations come into effect </w:t>
      </w:r>
      <w:r w:rsidR="00A517C7" w:rsidRPr="007D418A">
        <w:t xml:space="preserve">may continue, and </w:t>
      </w:r>
      <w:r w:rsidR="00206EBF" w:rsidRPr="007D418A">
        <w:t xml:space="preserve">will be included as Class IIb </w:t>
      </w:r>
      <w:r w:rsidR="007D418A">
        <w:t xml:space="preserve">if approved. </w:t>
      </w:r>
      <w:r w:rsidR="00206EBF" w:rsidRPr="007D418A">
        <w:t xml:space="preserve">The Class IIb entry will then </w:t>
      </w:r>
      <w:r w:rsidR="003C0F20" w:rsidRPr="007D418A">
        <w:t xml:space="preserve">need to seek up-classification as part of </w:t>
      </w:r>
      <w:r w:rsidR="00206EBF" w:rsidRPr="007D418A">
        <w:t>the transition arrangements for existing surgical meshes.</w:t>
      </w:r>
    </w:p>
    <w:p w:rsidR="00665062" w:rsidRDefault="007A1C40" w:rsidP="007D418A">
      <w:pPr>
        <w:pStyle w:val="ListBullet"/>
      </w:pPr>
      <w:r w:rsidRPr="007D418A">
        <w:t>Any TGA conformity assessment applications</w:t>
      </w:r>
      <w:r w:rsidR="00EF3CC4" w:rsidRPr="007D418A">
        <w:t xml:space="preserve"> for Class IIb surgical mesh,</w:t>
      </w:r>
      <w:r w:rsidRPr="007D418A">
        <w:t xml:space="preserve"> in progress </w:t>
      </w:r>
      <w:r w:rsidR="00206EBF" w:rsidRPr="007D418A">
        <w:t>at th</w:t>
      </w:r>
      <w:r w:rsidR="00F355D6" w:rsidRPr="007D418A">
        <w:t>e</w:t>
      </w:r>
      <w:r w:rsidR="00206EBF" w:rsidRPr="007D418A">
        <w:t xml:space="preserve"> time </w:t>
      </w:r>
      <w:r w:rsidR="00F355D6" w:rsidRPr="007D418A">
        <w:t>of the change to the classification rules</w:t>
      </w:r>
      <w:r w:rsidR="00EF3CC4" w:rsidRPr="007D418A">
        <w:t>,</w:t>
      </w:r>
      <w:r w:rsidR="00F355D6" w:rsidRPr="007D418A">
        <w:t xml:space="preserve"> </w:t>
      </w:r>
      <w:r w:rsidR="00206EBF" w:rsidRPr="007D418A">
        <w:t xml:space="preserve">will be amended </w:t>
      </w:r>
      <w:r w:rsidR="00D350D1" w:rsidRPr="007D418A">
        <w:t>to cover Class III requirements</w:t>
      </w:r>
      <w:r w:rsidR="00206EBF" w:rsidRPr="007D418A">
        <w:t>. This mean</w:t>
      </w:r>
      <w:r w:rsidR="00D350D1" w:rsidRPr="007D418A">
        <w:t>s</w:t>
      </w:r>
      <w:r w:rsidR="00206EBF" w:rsidRPr="007D418A">
        <w:t xml:space="preserve"> </w:t>
      </w:r>
      <w:r w:rsidR="00FD2748" w:rsidRPr="007D418A">
        <w:t xml:space="preserve">the applications will be </w:t>
      </w:r>
      <w:r w:rsidR="00206EBF" w:rsidRPr="007D418A">
        <w:t>expand</w:t>
      </w:r>
      <w:r w:rsidR="00FD2748" w:rsidRPr="007D418A">
        <w:t>ed</w:t>
      </w:r>
      <w:r w:rsidR="00206EBF" w:rsidRPr="007D418A">
        <w:t xml:space="preserve"> to also undertake a design examination f</w:t>
      </w:r>
      <w:r w:rsidR="007D418A">
        <w:t xml:space="preserve">or each surgical mesh product. </w:t>
      </w:r>
      <w:r w:rsidR="00206EBF" w:rsidRPr="007D418A">
        <w:t xml:space="preserve">Normal fees will apply for the additional assessments, and </w:t>
      </w:r>
      <w:r w:rsidR="00FD2748" w:rsidRPr="007D418A">
        <w:t xml:space="preserve">will </w:t>
      </w:r>
      <w:r w:rsidR="00206EBF" w:rsidRPr="007D418A">
        <w:t>be invoiced once</w:t>
      </w:r>
      <w:r w:rsidR="00206EBF">
        <w:t xml:space="preserve"> the scope of additional work is </w:t>
      </w:r>
      <w:r w:rsidR="00EF3CC4">
        <w:t xml:space="preserve">determined </w:t>
      </w:r>
      <w:r w:rsidR="007D418A">
        <w:t>by the TGA.</w:t>
      </w:r>
    </w:p>
    <w:p w:rsidR="006026A9" w:rsidRDefault="006026A9" w:rsidP="007D418A">
      <w:pPr>
        <w:pStyle w:val="Heading5"/>
      </w:pPr>
      <w:r>
        <w:t>Fees and charges</w:t>
      </w:r>
    </w:p>
    <w:p w:rsidR="006026A9" w:rsidRDefault="00946B41" w:rsidP="007D418A">
      <w:r>
        <w:t xml:space="preserve">Normal application, assessment and audit fees will apply for </w:t>
      </w:r>
      <w:r w:rsidRPr="007D418A">
        <w:t xml:space="preserve">applications. </w:t>
      </w:r>
      <w:r w:rsidR="00F25D48" w:rsidRPr="007D418A">
        <w:t xml:space="preserve"> </w:t>
      </w:r>
      <w:r w:rsidR="00665062" w:rsidRPr="007D418A">
        <w:t>Normal annual charges will also apply for Class III surgical mesh ARTG entries following up-classification</w:t>
      </w:r>
      <w:r w:rsidR="007D418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6410" w:rsidRPr="009401F6" w:rsidTr="00656A0B">
        <w:trPr>
          <w:trHeight w:val="1206"/>
        </w:trPr>
        <w:tc>
          <w:tcPr>
            <w:tcW w:w="1276" w:type="dxa"/>
            <w:vAlign w:val="center"/>
          </w:tcPr>
          <w:p w:rsidR="00D46410" w:rsidRPr="009401F6" w:rsidRDefault="00D46410" w:rsidP="00656A0B">
            <w:pPr>
              <w:spacing w:before="0"/>
              <w:rPr>
                <w:sz w:val="20"/>
              </w:rPr>
            </w:pPr>
            <w:r>
              <w:rPr>
                <w:noProof/>
                <w:sz w:val="20"/>
                <w:lang w:eastAsia="en-AU"/>
              </w:rPr>
              <w:drawing>
                <wp:inline distT="0" distB="0" distL="0" distR="0" wp14:anchorId="4E40C161" wp14:editId="25478087">
                  <wp:extent cx="810260" cy="8102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D46410" w:rsidRPr="009401F6" w:rsidRDefault="00D46410" w:rsidP="007D418A">
            <w:pPr>
              <w:pStyle w:val="Heading4"/>
              <w:spacing w:before="0"/>
            </w:pPr>
            <w:bookmarkStart w:id="13" w:name="_Toc488929463"/>
            <w:r w:rsidRPr="007D418A">
              <w:t>Questions</w:t>
            </w:r>
            <w:bookmarkEnd w:id="13"/>
          </w:p>
          <w:p w:rsidR="00EF6EED" w:rsidRPr="007D418A" w:rsidRDefault="00EF6EED" w:rsidP="007D418A">
            <w:pPr>
              <w:pStyle w:val="ListBullet"/>
            </w:pPr>
            <w:r>
              <w:t xml:space="preserve">Are </w:t>
            </w:r>
            <w:r w:rsidRPr="007D418A">
              <w:t>there any unintended consequences that may arise out of this change?</w:t>
            </w:r>
          </w:p>
          <w:p w:rsidR="00EF6EED" w:rsidRPr="009401F6" w:rsidRDefault="00EF6EED" w:rsidP="007D418A">
            <w:pPr>
              <w:pStyle w:val="ListBullet"/>
            </w:pPr>
            <w:r w:rsidRPr="007D418A">
              <w:t>If there are issues,</w:t>
            </w:r>
            <w:r>
              <w:t xml:space="preserve"> provide suggestions for mitigating them?</w:t>
            </w:r>
          </w:p>
        </w:tc>
      </w:tr>
    </w:tbl>
    <w:p w:rsidR="006260DF" w:rsidRDefault="007405E5" w:rsidP="007405E5">
      <w:pPr>
        <w:pStyle w:val="Heading2"/>
      </w:pPr>
      <w:bookmarkStart w:id="14" w:name="_Toc488929464"/>
      <w:r>
        <w:lastRenderedPageBreak/>
        <w:t xml:space="preserve">Patient </w:t>
      </w:r>
      <w:r w:rsidRPr="007405E5">
        <w:t>i</w:t>
      </w:r>
      <w:r w:rsidR="006260DF" w:rsidRPr="007405E5">
        <w:t>mplant</w:t>
      </w:r>
      <w:r w:rsidR="006260DF">
        <w:t xml:space="preserve"> </w:t>
      </w:r>
      <w:r>
        <w:t>c</w:t>
      </w:r>
      <w:r w:rsidR="006260DF">
        <w:t>ards</w:t>
      </w:r>
      <w:bookmarkEnd w:id="14"/>
    </w:p>
    <w:p w:rsidR="006260DF" w:rsidRDefault="005E4DBC" w:rsidP="007405E5">
      <w:pPr>
        <w:pStyle w:val="Heading3"/>
      </w:pPr>
      <w:bookmarkStart w:id="15" w:name="_Toc488929465"/>
      <w:r>
        <w:t>What are patient implant cards?</w:t>
      </w:r>
      <w:bookmarkEnd w:id="15"/>
    </w:p>
    <w:p w:rsidR="001641E9" w:rsidRPr="001641E9" w:rsidRDefault="001641E9" w:rsidP="007405E5">
      <w:r w:rsidRPr="001641E9">
        <w:t xml:space="preserve">The Therapeutic Goods (Medical Devices) Essential Principles (EPs) </w:t>
      </w:r>
      <w:r>
        <w:t xml:space="preserve">currently </w:t>
      </w:r>
      <w:r w:rsidRPr="001641E9">
        <w:t xml:space="preserve">require certain information be provided </w:t>
      </w:r>
      <w:r w:rsidR="00665062">
        <w:t xml:space="preserve">by manufacturers </w:t>
      </w:r>
      <w:r w:rsidRPr="001641E9">
        <w:t>with medical devices including information:</w:t>
      </w:r>
    </w:p>
    <w:p w:rsidR="001641E9" w:rsidRPr="007405E5" w:rsidRDefault="00DA195F" w:rsidP="007405E5">
      <w:pPr>
        <w:pStyle w:val="ListBullet"/>
      </w:pPr>
      <w:r w:rsidRPr="007405E5">
        <w:t>identifying the device</w:t>
      </w:r>
    </w:p>
    <w:p w:rsidR="001641E9" w:rsidRPr="007405E5" w:rsidRDefault="001641E9" w:rsidP="007405E5">
      <w:pPr>
        <w:pStyle w:val="ListBullet"/>
      </w:pPr>
      <w:r w:rsidRPr="007405E5">
        <w:t>identifying the m</w:t>
      </w:r>
      <w:r w:rsidR="00DA195F" w:rsidRPr="007405E5">
        <w:t>anufacturer of the device</w:t>
      </w:r>
    </w:p>
    <w:p w:rsidR="001641E9" w:rsidRPr="007405E5" w:rsidRDefault="001641E9" w:rsidP="007405E5">
      <w:pPr>
        <w:pStyle w:val="ListBullet"/>
      </w:pPr>
      <w:r w:rsidRPr="007405E5">
        <w:t>explaining how to use the device safely, having regard to the training and knowledge of</w:t>
      </w:r>
      <w:r w:rsidR="00DA195F" w:rsidRPr="007405E5">
        <w:t xml:space="preserve"> potential users of the devic</w:t>
      </w:r>
      <w:r w:rsidR="00671364" w:rsidRPr="007405E5">
        <w:t>e</w:t>
      </w:r>
    </w:p>
    <w:p w:rsidR="001641E9" w:rsidRPr="007405E5" w:rsidRDefault="00EF3CC4" w:rsidP="007405E5">
      <w:pPr>
        <w:pStyle w:val="ListBullet"/>
      </w:pPr>
      <w:r w:rsidRPr="007405E5">
        <w:t>detailing</w:t>
      </w:r>
      <w:r w:rsidR="001641E9" w:rsidRPr="007405E5">
        <w:t xml:space="preserve"> any warnings, restrictions, precautions, side effects or residual risks in relati</w:t>
      </w:r>
      <w:r w:rsidR="00DA195F" w:rsidRPr="007405E5">
        <w:t>on to the use of the device</w:t>
      </w:r>
    </w:p>
    <w:p w:rsidR="001641E9" w:rsidRPr="007405E5" w:rsidRDefault="00EF3CC4" w:rsidP="007405E5">
      <w:pPr>
        <w:pStyle w:val="ListBullet"/>
      </w:pPr>
      <w:r w:rsidRPr="007405E5">
        <w:t xml:space="preserve">detailing </w:t>
      </w:r>
      <w:r w:rsidR="001641E9" w:rsidRPr="007405E5">
        <w:t>risks arising, because of other equipment, for example magnetic field interference from mag</w:t>
      </w:r>
      <w:r w:rsidR="00DA195F" w:rsidRPr="007405E5">
        <w:t>netic resonance imaging devices</w:t>
      </w:r>
    </w:p>
    <w:p w:rsidR="001641E9" w:rsidRDefault="00F214E9" w:rsidP="007405E5">
      <w:r>
        <w:t>However, t</w:t>
      </w:r>
      <w:r w:rsidR="001641E9" w:rsidRPr="005748E7">
        <w:t xml:space="preserve">he </w:t>
      </w:r>
      <w:r>
        <w:t>Essential Principles</w:t>
      </w:r>
      <w:r w:rsidR="001641E9">
        <w:t xml:space="preserve"> do</w:t>
      </w:r>
      <w:r w:rsidR="001641E9" w:rsidRPr="005748E7">
        <w:t xml:space="preserve"> not make explicit the </w:t>
      </w:r>
      <w:r>
        <w:t xml:space="preserve">requirement for </w:t>
      </w:r>
      <w:r w:rsidR="001641E9" w:rsidRPr="005748E7">
        <w:t>provision of the device information or any cautionary information to the patien</w:t>
      </w:r>
      <w:r w:rsidR="007405E5">
        <w:t>t.</w:t>
      </w:r>
    </w:p>
    <w:p w:rsidR="00F61B01" w:rsidRDefault="00355D1D" w:rsidP="007405E5">
      <w:r w:rsidRPr="00EF4436">
        <w:t xml:space="preserve">The new European </w:t>
      </w:r>
      <w:r w:rsidR="00F61B01">
        <w:t>regulations</w:t>
      </w:r>
      <w:r w:rsidR="00F61B01" w:rsidRPr="00EF4436">
        <w:t xml:space="preserve"> </w:t>
      </w:r>
      <w:r w:rsidRPr="00EF4436">
        <w:t>(Article 18) require</w:t>
      </w:r>
      <w:r w:rsidR="00F61B01">
        <w:t>:</w:t>
      </w:r>
    </w:p>
    <w:p w:rsidR="00355D1D" w:rsidRPr="00EF4436" w:rsidRDefault="009F63E0" w:rsidP="00F61B01">
      <w:pPr>
        <w:pStyle w:val="Quotation"/>
      </w:pPr>
      <w:r>
        <w:t xml:space="preserve">1. </w:t>
      </w:r>
      <w:r>
        <w:tab/>
      </w:r>
      <w:r w:rsidR="00F61B01">
        <w:t xml:space="preserve">The </w:t>
      </w:r>
      <w:r w:rsidR="00355D1D" w:rsidRPr="00EF4436">
        <w:t xml:space="preserve">manufacturers of implantable devices </w:t>
      </w:r>
      <w:r w:rsidR="00F61B01">
        <w:t xml:space="preserve">shall </w:t>
      </w:r>
      <w:r w:rsidR="00355D1D" w:rsidRPr="00EF4436">
        <w:t>provide together with the device</w:t>
      </w:r>
      <w:r w:rsidR="00F61B01">
        <w:t xml:space="preserve"> the following</w:t>
      </w:r>
      <w:r w:rsidR="007405E5">
        <w:t>:</w:t>
      </w:r>
    </w:p>
    <w:p w:rsidR="00355D1D" w:rsidRPr="00EF4436" w:rsidRDefault="0045257D" w:rsidP="00F61B01">
      <w:pPr>
        <w:pStyle w:val="Quotation"/>
        <w:ind w:left="851" w:hanging="426"/>
      </w:pPr>
      <w:r w:rsidRPr="00EF4436">
        <w:t>(a)</w:t>
      </w:r>
      <w:r w:rsidRPr="00EF4436">
        <w:tab/>
      </w:r>
      <w:r w:rsidR="00355D1D" w:rsidRPr="00EF4436">
        <w:t xml:space="preserve">information allowing the identification of the device, including the device name, serial number, lot number, the </w:t>
      </w:r>
      <w:r w:rsidR="00665062">
        <w:t>Unique Device Identifier (</w:t>
      </w:r>
      <w:r w:rsidR="00355D1D" w:rsidRPr="00EF4436">
        <w:t>UDI</w:t>
      </w:r>
      <w:r w:rsidR="00665062">
        <w:t>)</w:t>
      </w:r>
      <w:r w:rsidR="00355D1D" w:rsidRPr="00EF4436">
        <w:t xml:space="preserve">, the device model, as well as the name, address and </w:t>
      </w:r>
      <w:r w:rsidR="007405E5">
        <w:t>the website of the manufacturer</w:t>
      </w:r>
    </w:p>
    <w:p w:rsidR="00355D1D" w:rsidRPr="00EF4436" w:rsidRDefault="0045257D" w:rsidP="00F61B01">
      <w:pPr>
        <w:pStyle w:val="Quotation"/>
        <w:ind w:left="851" w:hanging="426"/>
      </w:pPr>
      <w:r w:rsidRPr="00EF4436">
        <w:t>(b)</w:t>
      </w:r>
      <w:r w:rsidRPr="00EF4436">
        <w:tab/>
      </w:r>
      <w:r w:rsidR="00355D1D" w:rsidRPr="00EF4436">
        <w:t>any warnings, precautions or measures to be taken by the patient or a healthcare professional with regard to reciprocal interference with reasonably foreseeable external influences, medical examinations or environmental conditions</w:t>
      </w:r>
    </w:p>
    <w:p w:rsidR="00355D1D" w:rsidRPr="00EF4436" w:rsidRDefault="0045257D" w:rsidP="00F61B01">
      <w:pPr>
        <w:pStyle w:val="Quotation"/>
        <w:ind w:left="851" w:hanging="426"/>
      </w:pPr>
      <w:r w:rsidRPr="00EF4436">
        <w:t>(c)</w:t>
      </w:r>
      <w:r w:rsidRPr="00EF4436">
        <w:tab/>
      </w:r>
      <w:r w:rsidR="00355D1D" w:rsidRPr="00EF4436">
        <w:t>any information about the expected lifetime of the dev</w:t>
      </w:r>
      <w:r w:rsidR="007405E5">
        <w:t>ice and any necessary follow-up</w:t>
      </w:r>
    </w:p>
    <w:p w:rsidR="00355D1D" w:rsidRPr="00EF4436" w:rsidRDefault="0045257D" w:rsidP="00F61B01">
      <w:pPr>
        <w:pStyle w:val="Quotation"/>
        <w:ind w:left="851" w:hanging="426"/>
      </w:pPr>
      <w:r w:rsidRPr="00EF4436">
        <w:t>(d)</w:t>
      </w:r>
      <w:r w:rsidRPr="00EF4436">
        <w:tab/>
      </w:r>
      <w:r w:rsidR="00355D1D" w:rsidRPr="00EF4436">
        <w:t>any other information to ensure safe use of the device by the patient</w:t>
      </w:r>
      <w:r w:rsidR="00EF3CC4">
        <w:t xml:space="preserve"> including </w:t>
      </w:r>
      <w:r w:rsidR="00DC457A">
        <w:t>(</w:t>
      </w:r>
      <w:r w:rsidR="00EF3CC4">
        <w:t>the overall qualitative and quantitative information on the materials and substances to which patients can be exposed</w:t>
      </w:r>
      <w:r w:rsidR="00DC457A">
        <w:t>)</w:t>
      </w:r>
      <w:r w:rsidR="00EF3CC4">
        <w:t>.</w:t>
      </w:r>
    </w:p>
    <w:p w:rsidR="00DC457A" w:rsidRDefault="00355D1D" w:rsidP="00665062">
      <w:pPr>
        <w:pStyle w:val="Quotation"/>
        <w:rPr>
          <w:lang w:val="en"/>
        </w:rPr>
      </w:pPr>
      <w:r w:rsidRPr="00EF4436">
        <w:rPr>
          <w:lang w:val="en"/>
        </w:rPr>
        <w:t xml:space="preserve">The information referred to in subparagraph (a) </w:t>
      </w:r>
      <w:r w:rsidR="00DC457A">
        <w:rPr>
          <w:lang w:val="en"/>
        </w:rPr>
        <w:t xml:space="preserve">shall </w:t>
      </w:r>
      <w:r w:rsidRPr="00EF4436">
        <w:rPr>
          <w:lang w:val="en"/>
        </w:rPr>
        <w:t>be provided, for the purpose of making it available to the particular patient who has been implanted with the device, by any means that allow rapid access to that information</w:t>
      </w:r>
      <w:r w:rsidR="00DC457A">
        <w:rPr>
          <w:lang w:val="en"/>
        </w:rPr>
        <w:t xml:space="preserve"> </w:t>
      </w:r>
      <w:r w:rsidR="00DC457A">
        <w:rPr>
          <w:sz w:val="19"/>
          <w:szCs w:val="19"/>
        </w:rPr>
        <w:t>and shall be stated in the language(s) determine</w:t>
      </w:r>
      <w:r w:rsidR="007405E5">
        <w:rPr>
          <w:sz w:val="19"/>
          <w:szCs w:val="19"/>
        </w:rPr>
        <w:t>d by the concerned Member State</w:t>
      </w:r>
      <w:r w:rsidRPr="00EF4436">
        <w:rPr>
          <w:lang w:val="en"/>
        </w:rPr>
        <w:t xml:space="preserve">. The information is to be written in a way that is readily understood by a lay person and updated where appropriate. Updates of the information </w:t>
      </w:r>
      <w:r w:rsidR="00DC457A">
        <w:rPr>
          <w:lang w:val="en"/>
        </w:rPr>
        <w:t xml:space="preserve">shall </w:t>
      </w:r>
      <w:r w:rsidRPr="00EF4436">
        <w:rPr>
          <w:lang w:val="en"/>
        </w:rPr>
        <w:t>be made available to the patient via the website mentioned in point</w:t>
      </w:r>
      <w:r w:rsidR="007405E5">
        <w:rPr>
          <w:lang w:val="en"/>
        </w:rPr>
        <w:t> (a) of the first subparagraph.</w:t>
      </w:r>
    </w:p>
    <w:p w:rsidR="00355D1D" w:rsidRPr="00EF4436" w:rsidRDefault="00355D1D" w:rsidP="00665062">
      <w:pPr>
        <w:pStyle w:val="Quotation"/>
        <w:rPr>
          <w:lang w:val="en"/>
        </w:rPr>
      </w:pPr>
      <w:r w:rsidRPr="00EF4436">
        <w:rPr>
          <w:lang w:val="en"/>
        </w:rPr>
        <w:t xml:space="preserve">In addition, the manufacturer </w:t>
      </w:r>
      <w:r w:rsidR="00DC457A">
        <w:rPr>
          <w:lang w:val="en"/>
        </w:rPr>
        <w:t xml:space="preserve">shall </w:t>
      </w:r>
      <w:r w:rsidRPr="00EF4436">
        <w:rPr>
          <w:lang w:val="en"/>
        </w:rPr>
        <w:t>provide the information referred to in point (a) of the first subparagraph</w:t>
      </w:r>
      <w:r w:rsidR="007405E5">
        <w:rPr>
          <w:lang w:val="en"/>
        </w:rPr>
        <w:t xml:space="preserve"> </w:t>
      </w:r>
      <w:r w:rsidRPr="00EF4436">
        <w:rPr>
          <w:lang w:val="en"/>
        </w:rPr>
        <w:t>on an implant card delivered with the device.</w:t>
      </w:r>
    </w:p>
    <w:p w:rsidR="00F214E9" w:rsidRDefault="00EF3CC4" w:rsidP="007405E5">
      <w:r>
        <w:t xml:space="preserve">The </w:t>
      </w:r>
      <w:r w:rsidR="00F214E9">
        <w:t>proposed change to the Therapeutic Goods Regulations would</w:t>
      </w:r>
      <w:r w:rsidR="001641E9" w:rsidRPr="00EF4436">
        <w:t xml:space="preserve"> </w:t>
      </w:r>
      <w:r w:rsidR="00355D1D" w:rsidRPr="00EF4436">
        <w:t xml:space="preserve">parallel the new European requirements, making the requirement for patient cards and information </w:t>
      </w:r>
      <w:r w:rsidR="001641E9" w:rsidRPr="00EF4436">
        <w:t>explicit</w:t>
      </w:r>
      <w:r w:rsidR="00355D1D" w:rsidRPr="00EF4436">
        <w:t xml:space="preserve"> in the regulations</w:t>
      </w:r>
      <w:r w:rsidR="001641E9" w:rsidRPr="00EF4436">
        <w:t>,</w:t>
      </w:r>
      <w:r w:rsidR="001641E9" w:rsidRPr="001641E9">
        <w:t xml:space="preserve"> to improve information flow to patients and doctors, and to assist in improv</w:t>
      </w:r>
      <w:r w:rsidR="007405E5">
        <w:t>ing patient-doctor discussions.</w:t>
      </w:r>
    </w:p>
    <w:p w:rsidR="005E4DBC" w:rsidRDefault="001641E9" w:rsidP="007405E5">
      <w:r w:rsidRPr="001641E9">
        <w:t xml:space="preserve">Patient implant cards </w:t>
      </w:r>
      <w:r w:rsidR="00355D1D">
        <w:t xml:space="preserve">and information </w:t>
      </w:r>
      <w:r w:rsidRPr="001641E9">
        <w:t xml:space="preserve">are already being provided by some medical device manufacturers, and are required in other jurisdictions including the USA. These cards are </w:t>
      </w:r>
      <w:r w:rsidRPr="001641E9">
        <w:lastRenderedPageBreak/>
        <w:t>provided to recipients of certain implantable devices such as orthopaedics devices, and active implantable devices.</w:t>
      </w:r>
    </w:p>
    <w:p w:rsidR="001641E9" w:rsidRPr="005748E7" w:rsidRDefault="001641E9" w:rsidP="007405E5">
      <w:r w:rsidRPr="005748E7">
        <w:t xml:space="preserve">This proposal also complements work being progressed by the Australian Commission on Safety and Quality in Health Care to </w:t>
      </w:r>
      <w:r w:rsidR="00F61B01">
        <w:t>strengthen the informed consent process</w:t>
      </w:r>
      <w:r w:rsidR="00F214E9">
        <w:t xml:space="preserve"> around procedures that may involve certain mesh products</w:t>
      </w:r>
      <w:r w:rsidR="00F61B01">
        <w:t>.</w:t>
      </w:r>
    </w:p>
    <w:p w:rsidR="001641E9" w:rsidRDefault="001641E9" w:rsidP="007405E5">
      <w:pPr>
        <w:pStyle w:val="Heading3"/>
      </w:pPr>
      <w:bookmarkStart w:id="16" w:name="_Toc488929466"/>
      <w:r>
        <w:t>How will this be implemented?</w:t>
      </w:r>
      <w:bookmarkEnd w:id="16"/>
    </w:p>
    <w:p w:rsidR="001641E9" w:rsidRDefault="001641E9" w:rsidP="007405E5">
      <w:r>
        <w:t>T</w:t>
      </w:r>
      <w:r w:rsidRPr="001641E9">
        <w:t xml:space="preserve">he </w:t>
      </w:r>
      <w:r w:rsidR="00F214E9">
        <w:t xml:space="preserve">proposed </w:t>
      </w:r>
      <w:r w:rsidRPr="001641E9">
        <w:t xml:space="preserve">medical devices patient implant card and patient information leaflet </w:t>
      </w:r>
      <w:r w:rsidR="00F214E9">
        <w:t>would not just apply to mesh devices. It is proposed to</w:t>
      </w:r>
      <w:r w:rsidRPr="001641E9">
        <w:t xml:space="preserve"> apply to all implantable medical devices and long term surgically invasive implants (i.e. all Class </w:t>
      </w:r>
      <w:r w:rsidR="009E1B71" w:rsidRPr="001641E9">
        <w:t>II</w:t>
      </w:r>
      <w:r w:rsidR="009E1B71">
        <w:t>b</w:t>
      </w:r>
      <w:r w:rsidRPr="001641E9">
        <w:t>, Class III and active implantable medical device (AIMD)), except certain articles such as sutures, staples, dental fillings etc</w:t>
      </w:r>
      <w:r w:rsidR="00F214E9">
        <w:t xml:space="preserve">. This is </w:t>
      </w:r>
      <w:r w:rsidRPr="001641E9">
        <w:t>in ali</w:t>
      </w:r>
      <w:r w:rsidR="007405E5">
        <w:t>gnment with the EU regulations.</w:t>
      </w:r>
    </w:p>
    <w:p w:rsidR="001641E9" w:rsidRDefault="001641E9" w:rsidP="007405E5">
      <w:r w:rsidRPr="001641E9">
        <w:t>This would be achieved by amendment to the Therapeutic Goods (Medi</w:t>
      </w:r>
      <w:r w:rsidR="007405E5">
        <w:t xml:space="preserve">cal Devices) Regulations 2002. </w:t>
      </w:r>
      <w:r w:rsidRPr="001641E9">
        <w:t xml:space="preserve">It is anticipated </w:t>
      </w:r>
      <w:r w:rsidR="00671364">
        <w:t xml:space="preserve">that </w:t>
      </w:r>
      <w:r w:rsidRPr="001641E9">
        <w:t xml:space="preserve">patient implant cards and information be compulsory for all implantable medical devices in Australia by amending </w:t>
      </w:r>
      <w:r w:rsidR="00F214E9">
        <w:t xml:space="preserve">Essential Principle </w:t>
      </w:r>
      <w:r w:rsidRPr="001641E9">
        <w:t>13</w:t>
      </w:r>
      <w:r w:rsidR="007405E5">
        <w:t>.</w:t>
      </w:r>
    </w:p>
    <w:p w:rsidR="00656A0B" w:rsidRDefault="00656A0B" w:rsidP="007405E5">
      <w:pPr>
        <w:rPr>
          <w:rFonts w:eastAsiaTheme="minorHAnsi" w:cs="Arial"/>
          <w:szCs w:val="22"/>
        </w:rPr>
      </w:pPr>
      <w:r>
        <w:rPr>
          <w:rFonts w:eastAsiaTheme="minorHAnsi" w:cs="Arial"/>
          <w:szCs w:val="22"/>
        </w:rPr>
        <w:t xml:space="preserve">It is anticipated that </w:t>
      </w:r>
      <w:r>
        <w:t xml:space="preserve">information </w:t>
      </w:r>
      <w:r w:rsidR="00F214E9">
        <w:t>on implantable medical devices would increasingly be</w:t>
      </w:r>
      <w:r>
        <w:t xml:space="preserve"> entered into a patient’s Myhealth record </w:t>
      </w:r>
      <w:r w:rsidR="00F214E9">
        <w:t>in coming years. Mandating this is out of scope of the</w:t>
      </w:r>
      <w:r>
        <w:t xml:space="preserve"> </w:t>
      </w:r>
      <w:r w:rsidR="009E1B71">
        <w:t>current</w:t>
      </w:r>
      <w:r w:rsidR="00F214E9">
        <w:t>ly proposed</w:t>
      </w:r>
      <w:r w:rsidR="009E1B71">
        <w:t xml:space="preserve"> regulatory </w:t>
      </w:r>
      <w:r>
        <w:t>change</w:t>
      </w:r>
      <w:r w:rsidR="007405E5">
        <w:t>.</w:t>
      </w:r>
    </w:p>
    <w:p w:rsidR="00656A0B" w:rsidRDefault="00656A0B" w:rsidP="007405E5">
      <w:pPr>
        <w:pStyle w:val="Heading4"/>
      </w:pPr>
      <w:bookmarkStart w:id="17" w:name="_Toc488929467"/>
      <w:r>
        <w:t>Transition</w:t>
      </w:r>
      <w:bookmarkEnd w:id="17"/>
    </w:p>
    <w:p w:rsidR="00656A0B" w:rsidRPr="006C18D2" w:rsidRDefault="00656A0B" w:rsidP="007405E5">
      <w:r>
        <w:t xml:space="preserve">The European transition period for this change is also three years, and by </w:t>
      </w:r>
      <w:r w:rsidR="00F214E9">
        <w:t xml:space="preserve">early-mid </w:t>
      </w:r>
      <w:r>
        <w:t>2020 the manufacturers of all relevant medical devices will have been re-certified under the new regulatory arrangement</w:t>
      </w:r>
      <w:r w:rsidR="007405E5">
        <w:t xml:space="preserve">s, including this requirement. </w:t>
      </w:r>
      <w:r>
        <w:t>At that stage</w:t>
      </w:r>
      <w:r w:rsidR="00F214E9">
        <w:t>,</w:t>
      </w:r>
      <w:r>
        <w:t xml:space="preserve"> </w:t>
      </w:r>
      <w:r w:rsidR="00F214E9">
        <w:t>it is proposed that Australian</w:t>
      </w:r>
      <w:r>
        <w:t xml:space="preserve"> sponsors</w:t>
      </w:r>
      <w:r w:rsidR="009E1B71">
        <w:t xml:space="preserve"> relying on European certification for their</w:t>
      </w:r>
      <w:r>
        <w:t xml:space="preserve"> relevant ARTG </w:t>
      </w:r>
      <w:r w:rsidR="003E77C0">
        <w:t xml:space="preserve">entries </w:t>
      </w:r>
      <w:r>
        <w:t>will be required to submit a manufacturers’ evidence update to demonstra</w:t>
      </w:r>
      <w:r w:rsidR="007405E5">
        <w:t>te compliance with this change.</w:t>
      </w:r>
    </w:p>
    <w:p w:rsidR="00656A0B" w:rsidRPr="00656A0B" w:rsidRDefault="00656A0B" w:rsidP="00656A0B">
      <w:pPr>
        <w:rPr>
          <w:rFonts w:eastAsiaTheme="minorHAnsi" w:cs="Arial"/>
          <w:szCs w:val="22"/>
        </w:rPr>
      </w:pPr>
      <w:r>
        <w:rPr>
          <w:rFonts w:eastAsiaTheme="minorHAnsi" w:cs="Arial"/>
          <w:szCs w:val="22"/>
        </w:rPr>
        <w:t>From the time the regulatory amendments come into force, all relevant conformity assessment applications will be explicitly required t</w:t>
      </w:r>
      <w:r w:rsidR="00DD3643">
        <w:rPr>
          <w:rFonts w:eastAsiaTheme="minorHAnsi" w:cs="Arial"/>
          <w:szCs w:val="22"/>
        </w:rPr>
        <w:t>o comply with this requirement.</w:t>
      </w:r>
    </w:p>
    <w:p w:rsidR="001641E9" w:rsidRPr="001641E9" w:rsidRDefault="001641E9" w:rsidP="00DD3643">
      <w:pPr>
        <w:pStyle w:val="Heading4"/>
      </w:pPr>
      <w:bookmarkStart w:id="18" w:name="_Toc488929468"/>
      <w:r>
        <w:t>Publication</w:t>
      </w:r>
      <w:bookmarkEnd w:id="18"/>
    </w:p>
    <w:p w:rsidR="00F214E9" w:rsidRDefault="001641E9" w:rsidP="00DD3643">
      <w:r w:rsidRPr="005748E7">
        <w:t>Current TGA regulations require consumer medicines information to be made available to consumers either in the pack or in another manner that will enable the information to be given to the person to whom the medicines are admin</w:t>
      </w:r>
      <w:r w:rsidR="00DD3643">
        <w:t>istered or otherwise dispensed.</w:t>
      </w:r>
    </w:p>
    <w:p w:rsidR="001641E9" w:rsidRDefault="001641E9" w:rsidP="00DD3643">
      <w:r>
        <w:t xml:space="preserve">In line with this, </w:t>
      </w:r>
      <w:r w:rsidR="00F214E9">
        <w:t xml:space="preserve">for devices, </w:t>
      </w:r>
      <w:r w:rsidRPr="005748E7">
        <w:t xml:space="preserve">the patient information will be published on TGA’s website and function in a similar manner to the consumer medicines information, which is provided by sponsors </w:t>
      </w:r>
      <w:r w:rsidR="00F214E9">
        <w:t xml:space="preserve">to patients </w:t>
      </w:r>
      <w:r w:rsidRPr="005748E7">
        <w:t xml:space="preserve">prior to </w:t>
      </w:r>
      <w:r w:rsidR="00F214E9">
        <w:t>their use of the therapeutic good</w:t>
      </w:r>
      <w:r w:rsidRPr="005748E7">
        <w:t xml:space="preserve">. Patients and medical practitioners </w:t>
      </w:r>
      <w:r w:rsidR="00F214E9">
        <w:t>would</w:t>
      </w:r>
      <w:r w:rsidRPr="005748E7">
        <w:t xml:space="preserve"> be able to access up to date information about the implant, improving transparency a</w:t>
      </w:r>
      <w:r w:rsidR="00DD3643">
        <w:t>nd enabling informed decisions.</w:t>
      </w:r>
    </w:p>
    <w:p w:rsidR="00F94E33" w:rsidRDefault="00F94E33" w:rsidP="001641E9">
      <w:pPr>
        <w:rPr>
          <w:rFonts w:eastAsiaTheme="minorHAnsi" w:cs="Arial"/>
          <w:szCs w:val="22"/>
        </w:rPr>
      </w:pPr>
      <w:r w:rsidRPr="009F63E0">
        <w:rPr>
          <w:rFonts w:eastAsiaTheme="minorHAnsi" w:cs="Arial"/>
          <w:szCs w:val="22"/>
        </w:rPr>
        <w:t>As in Europe, manufacturers would also be required to</w:t>
      </w:r>
      <w:r w:rsidRPr="00DD3643">
        <w:t xml:space="preserve"> maintain this patient information on their website, as indicated on the patient implant card</w:t>
      </w:r>
      <w:r w:rsidRPr="009F63E0">
        <w:rPr>
          <w:rFonts w:eastAsiaTheme="minorHAnsi" w:cs="Arial"/>
          <w:szCs w:val="22"/>
        </w:rPr>
        <w:t xml:space="preserve"> supplied with the device.</w:t>
      </w:r>
    </w:p>
    <w:p w:rsidR="001641E9" w:rsidRDefault="001641E9" w:rsidP="00DD3643">
      <w:pPr>
        <w:pStyle w:val="Heading4"/>
      </w:pPr>
      <w:bookmarkStart w:id="19" w:name="_Toc488929469"/>
      <w:r w:rsidRPr="001641E9">
        <w:lastRenderedPageBreak/>
        <w:t>Education</w:t>
      </w:r>
      <w:bookmarkEnd w:id="19"/>
    </w:p>
    <w:p w:rsidR="001641E9" w:rsidRDefault="00656A0B" w:rsidP="00DD3643">
      <w:pPr>
        <w:keepNext/>
        <w:keepLines/>
      </w:pPr>
      <w:r>
        <w:t>In addition to making patient card and</w:t>
      </w:r>
      <w:r w:rsidR="009E1B71">
        <w:t xml:space="preserve"> consumer-targeted</w:t>
      </w:r>
      <w:r>
        <w:t xml:space="preserve"> information mandatory </w:t>
      </w:r>
      <w:r w:rsidR="00F214E9">
        <w:t>(</w:t>
      </w:r>
      <w:r>
        <w:t>as part of the conformity assessment process</w:t>
      </w:r>
      <w:r w:rsidR="00F214E9">
        <w:t xml:space="preserve"> for potential inclusion of the medical device in the ARTG)</w:t>
      </w:r>
      <w:r>
        <w:t>, this proposal will also be supported by:</w:t>
      </w:r>
    </w:p>
    <w:p w:rsidR="00656A0B" w:rsidRPr="00DD3643" w:rsidRDefault="00656A0B" w:rsidP="00DD3643">
      <w:pPr>
        <w:pStyle w:val="ListBullet"/>
      </w:pPr>
      <w:r w:rsidRPr="006C18D2">
        <w:t xml:space="preserve">an </w:t>
      </w:r>
      <w:r w:rsidRPr="00DD3643">
        <w:t>education and awareness program to be conducted through liaison with respective</w:t>
      </w:r>
      <w:r w:rsidR="00DE66DF" w:rsidRPr="00DD3643">
        <w:t xml:space="preserve"> clinical colleges and patient </w:t>
      </w:r>
      <w:r w:rsidRPr="00DD3643">
        <w:t xml:space="preserve">associations, </w:t>
      </w:r>
      <w:r w:rsidR="00DE66DF" w:rsidRPr="00DD3643">
        <w:t xml:space="preserve">industry </w:t>
      </w:r>
      <w:r w:rsidRPr="00DD3643">
        <w:t>peak bodies and  by the TGA and device manufacturers</w:t>
      </w:r>
      <w:r w:rsidR="00DD3643">
        <w:t>.</w:t>
      </w:r>
    </w:p>
    <w:p w:rsidR="00656A0B" w:rsidRPr="00DD3643" w:rsidRDefault="00656A0B" w:rsidP="00DD3643">
      <w:pPr>
        <w:pStyle w:val="ListBullet"/>
      </w:pPr>
      <w:r w:rsidRPr="00DD3643">
        <w:t>updated industry guidance on th</w:t>
      </w:r>
      <w:r w:rsidR="00DD3643">
        <w:t>e TGA websites and in documents</w:t>
      </w:r>
    </w:p>
    <w:p w:rsidR="00656A0B" w:rsidRDefault="00656A0B" w:rsidP="00DD3643">
      <w:pPr>
        <w:pStyle w:val="ListBullet"/>
      </w:pPr>
      <w:r w:rsidRPr="00DD3643">
        <w:t>communication</w:t>
      </w:r>
      <w:r w:rsidR="00DE66DF" w:rsidRPr="00DD3643">
        <w:t>s</w:t>
      </w:r>
      <w:r w:rsidRPr="00DD3643">
        <w:t xml:space="preserve"> on the TGA</w:t>
      </w:r>
      <w:r>
        <w:t xml:space="preserve"> website.</w:t>
      </w:r>
    </w:p>
    <w:p w:rsidR="00DA195F" w:rsidRDefault="003E77C0" w:rsidP="00DD3643">
      <w:r>
        <w:t>Typically</w:t>
      </w:r>
      <w:r w:rsidR="00F214E9">
        <w:t>,</w:t>
      </w:r>
      <w:r>
        <w:t xml:space="preserve"> implantable devices are not un-packaged by the patient receiving the devices, but rather the surgeon or theatre staff</w:t>
      </w:r>
      <w:r w:rsidR="001D3237">
        <w:t xml:space="preserve"> i</w:t>
      </w:r>
      <w:r w:rsidR="00F214E9">
        <w:t>mplanting the device</w:t>
      </w:r>
      <w:r w:rsidR="006E3AC2">
        <w:t>.</w:t>
      </w:r>
      <w:bookmarkStart w:id="20" w:name="_GoBack"/>
      <w:bookmarkEnd w:id="20"/>
      <w:r w:rsidR="00F214E9" w:rsidRPr="003E77C0">
        <w:t xml:space="preserve"> </w:t>
      </w:r>
      <w:r>
        <w:t>These activities will seek to encourage and support the provision of the pati</w:t>
      </w:r>
      <w:r w:rsidR="00DD3643">
        <w:t>ent implant cards to patients.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6410" w:rsidRPr="009401F6" w:rsidTr="00656A0B">
        <w:trPr>
          <w:trHeight w:val="1206"/>
        </w:trPr>
        <w:tc>
          <w:tcPr>
            <w:tcW w:w="1276" w:type="dxa"/>
            <w:vAlign w:val="center"/>
          </w:tcPr>
          <w:bookmarkEnd w:id="3"/>
          <w:bookmarkEnd w:id="4"/>
          <w:p w:rsidR="00D46410" w:rsidRPr="009401F6" w:rsidRDefault="00D46410" w:rsidP="00656A0B">
            <w:pPr>
              <w:spacing w:before="0"/>
              <w:rPr>
                <w:sz w:val="20"/>
              </w:rPr>
            </w:pPr>
            <w:r>
              <w:rPr>
                <w:noProof/>
                <w:sz w:val="20"/>
                <w:lang w:eastAsia="en-AU"/>
              </w:rPr>
              <w:drawing>
                <wp:inline distT="0" distB="0" distL="0" distR="0" wp14:anchorId="10616EE3" wp14:editId="04E7AADF">
                  <wp:extent cx="810260" cy="81026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4">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D46410" w:rsidRPr="009401F6" w:rsidRDefault="00D46410" w:rsidP="00656A0B">
            <w:pPr>
              <w:pStyle w:val="Heading4"/>
              <w:spacing w:before="120"/>
            </w:pPr>
            <w:bookmarkStart w:id="21" w:name="_Toc488929470"/>
            <w:r>
              <w:t>Questions</w:t>
            </w:r>
            <w:bookmarkEnd w:id="21"/>
          </w:p>
          <w:p w:rsidR="00F61B01" w:rsidRPr="00DD3643" w:rsidRDefault="00F61B01" w:rsidP="00DD3643">
            <w:pPr>
              <w:pStyle w:val="ListBullet"/>
            </w:pPr>
            <w:r>
              <w:t xml:space="preserve">Do you have any </w:t>
            </w:r>
            <w:r w:rsidRPr="00DD3643">
              <w:t>suggestions about effective ways to ensure that the patient ID card reaches the patient?</w:t>
            </w:r>
          </w:p>
          <w:p w:rsidR="00D46410" w:rsidRPr="00DD3643" w:rsidRDefault="003E77C0" w:rsidP="00DD3643">
            <w:pPr>
              <w:pStyle w:val="ListBullet"/>
            </w:pPr>
            <w:r w:rsidRPr="00DD3643">
              <w:t xml:space="preserve">Do you have any comments or suggestions on </w:t>
            </w:r>
            <w:r w:rsidR="0097195C" w:rsidRPr="00DD3643">
              <w:t>alternative or additional strategies to promote the provision of the implant card to the patient?</w:t>
            </w:r>
          </w:p>
          <w:p w:rsidR="00EF6EED" w:rsidRPr="00DD3643" w:rsidRDefault="00EF6EED" w:rsidP="00DD3643">
            <w:pPr>
              <w:pStyle w:val="ListBullet"/>
            </w:pPr>
            <w:r w:rsidRPr="00DD3643">
              <w:t>Are there any issues or unintended consequences that may arise out of this change?</w:t>
            </w:r>
          </w:p>
          <w:p w:rsidR="00EF6EED" w:rsidRPr="009401F6" w:rsidRDefault="00EF6EED" w:rsidP="00DD3643">
            <w:pPr>
              <w:pStyle w:val="ListBullet"/>
            </w:pPr>
            <w:r w:rsidRPr="00DD3643">
              <w:t>If there are issues, provide sugges</w:t>
            </w:r>
            <w:r>
              <w:t>tions for mitigating them?</w:t>
            </w:r>
          </w:p>
        </w:tc>
      </w:tr>
    </w:tbl>
    <w:p w:rsidR="00BA6FF1" w:rsidRDefault="00BA6FF1" w:rsidP="00F8404D">
      <w:r>
        <w:br w:type="page"/>
      </w:r>
    </w:p>
    <w:p w:rsidR="003E3D34" w:rsidRPr="009401F6" w:rsidRDefault="003E3D34" w:rsidP="00F8404D">
      <w:pPr>
        <w:sectPr w:rsidR="003E3D34" w:rsidRPr="009401F6" w:rsidSect="0074066C">
          <w:headerReference w:type="default" r:id="rId15"/>
          <w:footerReference w:type="default" r:id="rId16"/>
          <w:headerReference w:type="first" r:id="rId17"/>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656A0B">
        <w:trPr>
          <w:trHeight w:hRule="exact" w:val="565"/>
          <w:jc w:val="center"/>
        </w:trPr>
        <w:tc>
          <w:tcPr>
            <w:tcW w:w="9145" w:type="dxa"/>
          </w:tcPr>
          <w:p w:rsidR="00F8404D" w:rsidRPr="009401F6" w:rsidRDefault="00F8404D" w:rsidP="00656A0B">
            <w:pPr>
              <w:pStyle w:val="TGASignoff"/>
            </w:pPr>
            <w:r w:rsidRPr="009401F6">
              <w:lastRenderedPageBreak/>
              <w:t>Therapeutic Goods Administration</w:t>
            </w:r>
          </w:p>
        </w:tc>
      </w:tr>
      <w:tr w:rsidR="00F8404D" w:rsidRPr="009401F6" w:rsidTr="00656A0B">
        <w:trPr>
          <w:trHeight w:val="963"/>
          <w:jc w:val="center"/>
        </w:trPr>
        <w:tc>
          <w:tcPr>
            <w:tcW w:w="9145" w:type="dxa"/>
            <w:tcMar>
              <w:top w:w="28" w:type="dxa"/>
            </w:tcMar>
          </w:tcPr>
          <w:p w:rsidR="00F8404D" w:rsidRPr="009401F6" w:rsidRDefault="00F8404D" w:rsidP="00656A0B">
            <w:pPr>
              <w:pStyle w:val="Address"/>
              <w:jc w:val="center"/>
            </w:pPr>
            <w:r w:rsidRPr="009401F6">
              <w:t>PO Box 100 Woden ACT 2606 Australia</w:t>
            </w:r>
          </w:p>
          <w:p w:rsidR="00F8404D" w:rsidRPr="009401F6" w:rsidRDefault="00F8404D" w:rsidP="00656A0B">
            <w:pPr>
              <w:pStyle w:val="Address"/>
              <w:jc w:val="center"/>
            </w:pPr>
            <w:r w:rsidRPr="009401F6">
              <w:t xml:space="preserve">Email: </w:t>
            </w:r>
            <w:hyperlink r:id="rId18"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6E3AC2" w:rsidP="00656A0B">
            <w:pPr>
              <w:pStyle w:val="Address"/>
              <w:spacing w:line="260" w:lineRule="atLeast"/>
              <w:jc w:val="center"/>
              <w:rPr>
                <w:rStyle w:val="Hyperlink"/>
                <w:b/>
              </w:rPr>
            </w:pPr>
            <w:hyperlink r:id="rId19" w:history="1">
              <w:r w:rsidR="009401F6" w:rsidRPr="009401F6">
                <w:rPr>
                  <w:rStyle w:val="Hyperlink"/>
                  <w:b/>
                </w:rPr>
                <w:t>https://www.tga.gov.au</w:t>
              </w:r>
            </w:hyperlink>
          </w:p>
        </w:tc>
      </w:tr>
      <w:tr w:rsidR="00F8404D" w:rsidRPr="009401F6" w:rsidTr="00656A0B">
        <w:trPr>
          <w:trHeight w:val="251"/>
          <w:jc w:val="center"/>
        </w:trPr>
        <w:tc>
          <w:tcPr>
            <w:tcW w:w="9145" w:type="dxa"/>
            <w:tcMar>
              <w:top w:w="28" w:type="dxa"/>
            </w:tcMar>
          </w:tcPr>
          <w:p w:rsidR="00F8404D" w:rsidRPr="009401F6" w:rsidRDefault="00F8404D" w:rsidP="00656A0B">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first" r:id="rId20"/>
      <w:footerReference w:type="first" r:id="rId21"/>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C5" w:rsidRDefault="002810C5" w:rsidP="00C40A36">
      <w:pPr>
        <w:spacing w:after="0"/>
      </w:pPr>
      <w:r>
        <w:separator/>
      </w:r>
    </w:p>
    <w:p w:rsidR="002810C5" w:rsidRDefault="002810C5"/>
  </w:endnote>
  <w:endnote w:type="continuationSeparator" w:id="0">
    <w:p w:rsidR="002810C5" w:rsidRDefault="002810C5" w:rsidP="00C40A36">
      <w:pPr>
        <w:spacing w:after="0"/>
      </w:pPr>
      <w:r>
        <w:continuationSeparator/>
      </w:r>
    </w:p>
    <w:p w:rsidR="002810C5" w:rsidRDefault="00281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Default="00656A0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656A0B" w:rsidRPr="00257138" w:rsidTr="00A3654F">
      <w:trPr>
        <w:trHeight w:val="423"/>
      </w:trPr>
      <w:tc>
        <w:tcPr>
          <w:tcW w:w="4360" w:type="dxa"/>
          <w:tcBorders>
            <w:top w:val="single" w:sz="4" w:space="0" w:color="auto"/>
          </w:tcBorders>
        </w:tcPr>
        <w:p w:rsidR="00656A0B" w:rsidRDefault="00656A0B" w:rsidP="008D4740">
          <w:pPr>
            <w:pStyle w:val="Footer"/>
          </w:pPr>
        </w:p>
        <w:p w:rsidR="00656A0B" w:rsidRPr="00257138" w:rsidRDefault="00656A0B"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656A0B" w:rsidRDefault="00656A0B" w:rsidP="008D4740">
              <w:pPr>
                <w:pStyle w:val="Footer"/>
                <w:jc w:val="right"/>
              </w:pPr>
            </w:p>
            <w:p w:rsidR="00656A0B" w:rsidRPr="00257138" w:rsidRDefault="00656A0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sidR="001875E2">
                  <w:rPr>
                    <w:noProof/>
                  </w:rPr>
                  <w:t>11</w:t>
                </w:r>
              </w:fldSimple>
            </w:p>
          </w:sdtContent>
        </w:sdt>
      </w:tc>
    </w:tr>
    <w:tr w:rsidR="00656A0B" w:rsidRPr="00257138" w:rsidTr="00A3654F">
      <w:trPr>
        <w:trHeight w:val="263"/>
      </w:trPr>
      <w:tc>
        <w:tcPr>
          <w:tcW w:w="4360" w:type="dxa"/>
        </w:tcPr>
        <w:p w:rsidR="00656A0B" w:rsidRPr="00257138" w:rsidRDefault="00656A0B" w:rsidP="008D4740">
          <w:pPr>
            <w:pStyle w:val="Footer"/>
          </w:pPr>
          <w:r w:rsidRPr="00257138">
            <w:t xml:space="preserve">V1.0 </w:t>
          </w:r>
          <w:r>
            <w:t>Month</w:t>
          </w:r>
          <w:r w:rsidRPr="00257138">
            <w:t xml:space="preserve"> 201</w:t>
          </w:r>
          <w:r>
            <w:t>2</w:t>
          </w:r>
        </w:p>
      </w:tc>
      <w:tc>
        <w:tcPr>
          <w:tcW w:w="4360" w:type="dxa"/>
        </w:tcPr>
        <w:p w:rsidR="00656A0B" w:rsidRPr="00257138" w:rsidRDefault="00656A0B" w:rsidP="008D4740">
          <w:pPr>
            <w:pStyle w:val="Footer"/>
            <w:jc w:val="right"/>
          </w:pPr>
        </w:p>
      </w:tc>
    </w:tr>
  </w:tbl>
  <w:p w:rsidR="00656A0B" w:rsidRPr="00826007" w:rsidRDefault="00656A0B"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Default="00656A0B"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656A0B" w:rsidRPr="00257138" w:rsidTr="00EE1482">
      <w:trPr>
        <w:trHeight w:val="423"/>
      </w:trPr>
      <w:tc>
        <w:tcPr>
          <w:tcW w:w="7479" w:type="dxa"/>
        </w:tcPr>
        <w:p w:rsidR="00656A0B" w:rsidRPr="00257138" w:rsidRDefault="00656A0B" w:rsidP="003521BE">
          <w:pPr>
            <w:pStyle w:val="Footer"/>
            <w:spacing w:before="120" w:after="120"/>
          </w:pPr>
          <w:r>
            <w:t xml:space="preserve">Alignment with European medical device regulatory framework </w:t>
          </w:r>
          <w:r>
            <w:br/>
          </w:r>
          <w:r w:rsidRPr="00257138">
            <w:t xml:space="preserve">V1.0 </w:t>
          </w:r>
          <w:r>
            <w:t>July 2017</w:t>
          </w:r>
        </w:p>
      </w:tc>
      <w:tc>
        <w:tcPr>
          <w:tcW w:w="1241" w:type="dxa"/>
        </w:tcPr>
        <w:sdt>
          <w:sdtPr>
            <w:id w:val="3702141"/>
            <w:docPartObj>
              <w:docPartGallery w:val="Page Numbers (Top of Page)"/>
              <w:docPartUnique/>
            </w:docPartObj>
          </w:sdtPr>
          <w:sdtEndPr/>
          <w:sdtContent>
            <w:p w:rsidR="00656A0B" w:rsidRPr="00257138" w:rsidRDefault="00656A0B" w:rsidP="00EE1482">
              <w:pPr>
                <w:pStyle w:val="Footer"/>
                <w:spacing w:before="120" w:after="120"/>
                <w:jc w:val="right"/>
              </w:pPr>
              <w:r w:rsidRPr="00257138">
                <w:t xml:space="preserve">Page </w:t>
              </w:r>
              <w:r>
                <w:fldChar w:fldCharType="begin"/>
              </w:r>
              <w:r>
                <w:instrText xml:space="preserve"> PAGE </w:instrText>
              </w:r>
              <w:r>
                <w:fldChar w:fldCharType="separate"/>
              </w:r>
              <w:r w:rsidR="006E3AC2">
                <w:rPr>
                  <w:noProof/>
                </w:rPr>
                <w:t>10</w:t>
              </w:r>
              <w:r>
                <w:rPr>
                  <w:noProof/>
                </w:rPr>
                <w:fldChar w:fldCharType="end"/>
              </w:r>
              <w:r w:rsidRPr="00257138">
                <w:t xml:space="preserve"> of </w:t>
              </w:r>
              <w:fldSimple w:instr=" NUMPAGES  ">
                <w:r w:rsidR="006E3AC2">
                  <w:rPr>
                    <w:noProof/>
                  </w:rPr>
                  <w:t>11</w:t>
                </w:r>
              </w:fldSimple>
            </w:p>
          </w:sdtContent>
        </w:sdt>
      </w:tc>
    </w:tr>
  </w:tbl>
  <w:p w:rsidR="00656A0B" w:rsidRPr="00826007" w:rsidRDefault="00656A0B"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F8404D" w:rsidRDefault="00656A0B"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C5" w:rsidRDefault="002810C5" w:rsidP="00FE1941">
      <w:pPr>
        <w:spacing w:after="0"/>
      </w:pPr>
      <w:r>
        <w:separator/>
      </w:r>
    </w:p>
  </w:footnote>
  <w:footnote w:type="continuationSeparator" w:id="0">
    <w:p w:rsidR="002810C5" w:rsidRDefault="002810C5" w:rsidP="00C40A36">
      <w:pPr>
        <w:spacing w:after="0"/>
      </w:pPr>
      <w:r>
        <w:continuationSeparator/>
      </w:r>
    </w:p>
    <w:p w:rsidR="002810C5" w:rsidRDefault="002810C5"/>
  </w:footnote>
  <w:footnote w:id="1">
    <w:p w:rsidR="00656A0B" w:rsidRPr="00FE05C4" w:rsidRDefault="00656A0B" w:rsidP="00A271B2">
      <w:pPr>
        <w:pStyle w:val="Footer"/>
        <w:rPr>
          <w:lang w:val="en-US"/>
        </w:rPr>
      </w:pPr>
      <w:r>
        <w:rPr>
          <w:rStyle w:val="FootnoteReference"/>
        </w:rPr>
        <w:footnoteRef/>
      </w:r>
      <w:r>
        <w:t xml:space="preserve"> </w:t>
      </w:r>
      <w:r w:rsidR="001E3B58" w:rsidRPr="001E3B58">
        <w:t>Revisions of Medical Device Directives</w:t>
      </w:r>
      <w:r w:rsidR="001E3B58">
        <w:t xml:space="preserve"> </w:t>
      </w:r>
      <w:hyperlink r:id="rId1" w:history="1">
        <w:r w:rsidRPr="006020FF">
          <w:rPr>
            <w:rStyle w:val="Hyperlink"/>
          </w:rPr>
          <w:t>https://ec.europa.eu/growth/sectors/medical-devices/regulatory-framework/revision_en</w:t>
        </w:r>
      </w:hyperlink>
      <w:r>
        <w:br/>
        <w:t xml:space="preserve">These changes were published in the Official Journal of the European Union on 5 May 2017 </w:t>
      </w:r>
      <w:hyperlink r:id="rId2" w:history="1">
        <w:r w:rsidRPr="006020FF">
          <w:rPr>
            <w:rStyle w:val="Hyperlink"/>
          </w:rPr>
          <w:t>http://eur-lex.europa.eu/legal-content/EN/TXT/?uri=OJ:L:2017:117:TOC</w:t>
        </w:r>
      </w:hyperlink>
    </w:p>
  </w:footnote>
  <w:footnote w:id="2">
    <w:p w:rsidR="00656A0B" w:rsidRPr="00ED3DA3" w:rsidRDefault="00656A0B" w:rsidP="00A271B2">
      <w:pPr>
        <w:pStyle w:val="Footer"/>
        <w:rPr>
          <w:lang w:val="en-US"/>
        </w:rPr>
      </w:pPr>
      <w:r>
        <w:rPr>
          <w:rStyle w:val="FootnoteReference"/>
        </w:rPr>
        <w:footnoteRef/>
      </w:r>
      <w:r>
        <w:t xml:space="preserve"> </w:t>
      </w:r>
      <w:r w:rsidRPr="00ED3DA3">
        <w:rPr>
          <w:bCs/>
        </w:rPr>
        <w:t>Regulation (EU) 2017/745 of the European Parliament and of the Council,</w:t>
      </w:r>
      <w:r w:rsidR="00A271B2">
        <w:rPr>
          <w:b/>
          <w:bCs/>
        </w:rPr>
        <w:t xml:space="preserve"> </w:t>
      </w:r>
      <w:r>
        <w:t>Annex VIII, Chapter II</w:t>
      </w:r>
      <w:r w:rsidR="00A271B2">
        <w:t xml:space="preserve">I – Classification Rules, 5.4, </w:t>
      </w:r>
      <w:r>
        <w:rPr>
          <w:lang w:val="en-US"/>
        </w:rPr>
        <w:t xml:space="preserve">Rule 8: </w:t>
      </w:r>
      <w:r>
        <w:t xml:space="preserve">All </w:t>
      </w:r>
      <w:r w:rsidRPr="00A271B2">
        <w:t>implantable</w:t>
      </w:r>
      <w:r>
        <w:t xml:space="preserve"> devices and long-term </w:t>
      </w:r>
      <w:r w:rsidRPr="00A271B2">
        <w:t>surgically</w:t>
      </w:r>
      <w:r>
        <w:t xml:space="preserve"> invasive devices are classified as class IIb unless they: […]</w:t>
      </w:r>
      <w:r w:rsidRPr="00ED3DA3">
        <w:t xml:space="preserve"> </w:t>
      </w:r>
      <w:r>
        <w:t>are breast implants or surgical meshes, in which cases they are classified as class III</w:t>
      </w:r>
    </w:p>
  </w:footnote>
  <w:footnote w:id="3">
    <w:p w:rsidR="00656A0B" w:rsidRPr="00ED3DA3" w:rsidRDefault="00656A0B" w:rsidP="00A271B2">
      <w:pPr>
        <w:pStyle w:val="Footer"/>
        <w:rPr>
          <w:lang w:val="en-US"/>
        </w:rPr>
      </w:pPr>
      <w:r>
        <w:rPr>
          <w:rStyle w:val="FootnoteReference"/>
        </w:rPr>
        <w:footnoteRef/>
      </w:r>
      <w:r>
        <w:t xml:space="preserve"> </w:t>
      </w:r>
      <w:r w:rsidRPr="00ED3DA3">
        <w:t>Regulation (EU) 2017/745 of the European Parliament and of the Council,</w:t>
      </w:r>
      <w:r>
        <w:t xml:space="preserve"> Article 18 - </w:t>
      </w:r>
      <w:r w:rsidRPr="00ED3DA3">
        <w:t>Implant card and information to be supplied to the patient with an implanted device</w:t>
      </w:r>
    </w:p>
  </w:footnote>
  <w:footnote w:id="4">
    <w:p w:rsidR="00656A0B" w:rsidRDefault="00656A0B" w:rsidP="00A271B2">
      <w:pPr>
        <w:pStyle w:val="Footer"/>
      </w:pPr>
      <w:r>
        <w:rPr>
          <w:rStyle w:val="FootnoteReference"/>
        </w:rPr>
        <w:footnoteRef/>
      </w:r>
      <w:r>
        <w:t xml:space="preserve"> </w:t>
      </w:r>
      <w:r w:rsidRPr="005F5EB9">
        <w:t xml:space="preserve">Lukacz ES et al. </w:t>
      </w:r>
      <w:r w:rsidRPr="005F5EB9">
        <w:rPr>
          <w:i/>
        </w:rPr>
        <w:t>Evaluation of women with urinary incontinence.</w:t>
      </w:r>
      <w:r w:rsidRPr="005F5EB9">
        <w:t xml:space="preserve"> UpToDate. Last updated Dec 2016. Accessed from: </w:t>
      </w:r>
      <w:r w:rsidRPr="005F5EB9">
        <w:rPr>
          <w:rStyle w:val="Hyperlink"/>
        </w:rPr>
        <w:t>https://www.uptodate.com/contents/evaluation-of-women-with-urinary-incontinence</w:t>
      </w:r>
      <w:r w:rsidRPr="005F5EB9">
        <w:t xml:space="preserve"> (3/4/17).</w:t>
      </w:r>
    </w:p>
  </w:footnote>
  <w:footnote w:id="5">
    <w:p w:rsidR="00656A0B" w:rsidRPr="00094AD6" w:rsidRDefault="00656A0B" w:rsidP="007D418A">
      <w:pPr>
        <w:pStyle w:val="Footer"/>
        <w:rPr>
          <w:lang w:val="en-US"/>
        </w:rPr>
      </w:pPr>
      <w:r>
        <w:rPr>
          <w:rStyle w:val="FootnoteReference"/>
        </w:rPr>
        <w:footnoteRef/>
      </w:r>
      <w:r>
        <w:t xml:space="preserve"> </w:t>
      </w:r>
      <w:hyperlink r:id="rId3" w:history="1">
        <w:r w:rsidRPr="00094AD6">
          <w:rPr>
            <w:rStyle w:val="Hyperlink"/>
          </w:rPr>
          <w:t>Therapeutic Goods (Medical Devices) Regulations 2002</w:t>
        </w:r>
      </w:hyperlink>
      <w:r>
        <w:t xml:space="preserve">, Schedule 2, Part 3, </w:t>
      </w:r>
      <w:bookmarkStart w:id="9" w:name="_Toc487614904"/>
      <w:r>
        <w:rPr>
          <w:rStyle w:val="charsectno"/>
        </w:rPr>
        <w:t>3.4</w:t>
      </w:r>
      <w:r>
        <w:t>  Surgically invasive medical devices intended for long</w:t>
      </w:r>
      <w:r>
        <w:noBreakHyphen/>
        <w:t>term use and implantable medical devices</w:t>
      </w:r>
      <w:bookmarkEnd w:id="9"/>
      <w:r>
        <w:t>.</w:t>
      </w:r>
    </w:p>
  </w:footnote>
  <w:footnote w:id="6">
    <w:p w:rsidR="00656A0B" w:rsidRPr="00F42BD5" w:rsidRDefault="00656A0B" w:rsidP="007D418A">
      <w:pPr>
        <w:pStyle w:val="Footer"/>
        <w:rPr>
          <w:lang w:val="en-US"/>
        </w:rPr>
      </w:pPr>
      <w:r>
        <w:rPr>
          <w:rStyle w:val="FootnoteReference"/>
        </w:rPr>
        <w:footnoteRef/>
      </w:r>
      <w:r>
        <w:t xml:space="preserve"> </w:t>
      </w:r>
      <w:hyperlink r:id="rId4" w:history="1">
        <w:r w:rsidRPr="00094AD6">
          <w:rPr>
            <w:rStyle w:val="Hyperlink"/>
          </w:rPr>
          <w:t>Therapeutic Goods (Medical Devices) Regulations 2002</w:t>
        </w:r>
      </w:hyperlink>
      <w:r>
        <w:t xml:space="preserve">, Schedule 3, Part 1 - </w:t>
      </w:r>
      <w:r w:rsidRPr="00F42BD5">
        <w:t>Full quality assurance procedures</w:t>
      </w:r>
      <w:r w:rsidR="007D418A">
        <w:t xml:space="preserve"> (except Part 1.6)</w:t>
      </w:r>
    </w:p>
  </w:footnote>
  <w:footnote w:id="7">
    <w:p w:rsidR="00E6643C" w:rsidRPr="00F42BD5" w:rsidRDefault="00E6643C" w:rsidP="007D418A">
      <w:pPr>
        <w:pStyle w:val="Footer"/>
        <w:rPr>
          <w:lang w:val="en-US"/>
        </w:rPr>
      </w:pPr>
      <w:r>
        <w:rPr>
          <w:rStyle w:val="FootnoteReference"/>
        </w:rPr>
        <w:footnoteRef/>
      </w:r>
      <w:r>
        <w:t xml:space="preserve"> </w:t>
      </w:r>
      <w:hyperlink r:id="rId5" w:history="1">
        <w:r w:rsidRPr="00094AD6">
          <w:rPr>
            <w:rStyle w:val="Hyperlink"/>
          </w:rPr>
          <w:t>Therapeutic Goods (Medical Devices) Regulations 2002</w:t>
        </w:r>
      </w:hyperlink>
      <w:r>
        <w:t>, Schedule 3, Part 1.6 - Examination of design of Class 4 IVD medical device, Class 4 in</w:t>
      </w:r>
      <w:r>
        <w:noBreakHyphen/>
        <w:t>house IVD medical device, Class AIMD medical device or Class III medical device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920FF4" w:rsidRDefault="00656A0B"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E32326" w:rsidRDefault="00656A0B" w:rsidP="00F202AB">
    <w:r w:rsidRPr="00F3255D">
      <w:rPr>
        <w:noProof/>
        <w:lang w:eastAsia="en-AU"/>
      </w:rPr>
      <w:drawing>
        <wp:anchor distT="0" distB="0" distL="114300" distR="114300" simplePos="0" relativeHeight="251659264" behindDoc="0" locked="0" layoutInCell="1" allowOverlap="1" wp14:anchorId="298A2B43" wp14:editId="34AA7DB6">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656A0B" w:rsidRPr="00FF7B50" w:rsidTr="00656A0B">
      <w:trPr>
        <w:trHeight w:hRule="exact" w:val="8845"/>
      </w:trPr>
      <w:tc>
        <w:tcPr>
          <w:tcW w:w="11964" w:type="dxa"/>
        </w:tcPr>
        <w:p w:rsidR="00656A0B" w:rsidRPr="00FF7B50" w:rsidRDefault="006E3AC2" w:rsidP="00AE0320">
          <w:pPr>
            <w:pStyle w:val="Header"/>
            <w:ind w:left="-57"/>
            <w:jc w:val="left"/>
            <w:rPr>
              <w:noProof/>
              <w:lang w:eastAsia="en-AU"/>
            </w:rPr>
          </w:pPr>
          <w:sdt>
            <w:sdtPr>
              <w:rPr>
                <w:noProof/>
                <w:lang w:eastAsia="en-AU"/>
              </w:rPr>
              <w:id w:val="3702145"/>
              <w:showingPlcHdr/>
              <w:picture/>
            </w:sdtPr>
            <w:sdtEndPr/>
            <w:sdtContent>
              <w:r w:rsidR="00656A0B" w:rsidRPr="00FF7B50">
                <w:rPr>
                  <w:noProof/>
                  <w:lang w:eastAsia="en-AU"/>
                </w:rPr>
                <w:drawing>
                  <wp:inline distT="0" distB="0" distL="0" distR="0" wp14:anchorId="0BA576D4" wp14:editId="65CC4FF8">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656A0B" w:rsidRPr="00E32326" w:rsidRDefault="00656A0B" w:rsidP="00F202AB">
    <w:r>
      <w:rPr>
        <w:noProof/>
        <w:lang w:eastAsia="en-AU"/>
      </w:rPr>
      <w:drawing>
        <wp:anchor distT="0" distB="0" distL="114300" distR="114300" simplePos="0" relativeHeight="251657216" behindDoc="0" locked="0" layoutInCell="0" allowOverlap="1" wp14:anchorId="6A24DCB2" wp14:editId="23337F51">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920FF4" w:rsidRDefault="00656A0B"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920FF4" w:rsidRDefault="00656A0B"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0B" w:rsidRPr="009401F6" w:rsidRDefault="00656A0B" w:rsidP="0047772E"/>
  <w:p w:rsidR="00656A0B" w:rsidRPr="002B0C2E" w:rsidRDefault="00656A0B"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2A995C"/>
    <w:lvl w:ilvl="0">
      <w:start w:val="1"/>
      <w:numFmt w:val="decimal"/>
      <w:lvlText w:val="%1."/>
      <w:lvlJc w:val="left"/>
      <w:pPr>
        <w:tabs>
          <w:tab w:val="num" w:pos="1492"/>
        </w:tabs>
        <w:ind w:left="1492" w:hanging="360"/>
      </w:pPr>
    </w:lvl>
  </w:abstractNum>
  <w:abstractNum w:abstractNumId="1">
    <w:nsid w:val="FFFFFF7D"/>
    <w:multiLevelType w:val="singleLevel"/>
    <w:tmpl w:val="71AAFB2E"/>
    <w:lvl w:ilvl="0">
      <w:start w:val="1"/>
      <w:numFmt w:val="decimal"/>
      <w:lvlText w:val="%1."/>
      <w:lvlJc w:val="left"/>
      <w:pPr>
        <w:tabs>
          <w:tab w:val="num" w:pos="1209"/>
        </w:tabs>
        <w:ind w:left="1209" w:hanging="360"/>
      </w:pPr>
    </w:lvl>
  </w:abstractNum>
  <w:abstractNum w:abstractNumId="2">
    <w:nsid w:val="FFFFFF7E"/>
    <w:multiLevelType w:val="singleLevel"/>
    <w:tmpl w:val="0DD2B154"/>
    <w:lvl w:ilvl="0">
      <w:start w:val="1"/>
      <w:numFmt w:val="decimal"/>
      <w:lvlText w:val="%1."/>
      <w:lvlJc w:val="left"/>
      <w:pPr>
        <w:tabs>
          <w:tab w:val="num" w:pos="926"/>
        </w:tabs>
        <w:ind w:left="926" w:hanging="360"/>
      </w:pPr>
    </w:lvl>
  </w:abstractNum>
  <w:abstractNum w:abstractNumId="3">
    <w:nsid w:val="FFFFFF7F"/>
    <w:multiLevelType w:val="singleLevel"/>
    <w:tmpl w:val="6B90E2BE"/>
    <w:lvl w:ilvl="0">
      <w:start w:val="1"/>
      <w:numFmt w:val="decimal"/>
      <w:lvlText w:val="%1."/>
      <w:lvlJc w:val="left"/>
      <w:pPr>
        <w:tabs>
          <w:tab w:val="num" w:pos="643"/>
        </w:tabs>
        <w:ind w:left="643" w:hanging="360"/>
      </w:pPr>
    </w:lvl>
  </w:abstractNum>
  <w:abstractNum w:abstractNumId="4">
    <w:nsid w:val="FFFFFF80"/>
    <w:multiLevelType w:val="singleLevel"/>
    <w:tmpl w:val="85FEE8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183E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8A44EDFC"/>
    <w:lvl w:ilvl="0">
      <w:start w:val="1"/>
      <w:numFmt w:val="decimal"/>
      <w:lvlText w:val="%1."/>
      <w:lvlJc w:val="left"/>
      <w:pPr>
        <w:tabs>
          <w:tab w:val="num" w:pos="360"/>
        </w:tabs>
        <w:ind w:left="360" w:hanging="360"/>
      </w:pPr>
    </w:lvl>
  </w:abstractNum>
  <w:abstractNum w:abstractNumId="9">
    <w:nsid w:val="FFFFFF89"/>
    <w:multiLevelType w:val="singleLevel"/>
    <w:tmpl w:val="0298EF78"/>
    <w:lvl w:ilvl="0">
      <w:start w:val="1"/>
      <w:numFmt w:val="bullet"/>
      <w:lvlText w:val=""/>
      <w:lvlJc w:val="left"/>
      <w:pPr>
        <w:tabs>
          <w:tab w:val="num" w:pos="360"/>
        </w:tabs>
        <w:ind w:left="360" w:hanging="360"/>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4645C9"/>
    <w:multiLevelType w:val="hybridMultilevel"/>
    <w:tmpl w:val="D3B8E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431304"/>
    <w:multiLevelType w:val="multilevel"/>
    <w:tmpl w:val="5DA04BF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3DB04216"/>
    <w:multiLevelType w:val="hybridMultilevel"/>
    <w:tmpl w:val="DABAB2CA"/>
    <w:lvl w:ilvl="0" w:tplc="59243A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1D1354"/>
    <w:multiLevelType w:val="hybridMultilevel"/>
    <w:tmpl w:val="596C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1"/>
  </w:num>
  <w:num w:numId="5">
    <w:abstractNumId w:val="6"/>
  </w:num>
  <w:num w:numId="6">
    <w:abstractNumId w:val="11"/>
  </w:num>
  <w:num w:numId="7">
    <w:abstractNumId w:val="11"/>
  </w:num>
  <w:num w:numId="8">
    <w:abstractNumId w:val="10"/>
  </w:num>
  <w:num w:numId="9">
    <w:abstractNumId w:val="10"/>
  </w:num>
  <w:num w:numId="10">
    <w:abstractNumId w:val="10"/>
  </w:num>
  <w:num w:numId="11">
    <w:abstractNumId w:val="10"/>
  </w:num>
  <w:num w:numId="12">
    <w:abstractNumId w:val="11"/>
  </w:num>
  <w:num w:numId="13">
    <w:abstractNumId w:val="11"/>
  </w:num>
  <w:num w:numId="14">
    <w:abstractNumId w:val="11"/>
  </w:num>
  <w:num w:numId="15">
    <w:abstractNumId w:val="10"/>
  </w:num>
  <w:num w:numId="16">
    <w:abstractNumId w:val="10"/>
  </w:num>
  <w:num w:numId="17">
    <w:abstractNumId w:val="10"/>
  </w:num>
  <w:num w:numId="18">
    <w:abstractNumId w:val="11"/>
  </w:num>
  <w:num w:numId="19">
    <w:abstractNumId w:val="11"/>
  </w:num>
  <w:num w:numId="20">
    <w:abstractNumId w:val="11"/>
  </w:num>
  <w:num w:numId="21">
    <w:abstractNumId w:val="10"/>
  </w:num>
  <w:num w:numId="22">
    <w:abstractNumId w:val="10"/>
  </w:num>
  <w:num w:numId="23">
    <w:abstractNumId w:val="10"/>
  </w:num>
  <w:num w:numId="24">
    <w:abstractNumId w:val="12"/>
  </w:num>
  <w:num w:numId="25">
    <w:abstractNumId w:val="11"/>
  </w:num>
  <w:num w:numId="26">
    <w:abstractNumId w:val="11"/>
  </w:num>
  <w:num w:numId="27">
    <w:abstractNumId w:val="11"/>
  </w:num>
  <w:num w:numId="28">
    <w:abstractNumId w:val="10"/>
  </w:num>
  <w:num w:numId="29">
    <w:abstractNumId w:val="10"/>
  </w:num>
  <w:num w:numId="30">
    <w:abstractNumId w:val="10"/>
  </w:num>
  <w:num w:numId="31">
    <w:abstractNumId w:val="11"/>
  </w:num>
  <w:num w:numId="32">
    <w:abstractNumId w:val="11"/>
  </w:num>
  <w:num w:numId="33">
    <w:abstractNumId w:val="11"/>
  </w:num>
  <w:num w:numId="34">
    <w:abstractNumId w:val="11"/>
  </w:num>
  <w:num w:numId="35">
    <w:abstractNumId w:val="16"/>
  </w:num>
  <w:num w:numId="36">
    <w:abstractNumId w:val="15"/>
  </w:num>
  <w:num w:numId="37">
    <w:abstractNumId w:val="11"/>
  </w:num>
  <w:num w:numId="38">
    <w:abstractNumId w:val="13"/>
  </w:num>
  <w:num w:numId="39">
    <w:abstractNumId w:val="11"/>
  </w:num>
  <w:num w:numId="40">
    <w:abstractNumId w:val="11"/>
  </w:num>
  <w:num w:numId="41">
    <w:abstractNumId w:val="14"/>
  </w:num>
  <w:num w:numId="42">
    <w:abstractNumId w:val="10"/>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6A"/>
    <w:rsid w:val="00002031"/>
    <w:rsid w:val="00004734"/>
    <w:rsid w:val="00006B22"/>
    <w:rsid w:val="0001276A"/>
    <w:rsid w:val="00013808"/>
    <w:rsid w:val="000246AE"/>
    <w:rsid w:val="00025C67"/>
    <w:rsid w:val="0003306D"/>
    <w:rsid w:val="00055129"/>
    <w:rsid w:val="000554B4"/>
    <w:rsid w:val="0005559E"/>
    <w:rsid w:val="00061E51"/>
    <w:rsid w:val="00063028"/>
    <w:rsid w:val="00077775"/>
    <w:rsid w:val="00090471"/>
    <w:rsid w:val="00094AD6"/>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AEF"/>
    <w:rsid w:val="00133238"/>
    <w:rsid w:val="00140FE3"/>
    <w:rsid w:val="0014197B"/>
    <w:rsid w:val="001447CD"/>
    <w:rsid w:val="001516B1"/>
    <w:rsid w:val="001525B4"/>
    <w:rsid w:val="00156316"/>
    <w:rsid w:val="00160006"/>
    <w:rsid w:val="001641E9"/>
    <w:rsid w:val="00165389"/>
    <w:rsid w:val="00170CED"/>
    <w:rsid w:val="0017693F"/>
    <w:rsid w:val="0018110E"/>
    <w:rsid w:val="00181684"/>
    <w:rsid w:val="001843C6"/>
    <w:rsid w:val="001850E0"/>
    <w:rsid w:val="0018693C"/>
    <w:rsid w:val="001875E2"/>
    <w:rsid w:val="0019255A"/>
    <w:rsid w:val="001A525F"/>
    <w:rsid w:val="001A69AB"/>
    <w:rsid w:val="001B09F9"/>
    <w:rsid w:val="001B6448"/>
    <w:rsid w:val="001D3237"/>
    <w:rsid w:val="001D480A"/>
    <w:rsid w:val="001E07CF"/>
    <w:rsid w:val="001E3B58"/>
    <w:rsid w:val="001E59F1"/>
    <w:rsid w:val="001F49EB"/>
    <w:rsid w:val="001F6CBA"/>
    <w:rsid w:val="001F78B9"/>
    <w:rsid w:val="00201D4E"/>
    <w:rsid w:val="00206EBF"/>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64074"/>
    <w:rsid w:val="0027084A"/>
    <w:rsid w:val="00271109"/>
    <w:rsid w:val="00277EF5"/>
    <w:rsid w:val="002810C5"/>
    <w:rsid w:val="002839C9"/>
    <w:rsid w:val="00286434"/>
    <w:rsid w:val="00286C59"/>
    <w:rsid w:val="002942D1"/>
    <w:rsid w:val="002A0556"/>
    <w:rsid w:val="002B0C2E"/>
    <w:rsid w:val="002B1638"/>
    <w:rsid w:val="002C1D7D"/>
    <w:rsid w:val="002C2511"/>
    <w:rsid w:val="002C48DB"/>
    <w:rsid w:val="002D1EDF"/>
    <w:rsid w:val="002E4C9A"/>
    <w:rsid w:val="002F11F8"/>
    <w:rsid w:val="002F3F56"/>
    <w:rsid w:val="002F44B5"/>
    <w:rsid w:val="00311AC0"/>
    <w:rsid w:val="003204DD"/>
    <w:rsid w:val="00331DBB"/>
    <w:rsid w:val="00332680"/>
    <w:rsid w:val="00350659"/>
    <w:rsid w:val="003521BE"/>
    <w:rsid w:val="003521E8"/>
    <w:rsid w:val="00355D1D"/>
    <w:rsid w:val="00365DDD"/>
    <w:rsid w:val="003664BF"/>
    <w:rsid w:val="003664E2"/>
    <w:rsid w:val="003728F3"/>
    <w:rsid w:val="00390900"/>
    <w:rsid w:val="003A166D"/>
    <w:rsid w:val="003A35BD"/>
    <w:rsid w:val="003B00C5"/>
    <w:rsid w:val="003B443E"/>
    <w:rsid w:val="003B7E39"/>
    <w:rsid w:val="003C0F20"/>
    <w:rsid w:val="003C58DC"/>
    <w:rsid w:val="003C7461"/>
    <w:rsid w:val="003D0CD9"/>
    <w:rsid w:val="003E3208"/>
    <w:rsid w:val="003E3D34"/>
    <w:rsid w:val="003E77C0"/>
    <w:rsid w:val="003E7EAA"/>
    <w:rsid w:val="003F0B04"/>
    <w:rsid w:val="0040134E"/>
    <w:rsid w:val="0040152E"/>
    <w:rsid w:val="00410839"/>
    <w:rsid w:val="0041452B"/>
    <w:rsid w:val="004169A8"/>
    <w:rsid w:val="00440A2D"/>
    <w:rsid w:val="004414E4"/>
    <w:rsid w:val="0045257D"/>
    <w:rsid w:val="00455A6F"/>
    <w:rsid w:val="004564A7"/>
    <w:rsid w:val="004617BF"/>
    <w:rsid w:val="004634F1"/>
    <w:rsid w:val="00465E90"/>
    <w:rsid w:val="00472F21"/>
    <w:rsid w:val="0047772E"/>
    <w:rsid w:val="00477BB1"/>
    <w:rsid w:val="004923FF"/>
    <w:rsid w:val="00494E60"/>
    <w:rsid w:val="00496BAC"/>
    <w:rsid w:val="004B5A6B"/>
    <w:rsid w:val="004B7B76"/>
    <w:rsid w:val="004C0070"/>
    <w:rsid w:val="004D51A6"/>
    <w:rsid w:val="004F0F38"/>
    <w:rsid w:val="004F1A46"/>
    <w:rsid w:val="004F4D12"/>
    <w:rsid w:val="00501921"/>
    <w:rsid w:val="00511904"/>
    <w:rsid w:val="005137BB"/>
    <w:rsid w:val="00522A0C"/>
    <w:rsid w:val="00530354"/>
    <w:rsid w:val="00531B11"/>
    <w:rsid w:val="005434C6"/>
    <w:rsid w:val="00543B39"/>
    <w:rsid w:val="0054583D"/>
    <w:rsid w:val="0054746A"/>
    <w:rsid w:val="005477E7"/>
    <w:rsid w:val="00550096"/>
    <w:rsid w:val="0055532D"/>
    <w:rsid w:val="00557FF9"/>
    <w:rsid w:val="00561658"/>
    <w:rsid w:val="00576378"/>
    <w:rsid w:val="00577279"/>
    <w:rsid w:val="00577E38"/>
    <w:rsid w:val="00585322"/>
    <w:rsid w:val="00593AD1"/>
    <w:rsid w:val="00594D03"/>
    <w:rsid w:val="00597877"/>
    <w:rsid w:val="005A1131"/>
    <w:rsid w:val="005A416F"/>
    <w:rsid w:val="005A5B8D"/>
    <w:rsid w:val="005A61CE"/>
    <w:rsid w:val="005C5570"/>
    <w:rsid w:val="005C79A4"/>
    <w:rsid w:val="005D4EA1"/>
    <w:rsid w:val="005D5442"/>
    <w:rsid w:val="005E4DBC"/>
    <w:rsid w:val="005E6592"/>
    <w:rsid w:val="005F5EB9"/>
    <w:rsid w:val="006026A9"/>
    <w:rsid w:val="00611B57"/>
    <w:rsid w:val="00617EAC"/>
    <w:rsid w:val="006239CD"/>
    <w:rsid w:val="006260DF"/>
    <w:rsid w:val="00640190"/>
    <w:rsid w:val="006405A9"/>
    <w:rsid w:val="00640FC3"/>
    <w:rsid w:val="00642020"/>
    <w:rsid w:val="00651C87"/>
    <w:rsid w:val="0065337B"/>
    <w:rsid w:val="00653FBF"/>
    <w:rsid w:val="0065419D"/>
    <w:rsid w:val="00656A0B"/>
    <w:rsid w:val="006604D8"/>
    <w:rsid w:val="00664A5B"/>
    <w:rsid w:val="00665062"/>
    <w:rsid w:val="00665F8C"/>
    <w:rsid w:val="00667942"/>
    <w:rsid w:val="00667B4F"/>
    <w:rsid w:val="00671364"/>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3AC2"/>
    <w:rsid w:val="006E5AB4"/>
    <w:rsid w:val="006F572E"/>
    <w:rsid w:val="006F67E7"/>
    <w:rsid w:val="00700AB4"/>
    <w:rsid w:val="007046D6"/>
    <w:rsid w:val="00705DB0"/>
    <w:rsid w:val="00706AFE"/>
    <w:rsid w:val="00725A8B"/>
    <w:rsid w:val="007405E5"/>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76D2F"/>
    <w:rsid w:val="00780355"/>
    <w:rsid w:val="00785721"/>
    <w:rsid w:val="00793A59"/>
    <w:rsid w:val="007A1C40"/>
    <w:rsid w:val="007A2162"/>
    <w:rsid w:val="007B302B"/>
    <w:rsid w:val="007B43ED"/>
    <w:rsid w:val="007B4B41"/>
    <w:rsid w:val="007B4BF9"/>
    <w:rsid w:val="007C0F3D"/>
    <w:rsid w:val="007C1AF7"/>
    <w:rsid w:val="007C7A6D"/>
    <w:rsid w:val="007C7B5B"/>
    <w:rsid w:val="007D418A"/>
    <w:rsid w:val="007E7BF8"/>
    <w:rsid w:val="007F2FF0"/>
    <w:rsid w:val="00810598"/>
    <w:rsid w:val="00811166"/>
    <w:rsid w:val="00814492"/>
    <w:rsid w:val="00821776"/>
    <w:rsid w:val="00826007"/>
    <w:rsid w:val="008321F5"/>
    <w:rsid w:val="00832369"/>
    <w:rsid w:val="00834660"/>
    <w:rsid w:val="00834C8E"/>
    <w:rsid w:val="00834C94"/>
    <w:rsid w:val="00836BC2"/>
    <w:rsid w:val="0084580B"/>
    <w:rsid w:val="00845BCA"/>
    <w:rsid w:val="0085287A"/>
    <w:rsid w:val="00853C8F"/>
    <w:rsid w:val="0085641B"/>
    <w:rsid w:val="00857136"/>
    <w:rsid w:val="0086627A"/>
    <w:rsid w:val="00870B12"/>
    <w:rsid w:val="008722CA"/>
    <w:rsid w:val="008752CE"/>
    <w:rsid w:val="00875E9F"/>
    <w:rsid w:val="008821AA"/>
    <w:rsid w:val="008855B8"/>
    <w:rsid w:val="00891BC9"/>
    <w:rsid w:val="00896018"/>
    <w:rsid w:val="008A07FF"/>
    <w:rsid w:val="008A2B9D"/>
    <w:rsid w:val="008A5E0B"/>
    <w:rsid w:val="008A5E18"/>
    <w:rsid w:val="008A6D59"/>
    <w:rsid w:val="008B2D31"/>
    <w:rsid w:val="008B4B03"/>
    <w:rsid w:val="008B596F"/>
    <w:rsid w:val="008C159F"/>
    <w:rsid w:val="008C1623"/>
    <w:rsid w:val="008C472E"/>
    <w:rsid w:val="008C51A9"/>
    <w:rsid w:val="008C56D9"/>
    <w:rsid w:val="008D2B09"/>
    <w:rsid w:val="008D4740"/>
    <w:rsid w:val="008E7B83"/>
    <w:rsid w:val="008F1CCC"/>
    <w:rsid w:val="008F2967"/>
    <w:rsid w:val="008F407A"/>
    <w:rsid w:val="0090062F"/>
    <w:rsid w:val="0090354E"/>
    <w:rsid w:val="00907ACE"/>
    <w:rsid w:val="00920330"/>
    <w:rsid w:val="00920FF4"/>
    <w:rsid w:val="009219D7"/>
    <w:rsid w:val="00922D53"/>
    <w:rsid w:val="00923B70"/>
    <w:rsid w:val="00924FED"/>
    <w:rsid w:val="00925DC5"/>
    <w:rsid w:val="0092600B"/>
    <w:rsid w:val="00930237"/>
    <w:rsid w:val="00934397"/>
    <w:rsid w:val="009373E5"/>
    <w:rsid w:val="009401F6"/>
    <w:rsid w:val="0094061E"/>
    <w:rsid w:val="00940F44"/>
    <w:rsid w:val="00941988"/>
    <w:rsid w:val="00946B41"/>
    <w:rsid w:val="00952562"/>
    <w:rsid w:val="00963C08"/>
    <w:rsid w:val="0097195C"/>
    <w:rsid w:val="00997420"/>
    <w:rsid w:val="009A09AA"/>
    <w:rsid w:val="009A474D"/>
    <w:rsid w:val="009A4CED"/>
    <w:rsid w:val="009A7A87"/>
    <w:rsid w:val="009B15F1"/>
    <w:rsid w:val="009B1D12"/>
    <w:rsid w:val="009B416B"/>
    <w:rsid w:val="009C4BD5"/>
    <w:rsid w:val="009D2E04"/>
    <w:rsid w:val="009D7B77"/>
    <w:rsid w:val="009E0BB0"/>
    <w:rsid w:val="009E1B71"/>
    <w:rsid w:val="009E3FBB"/>
    <w:rsid w:val="009E71F4"/>
    <w:rsid w:val="009F018D"/>
    <w:rsid w:val="009F63E0"/>
    <w:rsid w:val="009F7D61"/>
    <w:rsid w:val="00A052B5"/>
    <w:rsid w:val="00A1235B"/>
    <w:rsid w:val="00A14DF7"/>
    <w:rsid w:val="00A23F3C"/>
    <w:rsid w:val="00A271B2"/>
    <w:rsid w:val="00A3246D"/>
    <w:rsid w:val="00A3654F"/>
    <w:rsid w:val="00A36FA7"/>
    <w:rsid w:val="00A475B7"/>
    <w:rsid w:val="00A47AF7"/>
    <w:rsid w:val="00A47C3E"/>
    <w:rsid w:val="00A50226"/>
    <w:rsid w:val="00A517C7"/>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D17A9"/>
    <w:rsid w:val="00AE0320"/>
    <w:rsid w:val="00AE1511"/>
    <w:rsid w:val="00AE65EB"/>
    <w:rsid w:val="00AF1D94"/>
    <w:rsid w:val="00AF60C5"/>
    <w:rsid w:val="00B009C6"/>
    <w:rsid w:val="00B01548"/>
    <w:rsid w:val="00B01F58"/>
    <w:rsid w:val="00B21D29"/>
    <w:rsid w:val="00B21FC5"/>
    <w:rsid w:val="00B21FEE"/>
    <w:rsid w:val="00B25034"/>
    <w:rsid w:val="00B33863"/>
    <w:rsid w:val="00B36F1A"/>
    <w:rsid w:val="00B37D17"/>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103E"/>
    <w:rsid w:val="00C339C6"/>
    <w:rsid w:val="00C404A6"/>
    <w:rsid w:val="00C40A36"/>
    <w:rsid w:val="00C410DC"/>
    <w:rsid w:val="00C44419"/>
    <w:rsid w:val="00C45E7B"/>
    <w:rsid w:val="00C471B1"/>
    <w:rsid w:val="00C52BEE"/>
    <w:rsid w:val="00C6316B"/>
    <w:rsid w:val="00C634A9"/>
    <w:rsid w:val="00C772FF"/>
    <w:rsid w:val="00C77BC8"/>
    <w:rsid w:val="00C801AF"/>
    <w:rsid w:val="00C80256"/>
    <w:rsid w:val="00CA77CC"/>
    <w:rsid w:val="00CB5D34"/>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350D1"/>
    <w:rsid w:val="00D46410"/>
    <w:rsid w:val="00D5616E"/>
    <w:rsid w:val="00D634FE"/>
    <w:rsid w:val="00D6493E"/>
    <w:rsid w:val="00D65997"/>
    <w:rsid w:val="00D800FB"/>
    <w:rsid w:val="00DA1124"/>
    <w:rsid w:val="00DA195F"/>
    <w:rsid w:val="00DA1DEF"/>
    <w:rsid w:val="00DA2364"/>
    <w:rsid w:val="00DA3043"/>
    <w:rsid w:val="00DC457A"/>
    <w:rsid w:val="00DD3643"/>
    <w:rsid w:val="00DD4C9F"/>
    <w:rsid w:val="00DD75A3"/>
    <w:rsid w:val="00DD7A91"/>
    <w:rsid w:val="00DE02AE"/>
    <w:rsid w:val="00DE66DF"/>
    <w:rsid w:val="00DE6A0C"/>
    <w:rsid w:val="00DE6C04"/>
    <w:rsid w:val="00DE75AC"/>
    <w:rsid w:val="00DF1D7F"/>
    <w:rsid w:val="00DF6798"/>
    <w:rsid w:val="00E02FB4"/>
    <w:rsid w:val="00E05AB3"/>
    <w:rsid w:val="00E1340C"/>
    <w:rsid w:val="00E14550"/>
    <w:rsid w:val="00E20571"/>
    <w:rsid w:val="00E21651"/>
    <w:rsid w:val="00E235F7"/>
    <w:rsid w:val="00E239D4"/>
    <w:rsid w:val="00E32326"/>
    <w:rsid w:val="00E40B22"/>
    <w:rsid w:val="00E4588F"/>
    <w:rsid w:val="00E46DA3"/>
    <w:rsid w:val="00E51164"/>
    <w:rsid w:val="00E56DF4"/>
    <w:rsid w:val="00E6643C"/>
    <w:rsid w:val="00E8120B"/>
    <w:rsid w:val="00EA16DE"/>
    <w:rsid w:val="00EA406B"/>
    <w:rsid w:val="00EA453A"/>
    <w:rsid w:val="00EB0798"/>
    <w:rsid w:val="00EB182C"/>
    <w:rsid w:val="00EB19F8"/>
    <w:rsid w:val="00EB1DF6"/>
    <w:rsid w:val="00EB40AD"/>
    <w:rsid w:val="00EB586E"/>
    <w:rsid w:val="00EB5FC8"/>
    <w:rsid w:val="00EC1271"/>
    <w:rsid w:val="00ED0C8B"/>
    <w:rsid w:val="00ED3DA3"/>
    <w:rsid w:val="00ED5A41"/>
    <w:rsid w:val="00EE1482"/>
    <w:rsid w:val="00EE255A"/>
    <w:rsid w:val="00EF3CC4"/>
    <w:rsid w:val="00EF4436"/>
    <w:rsid w:val="00EF578B"/>
    <w:rsid w:val="00EF6EED"/>
    <w:rsid w:val="00F014D7"/>
    <w:rsid w:val="00F033EC"/>
    <w:rsid w:val="00F04F68"/>
    <w:rsid w:val="00F0627D"/>
    <w:rsid w:val="00F11A17"/>
    <w:rsid w:val="00F122FA"/>
    <w:rsid w:val="00F12670"/>
    <w:rsid w:val="00F14B27"/>
    <w:rsid w:val="00F202AB"/>
    <w:rsid w:val="00F214E9"/>
    <w:rsid w:val="00F25D48"/>
    <w:rsid w:val="00F3148D"/>
    <w:rsid w:val="00F318ED"/>
    <w:rsid w:val="00F3255D"/>
    <w:rsid w:val="00F35298"/>
    <w:rsid w:val="00F3529E"/>
    <w:rsid w:val="00F355D6"/>
    <w:rsid w:val="00F36C32"/>
    <w:rsid w:val="00F40F73"/>
    <w:rsid w:val="00F42BD5"/>
    <w:rsid w:val="00F4305F"/>
    <w:rsid w:val="00F435FE"/>
    <w:rsid w:val="00F44B0D"/>
    <w:rsid w:val="00F4663D"/>
    <w:rsid w:val="00F467A6"/>
    <w:rsid w:val="00F47E37"/>
    <w:rsid w:val="00F61B01"/>
    <w:rsid w:val="00F623FD"/>
    <w:rsid w:val="00F63C0D"/>
    <w:rsid w:val="00F640B6"/>
    <w:rsid w:val="00F67B16"/>
    <w:rsid w:val="00F73957"/>
    <w:rsid w:val="00F739D1"/>
    <w:rsid w:val="00F80E40"/>
    <w:rsid w:val="00F8365F"/>
    <w:rsid w:val="00F8404D"/>
    <w:rsid w:val="00F87B87"/>
    <w:rsid w:val="00F94E33"/>
    <w:rsid w:val="00FA4D6D"/>
    <w:rsid w:val="00FA5B82"/>
    <w:rsid w:val="00FA639E"/>
    <w:rsid w:val="00FB59CE"/>
    <w:rsid w:val="00FC03C8"/>
    <w:rsid w:val="00FC25E4"/>
    <w:rsid w:val="00FC260C"/>
    <w:rsid w:val="00FC4EF7"/>
    <w:rsid w:val="00FD2748"/>
    <w:rsid w:val="00FE05C4"/>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71B2"/>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E3B58"/>
    <w:pPr>
      <w:framePr w:hSpace="180" w:wrap="around" w:vAnchor="page" w:hAnchor="margin" w:y="3166"/>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E3B58"/>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90062F"/>
    <w:pPr>
      <w:autoSpaceDE w:val="0"/>
      <w:autoSpaceDN w:val="0"/>
      <w:adjustRightInd w:val="0"/>
    </w:pPr>
    <w:rPr>
      <w:rFonts w:ascii="Calibri" w:hAnsi="Calibri" w:cs="Calibri"/>
      <w:color w:val="000000"/>
      <w:sz w:val="24"/>
      <w:szCs w:val="24"/>
    </w:rPr>
  </w:style>
  <w:style w:type="character" w:customStyle="1" w:styleId="charsectno">
    <w:name w:val="charsectno"/>
    <w:basedOn w:val="DefaultParagraphFont"/>
    <w:rsid w:val="00F42BD5"/>
  </w:style>
  <w:style w:type="character" w:customStyle="1" w:styleId="charparttext">
    <w:name w:val="charparttext"/>
    <w:basedOn w:val="DefaultParagraphFont"/>
    <w:rsid w:val="00F42BD5"/>
  </w:style>
  <w:style w:type="paragraph" w:styleId="ListParagraph">
    <w:name w:val="List Paragraph"/>
    <w:basedOn w:val="Normal"/>
    <w:uiPriority w:val="34"/>
    <w:qFormat/>
    <w:rsid w:val="001641E9"/>
    <w:pPr>
      <w:spacing w:after="120" w:line="240" w:lineRule="auto"/>
      <w:ind w:left="720"/>
      <w:contextualSpacing/>
    </w:pPr>
    <w:rPr>
      <w:rFonts w:ascii="Arial" w:eastAsia="Times New Roman" w:hAnsi="Arial"/>
      <w:sz w:val="20"/>
      <w:szCs w:val="24"/>
      <w:lang w:eastAsia="en-AU"/>
    </w:rPr>
  </w:style>
  <w:style w:type="paragraph" w:customStyle="1" w:styleId="normal2">
    <w:name w:val="normal2"/>
    <w:basedOn w:val="Normal"/>
    <w:rsid w:val="00355D1D"/>
    <w:pPr>
      <w:spacing w:after="0" w:line="312" w:lineRule="atLeast"/>
      <w:jc w:val="both"/>
    </w:pPr>
    <w:rPr>
      <w:rFonts w:ascii="Times New Roman" w:eastAsia="Times New Roman" w:hAnsi="Times New Roman"/>
      <w:sz w:val="24"/>
      <w:szCs w:val="24"/>
      <w:lang w:eastAsia="en-AU"/>
    </w:rPr>
  </w:style>
  <w:style w:type="paragraph" w:styleId="Revision">
    <w:name w:val="Revision"/>
    <w:hidden/>
    <w:uiPriority w:val="99"/>
    <w:semiHidden/>
    <w:rsid w:val="0094061E"/>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271B2"/>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E3B58"/>
    <w:pPr>
      <w:framePr w:hSpace="180" w:wrap="around" w:vAnchor="page" w:hAnchor="margin" w:y="3166"/>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E3B58"/>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aliases w:val="(NECG) Footnote Text"/>
    <w:basedOn w:val="Normal"/>
    <w:link w:val="FootnoteTextChar"/>
    <w:uiPriority w:val="99"/>
    <w:rsid w:val="00EE1482"/>
    <w:pPr>
      <w:keepLines/>
      <w:spacing w:before="0" w:after="0"/>
    </w:pPr>
    <w:rPr>
      <w:sz w:val="20"/>
    </w:rPr>
  </w:style>
  <w:style w:type="character" w:customStyle="1" w:styleId="FootnoteTextChar">
    <w:name w:val="Footnote Text Char"/>
    <w:aliases w:val="(NECG) Footnote Text Char"/>
    <w:basedOn w:val="DefaultParagraphFont"/>
    <w:link w:val="FootnoteText"/>
    <w:uiPriority w:val="99"/>
    <w:rsid w:val="001525B4"/>
    <w:rPr>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customStyle="1" w:styleId="Default">
    <w:name w:val="Default"/>
    <w:rsid w:val="0090062F"/>
    <w:pPr>
      <w:autoSpaceDE w:val="0"/>
      <w:autoSpaceDN w:val="0"/>
      <w:adjustRightInd w:val="0"/>
    </w:pPr>
    <w:rPr>
      <w:rFonts w:ascii="Calibri" w:hAnsi="Calibri" w:cs="Calibri"/>
      <w:color w:val="000000"/>
      <w:sz w:val="24"/>
      <w:szCs w:val="24"/>
    </w:rPr>
  </w:style>
  <w:style w:type="character" w:customStyle="1" w:styleId="charsectno">
    <w:name w:val="charsectno"/>
    <w:basedOn w:val="DefaultParagraphFont"/>
    <w:rsid w:val="00F42BD5"/>
  </w:style>
  <w:style w:type="character" w:customStyle="1" w:styleId="charparttext">
    <w:name w:val="charparttext"/>
    <w:basedOn w:val="DefaultParagraphFont"/>
    <w:rsid w:val="00F42BD5"/>
  </w:style>
  <w:style w:type="paragraph" w:styleId="ListParagraph">
    <w:name w:val="List Paragraph"/>
    <w:basedOn w:val="Normal"/>
    <w:uiPriority w:val="34"/>
    <w:qFormat/>
    <w:rsid w:val="001641E9"/>
    <w:pPr>
      <w:spacing w:after="120" w:line="240" w:lineRule="auto"/>
      <w:ind w:left="720"/>
      <w:contextualSpacing/>
    </w:pPr>
    <w:rPr>
      <w:rFonts w:ascii="Arial" w:eastAsia="Times New Roman" w:hAnsi="Arial"/>
      <w:sz w:val="20"/>
      <w:szCs w:val="24"/>
      <w:lang w:eastAsia="en-AU"/>
    </w:rPr>
  </w:style>
  <w:style w:type="paragraph" w:customStyle="1" w:styleId="normal2">
    <w:name w:val="normal2"/>
    <w:basedOn w:val="Normal"/>
    <w:rsid w:val="00355D1D"/>
    <w:pPr>
      <w:spacing w:after="0" w:line="312" w:lineRule="atLeast"/>
      <w:jc w:val="both"/>
    </w:pPr>
    <w:rPr>
      <w:rFonts w:ascii="Times New Roman" w:eastAsia="Times New Roman" w:hAnsi="Times New Roman"/>
      <w:sz w:val="24"/>
      <w:szCs w:val="24"/>
      <w:lang w:eastAsia="en-AU"/>
    </w:rPr>
  </w:style>
  <w:style w:type="paragraph" w:styleId="Revision">
    <w:name w:val="Revision"/>
    <w:hidden/>
    <w:uiPriority w:val="99"/>
    <w:semiHidden/>
    <w:rsid w:val="0094061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2797">
      <w:bodyDiv w:val="1"/>
      <w:marLeft w:val="0"/>
      <w:marRight w:val="0"/>
      <w:marTop w:val="0"/>
      <w:marBottom w:val="0"/>
      <w:divBdr>
        <w:top w:val="none" w:sz="0" w:space="0" w:color="auto"/>
        <w:left w:val="none" w:sz="0" w:space="0" w:color="auto"/>
        <w:bottom w:val="none" w:sz="0" w:space="0" w:color="auto"/>
        <w:right w:val="none" w:sz="0" w:space="0" w:color="auto"/>
      </w:divBdr>
      <w:divsChild>
        <w:div w:id="565920729">
          <w:marLeft w:val="0"/>
          <w:marRight w:val="0"/>
          <w:marTop w:val="0"/>
          <w:marBottom w:val="0"/>
          <w:divBdr>
            <w:top w:val="none" w:sz="0" w:space="0" w:color="auto"/>
            <w:left w:val="none" w:sz="0" w:space="0" w:color="auto"/>
            <w:bottom w:val="none" w:sz="0" w:space="0" w:color="auto"/>
            <w:right w:val="none" w:sz="0" w:space="0" w:color="auto"/>
          </w:divBdr>
          <w:divsChild>
            <w:div w:id="977685577">
              <w:marLeft w:val="0"/>
              <w:marRight w:val="0"/>
              <w:marTop w:val="0"/>
              <w:marBottom w:val="0"/>
              <w:divBdr>
                <w:top w:val="none" w:sz="0" w:space="0" w:color="auto"/>
                <w:left w:val="none" w:sz="0" w:space="0" w:color="auto"/>
                <w:bottom w:val="none" w:sz="0" w:space="0" w:color="auto"/>
                <w:right w:val="none" w:sz="0" w:space="0" w:color="auto"/>
              </w:divBdr>
              <w:divsChild>
                <w:div w:id="752355307">
                  <w:marLeft w:val="0"/>
                  <w:marRight w:val="0"/>
                  <w:marTop w:val="0"/>
                  <w:marBottom w:val="0"/>
                  <w:divBdr>
                    <w:top w:val="none" w:sz="0" w:space="0" w:color="auto"/>
                    <w:left w:val="none" w:sz="0" w:space="0" w:color="auto"/>
                    <w:bottom w:val="none" w:sz="0" w:space="0" w:color="auto"/>
                    <w:right w:val="none" w:sz="0" w:space="0" w:color="auto"/>
                  </w:divBdr>
                  <w:divsChild>
                    <w:div w:id="1869680105">
                      <w:marLeft w:val="1"/>
                      <w:marRight w:val="1"/>
                      <w:marTop w:val="0"/>
                      <w:marBottom w:val="0"/>
                      <w:divBdr>
                        <w:top w:val="none" w:sz="0" w:space="0" w:color="auto"/>
                        <w:left w:val="none" w:sz="0" w:space="0" w:color="auto"/>
                        <w:bottom w:val="none" w:sz="0" w:space="0" w:color="auto"/>
                        <w:right w:val="none" w:sz="0" w:space="0" w:color="auto"/>
                      </w:divBdr>
                      <w:divsChild>
                        <w:div w:id="900943760">
                          <w:marLeft w:val="0"/>
                          <w:marRight w:val="0"/>
                          <w:marTop w:val="0"/>
                          <w:marBottom w:val="0"/>
                          <w:divBdr>
                            <w:top w:val="none" w:sz="0" w:space="0" w:color="auto"/>
                            <w:left w:val="none" w:sz="0" w:space="0" w:color="auto"/>
                            <w:bottom w:val="none" w:sz="0" w:space="0" w:color="auto"/>
                            <w:right w:val="none" w:sz="0" w:space="0" w:color="auto"/>
                          </w:divBdr>
                          <w:divsChild>
                            <w:div w:id="1188714136">
                              <w:marLeft w:val="0"/>
                              <w:marRight w:val="0"/>
                              <w:marTop w:val="0"/>
                              <w:marBottom w:val="360"/>
                              <w:divBdr>
                                <w:top w:val="none" w:sz="0" w:space="0" w:color="auto"/>
                                <w:left w:val="none" w:sz="0" w:space="0" w:color="auto"/>
                                <w:bottom w:val="none" w:sz="0" w:space="0" w:color="auto"/>
                                <w:right w:val="none" w:sz="0" w:space="0" w:color="auto"/>
                              </w:divBdr>
                              <w:divsChild>
                                <w:div w:id="1743526082">
                                  <w:marLeft w:val="0"/>
                                  <w:marRight w:val="0"/>
                                  <w:marTop w:val="0"/>
                                  <w:marBottom w:val="0"/>
                                  <w:divBdr>
                                    <w:top w:val="none" w:sz="0" w:space="0" w:color="auto"/>
                                    <w:left w:val="none" w:sz="0" w:space="0" w:color="auto"/>
                                    <w:bottom w:val="none" w:sz="0" w:space="0" w:color="auto"/>
                                    <w:right w:val="none" w:sz="0" w:space="0" w:color="auto"/>
                                  </w:divBdr>
                                  <w:divsChild>
                                    <w:div w:id="1210455361">
                                      <w:marLeft w:val="0"/>
                                      <w:marRight w:val="0"/>
                                      <w:marTop w:val="0"/>
                                      <w:marBottom w:val="0"/>
                                      <w:divBdr>
                                        <w:top w:val="none" w:sz="0" w:space="0" w:color="auto"/>
                                        <w:left w:val="none" w:sz="0" w:space="0" w:color="auto"/>
                                        <w:bottom w:val="none" w:sz="0" w:space="0" w:color="auto"/>
                                        <w:right w:val="none" w:sz="0" w:space="0" w:color="auto"/>
                                      </w:divBdr>
                                      <w:divsChild>
                                        <w:div w:id="432482165">
                                          <w:marLeft w:val="0"/>
                                          <w:marRight w:val="0"/>
                                          <w:marTop w:val="0"/>
                                          <w:marBottom w:val="0"/>
                                          <w:divBdr>
                                            <w:top w:val="none" w:sz="0" w:space="0" w:color="auto"/>
                                            <w:left w:val="none" w:sz="0" w:space="0" w:color="auto"/>
                                            <w:bottom w:val="none" w:sz="0" w:space="0" w:color="auto"/>
                                            <w:right w:val="none" w:sz="0" w:space="0" w:color="auto"/>
                                          </w:divBdr>
                                          <w:divsChild>
                                            <w:div w:id="1171019212">
                                              <w:marLeft w:val="0"/>
                                              <w:marRight w:val="0"/>
                                              <w:marTop w:val="0"/>
                                              <w:marBottom w:val="0"/>
                                              <w:divBdr>
                                                <w:top w:val="none" w:sz="0" w:space="0" w:color="auto"/>
                                                <w:left w:val="none" w:sz="0" w:space="0" w:color="auto"/>
                                                <w:bottom w:val="none" w:sz="0" w:space="0" w:color="auto"/>
                                                <w:right w:val="none" w:sz="0" w:space="0" w:color="auto"/>
                                              </w:divBdr>
                                              <w:divsChild>
                                                <w:div w:id="19854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15617">
      <w:bodyDiv w:val="1"/>
      <w:marLeft w:val="0"/>
      <w:marRight w:val="0"/>
      <w:marTop w:val="0"/>
      <w:marBottom w:val="0"/>
      <w:divBdr>
        <w:top w:val="none" w:sz="0" w:space="0" w:color="auto"/>
        <w:left w:val="none" w:sz="0" w:space="0" w:color="auto"/>
        <w:bottom w:val="none" w:sz="0" w:space="0" w:color="auto"/>
        <w:right w:val="none" w:sz="0" w:space="0" w:color="auto"/>
      </w:divBdr>
      <w:divsChild>
        <w:div w:id="1622762368">
          <w:marLeft w:val="0"/>
          <w:marRight w:val="0"/>
          <w:marTop w:val="0"/>
          <w:marBottom w:val="0"/>
          <w:divBdr>
            <w:top w:val="none" w:sz="0" w:space="0" w:color="auto"/>
            <w:left w:val="none" w:sz="0" w:space="0" w:color="auto"/>
            <w:bottom w:val="none" w:sz="0" w:space="0" w:color="auto"/>
            <w:right w:val="none" w:sz="0" w:space="0" w:color="auto"/>
          </w:divBdr>
          <w:divsChild>
            <w:div w:id="354422771">
              <w:marLeft w:val="0"/>
              <w:marRight w:val="0"/>
              <w:marTop w:val="0"/>
              <w:marBottom w:val="0"/>
              <w:divBdr>
                <w:top w:val="none" w:sz="0" w:space="0" w:color="auto"/>
                <w:left w:val="none" w:sz="0" w:space="0" w:color="auto"/>
                <w:bottom w:val="none" w:sz="0" w:space="0" w:color="auto"/>
                <w:right w:val="none" w:sz="0" w:space="0" w:color="auto"/>
              </w:divBdr>
              <w:divsChild>
                <w:div w:id="853541345">
                  <w:marLeft w:val="0"/>
                  <w:marRight w:val="0"/>
                  <w:marTop w:val="0"/>
                  <w:marBottom w:val="0"/>
                  <w:divBdr>
                    <w:top w:val="none" w:sz="0" w:space="0" w:color="auto"/>
                    <w:left w:val="none" w:sz="0" w:space="0" w:color="auto"/>
                    <w:bottom w:val="none" w:sz="0" w:space="0" w:color="auto"/>
                    <w:right w:val="none" w:sz="0" w:space="0" w:color="auto"/>
                  </w:divBdr>
                  <w:divsChild>
                    <w:div w:id="1020936505">
                      <w:marLeft w:val="1"/>
                      <w:marRight w:val="1"/>
                      <w:marTop w:val="0"/>
                      <w:marBottom w:val="0"/>
                      <w:divBdr>
                        <w:top w:val="none" w:sz="0" w:space="0" w:color="auto"/>
                        <w:left w:val="none" w:sz="0" w:space="0" w:color="auto"/>
                        <w:bottom w:val="none" w:sz="0" w:space="0" w:color="auto"/>
                        <w:right w:val="none" w:sz="0" w:space="0" w:color="auto"/>
                      </w:divBdr>
                      <w:divsChild>
                        <w:div w:id="289408465">
                          <w:marLeft w:val="0"/>
                          <w:marRight w:val="0"/>
                          <w:marTop w:val="0"/>
                          <w:marBottom w:val="0"/>
                          <w:divBdr>
                            <w:top w:val="none" w:sz="0" w:space="0" w:color="auto"/>
                            <w:left w:val="none" w:sz="0" w:space="0" w:color="auto"/>
                            <w:bottom w:val="none" w:sz="0" w:space="0" w:color="auto"/>
                            <w:right w:val="none" w:sz="0" w:space="0" w:color="auto"/>
                          </w:divBdr>
                          <w:divsChild>
                            <w:div w:id="1175807774">
                              <w:marLeft w:val="0"/>
                              <w:marRight w:val="0"/>
                              <w:marTop w:val="0"/>
                              <w:marBottom w:val="360"/>
                              <w:divBdr>
                                <w:top w:val="none" w:sz="0" w:space="0" w:color="auto"/>
                                <w:left w:val="none" w:sz="0" w:space="0" w:color="auto"/>
                                <w:bottom w:val="none" w:sz="0" w:space="0" w:color="auto"/>
                                <w:right w:val="none" w:sz="0" w:space="0" w:color="auto"/>
                              </w:divBdr>
                              <w:divsChild>
                                <w:div w:id="1813597511">
                                  <w:marLeft w:val="0"/>
                                  <w:marRight w:val="0"/>
                                  <w:marTop w:val="0"/>
                                  <w:marBottom w:val="0"/>
                                  <w:divBdr>
                                    <w:top w:val="none" w:sz="0" w:space="0" w:color="auto"/>
                                    <w:left w:val="none" w:sz="0" w:space="0" w:color="auto"/>
                                    <w:bottom w:val="none" w:sz="0" w:space="0" w:color="auto"/>
                                    <w:right w:val="none" w:sz="0" w:space="0" w:color="auto"/>
                                  </w:divBdr>
                                  <w:divsChild>
                                    <w:div w:id="1138957307">
                                      <w:marLeft w:val="0"/>
                                      <w:marRight w:val="0"/>
                                      <w:marTop w:val="0"/>
                                      <w:marBottom w:val="0"/>
                                      <w:divBdr>
                                        <w:top w:val="none" w:sz="0" w:space="0" w:color="auto"/>
                                        <w:left w:val="none" w:sz="0" w:space="0" w:color="auto"/>
                                        <w:bottom w:val="none" w:sz="0" w:space="0" w:color="auto"/>
                                        <w:right w:val="none" w:sz="0" w:space="0" w:color="auto"/>
                                      </w:divBdr>
                                      <w:divsChild>
                                        <w:div w:id="1217935796">
                                          <w:marLeft w:val="0"/>
                                          <w:marRight w:val="0"/>
                                          <w:marTop w:val="0"/>
                                          <w:marBottom w:val="0"/>
                                          <w:divBdr>
                                            <w:top w:val="none" w:sz="0" w:space="0" w:color="auto"/>
                                            <w:left w:val="none" w:sz="0" w:space="0" w:color="auto"/>
                                            <w:bottom w:val="none" w:sz="0" w:space="0" w:color="auto"/>
                                            <w:right w:val="none" w:sz="0" w:space="0" w:color="auto"/>
                                          </w:divBdr>
                                          <w:divsChild>
                                            <w:div w:id="1986540583">
                                              <w:marLeft w:val="0"/>
                                              <w:marRight w:val="0"/>
                                              <w:marTop w:val="0"/>
                                              <w:marBottom w:val="0"/>
                                              <w:divBdr>
                                                <w:top w:val="none" w:sz="0" w:space="0" w:color="auto"/>
                                                <w:left w:val="none" w:sz="0" w:space="0" w:color="auto"/>
                                                <w:bottom w:val="none" w:sz="0" w:space="0" w:color="auto"/>
                                                <w:right w:val="none" w:sz="0" w:space="0" w:color="auto"/>
                                              </w:divBdr>
                                              <w:divsChild>
                                                <w:div w:id="18114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ga.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7C00534" TargetMode="External"/><Relationship Id="rId2" Type="http://schemas.openxmlformats.org/officeDocument/2006/relationships/hyperlink" Target="http://eur-lex.europa.eu/legal-content/EN/TXT/?uri=OJ:L:2017:117:TOC" TargetMode="External"/><Relationship Id="rId1" Type="http://schemas.openxmlformats.org/officeDocument/2006/relationships/hyperlink" Target="https://ec.europa.eu/growth/sectors/medical-devices/regulatory-framework/revision_en" TargetMode="External"/><Relationship Id="rId5" Type="http://schemas.openxmlformats.org/officeDocument/2006/relationships/hyperlink" Target="https://www.legislation.gov.au/Details/F2017C00534" TargetMode="External"/><Relationship Id="rId4" Type="http://schemas.openxmlformats.org/officeDocument/2006/relationships/hyperlink" Target="https://www.legislation.gov.au/Details/F2017C0053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C95B0-E47D-4C98-B3F6-1673CF9E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36</TotalTime>
  <Pages>11</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Alignment with European medical device regulatory framework</dc:title>
  <dc:subject>medical devices</dc:subject>
  <dc:creator>Therapeutic Goods Administration</dc:creator>
  <cp:keywords>regulatory framework, surgical mesh, patient implant cards</cp:keywords>
  <cp:lastModifiedBy>SHEPPARD, Fran</cp:lastModifiedBy>
  <cp:revision>10</cp:revision>
  <cp:lastPrinted>2017-07-27T03:04:00Z</cp:lastPrinted>
  <dcterms:created xsi:type="dcterms:W3CDTF">2017-07-27T03:55:00Z</dcterms:created>
  <dcterms:modified xsi:type="dcterms:W3CDTF">2017-07-28T00:51:00Z</dcterms:modified>
</cp:coreProperties>
</file>