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2519D" w:rsidRPr="009401F6" w:rsidRDefault="002272EE" w:rsidP="005B0EFE">
            <w:pPr>
              <w:pStyle w:val="Title"/>
            </w:pPr>
            <w:bookmarkStart w:id="0" w:name="_GoBack"/>
            <w:bookmarkEnd w:id="0"/>
            <w:r>
              <w:t xml:space="preserve">Accelerated </w:t>
            </w:r>
            <w:r w:rsidR="009A1FA6">
              <w:t>a</w:t>
            </w:r>
            <w:r>
              <w:t xml:space="preserve">ssessment of </w:t>
            </w:r>
            <w:r w:rsidR="009A1FA6">
              <w:t>m</w:t>
            </w:r>
            <w:r>
              <w:t xml:space="preserve">edical </w:t>
            </w:r>
            <w:r w:rsidR="009A1FA6">
              <w:t>d</w:t>
            </w:r>
            <w:r>
              <w:t>evices</w:t>
            </w:r>
            <w:r w:rsidR="00E43AD6">
              <w:t xml:space="preserve"> </w:t>
            </w:r>
            <w:r w:rsidR="008C169B">
              <w:t>–</w:t>
            </w:r>
            <w:r w:rsidR="00E43AD6">
              <w:t xml:space="preserve"> </w:t>
            </w:r>
            <w:r w:rsidR="008C169B">
              <w:t xml:space="preserve">Priority Review </w:t>
            </w:r>
            <w:r w:rsidR="009A1FA6">
              <w:t>p</w:t>
            </w:r>
            <w:r w:rsidR="0012519D">
              <w:t>athway</w:t>
            </w:r>
          </w:p>
        </w:tc>
      </w:tr>
      <w:tr w:rsidR="00ED0C8B" w:rsidRPr="009401F6" w:rsidTr="00ED0C8B">
        <w:trPr>
          <w:trHeight w:val="1387"/>
        </w:trPr>
        <w:tc>
          <w:tcPr>
            <w:tcW w:w="8720" w:type="dxa"/>
          </w:tcPr>
          <w:p w:rsidR="001D480A" w:rsidRPr="009401F6" w:rsidRDefault="002272EE" w:rsidP="005B0EFE">
            <w:pPr>
              <w:pStyle w:val="Subtitle"/>
              <w:framePr w:hSpace="0" w:wrap="auto" w:vAnchor="margin" w:hAnchor="text" w:yAlign="inline"/>
            </w:pPr>
            <w:r>
              <w:t>Implementation</w:t>
            </w:r>
          </w:p>
        </w:tc>
      </w:tr>
      <w:tr w:rsidR="00ED0C8B" w:rsidRPr="009401F6" w:rsidTr="00ED0C8B">
        <w:tc>
          <w:tcPr>
            <w:tcW w:w="8720" w:type="dxa"/>
          </w:tcPr>
          <w:p w:rsidR="00ED0C8B" w:rsidRPr="009401F6" w:rsidRDefault="00ED0C8B" w:rsidP="00FA095B">
            <w:pPr>
              <w:pStyle w:val="Date"/>
              <w:rPr>
                <w:lang w:eastAsia="en-AU"/>
              </w:rPr>
            </w:pPr>
            <w:r w:rsidRPr="009401F6">
              <w:rPr>
                <w:lang w:eastAsia="en-AU"/>
              </w:rPr>
              <w:t xml:space="preserve">Version </w:t>
            </w:r>
            <w:r w:rsidR="000A5EA9">
              <w:rPr>
                <w:lang w:eastAsia="en-AU"/>
              </w:rPr>
              <w:t>1</w:t>
            </w:r>
            <w:r w:rsidR="00260EBB">
              <w:rPr>
                <w:lang w:eastAsia="en-AU"/>
              </w:rPr>
              <w:t>.0</w:t>
            </w:r>
            <w:r w:rsidRPr="009401F6">
              <w:rPr>
                <w:lang w:eastAsia="en-AU"/>
              </w:rPr>
              <w:t xml:space="preserve">, </w:t>
            </w:r>
            <w:r w:rsidR="000A5EA9">
              <w:rPr>
                <w:lang w:eastAsia="en-AU"/>
              </w:rPr>
              <w:t>November</w:t>
            </w:r>
            <w:r w:rsidR="00594086">
              <w:rPr>
                <w:lang w:eastAsia="en-AU"/>
              </w:rPr>
              <w:t xml:space="preserve"> </w:t>
            </w:r>
            <w:r w:rsidR="00763336" w:rsidRPr="009401F6">
              <w:rPr>
                <w:lang w:eastAsia="en-AU"/>
              </w:rPr>
              <w:t>201</w:t>
            </w:r>
            <w:r w:rsidR="0047772E">
              <w:rPr>
                <w:lang w:eastAsia="en-AU"/>
              </w:rPr>
              <w:t>6</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even" r:id="rId9"/>
          <w:headerReference w:type="default" r:id="rId10"/>
          <w:footerReference w:type="default" r:id="rId11"/>
          <w:headerReference w:type="first" r:id="rId12"/>
          <w:footerReference w:type="first" r:id="rId13"/>
          <w:type w:val="continuous"/>
          <w:pgSz w:w="11906" w:h="16838" w:code="9"/>
          <w:pgMar w:top="6923" w:right="1418" w:bottom="709" w:left="1418" w:header="998" w:footer="0" w:gutter="0"/>
          <w:cols w:space="708"/>
          <w:titlePg/>
          <w:docGrid w:linePitch="360"/>
        </w:sectPr>
      </w:pPr>
    </w:p>
    <w:p w:rsidR="00BA6FF1" w:rsidRPr="005D4EA1" w:rsidRDefault="00BA6FF1" w:rsidP="00506B33">
      <w:pPr>
        <w:pStyle w:val="LegalSubheading"/>
        <w:pageBreakBefore/>
      </w:pPr>
      <w:r w:rsidRPr="00691723">
        <w:lastRenderedPageBreak/>
        <w:t>Copyright</w:t>
      </w:r>
    </w:p>
    <w:p w:rsidR="00611B57" w:rsidRDefault="00EA453A" w:rsidP="00506B33">
      <w:pPr>
        <w:pStyle w:val="LegalCopy"/>
        <w:spacing w:after="0"/>
      </w:pPr>
      <w:r w:rsidRPr="009401F6">
        <w:t>© Commonwealth of Australia 201</w:t>
      </w:r>
      <w:r w:rsidR="0047772E">
        <w:t>6</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9401F6" w:rsidRDefault="008D2B09" w:rsidP="0025750D">
      <w:pPr>
        <w:pStyle w:val="LegalCopy"/>
      </w:pPr>
      <w:r w:rsidRPr="00447762">
        <w:t>All submissions received will be placed on the TGA’s Internet site, unless marked confidential. Any confidential</w:t>
      </w:r>
      <w:r w:rsidR="00907ACE" w:rsidRPr="00447762">
        <w:t xml:space="preserve"> </w:t>
      </w:r>
      <w:r w:rsidRPr="00447762">
        <w:t>material contained within your submission should be provided under a separate cover and clearly marked</w:t>
      </w:r>
      <w:r w:rsidR="00907ACE" w:rsidRPr="00447762">
        <w:t xml:space="preserve"> </w:t>
      </w:r>
      <w:r w:rsidRPr="00447762">
        <w:t>“IN CONFIDENCE”. Reasons for a claim to confidentiality must be included in the space provided on the TGA</w:t>
      </w:r>
      <w:r w:rsidR="00907ACE" w:rsidRPr="00447762">
        <w:t xml:space="preserve"> </w:t>
      </w:r>
      <w:r w:rsidRPr="00447762">
        <w:t xml:space="preserve">submission </w:t>
      </w:r>
      <w:r w:rsidR="003C7461" w:rsidRPr="00447762">
        <w:t>form</w:t>
      </w:r>
      <w:r w:rsidRPr="00447762">
        <w:t>.</w:t>
      </w:r>
      <w:r w:rsidR="00611B57" w:rsidRPr="00447762">
        <w:t xml:space="preserve"> </w:t>
      </w:r>
      <w:r w:rsidRPr="00447762">
        <w:t>For submission made by individuals, all personal details, other than your name, will be removed from your</w:t>
      </w:r>
      <w:r w:rsidR="00611B57" w:rsidRPr="00447762">
        <w:t xml:space="preserve"> </w:t>
      </w:r>
      <w:r w:rsidRPr="00447762">
        <w:t>submission before it is published on the TGA’s Internet site.</w:t>
      </w:r>
      <w:r w:rsidR="00611B57" w:rsidRPr="00447762">
        <w:t xml:space="preserve"> </w:t>
      </w:r>
      <w:r w:rsidRPr="00447762">
        <w:t>In addition, a list of parties making submissions will be published. If you do not wish to be identified with your</w:t>
      </w:r>
      <w:r w:rsidR="00611B57" w:rsidRPr="00447762">
        <w:t xml:space="preserve"> </w:t>
      </w:r>
      <w:r w:rsidRPr="00447762">
        <w:t xml:space="preserve">submission you must specifically request this in the space provided on the submission </w:t>
      </w:r>
      <w:r w:rsidR="003C7461" w:rsidRPr="00447762">
        <w:t>form.</w:t>
      </w:r>
      <w:r w:rsidR="00277EF5" w:rsidRPr="009401F6">
        <w:br w:type="page"/>
      </w:r>
      <w:bookmarkStart w:id="1"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AE2EC2"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466639081" w:history="1">
            <w:r w:rsidR="00AE2EC2" w:rsidRPr="00D02E7E">
              <w:rPr>
                <w:rStyle w:val="Hyperlink"/>
                <w:noProof/>
              </w:rPr>
              <w:t>Introduction</w:t>
            </w:r>
            <w:r w:rsidR="00AE2EC2">
              <w:rPr>
                <w:noProof/>
                <w:webHidden/>
              </w:rPr>
              <w:tab/>
            </w:r>
            <w:r w:rsidR="00AE2EC2">
              <w:rPr>
                <w:noProof/>
                <w:webHidden/>
              </w:rPr>
              <w:fldChar w:fldCharType="begin"/>
            </w:r>
            <w:r w:rsidR="00AE2EC2">
              <w:rPr>
                <w:noProof/>
                <w:webHidden/>
              </w:rPr>
              <w:instrText xml:space="preserve"> PAGEREF _Toc466639081 \h </w:instrText>
            </w:r>
            <w:r w:rsidR="00AE2EC2">
              <w:rPr>
                <w:noProof/>
                <w:webHidden/>
              </w:rPr>
            </w:r>
            <w:r w:rsidR="00AE2EC2">
              <w:rPr>
                <w:noProof/>
                <w:webHidden/>
              </w:rPr>
              <w:fldChar w:fldCharType="separate"/>
            </w:r>
            <w:r w:rsidR="00AE2EC2">
              <w:rPr>
                <w:noProof/>
                <w:webHidden/>
              </w:rPr>
              <w:t>5</w:t>
            </w:r>
            <w:r w:rsidR="00AE2EC2">
              <w:rPr>
                <w:noProof/>
                <w:webHidden/>
              </w:rPr>
              <w:fldChar w:fldCharType="end"/>
            </w:r>
          </w:hyperlink>
        </w:p>
        <w:p w:rsidR="00AE2EC2" w:rsidRDefault="00114451">
          <w:pPr>
            <w:pStyle w:val="TOC1"/>
            <w:rPr>
              <w:rFonts w:asciiTheme="minorHAnsi" w:eastAsiaTheme="minorEastAsia" w:hAnsiTheme="minorHAnsi" w:cstheme="minorBidi"/>
              <w:b w:val="0"/>
              <w:noProof/>
              <w:sz w:val="22"/>
              <w:szCs w:val="22"/>
              <w:lang w:eastAsia="en-AU"/>
            </w:rPr>
          </w:pPr>
          <w:hyperlink w:anchor="_Toc466639082" w:history="1">
            <w:r w:rsidR="00AE2EC2" w:rsidRPr="00D02E7E">
              <w:rPr>
                <w:rStyle w:val="Hyperlink"/>
                <w:rFonts w:eastAsiaTheme="minorHAnsi"/>
                <w:noProof/>
              </w:rPr>
              <w:t>Current environment</w:t>
            </w:r>
            <w:r w:rsidR="00AE2EC2">
              <w:rPr>
                <w:noProof/>
                <w:webHidden/>
              </w:rPr>
              <w:tab/>
            </w:r>
            <w:r w:rsidR="00AE2EC2">
              <w:rPr>
                <w:noProof/>
                <w:webHidden/>
              </w:rPr>
              <w:fldChar w:fldCharType="begin"/>
            </w:r>
            <w:r w:rsidR="00AE2EC2">
              <w:rPr>
                <w:noProof/>
                <w:webHidden/>
              </w:rPr>
              <w:instrText xml:space="preserve"> PAGEREF _Toc466639082 \h </w:instrText>
            </w:r>
            <w:r w:rsidR="00AE2EC2">
              <w:rPr>
                <w:noProof/>
                <w:webHidden/>
              </w:rPr>
            </w:r>
            <w:r w:rsidR="00AE2EC2">
              <w:rPr>
                <w:noProof/>
                <w:webHidden/>
              </w:rPr>
              <w:fldChar w:fldCharType="separate"/>
            </w:r>
            <w:r w:rsidR="00AE2EC2">
              <w:rPr>
                <w:noProof/>
                <w:webHidden/>
              </w:rPr>
              <w:t>5</w:t>
            </w:r>
            <w:r w:rsidR="00AE2EC2">
              <w:rPr>
                <w:noProof/>
                <w:webHidden/>
              </w:rPr>
              <w:fldChar w:fldCharType="end"/>
            </w:r>
          </w:hyperlink>
        </w:p>
        <w:p w:rsidR="00AE2EC2" w:rsidRDefault="00114451">
          <w:pPr>
            <w:pStyle w:val="TOC2"/>
            <w:rPr>
              <w:rFonts w:asciiTheme="minorHAnsi" w:eastAsiaTheme="minorEastAsia" w:hAnsiTheme="minorHAnsi" w:cstheme="minorBidi"/>
              <w:b w:val="0"/>
              <w:noProof/>
              <w:sz w:val="22"/>
              <w:szCs w:val="22"/>
              <w:lang w:eastAsia="en-AU"/>
            </w:rPr>
          </w:pPr>
          <w:hyperlink w:anchor="_Toc466639083" w:history="1">
            <w:r w:rsidR="00AE2EC2" w:rsidRPr="00D02E7E">
              <w:rPr>
                <w:rStyle w:val="Hyperlink"/>
                <w:noProof/>
              </w:rPr>
              <w:t>Mechanisms in place to expedite assessment within the TGA</w:t>
            </w:r>
            <w:r w:rsidR="00AE2EC2">
              <w:rPr>
                <w:noProof/>
                <w:webHidden/>
              </w:rPr>
              <w:tab/>
            </w:r>
            <w:r w:rsidR="00AE2EC2">
              <w:rPr>
                <w:noProof/>
                <w:webHidden/>
              </w:rPr>
              <w:fldChar w:fldCharType="begin"/>
            </w:r>
            <w:r w:rsidR="00AE2EC2">
              <w:rPr>
                <w:noProof/>
                <w:webHidden/>
              </w:rPr>
              <w:instrText xml:space="preserve"> PAGEREF _Toc466639083 \h </w:instrText>
            </w:r>
            <w:r w:rsidR="00AE2EC2">
              <w:rPr>
                <w:noProof/>
                <w:webHidden/>
              </w:rPr>
            </w:r>
            <w:r w:rsidR="00AE2EC2">
              <w:rPr>
                <w:noProof/>
                <w:webHidden/>
              </w:rPr>
              <w:fldChar w:fldCharType="separate"/>
            </w:r>
            <w:r w:rsidR="00AE2EC2">
              <w:rPr>
                <w:noProof/>
                <w:webHidden/>
              </w:rPr>
              <w:t>6</w:t>
            </w:r>
            <w:r w:rsidR="00AE2EC2">
              <w:rPr>
                <w:noProof/>
                <w:webHidden/>
              </w:rPr>
              <w:fldChar w:fldCharType="end"/>
            </w:r>
          </w:hyperlink>
        </w:p>
        <w:p w:rsidR="00AE2EC2" w:rsidRDefault="00114451">
          <w:pPr>
            <w:pStyle w:val="TOC2"/>
            <w:rPr>
              <w:rFonts w:asciiTheme="minorHAnsi" w:eastAsiaTheme="minorEastAsia" w:hAnsiTheme="minorHAnsi" w:cstheme="minorBidi"/>
              <w:b w:val="0"/>
              <w:noProof/>
              <w:sz w:val="22"/>
              <w:szCs w:val="22"/>
              <w:lang w:eastAsia="en-AU"/>
            </w:rPr>
          </w:pPr>
          <w:hyperlink w:anchor="_Toc466639084" w:history="1">
            <w:r w:rsidR="00AE2EC2" w:rsidRPr="00D02E7E">
              <w:rPr>
                <w:rStyle w:val="Hyperlink"/>
                <w:noProof/>
              </w:rPr>
              <w:t>Accelerated approval and assessment methods of the US FDA</w:t>
            </w:r>
            <w:r w:rsidR="00AE2EC2">
              <w:rPr>
                <w:noProof/>
                <w:webHidden/>
              </w:rPr>
              <w:tab/>
            </w:r>
            <w:r w:rsidR="00AE2EC2">
              <w:rPr>
                <w:noProof/>
                <w:webHidden/>
              </w:rPr>
              <w:fldChar w:fldCharType="begin"/>
            </w:r>
            <w:r w:rsidR="00AE2EC2">
              <w:rPr>
                <w:noProof/>
                <w:webHidden/>
              </w:rPr>
              <w:instrText xml:space="preserve"> PAGEREF _Toc466639084 \h </w:instrText>
            </w:r>
            <w:r w:rsidR="00AE2EC2">
              <w:rPr>
                <w:noProof/>
                <w:webHidden/>
              </w:rPr>
            </w:r>
            <w:r w:rsidR="00AE2EC2">
              <w:rPr>
                <w:noProof/>
                <w:webHidden/>
              </w:rPr>
              <w:fldChar w:fldCharType="separate"/>
            </w:r>
            <w:r w:rsidR="00AE2EC2">
              <w:rPr>
                <w:noProof/>
                <w:webHidden/>
              </w:rPr>
              <w:t>6</w:t>
            </w:r>
            <w:r w:rsidR="00AE2EC2">
              <w:rPr>
                <w:noProof/>
                <w:webHidden/>
              </w:rPr>
              <w:fldChar w:fldCharType="end"/>
            </w:r>
          </w:hyperlink>
        </w:p>
        <w:p w:rsidR="00AE2EC2" w:rsidRDefault="00114451">
          <w:pPr>
            <w:pStyle w:val="TOC3"/>
            <w:rPr>
              <w:rFonts w:asciiTheme="minorHAnsi" w:eastAsiaTheme="minorEastAsia" w:hAnsiTheme="minorHAnsi" w:cstheme="minorBidi"/>
              <w:b w:val="0"/>
              <w:noProof/>
              <w:szCs w:val="22"/>
              <w:lang w:eastAsia="en-AU"/>
            </w:rPr>
          </w:pPr>
          <w:hyperlink w:anchor="_Toc466639085" w:history="1">
            <w:r w:rsidR="00AE2EC2" w:rsidRPr="00D02E7E">
              <w:rPr>
                <w:rStyle w:val="Hyperlink"/>
                <w:noProof/>
              </w:rPr>
              <w:t>Issues to consider</w:t>
            </w:r>
            <w:r w:rsidR="00AE2EC2">
              <w:rPr>
                <w:noProof/>
                <w:webHidden/>
              </w:rPr>
              <w:tab/>
            </w:r>
            <w:r w:rsidR="00AE2EC2">
              <w:rPr>
                <w:noProof/>
                <w:webHidden/>
              </w:rPr>
              <w:fldChar w:fldCharType="begin"/>
            </w:r>
            <w:r w:rsidR="00AE2EC2">
              <w:rPr>
                <w:noProof/>
                <w:webHidden/>
              </w:rPr>
              <w:instrText xml:space="preserve"> PAGEREF _Toc466639085 \h </w:instrText>
            </w:r>
            <w:r w:rsidR="00AE2EC2">
              <w:rPr>
                <w:noProof/>
                <w:webHidden/>
              </w:rPr>
            </w:r>
            <w:r w:rsidR="00AE2EC2">
              <w:rPr>
                <w:noProof/>
                <w:webHidden/>
              </w:rPr>
              <w:fldChar w:fldCharType="separate"/>
            </w:r>
            <w:r w:rsidR="00AE2EC2">
              <w:rPr>
                <w:noProof/>
                <w:webHidden/>
              </w:rPr>
              <w:t>7</w:t>
            </w:r>
            <w:r w:rsidR="00AE2EC2">
              <w:rPr>
                <w:noProof/>
                <w:webHidden/>
              </w:rPr>
              <w:fldChar w:fldCharType="end"/>
            </w:r>
          </w:hyperlink>
        </w:p>
        <w:p w:rsidR="00AE2EC2" w:rsidRDefault="00114451">
          <w:pPr>
            <w:pStyle w:val="TOC1"/>
            <w:rPr>
              <w:rFonts w:asciiTheme="minorHAnsi" w:eastAsiaTheme="minorEastAsia" w:hAnsiTheme="minorHAnsi" w:cstheme="minorBidi"/>
              <w:b w:val="0"/>
              <w:noProof/>
              <w:sz w:val="22"/>
              <w:szCs w:val="22"/>
              <w:lang w:eastAsia="en-AU"/>
            </w:rPr>
          </w:pPr>
          <w:hyperlink w:anchor="_Toc466639086" w:history="1">
            <w:r w:rsidR="00AE2EC2" w:rsidRPr="00D02E7E">
              <w:rPr>
                <w:rStyle w:val="Hyperlink"/>
                <w:rFonts w:eastAsiaTheme="minorHAnsi"/>
                <w:noProof/>
              </w:rPr>
              <w:t>Principles and criteria</w:t>
            </w:r>
            <w:r w:rsidR="00AE2EC2">
              <w:rPr>
                <w:noProof/>
                <w:webHidden/>
              </w:rPr>
              <w:tab/>
            </w:r>
            <w:r w:rsidR="00AE2EC2">
              <w:rPr>
                <w:noProof/>
                <w:webHidden/>
              </w:rPr>
              <w:fldChar w:fldCharType="begin"/>
            </w:r>
            <w:r w:rsidR="00AE2EC2">
              <w:rPr>
                <w:noProof/>
                <w:webHidden/>
              </w:rPr>
              <w:instrText xml:space="preserve"> PAGEREF _Toc466639086 \h </w:instrText>
            </w:r>
            <w:r w:rsidR="00AE2EC2">
              <w:rPr>
                <w:noProof/>
                <w:webHidden/>
              </w:rPr>
            </w:r>
            <w:r w:rsidR="00AE2EC2">
              <w:rPr>
                <w:noProof/>
                <w:webHidden/>
              </w:rPr>
              <w:fldChar w:fldCharType="separate"/>
            </w:r>
            <w:r w:rsidR="00AE2EC2">
              <w:rPr>
                <w:noProof/>
                <w:webHidden/>
              </w:rPr>
              <w:t>8</w:t>
            </w:r>
            <w:r w:rsidR="00AE2EC2">
              <w:rPr>
                <w:noProof/>
                <w:webHidden/>
              </w:rPr>
              <w:fldChar w:fldCharType="end"/>
            </w:r>
          </w:hyperlink>
        </w:p>
        <w:p w:rsidR="00AE2EC2" w:rsidRDefault="00114451">
          <w:pPr>
            <w:pStyle w:val="TOC2"/>
            <w:rPr>
              <w:rFonts w:asciiTheme="minorHAnsi" w:eastAsiaTheme="minorEastAsia" w:hAnsiTheme="minorHAnsi" w:cstheme="minorBidi"/>
              <w:b w:val="0"/>
              <w:noProof/>
              <w:sz w:val="22"/>
              <w:szCs w:val="22"/>
              <w:lang w:eastAsia="en-AU"/>
            </w:rPr>
          </w:pPr>
          <w:hyperlink w:anchor="_Toc466639087" w:history="1">
            <w:r w:rsidR="00AE2EC2" w:rsidRPr="00D02E7E">
              <w:rPr>
                <w:rStyle w:val="Hyperlink"/>
                <w:noProof/>
              </w:rPr>
              <w:t>Principles for Priority Review</w:t>
            </w:r>
            <w:r w:rsidR="00AE2EC2">
              <w:rPr>
                <w:noProof/>
                <w:webHidden/>
              </w:rPr>
              <w:tab/>
            </w:r>
            <w:r w:rsidR="00AE2EC2">
              <w:rPr>
                <w:noProof/>
                <w:webHidden/>
              </w:rPr>
              <w:fldChar w:fldCharType="begin"/>
            </w:r>
            <w:r w:rsidR="00AE2EC2">
              <w:rPr>
                <w:noProof/>
                <w:webHidden/>
              </w:rPr>
              <w:instrText xml:space="preserve"> PAGEREF _Toc466639087 \h </w:instrText>
            </w:r>
            <w:r w:rsidR="00AE2EC2">
              <w:rPr>
                <w:noProof/>
                <w:webHidden/>
              </w:rPr>
            </w:r>
            <w:r w:rsidR="00AE2EC2">
              <w:rPr>
                <w:noProof/>
                <w:webHidden/>
              </w:rPr>
              <w:fldChar w:fldCharType="separate"/>
            </w:r>
            <w:r w:rsidR="00AE2EC2">
              <w:rPr>
                <w:noProof/>
                <w:webHidden/>
              </w:rPr>
              <w:t>8</w:t>
            </w:r>
            <w:r w:rsidR="00AE2EC2">
              <w:rPr>
                <w:noProof/>
                <w:webHidden/>
              </w:rPr>
              <w:fldChar w:fldCharType="end"/>
            </w:r>
          </w:hyperlink>
        </w:p>
        <w:p w:rsidR="00AE2EC2" w:rsidRDefault="00114451">
          <w:pPr>
            <w:pStyle w:val="TOC2"/>
            <w:rPr>
              <w:rFonts w:asciiTheme="minorHAnsi" w:eastAsiaTheme="minorEastAsia" w:hAnsiTheme="minorHAnsi" w:cstheme="minorBidi"/>
              <w:b w:val="0"/>
              <w:noProof/>
              <w:sz w:val="22"/>
              <w:szCs w:val="22"/>
              <w:lang w:eastAsia="en-AU"/>
            </w:rPr>
          </w:pPr>
          <w:hyperlink w:anchor="_Toc466639088" w:history="1">
            <w:r w:rsidR="00AE2EC2" w:rsidRPr="00D02E7E">
              <w:rPr>
                <w:rStyle w:val="Hyperlink"/>
                <w:noProof/>
              </w:rPr>
              <w:t>Criteria for Priority Review</w:t>
            </w:r>
            <w:r w:rsidR="00AE2EC2">
              <w:rPr>
                <w:noProof/>
                <w:webHidden/>
              </w:rPr>
              <w:tab/>
            </w:r>
            <w:r w:rsidR="00AE2EC2">
              <w:rPr>
                <w:noProof/>
                <w:webHidden/>
              </w:rPr>
              <w:fldChar w:fldCharType="begin"/>
            </w:r>
            <w:r w:rsidR="00AE2EC2">
              <w:rPr>
                <w:noProof/>
                <w:webHidden/>
              </w:rPr>
              <w:instrText xml:space="preserve"> PAGEREF _Toc466639088 \h </w:instrText>
            </w:r>
            <w:r w:rsidR="00AE2EC2">
              <w:rPr>
                <w:noProof/>
                <w:webHidden/>
              </w:rPr>
            </w:r>
            <w:r w:rsidR="00AE2EC2">
              <w:rPr>
                <w:noProof/>
                <w:webHidden/>
              </w:rPr>
              <w:fldChar w:fldCharType="separate"/>
            </w:r>
            <w:r w:rsidR="00AE2EC2">
              <w:rPr>
                <w:noProof/>
                <w:webHidden/>
              </w:rPr>
              <w:t>8</w:t>
            </w:r>
            <w:r w:rsidR="00AE2EC2">
              <w:rPr>
                <w:noProof/>
                <w:webHidden/>
              </w:rPr>
              <w:fldChar w:fldCharType="end"/>
            </w:r>
          </w:hyperlink>
        </w:p>
        <w:p w:rsidR="00AE2EC2" w:rsidRDefault="00114451">
          <w:pPr>
            <w:pStyle w:val="TOC1"/>
            <w:rPr>
              <w:rFonts w:asciiTheme="minorHAnsi" w:eastAsiaTheme="minorEastAsia" w:hAnsiTheme="minorHAnsi" w:cstheme="minorBidi"/>
              <w:b w:val="0"/>
              <w:noProof/>
              <w:sz w:val="22"/>
              <w:szCs w:val="22"/>
              <w:lang w:eastAsia="en-AU"/>
            </w:rPr>
          </w:pPr>
          <w:hyperlink w:anchor="_Toc466639089" w:history="1">
            <w:r w:rsidR="00AE2EC2" w:rsidRPr="00D02E7E">
              <w:rPr>
                <w:rStyle w:val="Hyperlink"/>
                <w:rFonts w:eastAsiaTheme="minorHAnsi"/>
                <w:noProof/>
              </w:rPr>
              <w:t>Proposed implementation of Priority Review</w:t>
            </w:r>
            <w:r w:rsidR="00AE2EC2">
              <w:rPr>
                <w:noProof/>
                <w:webHidden/>
              </w:rPr>
              <w:tab/>
            </w:r>
            <w:r w:rsidR="00AE2EC2">
              <w:rPr>
                <w:noProof/>
                <w:webHidden/>
              </w:rPr>
              <w:fldChar w:fldCharType="begin"/>
            </w:r>
            <w:r w:rsidR="00AE2EC2">
              <w:rPr>
                <w:noProof/>
                <w:webHidden/>
              </w:rPr>
              <w:instrText xml:space="preserve"> PAGEREF _Toc466639089 \h </w:instrText>
            </w:r>
            <w:r w:rsidR="00AE2EC2">
              <w:rPr>
                <w:noProof/>
                <w:webHidden/>
              </w:rPr>
            </w:r>
            <w:r w:rsidR="00AE2EC2">
              <w:rPr>
                <w:noProof/>
                <w:webHidden/>
              </w:rPr>
              <w:fldChar w:fldCharType="separate"/>
            </w:r>
            <w:r w:rsidR="00AE2EC2">
              <w:rPr>
                <w:noProof/>
                <w:webHidden/>
              </w:rPr>
              <w:t>10</w:t>
            </w:r>
            <w:r w:rsidR="00AE2EC2">
              <w:rPr>
                <w:noProof/>
                <w:webHidden/>
              </w:rPr>
              <w:fldChar w:fldCharType="end"/>
            </w:r>
          </w:hyperlink>
        </w:p>
        <w:p w:rsidR="00AE2EC2" w:rsidRDefault="00114451">
          <w:pPr>
            <w:pStyle w:val="TOC2"/>
            <w:rPr>
              <w:rFonts w:asciiTheme="minorHAnsi" w:eastAsiaTheme="minorEastAsia" w:hAnsiTheme="minorHAnsi" w:cstheme="minorBidi"/>
              <w:b w:val="0"/>
              <w:noProof/>
              <w:sz w:val="22"/>
              <w:szCs w:val="22"/>
              <w:lang w:eastAsia="en-AU"/>
            </w:rPr>
          </w:pPr>
          <w:hyperlink w:anchor="_Toc466639090" w:history="1">
            <w:r w:rsidR="00AE2EC2" w:rsidRPr="00D02E7E">
              <w:rPr>
                <w:rStyle w:val="Hyperlink"/>
                <w:noProof/>
              </w:rPr>
              <w:t>Applying for Priority Review</w:t>
            </w:r>
            <w:r w:rsidR="00AE2EC2">
              <w:rPr>
                <w:noProof/>
                <w:webHidden/>
              </w:rPr>
              <w:tab/>
            </w:r>
            <w:r w:rsidR="00AE2EC2">
              <w:rPr>
                <w:noProof/>
                <w:webHidden/>
              </w:rPr>
              <w:fldChar w:fldCharType="begin"/>
            </w:r>
            <w:r w:rsidR="00AE2EC2">
              <w:rPr>
                <w:noProof/>
                <w:webHidden/>
              </w:rPr>
              <w:instrText xml:space="preserve"> PAGEREF _Toc466639090 \h </w:instrText>
            </w:r>
            <w:r w:rsidR="00AE2EC2">
              <w:rPr>
                <w:noProof/>
                <w:webHidden/>
              </w:rPr>
            </w:r>
            <w:r w:rsidR="00AE2EC2">
              <w:rPr>
                <w:noProof/>
                <w:webHidden/>
              </w:rPr>
              <w:fldChar w:fldCharType="separate"/>
            </w:r>
            <w:r w:rsidR="00AE2EC2">
              <w:rPr>
                <w:noProof/>
                <w:webHidden/>
              </w:rPr>
              <w:t>10</w:t>
            </w:r>
            <w:r w:rsidR="00AE2EC2">
              <w:rPr>
                <w:noProof/>
                <w:webHidden/>
              </w:rPr>
              <w:fldChar w:fldCharType="end"/>
            </w:r>
          </w:hyperlink>
        </w:p>
        <w:p w:rsidR="00AE2EC2" w:rsidRDefault="00114451">
          <w:pPr>
            <w:pStyle w:val="TOC3"/>
            <w:rPr>
              <w:rFonts w:asciiTheme="minorHAnsi" w:eastAsiaTheme="minorEastAsia" w:hAnsiTheme="minorHAnsi" w:cstheme="minorBidi"/>
              <w:b w:val="0"/>
              <w:noProof/>
              <w:szCs w:val="22"/>
              <w:lang w:eastAsia="en-AU"/>
            </w:rPr>
          </w:pPr>
          <w:hyperlink w:anchor="_Toc466639091" w:history="1">
            <w:r w:rsidR="00AE2EC2" w:rsidRPr="00D02E7E">
              <w:rPr>
                <w:rStyle w:val="Hyperlink"/>
                <w:noProof/>
              </w:rPr>
              <w:t>Sponsor alert</w:t>
            </w:r>
            <w:r w:rsidR="00AE2EC2">
              <w:rPr>
                <w:noProof/>
                <w:webHidden/>
              </w:rPr>
              <w:tab/>
            </w:r>
            <w:r w:rsidR="00AE2EC2">
              <w:rPr>
                <w:noProof/>
                <w:webHidden/>
              </w:rPr>
              <w:fldChar w:fldCharType="begin"/>
            </w:r>
            <w:r w:rsidR="00AE2EC2">
              <w:rPr>
                <w:noProof/>
                <w:webHidden/>
              </w:rPr>
              <w:instrText xml:space="preserve"> PAGEREF _Toc466639091 \h </w:instrText>
            </w:r>
            <w:r w:rsidR="00AE2EC2">
              <w:rPr>
                <w:noProof/>
                <w:webHidden/>
              </w:rPr>
            </w:r>
            <w:r w:rsidR="00AE2EC2">
              <w:rPr>
                <w:noProof/>
                <w:webHidden/>
              </w:rPr>
              <w:fldChar w:fldCharType="separate"/>
            </w:r>
            <w:r w:rsidR="00AE2EC2">
              <w:rPr>
                <w:noProof/>
                <w:webHidden/>
              </w:rPr>
              <w:t>10</w:t>
            </w:r>
            <w:r w:rsidR="00AE2EC2">
              <w:rPr>
                <w:noProof/>
                <w:webHidden/>
              </w:rPr>
              <w:fldChar w:fldCharType="end"/>
            </w:r>
          </w:hyperlink>
        </w:p>
        <w:p w:rsidR="00AE2EC2" w:rsidRDefault="00114451">
          <w:pPr>
            <w:pStyle w:val="TOC3"/>
            <w:rPr>
              <w:rFonts w:asciiTheme="minorHAnsi" w:eastAsiaTheme="minorEastAsia" w:hAnsiTheme="minorHAnsi" w:cstheme="minorBidi"/>
              <w:b w:val="0"/>
              <w:noProof/>
              <w:szCs w:val="22"/>
              <w:lang w:eastAsia="en-AU"/>
            </w:rPr>
          </w:pPr>
          <w:hyperlink w:anchor="_Toc466639092" w:history="1">
            <w:r w:rsidR="00AE2EC2" w:rsidRPr="00D02E7E">
              <w:rPr>
                <w:rStyle w:val="Hyperlink"/>
                <w:noProof/>
              </w:rPr>
              <w:t>Application for Priority Review designation</w:t>
            </w:r>
            <w:r w:rsidR="00AE2EC2">
              <w:rPr>
                <w:noProof/>
                <w:webHidden/>
              </w:rPr>
              <w:tab/>
            </w:r>
            <w:r w:rsidR="00AE2EC2">
              <w:rPr>
                <w:noProof/>
                <w:webHidden/>
              </w:rPr>
              <w:fldChar w:fldCharType="begin"/>
            </w:r>
            <w:r w:rsidR="00AE2EC2">
              <w:rPr>
                <w:noProof/>
                <w:webHidden/>
              </w:rPr>
              <w:instrText xml:space="preserve"> PAGEREF _Toc466639092 \h </w:instrText>
            </w:r>
            <w:r w:rsidR="00AE2EC2">
              <w:rPr>
                <w:noProof/>
                <w:webHidden/>
              </w:rPr>
            </w:r>
            <w:r w:rsidR="00AE2EC2">
              <w:rPr>
                <w:noProof/>
                <w:webHidden/>
              </w:rPr>
              <w:fldChar w:fldCharType="separate"/>
            </w:r>
            <w:r w:rsidR="00AE2EC2">
              <w:rPr>
                <w:noProof/>
                <w:webHidden/>
              </w:rPr>
              <w:t>10</w:t>
            </w:r>
            <w:r w:rsidR="00AE2EC2">
              <w:rPr>
                <w:noProof/>
                <w:webHidden/>
              </w:rPr>
              <w:fldChar w:fldCharType="end"/>
            </w:r>
          </w:hyperlink>
        </w:p>
        <w:p w:rsidR="00AE2EC2" w:rsidRDefault="00114451">
          <w:pPr>
            <w:pStyle w:val="TOC3"/>
            <w:rPr>
              <w:rFonts w:asciiTheme="minorHAnsi" w:eastAsiaTheme="minorEastAsia" w:hAnsiTheme="minorHAnsi" w:cstheme="minorBidi"/>
              <w:b w:val="0"/>
              <w:noProof/>
              <w:szCs w:val="22"/>
              <w:lang w:eastAsia="en-AU"/>
            </w:rPr>
          </w:pPr>
          <w:hyperlink w:anchor="_Toc466639093" w:history="1">
            <w:r w:rsidR="00AE2EC2" w:rsidRPr="00D02E7E">
              <w:rPr>
                <w:rStyle w:val="Hyperlink"/>
                <w:noProof/>
              </w:rPr>
              <w:t>Managing applications for Priority Review</w:t>
            </w:r>
            <w:r w:rsidR="00AE2EC2">
              <w:rPr>
                <w:noProof/>
                <w:webHidden/>
              </w:rPr>
              <w:tab/>
            </w:r>
            <w:r w:rsidR="00AE2EC2">
              <w:rPr>
                <w:noProof/>
                <w:webHidden/>
              </w:rPr>
              <w:fldChar w:fldCharType="begin"/>
            </w:r>
            <w:r w:rsidR="00AE2EC2">
              <w:rPr>
                <w:noProof/>
                <w:webHidden/>
              </w:rPr>
              <w:instrText xml:space="preserve"> PAGEREF _Toc466639093 \h </w:instrText>
            </w:r>
            <w:r w:rsidR="00AE2EC2">
              <w:rPr>
                <w:noProof/>
                <w:webHidden/>
              </w:rPr>
            </w:r>
            <w:r w:rsidR="00AE2EC2">
              <w:rPr>
                <w:noProof/>
                <w:webHidden/>
              </w:rPr>
              <w:fldChar w:fldCharType="separate"/>
            </w:r>
            <w:r w:rsidR="00AE2EC2">
              <w:rPr>
                <w:noProof/>
                <w:webHidden/>
              </w:rPr>
              <w:t>11</w:t>
            </w:r>
            <w:r w:rsidR="00AE2EC2">
              <w:rPr>
                <w:noProof/>
                <w:webHidden/>
              </w:rPr>
              <w:fldChar w:fldCharType="end"/>
            </w:r>
          </w:hyperlink>
        </w:p>
        <w:p w:rsidR="00AE2EC2" w:rsidRDefault="00114451">
          <w:pPr>
            <w:pStyle w:val="TOC3"/>
            <w:rPr>
              <w:rFonts w:asciiTheme="minorHAnsi" w:eastAsiaTheme="minorEastAsia" w:hAnsiTheme="minorHAnsi" w:cstheme="minorBidi"/>
              <w:b w:val="0"/>
              <w:noProof/>
              <w:szCs w:val="22"/>
              <w:lang w:eastAsia="en-AU"/>
            </w:rPr>
          </w:pPr>
          <w:hyperlink w:anchor="_Toc466639094" w:history="1">
            <w:r w:rsidR="00AE2EC2" w:rsidRPr="00D02E7E">
              <w:rPr>
                <w:rStyle w:val="Hyperlink"/>
                <w:noProof/>
              </w:rPr>
              <w:t>Decision making and oversight</w:t>
            </w:r>
            <w:r w:rsidR="00AE2EC2">
              <w:rPr>
                <w:noProof/>
                <w:webHidden/>
              </w:rPr>
              <w:tab/>
            </w:r>
            <w:r w:rsidR="00AE2EC2">
              <w:rPr>
                <w:noProof/>
                <w:webHidden/>
              </w:rPr>
              <w:fldChar w:fldCharType="begin"/>
            </w:r>
            <w:r w:rsidR="00AE2EC2">
              <w:rPr>
                <w:noProof/>
                <w:webHidden/>
              </w:rPr>
              <w:instrText xml:space="preserve"> PAGEREF _Toc466639094 \h </w:instrText>
            </w:r>
            <w:r w:rsidR="00AE2EC2">
              <w:rPr>
                <w:noProof/>
                <w:webHidden/>
              </w:rPr>
            </w:r>
            <w:r w:rsidR="00AE2EC2">
              <w:rPr>
                <w:noProof/>
                <w:webHidden/>
              </w:rPr>
              <w:fldChar w:fldCharType="separate"/>
            </w:r>
            <w:r w:rsidR="00AE2EC2">
              <w:rPr>
                <w:noProof/>
                <w:webHidden/>
              </w:rPr>
              <w:t>11</w:t>
            </w:r>
            <w:r w:rsidR="00AE2EC2">
              <w:rPr>
                <w:noProof/>
                <w:webHidden/>
              </w:rPr>
              <w:fldChar w:fldCharType="end"/>
            </w:r>
          </w:hyperlink>
        </w:p>
        <w:p w:rsidR="00AE2EC2" w:rsidRDefault="00114451">
          <w:pPr>
            <w:pStyle w:val="TOC3"/>
            <w:rPr>
              <w:rFonts w:asciiTheme="minorHAnsi" w:eastAsiaTheme="minorEastAsia" w:hAnsiTheme="minorHAnsi" w:cstheme="minorBidi"/>
              <w:b w:val="0"/>
              <w:noProof/>
              <w:szCs w:val="22"/>
              <w:lang w:eastAsia="en-AU"/>
            </w:rPr>
          </w:pPr>
          <w:hyperlink w:anchor="_Toc466639095" w:history="1">
            <w:r w:rsidR="00AE2EC2" w:rsidRPr="00D02E7E">
              <w:rPr>
                <w:rStyle w:val="Hyperlink"/>
                <w:noProof/>
              </w:rPr>
              <w:t>Priority Review pathway for designated applications</w:t>
            </w:r>
            <w:r w:rsidR="00AE2EC2">
              <w:rPr>
                <w:noProof/>
                <w:webHidden/>
              </w:rPr>
              <w:tab/>
            </w:r>
            <w:r w:rsidR="00AE2EC2">
              <w:rPr>
                <w:noProof/>
                <w:webHidden/>
              </w:rPr>
              <w:fldChar w:fldCharType="begin"/>
            </w:r>
            <w:r w:rsidR="00AE2EC2">
              <w:rPr>
                <w:noProof/>
                <w:webHidden/>
              </w:rPr>
              <w:instrText xml:space="preserve"> PAGEREF _Toc466639095 \h </w:instrText>
            </w:r>
            <w:r w:rsidR="00AE2EC2">
              <w:rPr>
                <w:noProof/>
                <w:webHidden/>
              </w:rPr>
            </w:r>
            <w:r w:rsidR="00AE2EC2">
              <w:rPr>
                <w:noProof/>
                <w:webHidden/>
              </w:rPr>
              <w:fldChar w:fldCharType="separate"/>
            </w:r>
            <w:r w:rsidR="00AE2EC2">
              <w:rPr>
                <w:noProof/>
                <w:webHidden/>
              </w:rPr>
              <w:t>12</w:t>
            </w:r>
            <w:r w:rsidR="00AE2EC2">
              <w:rPr>
                <w:noProof/>
                <w:webHidden/>
              </w:rPr>
              <w:fldChar w:fldCharType="end"/>
            </w:r>
          </w:hyperlink>
        </w:p>
        <w:p w:rsidR="00AE2EC2" w:rsidRDefault="00114451">
          <w:pPr>
            <w:pStyle w:val="TOC1"/>
            <w:rPr>
              <w:rFonts w:asciiTheme="minorHAnsi" w:eastAsiaTheme="minorEastAsia" w:hAnsiTheme="minorHAnsi" w:cstheme="minorBidi"/>
              <w:b w:val="0"/>
              <w:noProof/>
              <w:sz w:val="22"/>
              <w:szCs w:val="22"/>
              <w:lang w:eastAsia="en-AU"/>
            </w:rPr>
          </w:pPr>
          <w:hyperlink w:anchor="_Toc466639096" w:history="1">
            <w:r w:rsidR="00AE2EC2" w:rsidRPr="00D02E7E">
              <w:rPr>
                <w:rStyle w:val="Hyperlink"/>
                <w:noProof/>
              </w:rPr>
              <w:t>TGA operational impacts</w:t>
            </w:r>
            <w:r w:rsidR="00AE2EC2">
              <w:rPr>
                <w:noProof/>
                <w:webHidden/>
              </w:rPr>
              <w:tab/>
            </w:r>
            <w:r w:rsidR="00AE2EC2">
              <w:rPr>
                <w:noProof/>
                <w:webHidden/>
              </w:rPr>
              <w:fldChar w:fldCharType="begin"/>
            </w:r>
            <w:r w:rsidR="00AE2EC2">
              <w:rPr>
                <w:noProof/>
                <w:webHidden/>
              </w:rPr>
              <w:instrText xml:space="preserve"> PAGEREF _Toc466639096 \h </w:instrText>
            </w:r>
            <w:r w:rsidR="00AE2EC2">
              <w:rPr>
                <w:noProof/>
                <w:webHidden/>
              </w:rPr>
            </w:r>
            <w:r w:rsidR="00AE2EC2">
              <w:rPr>
                <w:noProof/>
                <w:webHidden/>
              </w:rPr>
              <w:fldChar w:fldCharType="separate"/>
            </w:r>
            <w:r w:rsidR="00AE2EC2">
              <w:rPr>
                <w:noProof/>
                <w:webHidden/>
              </w:rPr>
              <w:t>14</w:t>
            </w:r>
            <w:r w:rsidR="00AE2EC2">
              <w:rPr>
                <w:noProof/>
                <w:webHidden/>
              </w:rPr>
              <w:fldChar w:fldCharType="end"/>
            </w:r>
          </w:hyperlink>
        </w:p>
        <w:p w:rsidR="00AE2EC2" w:rsidRDefault="00114451">
          <w:pPr>
            <w:pStyle w:val="TOC2"/>
            <w:rPr>
              <w:rFonts w:asciiTheme="minorHAnsi" w:eastAsiaTheme="minorEastAsia" w:hAnsiTheme="minorHAnsi" w:cstheme="minorBidi"/>
              <w:b w:val="0"/>
              <w:noProof/>
              <w:sz w:val="22"/>
              <w:szCs w:val="22"/>
              <w:lang w:eastAsia="en-AU"/>
            </w:rPr>
          </w:pPr>
          <w:hyperlink w:anchor="_Toc466639097" w:history="1">
            <w:r w:rsidR="00AE2EC2" w:rsidRPr="00D02E7E">
              <w:rPr>
                <w:rStyle w:val="Hyperlink"/>
                <w:noProof/>
              </w:rPr>
              <w:t>Implementing a Priority Review business process</w:t>
            </w:r>
            <w:r w:rsidR="00AE2EC2">
              <w:rPr>
                <w:noProof/>
                <w:webHidden/>
              </w:rPr>
              <w:tab/>
            </w:r>
            <w:r w:rsidR="00AE2EC2">
              <w:rPr>
                <w:noProof/>
                <w:webHidden/>
              </w:rPr>
              <w:fldChar w:fldCharType="begin"/>
            </w:r>
            <w:r w:rsidR="00AE2EC2">
              <w:rPr>
                <w:noProof/>
                <w:webHidden/>
              </w:rPr>
              <w:instrText xml:space="preserve"> PAGEREF _Toc466639097 \h </w:instrText>
            </w:r>
            <w:r w:rsidR="00AE2EC2">
              <w:rPr>
                <w:noProof/>
                <w:webHidden/>
              </w:rPr>
            </w:r>
            <w:r w:rsidR="00AE2EC2">
              <w:rPr>
                <w:noProof/>
                <w:webHidden/>
              </w:rPr>
              <w:fldChar w:fldCharType="separate"/>
            </w:r>
            <w:r w:rsidR="00AE2EC2">
              <w:rPr>
                <w:noProof/>
                <w:webHidden/>
              </w:rPr>
              <w:t>14</w:t>
            </w:r>
            <w:r w:rsidR="00AE2EC2">
              <w:rPr>
                <w:noProof/>
                <w:webHidden/>
              </w:rPr>
              <w:fldChar w:fldCharType="end"/>
            </w:r>
          </w:hyperlink>
        </w:p>
        <w:p w:rsidR="00AE2EC2" w:rsidRDefault="00114451">
          <w:pPr>
            <w:pStyle w:val="TOC2"/>
            <w:rPr>
              <w:rFonts w:asciiTheme="minorHAnsi" w:eastAsiaTheme="minorEastAsia" w:hAnsiTheme="minorHAnsi" w:cstheme="minorBidi"/>
              <w:b w:val="0"/>
              <w:noProof/>
              <w:sz w:val="22"/>
              <w:szCs w:val="22"/>
              <w:lang w:eastAsia="en-AU"/>
            </w:rPr>
          </w:pPr>
          <w:hyperlink w:anchor="_Toc466639098" w:history="1">
            <w:r w:rsidR="00AE2EC2" w:rsidRPr="00D02E7E">
              <w:rPr>
                <w:rStyle w:val="Hyperlink"/>
                <w:noProof/>
              </w:rPr>
              <w:t>Develop supporting documentation</w:t>
            </w:r>
            <w:r w:rsidR="00AE2EC2">
              <w:rPr>
                <w:noProof/>
                <w:webHidden/>
              </w:rPr>
              <w:tab/>
            </w:r>
            <w:r w:rsidR="00AE2EC2">
              <w:rPr>
                <w:noProof/>
                <w:webHidden/>
              </w:rPr>
              <w:fldChar w:fldCharType="begin"/>
            </w:r>
            <w:r w:rsidR="00AE2EC2">
              <w:rPr>
                <w:noProof/>
                <w:webHidden/>
              </w:rPr>
              <w:instrText xml:space="preserve"> PAGEREF _Toc466639098 \h </w:instrText>
            </w:r>
            <w:r w:rsidR="00AE2EC2">
              <w:rPr>
                <w:noProof/>
                <w:webHidden/>
              </w:rPr>
            </w:r>
            <w:r w:rsidR="00AE2EC2">
              <w:rPr>
                <w:noProof/>
                <w:webHidden/>
              </w:rPr>
              <w:fldChar w:fldCharType="separate"/>
            </w:r>
            <w:r w:rsidR="00AE2EC2">
              <w:rPr>
                <w:noProof/>
                <w:webHidden/>
              </w:rPr>
              <w:t>14</w:t>
            </w:r>
            <w:r w:rsidR="00AE2EC2">
              <w:rPr>
                <w:noProof/>
                <w:webHidden/>
              </w:rPr>
              <w:fldChar w:fldCharType="end"/>
            </w:r>
          </w:hyperlink>
        </w:p>
        <w:p w:rsidR="00AE2EC2" w:rsidRDefault="00114451">
          <w:pPr>
            <w:pStyle w:val="TOC2"/>
            <w:rPr>
              <w:rFonts w:asciiTheme="minorHAnsi" w:eastAsiaTheme="minorEastAsia" w:hAnsiTheme="minorHAnsi" w:cstheme="minorBidi"/>
              <w:b w:val="0"/>
              <w:noProof/>
              <w:sz w:val="22"/>
              <w:szCs w:val="22"/>
              <w:lang w:eastAsia="en-AU"/>
            </w:rPr>
          </w:pPr>
          <w:hyperlink w:anchor="_Toc466639099" w:history="1">
            <w:r w:rsidR="00AE2EC2" w:rsidRPr="00D02E7E">
              <w:rPr>
                <w:rStyle w:val="Hyperlink"/>
                <w:noProof/>
              </w:rPr>
              <w:t>Cost recovery</w:t>
            </w:r>
            <w:r w:rsidR="00AE2EC2">
              <w:rPr>
                <w:noProof/>
                <w:webHidden/>
              </w:rPr>
              <w:tab/>
            </w:r>
            <w:r w:rsidR="00AE2EC2">
              <w:rPr>
                <w:noProof/>
                <w:webHidden/>
              </w:rPr>
              <w:fldChar w:fldCharType="begin"/>
            </w:r>
            <w:r w:rsidR="00AE2EC2">
              <w:rPr>
                <w:noProof/>
                <w:webHidden/>
              </w:rPr>
              <w:instrText xml:space="preserve"> PAGEREF _Toc466639099 \h </w:instrText>
            </w:r>
            <w:r w:rsidR="00AE2EC2">
              <w:rPr>
                <w:noProof/>
                <w:webHidden/>
              </w:rPr>
            </w:r>
            <w:r w:rsidR="00AE2EC2">
              <w:rPr>
                <w:noProof/>
                <w:webHidden/>
              </w:rPr>
              <w:fldChar w:fldCharType="separate"/>
            </w:r>
            <w:r w:rsidR="00AE2EC2">
              <w:rPr>
                <w:noProof/>
                <w:webHidden/>
              </w:rPr>
              <w:t>14</w:t>
            </w:r>
            <w:r w:rsidR="00AE2EC2">
              <w:rPr>
                <w:noProof/>
                <w:webHidden/>
              </w:rPr>
              <w:fldChar w:fldCharType="end"/>
            </w:r>
          </w:hyperlink>
        </w:p>
        <w:p w:rsidR="00AE2EC2" w:rsidRDefault="00114451">
          <w:pPr>
            <w:pStyle w:val="TOC2"/>
            <w:rPr>
              <w:rFonts w:asciiTheme="minorHAnsi" w:eastAsiaTheme="minorEastAsia" w:hAnsiTheme="minorHAnsi" w:cstheme="minorBidi"/>
              <w:b w:val="0"/>
              <w:noProof/>
              <w:sz w:val="22"/>
              <w:szCs w:val="22"/>
              <w:lang w:eastAsia="en-AU"/>
            </w:rPr>
          </w:pPr>
          <w:hyperlink w:anchor="_Toc466639100" w:history="1">
            <w:r w:rsidR="00AE2EC2" w:rsidRPr="00D02E7E">
              <w:rPr>
                <w:rStyle w:val="Hyperlink"/>
                <w:noProof/>
              </w:rPr>
              <w:t>Legislative and regulatory amendment</w:t>
            </w:r>
            <w:r w:rsidR="00AE2EC2">
              <w:rPr>
                <w:noProof/>
                <w:webHidden/>
              </w:rPr>
              <w:tab/>
            </w:r>
            <w:r w:rsidR="00AE2EC2">
              <w:rPr>
                <w:noProof/>
                <w:webHidden/>
              </w:rPr>
              <w:fldChar w:fldCharType="begin"/>
            </w:r>
            <w:r w:rsidR="00AE2EC2">
              <w:rPr>
                <w:noProof/>
                <w:webHidden/>
              </w:rPr>
              <w:instrText xml:space="preserve"> PAGEREF _Toc466639100 \h </w:instrText>
            </w:r>
            <w:r w:rsidR="00AE2EC2">
              <w:rPr>
                <w:noProof/>
                <w:webHidden/>
              </w:rPr>
            </w:r>
            <w:r w:rsidR="00AE2EC2">
              <w:rPr>
                <w:noProof/>
                <w:webHidden/>
              </w:rPr>
              <w:fldChar w:fldCharType="separate"/>
            </w:r>
            <w:r w:rsidR="00AE2EC2">
              <w:rPr>
                <w:noProof/>
                <w:webHidden/>
              </w:rPr>
              <w:t>15</w:t>
            </w:r>
            <w:r w:rsidR="00AE2EC2">
              <w:rPr>
                <w:noProof/>
                <w:webHidden/>
              </w:rPr>
              <w:fldChar w:fldCharType="end"/>
            </w:r>
          </w:hyperlink>
        </w:p>
        <w:p w:rsidR="00AE2EC2" w:rsidRDefault="00114451">
          <w:pPr>
            <w:pStyle w:val="TOC2"/>
            <w:rPr>
              <w:rFonts w:asciiTheme="minorHAnsi" w:eastAsiaTheme="minorEastAsia" w:hAnsiTheme="minorHAnsi" w:cstheme="minorBidi"/>
              <w:b w:val="0"/>
              <w:noProof/>
              <w:sz w:val="22"/>
              <w:szCs w:val="22"/>
              <w:lang w:eastAsia="en-AU"/>
            </w:rPr>
          </w:pPr>
          <w:hyperlink w:anchor="_Toc466639101" w:history="1">
            <w:r w:rsidR="00AE2EC2" w:rsidRPr="00D02E7E">
              <w:rPr>
                <w:rStyle w:val="Hyperlink"/>
                <w:noProof/>
              </w:rPr>
              <w:t>Evaluation and Review</w:t>
            </w:r>
            <w:r w:rsidR="00AE2EC2">
              <w:rPr>
                <w:noProof/>
                <w:webHidden/>
              </w:rPr>
              <w:tab/>
            </w:r>
            <w:r w:rsidR="00AE2EC2">
              <w:rPr>
                <w:noProof/>
                <w:webHidden/>
              </w:rPr>
              <w:fldChar w:fldCharType="begin"/>
            </w:r>
            <w:r w:rsidR="00AE2EC2">
              <w:rPr>
                <w:noProof/>
                <w:webHidden/>
              </w:rPr>
              <w:instrText xml:space="preserve"> PAGEREF _Toc466639101 \h </w:instrText>
            </w:r>
            <w:r w:rsidR="00AE2EC2">
              <w:rPr>
                <w:noProof/>
                <w:webHidden/>
              </w:rPr>
            </w:r>
            <w:r w:rsidR="00AE2EC2">
              <w:rPr>
                <w:noProof/>
                <w:webHidden/>
              </w:rPr>
              <w:fldChar w:fldCharType="separate"/>
            </w:r>
            <w:r w:rsidR="00AE2EC2">
              <w:rPr>
                <w:noProof/>
                <w:webHidden/>
              </w:rPr>
              <w:t>15</w:t>
            </w:r>
            <w:r w:rsidR="00AE2EC2">
              <w:rPr>
                <w:noProof/>
                <w:webHidden/>
              </w:rPr>
              <w:fldChar w:fldCharType="end"/>
            </w:r>
          </w:hyperlink>
        </w:p>
        <w:p w:rsidR="00AE2EC2" w:rsidRDefault="00114451">
          <w:pPr>
            <w:pStyle w:val="TOC1"/>
            <w:rPr>
              <w:rFonts w:asciiTheme="minorHAnsi" w:eastAsiaTheme="minorEastAsia" w:hAnsiTheme="minorHAnsi" w:cstheme="minorBidi"/>
              <w:b w:val="0"/>
              <w:noProof/>
              <w:sz w:val="22"/>
              <w:szCs w:val="22"/>
              <w:lang w:eastAsia="en-AU"/>
            </w:rPr>
          </w:pPr>
          <w:hyperlink w:anchor="_Toc466639102" w:history="1">
            <w:r w:rsidR="00AE2EC2" w:rsidRPr="00D02E7E">
              <w:rPr>
                <w:rStyle w:val="Hyperlink"/>
                <w:noProof/>
              </w:rPr>
              <w:t>Attachments</w:t>
            </w:r>
            <w:r w:rsidR="00AE2EC2">
              <w:rPr>
                <w:noProof/>
                <w:webHidden/>
              </w:rPr>
              <w:tab/>
            </w:r>
            <w:r w:rsidR="00AE2EC2">
              <w:rPr>
                <w:noProof/>
                <w:webHidden/>
              </w:rPr>
              <w:fldChar w:fldCharType="begin"/>
            </w:r>
            <w:r w:rsidR="00AE2EC2">
              <w:rPr>
                <w:noProof/>
                <w:webHidden/>
              </w:rPr>
              <w:instrText xml:space="preserve"> PAGEREF _Toc466639102 \h </w:instrText>
            </w:r>
            <w:r w:rsidR="00AE2EC2">
              <w:rPr>
                <w:noProof/>
                <w:webHidden/>
              </w:rPr>
            </w:r>
            <w:r w:rsidR="00AE2EC2">
              <w:rPr>
                <w:noProof/>
                <w:webHidden/>
              </w:rPr>
              <w:fldChar w:fldCharType="separate"/>
            </w:r>
            <w:r w:rsidR="00AE2EC2">
              <w:rPr>
                <w:noProof/>
                <w:webHidden/>
              </w:rPr>
              <w:t>17</w:t>
            </w:r>
            <w:r w:rsidR="00AE2EC2">
              <w:rPr>
                <w:noProof/>
                <w:webHidden/>
              </w:rPr>
              <w:fldChar w:fldCharType="end"/>
            </w:r>
          </w:hyperlink>
        </w:p>
        <w:p w:rsidR="00AE2EC2" w:rsidRDefault="00114451">
          <w:pPr>
            <w:pStyle w:val="TOC2"/>
            <w:rPr>
              <w:rFonts w:asciiTheme="minorHAnsi" w:eastAsiaTheme="minorEastAsia" w:hAnsiTheme="minorHAnsi" w:cstheme="minorBidi"/>
              <w:b w:val="0"/>
              <w:noProof/>
              <w:sz w:val="22"/>
              <w:szCs w:val="22"/>
              <w:lang w:eastAsia="en-AU"/>
            </w:rPr>
          </w:pPr>
          <w:hyperlink w:anchor="_Toc466639103" w:history="1">
            <w:r w:rsidR="00AE2EC2" w:rsidRPr="00D02E7E">
              <w:rPr>
                <w:rStyle w:val="Hyperlink"/>
                <w:noProof/>
              </w:rPr>
              <w:t>Attachment A – US FDA criteria for Priority Review (for information)</w:t>
            </w:r>
            <w:r w:rsidR="00AE2EC2">
              <w:rPr>
                <w:noProof/>
                <w:webHidden/>
              </w:rPr>
              <w:tab/>
            </w:r>
            <w:r w:rsidR="00AE2EC2">
              <w:rPr>
                <w:noProof/>
                <w:webHidden/>
              </w:rPr>
              <w:fldChar w:fldCharType="begin"/>
            </w:r>
            <w:r w:rsidR="00AE2EC2">
              <w:rPr>
                <w:noProof/>
                <w:webHidden/>
              </w:rPr>
              <w:instrText xml:space="preserve"> PAGEREF _Toc466639103 \h </w:instrText>
            </w:r>
            <w:r w:rsidR="00AE2EC2">
              <w:rPr>
                <w:noProof/>
                <w:webHidden/>
              </w:rPr>
            </w:r>
            <w:r w:rsidR="00AE2EC2">
              <w:rPr>
                <w:noProof/>
                <w:webHidden/>
              </w:rPr>
              <w:fldChar w:fldCharType="separate"/>
            </w:r>
            <w:r w:rsidR="00AE2EC2">
              <w:rPr>
                <w:noProof/>
                <w:webHidden/>
              </w:rPr>
              <w:t>17</w:t>
            </w:r>
            <w:r w:rsidR="00AE2EC2">
              <w:rPr>
                <w:noProof/>
                <w:webHidden/>
              </w:rPr>
              <w:fldChar w:fldCharType="end"/>
            </w:r>
          </w:hyperlink>
        </w:p>
        <w:p w:rsidR="00AE2EC2" w:rsidRDefault="00114451">
          <w:pPr>
            <w:pStyle w:val="TOC3"/>
            <w:rPr>
              <w:rFonts w:asciiTheme="minorHAnsi" w:eastAsiaTheme="minorEastAsia" w:hAnsiTheme="minorHAnsi" w:cstheme="minorBidi"/>
              <w:b w:val="0"/>
              <w:noProof/>
              <w:szCs w:val="22"/>
              <w:lang w:eastAsia="en-AU"/>
            </w:rPr>
          </w:pPr>
          <w:hyperlink w:anchor="_Toc466639104" w:history="1">
            <w:r w:rsidR="00AE2EC2" w:rsidRPr="00D02E7E">
              <w:rPr>
                <w:rStyle w:val="Hyperlink"/>
                <w:noProof/>
              </w:rPr>
              <w:t>III. Devices Appropriate for Priority Review</w:t>
            </w:r>
            <w:r w:rsidR="00AE2EC2">
              <w:rPr>
                <w:noProof/>
                <w:webHidden/>
              </w:rPr>
              <w:tab/>
            </w:r>
            <w:r w:rsidR="00AE2EC2">
              <w:rPr>
                <w:noProof/>
                <w:webHidden/>
              </w:rPr>
              <w:fldChar w:fldCharType="begin"/>
            </w:r>
            <w:r w:rsidR="00AE2EC2">
              <w:rPr>
                <w:noProof/>
                <w:webHidden/>
              </w:rPr>
              <w:instrText xml:space="preserve"> PAGEREF _Toc466639104 \h </w:instrText>
            </w:r>
            <w:r w:rsidR="00AE2EC2">
              <w:rPr>
                <w:noProof/>
                <w:webHidden/>
              </w:rPr>
            </w:r>
            <w:r w:rsidR="00AE2EC2">
              <w:rPr>
                <w:noProof/>
                <w:webHidden/>
              </w:rPr>
              <w:fldChar w:fldCharType="separate"/>
            </w:r>
            <w:r w:rsidR="00AE2EC2">
              <w:rPr>
                <w:noProof/>
                <w:webHidden/>
              </w:rPr>
              <w:t>17</w:t>
            </w:r>
            <w:r w:rsidR="00AE2EC2">
              <w:rPr>
                <w:noProof/>
                <w:webHidden/>
              </w:rPr>
              <w:fldChar w:fldCharType="end"/>
            </w:r>
          </w:hyperlink>
        </w:p>
        <w:p w:rsidR="00AE2EC2" w:rsidRDefault="00114451">
          <w:pPr>
            <w:pStyle w:val="TOC2"/>
            <w:rPr>
              <w:rFonts w:asciiTheme="minorHAnsi" w:eastAsiaTheme="minorEastAsia" w:hAnsiTheme="minorHAnsi" w:cstheme="minorBidi"/>
              <w:b w:val="0"/>
              <w:noProof/>
              <w:sz w:val="22"/>
              <w:szCs w:val="22"/>
              <w:lang w:eastAsia="en-AU"/>
            </w:rPr>
          </w:pPr>
          <w:hyperlink w:anchor="_Toc466639105" w:history="1">
            <w:r w:rsidR="00AE2EC2" w:rsidRPr="00D02E7E">
              <w:rPr>
                <w:rStyle w:val="Hyperlink"/>
                <w:noProof/>
              </w:rPr>
              <w:t>Attachment B – Priority Review business process diagram</w:t>
            </w:r>
            <w:r w:rsidR="00AE2EC2">
              <w:rPr>
                <w:noProof/>
                <w:webHidden/>
              </w:rPr>
              <w:tab/>
            </w:r>
            <w:r w:rsidR="00AE2EC2">
              <w:rPr>
                <w:noProof/>
                <w:webHidden/>
              </w:rPr>
              <w:fldChar w:fldCharType="begin"/>
            </w:r>
            <w:r w:rsidR="00AE2EC2">
              <w:rPr>
                <w:noProof/>
                <w:webHidden/>
              </w:rPr>
              <w:instrText xml:space="preserve"> PAGEREF _Toc466639105 \h </w:instrText>
            </w:r>
            <w:r w:rsidR="00AE2EC2">
              <w:rPr>
                <w:noProof/>
                <w:webHidden/>
              </w:rPr>
            </w:r>
            <w:r w:rsidR="00AE2EC2">
              <w:rPr>
                <w:noProof/>
                <w:webHidden/>
              </w:rPr>
              <w:fldChar w:fldCharType="separate"/>
            </w:r>
            <w:r w:rsidR="00AE2EC2">
              <w:rPr>
                <w:noProof/>
                <w:webHidden/>
              </w:rPr>
              <w:t>18</w:t>
            </w:r>
            <w:r w:rsidR="00AE2EC2">
              <w:rPr>
                <w:noProof/>
                <w:webHidden/>
              </w:rPr>
              <w:fldChar w:fldCharType="end"/>
            </w:r>
          </w:hyperlink>
        </w:p>
        <w:p w:rsidR="00AE2EC2" w:rsidRDefault="00114451">
          <w:pPr>
            <w:pStyle w:val="TOC1"/>
            <w:rPr>
              <w:rFonts w:asciiTheme="minorHAnsi" w:eastAsiaTheme="minorEastAsia" w:hAnsiTheme="minorHAnsi" w:cstheme="minorBidi"/>
              <w:b w:val="0"/>
              <w:noProof/>
              <w:sz w:val="22"/>
              <w:szCs w:val="22"/>
              <w:lang w:eastAsia="en-AU"/>
            </w:rPr>
          </w:pPr>
          <w:hyperlink w:anchor="_Toc466639106" w:history="1">
            <w:r w:rsidR="00AE2EC2" w:rsidRPr="00D02E7E">
              <w:rPr>
                <w:rStyle w:val="Hyperlink"/>
                <w:noProof/>
              </w:rPr>
              <w:t>Version history</w:t>
            </w:r>
            <w:r w:rsidR="00AE2EC2">
              <w:rPr>
                <w:noProof/>
                <w:webHidden/>
              </w:rPr>
              <w:tab/>
            </w:r>
            <w:r w:rsidR="00AE2EC2">
              <w:rPr>
                <w:noProof/>
                <w:webHidden/>
              </w:rPr>
              <w:fldChar w:fldCharType="begin"/>
            </w:r>
            <w:r w:rsidR="00AE2EC2">
              <w:rPr>
                <w:noProof/>
                <w:webHidden/>
              </w:rPr>
              <w:instrText xml:space="preserve"> PAGEREF _Toc466639106 \h </w:instrText>
            </w:r>
            <w:r w:rsidR="00AE2EC2">
              <w:rPr>
                <w:noProof/>
                <w:webHidden/>
              </w:rPr>
            </w:r>
            <w:r w:rsidR="00AE2EC2">
              <w:rPr>
                <w:noProof/>
                <w:webHidden/>
              </w:rPr>
              <w:fldChar w:fldCharType="separate"/>
            </w:r>
            <w:r w:rsidR="00AE2EC2">
              <w:rPr>
                <w:noProof/>
                <w:webHidden/>
              </w:rPr>
              <w:t>19</w:t>
            </w:r>
            <w:r w:rsidR="00AE2EC2">
              <w:rPr>
                <w:noProof/>
                <w:webHidden/>
              </w:rPr>
              <w:fldChar w:fldCharType="end"/>
            </w:r>
          </w:hyperlink>
        </w:p>
        <w:p w:rsidR="00B92C72" w:rsidRPr="009401F6" w:rsidRDefault="006C626D" w:rsidP="0023397F">
          <w:r w:rsidRPr="009401F6">
            <w:fldChar w:fldCharType="end"/>
          </w:r>
        </w:p>
      </w:sdtContent>
    </w:sdt>
    <w:p w:rsidR="00B7189D" w:rsidRDefault="00B7189D">
      <w:pPr>
        <w:spacing w:before="0" w:after="0" w:line="240" w:lineRule="auto"/>
        <w:rPr>
          <w:rFonts w:eastAsiaTheme="minorHAnsi"/>
          <w:b/>
          <w:bCs/>
          <w:color w:val="001523"/>
          <w:sz w:val="26"/>
          <w:szCs w:val="26"/>
        </w:rPr>
      </w:pPr>
      <w:r>
        <w:rPr>
          <w:rFonts w:eastAsiaTheme="minorHAnsi"/>
        </w:rPr>
        <w:br w:type="page"/>
      </w:r>
    </w:p>
    <w:p w:rsidR="00F5126F" w:rsidRDefault="00F5126F" w:rsidP="006E7E1A">
      <w:pPr>
        <w:pStyle w:val="Heading5"/>
        <w:rPr>
          <w:rFonts w:eastAsiaTheme="minorHAnsi"/>
        </w:rPr>
      </w:pPr>
      <w:r>
        <w:rPr>
          <w:rFonts w:eastAsiaTheme="minorHAnsi"/>
        </w:rPr>
        <w:lastRenderedPageBreak/>
        <w:t>Glossary of abbreviations</w:t>
      </w:r>
    </w:p>
    <w:p w:rsidR="00F5126F" w:rsidRDefault="00F5126F" w:rsidP="00F5126F">
      <w:r>
        <w:t>ARTG</w:t>
      </w:r>
      <w:r>
        <w:tab/>
      </w:r>
      <w:r>
        <w:tab/>
        <w:t>Australian Register of Therapeutic Goods</w:t>
      </w:r>
    </w:p>
    <w:p w:rsidR="00F5126F" w:rsidRDefault="00F5126F" w:rsidP="00F5126F">
      <w:r>
        <w:t>FDA</w:t>
      </w:r>
      <w:r>
        <w:tab/>
      </w:r>
      <w:r>
        <w:tab/>
        <w:t>Food and Drug Administration (US)</w:t>
      </w:r>
    </w:p>
    <w:p w:rsidR="00F5126F" w:rsidRDefault="00F5126F" w:rsidP="00F5126F">
      <w:r>
        <w:t>MMDR</w:t>
      </w:r>
      <w:r>
        <w:tab/>
      </w:r>
      <w:r>
        <w:tab/>
        <w:t>Medicines and Medical Devices Review</w:t>
      </w:r>
    </w:p>
    <w:p w:rsidR="002C69F3" w:rsidRDefault="002C69F3" w:rsidP="002C69F3">
      <w:r>
        <w:t>MSAC</w:t>
      </w:r>
      <w:r>
        <w:tab/>
      </w:r>
      <w:r>
        <w:tab/>
        <w:t>Medical Services Advisory Committee</w:t>
      </w:r>
    </w:p>
    <w:p w:rsidR="00F5126F" w:rsidRDefault="00F5126F" w:rsidP="00F5126F">
      <w:r>
        <w:t>NRA</w:t>
      </w:r>
      <w:r>
        <w:tab/>
      </w:r>
      <w:r>
        <w:tab/>
        <w:t>National Regulatory Authority – currently the TGA in Australia</w:t>
      </w:r>
    </w:p>
    <w:p w:rsidR="002C69F3" w:rsidRDefault="002C69F3" w:rsidP="002C69F3">
      <w:r>
        <w:t>PLAC</w:t>
      </w:r>
      <w:r>
        <w:tab/>
      </w:r>
      <w:r>
        <w:tab/>
        <w:t>Prostheses List Advisory Committee</w:t>
      </w:r>
    </w:p>
    <w:p w:rsidR="00F5126F" w:rsidRPr="00CF4FA4" w:rsidRDefault="00F5126F" w:rsidP="00F5126F">
      <w:r>
        <w:t>TGA</w:t>
      </w:r>
      <w:r>
        <w:tab/>
      </w:r>
      <w:r>
        <w:tab/>
        <w:t>Therapeutic Goods Administration</w:t>
      </w:r>
    </w:p>
    <w:p w:rsidR="00F8365F" w:rsidRPr="009401F6" w:rsidRDefault="00F8365F" w:rsidP="008A07FF">
      <w:r w:rsidRPr="009401F6">
        <w:br w:type="page"/>
      </w:r>
    </w:p>
    <w:p w:rsidR="001525B4" w:rsidRPr="009401F6" w:rsidRDefault="002272EE" w:rsidP="00B7189D">
      <w:pPr>
        <w:pStyle w:val="Heading2"/>
        <w:pageBreakBefore/>
        <w:spacing w:before="240"/>
      </w:pPr>
      <w:bookmarkStart w:id="2" w:name="_Toc466639081"/>
      <w:bookmarkEnd w:id="1"/>
      <w:r>
        <w:lastRenderedPageBreak/>
        <w:t>Introduction</w:t>
      </w:r>
      <w:bookmarkEnd w:id="2"/>
    </w:p>
    <w:p w:rsidR="002272EE" w:rsidRDefault="002272EE" w:rsidP="005B0EFE">
      <w:bookmarkStart w:id="3" w:name="_Toc323738671"/>
      <w:bookmarkStart w:id="4" w:name="_Toc356305157"/>
      <w:r>
        <w:t xml:space="preserve">This paper outlines </w:t>
      </w:r>
      <w:r w:rsidR="00E43AD6">
        <w:t>the proposed approach</w:t>
      </w:r>
      <w:r w:rsidR="001C714C">
        <w:t xml:space="preserve"> </w:t>
      </w:r>
      <w:r>
        <w:t xml:space="preserve">for implementing an </w:t>
      </w:r>
      <w:r w:rsidR="00B84EDA">
        <w:t xml:space="preserve">accelerated assessment </w:t>
      </w:r>
      <w:r>
        <w:t>pathway</w:t>
      </w:r>
      <w:r w:rsidR="00A561ED">
        <w:t xml:space="preserve"> for medical devices, referred to in this paper as Priority Review.</w:t>
      </w:r>
      <w:r w:rsidR="005B0EFE">
        <w:t xml:space="preserve"> </w:t>
      </w:r>
      <w:r>
        <w:t>This pathway will continue to require medical device</w:t>
      </w:r>
      <w:r w:rsidR="008475DB">
        <w:t>s</w:t>
      </w:r>
      <w:r>
        <w:t xml:space="preserve"> to meet the </w:t>
      </w:r>
      <w:r w:rsidR="00A561ED">
        <w:t>e</w:t>
      </w:r>
      <w:r>
        <w:t xml:space="preserve">ssential </w:t>
      </w:r>
      <w:r w:rsidR="00A561ED">
        <w:t>p</w:t>
      </w:r>
      <w:r>
        <w:t>rinciples</w:t>
      </w:r>
      <w:r w:rsidR="008475DB">
        <w:t xml:space="preserve">, including </w:t>
      </w:r>
      <w:r>
        <w:t xml:space="preserve">clinical </w:t>
      </w:r>
      <w:r w:rsidR="009C4762">
        <w:t>evidence</w:t>
      </w:r>
      <w:r>
        <w:t xml:space="preserve"> requirements, while expediting assessment through administrative changes.</w:t>
      </w:r>
    </w:p>
    <w:p w:rsidR="00A561ED" w:rsidRDefault="00A561ED" w:rsidP="00A561ED">
      <w:r>
        <w:t xml:space="preserve">Implementation of Priority Review </w:t>
      </w:r>
      <w:r w:rsidR="00174D54">
        <w:t xml:space="preserve">as an accelerated assessment pathway </w:t>
      </w:r>
      <w:r>
        <w:t xml:space="preserve">is in response to </w:t>
      </w:r>
      <w:bookmarkStart w:id="5" w:name="_Toc457404913"/>
      <w:bookmarkStart w:id="6" w:name="_Toc458614738"/>
      <w:bookmarkStart w:id="7" w:name="_Toc458615228"/>
      <w:bookmarkStart w:id="8" w:name="_Toc458615271"/>
      <w:bookmarkStart w:id="9" w:name="_Toc458615319"/>
      <w:bookmarkStart w:id="10" w:name="_Toc458615395"/>
      <w:bookmarkStart w:id="11" w:name="_Toc458616371"/>
      <w:bookmarkStart w:id="12" w:name="_Toc458618843"/>
      <w:bookmarkStart w:id="13" w:name="_Toc458618900"/>
      <w:bookmarkStart w:id="14" w:name="_Toc458618959"/>
      <w:bookmarkStart w:id="15" w:name="_Toc460248900"/>
      <w:r w:rsidR="00037B61">
        <w:t xml:space="preserve">Recommendation 15 and Recommendation 19 of the </w:t>
      </w:r>
      <w:r>
        <w:t xml:space="preserve">March 2015 report of the Medicines and </w:t>
      </w:r>
      <w:r w:rsidR="005B0EFE">
        <w:t>Medical Devices Review (MMDR).</w:t>
      </w:r>
    </w:p>
    <w:p w:rsidR="00A561ED" w:rsidRPr="00037B61" w:rsidRDefault="00A561ED" w:rsidP="005B0EFE">
      <w:pPr>
        <w:spacing w:after="0"/>
        <w:ind w:left="567" w:firstLine="11"/>
        <w:rPr>
          <w:b/>
        </w:rPr>
      </w:pPr>
      <w:r w:rsidRPr="00037B61">
        <w:rPr>
          <w:b/>
        </w:rPr>
        <w:t>Recommendation Fifteen</w:t>
      </w:r>
      <w:bookmarkEnd w:id="5"/>
      <w:bookmarkEnd w:id="6"/>
      <w:bookmarkEnd w:id="7"/>
      <w:bookmarkEnd w:id="8"/>
      <w:bookmarkEnd w:id="9"/>
      <w:bookmarkEnd w:id="10"/>
      <w:bookmarkEnd w:id="11"/>
      <w:bookmarkEnd w:id="12"/>
      <w:bookmarkEnd w:id="13"/>
      <w:bookmarkEnd w:id="14"/>
      <w:bookmarkEnd w:id="15"/>
    </w:p>
    <w:p w:rsidR="00A561ED" w:rsidRDefault="00A561ED" w:rsidP="005B0EFE">
      <w:pPr>
        <w:spacing w:before="0" w:after="0"/>
        <w:ind w:left="567" w:firstLine="11"/>
      </w:pPr>
      <w:r w:rsidRPr="00792964">
        <w:t>The Panel recommends that:</w:t>
      </w:r>
      <w:r w:rsidRPr="001C558C">
        <w:t xml:space="preserve"> </w:t>
      </w:r>
      <w:r>
        <w:t>[…]</w:t>
      </w:r>
    </w:p>
    <w:p w:rsidR="00A561ED" w:rsidRDefault="00A561ED" w:rsidP="005B0EFE">
      <w:pPr>
        <w:pStyle w:val="NoSpacing"/>
        <w:spacing w:before="120"/>
        <w:ind w:left="1276" w:hanging="426"/>
      </w:pPr>
      <w:r>
        <w:t>2.</w:t>
      </w:r>
      <w:r>
        <w:tab/>
      </w:r>
      <w:r w:rsidRPr="00792964">
        <w:t xml:space="preserve">In order to provide timely access to devices that are safe, high quality and fit for purpose, there </w:t>
      </w:r>
      <w:proofErr w:type="gramStart"/>
      <w:r w:rsidRPr="00792964">
        <w:t>be</w:t>
      </w:r>
      <w:proofErr w:type="gramEnd"/>
      <w:r w:rsidRPr="00792964">
        <w:t xml:space="preserve"> multiple pathways to seek approval for the inclusion of other classes of medical device in the ARTG. Such pathways to provide for:</w:t>
      </w:r>
      <w:r w:rsidRPr="001C558C">
        <w:t xml:space="preserve"> </w:t>
      </w:r>
      <w:r>
        <w:t>[…]</w:t>
      </w:r>
    </w:p>
    <w:p w:rsidR="00A561ED" w:rsidRPr="002272EE" w:rsidRDefault="00A561ED" w:rsidP="005B0EFE">
      <w:pPr>
        <w:pStyle w:val="NoSpacing"/>
        <w:spacing w:before="120"/>
        <w:ind w:left="1276"/>
        <w:rPr>
          <w:b/>
        </w:rPr>
      </w:pPr>
      <w:r w:rsidRPr="002272EE">
        <w:rPr>
          <w:b/>
          <w:szCs w:val="24"/>
        </w:rPr>
        <w:t>Pathway Three:</w:t>
      </w:r>
      <w:r w:rsidR="004F1EBB">
        <w:rPr>
          <w:b/>
          <w:szCs w:val="24"/>
        </w:rPr>
        <w:t xml:space="preserve"> </w:t>
      </w:r>
      <w:r w:rsidRPr="002272EE">
        <w:rPr>
          <w:b/>
          <w:szCs w:val="24"/>
        </w:rPr>
        <w:t>Expedited approval of medical devices in cer</w:t>
      </w:r>
      <w:r w:rsidR="004F1EBB">
        <w:rPr>
          <w:b/>
          <w:szCs w:val="24"/>
        </w:rPr>
        <w:t>tain c</w:t>
      </w:r>
      <w:r w:rsidRPr="002272EE">
        <w:rPr>
          <w:b/>
          <w:szCs w:val="24"/>
        </w:rPr>
        <w:t>ircumstances.</w:t>
      </w:r>
    </w:p>
    <w:p w:rsidR="00A561ED" w:rsidRPr="00037B61" w:rsidRDefault="00A561ED" w:rsidP="005B0EFE">
      <w:pPr>
        <w:spacing w:after="0"/>
        <w:ind w:left="567"/>
        <w:rPr>
          <w:b/>
        </w:rPr>
      </w:pPr>
      <w:bookmarkStart w:id="16" w:name="_Toc458616372"/>
      <w:bookmarkStart w:id="17" w:name="_Toc458618844"/>
      <w:bookmarkStart w:id="18" w:name="_Toc458618901"/>
      <w:bookmarkStart w:id="19" w:name="_Toc458618960"/>
      <w:bookmarkStart w:id="20" w:name="_Toc460248901"/>
      <w:r w:rsidRPr="00037B61">
        <w:rPr>
          <w:b/>
        </w:rPr>
        <w:t>Recommendation Nineteen</w:t>
      </w:r>
      <w:bookmarkEnd w:id="16"/>
      <w:bookmarkEnd w:id="17"/>
      <w:bookmarkEnd w:id="18"/>
      <w:bookmarkEnd w:id="19"/>
      <w:bookmarkEnd w:id="20"/>
    </w:p>
    <w:p w:rsidR="00A561ED" w:rsidRDefault="005B0EFE" w:rsidP="005B0EFE">
      <w:pPr>
        <w:spacing w:before="0" w:after="0"/>
        <w:ind w:left="567"/>
        <w:rPr>
          <w:rFonts w:cstheme="minorHAnsi"/>
        </w:rPr>
      </w:pPr>
      <w:r>
        <w:rPr>
          <w:rFonts w:cstheme="minorHAnsi"/>
        </w:rPr>
        <w:t>The Panel recommends that:</w:t>
      </w:r>
    </w:p>
    <w:p w:rsidR="00A561ED" w:rsidRDefault="00A561ED" w:rsidP="005B0EFE">
      <w:pPr>
        <w:pStyle w:val="ListParagraph"/>
        <w:numPr>
          <w:ilvl w:val="0"/>
          <w:numId w:val="5"/>
        </w:numPr>
        <w:spacing w:before="120" w:after="0"/>
        <w:ind w:left="1276" w:hanging="425"/>
        <w:contextualSpacing w:val="0"/>
        <w:rPr>
          <w:rFonts w:cstheme="minorHAnsi"/>
        </w:rPr>
      </w:pPr>
      <w:r w:rsidRPr="008B1A15">
        <w:rPr>
          <w:rFonts w:cstheme="minorHAnsi"/>
        </w:rPr>
        <w:t>The Australian government develop transparent criteria under which application may be made for accelerated assessment of novel medical devices for inclusion in the ARTG.</w:t>
      </w:r>
    </w:p>
    <w:p w:rsidR="00A561ED" w:rsidRPr="008B1A15" w:rsidRDefault="00A561ED" w:rsidP="005B0EFE">
      <w:pPr>
        <w:pStyle w:val="ListParagraph"/>
        <w:numPr>
          <w:ilvl w:val="0"/>
          <w:numId w:val="5"/>
        </w:numPr>
        <w:spacing w:before="120" w:after="0"/>
        <w:ind w:left="1276" w:hanging="425"/>
        <w:contextualSpacing w:val="0"/>
        <w:rPr>
          <w:rFonts w:cstheme="minorHAnsi"/>
        </w:rPr>
      </w:pPr>
      <w:r w:rsidRPr="008B1A15">
        <w:rPr>
          <w:rFonts w:cstheme="minorHAnsi"/>
        </w:rPr>
        <w:t xml:space="preserve">In circumstances where accelerated assessment is granted, the Australian NRA </w:t>
      </w:r>
      <w:proofErr w:type="gramStart"/>
      <w:r w:rsidRPr="008B1A15">
        <w:rPr>
          <w:rFonts w:cstheme="minorHAnsi"/>
        </w:rPr>
        <w:t>have</w:t>
      </w:r>
      <w:proofErr w:type="gramEnd"/>
      <w:r w:rsidRPr="008B1A15">
        <w:rPr>
          <w:rFonts w:cstheme="minorHAnsi"/>
        </w:rPr>
        <w:t xml:space="preserve"> capacity to place conditions on the inclusion of the medical device in the ARTG.</w:t>
      </w:r>
    </w:p>
    <w:p w:rsidR="00037B61" w:rsidRDefault="00037B61" w:rsidP="00FC641A">
      <w:r>
        <w:t>The recommendations were accepted by Government</w:t>
      </w:r>
      <w:r w:rsidR="008C294E">
        <w:t>,</w:t>
      </w:r>
      <w:r>
        <w:t xml:space="preserve"> and announced by Minister Ley on 15</w:t>
      </w:r>
      <w:r w:rsidR="008475DB">
        <w:t> </w:t>
      </w:r>
      <w:r>
        <w:t>September</w:t>
      </w:r>
      <w:r w:rsidR="008475DB">
        <w:t> </w:t>
      </w:r>
      <w:r>
        <w:t>2016.</w:t>
      </w:r>
    </w:p>
    <w:p w:rsidR="00A561ED" w:rsidRDefault="00A561ED" w:rsidP="00A561ED">
      <w:pPr>
        <w:spacing w:after="0"/>
      </w:pPr>
      <w:r>
        <w:t xml:space="preserve">In the MMDR, the panel formed a view that an expedited </w:t>
      </w:r>
      <w:r w:rsidR="0068263C">
        <w:t xml:space="preserve">pathway </w:t>
      </w:r>
      <w:r>
        <w:t xml:space="preserve">should be consistent with that adopted by comparable overseas NRAs for accelerated assessment of medical devices. This recommendation </w:t>
      </w:r>
      <w:r w:rsidR="008A5D8A">
        <w:t xml:space="preserve">in </w:t>
      </w:r>
      <w:r w:rsidR="000F2D0D">
        <w:t>principle</w:t>
      </w:r>
      <w:r w:rsidR="008A5D8A">
        <w:t xml:space="preserve"> </w:t>
      </w:r>
      <w:r>
        <w:t xml:space="preserve">is similar to the Priority Review pathway of the </w:t>
      </w:r>
      <w:r w:rsidR="008C294E">
        <w:t xml:space="preserve">US </w:t>
      </w:r>
      <w:r>
        <w:t>FDA, in that “granting Priority Review status means that a marketing application that is determined to be appropriate for priority review is placed at the beginning of the appropriate review queue and receives additional review resources, as needed.”</w:t>
      </w:r>
      <w:r>
        <w:rPr>
          <w:rStyle w:val="FootnoteReference"/>
        </w:rPr>
        <w:footnoteReference w:id="1"/>
      </w:r>
    </w:p>
    <w:p w:rsidR="00A561ED" w:rsidRDefault="00A561ED" w:rsidP="00A561ED">
      <w:pPr>
        <w:spacing w:after="0"/>
      </w:pPr>
      <w:r>
        <w:t>The MMDR also proposed expedited pathways for medicines in certain circumstances.</w:t>
      </w:r>
      <w:r>
        <w:rPr>
          <w:rStyle w:val="FootnoteReference"/>
        </w:rPr>
        <w:footnoteReference w:id="2"/>
      </w:r>
      <w:r>
        <w:t xml:space="preserve"> For medicines this includes both ‘provision</w:t>
      </w:r>
      <w:r w:rsidR="00F5126F">
        <w:t>al</w:t>
      </w:r>
      <w:r>
        <w:t xml:space="preserve"> approval’ and ‘priority review’ pathways. The medical device accelerated assessment pathway proposed by the MMDR is to </w:t>
      </w:r>
      <w:r w:rsidR="00283688">
        <w:t>be a ‘priority review’ pathway.</w:t>
      </w:r>
    </w:p>
    <w:p w:rsidR="002272EE" w:rsidRPr="006D58E3" w:rsidRDefault="002272EE" w:rsidP="00FC641A">
      <w:pPr>
        <w:pStyle w:val="Heading2"/>
        <w:rPr>
          <w:rFonts w:eastAsiaTheme="minorHAnsi"/>
        </w:rPr>
      </w:pPr>
      <w:bookmarkStart w:id="21" w:name="_Toc466639082"/>
      <w:bookmarkEnd w:id="3"/>
      <w:bookmarkEnd w:id="4"/>
      <w:r w:rsidRPr="006D58E3">
        <w:rPr>
          <w:rFonts w:eastAsiaTheme="minorHAnsi"/>
        </w:rPr>
        <w:t>C</w:t>
      </w:r>
      <w:r w:rsidR="00037B61">
        <w:rPr>
          <w:rFonts w:eastAsiaTheme="minorHAnsi"/>
        </w:rPr>
        <w:t>urrent environment</w:t>
      </w:r>
      <w:bookmarkEnd w:id="21"/>
    </w:p>
    <w:p w:rsidR="00232968" w:rsidRDefault="00F5126F" w:rsidP="00833483">
      <w:bookmarkStart w:id="22" w:name="_Toc458616374"/>
      <w:bookmarkStart w:id="23" w:name="_Toc458618846"/>
      <w:bookmarkStart w:id="24" w:name="_Toc458618903"/>
      <w:bookmarkStart w:id="25" w:name="_Toc458618962"/>
      <w:bookmarkStart w:id="26" w:name="_Toc460248903"/>
      <w:bookmarkStart w:id="27" w:name="_Toc462215230"/>
      <w:bookmarkStart w:id="28" w:name="_Toc442957720"/>
      <w:r>
        <w:t xml:space="preserve">This </w:t>
      </w:r>
      <w:r w:rsidR="00833483">
        <w:t>section</w:t>
      </w:r>
      <w:r>
        <w:t xml:space="preserve"> identifies </w:t>
      </w:r>
      <w:r w:rsidR="00232968">
        <w:t>existing processes and developments</w:t>
      </w:r>
      <w:r>
        <w:t xml:space="preserve"> in progress</w:t>
      </w:r>
      <w:r w:rsidR="00232968">
        <w:t xml:space="preserve"> </w:t>
      </w:r>
      <w:r>
        <w:t xml:space="preserve">to </w:t>
      </w:r>
      <w:r w:rsidR="00232968">
        <w:t xml:space="preserve">provide a context for the proposed implementation </w:t>
      </w:r>
      <w:r w:rsidR="00FC641A">
        <w:t>of the Priority Review pathway.</w:t>
      </w:r>
    </w:p>
    <w:p w:rsidR="00232968" w:rsidRDefault="00232968" w:rsidP="00E57977">
      <w:pPr>
        <w:pStyle w:val="Heading3"/>
      </w:pPr>
      <w:bookmarkStart w:id="29" w:name="_Toc458616375"/>
      <w:bookmarkStart w:id="30" w:name="_Toc458618847"/>
      <w:bookmarkStart w:id="31" w:name="_Toc458618904"/>
      <w:bookmarkStart w:id="32" w:name="_Toc458618963"/>
      <w:bookmarkStart w:id="33" w:name="_Toc460248904"/>
      <w:bookmarkStart w:id="34" w:name="_Toc462215231"/>
      <w:bookmarkStart w:id="35" w:name="_Toc466639083"/>
      <w:r>
        <w:lastRenderedPageBreak/>
        <w:t>Mechanisms in place to expedite assessment within the TGA</w:t>
      </w:r>
      <w:bookmarkEnd w:id="29"/>
      <w:bookmarkEnd w:id="30"/>
      <w:bookmarkEnd w:id="31"/>
      <w:bookmarkEnd w:id="32"/>
      <w:bookmarkEnd w:id="33"/>
      <w:bookmarkEnd w:id="34"/>
      <w:bookmarkEnd w:id="35"/>
    </w:p>
    <w:p w:rsidR="00232968" w:rsidRDefault="00232968" w:rsidP="00232968">
      <w:pPr>
        <w:spacing w:after="0"/>
      </w:pPr>
      <w:r>
        <w:t>There are several ways TGA currently, or will soon, interact with sponsors prior to submitting applications that can expedite the assessment process. These are outlined below.</w:t>
      </w:r>
    </w:p>
    <w:p w:rsidR="00232968" w:rsidRDefault="00F5126F" w:rsidP="00FC641A">
      <w:pPr>
        <w:pStyle w:val="Numberbullet0"/>
      </w:pPr>
      <w:r w:rsidRPr="00431AB9">
        <w:rPr>
          <w:b/>
        </w:rPr>
        <w:t>Pre-submission meetings:</w:t>
      </w:r>
      <w:r>
        <w:t xml:space="preserve"> </w:t>
      </w:r>
      <w:r w:rsidR="00797038">
        <w:t>P</w:t>
      </w:r>
      <w:r w:rsidR="00232968">
        <w:t>re-submission meetings</w:t>
      </w:r>
      <w:r w:rsidR="00797038">
        <w:t xml:space="preserve"> </w:t>
      </w:r>
      <w:r w:rsidR="00232968">
        <w:t xml:space="preserve">for conformity assessment applications, where the TGA advises on </w:t>
      </w:r>
      <w:r w:rsidR="001D1DBD">
        <w:t>the requirements, including for</w:t>
      </w:r>
      <w:r w:rsidR="00232968">
        <w:t xml:space="preserve"> </w:t>
      </w:r>
      <w:r w:rsidR="001D1DBD">
        <w:t xml:space="preserve">the </w:t>
      </w:r>
      <w:r w:rsidR="00232968">
        <w:t>clinical</w:t>
      </w:r>
      <w:r w:rsidR="001D1DBD">
        <w:t xml:space="preserve"> evidence</w:t>
      </w:r>
      <w:r w:rsidR="00232968">
        <w:t xml:space="preserve">. Because novel devices </w:t>
      </w:r>
      <w:r w:rsidR="00CE593E">
        <w:t xml:space="preserve">are </w:t>
      </w:r>
      <w:r w:rsidR="001D1DBD">
        <w:t xml:space="preserve">likely </w:t>
      </w:r>
      <w:r w:rsidR="00CE593E">
        <w:t xml:space="preserve">to </w:t>
      </w:r>
      <w:r w:rsidR="00232968">
        <w:t xml:space="preserve">lack depth </w:t>
      </w:r>
      <w:r w:rsidR="00797038">
        <w:t xml:space="preserve">of </w:t>
      </w:r>
      <w:r w:rsidR="00232968">
        <w:t xml:space="preserve">clinical evidence </w:t>
      </w:r>
      <w:r w:rsidR="00A0238E">
        <w:t xml:space="preserve">and often do not have </w:t>
      </w:r>
      <w:r w:rsidR="00232968">
        <w:t>predicate</w:t>
      </w:r>
      <w:r w:rsidR="00A0238E">
        <w:t xml:space="preserve"> </w:t>
      </w:r>
      <w:r w:rsidR="00C5500E">
        <w:t>devices</w:t>
      </w:r>
      <w:r w:rsidR="00232968">
        <w:t xml:space="preserve">, </w:t>
      </w:r>
      <w:r>
        <w:t>pre-submission meetings can help identify gaps in c</w:t>
      </w:r>
      <w:r w:rsidR="00232968">
        <w:t xml:space="preserve">linical evidence </w:t>
      </w:r>
      <w:r>
        <w:t xml:space="preserve">prior to </w:t>
      </w:r>
      <w:r w:rsidR="00A0238E">
        <w:t xml:space="preserve">submitting an </w:t>
      </w:r>
      <w:r w:rsidR="00232968">
        <w:t>application</w:t>
      </w:r>
      <w:r>
        <w:t xml:space="preserve">, thus helping </w:t>
      </w:r>
      <w:r w:rsidR="0015561E">
        <w:t xml:space="preserve">to </w:t>
      </w:r>
      <w:r w:rsidR="00232968">
        <w:t>avoid extensive delays</w:t>
      </w:r>
      <w:r>
        <w:t xml:space="preserve"> if the submission had proceeded with in</w:t>
      </w:r>
      <w:r w:rsidR="0015561E">
        <w:t>adequate</w:t>
      </w:r>
      <w:r>
        <w:t xml:space="preserve"> clinical evidence</w:t>
      </w:r>
      <w:r w:rsidR="00232968">
        <w:t>.</w:t>
      </w:r>
    </w:p>
    <w:p w:rsidR="00232968" w:rsidRDefault="00F5126F" w:rsidP="00CB5377">
      <w:pPr>
        <w:pStyle w:val="Numberbullet0"/>
      </w:pPr>
      <w:r w:rsidRPr="00431AB9">
        <w:rPr>
          <w:b/>
        </w:rPr>
        <w:t>Guidance documentation:</w:t>
      </w:r>
      <w:r>
        <w:t xml:space="preserve"> </w:t>
      </w:r>
      <w:r w:rsidR="00232968">
        <w:t>Providing guidance documents for preparing an application, especially for the collection and submission of clinical evidence</w:t>
      </w:r>
      <w:r w:rsidR="00232968">
        <w:rPr>
          <w:rStyle w:val="FootnoteReference"/>
        </w:rPr>
        <w:footnoteReference w:id="3"/>
      </w:r>
      <w:r w:rsidR="00232968">
        <w:t xml:space="preserve">. Inadequate clinical evidence is a major reason for </w:t>
      </w:r>
      <w:r w:rsidR="00C5500E">
        <w:t xml:space="preserve">assessment delays and one of the reasons for rejecting </w:t>
      </w:r>
      <w:r w:rsidR="00232968">
        <w:t>application</w:t>
      </w:r>
      <w:r w:rsidR="00C5500E">
        <w:t>s</w:t>
      </w:r>
      <w:r w:rsidR="00232968">
        <w:t xml:space="preserve">. This is relevant for both conformity assessment applications and applications for inclusion </w:t>
      </w:r>
      <w:r w:rsidR="00C5500E">
        <w:t xml:space="preserve">of devices </w:t>
      </w:r>
      <w:r w:rsidR="00232968">
        <w:t>in the ARTG that are subject to audit.</w:t>
      </w:r>
    </w:p>
    <w:p w:rsidR="00C83F6F" w:rsidRDefault="00F5126F" w:rsidP="00CB5377">
      <w:pPr>
        <w:pStyle w:val="Numberbullet0"/>
      </w:pPr>
      <w:r w:rsidRPr="00431AB9">
        <w:rPr>
          <w:b/>
        </w:rPr>
        <w:t>EU conformity assessment:</w:t>
      </w:r>
      <w:r>
        <w:t xml:space="preserve"> </w:t>
      </w:r>
      <w:r w:rsidR="00232968">
        <w:t xml:space="preserve">TGA </w:t>
      </w:r>
      <w:r w:rsidR="00C14C12">
        <w:t xml:space="preserve">often </w:t>
      </w:r>
      <w:r w:rsidR="00232968">
        <w:t>accept</w:t>
      </w:r>
      <w:r w:rsidR="00C5500E">
        <w:t>s</w:t>
      </w:r>
      <w:r w:rsidR="00232968">
        <w:t xml:space="preserve"> conformity assessment </w:t>
      </w:r>
      <w:r w:rsidR="00C5500E">
        <w:t xml:space="preserve">certification issued </w:t>
      </w:r>
      <w:r w:rsidR="00232968">
        <w:t>by a notified body in the E</w:t>
      </w:r>
      <w:r w:rsidR="00CF4FA4">
        <w:t>uropean Union</w:t>
      </w:r>
      <w:r w:rsidR="00232968">
        <w:t xml:space="preserve"> </w:t>
      </w:r>
      <w:r>
        <w:t xml:space="preserve">(EU) </w:t>
      </w:r>
      <w:r w:rsidR="00232968">
        <w:t xml:space="preserve">as evidence of </w:t>
      </w:r>
      <w:r w:rsidR="00C5500E">
        <w:t xml:space="preserve">the application of the appropriate </w:t>
      </w:r>
      <w:r w:rsidR="00232968">
        <w:t>conformity</w:t>
      </w:r>
      <w:r w:rsidR="00C83F6F">
        <w:t xml:space="preserve"> </w:t>
      </w:r>
      <w:r w:rsidR="00C5500E">
        <w:t>assessment procedures</w:t>
      </w:r>
      <w:r w:rsidR="008E1CB8" w:rsidRPr="008E1CB8">
        <w:t xml:space="preserve"> </w:t>
      </w:r>
      <w:r w:rsidR="008E1CB8">
        <w:t xml:space="preserve">for </w:t>
      </w:r>
      <w:r w:rsidR="0015561E">
        <w:t xml:space="preserve">the </w:t>
      </w:r>
      <w:r w:rsidR="008E1CB8">
        <w:t>majority of medical devices</w:t>
      </w:r>
      <w:r w:rsidR="00232968">
        <w:t xml:space="preserve">. </w:t>
      </w:r>
      <w:r w:rsidR="00DB2313">
        <w:t xml:space="preserve">This means </w:t>
      </w:r>
      <w:r w:rsidR="00C5500E">
        <w:t>TGA does not expect manufacturers with m</w:t>
      </w:r>
      <w:r w:rsidR="00C83F6F">
        <w:t xml:space="preserve">edical devices </w:t>
      </w:r>
      <w:r w:rsidR="00C5500E">
        <w:t xml:space="preserve">properly covered under EC Certificates to </w:t>
      </w:r>
      <w:r w:rsidR="00DB2313">
        <w:t>submit</w:t>
      </w:r>
      <w:r w:rsidR="00C5500E">
        <w:t xml:space="preserve"> a</w:t>
      </w:r>
      <w:r w:rsidR="00C83F6F">
        <w:t xml:space="preserve"> conformity </w:t>
      </w:r>
      <w:r w:rsidR="00C5500E">
        <w:t>assessment</w:t>
      </w:r>
      <w:r w:rsidR="00DB2313">
        <w:t xml:space="preserve"> application to the TGA </w:t>
      </w:r>
      <w:r w:rsidR="008E1CB8">
        <w:t>(however some applications for ARTG incl</w:t>
      </w:r>
      <w:r w:rsidR="00BB7006">
        <w:t xml:space="preserve">usion are selected for audit). </w:t>
      </w:r>
      <w:r w:rsidR="008E1CB8">
        <w:t xml:space="preserve">Thus duplication in conformity </w:t>
      </w:r>
      <w:r w:rsidR="00C83F6F">
        <w:t>assessment</w:t>
      </w:r>
      <w:r w:rsidR="008E1CB8">
        <w:t>s</w:t>
      </w:r>
      <w:r w:rsidR="00C83F6F">
        <w:t xml:space="preserve"> </w:t>
      </w:r>
      <w:r w:rsidR="008E1CB8">
        <w:t>is reduced</w:t>
      </w:r>
      <w:r w:rsidR="00C83F6F">
        <w:t>.</w:t>
      </w:r>
    </w:p>
    <w:p w:rsidR="002272EE" w:rsidRPr="004A136B" w:rsidRDefault="002272EE" w:rsidP="00E57977">
      <w:pPr>
        <w:pStyle w:val="Heading3"/>
      </w:pPr>
      <w:bookmarkStart w:id="36" w:name="_Toc466639084"/>
      <w:r>
        <w:t>A</w:t>
      </w:r>
      <w:r w:rsidRPr="004A136B">
        <w:t>ccelerated</w:t>
      </w:r>
      <w:r>
        <w:t xml:space="preserve"> approval and assessment </w:t>
      </w:r>
      <w:r w:rsidRPr="004A136B">
        <w:t xml:space="preserve">methods of the </w:t>
      </w:r>
      <w:r w:rsidR="00CF4FA4">
        <w:t xml:space="preserve">US </w:t>
      </w:r>
      <w:r w:rsidRPr="004A136B">
        <w:t>FDA</w:t>
      </w:r>
      <w:bookmarkEnd w:id="22"/>
      <w:bookmarkEnd w:id="23"/>
      <w:bookmarkEnd w:id="24"/>
      <w:bookmarkEnd w:id="25"/>
      <w:bookmarkEnd w:id="26"/>
      <w:bookmarkEnd w:id="27"/>
      <w:bookmarkEnd w:id="36"/>
    </w:p>
    <w:p w:rsidR="00D57941" w:rsidRDefault="002272EE" w:rsidP="00CB5377">
      <w:r>
        <w:t xml:space="preserve">The </w:t>
      </w:r>
      <w:r w:rsidR="00CF4FA4">
        <w:t xml:space="preserve">US </w:t>
      </w:r>
      <w:r>
        <w:t>FDA Pre-Market Approval (PMA) assessment procedure is for new devices for which there are no existing predicates and is considerably different to the TGA approval process. It is often considered more rigorous in its clinical data requirements, while having a lesser regard for approvals outside of the US</w:t>
      </w:r>
      <w:r w:rsidR="00D57941">
        <w:t>.</w:t>
      </w:r>
    </w:p>
    <w:p w:rsidR="002272EE" w:rsidRDefault="00D57941" w:rsidP="00CB5377">
      <w:r>
        <w:t>T</w:t>
      </w:r>
      <w:r w:rsidR="002272EE">
        <w:t xml:space="preserve">he </w:t>
      </w:r>
      <w:r w:rsidR="00372C37">
        <w:t xml:space="preserve">US </w:t>
      </w:r>
      <w:r w:rsidR="002272EE">
        <w:t>FDA Priority Review Pathway was created in 2008 and is a “front of the queue” approval pathway for devices addressing life-threatening or irreversibly debilitating conditions, theoretically without changes to premarket clinical data requirements. Between 2008 and 2015 18 devices were approved using this pathway and it is likely that there have been less than 10 medical device applications per year for the pathway</w:t>
      </w:r>
      <w:r w:rsidR="002272EE" w:rsidRPr="002272EE">
        <w:rPr>
          <w:vertAlign w:val="superscript"/>
        </w:rPr>
        <w:footnoteReference w:id="4"/>
      </w:r>
      <w:r w:rsidR="009C4762">
        <w:t>, although this may have been increasing in recent years.</w:t>
      </w:r>
      <w:r w:rsidR="002272EE">
        <w:t xml:space="preserve"> Importantly, this is very different to medicine expedited pathways, where </w:t>
      </w:r>
      <w:r w:rsidR="00E82B98">
        <w:t xml:space="preserve">hundreds </w:t>
      </w:r>
      <w:r w:rsidR="002272EE">
        <w:t>of applications have been submitted</w:t>
      </w:r>
      <w:r w:rsidR="002272EE" w:rsidRPr="002272EE">
        <w:rPr>
          <w:vertAlign w:val="superscript"/>
        </w:rPr>
        <w:footnoteReference w:id="5"/>
      </w:r>
      <w:r w:rsidR="00CB5377">
        <w:t>.</w:t>
      </w:r>
    </w:p>
    <w:p w:rsidR="00CA7D45" w:rsidRPr="00D070FE" w:rsidRDefault="002272EE" w:rsidP="002272EE">
      <w:pPr>
        <w:spacing w:after="0"/>
      </w:pPr>
      <w:r>
        <w:t xml:space="preserve">In 2011 the </w:t>
      </w:r>
      <w:r w:rsidR="00372C37">
        <w:t xml:space="preserve">US </w:t>
      </w:r>
      <w:r>
        <w:t>FDA piloted a process called the Innovation Pathway, which later developed into the Expedited Access Pathway (EAP) available in 2015</w:t>
      </w:r>
      <w:r>
        <w:rPr>
          <w:rStyle w:val="FootnoteReference"/>
        </w:rPr>
        <w:footnoteReference w:id="6"/>
      </w:r>
      <w:r>
        <w:t xml:space="preserve">. These pathways were designed to expedite the </w:t>
      </w:r>
      <w:r w:rsidRPr="006D2230">
        <w:rPr>
          <w:b/>
        </w:rPr>
        <w:t>development, assessment and review</w:t>
      </w:r>
      <w:r>
        <w:t xml:space="preserve"> of novel medical devices addressing life-</w:t>
      </w:r>
      <w:r>
        <w:lastRenderedPageBreak/>
        <w:t xml:space="preserve">threatening or irreversibly debilitating conditions with a “whole of life” approach. In these pathways the </w:t>
      </w:r>
      <w:r w:rsidR="00372C37">
        <w:t xml:space="preserve">US </w:t>
      </w:r>
      <w:r>
        <w:t>FDA interacts with sponsors early and throughout device development. In its first year the EAP received 29 applications (17 of which were accepted).</w:t>
      </w:r>
      <w:r w:rsidR="00313576">
        <w:t xml:space="preserve"> The MMDR recommendations do not suggest that TGA should introduce the EAP model.</w:t>
      </w:r>
      <w:r w:rsidR="00CA7D45">
        <w:t xml:space="preserve"> It is possible that, as the Priority Review pathway is the only option open in Australia for faster evaluation and potentially inclusion on ARTG, applications which would in USA apply via the Expedited Access Pathway may, in Australia, be submitted via the Priority Review pathway. </w:t>
      </w:r>
      <w:r w:rsidR="005543BA">
        <w:t>T</w:t>
      </w:r>
      <w:r w:rsidR="004417CD">
        <w:t xml:space="preserve">his would </w:t>
      </w:r>
      <w:r w:rsidR="005543BA">
        <w:t xml:space="preserve">affect </w:t>
      </w:r>
      <w:r w:rsidR="004417CD">
        <w:t>the number of requests for Priority Review</w:t>
      </w:r>
      <w:r w:rsidR="00297BA4">
        <w:t>.</w:t>
      </w:r>
    </w:p>
    <w:p w:rsidR="002272EE" w:rsidRPr="00A91952" w:rsidRDefault="002272EE" w:rsidP="00E57977">
      <w:pPr>
        <w:pStyle w:val="Heading4"/>
      </w:pPr>
      <w:bookmarkStart w:id="37" w:name="_Toc466639085"/>
      <w:r w:rsidRPr="00A91952">
        <w:t>Issues to consider</w:t>
      </w:r>
      <w:bookmarkEnd w:id="28"/>
      <w:bookmarkEnd w:id="37"/>
    </w:p>
    <w:p w:rsidR="002272EE" w:rsidRPr="0071043C" w:rsidRDefault="002272EE" w:rsidP="002272EE">
      <w:pPr>
        <w:spacing w:after="0"/>
      </w:pPr>
      <w:r w:rsidRPr="00A95387">
        <w:rPr>
          <w:b/>
        </w:rPr>
        <w:t>Public health:</w:t>
      </w:r>
      <w:r w:rsidRPr="00A95387">
        <w:rPr>
          <w:b/>
          <w:i/>
        </w:rPr>
        <w:t xml:space="preserve"> </w:t>
      </w:r>
      <w:r w:rsidRPr="002800BE">
        <w:t xml:space="preserve">The </w:t>
      </w:r>
      <w:r>
        <w:t xml:space="preserve">TGA seeks </w:t>
      </w:r>
      <w:r w:rsidRPr="002800BE">
        <w:t>to protect public health by ensuring that therapeutic goods available for supply in Australia</w:t>
      </w:r>
      <w:r>
        <w:t>, including medical devices,</w:t>
      </w:r>
      <w:r w:rsidRPr="002800BE">
        <w:t xml:space="preserve"> are safe and fit for their intended purpose.  It is impor</w:t>
      </w:r>
      <w:r>
        <w:t xml:space="preserve">tant that any proposed changes do </w:t>
      </w:r>
      <w:r w:rsidRPr="002800BE">
        <w:t xml:space="preserve">not </w:t>
      </w:r>
      <w:r w:rsidR="00B530F7">
        <w:t xml:space="preserve">unacceptably </w:t>
      </w:r>
      <w:r w:rsidRPr="002800BE">
        <w:t xml:space="preserve">undermine </w:t>
      </w:r>
      <w:r>
        <w:t>public health protections while making a</w:t>
      </w:r>
      <w:r w:rsidRPr="00297BA4">
        <w:t>v</w:t>
      </w:r>
      <w:r>
        <w:t>ailable necessary therapeutics to the Australian public in a timely fashion.</w:t>
      </w:r>
    </w:p>
    <w:p w:rsidR="002272EE" w:rsidRDefault="002272EE" w:rsidP="00297BA4">
      <w:r w:rsidRPr="00A95387">
        <w:rPr>
          <w:b/>
        </w:rPr>
        <w:t>Industry development:</w:t>
      </w:r>
      <w:r w:rsidRPr="005428B8">
        <w:t xml:space="preserve"> </w:t>
      </w:r>
      <w:r>
        <w:t xml:space="preserve">The flexibility of </w:t>
      </w:r>
      <w:r w:rsidR="00D57941">
        <w:t xml:space="preserve">Priority Review </w:t>
      </w:r>
      <w:r>
        <w:t xml:space="preserve">for novel devices would allow faster marketing of products. Time to market is critical to the success of many new products and has </w:t>
      </w:r>
      <w:r w:rsidR="00CA7D45">
        <w:t xml:space="preserve">a </w:t>
      </w:r>
      <w:r>
        <w:t>major impact on the commercial via</w:t>
      </w:r>
      <w:r w:rsidR="00297BA4">
        <w:t>bility of many new innovations.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27EE5" w:rsidRPr="009401F6" w:rsidTr="004103BB">
        <w:trPr>
          <w:trHeight w:val="1206"/>
        </w:trPr>
        <w:tc>
          <w:tcPr>
            <w:tcW w:w="1276" w:type="dxa"/>
            <w:vAlign w:val="center"/>
          </w:tcPr>
          <w:tbl>
            <w:tblPr>
              <w:tblW w:w="9038" w:type="dxa"/>
              <w:tblLayout w:type="fixed"/>
              <w:tblCellMar>
                <w:left w:w="0" w:type="dxa"/>
                <w:right w:w="0" w:type="dxa"/>
              </w:tblCellMar>
              <w:tblLook w:val="04A0" w:firstRow="1" w:lastRow="0" w:firstColumn="1" w:lastColumn="0" w:noHBand="0" w:noVBand="1"/>
            </w:tblPr>
            <w:tblGrid>
              <w:gridCol w:w="1276"/>
              <w:gridCol w:w="7762"/>
            </w:tblGrid>
            <w:tr w:rsidR="00827EE5" w:rsidRPr="009401F6" w:rsidTr="004103BB">
              <w:trPr>
                <w:trHeight w:val="1206"/>
              </w:trPr>
              <w:tc>
                <w:tcPr>
                  <w:tcW w:w="1276" w:type="dxa"/>
                  <w:vAlign w:val="center"/>
                </w:tcPr>
                <w:p w:rsidR="00827EE5" w:rsidRPr="009401F6" w:rsidRDefault="00827EE5" w:rsidP="004103BB">
                  <w:pPr>
                    <w:spacing w:before="0"/>
                    <w:rPr>
                      <w:sz w:val="20"/>
                    </w:rPr>
                  </w:pPr>
                  <w:r>
                    <w:rPr>
                      <w:noProof/>
                      <w:sz w:val="20"/>
                      <w:lang w:eastAsia="en-AU"/>
                    </w:rPr>
                    <mc:AlternateContent>
                      <mc:Choice Requires="wpg">
                        <w:drawing>
                          <wp:anchor distT="0" distB="0" distL="114300" distR="114300" simplePos="0" relativeHeight="251661312" behindDoc="0" locked="0" layoutInCell="1" allowOverlap="1" wp14:anchorId="5F7A4270" wp14:editId="70539F72">
                            <wp:simplePos x="0" y="0"/>
                            <wp:positionH relativeFrom="column">
                              <wp:posOffset>180340</wp:posOffset>
                            </wp:positionH>
                            <wp:positionV relativeFrom="paragraph">
                              <wp:posOffset>-167640</wp:posOffset>
                            </wp:positionV>
                            <wp:extent cx="489600" cy="691200"/>
                            <wp:effectExtent l="0" t="0" r="24765" b="0"/>
                            <wp:wrapNone/>
                            <wp:docPr id="1" name="Group 1"/>
                            <wp:cNvGraphicFramePr/>
                            <a:graphic xmlns:a="http://schemas.openxmlformats.org/drawingml/2006/main">
                              <a:graphicData uri="http://schemas.microsoft.com/office/word/2010/wordprocessingGroup">
                                <wpg:wgp>
                                  <wpg:cNvGrpSpPr/>
                                  <wpg:grpSpPr>
                                    <a:xfrm>
                                      <a:off x="0" y="0"/>
                                      <a:ext cx="489600" cy="691200"/>
                                      <a:chOff x="0" y="0"/>
                                      <a:chExt cx="488950" cy="689610"/>
                                    </a:xfrm>
                                  </wpg:grpSpPr>
                                  <wps:wsp>
                                    <wps:cNvPr id="4" name="Oval 4"/>
                                    <wps:cNvSpPr/>
                                    <wps:spPr>
                                      <a:xfrm>
                                        <a:off x="0" y="128337"/>
                                        <a:ext cx="488950" cy="495935"/>
                                      </a:xfrm>
                                      <a:prstGeom prst="ellipse">
                                        <a:avLst/>
                                      </a:prstGeom>
                                      <a:solidFill>
                                        <a:srgbClr val="00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72190" y="0"/>
                                        <a:ext cx="368935" cy="689610"/>
                                      </a:xfrm>
                                      <a:prstGeom prst="rect">
                                        <a:avLst/>
                                      </a:prstGeom>
                                      <a:noFill/>
                                      <a:ln w="9525">
                                        <a:noFill/>
                                        <a:miter lim="800000"/>
                                        <a:headEnd/>
                                        <a:tailEnd/>
                                      </a:ln>
                                    </wps:spPr>
                                    <wps:txbx>
                                      <w:txbxContent>
                                        <w:p w:rsidR="00CB5377" w:rsidRPr="00D46806" w:rsidRDefault="00CB5377" w:rsidP="00827EE5">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14.2pt;margin-top:-13.2pt;width:38.55pt;height:54.45pt;z-index:251661312;mso-width-relative:margin;mso-height-relative:margin" coordsize="488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">
                            <v:oval id="Oval 4" o:spid="_x0000_s1027" style="position:absolute;top:1283;width:4889;height:4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B2cMA&#10;AADaAAAADwAAAGRycy9kb3ducmV2LnhtbESPQWvCQBSE7wX/w/KE3nRjUqSmrtJWCrkmVsHbI/tM&#10;QrNv0+yapP++WxB6HGbmG2a7n0wrBupdY1nBahmBIC6tbrhS8Hn8WDyDcB5ZY2uZFPyQg/1u9rDF&#10;VNuRcxoKX4kAYZeigtr7LpXSlTUZdEvbEQfvanuDPsi+krrHMcBNK+MoWkuDDYeFGjt6r6n8Km5G&#10;QZUc8uGanePVZrjk5SlZF2/6W6nH+fT6AsLT5P/D93amFTzB35Vw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2B2cMAAADaAAAADwAAAAAAAAAAAAAAAACYAgAAZHJzL2Rv&#10;d25yZXYueG1sUEsFBgAAAAAEAAQA9QAAAIgDAAAAAA==&#10;" fillcolor="black" strokeweight="2pt"/>
                            <v:shapetype id="_x0000_t202" coordsize="21600,21600" o:spt="202" path="m,l,21600r21600,l21600,xe">
                              <v:stroke joinstyle="miter"/>
                              <v:path gradientshapeok="t" o:connecttype="rect"/>
                            </v:shapetype>
                            <v:shape id="Text Box 2" o:spid="_x0000_s1028" type="#_x0000_t202" style="position:absolute;left:721;width:3690;height:6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CB5377" w:rsidRPr="00D46806" w:rsidRDefault="00CB5377" w:rsidP="00827EE5">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v:textbox>
                            </v:shape>
                          </v:group>
                        </w:pict>
                      </mc:Fallback>
                    </mc:AlternateContent>
                  </w:r>
                </w:p>
              </w:tc>
              <w:tc>
                <w:tcPr>
                  <w:tcW w:w="7762" w:type="dxa"/>
                  <w:shd w:val="clear" w:color="auto" w:fill="EAEAEA"/>
                  <w:tcMar>
                    <w:top w:w="170" w:type="dxa"/>
                    <w:left w:w="170" w:type="dxa"/>
                    <w:bottom w:w="170" w:type="dxa"/>
                    <w:right w:w="170" w:type="dxa"/>
                  </w:tcMar>
                </w:tcPr>
                <w:p w:rsidR="00827EE5" w:rsidRPr="009401F6" w:rsidRDefault="00827EE5" w:rsidP="004103BB">
                  <w:r w:rsidRPr="009401F6">
                    <w:t xml:space="preserve">Text </w:t>
                  </w:r>
                </w:p>
                <w:p w:rsidR="00827EE5" w:rsidRPr="009401F6" w:rsidRDefault="00827EE5" w:rsidP="004103BB">
                  <w:r w:rsidRPr="009401F6">
                    <w:t xml:space="preserve">To delete this Tint box Select the whole table and then right click and choose </w:t>
                  </w:r>
                  <w:r w:rsidRPr="009401F6">
                    <w:rPr>
                      <w:b/>
                    </w:rPr>
                    <w:t>Cut</w:t>
                  </w:r>
                  <w:r w:rsidRPr="009401F6">
                    <w:t xml:space="preserve"> or </w:t>
                  </w:r>
                  <w:r w:rsidRPr="009401F6">
                    <w:rPr>
                      <w:b/>
                    </w:rPr>
                    <w:t>Ctrl X</w:t>
                  </w:r>
                </w:p>
              </w:tc>
            </w:tr>
          </w:tbl>
          <w:p w:rsidR="00827EE5" w:rsidRPr="009401F6" w:rsidRDefault="00827EE5" w:rsidP="004103BB">
            <w:pPr>
              <w:spacing w:before="0"/>
              <w:rPr>
                <w:sz w:val="20"/>
              </w:rPr>
            </w:pPr>
          </w:p>
        </w:tc>
        <w:tc>
          <w:tcPr>
            <w:tcW w:w="7762" w:type="dxa"/>
            <w:shd w:val="clear" w:color="auto" w:fill="EAEAEA"/>
            <w:tcMar>
              <w:top w:w="170" w:type="dxa"/>
              <w:left w:w="170" w:type="dxa"/>
              <w:bottom w:w="170" w:type="dxa"/>
              <w:right w:w="170" w:type="dxa"/>
            </w:tcMar>
          </w:tcPr>
          <w:p w:rsidR="00D57941" w:rsidRPr="00D57941" w:rsidRDefault="00D57941" w:rsidP="00604B52">
            <w:pPr>
              <w:spacing w:line="276" w:lineRule="auto"/>
              <w:rPr>
                <w:b/>
              </w:rPr>
            </w:pPr>
            <w:r w:rsidRPr="00D57941">
              <w:rPr>
                <w:b/>
              </w:rPr>
              <w:t>Current environment</w:t>
            </w:r>
          </w:p>
          <w:p w:rsidR="00827EE5" w:rsidRDefault="00827EE5" w:rsidP="00297BA4">
            <w:pPr>
              <w:pStyle w:val="ListBullet"/>
            </w:pPr>
            <w:r>
              <w:t xml:space="preserve">Are there any other environmental issues </w:t>
            </w:r>
            <w:r w:rsidR="00D57941">
              <w:t xml:space="preserve">that would </w:t>
            </w:r>
            <w:r>
              <w:t>inform</w:t>
            </w:r>
            <w:r w:rsidR="00D57941">
              <w:t xml:space="preserve"> or benefit the </w:t>
            </w:r>
            <w:r>
              <w:t>development of this proposal?</w:t>
            </w:r>
          </w:p>
          <w:p w:rsidR="00827EE5" w:rsidRPr="009401F6" w:rsidRDefault="00827EE5" w:rsidP="00297BA4">
            <w:pPr>
              <w:pStyle w:val="ListBullet"/>
            </w:pPr>
            <w:r>
              <w:t xml:space="preserve">Are there other issues </w:t>
            </w:r>
            <w:r w:rsidR="00D57941">
              <w:t xml:space="preserve">to </w:t>
            </w:r>
            <w:r>
              <w:t>be considered in developing this proposal?</w:t>
            </w:r>
          </w:p>
        </w:tc>
      </w:tr>
    </w:tbl>
    <w:p w:rsidR="005A2F78" w:rsidRDefault="005A2F78" w:rsidP="00297BA4">
      <w:r>
        <w:br w:type="page"/>
      </w:r>
    </w:p>
    <w:p w:rsidR="00DD6D45" w:rsidRDefault="00343C76" w:rsidP="0062426D">
      <w:pPr>
        <w:pStyle w:val="Heading2"/>
        <w:rPr>
          <w:rFonts w:eastAsiaTheme="minorHAnsi"/>
        </w:rPr>
      </w:pPr>
      <w:bookmarkStart w:id="38" w:name="_Toc466639086"/>
      <w:r>
        <w:rPr>
          <w:rFonts w:eastAsiaTheme="minorHAnsi"/>
        </w:rPr>
        <w:lastRenderedPageBreak/>
        <w:t xml:space="preserve">Principles and </w:t>
      </w:r>
      <w:r w:rsidR="0062426D">
        <w:rPr>
          <w:rFonts w:eastAsiaTheme="minorHAnsi"/>
        </w:rPr>
        <w:t>c</w:t>
      </w:r>
      <w:r>
        <w:rPr>
          <w:rFonts w:eastAsiaTheme="minorHAnsi"/>
        </w:rPr>
        <w:t>riteria</w:t>
      </w:r>
      <w:bookmarkEnd w:id="38"/>
    </w:p>
    <w:p w:rsidR="00F13BBD" w:rsidRDefault="00F13BBD" w:rsidP="0062426D">
      <w:r>
        <w:t>The TGA approach to implementing recommendations from the Medicines and Medical Devices Review (MMDR) aims to reduce duplication of processes to support the MMDR recommendations. As Priority Review pathway</w:t>
      </w:r>
      <w:r w:rsidR="00D26E89">
        <w:t xml:space="preserve">s are </w:t>
      </w:r>
      <w:r>
        <w:t xml:space="preserve">recommended for </w:t>
      </w:r>
      <w:r w:rsidR="00D26E89">
        <w:t xml:space="preserve">both </w:t>
      </w:r>
      <w:r>
        <w:t>medicines and medical devices:</w:t>
      </w:r>
    </w:p>
    <w:p w:rsidR="00F13BBD" w:rsidRDefault="00F13BBD" w:rsidP="0062426D">
      <w:pPr>
        <w:pStyle w:val="ListBullet"/>
      </w:pPr>
      <w:r>
        <w:t>a common suite of princi</w:t>
      </w:r>
      <w:r w:rsidR="0062426D">
        <w:t>ples are proposed to apply, and</w:t>
      </w:r>
    </w:p>
    <w:p w:rsidR="00DD6D45" w:rsidRDefault="00D26E89" w:rsidP="0062426D">
      <w:pPr>
        <w:pStyle w:val="ListBullet"/>
      </w:pPr>
      <w:proofErr w:type="gramStart"/>
      <w:r>
        <w:t>eligibility</w:t>
      </w:r>
      <w:proofErr w:type="gramEnd"/>
      <w:r>
        <w:t xml:space="preserve"> </w:t>
      </w:r>
      <w:r w:rsidR="00F13BBD">
        <w:t xml:space="preserve">criteria for Priority Review </w:t>
      </w:r>
      <w:r>
        <w:t xml:space="preserve">will be aligned to </w:t>
      </w:r>
      <w:r w:rsidR="00F13BBD">
        <w:t>the extent appropriate given the differences between medicines and medical devices.</w:t>
      </w:r>
    </w:p>
    <w:p w:rsidR="00F13BBD" w:rsidRDefault="00F13BBD" w:rsidP="0062426D">
      <w:r>
        <w:t>This section details the proposed principles and selection criteria for Priority Review.</w:t>
      </w:r>
    </w:p>
    <w:p w:rsidR="00037B61" w:rsidRDefault="00037B61" w:rsidP="00E57977">
      <w:pPr>
        <w:pStyle w:val="Heading3"/>
      </w:pPr>
      <w:bookmarkStart w:id="39" w:name="_Toc466639087"/>
      <w:r>
        <w:t>Principles for Priority Review</w:t>
      </w:r>
      <w:bookmarkEnd w:id="39"/>
    </w:p>
    <w:p w:rsidR="00BF1879" w:rsidRPr="00722D00" w:rsidRDefault="00BF1879" w:rsidP="00BF1879">
      <w:pPr>
        <w:rPr>
          <w:szCs w:val="22"/>
        </w:rPr>
      </w:pPr>
      <w:r>
        <w:t xml:space="preserve">TGA is applying the following principles to guide the development of the expedited pathways for </w:t>
      </w:r>
      <w:r w:rsidRPr="00694375">
        <w:t>medicines and medical devices</w:t>
      </w:r>
      <w:r>
        <w:t>:</w:t>
      </w:r>
    </w:p>
    <w:p w:rsidR="00BF1879" w:rsidRPr="00D06690" w:rsidRDefault="006F378D" w:rsidP="0062426D">
      <w:pPr>
        <w:pStyle w:val="Numberbullet0"/>
        <w:numPr>
          <w:ilvl w:val="0"/>
          <w:numId w:val="23"/>
        </w:numPr>
      </w:pPr>
      <w:r>
        <w:t>H</w:t>
      </w:r>
      <w:r w:rsidR="004D60B5">
        <w:t xml:space="preserve">ealth professional and consumer </w:t>
      </w:r>
      <w:r w:rsidR="00BF1879" w:rsidRPr="00D06690">
        <w:t xml:space="preserve">confidence in TGA regulation of the safety, </w:t>
      </w:r>
      <w:r w:rsidR="00283688">
        <w:t xml:space="preserve">performance </w:t>
      </w:r>
      <w:r w:rsidR="00BF1879" w:rsidRPr="00D06690">
        <w:t>and quality of thera</w:t>
      </w:r>
      <w:r w:rsidR="0062426D">
        <w:t>peutic goods must be maintained</w:t>
      </w:r>
    </w:p>
    <w:p w:rsidR="00BF1879" w:rsidRDefault="00BF1879" w:rsidP="0062426D">
      <w:pPr>
        <w:pStyle w:val="Numberbullet0"/>
      </w:pPr>
      <w:r w:rsidRPr="00D06690">
        <w:t>TGA will provide clear guidance to enable the applicant to adhere to the designation and registration processes</w:t>
      </w:r>
    </w:p>
    <w:p w:rsidR="00BF1879" w:rsidRPr="00D06690" w:rsidRDefault="00BF1879" w:rsidP="0062426D">
      <w:pPr>
        <w:pStyle w:val="Numberbullet0"/>
      </w:pPr>
      <w:r w:rsidRPr="00D06690">
        <w:t>Applicants will be responsible for providing TGA with all information necessary to get</w:t>
      </w:r>
      <w:r>
        <w:t>,</w:t>
      </w:r>
      <w:r w:rsidRPr="00D06690">
        <w:t xml:space="preserve"> and support</w:t>
      </w:r>
      <w:r>
        <w:t>,</w:t>
      </w:r>
      <w:r w:rsidRPr="00D06690">
        <w:t xml:space="preserve"> continued designation</w:t>
      </w:r>
    </w:p>
    <w:p w:rsidR="00BF1879" w:rsidRPr="00D06690" w:rsidRDefault="00BF1879" w:rsidP="0062426D">
      <w:pPr>
        <w:pStyle w:val="Numberbullet0"/>
      </w:pPr>
      <w:r w:rsidRPr="00D06690">
        <w:t>Both TGA and the applicant will commit to open and timely communication to support expediting the application in the interest of public health benefit</w:t>
      </w:r>
    </w:p>
    <w:p w:rsidR="00BF1879" w:rsidRPr="00D06690" w:rsidRDefault="00BF1879" w:rsidP="0062426D">
      <w:pPr>
        <w:pStyle w:val="Numberbullet0"/>
      </w:pPr>
      <w:r w:rsidRPr="00D06690">
        <w:t>There will be transparency of the criteria, and of designation and registration decisions</w:t>
      </w:r>
    </w:p>
    <w:p w:rsidR="00BF1879" w:rsidRPr="00D06690" w:rsidRDefault="00BF1879" w:rsidP="0062426D">
      <w:pPr>
        <w:pStyle w:val="Numberbullet0"/>
      </w:pPr>
      <w:r w:rsidRPr="00D06690">
        <w:t>The designation and registration p</w:t>
      </w:r>
      <w:r w:rsidR="0062426D">
        <w:t>rocesses will be cost recovered</w:t>
      </w:r>
    </w:p>
    <w:p w:rsidR="00BF1879" w:rsidRDefault="00BF1879" w:rsidP="0062426D">
      <w:pPr>
        <w:pStyle w:val="Numberbullet0"/>
      </w:pPr>
      <w:r w:rsidRPr="00D06690">
        <w:t xml:space="preserve">Appeal rights regarding the </w:t>
      </w:r>
      <w:r w:rsidR="0062426D">
        <w:t>designation decision will exist</w:t>
      </w:r>
    </w:p>
    <w:p w:rsidR="00BF1879" w:rsidRPr="00D06690" w:rsidRDefault="00BF1879" w:rsidP="0062426D">
      <w:pPr>
        <w:pStyle w:val="Numberbullet0"/>
      </w:pPr>
      <w:r w:rsidRPr="00D06690">
        <w:t>The designation and registration processes should not result in an unreasonable diversion of TGA resources f</w:t>
      </w:r>
      <w:r>
        <w:t>rom business as usual activities</w:t>
      </w:r>
    </w:p>
    <w:p w:rsidR="002272EE" w:rsidRPr="0062426D" w:rsidRDefault="00C44536" w:rsidP="00E57977">
      <w:pPr>
        <w:pStyle w:val="Heading3"/>
      </w:pPr>
      <w:bookmarkStart w:id="40" w:name="_Toc462151516"/>
      <w:bookmarkStart w:id="41" w:name="_Toc462215235"/>
      <w:bookmarkStart w:id="42" w:name="_Toc466639088"/>
      <w:r>
        <w:t>C</w:t>
      </w:r>
      <w:r w:rsidR="002272EE">
        <w:t>riteria</w:t>
      </w:r>
      <w:r>
        <w:t xml:space="preserve"> for Priority Review</w:t>
      </w:r>
      <w:bookmarkEnd w:id="40"/>
      <w:bookmarkEnd w:id="41"/>
      <w:bookmarkEnd w:id="42"/>
    </w:p>
    <w:p w:rsidR="00F13BBD" w:rsidRDefault="00B07591" w:rsidP="0062426D">
      <w:r>
        <w:t>In response to Recommendation 19 of the MMDR, t</w:t>
      </w:r>
      <w:r w:rsidR="00A86E2C">
        <w:t xml:space="preserve">he </w:t>
      </w:r>
      <w:r>
        <w:t xml:space="preserve">proposed </w:t>
      </w:r>
      <w:r w:rsidR="00A86E2C">
        <w:t xml:space="preserve">criteria for </w:t>
      </w:r>
      <w:r w:rsidR="00313576">
        <w:t xml:space="preserve">designation of </w:t>
      </w:r>
      <w:r>
        <w:t xml:space="preserve">medical device Priority Review </w:t>
      </w:r>
      <w:r w:rsidR="00A86E2C">
        <w:t xml:space="preserve">have been </w:t>
      </w:r>
      <w:r w:rsidR="00586592">
        <w:t xml:space="preserve">developed with consideration </w:t>
      </w:r>
      <w:r>
        <w:t xml:space="preserve">of the </w:t>
      </w:r>
      <w:r w:rsidR="00313576">
        <w:t xml:space="preserve">US </w:t>
      </w:r>
      <w:r w:rsidR="00A86E2C">
        <w:t>FDA’s criteria for Priority Review.</w:t>
      </w:r>
      <w:r>
        <w:t xml:space="preserve"> The </w:t>
      </w:r>
      <w:r w:rsidR="00372C37">
        <w:t xml:space="preserve">US </w:t>
      </w:r>
      <w:r>
        <w:t xml:space="preserve">FDA criteria are </w:t>
      </w:r>
      <w:r w:rsidR="00F13BBD">
        <w:t xml:space="preserve">provided for reference </w:t>
      </w:r>
      <w:r>
        <w:t xml:space="preserve">at </w:t>
      </w:r>
      <w:r w:rsidR="00F13BBD" w:rsidRPr="00B07591">
        <w:t>Attachment </w:t>
      </w:r>
      <w:r w:rsidRPr="00B07591">
        <w:t>A</w:t>
      </w:r>
      <w:r>
        <w:rPr>
          <w:b/>
        </w:rPr>
        <w:t>.</w:t>
      </w:r>
    </w:p>
    <w:p w:rsidR="002272EE" w:rsidRDefault="00C44536" w:rsidP="0062426D">
      <w:r>
        <w:t xml:space="preserve">Medical devices </w:t>
      </w:r>
      <w:r w:rsidR="00E04C68">
        <w:t>may seek</w:t>
      </w:r>
      <w:r w:rsidR="00494A73">
        <w:t xml:space="preserve"> </w:t>
      </w:r>
      <w:r w:rsidR="00B27A6E">
        <w:t xml:space="preserve">designation for </w:t>
      </w:r>
      <w:r>
        <w:t xml:space="preserve">Priority Review </w:t>
      </w:r>
      <w:r w:rsidR="00E04C68">
        <w:t xml:space="preserve">for conformity assessment and for applications for inclusion on the ARTG, and </w:t>
      </w:r>
      <w:r>
        <w:t>are required to meet ALL of the following criteria</w:t>
      </w:r>
      <w:r w:rsidR="002272EE">
        <w:t>:</w:t>
      </w:r>
    </w:p>
    <w:p w:rsidR="00FB3693" w:rsidRDefault="00494A73" w:rsidP="0062426D">
      <w:pPr>
        <w:pStyle w:val="Numberbullet0"/>
      </w:pPr>
      <w:r>
        <w:t>T</w:t>
      </w:r>
      <w:r w:rsidR="002272EE" w:rsidRPr="00B3038A">
        <w:t>he</w:t>
      </w:r>
      <w:r w:rsidR="002272EE">
        <w:t xml:space="preserve"> medical device</w:t>
      </w:r>
      <w:r w:rsidR="002272EE" w:rsidRPr="00B3038A">
        <w:t xml:space="preserve"> is </w:t>
      </w:r>
      <w:r w:rsidR="002272EE">
        <w:t xml:space="preserve">intended </w:t>
      </w:r>
      <w:r w:rsidR="002272EE" w:rsidRPr="00B3038A">
        <w:t xml:space="preserve">for the </w:t>
      </w:r>
      <w:r>
        <w:t xml:space="preserve">prevention, diagnosis or </w:t>
      </w:r>
      <w:r w:rsidR="002272EE" w:rsidRPr="00B3038A">
        <w:t>treatment</w:t>
      </w:r>
      <w:r>
        <w:t xml:space="preserve"> o</w:t>
      </w:r>
      <w:r w:rsidR="002272EE" w:rsidRPr="00B3038A">
        <w:t xml:space="preserve">f a life threatening or </w:t>
      </w:r>
      <w:r w:rsidR="003719B2">
        <w:t xml:space="preserve">seriously </w:t>
      </w:r>
      <w:r w:rsidR="002272EE" w:rsidRPr="00B3038A">
        <w:t>debilitating disease or condition</w:t>
      </w:r>
      <w:r w:rsidR="00FB3693">
        <w:t>; AND</w:t>
      </w:r>
    </w:p>
    <w:p w:rsidR="00FB3693" w:rsidRDefault="00FB3693" w:rsidP="0062426D">
      <w:pPr>
        <w:pStyle w:val="Numberbullet0"/>
      </w:pPr>
      <w:r>
        <w:t>T</w:t>
      </w:r>
      <w:r w:rsidRPr="00785027">
        <w:t>he medic</w:t>
      </w:r>
      <w:r>
        <w:t xml:space="preserve">al device </w:t>
      </w:r>
      <w:r w:rsidRPr="00785027">
        <w:t>addresses an unmet clinical ne</w:t>
      </w:r>
      <w:r>
        <w:t>ed in Australian patients; AND</w:t>
      </w:r>
    </w:p>
    <w:p w:rsidR="00FB3693" w:rsidRPr="00A86E2C" w:rsidRDefault="00FB3693" w:rsidP="006F378D">
      <w:pPr>
        <w:pStyle w:val="Numberbullet0"/>
      </w:pPr>
      <w:r>
        <w:t>M</w:t>
      </w:r>
      <w:r w:rsidRPr="00A86E2C">
        <w:t>eets</w:t>
      </w:r>
      <w:r w:rsidRPr="00FB3693">
        <w:rPr>
          <w:b/>
        </w:rPr>
        <w:t xml:space="preserve"> </w:t>
      </w:r>
      <w:r w:rsidRPr="00A86E2C">
        <w:t>at least one of the following:</w:t>
      </w:r>
    </w:p>
    <w:p w:rsidR="005543BA" w:rsidRDefault="00FB3693" w:rsidP="0062426D">
      <w:pPr>
        <w:pStyle w:val="ListBullet2"/>
      </w:pPr>
      <w:r>
        <w:t xml:space="preserve">the device </w:t>
      </w:r>
      <w:r w:rsidRPr="00A86E2C">
        <w:t xml:space="preserve">represents a breakthrough technology </w:t>
      </w:r>
      <w:r>
        <w:t xml:space="preserve">with </w:t>
      </w:r>
      <w:r w:rsidR="003B37E6">
        <w:t xml:space="preserve">evidence of a major </w:t>
      </w:r>
      <w:r w:rsidRPr="005543BA">
        <w:rPr>
          <w:i/>
        </w:rPr>
        <w:t>clinical</w:t>
      </w:r>
      <w:r w:rsidR="00E178AE" w:rsidRPr="005543BA">
        <w:rPr>
          <w:i/>
          <w:sz w:val="24"/>
          <w:szCs w:val="24"/>
          <w:vertAlign w:val="superscript"/>
        </w:rPr>
        <w:t>*</w:t>
      </w:r>
      <w:r w:rsidRPr="005543BA">
        <w:rPr>
          <w:sz w:val="24"/>
          <w:szCs w:val="24"/>
          <w:vertAlign w:val="superscript"/>
        </w:rPr>
        <w:t xml:space="preserve"> </w:t>
      </w:r>
      <w:r>
        <w:t xml:space="preserve">advantage </w:t>
      </w:r>
      <w:r w:rsidRPr="00A86E2C">
        <w:t>over existing technology</w:t>
      </w:r>
      <w:r>
        <w:t>, OR</w:t>
      </w:r>
    </w:p>
    <w:p w:rsidR="00FB3693" w:rsidRDefault="00FB3693" w:rsidP="0062426D">
      <w:pPr>
        <w:pStyle w:val="ListBullet2"/>
      </w:pPr>
      <w:r>
        <w:lastRenderedPageBreak/>
        <w:t xml:space="preserve">there is </w:t>
      </w:r>
      <w:r w:rsidR="003B37E6">
        <w:t xml:space="preserve">evidence that the device offers a major </w:t>
      </w:r>
      <w:r w:rsidRPr="005543BA">
        <w:rPr>
          <w:i/>
        </w:rPr>
        <w:t>clinical</w:t>
      </w:r>
      <w:r w:rsidR="00664EB2" w:rsidRPr="005543BA">
        <w:rPr>
          <w:i/>
          <w:sz w:val="24"/>
          <w:szCs w:val="24"/>
          <w:vertAlign w:val="superscript"/>
        </w:rPr>
        <w:t>*</w:t>
      </w:r>
      <w:r w:rsidR="00664EB2" w:rsidRPr="005543BA">
        <w:rPr>
          <w:sz w:val="24"/>
          <w:szCs w:val="24"/>
          <w:vertAlign w:val="superscript"/>
        </w:rPr>
        <w:t xml:space="preserve"> </w:t>
      </w:r>
      <w:r w:rsidRPr="00A86E2C">
        <w:t>advantage over existing alternatives included in the ARTG</w:t>
      </w:r>
      <w:r w:rsidR="005543BA">
        <w:t>,</w:t>
      </w:r>
      <w:r w:rsidR="003B37E6">
        <w:t xml:space="preserve"> OR</w:t>
      </w:r>
    </w:p>
    <w:p w:rsidR="003B37E6" w:rsidRDefault="003B37E6" w:rsidP="00604B52">
      <w:pPr>
        <w:pStyle w:val="ListBullet2"/>
      </w:pPr>
      <w:r>
        <w:t>In the case of in vitro devices (IVDs) ONLY, early availability in Australia will result in a major public health benefit.</w:t>
      </w:r>
    </w:p>
    <w:p w:rsidR="00E178AE" w:rsidRPr="006F378D" w:rsidRDefault="006F378D" w:rsidP="0062426D">
      <w:pPr>
        <w:pStyle w:val="Reference"/>
      </w:pPr>
      <w:r w:rsidRPr="006F378D">
        <w:t>*</w:t>
      </w:r>
      <w:r w:rsidRPr="006F378D">
        <w:tab/>
      </w:r>
      <w:r>
        <w:t>E</w:t>
      </w:r>
      <w:proofErr w:type="spellStart"/>
      <w:r w:rsidRPr="006F378D">
        <w:rPr>
          <w:lang w:val="en-US"/>
        </w:rPr>
        <w:t>ngineering</w:t>
      </w:r>
      <w:proofErr w:type="spellEnd"/>
      <w:r w:rsidR="00E178AE" w:rsidRPr="006F378D">
        <w:rPr>
          <w:lang w:val="en-US"/>
        </w:rPr>
        <w:t xml:space="preserve"> or pre- clinical evidence is insufficient on its own; there must be evidence of a major </w:t>
      </w:r>
      <w:r w:rsidR="005E1BE8" w:rsidRPr="006F378D">
        <w:rPr>
          <w:lang w:val="en-US"/>
        </w:rPr>
        <w:t xml:space="preserve">clinical </w:t>
      </w:r>
      <w:r w:rsidR="00E178AE" w:rsidRPr="006F378D">
        <w:rPr>
          <w:lang w:val="en-US"/>
        </w:rPr>
        <w:t>advantage.</w:t>
      </w:r>
    </w:p>
    <w:p w:rsidR="00494A73" w:rsidRDefault="00494A73" w:rsidP="00F65C4D">
      <w:r>
        <w:t xml:space="preserve">When applying for a Priority Review, a sponsor acknowledgement will be requested indicating that a full dossier is available to support conformity assessment or </w:t>
      </w:r>
      <w:r w:rsidR="00313576">
        <w:t xml:space="preserve">an </w:t>
      </w:r>
      <w:r w:rsidR="00C4074A">
        <w:t xml:space="preserve">ARTG </w:t>
      </w:r>
      <w:r>
        <w:t xml:space="preserve">inclusion application if the device is </w:t>
      </w:r>
      <w:r w:rsidR="00313576">
        <w:t xml:space="preserve">designated as </w:t>
      </w:r>
      <w:r>
        <w:t xml:space="preserve">eligible for Priority </w:t>
      </w:r>
      <w:r w:rsidR="00F65C4D">
        <w:t>Review.</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27EE5" w:rsidRPr="009401F6" w:rsidTr="004103BB">
        <w:trPr>
          <w:trHeight w:val="1206"/>
        </w:trPr>
        <w:tc>
          <w:tcPr>
            <w:tcW w:w="1276" w:type="dxa"/>
            <w:vAlign w:val="center"/>
          </w:tcPr>
          <w:tbl>
            <w:tblPr>
              <w:tblW w:w="9038" w:type="dxa"/>
              <w:tblLayout w:type="fixed"/>
              <w:tblCellMar>
                <w:left w:w="0" w:type="dxa"/>
                <w:right w:w="0" w:type="dxa"/>
              </w:tblCellMar>
              <w:tblLook w:val="04A0" w:firstRow="1" w:lastRow="0" w:firstColumn="1" w:lastColumn="0" w:noHBand="0" w:noVBand="1"/>
            </w:tblPr>
            <w:tblGrid>
              <w:gridCol w:w="1276"/>
              <w:gridCol w:w="7762"/>
            </w:tblGrid>
            <w:tr w:rsidR="00827EE5" w:rsidRPr="009401F6" w:rsidTr="004103BB">
              <w:trPr>
                <w:trHeight w:val="1206"/>
              </w:trPr>
              <w:tc>
                <w:tcPr>
                  <w:tcW w:w="1276" w:type="dxa"/>
                  <w:vAlign w:val="center"/>
                </w:tcPr>
                <w:p w:rsidR="00827EE5" w:rsidRPr="009401F6" w:rsidRDefault="00827EE5" w:rsidP="004103BB">
                  <w:pPr>
                    <w:spacing w:before="0"/>
                    <w:rPr>
                      <w:sz w:val="20"/>
                    </w:rPr>
                  </w:pPr>
                  <w:r>
                    <w:rPr>
                      <w:noProof/>
                      <w:sz w:val="20"/>
                      <w:lang w:eastAsia="en-AU"/>
                    </w:rPr>
                    <mc:AlternateContent>
                      <mc:Choice Requires="wpg">
                        <w:drawing>
                          <wp:anchor distT="0" distB="0" distL="114300" distR="114300" simplePos="0" relativeHeight="251659264" behindDoc="0" locked="0" layoutInCell="1" allowOverlap="1" wp14:anchorId="5D0622FF" wp14:editId="4F797F88">
                            <wp:simplePos x="0" y="0"/>
                            <wp:positionH relativeFrom="column">
                              <wp:posOffset>180340</wp:posOffset>
                            </wp:positionH>
                            <wp:positionV relativeFrom="paragraph">
                              <wp:posOffset>-167640</wp:posOffset>
                            </wp:positionV>
                            <wp:extent cx="489600" cy="691200"/>
                            <wp:effectExtent l="0" t="0" r="24765" b="0"/>
                            <wp:wrapNone/>
                            <wp:docPr id="12" name="Group 12"/>
                            <wp:cNvGraphicFramePr/>
                            <a:graphic xmlns:a="http://schemas.openxmlformats.org/drawingml/2006/main">
                              <a:graphicData uri="http://schemas.microsoft.com/office/word/2010/wordprocessingGroup">
                                <wpg:wgp>
                                  <wpg:cNvGrpSpPr/>
                                  <wpg:grpSpPr>
                                    <a:xfrm>
                                      <a:off x="0" y="0"/>
                                      <a:ext cx="489600" cy="691200"/>
                                      <a:chOff x="0" y="0"/>
                                      <a:chExt cx="488950" cy="689610"/>
                                    </a:xfrm>
                                  </wpg:grpSpPr>
                                  <wps:wsp>
                                    <wps:cNvPr id="13" name="Oval 13"/>
                                    <wps:cNvSpPr/>
                                    <wps:spPr>
                                      <a:xfrm>
                                        <a:off x="0" y="128337"/>
                                        <a:ext cx="488950" cy="495935"/>
                                      </a:xfrm>
                                      <a:prstGeom prst="ellipse">
                                        <a:avLst/>
                                      </a:prstGeom>
                                      <a:solidFill>
                                        <a:srgbClr val="00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
                                    <wps:cNvSpPr txBox="1">
                                      <a:spLocks noChangeArrowheads="1"/>
                                    </wps:cNvSpPr>
                                    <wps:spPr bwMode="auto">
                                      <a:xfrm>
                                        <a:off x="72190" y="0"/>
                                        <a:ext cx="368935" cy="689610"/>
                                      </a:xfrm>
                                      <a:prstGeom prst="rect">
                                        <a:avLst/>
                                      </a:prstGeom>
                                      <a:noFill/>
                                      <a:ln w="9525">
                                        <a:noFill/>
                                        <a:miter lim="800000"/>
                                        <a:headEnd/>
                                        <a:tailEnd/>
                                      </a:ln>
                                    </wps:spPr>
                                    <wps:txbx>
                                      <w:txbxContent>
                                        <w:p w:rsidR="00CB5377" w:rsidRPr="00D46806" w:rsidRDefault="00CB5377" w:rsidP="00827EE5">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9" style="position:absolute;margin-left:14.2pt;margin-top:-13.2pt;width:38.55pt;height:54.45pt;z-index:251659264;mso-width-relative:margin;mso-height-relative:margin" coordsize="488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">
                            <v:oval id="Oval 13" o:spid="_x0000_s1030" style="position:absolute;top:1283;width:4889;height:4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qG8IA&#10;AADbAAAADwAAAGRycy9kb3ducmV2LnhtbERPTWuDQBC9F/Iflgn0VtdEkMa4CUlLwau2DeQ2uBOV&#10;uLPG3Rr777uFQm/zeJ+T72fTi4lG11lWsIpiEMS11R03Cj7e356eQTiPrLG3TAq+ycF+t3jIMdP2&#10;ziVNlW9ECGGXoYLW+yGT0tUtGXSRHYgDd7GjQR/g2Eg94j2Em16u4ziVBjsODS0O9NJSfa2+jIIm&#10;eS2nS3FarzbTuaw/k7Q66ptSj8v5sAXhafb/4j93ocP8BH5/CQ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eobwgAAANsAAAAPAAAAAAAAAAAAAAAAAJgCAABkcnMvZG93&#10;bnJldi54bWxQSwUGAAAAAAQABAD1AAAAhwMAAAAA&#10;" fillcolor="black" strokeweight="2pt"/>
                            <v:shape id="Text Box 2" o:spid="_x0000_s1031" type="#_x0000_t202" style="position:absolute;left:721;width:3690;height:6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CB5377" w:rsidRPr="00D46806" w:rsidRDefault="00CB5377" w:rsidP="00827EE5">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v:textbox>
                            </v:shape>
                          </v:group>
                        </w:pict>
                      </mc:Fallback>
                    </mc:AlternateContent>
                  </w:r>
                </w:p>
              </w:tc>
              <w:tc>
                <w:tcPr>
                  <w:tcW w:w="7762" w:type="dxa"/>
                  <w:shd w:val="clear" w:color="auto" w:fill="EAEAEA"/>
                  <w:tcMar>
                    <w:top w:w="170" w:type="dxa"/>
                    <w:left w:w="170" w:type="dxa"/>
                    <w:bottom w:w="170" w:type="dxa"/>
                    <w:right w:w="170" w:type="dxa"/>
                  </w:tcMar>
                </w:tcPr>
                <w:p w:rsidR="00827EE5" w:rsidRPr="009401F6" w:rsidRDefault="00827EE5" w:rsidP="004103BB">
                  <w:r w:rsidRPr="009401F6">
                    <w:t xml:space="preserve">Text </w:t>
                  </w:r>
                </w:p>
                <w:p w:rsidR="00827EE5" w:rsidRPr="009401F6" w:rsidRDefault="00827EE5" w:rsidP="004103BB">
                  <w:r w:rsidRPr="009401F6">
                    <w:t xml:space="preserve">To delete this Tint box Select the whole table and then right click and choose </w:t>
                  </w:r>
                  <w:r w:rsidRPr="009401F6">
                    <w:rPr>
                      <w:b/>
                    </w:rPr>
                    <w:t>Cut</w:t>
                  </w:r>
                  <w:r w:rsidRPr="009401F6">
                    <w:t xml:space="preserve"> or </w:t>
                  </w:r>
                  <w:r w:rsidRPr="009401F6">
                    <w:rPr>
                      <w:b/>
                    </w:rPr>
                    <w:t>Ctrl X</w:t>
                  </w:r>
                </w:p>
              </w:tc>
            </w:tr>
          </w:tbl>
          <w:p w:rsidR="00827EE5" w:rsidRPr="009401F6" w:rsidRDefault="00827EE5" w:rsidP="004103BB">
            <w:pPr>
              <w:spacing w:before="0"/>
              <w:rPr>
                <w:sz w:val="20"/>
              </w:rPr>
            </w:pPr>
          </w:p>
        </w:tc>
        <w:tc>
          <w:tcPr>
            <w:tcW w:w="7762" w:type="dxa"/>
            <w:shd w:val="clear" w:color="auto" w:fill="EAEAEA"/>
            <w:tcMar>
              <w:top w:w="170" w:type="dxa"/>
              <w:left w:w="170" w:type="dxa"/>
              <w:bottom w:w="170" w:type="dxa"/>
              <w:right w:w="170" w:type="dxa"/>
            </w:tcMar>
          </w:tcPr>
          <w:p w:rsidR="00827EE5" w:rsidRPr="00D46806" w:rsidRDefault="008C169B" w:rsidP="004103BB">
            <w:pPr>
              <w:rPr>
                <w:b/>
              </w:rPr>
            </w:pPr>
            <w:r>
              <w:rPr>
                <w:b/>
              </w:rPr>
              <w:t>Principles and criteria</w:t>
            </w:r>
          </w:p>
          <w:p w:rsidR="00577D65" w:rsidRDefault="00577D65" w:rsidP="00F65C4D">
            <w:pPr>
              <w:pStyle w:val="ListBullet"/>
            </w:pPr>
            <w:r>
              <w:t xml:space="preserve">Are the criteria appropriate to restrict acceptance for </w:t>
            </w:r>
            <w:r w:rsidR="00B07591">
              <w:t xml:space="preserve">Priority Review </w:t>
            </w:r>
            <w:r>
              <w:t xml:space="preserve">to the truly new and novel devices for patients in immediate need? </w:t>
            </w:r>
            <w:r w:rsidR="00B07591">
              <w:t>Noting that a</w:t>
            </w:r>
            <w:r>
              <w:t xml:space="preserve">cceptance of a large number of applications </w:t>
            </w:r>
            <w:r w:rsidR="00B07591">
              <w:t xml:space="preserve">would </w:t>
            </w:r>
            <w:r>
              <w:t xml:space="preserve">undermine the viability of </w:t>
            </w:r>
            <w:r w:rsidR="00B07591">
              <w:t>Priority Review</w:t>
            </w:r>
            <w:r>
              <w:t>.</w:t>
            </w:r>
          </w:p>
          <w:p w:rsidR="008C169B" w:rsidRDefault="008C169B" w:rsidP="00F65C4D">
            <w:pPr>
              <w:pStyle w:val="ListBullet"/>
            </w:pPr>
            <w:r>
              <w:t>Do the proposed criteria cover all issues which should be considered in assessing a medical device for Priority Review designation?</w:t>
            </w:r>
          </w:p>
          <w:p w:rsidR="00E40873" w:rsidRPr="009401F6" w:rsidRDefault="00E40873" w:rsidP="00F65C4D">
            <w:pPr>
              <w:pStyle w:val="ListBullet"/>
            </w:pPr>
            <w:r>
              <w:t>What is your estimated likelihood of making an application for a medical device to have Priority Review designation?</w:t>
            </w:r>
          </w:p>
        </w:tc>
      </w:tr>
    </w:tbl>
    <w:p w:rsidR="005A2F78" w:rsidRDefault="005A2F78" w:rsidP="00F65C4D">
      <w:r>
        <w:br w:type="page"/>
      </w:r>
    </w:p>
    <w:p w:rsidR="00DD6D45" w:rsidRDefault="004F1EBB" w:rsidP="00DD6D45">
      <w:pPr>
        <w:pStyle w:val="Heading2"/>
      </w:pPr>
      <w:bookmarkStart w:id="43" w:name="_Toc466639089"/>
      <w:r>
        <w:rPr>
          <w:rFonts w:eastAsiaTheme="minorHAnsi"/>
        </w:rPr>
        <w:lastRenderedPageBreak/>
        <w:t>Propose</w:t>
      </w:r>
      <w:r w:rsidRPr="00F65C4D">
        <w:rPr>
          <w:rFonts w:eastAsiaTheme="minorHAnsi"/>
        </w:rPr>
        <w:t>d</w:t>
      </w:r>
      <w:r>
        <w:rPr>
          <w:rFonts w:eastAsiaTheme="minorHAnsi"/>
        </w:rPr>
        <w:t xml:space="preserve"> i</w:t>
      </w:r>
      <w:r w:rsidR="00DD6D45">
        <w:rPr>
          <w:rFonts w:eastAsiaTheme="minorHAnsi"/>
        </w:rPr>
        <w:t xml:space="preserve">mplementation of </w:t>
      </w:r>
      <w:r w:rsidR="00DD6D45" w:rsidRPr="006D58E3">
        <w:rPr>
          <w:rFonts w:eastAsiaTheme="minorHAnsi"/>
        </w:rPr>
        <w:t>Priority Review</w:t>
      </w:r>
      <w:bookmarkEnd w:id="43"/>
    </w:p>
    <w:p w:rsidR="004F1EBB" w:rsidRDefault="004F1EBB" w:rsidP="00F65C4D">
      <w:r>
        <w:t xml:space="preserve">This section outlines the proposed implementation of </w:t>
      </w:r>
      <w:r w:rsidR="00FF19A8">
        <w:t xml:space="preserve">the </w:t>
      </w:r>
      <w:r>
        <w:t xml:space="preserve">Priority Review </w:t>
      </w:r>
      <w:r w:rsidR="00FF19A8">
        <w:t xml:space="preserve">pathway </w:t>
      </w:r>
      <w:r>
        <w:t>for medical devices</w:t>
      </w:r>
      <w:r w:rsidR="00B51F8B">
        <w:t xml:space="preserve"> in response to Recommendation 15 of the MMDR</w:t>
      </w:r>
      <w:r w:rsidR="00E23179">
        <w:t>,</w:t>
      </w:r>
      <w:r>
        <w:t xml:space="preserve"> </w:t>
      </w:r>
      <w:r w:rsidR="00BD38CC">
        <w:t xml:space="preserve">with </w:t>
      </w:r>
      <w:r w:rsidR="00FF19A8">
        <w:t>discussion of</w:t>
      </w:r>
      <w:r>
        <w:t>:</w:t>
      </w:r>
    </w:p>
    <w:p w:rsidR="004F1EBB" w:rsidRDefault="004F1EBB" w:rsidP="00F65C4D">
      <w:pPr>
        <w:pStyle w:val="ListBullet"/>
      </w:pPr>
      <w:r>
        <w:t>a process for applying for Priority Review</w:t>
      </w:r>
      <w:r w:rsidR="00976E63">
        <w:t>:</w:t>
      </w:r>
    </w:p>
    <w:p w:rsidR="00976E63" w:rsidRPr="00F65C4D" w:rsidRDefault="00976E63" w:rsidP="00F65C4D">
      <w:pPr>
        <w:pStyle w:val="ListBullet2"/>
      </w:pPr>
      <w:r>
        <w:t>sponsor al</w:t>
      </w:r>
      <w:r w:rsidRPr="00F65C4D">
        <w:t>ert to TGA</w:t>
      </w:r>
    </w:p>
    <w:p w:rsidR="00976E63" w:rsidRDefault="00976E63" w:rsidP="00F65C4D">
      <w:pPr>
        <w:pStyle w:val="ListBullet2"/>
      </w:pPr>
      <w:r w:rsidRPr="00F65C4D">
        <w:t>application for Priority Rev</w:t>
      </w:r>
      <w:r>
        <w:t>iew designation</w:t>
      </w:r>
    </w:p>
    <w:p w:rsidR="004F1EBB" w:rsidRPr="00F65C4D" w:rsidRDefault="004F1EBB" w:rsidP="00F65C4D">
      <w:pPr>
        <w:pStyle w:val="ListBullet"/>
      </w:pPr>
      <w:r>
        <w:t>manag</w:t>
      </w:r>
      <w:r w:rsidR="00C4074A">
        <w:t>em</w:t>
      </w:r>
      <w:r w:rsidR="00C4074A" w:rsidRPr="00F65C4D">
        <w:t xml:space="preserve">ent of </w:t>
      </w:r>
      <w:r w:rsidRPr="00F65C4D">
        <w:t xml:space="preserve"> applications for Priority Review designation</w:t>
      </w:r>
      <w:r w:rsidR="003858AA" w:rsidRPr="00F65C4D">
        <w:t>,</w:t>
      </w:r>
    </w:p>
    <w:p w:rsidR="004F1EBB" w:rsidRPr="00F65C4D" w:rsidRDefault="004F1EBB" w:rsidP="00F65C4D">
      <w:pPr>
        <w:pStyle w:val="ListBullet"/>
      </w:pPr>
      <w:r w:rsidRPr="00F65C4D">
        <w:t>decision making</w:t>
      </w:r>
      <w:r w:rsidR="00C4074A" w:rsidRPr="00F65C4D">
        <w:t xml:space="preserve"> process</w:t>
      </w:r>
      <w:r w:rsidR="003858AA" w:rsidRPr="00F65C4D">
        <w:t>, and</w:t>
      </w:r>
    </w:p>
    <w:p w:rsidR="004F1EBB" w:rsidRDefault="004F1EBB" w:rsidP="00F65C4D">
      <w:pPr>
        <w:pStyle w:val="ListBullet"/>
      </w:pPr>
      <w:proofErr w:type="gramStart"/>
      <w:r w:rsidRPr="00F65C4D">
        <w:t>the</w:t>
      </w:r>
      <w:proofErr w:type="gramEnd"/>
      <w:r w:rsidRPr="00F65C4D">
        <w:t xml:space="preserve"> Priority Review pathw</w:t>
      </w:r>
      <w:r>
        <w:t>ay for designated applications</w:t>
      </w:r>
      <w:r w:rsidR="003858AA">
        <w:t>.</w:t>
      </w:r>
    </w:p>
    <w:p w:rsidR="00F13BBD" w:rsidRDefault="00AB2645" w:rsidP="00F65C4D">
      <w:r>
        <w:t>A flow chart for the proposed TGA implementation of the Priority Review business process is provided at Attachment B.</w:t>
      </w:r>
    </w:p>
    <w:p w:rsidR="002272EE" w:rsidRDefault="002272EE" w:rsidP="00E57977">
      <w:pPr>
        <w:pStyle w:val="Heading3"/>
      </w:pPr>
      <w:bookmarkStart w:id="44" w:name="_Toc462151518"/>
      <w:bookmarkStart w:id="45" w:name="_Toc458616381"/>
      <w:bookmarkStart w:id="46" w:name="_Toc458618853"/>
      <w:bookmarkStart w:id="47" w:name="_Toc458618910"/>
      <w:bookmarkStart w:id="48" w:name="_Toc458618969"/>
      <w:bookmarkStart w:id="49" w:name="_Toc460248910"/>
      <w:bookmarkStart w:id="50" w:name="_Toc466639090"/>
      <w:r>
        <w:t xml:space="preserve">Applying for </w:t>
      </w:r>
      <w:r w:rsidR="00954FBE">
        <w:t>Priority Review</w:t>
      </w:r>
      <w:bookmarkEnd w:id="44"/>
      <w:bookmarkEnd w:id="45"/>
      <w:bookmarkEnd w:id="46"/>
      <w:bookmarkEnd w:id="47"/>
      <w:bookmarkEnd w:id="48"/>
      <w:bookmarkEnd w:id="49"/>
      <w:bookmarkEnd w:id="50"/>
    </w:p>
    <w:p w:rsidR="00976E63" w:rsidRPr="00E57977" w:rsidRDefault="00976E63" w:rsidP="00E57977">
      <w:pPr>
        <w:pStyle w:val="Heading4"/>
        <w:rPr>
          <w:rStyle w:val="Emphasis"/>
          <w:i w:val="0"/>
          <w:iCs w:val="0"/>
        </w:rPr>
      </w:pPr>
      <w:bookmarkStart w:id="51" w:name="_Toc466639091"/>
      <w:r w:rsidRPr="00E57977">
        <w:rPr>
          <w:rStyle w:val="Emphasis"/>
          <w:i w:val="0"/>
          <w:iCs w:val="0"/>
        </w:rPr>
        <w:t>Sponsor alert</w:t>
      </w:r>
      <w:bookmarkEnd w:id="51"/>
    </w:p>
    <w:p w:rsidR="00976E63" w:rsidRDefault="00976E63" w:rsidP="00976E63">
      <w:r>
        <w:t>Prior to making an application for Priority Review the sponsor is requested to provide TGA with an alert of their intention to make a Priority</w:t>
      </w:r>
      <w:r w:rsidRPr="00F65C4D">
        <w:t xml:space="preserve"> </w:t>
      </w:r>
      <w:r>
        <w:t>Review application. The alert will be made via a dedicated form on the TGA website and include:</w:t>
      </w:r>
    </w:p>
    <w:p w:rsidR="00976E63" w:rsidRDefault="00976E63" w:rsidP="00F65C4D">
      <w:pPr>
        <w:pStyle w:val="ListBullet"/>
      </w:pPr>
      <w:r>
        <w:t>a one page outline of the application e.g. nature of the technology, use of the device</w:t>
      </w:r>
    </w:p>
    <w:p w:rsidR="00976E63" w:rsidRDefault="00DC6294" w:rsidP="00F65C4D">
      <w:pPr>
        <w:pStyle w:val="ListBullet"/>
      </w:pPr>
      <w:r w:rsidRPr="00DC6294">
        <w:t xml:space="preserve"> </w:t>
      </w:r>
      <w:r>
        <w:t>indicate if the application is for ARTG inclusion only, or with a view to the device being considered for reimbursement by the Prostheses List Advisory Committee (PLAC) and/or the Medical Services Advisory Committee (MSAC)</w:t>
      </w:r>
    </w:p>
    <w:p w:rsidR="00976E63" w:rsidRDefault="00976E63" w:rsidP="00F65C4D">
      <w:pPr>
        <w:pStyle w:val="ListBullet"/>
      </w:pPr>
      <w:r>
        <w:t>estimated timeframe until the Priority Review application will be made</w:t>
      </w:r>
    </w:p>
    <w:p w:rsidR="00976E63" w:rsidRDefault="00976E63" w:rsidP="00F65C4D">
      <w:r>
        <w:t>The sponsor alert will be a minimum of four (4) weeks prior to the planned application for Priority Review. This timeframe is to allow TGA to identify the relevant technical and clinical experts to facilitate the Priority Review.</w:t>
      </w:r>
    </w:p>
    <w:p w:rsidR="00976E63" w:rsidRPr="002012FC" w:rsidRDefault="00976E63" w:rsidP="00E57977">
      <w:pPr>
        <w:pStyle w:val="Heading4"/>
      </w:pPr>
      <w:bookmarkStart w:id="52" w:name="_Toc466639092"/>
      <w:r>
        <w:t>Application for Priority Review designation</w:t>
      </w:r>
      <w:bookmarkEnd w:id="52"/>
    </w:p>
    <w:p w:rsidR="00976E63" w:rsidRDefault="00976E63" w:rsidP="002272EE">
      <w:r>
        <w:t>An application form and submission instructions will be provided through the TGA website.</w:t>
      </w:r>
    </w:p>
    <w:p w:rsidR="00494A73" w:rsidRDefault="002272EE" w:rsidP="00E57977">
      <w:r>
        <w:t xml:space="preserve">Application by a sponsor for </w:t>
      </w:r>
      <w:r w:rsidR="00494A73">
        <w:t xml:space="preserve">Priority Review </w:t>
      </w:r>
      <w:r>
        <w:t xml:space="preserve">will be treated </w:t>
      </w:r>
      <w:r w:rsidR="004417CD">
        <w:t>as a</w:t>
      </w:r>
      <w:r w:rsidR="00E57977">
        <w:t xml:space="preserve"> priority.</w:t>
      </w:r>
    </w:p>
    <w:p w:rsidR="002272EE" w:rsidRDefault="002272EE" w:rsidP="002272EE">
      <w:r w:rsidRPr="00E922E9">
        <w:t xml:space="preserve">We envision that the application will be a </w:t>
      </w:r>
      <w:r w:rsidRPr="0099678A">
        <w:t>concise argument as to how the device meets the criteria</w:t>
      </w:r>
      <w:r w:rsidRPr="00E922E9">
        <w:t xml:space="preserve">. We </w:t>
      </w:r>
      <w:r w:rsidR="00A86E2C">
        <w:t xml:space="preserve">expect </w:t>
      </w:r>
      <w:r w:rsidRPr="00E922E9">
        <w:t xml:space="preserve">a self-evident argument with overwhelming rational and clinical foundations for our decision to put the device in the </w:t>
      </w:r>
      <w:r w:rsidR="0099678A" w:rsidRPr="00E922E9">
        <w:t xml:space="preserve">accelerated assessment </w:t>
      </w:r>
      <w:r w:rsidRPr="00E922E9">
        <w:t xml:space="preserve">pathway </w:t>
      </w:r>
      <w:r w:rsidRPr="00E922E9">
        <w:rPr>
          <w:i/>
        </w:rPr>
        <w:t>without</w:t>
      </w:r>
      <w:r w:rsidRPr="00E922E9">
        <w:t xml:space="preserve"> requiring further information from the sponsor (i.e. the application should stand-alone).</w:t>
      </w:r>
      <w:r w:rsidRPr="00D20C65">
        <w:t xml:space="preserve"> </w:t>
      </w:r>
      <w:r w:rsidR="00A86E2C">
        <w:t xml:space="preserve">This is not </w:t>
      </w:r>
      <w:r w:rsidR="00700B2A">
        <w:t xml:space="preserve">a conformity assessment dossier or </w:t>
      </w:r>
      <w:r w:rsidR="00782C0F">
        <w:t xml:space="preserve">information that would be required for </w:t>
      </w:r>
      <w:r w:rsidR="00A86E2C">
        <w:t xml:space="preserve">an ARTG </w:t>
      </w:r>
      <w:r w:rsidR="00782C0F">
        <w:t xml:space="preserve">inclusion </w:t>
      </w:r>
      <w:r w:rsidR="00A86E2C">
        <w:t>application.</w:t>
      </w:r>
    </w:p>
    <w:p w:rsidR="00B7419F" w:rsidRDefault="00494A73" w:rsidP="002272EE">
      <w:r>
        <w:t xml:space="preserve">The </w:t>
      </w:r>
      <w:r w:rsidR="002272EE" w:rsidRPr="00D20C65">
        <w:t xml:space="preserve">sponsor </w:t>
      </w:r>
      <w:r>
        <w:t xml:space="preserve">will </w:t>
      </w:r>
      <w:r w:rsidR="002272EE" w:rsidRPr="00D20C65">
        <w:t xml:space="preserve">indicate </w:t>
      </w:r>
      <w:r w:rsidR="00B7419F">
        <w:t xml:space="preserve">whether this is a </w:t>
      </w:r>
      <w:r w:rsidR="00B7419F" w:rsidRPr="00D20C65">
        <w:t xml:space="preserve">new device or a new </w:t>
      </w:r>
      <w:r w:rsidR="00976E18">
        <w:t xml:space="preserve">intended purpose </w:t>
      </w:r>
      <w:r w:rsidR="00B7419F" w:rsidRPr="00D20C65">
        <w:t>for a currently included device</w:t>
      </w:r>
      <w:r w:rsidR="00B7419F">
        <w:t xml:space="preserve">, with expert opinion of the medical profession provided as to the novelty and patient need for the medical device and a summary of clinical evidence. Therefore the sponsor may </w:t>
      </w:r>
      <w:r w:rsidR="00B7419F" w:rsidRPr="0099678A">
        <w:t xml:space="preserve">attach </w:t>
      </w:r>
      <w:r w:rsidR="00B7419F">
        <w:t xml:space="preserve">brief (2-3 pages) </w:t>
      </w:r>
      <w:r w:rsidR="00B7419F" w:rsidRPr="0099678A">
        <w:t>support from relevant medical experts</w:t>
      </w:r>
      <w:r w:rsidR="00B7419F">
        <w:t>.</w:t>
      </w:r>
      <w:r w:rsidR="00B7419F" w:rsidRPr="005441AC">
        <w:t xml:space="preserve"> </w:t>
      </w:r>
      <w:r w:rsidR="00B7419F">
        <w:t xml:space="preserve">Like the application itself, </w:t>
      </w:r>
      <w:r w:rsidR="00B7419F">
        <w:lastRenderedPageBreak/>
        <w:t>support from relevant medical experts should be self-evident and provided without an accom</w:t>
      </w:r>
      <w:r w:rsidR="00E57977">
        <w:t>panying dossier of information.</w:t>
      </w:r>
    </w:p>
    <w:p w:rsidR="002743BA" w:rsidRDefault="002743BA" w:rsidP="003018C0">
      <w:r>
        <w:t>S</w:t>
      </w:r>
      <w:r w:rsidR="00B7419F">
        <w:t>ponsor</w:t>
      </w:r>
      <w:r>
        <w:t xml:space="preserve">s will be requested to indicate </w:t>
      </w:r>
      <w:r w:rsidR="00B7419F">
        <w:t xml:space="preserve">if there is a related medicine </w:t>
      </w:r>
      <w:r w:rsidR="00D648D1">
        <w:t>Priority Review or Provisional Approval</w:t>
      </w:r>
      <w:r w:rsidR="00B7419F">
        <w:t xml:space="preserve"> </w:t>
      </w:r>
      <w:r w:rsidR="002272EE" w:rsidRPr="00D20C65">
        <w:t>sought</w:t>
      </w:r>
      <w:r w:rsidR="003018C0">
        <w:t>.</w:t>
      </w:r>
    </w:p>
    <w:p w:rsidR="002272EE" w:rsidRDefault="002743BA" w:rsidP="003018C0">
      <w:r>
        <w:t xml:space="preserve">It will be possible for </w:t>
      </w:r>
      <w:r w:rsidR="002272EE">
        <w:t xml:space="preserve">more than one device of the same type </w:t>
      </w:r>
      <w:r>
        <w:t xml:space="preserve">to be </w:t>
      </w:r>
      <w:r w:rsidR="002272EE">
        <w:t xml:space="preserve">accepted into </w:t>
      </w:r>
      <w:r w:rsidR="00186A54">
        <w:t>the Priority Review pathway a</w:t>
      </w:r>
      <w:r w:rsidR="002272EE">
        <w:t>t the same time.</w:t>
      </w:r>
    </w:p>
    <w:p w:rsidR="00186A54" w:rsidRDefault="00E23179" w:rsidP="003018C0">
      <w:r>
        <w:t>A</w:t>
      </w:r>
      <w:r w:rsidR="002272EE">
        <w:t>lthough not used as part of the application for ARTG inclusion (or conformity assessment if appropriate)</w:t>
      </w:r>
      <w:r w:rsidR="00976E18">
        <w:t>, the Priority Review application</w:t>
      </w:r>
      <w:r w:rsidR="002272EE">
        <w:t xml:space="preserve"> will </w:t>
      </w:r>
      <w:r>
        <w:t xml:space="preserve">include acknowledgement that an </w:t>
      </w:r>
      <w:r w:rsidR="00976E18">
        <w:t xml:space="preserve">inclusion or conformity assessment </w:t>
      </w:r>
      <w:r>
        <w:t xml:space="preserve">application is </w:t>
      </w:r>
      <w:r w:rsidR="00664EB2">
        <w:t xml:space="preserve">ready to </w:t>
      </w:r>
      <w:r w:rsidR="001F3887">
        <w:t xml:space="preserve">be </w:t>
      </w:r>
      <w:r w:rsidR="002272EE">
        <w:t>submit</w:t>
      </w:r>
      <w:r w:rsidR="001F3887">
        <w:t>ted</w:t>
      </w:r>
      <w:r w:rsidR="00664EB2">
        <w:t xml:space="preserve"> </w:t>
      </w:r>
      <w:r w:rsidR="00A17777">
        <w:t xml:space="preserve">within three (3) months of </w:t>
      </w:r>
      <w:r w:rsidR="00664EB2">
        <w:t xml:space="preserve">receiving advice of designation for </w:t>
      </w:r>
      <w:r w:rsidR="00954FBE">
        <w:t>Priority Review</w:t>
      </w:r>
      <w:r w:rsidR="00186A54">
        <w:t>.</w:t>
      </w:r>
    </w:p>
    <w:p w:rsidR="00A17777" w:rsidRDefault="001F3887" w:rsidP="003018C0">
      <w:r>
        <w:t xml:space="preserve">It is expected that the </w:t>
      </w:r>
      <w:r w:rsidR="002272EE">
        <w:t xml:space="preserve">sponsor of a medical device </w:t>
      </w:r>
      <w:r w:rsidR="00186A54">
        <w:t xml:space="preserve">applying for </w:t>
      </w:r>
      <w:r w:rsidR="00954FBE">
        <w:t xml:space="preserve">Priority Review </w:t>
      </w:r>
      <w:r w:rsidR="002272EE">
        <w:t xml:space="preserve">will want </w:t>
      </w:r>
      <w:r w:rsidR="00A20456">
        <w:t xml:space="preserve">to seek </w:t>
      </w:r>
      <w:r w:rsidR="002272EE">
        <w:t xml:space="preserve">ARTG inclusion as soon as possible if their application </w:t>
      </w:r>
      <w:r w:rsidR="00BD38CC">
        <w:t xml:space="preserve">for </w:t>
      </w:r>
      <w:r w:rsidR="00E23179">
        <w:t xml:space="preserve">Priority Review </w:t>
      </w:r>
      <w:r w:rsidR="00BD38CC">
        <w:t xml:space="preserve">designation is </w:t>
      </w:r>
      <w:r w:rsidR="00024B79">
        <w:t>accepted</w:t>
      </w:r>
      <w:r w:rsidR="00BD38CC">
        <w:t xml:space="preserve">. </w:t>
      </w:r>
      <w:r w:rsidR="0065143A">
        <w:t>A maximum of three (3) months will however apply, after which time the designation will lapse.</w:t>
      </w:r>
    </w:p>
    <w:p w:rsidR="002272EE" w:rsidRDefault="00DC6294" w:rsidP="003018C0">
      <w:r>
        <w:t>For those products seeking both regulatory approval and reimbursement, the sponsor should indicate whether they consent that all documents provided to us or developed during the TGA assessment can be shared with the relevant committe</w:t>
      </w:r>
      <w:r w:rsidR="003018C0">
        <w:t>e, currently the MSAC or PLAC.</w:t>
      </w:r>
    </w:p>
    <w:p w:rsidR="002272EE" w:rsidRDefault="00B51F8B" w:rsidP="003018C0">
      <w:pPr>
        <w:pStyle w:val="Heading4"/>
      </w:pPr>
      <w:bookmarkStart w:id="53" w:name="_Toc462151519"/>
      <w:bookmarkStart w:id="54" w:name="_Toc458616382"/>
      <w:bookmarkStart w:id="55" w:name="_Toc458618854"/>
      <w:bookmarkStart w:id="56" w:name="_Toc458618911"/>
      <w:bookmarkStart w:id="57" w:name="_Toc458618970"/>
      <w:bookmarkStart w:id="58" w:name="_Toc460248911"/>
      <w:bookmarkStart w:id="59" w:name="_Toc466639093"/>
      <w:r>
        <w:t xml:space="preserve">Managing applications for </w:t>
      </w:r>
      <w:r w:rsidR="00954FBE">
        <w:t>Priority Review</w:t>
      </w:r>
      <w:bookmarkEnd w:id="53"/>
      <w:bookmarkEnd w:id="54"/>
      <w:bookmarkEnd w:id="55"/>
      <w:bookmarkEnd w:id="56"/>
      <w:bookmarkEnd w:id="57"/>
      <w:bookmarkEnd w:id="58"/>
      <w:bookmarkEnd w:id="59"/>
    </w:p>
    <w:p w:rsidR="00BD38CC" w:rsidRDefault="00BD38CC" w:rsidP="003018C0">
      <w:r>
        <w:t>It is proposed that there will be an alert to TGA by a sponsor as advance notice of the intention to seek Priority Review. The application will be submitted as detailed in the above section.</w:t>
      </w:r>
    </w:p>
    <w:p w:rsidR="00976E63" w:rsidRDefault="00BD38CC" w:rsidP="003018C0">
      <w:r>
        <w:t>On receipt of an application for Priority Review designation</w:t>
      </w:r>
      <w:r w:rsidR="003018C0">
        <w:t>:</w:t>
      </w:r>
    </w:p>
    <w:p w:rsidR="00976E63" w:rsidRPr="003018C0" w:rsidRDefault="00BD38CC" w:rsidP="003018C0">
      <w:pPr>
        <w:pStyle w:val="ListBullet"/>
      </w:pPr>
      <w:r>
        <w:t xml:space="preserve">a Priority Review case </w:t>
      </w:r>
      <w:r w:rsidR="00976E63">
        <w:t xml:space="preserve">co-ordinator </w:t>
      </w:r>
      <w:r>
        <w:t xml:space="preserve">will be assigned to co-ordinate and support the decision-maker process </w:t>
      </w:r>
      <w:r w:rsidRPr="003018C0">
        <w:t>and communicate with the sponsor</w:t>
      </w:r>
      <w:r w:rsidR="00976E63" w:rsidRPr="003018C0">
        <w:t>, and</w:t>
      </w:r>
    </w:p>
    <w:p w:rsidR="00976E63" w:rsidRDefault="00976E63" w:rsidP="003018C0">
      <w:pPr>
        <w:pStyle w:val="ListBullet"/>
      </w:pPr>
      <w:proofErr w:type="gramStart"/>
      <w:r w:rsidRPr="003018C0">
        <w:t>it</w:t>
      </w:r>
      <w:proofErr w:type="gramEnd"/>
      <w:r w:rsidRPr="003018C0">
        <w:t xml:space="preserve"> is proposed that the Prio</w:t>
      </w:r>
      <w:r>
        <w:t>rity Review application will be published on the TGA website. A sample statement is provided below</w:t>
      </w:r>
      <w:r w:rsidR="00BD38CC">
        <w:t>.</w:t>
      </w:r>
    </w:p>
    <w:p w:rsidR="00BD38CC" w:rsidRDefault="009C5B1C" w:rsidP="002012FC">
      <w:pPr>
        <w:ind w:left="720"/>
      </w:pPr>
      <w:r>
        <w:t xml:space="preserve">Sponsor </w:t>
      </w:r>
      <w:r>
        <w:rPr>
          <w:i/>
        </w:rPr>
        <w:t xml:space="preserve">(name) </w:t>
      </w:r>
      <w:r>
        <w:t>requested Priority Review for (</w:t>
      </w:r>
      <w:r>
        <w:rPr>
          <w:i/>
        </w:rPr>
        <w:t xml:space="preserve">name of product/technology). </w:t>
      </w:r>
      <w:r>
        <w:t xml:space="preserve">The TGA decision will be advised by </w:t>
      </w:r>
      <w:r>
        <w:rPr>
          <w:i/>
        </w:rPr>
        <w:t>(</w:t>
      </w:r>
      <w:proofErr w:type="spellStart"/>
      <w:r>
        <w:rPr>
          <w:i/>
        </w:rPr>
        <w:t>dd</w:t>
      </w:r>
      <w:proofErr w:type="spellEnd"/>
      <w:r>
        <w:rPr>
          <w:i/>
        </w:rPr>
        <w:t>/mmm/</w:t>
      </w:r>
      <w:proofErr w:type="spellStart"/>
      <w:r>
        <w:rPr>
          <w:i/>
        </w:rPr>
        <w:t>yyyy</w:t>
      </w:r>
      <w:proofErr w:type="spellEnd"/>
      <w:r>
        <w:rPr>
          <w:i/>
        </w:rPr>
        <w:t xml:space="preserve"> calculated based on date of receipt and maximum timeframe).</w:t>
      </w:r>
    </w:p>
    <w:p w:rsidR="00BD38CC" w:rsidRDefault="00BD38CC" w:rsidP="003018C0">
      <w:r>
        <w:t xml:space="preserve">The designation decision will be informed by expert opinion of the medical profession (possibly including but not limited to members of the Advisory Committee on Medical Devices) as to the novelty, patient need </w:t>
      </w:r>
      <w:r w:rsidR="00024B79">
        <w:t>and</w:t>
      </w:r>
      <w:r>
        <w:t xml:space="preserve"> </w:t>
      </w:r>
      <w:r w:rsidR="002743BA">
        <w:t xml:space="preserve">clinical </w:t>
      </w:r>
      <w:r>
        <w:t>a</w:t>
      </w:r>
      <w:r w:rsidR="003018C0">
        <w:t>dvantage of the medical device.</w:t>
      </w:r>
    </w:p>
    <w:p w:rsidR="00BD38CC" w:rsidRDefault="00BD38CC" w:rsidP="00BD38CC">
      <w:pPr>
        <w:spacing w:after="0"/>
      </w:pPr>
      <w:r>
        <w:t xml:space="preserve">Applications for Priority Review will be determined within </w:t>
      </w:r>
      <w:r w:rsidR="00891CA3">
        <w:t xml:space="preserve">six (6) weeks </w:t>
      </w:r>
      <w:r>
        <w:t>of acceptance and acknowledgement to the sponsor.</w:t>
      </w:r>
      <w:r w:rsidR="0065143A">
        <w:t xml:space="preserve"> Sponsors are encouraged to submit ap</w:t>
      </w:r>
      <w:r w:rsidR="0065143A" w:rsidRPr="003018C0">
        <w:t>p</w:t>
      </w:r>
      <w:r w:rsidR="0065143A">
        <w:t xml:space="preserve">lications for conformity assessment or </w:t>
      </w:r>
      <w:r w:rsidR="00AF769E">
        <w:t xml:space="preserve">ARTG </w:t>
      </w:r>
      <w:r w:rsidR="0065143A">
        <w:t>inclusion as soon as possible after designation advice is given.</w:t>
      </w:r>
    </w:p>
    <w:p w:rsidR="002272EE" w:rsidRDefault="002272EE" w:rsidP="003018C0">
      <w:pPr>
        <w:pStyle w:val="Heading4"/>
      </w:pPr>
      <w:bookmarkStart w:id="60" w:name="_Toc458616383"/>
      <w:bookmarkStart w:id="61" w:name="_Toc458618855"/>
      <w:bookmarkStart w:id="62" w:name="_Toc458618912"/>
      <w:bookmarkStart w:id="63" w:name="_Toc458618971"/>
      <w:bookmarkStart w:id="64" w:name="_Toc460248912"/>
      <w:bookmarkStart w:id="65" w:name="_Toc462151520"/>
      <w:bookmarkStart w:id="66" w:name="_Toc466639094"/>
      <w:r>
        <w:t>Decision making</w:t>
      </w:r>
      <w:r w:rsidRPr="00294FA7">
        <w:t xml:space="preserve"> and oversight</w:t>
      </w:r>
      <w:bookmarkEnd w:id="60"/>
      <w:bookmarkEnd w:id="61"/>
      <w:bookmarkEnd w:id="62"/>
      <w:bookmarkEnd w:id="63"/>
      <w:bookmarkEnd w:id="64"/>
      <w:bookmarkEnd w:id="65"/>
      <w:bookmarkEnd w:id="66"/>
    </w:p>
    <w:p w:rsidR="00DA2A6A" w:rsidRDefault="002272EE" w:rsidP="003018C0">
      <w:r>
        <w:t xml:space="preserve">Due to the focus on </w:t>
      </w:r>
      <w:r w:rsidR="00664EB2">
        <w:t xml:space="preserve">clinical evidence and </w:t>
      </w:r>
      <w:r>
        <w:t xml:space="preserve">public health as part of the criteria for a medical device entering </w:t>
      </w:r>
      <w:r w:rsidR="00DA2A6A">
        <w:t>Priority Review</w:t>
      </w:r>
      <w:r>
        <w:t xml:space="preserve">, </w:t>
      </w:r>
      <w:r w:rsidR="00B558F5">
        <w:t xml:space="preserve">the </w:t>
      </w:r>
      <w:r>
        <w:t xml:space="preserve">decision on </w:t>
      </w:r>
      <w:r w:rsidR="00186A54">
        <w:t xml:space="preserve">eligibility for the Priority Review pathway </w:t>
      </w:r>
      <w:r>
        <w:t xml:space="preserve">will be made by </w:t>
      </w:r>
      <w:r w:rsidR="00024B79">
        <w:t xml:space="preserve">the </w:t>
      </w:r>
      <w:r w:rsidR="00DA2A6A">
        <w:t xml:space="preserve">Principal Medical </w:t>
      </w:r>
      <w:r w:rsidR="00F64003">
        <w:t>Advis</w:t>
      </w:r>
      <w:r w:rsidR="00FE756F">
        <w:t>e</w:t>
      </w:r>
      <w:r w:rsidR="006540B0">
        <w:t>r</w:t>
      </w:r>
      <w:r w:rsidR="003018C0">
        <w:t>.</w:t>
      </w:r>
    </w:p>
    <w:p w:rsidR="00DA2A6A" w:rsidRDefault="002272EE" w:rsidP="003018C0">
      <w:r>
        <w:t xml:space="preserve">In the event of an appeal against the decision of the </w:t>
      </w:r>
      <w:r w:rsidR="00DA2A6A">
        <w:t xml:space="preserve">decision-maker, </w:t>
      </w:r>
      <w:r>
        <w:t xml:space="preserve">the </w:t>
      </w:r>
      <w:r w:rsidR="00B51F8B">
        <w:t>Deputy Chief Medical Officer, Department of Health</w:t>
      </w:r>
      <w:r>
        <w:t xml:space="preserve"> will </w:t>
      </w:r>
      <w:r w:rsidR="00E82ED9">
        <w:t xml:space="preserve">conduct an internal </w:t>
      </w:r>
      <w:r>
        <w:t xml:space="preserve">review </w:t>
      </w:r>
      <w:r w:rsidR="00E82ED9">
        <w:t xml:space="preserve">of </w:t>
      </w:r>
      <w:r>
        <w:t xml:space="preserve">the decision. </w:t>
      </w:r>
      <w:r w:rsidR="00CB167E">
        <w:t>Existing appeal timeframes will apply.</w:t>
      </w:r>
    </w:p>
    <w:p w:rsidR="00CB167E" w:rsidRDefault="00CB167E" w:rsidP="003018C0">
      <w:r>
        <w:lastRenderedPageBreak/>
        <w:t>The Advisory Committee on Medical Devices will be regularly informed of application</w:t>
      </w:r>
      <w:r w:rsidR="00B558F5">
        <w:t>s</w:t>
      </w:r>
      <w:r>
        <w:t xml:space="preserve"> for Priority Review decisions.</w:t>
      </w:r>
    </w:p>
    <w:p w:rsidR="00186A54" w:rsidRDefault="00BF1879" w:rsidP="003018C0">
      <w:r>
        <w:t xml:space="preserve">It is proposed that </w:t>
      </w:r>
      <w:r w:rsidR="00186A54">
        <w:t xml:space="preserve">Priority Review </w:t>
      </w:r>
      <w:r w:rsidR="00CB167E">
        <w:t xml:space="preserve">decisions </w:t>
      </w:r>
      <w:r w:rsidR="00186A54">
        <w:t xml:space="preserve">will be published immediately following advice of designation (eligible or non-eligible) to the sponsor. Public release of information is made under </w:t>
      </w:r>
      <w:r w:rsidR="00CB167E">
        <w:t xml:space="preserve">the </w:t>
      </w:r>
      <w:r w:rsidR="00CB167E">
        <w:rPr>
          <w:i/>
        </w:rPr>
        <w:t xml:space="preserve">Therapeutic Goods Act 1989 </w:t>
      </w:r>
      <w:r w:rsidR="00CB167E">
        <w:t>(the Act), Section 61(5A). A sample statement is provided:</w:t>
      </w:r>
    </w:p>
    <w:p w:rsidR="00CB167E" w:rsidRDefault="00CB167E" w:rsidP="00CB167E">
      <w:pPr>
        <w:spacing w:after="0"/>
        <w:ind w:left="720"/>
      </w:pPr>
      <w:r>
        <w:t>Sponsor (</w:t>
      </w:r>
      <w:r w:rsidRPr="00CB167E">
        <w:rPr>
          <w:i/>
        </w:rPr>
        <w:t>name</w:t>
      </w:r>
      <w:r>
        <w:t xml:space="preserve">) applied for Priority Review </w:t>
      </w:r>
      <w:r w:rsidR="00B51F8B">
        <w:t xml:space="preserve">designation </w:t>
      </w:r>
      <w:r>
        <w:t>for (</w:t>
      </w:r>
      <w:r w:rsidRPr="00CB167E">
        <w:rPr>
          <w:i/>
        </w:rPr>
        <w:t>name of technology</w:t>
      </w:r>
      <w:r>
        <w:t>) to assist (</w:t>
      </w:r>
      <w:r w:rsidRPr="00CB167E">
        <w:rPr>
          <w:i/>
        </w:rPr>
        <w:t>state the condition/illness/disease/public health reason</w:t>
      </w:r>
      <w:r>
        <w:t>) patients. The application was found eligible for Priority Review</w:t>
      </w:r>
      <w:r w:rsidR="00E618DA">
        <w:t xml:space="preserve"> </w:t>
      </w:r>
      <w:r w:rsidR="00E618DA">
        <w:rPr>
          <w:i/>
        </w:rPr>
        <w:t>(brief statement of reason/criteria</w:t>
      </w:r>
      <w:r w:rsidR="00DC6294">
        <w:rPr>
          <w:i/>
        </w:rPr>
        <w:t xml:space="preserve"> </w:t>
      </w:r>
      <w:r w:rsidR="00E618DA">
        <w:rPr>
          <w:i/>
        </w:rPr>
        <w:t>met)</w:t>
      </w:r>
      <w:r w:rsidR="003018C0">
        <w:t>.</w:t>
      </w:r>
    </w:p>
    <w:p w:rsidR="00CB167E" w:rsidRDefault="00CB167E" w:rsidP="00CB167E">
      <w:pPr>
        <w:spacing w:after="0"/>
        <w:ind w:left="720"/>
      </w:pPr>
      <w:r>
        <w:t>OR</w:t>
      </w:r>
    </w:p>
    <w:p w:rsidR="00CB167E" w:rsidRDefault="00CB167E" w:rsidP="00CB167E">
      <w:pPr>
        <w:spacing w:after="0"/>
        <w:ind w:left="720"/>
      </w:pPr>
      <w:r>
        <w:t>Sponsor (</w:t>
      </w:r>
      <w:r w:rsidRPr="00CB167E">
        <w:rPr>
          <w:i/>
        </w:rPr>
        <w:t>name</w:t>
      </w:r>
      <w:r>
        <w:t xml:space="preserve">) applied for Priority Review </w:t>
      </w:r>
      <w:r w:rsidR="00B51F8B">
        <w:t xml:space="preserve">designation </w:t>
      </w:r>
      <w:r>
        <w:t>for (</w:t>
      </w:r>
      <w:r w:rsidRPr="00CB167E">
        <w:rPr>
          <w:i/>
        </w:rPr>
        <w:t>name of technology</w:t>
      </w:r>
      <w:r>
        <w:t>) to assist (</w:t>
      </w:r>
      <w:r w:rsidRPr="00CB167E">
        <w:rPr>
          <w:i/>
        </w:rPr>
        <w:t>state the condition/illness/disease/public health reason</w:t>
      </w:r>
      <w:r>
        <w:t>) patients. The application was found non-eligible for Priority Review due to (</w:t>
      </w:r>
      <w:r w:rsidRPr="00CB167E">
        <w:rPr>
          <w:i/>
        </w:rPr>
        <w:t>brief statement of reason/criteria not met</w:t>
      </w:r>
      <w:r w:rsidR="003018C0">
        <w:t>).</w:t>
      </w:r>
    </w:p>
    <w:p w:rsidR="0065143A" w:rsidRDefault="0065143A" w:rsidP="003018C0">
      <w:r>
        <w:t>It is proposed that a high-level statement will be included in TGA performance reporting providing details of common reasons why applications were approved</w:t>
      </w:r>
      <w:r w:rsidR="00E618DA">
        <w:t xml:space="preserve"> or not</w:t>
      </w:r>
      <w:r>
        <w:t>.</w:t>
      </w:r>
    </w:p>
    <w:p w:rsidR="00B51F8B" w:rsidRDefault="00B51F8B" w:rsidP="003018C0">
      <w:pPr>
        <w:pStyle w:val="Heading4"/>
      </w:pPr>
      <w:bookmarkStart w:id="67" w:name="_Toc466639095"/>
      <w:r>
        <w:t>Priority Review pathway for designated applications</w:t>
      </w:r>
      <w:bookmarkEnd w:id="67"/>
    </w:p>
    <w:p w:rsidR="00B51F8B" w:rsidRDefault="00B51F8B" w:rsidP="003018C0">
      <w:pPr>
        <w:pStyle w:val="ListBullet"/>
      </w:pPr>
      <w:r>
        <w:t xml:space="preserve">By gaining Priority Review designation, the sponsor’s </w:t>
      </w:r>
      <w:r w:rsidR="001F3887">
        <w:t xml:space="preserve">conformity assessment or ARTG inclusion (whatever is relevant) </w:t>
      </w:r>
      <w:r>
        <w:t>application will go to the front of the queue for all conformity assessments or ARTG inclusion audits</w:t>
      </w:r>
      <w:r w:rsidRPr="007600D4">
        <w:t xml:space="preserve"> </w:t>
      </w:r>
      <w:r>
        <w:t xml:space="preserve">deemed necessary. </w:t>
      </w:r>
      <w:r w:rsidR="00DC7BBC">
        <w:t>Current in-progress ass</w:t>
      </w:r>
      <w:r w:rsidR="003018C0">
        <w:t>essments will be reprioritised.</w:t>
      </w:r>
    </w:p>
    <w:p w:rsidR="0065143A" w:rsidRDefault="0065143A" w:rsidP="00604B52">
      <w:pPr>
        <w:pStyle w:val="ListBullet"/>
      </w:pPr>
      <w:r>
        <w:t>Standard business as usual assessment requirements will be applied with no truncation or omission of assessment processes.</w:t>
      </w:r>
    </w:p>
    <w:p w:rsidR="00DC7BBC" w:rsidRDefault="00B51F8B" w:rsidP="00604B52">
      <w:pPr>
        <w:pStyle w:val="ListBullet"/>
      </w:pPr>
      <w:r>
        <w:t xml:space="preserve">A </w:t>
      </w:r>
      <w:r w:rsidR="00AF769E">
        <w:t>coordinating assessor</w:t>
      </w:r>
      <w:r>
        <w:t xml:space="preserve"> w</w:t>
      </w:r>
      <w:r w:rsidRPr="003018C0">
        <w:t>il</w:t>
      </w:r>
      <w:r>
        <w:t>l be assigned to the application to supervise timely assessment</w:t>
      </w:r>
      <w:r w:rsidR="00DC7BBC">
        <w:t xml:space="preserve"> and suitable expertise assigned for the</w:t>
      </w:r>
      <w:r w:rsidR="003018C0">
        <w:t xml:space="preserve"> assessment of the application.</w:t>
      </w:r>
    </w:p>
    <w:p w:rsidR="00B926AF" w:rsidRDefault="00B926AF" w:rsidP="00604B52">
      <w:pPr>
        <w:pStyle w:val="ListBullet"/>
      </w:pPr>
      <w:r>
        <w:t xml:space="preserve">The TGA aims to develop an application for inclusion checklist which will apply for priority review and routine applications. The checklist will be used to ensure that the application is complete and of good quality </w:t>
      </w:r>
      <w:proofErr w:type="spellStart"/>
      <w:r>
        <w:t>ie</w:t>
      </w:r>
      <w:proofErr w:type="spellEnd"/>
      <w:r>
        <w:t xml:space="preserve"> it includes </w:t>
      </w:r>
      <w:proofErr w:type="spellStart"/>
      <w:r>
        <w:t>unredacted</w:t>
      </w:r>
      <w:proofErr w:type="spellEnd"/>
      <w:r>
        <w:t xml:space="preserve"> copies of FDA and/or EC assessment reports </w:t>
      </w:r>
      <w:r w:rsidR="003018C0">
        <w:t>to document overseas approval.</w:t>
      </w:r>
    </w:p>
    <w:p w:rsidR="00B51F8B" w:rsidRDefault="002743BA" w:rsidP="003018C0">
      <w:pPr>
        <w:pStyle w:val="ListBullet"/>
      </w:pPr>
      <w:r>
        <w:t>Me</w:t>
      </w:r>
      <w:r w:rsidR="00B51F8B">
        <w:t xml:space="preserve">dical devices meeting the criteria for Priority Review </w:t>
      </w:r>
      <w:r w:rsidR="00377387">
        <w:t xml:space="preserve">are expected to </w:t>
      </w:r>
      <w:r w:rsidR="00B51F8B">
        <w:t xml:space="preserve">be novel or new technology for which inclusion in the ARTG </w:t>
      </w:r>
      <w:r w:rsidR="00B51F8B" w:rsidRPr="00A22169">
        <w:t xml:space="preserve">will </w:t>
      </w:r>
      <w:r w:rsidR="00B51F8B">
        <w:t xml:space="preserve">stimulate </w:t>
      </w:r>
      <w:r w:rsidR="00B51F8B" w:rsidRPr="00A22169">
        <w:t>a Level 2 audit</w:t>
      </w:r>
      <w:r w:rsidR="00645305">
        <w:t xml:space="preserve"> </w:t>
      </w:r>
      <w:r>
        <w:t xml:space="preserve">if </w:t>
      </w:r>
      <w:r w:rsidR="00B7499F">
        <w:t>an</w:t>
      </w:r>
      <w:r w:rsidR="00AF769E">
        <w:t xml:space="preserve"> application</w:t>
      </w:r>
      <w:r w:rsidR="00B7499F">
        <w:t xml:space="preserve"> for the device i</w:t>
      </w:r>
      <w:r w:rsidR="00AF769E">
        <w:t>s</w:t>
      </w:r>
      <w:r>
        <w:t xml:space="preserve"> submitted with EC certification</w:t>
      </w:r>
      <w:r w:rsidR="00B51F8B">
        <w:t>. This is to ensure that the device satisfies all the standard criteria for inclusion in the ARTG of a novel medical device and there is no difference in the</w:t>
      </w:r>
      <w:r w:rsidR="003018C0">
        <w:t xml:space="preserve"> risk/benefit analysis applied.</w:t>
      </w:r>
    </w:p>
    <w:p w:rsidR="00DC6294" w:rsidRDefault="00DC6294" w:rsidP="00DC6294">
      <w:pPr>
        <w:pStyle w:val="ListBullet"/>
        <w:numPr>
          <w:ilvl w:val="0"/>
          <w:numId w:val="1"/>
        </w:numPr>
      </w:pPr>
      <w:r>
        <w:t>As part of a Priority Review pathway the sponsor is also required to treat the ARTG inclusion (or conformity assessment) application as a priority. Current requests for information (e.g. under Section 41JA) generally provide twenty (20) working days to reply. It is proposed that if these timeframes are exceeded, the application’s Priority Review status will be re</w:t>
      </w:r>
      <w:r w:rsidR="00796CD0">
        <w:t>voked</w:t>
      </w:r>
      <w:r>
        <w:t xml:space="preserve"> and the application reallocated in the standard assessment pathway.</w:t>
      </w:r>
    </w:p>
    <w:p w:rsidR="00B51F8B" w:rsidRDefault="00B51F8B" w:rsidP="003018C0">
      <w:pPr>
        <w:pStyle w:val="ListBullet"/>
      </w:pPr>
      <w:r>
        <w:t xml:space="preserve">Consideration of </w:t>
      </w:r>
      <w:r w:rsidR="00312791">
        <w:t>imposing additional</w:t>
      </w:r>
      <w:r>
        <w:t xml:space="preserve"> </w:t>
      </w:r>
      <w:r w:rsidRPr="007B25B0">
        <w:t xml:space="preserve">conditions </w:t>
      </w:r>
      <w:r w:rsidR="00312791">
        <w:t>on ARTG inclusion for devices assessed</w:t>
      </w:r>
      <w:r>
        <w:t xml:space="preserve"> using the Priority Review </w:t>
      </w:r>
      <w:r w:rsidR="008C169B">
        <w:t xml:space="preserve">pathway </w:t>
      </w:r>
      <w:r>
        <w:t xml:space="preserve">will be </w:t>
      </w:r>
      <w:r w:rsidR="00312791">
        <w:t xml:space="preserve">consistent with the standard decision making </w:t>
      </w:r>
      <w:r>
        <w:t xml:space="preserve">process and, importantly, </w:t>
      </w:r>
      <w:r w:rsidR="00312791">
        <w:t xml:space="preserve">is expected to </w:t>
      </w:r>
      <w:r>
        <w:t xml:space="preserve">be consistent with similar </w:t>
      </w:r>
      <w:r w:rsidR="00312791">
        <w:t>decisions made following</w:t>
      </w:r>
      <w:r>
        <w:t xml:space="preserve"> standard </w:t>
      </w:r>
      <w:r w:rsidR="00312791">
        <w:t xml:space="preserve">assessment </w:t>
      </w:r>
      <w:r>
        <w:t xml:space="preserve">pathways. </w:t>
      </w:r>
      <w:r w:rsidR="00312791">
        <w:t xml:space="preserve"> </w:t>
      </w:r>
      <w:r>
        <w:t>It is in the interest of patients that novel devices are limited to:</w:t>
      </w:r>
    </w:p>
    <w:p w:rsidR="00B51F8B" w:rsidRDefault="00B51F8B" w:rsidP="003018C0">
      <w:pPr>
        <w:pStyle w:val="ListBullet2"/>
      </w:pPr>
      <w:r>
        <w:t xml:space="preserve">use on </w:t>
      </w:r>
      <w:r w:rsidR="003018C0">
        <w:t>the appropriate patient cohort,</w:t>
      </w:r>
    </w:p>
    <w:p w:rsidR="00B51F8B" w:rsidRDefault="00B51F8B" w:rsidP="00604B52">
      <w:pPr>
        <w:pStyle w:val="ListBullet2"/>
      </w:pPr>
      <w:r>
        <w:lastRenderedPageBreak/>
        <w:t>use by appropriate medical practitioner</w:t>
      </w:r>
      <w:r w:rsidR="00370381">
        <w:t>s</w:t>
      </w:r>
      <w:r w:rsidR="003018C0">
        <w:t>,</w:t>
      </w:r>
    </w:p>
    <w:p w:rsidR="00B51F8B" w:rsidRDefault="00B51F8B" w:rsidP="00604B52">
      <w:pPr>
        <w:pStyle w:val="ListBullet2"/>
      </w:pPr>
      <w:r>
        <w:t>used by clinicians provided</w:t>
      </w:r>
      <w:r w:rsidR="003018C0">
        <w:t xml:space="preserve"> with appropriate training, and</w:t>
      </w:r>
    </w:p>
    <w:p w:rsidR="00B51F8B" w:rsidRDefault="00B51F8B" w:rsidP="00604B52">
      <w:pPr>
        <w:pStyle w:val="ListBullet2"/>
      </w:pPr>
      <w:proofErr w:type="gramStart"/>
      <w:r>
        <w:t>support</w:t>
      </w:r>
      <w:proofErr w:type="gramEnd"/>
      <w:r>
        <w:t xml:space="preserve"> for </w:t>
      </w:r>
      <w:r w:rsidR="003018C0">
        <w:t>the device is easily available.</w:t>
      </w:r>
    </w:p>
    <w:p w:rsidR="00E633E2" w:rsidRDefault="00B51F8B" w:rsidP="003018C0">
      <w:pPr>
        <w:pStyle w:val="ListBullet"/>
      </w:pPr>
      <w:r>
        <w:t xml:space="preserve">When </w:t>
      </w:r>
      <w:r w:rsidR="008E7342">
        <w:t xml:space="preserve">devices are </w:t>
      </w:r>
      <w:r>
        <w:t xml:space="preserve">included in the ARTG it will be noted that </w:t>
      </w:r>
      <w:r w:rsidR="008E7342">
        <w:t>applications</w:t>
      </w:r>
      <w:r>
        <w:t xml:space="preserve"> went through Priority Review</w:t>
      </w:r>
      <w:r w:rsidR="00645305">
        <w:t>.</w:t>
      </w:r>
      <w:r w:rsidR="00370381">
        <w:t xml:space="preserve"> Additionally it is proposed that sponsors will provide for publication, consumer information about the product, such des</w:t>
      </w:r>
      <w:r w:rsidR="003018C0">
        <w:t>cription, its use and benefits.</w:t>
      </w:r>
    </w:p>
    <w:p w:rsidR="006524CF" w:rsidRDefault="006524CF" w:rsidP="003018C0">
      <w:pPr>
        <w:pStyle w:val="ListBullet"/>
      </w:pPr>
      <w:r>
        <w:t>Designation for Priority Review will be re</w:t>
      </w:r>
      <w:r w:rsidR="00796CD0">
        <w:t>voked</w:t>
      </w:r>
      <w:r>
        <w:t xml:space="preserve"> if:</w:t>
      </w:r>
    </w:p>
    <w:p w:rsidR="006524CF" w:rsidRDefault="006524CF" w:rsidP="003018C0">
      <w:pPr>
        <w:pStyle w:val="ListBullet2"/>
      </w:pPr>
      <w:r>
        <w:t>the conformity assessment or ARTG inclusion application (whatever is relevant) is not submitted to the TGA within three (3) months</w:t>
      </w:r>
      <w:r w:rsidRPr="00FE3EE9">
        <w:t xml:space="preserve"> </w:t>
      </w:r>
      <w:r>
        <w:t>af</w:t>
      </w:r>
      <w:r w:rsidR="003018C0">
        <w:t>ter the designation is granted;</w:t>
      </w:r>
    </w:p>
    <w:p w:rsidR="006524CF" w:rsidRDefault="006524CF" w:rsidP="003018C0">
      <w:pPr>
        <w:pStyle w:val="ListBullet2"/>
      </w:pPr>
      <w:r>
        <w:t>the eligibility criteria for Priority Review are no longer met;</w:t>
      </w:r>
    </w:p>
    <w:p w:rsidR="006524CF" w:rsidRDefault="00DC6294" w:rsidP="006524CF">
      <w:pPr>
        <w:pStyle w:val="ListBullet2"/>
      </w:pPr>
      <w:r>
        <w:t>the information required by the TGA is not provided by the date specified in the request for information (e.g. Section 41JA)</w:t>
      </w:r>
      <w:r w:rsidR="006524CF">
        <w:t>; or</w:t>
      </w:r>
    </w:p>
    <w:p w:rsidR="006524CF" w:rsidRDefault="006524CF" w:rsidP="003018C0">
      <w:pPr>
        <w:pStyle w:val="ListBullet2"/>
      </w:pPr>
      <w:proofErr w:type="gramStart"/>
      <w:r>
        <w:t>the</w:t>
      </w:r>
      <w:proofErr w:type="gramEnd"/>
      <w:r>
        <w:t xml:space="preserve"> application has been rejected or withdrawn from supply by a comparable overseas regulator and the reasons are deemed applicable to the Australian context.</w:t>
      </w:r>
    </w:p>
    <w:p w:rsidR="00B51F8B" w:rsidRDefault="00B51F8B" w:rsidP="003018C0">
      <w:pPr>
        <w:pStyle w:val="ListBullet"/>
      </w:pPr>
      <w:r>
        <w:t xml:space="preserve">Post-market scrutiny will apply </w:t>
      </w:r>
      <w:r w:rsidR="008E7342">
        <w:t xml:space="preserve">consistently </w:t>
      </w:r>
      <w:r>
        <w:t xml:space="preserve">as for </w:t>
      </w:r>
      <w:r w:rsidR="008E7342">
        <w:t xml:space="preserve">any </w:t>
      </w:r>
      <w:r>
        <w:t>device</w:t>
      </w:r>
      <w:r w:rsidR="008E7342">
        <w:t xml:space="preserve"> assessed</w:t>
      </w:r>
      <w:r>
        <w:t xml:space="preserve"> through the normal mechanism.</w:t>
      </w:r>
    </w:p>
    <w:p w:rsidR="00F25779" w:rsidRDefault="00F25779" w:rsidP="00F25779">
      <w:pPr>
        <w:spacing w:after="0"/>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25779" w:rsidRPr="009401F6" w:rsidTr="00B7499F">
        <w:trPr>
          <w:trHeight w:val="1206"/>
        </w:trPr>
        <w:tc>
          <w:tcPr>
            <w:tcW w:w="1276" w:type="dxa"/>
            <w:vAlign w:val="center"/>
          </w:tcPr>
          <w:tbl>
            <w:tblPr>
              <w:tblW w:w="9038" w:type="dxa"/>
              <w:tblLayout w:type="fixed"/>
              <w:tblCellMar>
                <w:left w:w="0" w:type="dxa"/>
                <w:right w:w="0" w:type="dxa"/>
              </w:tblCellMar>
              <w:tblLook w:val="04A0" w:firstRow="1" w:lastRow="0" w:firstColumn="1" w:lastColumn="0" w:noHBand="0" w:noVBand="1"/>
            </w:tblPr>
            <w:tblGrid>
              <w:gridCol w:w="1276"/>
              <w:gridCol w:w="7762"/>
            </w:tblGrid>
            <w:tr w:rsidR="00F25779" w:rsidRPr="009401F6" w:rsidTr="00B7499F">
              <w:trPr>
                <w:trHeight w:val="1206"/>
              </w:trPr>
              <w:tc>
                <w:tcPr>
                  <w:tcW w:w="1276" w:type="dxa"/>
                  <w:vAlign w:val="center"/>
                </w:tcPr>
                <w:bookmarkStart w:id="68" w:name="_Toc462151521"/>
                <w:p w:rsidR="00F25779" w:rsidRPr="009401F6" w:rsidRDefault="00F25779" w:rsidP="00B7499F">
                  <w:pPr>
                    <w:spacing w:before="0"/>
                    <w:rPr>
                      <w:sz w:val="20"/>
                    </w:rPr>
                  </w:pPr>
                  <w:r>
                    <w:rPr>
                      <w:noProof/>
                      <w:sz w:val="20"/>
                      <w:lang w:eastAsia="en-AU"/>
                    </w:rPr>
                    <mc:AlternateContent>
                      <mc:Choice Requires="wpg">
                        <w:drawing>
                          <wp:anchor distT="0" distB="0" distL="114300" distR="114300" simplePos="0" relativeHeight="251665408" behindDoc="0" locked="0" layoutInCell="1" allowOverlap="1" wp14:anchorId="3A3F9936" wp14:editId="34E57945">
                            <wp:simplePos x="0" y="0"/>
                            <wp:positionH relativeFrom="column">
                              <wp:posOffset>180340</wp:posOffset>
                            </wp:positionH>
                            <wp:positionV relativeFrom="paragraph">
                              <wp:posOffset>-167640</wp:posOffset>
                            </wp:positionV>
                            <wp:extent cx="489600" cy="691200"/>
                            <wp:effectExtent l="0" t="0" r="24765" b="0"/>
                            <wp:wrapNone/>
                            <wp:docPr id="10" name="Group 10"/>
                            <wp:cNvGraphicFramePr/>
                            <a:graphic xmlns:a="http://schemas.openxmlformats.org/drawingml/2006/main">
                              <a:graphicData uri="http://schemas.microsoft.com/office/word/2010/wordprocessingGroup">
                                <wpg:wgp>
                                  <wpg:cNvGrpSpPr/>
                                  <wpg:grpSpPr>
                                    <a:xfrm>
                                      <a:off x="0" y="0"/>
                                      <a:ext cx="489600" cy="691200"/>
                                      <a:chOff x="0" y="0"/>
                                      <a:chExt cx="488950" cy="689610"/>
                                    </a:xfrm>
                                  </wpg:grpSpPr>
                                  <wps:wsp>
                                    <wps:cNvPr id="11" name="Oval 11"/>
                                    <wps:cNvSpPr/>
                                    <wps:spPr>
                                      <a:xfrm>
                                        <a:off x="0" y="128337"/>
                                        <a:ext cx="488950" cy="495935"/>
                                      </a:xfrm>
                                      <a:prstGeom prst="ellipse">
                                        <a:avLst/>
                                      </a:prstGeom>
                                      <a:solidFill>
                                        <a:srgbClr val="00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2"/>
                                    <wps:cNvSpPr txBox="1">
                                      <a:spLocks noChangeArrowheads="1"/>
                                    </wps:cNvSpPr>
                                    <wps:spPr bwMode="auto">
                                      <a:xfrm>
                                        <a:off x="72190" y="0"/>
                                        <a:ext cx="368935" cy="689610"/>
                                      </a:xfrm>
                                      <a:prstGeom prst="rect">
                                        <a:avLst/>
                                      </a:prstGeom>
                                      <a:noFill/>
                                      <a:ln w="9525">
                                        <a:noFill/>
                                        <a:miter lim="800000"/>
                                        <a:headEnd/>
                                        <a:tailEnd/>
                                      </a:ln>
                                    </wps:spPr>
                                    <wps:txbx>
                                      <w:txbxContent>
                                        <w:p w:rsidR="00CB5377" w:rsidRPr="00D46806" w:rsidRDefault="00CB5377" w:rsidP="00F25779">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0" o:spid="_x0000_s1032" style="position:absolute;margin-left:14.2pt;margin-top:-13.2pt;width:38.55pt;height:54.45pt;z-index:251665408;mso-width-relative:margin;mso-height-relative:margin" coordsize="488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">
                            <v:oval id="Oval 11" o:spid="_x0000_s1033" style="position:absolute;top:1283;width:4889;height:4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R98IA&#10;AADbAAAADwAAAGRycy9kb3ducmV2LnhtbERPS2vCQBC+F/wPywi91U0UQk3diLYIuSZthd6G7OSB&#10;2dmYXWP677uFQm/z8T1nt59NLyYaXWdZQbyKQBBXVnfcKPh4Pz09g3AeWWNvmRR8k4N9tnjYYart&#10;nQuaSt+IEMIuRQWt90MqpataMuhWdiAOXG1Hgz7AsZF6xHsIN71cR1EiDXYcGloc6LWl6lLejIJm&#10;81ZMdX5ex9vpq6g+N0l51FelHpfz4QWEp9n/i//cuQ7zY/j9JRw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9H3wgAAANsAAAAPAAAAAAAAAAAAAAAAAJgCAABkcnMvZG93&#10;bnJldi54bWxQSwUGAAAAAAQABAD1AAAAhwMAAAAA&#10;" fillcolor="black" strokeweight="2pt"/>
                            <v:shape id="Text Box 2" o:spid="_x0000_s1034" type="#_x0000_t202" style="position:absolute;left:721;width:3690;height:6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CB5377" w:rsidRPr="00D46806" w:rsidRDefault="00CB5377" w:rsidP="00F25779">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v:textbox>
                            </v:shape>
                          </v:group>
                        </w:pict>
                      </mc:Fallback>
                    </mc:AlternateContent>
                  </w:r>
                </w:p>
              </w:tc>
              <w:tc>
                <w:tcPr>
                  <w:tcW w:w="7762" w:type="dxa"/>
                  <w:shd w:val="clear" w:color="auto" w:fill="EAEAEA"/>
                  <w:tcMar>
                    <w:top w:w="170" w:type="dxa"/>
                    <w:left w:w="170" w:type="dxa"/>
                    <w:bottom w:w="170" w:type="dxa"/>
                    <w:right w:w="170" w:type="dxa"/>
                  </w:tcMar>
                </w:tcPr>
                <w:p w:rsidR="00F25779" w:rsidRPr="009401F6" w:rsidRDefault="00F25779" w:rsidP="00B7499F">
                  <w:r w:rsidRPr="009401F6">
                    <w:t xml:space="preserve">Text </w:t>
                  </w:r>
                </w:p>
                <w:p w:rsidR="00F25779" w:rsidRPr="009401F6" w:rsidRDefault="00F25779" w:rsidP="00B7499F">
                  <w:r w:rsidRPr="009401F6">
                    <w:t xml:space="preserve">To delete this Tint box Select the whole table and then right click and choose </w:t>
                  </w:r>
                  <w:r w:rsidRPr="009401F6">
                    <w:rPr>
                      <w:b/>
                    </w:rPr>
                    <w:t>Cut</w:t>
                  </w:r>
                  <w:r w:rsidRPr="009401F6">
                    <w:t xml:space="preserve"> or </w:t>
                  </w:r>
                  <w:r w:rsidRPr="009401F6">
                    <w:rPr>
                      <w:b/>
                    </w:rPr>
                    <w:t>Ctrl X</w:t>
                  </w:r>
                </w:p>
              </w:tc>
            </w:tr>
          </w:tbl>
          <w:p w:rsidR="00F25779" w:rsidRPr="009401F6" w:rsidRDefault="00F25779" w:rsidP="00B7499F">
            <w:pPr>
              <w:spacing w:before="0"/>
              <w:rPr>
                <w:sz w:val="20"/>
              </w:rPr>
            </w:pPr>
          </w:p>
        </w:tc>
        <w:tc>
          <w:tcPr>
            <w:tcW w:w="7762" w:type="dxa"/>
            <w:shd w:val="clear" w:color="auto" w:fill="EAEAEA"/>
            <w:tcMar>
              <w:top w:w="170" w:type="dxa"/>
              <w:left w:w="170" w:type="dxa"/>
              <w:bottom w:w="170" w:type="dxa"/>
              <w:right w:w="170" w:type="dxa"/>
            </w:tcMar>
          </w:tcPr>
          <w:p w:rsidR="00F25779" w:rsidRPr="00D46806" w:rsidRDefault="00F25779" w:rsidP="00B7499F">
            <w:pPr>
              <w:rPr>
                <w:b/>
              </w:rPr>
            </w:pPr>
            <w:r>
              <w:rPr>
                <w:b/>
              </w:rPr>
              <w:t>Im</w:t>
            </w:r>
            <w:r w:rsidR="003018C0">
              <w:rPr>
                <w:b/>
              </w:rPr>
              <w:t>plementation of Priority Review</w:t>
            </w:r>
          </w:p>
          <w:p w:rsidR="009C5B1C" w:rsidRPr="003018C0" w:rsidRDefault="009C5B1C" w:rsidP="003018C0">
            <w:pPr>
              <w:pStyle w:val="ListBullet"/>
            </w:pPr>
            <w:r>
              <w:t xml:space="preserve">Is the </w:t>
            </w:r>
            <w:r w:rsidRPr="003018C0">
              <w:t>proposed sponsor alert timeframe adequate for industry?</w:t>
            </w:r>
          </w:p>
          <w:p w:rsidR="008C169B" w:rsidRPr="003018C0" w:rsidRDefault="00F25779" w:rsidP="00AC50D8">
            <w:pPr>
              <w:pStyle w:val="ListBullet"/>
            </w:pPr>
            <w:r w:rsidRPr="003018C0">
              <w:t>Decisions will need to be made promptly</w:t>
            </w:r>
            <w:r w:rsidR="008C169B" w:rsidRPr="003018C0">
              <w:t>, with</w:t>
            </w:r>
            <w:r w:rsidR="00891CA3" w:rsidRPr="003018C0">
              <w:t>in six (6) weeks</w:t>
            </w:r>
            <w:r w:rsidR="008C169B" w:rsidRPr="003018C0">
              <w:t>. L</w:t>
            </w:r>
            <w:r w:rsidRPr="003018C0">
              <w:t>arge submissions will undermine this</w:t>
            </w:r>
            <w:r w:rsidR="008C169B" w:rsidRPr="003018C0">
              <w:t>, as will applications that are incomplete in meeting the criteria</w:t>
            </w:r>
            <w:r w:rsidRPr="003018C0">
              <w:t>.</w:t>
            </w:r>
            <w:r w:rsidR="008C169B" w:rsidRPr="003018C0">
              <w:t xml:space="preserve"> Will applicants be able to present a succinct and compelling argument for Priority Review designation, independent o</w:t>
            </w:r>
            <w:r w:rsidR="00AC50D8">
              <w:t>f the full application process?</w:t>
            </w:r>
          </w:p>
          <w:p w:rsidR="00F930A7" w:rsidRPr="003018C0" w:rsidRDefault="00F930A7" w:rsidP="003018C0">
            <w:pPr>
              <w:pStyle w:val="ListBullet"/>
            </w:pPr>
            <w:r w:rsidRPr="003018C0">
              <w:t>In the proposed implementation it is expected that sponsors on receipt of designation advice will promptly submit their full application for conformity assessment or inclusion. Is this a reasonable expectation?</w:t>
            </w:r>
          </w:p>
          <w:p w:rsidR="00DC6294" w:rsidRPr="003018C0" w:rsidRDefault="00DC6294" w:rsidP="00AC50D8">
            <w:pPr>
              <w:pStyle w:val="ListBullet"/>
            </w:pPr>
            <w:r w:rsidRPr="003018C0">
              <w:t>It is proposed that priority review status will be re</w:t>
            </w:r>
            <w:r w:rsidR="00796CD0" w:rsidRPr="003018C0">
              <w:t>voked</w:t>
            </w:r>
            <w:r w:rsidRPr="003018C0">
              <w:t xml:space="preserve"> if timeframes for reply to request for information are not met. Is the existing practice of a twenty (20) working day timeframe appropriate?</w:t>
            </w:r>
          </w:p>
          <w:p w:rsidR="00370381" w:rsidRPr="003018C0" w:rsidRDefault="00BF1879" w:rsidP="003018C0">
            <w:pPr>
              <w:pStyle w:val="ListBullet"/>
            </w:pPr>
            <w:r w:rsidRPr="003018C0">
              <w:t xml:space="preserve">Is the proposed approach to publication of </w:t>
            </w:r>
            <w:r w:rsidR="009C5B1C" w:rsidRPr="003018C0">
              <w:t xml:space="preserve">Priority Review applications and </w:t>
            </w:r>
            <w:r w:rsidR="00AC50D8">
              <w:t>decisions appropriate?</w:t>
            </w:r>
          </w:p>
          <w:p w:rsidR="00BF1879" w:rsidRPr="00AC50D8" w:rsidRDefault="00370381" w:rsidP="00AC50D8">
            <w:pPr>
              <w:pStyle w:val="ListBullet"/>
            </w:pPr>
            <w:r w:rsidRPr="003018C0">
              <w:t>Is the proposal</w:t>
            </w:r>
            <w:r w:rsidRPr="00AC50D8">
              <w:t xml:space="preserve"> to publish medical device product information for consumers supported, and what extent of detail would consumers seek?</w:t>
            </w:r>
          </w:p>
          <w:p w:rsidR="008C169B" w:rsidRPr="009401F6" w:rsidRDefault="00F930A7" w:rsidP="00AC50D8">
            <w:pPr>
              <w:pStyle w:val="ListBullet"/>
            </w:pPr>
            <w:r w:rsidRPr="00AC50D8">
              <w:t>Is the Priority Review pathway for designated applications adequately detailed? If not, which areas ar</w:t>
            </w:r>
            <w:r>
              <w:t>e unclear or require more detail?</w:t>
            </w:r>
          </w:p>
        </w:tc>
      </w:tr>
    </w:tbl>
    <w:p w:rsidR="005A2F78" w:rsidRDefault="005A2F78">
      <w:pPr>
        <w:spacing w:before="0" w:after="0" w:line="240" w:lineRule="auto"/>
        <w:rPr>
          <w:rFonts w:ascii="Arial" w:eastAsia="Times New Roman" w:hAnsi="Arial"/>
          <w:b/>
          <w:bCs/>
          <w:sz w:val="38"/>
          <w:szCs w:val="38"/>
        </w:rPr>
      </w:pPr>
      <w:r>
        <w:br w:type="page"/>
      </w:r>
    </w:p>
    <w:p w:rsidR="002272EE" w:rsidRDefault="0065143A" w:rsidP="0071545E">
      <w:pPr>
        <w:pStyle w:val="Heading2"/>
      </w:pPr>
      <w:bookmarkStart w:id="69" w:name="_Toc466639096"/>
      <w:r>
        <w:lastRenderedPageBreak/>
        <w:t>TGA operational impacts</w:t>
      </w:r>
      <w:bookmarkEnd w:id="68"/>
      <w:bookmarkEnd w:id="69"/>
    </w:p>
    <w:p w:rsidR="0065143A" w:rsidRDefault="0065143A" w:rsidP="00AC50D8">
      <w:r>
        <w:t>To operationalise the Priority Review application an</w:t>
      </w:r>
      <w:r w:rsidRPr="0071545E">
        <w:t>d</w:t>
      </w:r>
      <w:r>
        <w:t xml:space="preserve"> designation pathway, TGA will:</w:t>
      </w:r>
    </w:p>
    <w:p w:rsidR="00F25779" w:rsidRPr="0071545E" w:rsidRDefault="0065143A" w:rsidP="0071545E">
      <w:pPr>
        <w:pStyle w:val="ListBullet"/>
      </w:pPr>
      <w:r>
        <w:t xml:space="preserve">implement </w:t>
      </w:r>
      <w:r w:rsidR="00EE019B">
        <w:t xml:space="preserve">a </w:t>
      </w:r>
      <w:r w:rsidR="00DA2A6A">
        <w:t>Prio</w:t>
      </w:r>
      <w:r w:rsidR="00DA2A6A" w:rsidRPr="00AC50D8">
        <w:t>rity Re</w:t>
      </w:r>
      <w:r w:rsidR="00DA2A6A" w:rsidRPr="0071545E">
        <w:t xml:space="preserve">view </w:t>
      </w:r>
      <w:r w:rsidRPr="0071545E">
        <w:t xml:space="preserve">business </w:t>
      </w:r>
      <w:r w:rsidR="00EE019B" w:rsidRPr="0071545E">
        <w:t>process</w:t>
      </w:r>
      <w:r w:rsidR="00AC50D8" w:rsidRPr="0071545E">
        <w:t>,</w:t>
      </w:r>
    </w:p>
    <w:p w:rsidR="003C0ACB" w:rsidRPr="0071545E" w:rsidRDefault="0065143A" w:rsidP="0071545E">
      <w:pPr>
        <w:pStyle w:val="ListBullet"/>
      </w:pPr>
      <w:r w:rsidRPr="0071545E">
        <w:t xml:space="preserve">develop </w:t>
      </w:r>
      <w:r w:rsidR="00F25779" w:rsidRPr="0071545E">
        <w:t>supporting documentation</w:t>
      </w:r>
      <w:r w:rsidR="00AC50D8" w:rsidRPr="0071545E">
        <w:t>,</w:t>
      </w:r>
    </w:p>
    <w:p w:rsidR="00DC7BBC" w:rsidRPr="0071545E" w:rsidRDefault="00DC7BBC" w:rsidP="0071545E">
      <w:pPr>
        <w:pStyle w:val="ListBullet"/>
      </w:pPr>
      <w:r w:rsidRPr="0071545E">
        <w:t>apply the Australian Government Cost Recovery Guidelines,</w:t>
      </w:r>
    </w:p>
    <w:p w:rsidR="002272EE" w:rsidRPr="0071545E" w:rsidRDefault="00DC7BBC" w:rsidP="0071545E">
      <w:pPr>
        <w:pStyle w:val="ListBullet"/>
      </w:pPr>
      <w:r w:rsidRPr="0071545E">
        <w:t>incorporate the proposed implementation of Recommendations 15 and 19 of the MMDR for a Priority Review pathway into the TGA’s functions by legislative amendment and r</w:t>
      </w:r>
      <w:r w:rsidR="00F25779" w:rsidRPr="0071545E">
        <w:t>egulations, and</w:t>
      </w:r>
    </w:p>
    <w:p w:rsidR="00F25779" w:rsidRPr="0071545E" w:rsidRDefault="00F25779" w:rsidP="0071545E">
      <w:pPr>
        <w:pStyle w:val="ListBullet"/>
      </w:pPr>
      <w:proofErr w:type="gramStart"/>
      <w:r w:rsidRPr="0071545E">
        <w:t>plan</w:t>
      </w:r>
      <w:proofErr w:type="gramEnd"/>
      <w:r w:rsidRPr="0071545E">
        <w:t xml:space="preserve"> for a post-implementation review.</w:t>
      </w:r>
    </w:p>
    <w:p w:rsidR="00F25779" w:rsidRPr="00664858" w:rsidRDefault="00F25779" w:rsidP="00AC50D8">
      <w:pPr>
        <w:pStyle w:val="Heading3"/>
      </w:pPr>
      <w:bookmarkStart w:id="70" w:name="_Toc466639097"/>
      <w:r w:rsidRPr="00664858">
        <w:t xml:space="preserve">Implementing a Priority Review </w:t>
      </w:r>
      <w:r w:rsidRPr="0071545E">
        <w:t>b</w:t>
      </w:r>
      <w:r w:rsidRPr="00664858">
        <w:t>usiness process</w:t>
      </w:r>
      <w:bookmarkEnd w:id="70"/>
    </w:p>
    <w:p w:rsidR="00DA2A6A" w:rsidRDefault="00CB167E" w:rsidP="0071545E">
      <w:r>
        <w:t xml:space="preserve">Medical device </w:t>
      </w:r>
      <w:r w:rsidR="00DA2A6A">
        <w:t xml:space="preserve">Priority Review applications </w:t>
      </w:r>
      <w:r>
        <w:t xml:space="preserve">will be </w:t>
      </w:r>
      <w:r w:rsidR="00DA2A6A">
        <w:t xml:space="preserve">assigned a </w:t>
      </w:r>
      <w:r w:rsidR="002272EE" w:rsidRPr="00E922E9">
        <w:t xml:space="preserve">case </w:t>
      </w:r>
      <w:r w:rsidR="002C69F3">
        <w:t xml:space="preserve">co-ordinator </w:t>
      </w:r>
      <w:r w:rsidR="00DA2A6A">
        <w:t xml:space="preserve">to </w:t>
      </w:r>
      <w:r w:rsidR="002272EE" w:rsidRPr="00E922E9">
        <w:t xml:space="preserve">provide consistent communication and advice to the </w:t>
      </w:r>
      <w:r w:rsidR="00A20456">
        <w:t>decision maker</w:t>
      </w:r>
      <w:r w:rsidR="00B558F5">
        <w:t xml:space="preserve"> and applicant</w:t>
      </w:r>
      <w:r w:rsidR="00AC50D8">
        <w:t>.</w:t>
      </w:r>
    </w:p>
    <w:p w:rsidR="009270CC" w:rsidRDefault="002272EE" w:rsidP="0071545E">
      <w:r w:rsidRPr="00E922E9">
        <w:t xml:space="preserve">Assessment of an application </w:t>
      </w:r>
      <w:r w:rsidR="00162044">
        <w:t xml:space="preserve">for Priority Review </w:t>
      </w:r>
      <w:r w:rsidR="009270CC">
        <w:t xml:space="preserve">will be treated as a priority </w:t>
      </w:r>
      <w:r w:rsidRPr="00E922E9">
        <w:t xml:space="preserve">and </w:t>
      </w:r>
      <w:r w:rsidR="00B558F5">
        <w:t xml:space="preserve">will </w:t>
      </w:r>
      <w:r w:rsidR="0071545E">
        <w:t>include:</w:t>
      </w:r>
    </w:p>
    <w:p w:rsidR="009270CC" w:rsidRPr="0071545E" w:rsidRDefault="009270CC" w:rsidP="0071545E">
      <w:pPr>
        <w:pStyle w:val="ListBullet"/>
      </w:pPr>
      <w:r>
        <w:t>identifyi</w:t>
      </w:r>
      <w:r w:rsidRPr="00AC50D8">
        <w:t>n</w:t>
      </w:r>
      <w:r w:rsidRPr="0071545E">
        <w:t>g experts to pro</w:t>
      </w:r>
      <w:r w:rsidR="00AC50D8" w:rsidRPr="0071545E">
        <w:t>vide advice on the application;</w:t>
      </w:r>
    </w:p>
    <w:p w:rsidR="009270CC" w:rsidRPr="0071545E" w:rsidRDefault="009270CC" w:rsidP="0071545E">
      <w:pPr>
        <w:pStyle w:val="ListBullet"/>
      </w:pPr>
      <w:r w:rsidRPr="0071545E">
        <w:t>researching the technology of the device and available alternative therapies;</w:t>
      </w:r>
    </w:p>
    <w:p w:rsidR="009270CC" w:rsidRPr="0071545E" w:rsidRDefault="002272EE" w:rsidP="0071545E">
      <w:pPr>
        <w:pStyle w:val="ListBullet"/>
      </w:pPr>
      <w:r w:rsidRPr="0071545E">
        <w:t xml:space="preserve">assessing the application against the criteria; </w:t>
      </w:r>
      <w:r w:rsidR="009270CC" w:rsidRPr="0071545E">
        <w:t>and</w:t>
      </w:r>
    </w:p>
    <w:p w:rsidR="002272EE" w:rsidRDefault="002272EE" w:rsidP="0071545E">
      <w:pPr>
        <w:pStyle w:val="ListBullet"/>
      </w:pPr>
      <w:proofErr w:type="gramStart"/>
      <w:r w:rsidRPr="0071545E">
        <w:t>assessing</w:t>
      </w:r>
      <w:proofErr w:type="gramEnd"/>
      <w:r w:rsidRPr="0071545E">
        <w:t xml:space="preserve"> the validity of core asse</w:t>
      </w:r>
      <w:r w:rsidRPr="00AC50D8">
        <w:t>rtions in t</w:t>
      </w:r>
      <w:r w:rsidRPr="00E922E9">
        <w:t>he application</w:t>
      </w:r>
      <w:r w:rsidR="009270CC">
        <w:t>.</w:t>
      </w:r>
    </w:p>
    <w:p w:rsidR="003C0ACB" w:rsidRDefault="00162044" w:rsidP="0071545E">
      <w:r>
        <w:t xml:space="preserve">If </w:t>
      </w:r>
      <w:r w:rsidRPr="00E922E9">
        <w:t xml:space="preserve">an application </w:t>
      </w:r>
      <w:r>
        <w:t>for Priority Review is accepted, the</w:t>
      </w:r>
      <w:r w:rsidR="003C0ACB">
        <w:t xml:space="preserve"> business process for designated Priority Review application</w:t>
      </w:r>
      <w:r w:rsidR="003C0ACB" w:rsidRPr="00AC50D8">
        <w:t xml:space="preserve">s </w:t>
      </w:r>
      <w:r w:rsidR="00FE4EE2" w:rsidRPr="00AC50D8">
        <w:t xml:space="preserve">(conformity assessment or ARTG inclusion applications) </w:t>
      </w:r>
      <w:r w:rsidR="003C0ACB" w:rsidRPr="00AC50D8">
        <w:t>will require front of the queue priori</w:t>
      </w:r>
      <w:r w:rsidR="003C0ACB">
        <w:t xml:space="preserve">tisation of the application during the standard assessment. This administrative change will be applied to expedite the </w:t>
      </w:r>
      <w:r w:rsidR="00FE4EE2">
        <w:t xml:space="preserve">conformity assessment or ARTG inclusion </w:t>
      </w:r>
      <w:r w:rsidR="003C0ACB">
        <w:t>assessment.</w:t>
      </w:r>
    </w:p>
    <w:p w:rsidR="003C0ACB" w:rsidRDefault="003C0ACB" w:rsidP="0071545E">
      <w:r>
        <w:t>The business process will include reprioritisat</w:t>
      </w:r>
      <w:r w:rsidR="00AC50D8">
        <w:t>ion of in-progress assessments.</w:t>
      </w:r>
    </w:p>
    <w:p w:rsidR="003C0ACB" w:rsidRPr="00664858" w:rsidRDefault="003C0ACB" w:rsidP="0071545E">
      <w:pPr>
        <w:pStyle w:val="Heading3"/>
      </w:pPr>
      <w:bookmarkStart w:id="71" w:name="_Toc466639098"/>
      <w:bookmarkStart w:id="72" w:name="_Toc442957725"/>
      <w:bookmarkStart w:id="73" w:name="_Toc462151526"/>
      <w:bookmarkStart w:id="74" w:name="_Toc442957732"/>
      <w:r w:rsidRPr="00664858">
        <w:t>Develop supporting documentation</w:t>
      </w:r>
      <w:bookmarkEnd w:id="71"/>
    </w:p>
    <w:p w:rsidR="003C0ACB" w:rsidRDefault="003C0ACB" w:rsidP="0071545E">
      <w:r>
        <w:t>TGA will develop supporting documentation for the business process and to support sponsors. Documentation will include:</w:t>
      </w:r>
    </w:p>
    <w:p w:rsidR="003C0ACB" w:rsidRPr="0071545E" w:rsidRDefault="0071545E" w:rsidP="0071545E">
      <w:pPr>
        <w:pStyle w:val="ListBullet"/>
      </w:pPr>
      <w:r>
        <w:t>application</w:t>
      </w:r>
      <w:r w:rsidRPr="0071545E">
        <w:t xml:space="preserve"> forms,</w:t>
      </w:r>
    </w:p>
    <w:p w:rsidR="003C0ACB" w:rsidRPr="0071545E" w:rsidRDefault="003C0ACB" w:rsidP="0071545E">
      <w:pPr>
        <w:pStyle w:val="ListBullet"/>
      </w:pPr>
      <w:r w:rsidRPr="0071545E">
        <w:t>guidance documents</w:t>
      </w:r>
      <w:r w:rsidR="007820E3" w:rsidRPr="0071545E">
        <w:t>, including a comprehensive checklist</w:t>
      </w:r>
      <w:r w:rsidRPr="0071545E">
        <w:t>, and</w:t>
      </w:r>
    </w:p>
    <w:p w:rsidR="003C0ACB" w:rsidRDefault="003C0ACB" w:rsidP="0071545E">
      <w:pPr>
        <w:pStyle w:val="ListBullet"/>
      </w:pPr>
      <w:r w:rsidRPr="0071545E">
        <w:t>internal standard operating procedures for receivi</w:t>
      </w:r>
      <w:r>
        <w:t>ng and processing applications</w:t>
      </w:r>
    </w:p>
    <w:p w:rsidR="002272EE" w:rsidRPr="00664858" w:rsidRDefault="002272EE" w:rsidP="0071545E">
      <w:pPr>
        <w:pStyle w:val="Heading3"/>
      </w:pPr>
      <w:bookmarkStart w:id="75" w:name="_Toc466639099"/>
      <w:r w:rsidRPr="00664858">
        <w:t>Cost recovery</w:t>
      </w:r>
      <w:bookmarkEnd w:id="72"/>
      <w:bookmarkEnd w:id="73"/>
      <w:bookmarkEnd w:id="75"/>
    </w:p>
    <w:p w:rsidR="00EE019B" w:rsidRDefault="002272EE" w:rsidP="0071545E">
      <w:r>
        <w:t xml:space="preserve">Existing TGA operations (assessment and evaluation costs) are recovered as fees from applicants, while post-market monitoring and surveillance are recovered in the form of annual </w:t>
      </w:r>
      <w:r>
        <w:lastRenderedPageBreak/>
        <w:t xml:space="preserve">charges. Cost recovery of the </w:t>
      </w:r>
      <w:r w:rsidR="00EE019B">
        <w:t xml:space="preserve">Priority Review </w:t>
      </w:r>
      <w:r w:rsidR="00343C76">
        <w:t xml:space="preserve">pathway is proposed to be consistent </w:t>
      </w:r>
      <w:r>
        <w:t xml:space="preserve">with existing practice, as well as with the </w:t>
      </w:r>
      <w:r w:rsidRPr="009D1564">
        <w:rPr>
          <w:szCs w:val="23"/>
        </w:rPr>
        <w:t>Australian Government Cost Recovery Guidelines</w:t>
      </w:r>
      <w:r>
        <w:rPr>
          <w:rStyle w:val="FootnoteReference"/>
          <w:szCs w:val="23"/>
        </w:rPr>
        <w:footnoteReference w:id="7"/>
      </w:r>
      <w:r>
        <w:rPr>
          <w:szCs w:val="23"/>
        </w:rPr>
        <w:t>.</w:t>
      </w:r>
    </w:p>
    <w:p w:rsidR="002272EE" w:rsidRDefault="00DA1E0B" w:rsidP="0071545E">
      <w:r>
        <w:t xml:space="preserve">The proposed </w:t>
      </w:r>
      <w:r w:rsidR="002272EE">
        <w:t xml:space="preserve">front of queue </w:t>
      </w:r>
      <w:r>
        <w:t xml:space="preserve">administrative process for designated Priority Review applications </w:t>
      </w:r>
      <w:r w:rsidR="00341065">
        <w:t xml:space="preserve">(conformity assessment or ARTG inclusion applications, whatever is relevant) </w:t>
      </w:r>
      <w:r w:rsidR="002272EE">
        <w:t xml:space="preserve">will require more resources during the premarket </w:t>
      </w:r>
      <w:r w:rsidR="00341065">
        <w:t xml:space="preserve">assessment </w:t>
      </w:r>
      <w:r w:rsidR="002272EE">
        <w:t xml:space="preserve">process and will largely benefit sponsors of these devices (as well as patients wishing to access these devices). To recover the additional costs </w:t>
      </w:r>
      <w:r w:rsidR="00220204">
        <w:t>it is proposed to</w:t>
      </w:r>
      <w:r w:rsidR="002272EE">
        <w:t>:</w:t>
      </w:r>
    </w:p>
    <w:p w:rsidR="002272EE" w:rsidRDefault="002272EE" w:rsidP="00664858">
      <w:pPr>
        <w:pStyle w:val="ListBullet"/>
      </w:pPr>
      <w:r>
        <w:t xml:space="preserve">Create </w:t>
      </w:r>
      <w:r w:rsidRPr="00F13D19">
        <w:t>a</w:t>
      </w:r>
      <w:r w:rsidRPr="00E04C68">
        <w:rPr>
          <w:b/>
        </w:rPr>
        <w:t xml:space="preserve"> </w:t>
      </w:r>
      <w:r w:rsidR="00F13D19" w:rsidRPr="00E04C68">
        <w:rPr>
          <w:b/>
        </w:rPr>
        <w:t>Priority Review</w:t>
      </w:r>
      <w:r w:rsidR="00F13D19">
        <w:t xml:space="preserve"> </w:t>
      </w:r>
      <w:r w:rsidRPr="00E04C68">
        <w:rPr>
          <w:b/>
        </w:rPr>
        <w:t>application fee</w:t>
      </w:r>
      <w:r>
        <w:t xml:space="preserve"> for assessing whether the devi</w:t>
      </w:r>
      <w:r w:rsidRPr="0071545E">
        <w:t>c</w:t>
      </w:r>
      <w:r>
        <w:t xml:space="preserve">e meets the </w:t>
      </w:r>
      <w:r w:rsidR="00EE019B">
        <w:t>Priority Review</w:t>
      </w:r>
      <w:r w:rsidR="00DA1E0B">
        <w:t xml:space="preserve"> pathway</w:t>
      </w:r>
      <w:r w:rsidR="00EE019B">
        <w:t xml:space="preserve"> </w:t>
      </w:r>
      <w:r>
        <w:t>criteria.</w:t>
      </w:r>
    </w:p>
    <w:p w:rsidR="002272EE" w:rsidRDefault="00220204" w:rsidP="0071545E">
      <w:pPr>
        <w:pStyle w:val="ListBullet"/>
      </w:pPr>
      <w:r>
        <w:t xml:space="preserve">Priority Review eligible devices will be assessed using standard assessment processes. </w:t>
      </w:r>
      <w:r w:rsidR="00EB0BB2">
        <w:t>D</w:t>
      </w:r>
      <w:r>
        <w:t>evices eligible for Priority Review will be of a novel nature and require</w:t>
      </w:r>
      <w:r w:rsidR="002272EE">
        <w:t xml:space="preserve"> </w:t>
      </w:r>
      <w:r w:rsidR="00F13D19">
        <w:t xml:space="preserve">either TGA conformity assessment application or </w:t>
      </w:r>
      <w:r w:rsidR="002272EE">
        <w:t xml:space="preserve">a </w:t>
      </w:r>
      <w:r w:rsidR="002272EE" w:rsidRPr="00E04C68">
        <w:rPr>
          <w:b/>
        </w:rPr>
        <w:t>Level 2 audit</w:t>
      </w:r>
      <w:r w:rsidR="00F13D19" w:rsidRPr="00E04C68">
        <w:rPr>
          <w:b/>
        </w:rPr>
        <w:t xml:space="preserve"> </w:t>
      </w:r>
      <w:r w:rsidR="00F13D19" w:rsidRPr="00F13D19">
        <w:t>for ARTG inclusion applications with EC Certificates</w:t>
      </w:r>
      <w:r w:rsidR="002272EE">
        <w:t xml:space="preserve">. </w:t>
      </w:r>
      <w:r>
        <w:t>Standard assessment processes are</w:t>
      </w:r>
      <w:r w:rsidR="002272EE">
        <w:t xml:space="preserve"> performed </w:t>
      </w:r>
      <w:r>
        <w:t xml:space="preserve">on a </w:t>
      </w:r>
      <w:r w:rsidR="002272EE">
        <w:t>cost recover</w:t>
      </w:r>
      <w:r>
        <w:t>y basis</w:t>
      </w:r>
      <w:r w:rsidR="00F13D19">
        <w:t xml:space="preserve"> (application fees, conformity assessment fees or audit assessment fees)</w:t>
      </w:r>
      <w:r w:rsidR="0071545E">
        <w:t>.</w:t>
      </w:r>
    </w:p>
    <w:p w:rsidR="00220204" w:rsidRDefault="00220204" w:rsidP="0071545E">
      <w:r>
        <w:t xml:space="preserve">The proposed Priority Review application </w:t>
      </w:r>
      <w:r w:rsidR="00B558F5">
        <w:t>fee based</w:t>
      </w:r>
      <w:r>
        <w:t xml:space="preserve"> on cost recover</w:t>
      </w:r>
      <w:r w:rsidR="00B558F5">
        <w:t>y</w:t>
      </w:r>
      <w:r>
        <w:t xml:space="preserve"> will </w:t>
      </w:r>
      <w:r w:rsidR="002272EE">
        <w:t>also serve to discou</w:t>
      </w:r>
      <w:r w:rsidR="0071545E">
        <w:t>rage disingenuous applications.</w:t>
      </w:r>
    </w:p>
    <w:p w:rsidR="002272EE" w:rsidRPr="002272EE" w:rsidRDefault="002272EE" w:rsidP="0071545E">
      <w:r>
        <w:t xml:space="preserve">Evaluation on whether fees and levies have achieved cost recovery should occur at regular intervals. </w:t>
      </w:r>
      <w:r w:rsidRPr="002272EE">
        <w:t>Importantly these new fees will require changes to Regulation</w:t>
      </w:r>
      <w:r w:rsidR="00B558F5">
        <w:t>s</w:t>
      </w:r>
      <w:r w:rsidR="0071545E">
        <w:t xml:space="preserve"> (see below).</w:t>
      </w:r>
    </w:p>
    <w:p w:rsidR="002272EE" w:rsidRPr="00664858" w:rsidRDefault="002272EE" w:rsidP="0071545E">
      <w:pPr>
        <w:pStyle w:val="Heading3"/>
      </w:pPr>
      <w:bookmarkStart w:id="76" w:name="_Toc462151527"/>
      <w:bookmarkStart w:id="77" w:name="_Toc466639100"/>
      <w:r w:rsidRPr="00664858">
        <w:t xml:space="preserve">Legislative and </w:t>
      </w:r>
      <w:r w:rsidR="0071545E">
        <w:t>r</w:t>
      </w:r>
      <w:r w:rsidRPr="00664858">
        <w:t xml:space="preserve">egulatory </w:t>
      </w:r>
      <w:r w:rsidR="0071545E">
        <w:t>a</w:t>
      </w:r>
      <w:r w:rsidRPr="00664858">
        <w:t>mendment</w:t>
      </w:r>
      <w:bookmarkEnd w:id="74"/>
      <w:bookmarkEnd w:id="76"/>
      <w:bookmarkEnd w:id="77"/>
    </w:p>
    <w:p w:rsidR="00220204" w:rsidRDefault="002272EE" w:rsidP="0071545E">
      <w:r>
        <w:t xml:space="preserve">It is our intention to incorporate the criteria for </w:t>
      </w:r>
      <w:r w:rsidR="00DA1E0B">
        <w:t xml:space="preserve">the </w:t>
      </w:r>
      <w:r w:rsidR="00220204">
        <w:t xml:space="preserve">Priority Review </w:t>
      </w:r>
      <w:r w:rsidR="00DA1E0B">
        <w:t>pathway</w:t>
      </w:r>
      <w:r w:rsidR="00B84EDA">
        <w:t xml:space="preserve"> </w:t>
      </w:r>
      <w:r>
        <w:t xml:space="preserve">into the </w:t>
      </w:r>
      <w:r w:rsidR="00F519A0">
        <w:t xml:space="preserve">Therapeutic Goods (Medical Devices) </w:t>
      </w:r>
      <w:r>
        <w:t>Regulations</w:t>
      </w:r>
      <w:r w:rsidR="00F519A0">
        <w:t xml:space="preserve"> 2002 (MD Regulations)</w:t>
      </w:r>
      <w:r>
        <w:t xml:space="preserve">, as well as </w:t>
      </w:r>
      <w:r w:rsidR="0071545E">
        <w:t>the associated additional fees.</w:t>
      </w:r>
    </w:p>
    <w:p w:rsidR="002272EE" w:rsidRDefault="002272EE" w:rsidP="0071545E">
      <w:r>
        <w:t>The details of the criteria and pathway will be published in a guidance document, with the internal standard operating procedures published on the TGA website.</w:t>
      </w:r>
    </w:p>
    <w:p w:rsidR="002272EE" w:rsidRDefault="002272EE" w:rsidP="0071545E">
      <w:r>
        <w:t xml:space="preserve">Legislative amendment will be required to </w:t>
      </w:r>
      <w:r w:rsidRPr="003424F5">
        <w:t xml:space="preserve">enable regulations to establish </w:t>
      </w:r>
      <w:r w:rsidR="00DA1E0B">
        <w:t xml:space="preserve">the Priority Review pathway </w:t>
      </w:r>
      <w:r w:rsidRPr="003424F5">
        <w:t xml:space="preserve">– to apply to both conformity assessment and </w:t>
      </w:r>
      <w:r w:rsidR="006E745B">
        <w:t xml:space="preserve">ARTG </w:t>
      </w:r>
      <w:r w:rsidRPr="003424F5">
        <w:t>inclusion application processes, including related fees</w:t>
      </w:r>
      <w:r>
        <w:t>.</w:t>
      </w:r>
    </w:p>
    <w:p w:rsidR="002272EE" w:rsidRDefault="00F519A0" w:rsidP="0071545E">
      <w:r>
        <w:t xml:space="preserve">MD </w:t>
      </w:r>
      <w:r w:rsidR="002272EE">
        <w:t>Regulat</w:t>
      </w:r>
      <w:r>
        <w:t xml:space="preserve">ions are expected to be </w:t>
      </w:r>
      <w:r w:rsidR="002272EE">
        <w:t>amend</w:t>
      </w:r>
      <w:r w:rsidR="00370381">
        <w:t>ed</w:t>
      </w:r>
      <w:r>
        <w:t>, outlining</w:t>
      </w:r>
      <w:r w:rsidR="002272EE">
        <w:t>:</w:t>
      </w:r>
    </w:p>
    <w:p w:rsidR="002272EE" w:rsidRPr="0071545E" w:rsidRDefault="00F519A0" w:rsidP="0071545E">
      <w:pPr>
        <w:pStyle w:val="ListBullet"/>
      </w:pPr>
      <w:r>
        <w:t>Pri</w:t>
      </w:r>
      <w:r w:rsidRPr="0071545E">
        <w:t xml:space="preserve">ority Review </w:t>
      </w:r>
      <w:r w:rsidR="002272EE" w:rsidRPr="0071545E">
        <w:t>criteria</w:t>
      </w:r>
    </w:p>
    <w:p w:rsidR="00F519A0" w:rsidRPr="0071545E" w:rsidRDefault="00E04C68" w:rsidP="0071545E">
      <w:pPr>
        <w:pStyle w:val="ListBullet"/>
      </w:pPr>
      <w:r w:rsidRPr="0071545E">
        <w:t>Assessment process</w:t>
      </w:r>
    </w:p>
    <w:p w:rsidR="00F519A0" w:rsidRPr="0071545E" w:rsidRDefault="00E04C68" w:rsidP="0071545E">
      <w:pPr>
        <w:pStyle w:val="ListBullet"/>
      </w:pPr>
      <w:r w:rsidRPr="0071545E">
        <w:t>Related fees</w:t>
      </w:r>
    </w:p>
    <w:p w:rsidR="0003542B" w:rsidRDefault="0003542B" w:rsidP="0071545E">
      <w:r>
        <w:t xml:space="preserve">A Cost Recovery Impact Statement (CRIS) will be required to support </w:t>
      </w:r>
      <w:r w:rsidR="00F519A0">
        <w:t xml:space="preserve">the </w:t>
      </w:r>
      <w:r>
        <w:t>fees arising f</w:t>
      </w:r>
      <w:r w:rsidR="0071545E">
        <w:t>rom these changes.</w:t>
      </w:r>
    </w:p>
    <w:p w:rsidR="002272EE" w:rsidRPr="00664858" w:rsidRDefault="002272EE" w:rsidP="00D974FF">
      <w:pPr>
        <w:pStyle w:val="Heading3"/>
      </w:pPr>
      <w:bookmarkStart w:id="78" w:name="_Toc462151528"/>
      <w:bookmarkStart w:id="79" w:name="_Toc466639101"/>
      <w:bookmarkStart w:id="80" w:name="_Toc442957734"/>
      <w:r w:rsidRPr="00664858">
        <w:t>Evaluation and Review</w:t>
      </w:r>
      <w:bookmarkEnd w:id="78"/>
      <w:bookmarkEnd w:id="79"/>
    </w:p>
    <w:p w:rsidR="00220204" w:rsidRDefault="002272EE" w:rsidP="00D974FF">
      <w:r>
        <w:t xml:space="preserve">The Australian regulatory context is </w:t>
      </w:r>
      <w:r w:rsidR="00DA1E0B">
        <w:t>d</w:t>
      </w:r>
      <w:r>
        <w:t xml:space="preserve">ifferent from that of the USA, thus it is </w:t>
      </w:r>
      <w:r w:rsidR="00220204">
        <w:t xml:space="preserve">difficult </w:t>
      </w:r>
      <w:r>
        <w:t xml:space="preserve">to </w:t>
      </w:r>
      <w:r w:rsidR="00DA1E0B">
        <w:t xml:space="preserve">accurately </w:t>
      </w:r>
      <w:r>
        <w:t xml:space="preserve">anticipate </w:t>
      </w:r>
      <w:r w:rsidR="00DA1E0B">
        <w:t xml:space="preserve">the volume of Priority Review pathway applications that </w:t>
      </w:r>
      <w:r>
        <w:t>will be</w:t>
      </w:r>
      <w:r w:rsidR="00DA1E0B">
        <w:t xml:space="preserve"> received</w:t>
      </w:r>
      <w:r w:rsidR="00220204">
        <w:t>.</w:t>
      </w:r>
    </w:p>
    <w:p w:rsidR="002272EE" w:rsidRDefault="00DA1E0B" w:rsidP="00D974FF">
      <w:r>
        <w:lastRenderedPageBreak/>
        <w:t xml:space="preserve">It is proposed that a </w:t>
      </w:r>
      <w:r w:rsidR="00220204">
        <w:t>post-implementation review will be undertaken</w:t>
      </w:r>
      <w:r w:rsidR="00B7419F">
        <w:t xml:space="preserve">. </w:t>
      </w:r>
      <w:r w:rsidR="00220204">
        <w:t>The timeframe is yet to be determined.</w:t>
      </w:r>
      <w:r w:rsidR="00D974FF">
        <w:t xml:space="preserve"> </w:t>
      </w:r>
      <w:r w:rsidR="00B558F5">
        <w:t xml:space="preserve">The review may </w:t>
      </w:r>
      <w:r>
        <w:t>include</w:t>
      </w:r>
      <w:r w:rsidR="00B558F5">
        <w:t>:</w:t>
      </w:r>
    </w:p>
    <w:p w:rsidR="002272EE" w:rsidRPr="00D974FF" w:rsidRDefault="002272EE" w:rsidP="00D974FF">
      <w:pPr>
        <w:pStyle w:val="ListBullet"/>
      </w:pPr>
      <w:r w:rsidRPr="00D974FF">
        <w:t xml:space="preserve">Was the assessment faster in comparison to similar </w:t>
      </w:r>
      <w:r w:rsidR="0070179F" w:rsidRPr="00D974FF">
        <w:t xml:space="preserve">applications </w:t>
      </w:r>
      <w:r w:rsidRPr="00D974FF">
        <w:t>assessed through normal pathways? If not, why not? What further efficiencies can be built into the pathway?</w:t>
      </w:r>
    </w:p>
    <w:p w:rsidR="002272EE" w:rsidRPr="00D974FF" w:rsidRDefault="002272EE" w:rsidP="00D974FF">
      <w:pPr>
        <w:pStyle w:val="ListBullet"/>
      </w:pPr>
      <w:r w:rsidRPr="00D974FF">
        <w:t>What devices were chosen and were these enthusiastically adopted by the proposed patient cohort? If not, why not? How can we better select effective devices for this pathway?</w:t>
      </w:r>
    </w:p>
    <w:p w:rsidR="002272EE" w:rsidRPr="00D974FF" w:rsidRDefault="002272EE" w:rsidP="00D974FF">
      <w:pPr>
        <w:pStyle w:val="ListBullet"/>
      </w:pPr>
      <w:r w:rsidRPr="00D974FF">
        <w:t>What was the quality of the applications and what can we alter to gain better applications?</w:t>
      </w:r>
    </w:p>
    <w:p w:rsidR="002272EE" w:rsidRPr="00D974FF" w:rsidRDefault="002272EE" w:rsidP="00D974FF">
      <w:pPr>
        <w:pStyle w:val="ListBullet"/>
      </w:pPr>
      <w:r w:rsidRPr="00D974FF">
        <w:t xml:space="preserve">How did this pathway affect TGA </w:t>
      </w:r>
      <w:r w:rsidR="00220204" w:rsidRPr="00D974FF">
        <w:t xml:space="preserve">business as usual </w:t>
      </w:r>
      <w:r w:rsidRPr="00D974FF">
        <w:t xml:space="preserve">operations? Has this pathway been </w:t>
      </w:r>
      <w:r w:rsidR="00370381" w:rsidRPr="00D974FF">
        <w:t xml:space="preserve">properly </w:t>
      </w:r>
      <w:r w:rsidRPr="00D974FF">
        <w:t>cost recovered?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25779" w:rsidRPr="009401F6" w:rsidTr="00B7499F">
        <w:trPr>
          <w:trHeight w:val="1206"/>
        </w:trPr>
        <w:tc>
          <w:tcPr>
            <w:tcW w:w="1276" w:type="dxa"/>
            <w:vAlign w:val="center"/>
          </w:tcPr>
          <w:tbl>
            <w:tblPr>
              <w:tblW w:w="9038" w:type="dxa"/>
              <w:tblLayout w:type="fixed"/>
              <w:tblCellMar>
                <w:left w:w="0" w:type="dxa"/>
                <w:right w:w="0" w:type="dxa"/>
              </w:tblCellMar>
              <w:tblLook w:val="04A0" w:firstRow="1" w:lastRow="0" w:firstColumn="1" w:lastColumn="0" w:noHBand="0" w:noVBand="1"/>
            </w:tblPr>
            <w:tblGrid>
              <w:gridCol w:w="1276"/>
              <w:gridCol w:w="7762"/>
            </w:tblGrid>
            <w:tr w:rsidR="00F25779" w:rsidRPr="009401F6" w:rsidTr="00B7499F">
              <w:trPr>
                <w:trHeight w:val="1206"/>
              </w:trPr>
              <w:tc>
                <w:tcPr>
                  <w:tcW w:w="1276" w:type="dxa"/>
                  <w:vAlign w:val="center"/>
                </w:tcPr>
                <w:bookmarkStart w:id="81" w:name="_Toc442957731"/>
                <w:bookmarkEnd w:id="80"/>
                <w:p w:rsidR="00F25779" w:rsidRPr="009401F6" w:rsidRDefault="00F25779" w:rsidP="00B7499F">
                  <w:pPr>
                    <w:spacing w:before="0"/>
                    <w:rPr>
                      <w:sz w:val="20"/>
                    </w:rPr>
                  </w:pPr>
                  <w:r>
                    <w:rPr>
                      <w:noProof/>
                      <w:sz w:val="20"/>
                      <w:lang w:eastAsia="en-AU"/>
                    </w:rPr>
                    <mc:AlternateContent>
                      <mc:Choice Requires="wpg">
                        <w:drawing>
                          <wp:anchor distT="0" distB="0" distL="114300" distR="114300" simplePos="0" relativeHeight="251667456" behindDoc="0" locked="0" layoutInCell="1" allowOverlap="1" wp14:anchorId="7166CBC4" wp14:editId="0FA40C0D">
                            <wp:simplePos x="0" y="0"/>
                            <wp:positionH relativeFrom="column">
                              <wp:posOffset>180340</wp:posOffset>
                            </wp:positionH>
                            <wp:positionV relativeFrom="paragraph">
                              <wp:posOffset>-167640</wp:posOffset>
                            </wp:positionV>
                            <wp:extent cx="489600" cy="691200"/>
                            <wp:effectExtent l="0" t="0" r="24765" b="0"/>
                            <wp:wrapNone/>
                            <wp:docPr id="6" name="Group 6"/>
                            <wp:cNvGraphicFramePr/>
                            <a:graphic xmlns:a="http://schemas.openxmlformats.org/drawingml/2006/main">
                              <a:graphicData uri="http://schemas.microsoft.com/office/word/2010/wordprocessingGroup">
                                <wpg:wgp>
                                  <wpg:cNvGrpSpPr/>
                                  <wpg:grpSpPr>
                                    <a:xfrm>
                                      <a:off x="0" y="0"/>
                                      <a:ext cx="489600" cy="691200"/>
                                      <a:chOff x="0" y="0"/>
                                      <a:chExt cx="488950" cy="689610"/>
                                    </a:xfrm>
                                  </wpg:grpSpPr>
                                  <wps:wsp>
                                    <wps:cNvPr id="7" name="Oval 7"/>
                                    <wps:cNvSpPr/>
                                    <wps:spPr>
                                      <a:xfrm>
                                        <a:off x="0" y="128337"/>
                                        <a:ext cx="488950" cy="495935"/>
                                      </a:xfrm>
                                      <a:prstGeom prst="ellipse">
                                        <a:avLst/>
                                      </a:prstGeom>
                                      <a:solidFill>
                                        <a:srgbClr val="00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2"/>
                                    <wps:cNvSpPr txBox="1">
                                      <a:spLocks noChangeArrowheads="1"/>
                                    </wps:cNvSpPr>
                                    <wps:spPr bwMode="auto">
                                      <a:xfrm>
                                        <a:off x="72190" y="0"/>
                                        <a:ext cx="368935" cy="689610"/>
                                      </a:xfrm>
                                      <a:prstGeom prst="rect">
                                        <a:avLst/>
                                      </a:prstGeom>
                                      <a:noFill/>
                                      <a:ln w="9525">
                                        <a:noFill/>
                                        <a:miter lim="800000"/>
                                        <a:headEnd/>
                                        <a:tailEnd/>
                                      </a:ln>
                                    </wps:spPr>
                                    <wps:txbx>
                                      <w:txbxContent>
                                        <w:p w:rsidR="00CB5377" w:rsidRPr="00D46806" w:rsidRDefault="00CB5377" w:rsidP="00F25779">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6" o:spid="_x0000_s1035" style="position:absolute;margin-left:14.2pt;margin-top:-13.2pt;width:38.55pt;height:54.45pt;z-index:251667456;mso-width-relative:margin;mso-height-relative:margin" coordsize="488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">
                            <v:oval id="Oval 7" o:spid="_x0000_s1036" style="position:absolute;top:1283;width:4889;height:4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8frsIA&#10;AADaAAAADwAAAGRycy9kb3ducmV2LnhtbESPQYvCMBSE74L/ITzBm6Yq6FqNsrsieG1dBW+P5tkW&#10;m5duE2v992ZhweMwM98w621nKtFS40rLCibjCARxZnXJuYKf4370AcJ5ZI2VZVLwJAfbTb+3xljb&#10;ByfUpj4XAcIuRgWF93UspcsKMujGtiYO3tU2Bn2QTS51g48AN5WcRtFcGiw5LBRY03dB2S29GwX5&#10;bJe018N5Olm2lyQ7zebpl/5VajjoPlcgPHX+Hf5vH7SCBfxdCT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Xx+uwgAAANoAAAAPAAAAAAAAAAAAAAAAAJgCAABkcnMvZG93&#10;bnJldi54bWxQSwUGAAAAAAQABAD1AAAAhwMAAAAA&#10;" fillcolor="black" strokeweight="2pt"/>
                            <v:shape id="Text Box 2" o:spid="_x0000_s1037" type="#_x0000_t202" style="position:absolute;left:721;width:3690;height:6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CB5377" w:rsidRPr="00D46806" w:rsidRDefault="00CB5377" w:rsidP="00F25779">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v:textbox>
                            </v:shape>
                          </v:group>
                        </w:pict>
                      </mc:Fallback>
                    </mc:AlternateContent>
                  </w:r>
                </w:p>
              </w:tc>
              <w:tc>
                <w:tcPr>
                  <w:tcW w:w="7762" w:type="dxa"/>
                  <w:shd w:val="clear" w:color="auto" w:fill="EAEAEA"/>
                  <w:tcMar>
                    <w:top w:w="170" w:type="dxa"/>
                    <w:left w:w="170" w:type="dxa"/>
                    <w:bottom w:w="170" w:type="dxa"/>
                    <w:right w:w="170" w:type="dxa"/>
                  </w:tcMar>
                </w:tcPr>
                <w:p w:rsidR="00F25779" w:rsidRPr="009401F6" w:rsidRDefault="00F25779" w:rsidP="00B7499F">
                  <w:r w:rsidRPr="009401F6">
                    <w:t xml:space="preserve">Text </w:t>
                  </w:r>
                </w:p>
                <w:p w:rsidR="00F25779" w:rsidRPr="009401F6" w:rsidRDefault="00F25779" w:rsidP="00B7499F">
                  <w:r w:rsidRPr="009401F6">
                    <w:t xml:space="preserve">To delete this Tint box Select the whole table and then right click and choose </w:t>
                  </w:r>
                  <w:r w:rsidRPr="009401F6">
                    <w:rPr>
                      <w:b/>
                    </w:rPr>
                    <w:t>Cut</w:t>
                  </w:r>
                  <w:r w:rsidRPr="009401F6">
                    <w:t xml:space="preserve"> or </w:t>
                  </w:r>
                  <w:r w:rsidRPr="009401F6">
                    <w:rPr>
                      <w:b/>
                    </w:rPr>
                    <w:t>Ctrl X</w:t>
                  </w:r>
                </w:p>
              </w:tc>
            </w:tr>
          </w:tbl>
          <w:p w:rsidR="00F25779" w:rsidRPr="009401F6" w:rsidRDefault="00F25779" w:rsidP="00B7499F">
            <w:pPr>
              <w:spacing w:before="0"/>
              <w:rPr>
                <w:sz w:val="20"/>
              </w:rPr>
            </w:pPr>
          </w:p>
        </w:tc>
        <w:tc>
          <w:tcPr>
            <w:tcW w:w="7762" w:type="dxa"/>
            <w:shd w:val="clear" w:color="auto" w:fill="EAEAEA"/>
            <w:tcMar>
              <w:top w:w="170" w:type="dxa"/>
              <w:left w:w="170" w:type="dxa"/>
              <w:bottom w:w="170" w:type="dxa"/>
              <w:right w:w="170" w:type="dxa"/>
            </w:tcMar>
          </w:tcPr>
          <w:p w:rsidR="00F25779" w:rsidRPr="00D46806" w:rsidRDefault="00F25779" w:rsidP="00B7499F">
            <w:pPr>
              <w:rPr>
                <w:b/>
              </w:rPr>
            </w:pPr>
            <w:r>
              <w:rPr>
                <w:b/>
              </w:rPr>
              <w:t xml:space="preserve">TGA operational </w:t>
            </w:r>
            <w:r w:rsidR="00F930A7">
              <w:rPr>
                <w:b/>
              </w:rPr>
              <w:t>impacts</w:t>
            </w:r>
          </w:p>
          <w:p w:rsidR="00F930A7" w:rsidRPr="00D974FF" w:rsidRDefault="00F930A7" w:rsidP="00D974FF">
            <w:pPr>
              <w:pStyle w:val="ListBullet"/>
            </w:pPr>
            <w:r>
              <w:t>Ar</w:t>
            </w:r>
            <w:r w:rsidRPr="00D974FF">
              <w:t>e there any gaps in th</w:t>
            </w:r>
            <w:r w:rsidR="00D974FF" w:rsidRPr="00D974FF">
              <w:t>e proposed implementation plan?</w:t>
            </w:r>
          </w:p>
          <w:p w:rsidR="00B30EF8" w:rsidRPr="00D974FF" w:rsidRDefault="00E40873" w:rsidP="00D974FF">
            <w:pPr>
              <w:pStyle w:val="ListBullet"/>
            </w:pPr>
            <w:r w:rsidRPr="00D974FF">
              <w:t>What aspects of the proposed implementation would you suggest for inclusion i</w:t>
            </w:r>
            <w:r w:rsidR="00D974FF" w:rsidRPr="00D974FF">
              <w:t>n a post-implementation review?</w:t>
            </w:r>
          </w:p>
          <w:p w:rsidR="00F25779" w:rsidRPr="009401F6" w:rsidRDefault="00E40873" w:rsidP="00D974FF">
            <w:pPr>
              <w:pStyle w:val="ListBullet"/>
            </w:pPr>
            <w:r w:rsidRPr="00D974FF">
              <w:t>What timeframe would you suggest for the review – 1 year, 2 years or 3 years after commence</w:t>
            </w:r>
            <w:r>
              <w:t>ment?</w:t>
            </w:r>
          </w:p>
        </w:tc>
      </w:tr>
    </w:tbl>
    <w:p w:rsidR="00B9644F" w:rsidRDefault="00B9644F" w:rsidP="00D974FF">
      <w:bookmarkStart w:id="82" w:name="_Toc458616394"/>
      <w:bookmarkEnd w:id="81"/>
      <w:r>
        <w:br w:type="page"/>
      </w:r>
    </w:p>
    <w:p w:rsidR="00CA1D4C" w:rsidRDefault="00CA1D4C" w:rsidP="00C17DEA">
      <w:pPr>
        <w:pStyle w:val="Heading2"/>
      </w:pPr>
      <w:bookmarkStart w:id="83" w:name="_Toc466639102"/>
      <w:r>
        <w:lastRenderedPageBreak/>
        <w:t>Attachments</w:t>
      </w:r>
      <w:bookmarkEnd w:id="83"/>
    </w:p>
    <w:p w:rsidR="00B07591" w:rsidRDefault="00B07591" w:rsidP="00C17DEA">
      <w:pPr>
        <w:pStyle w:val="Heading3"/>
      </w:pPr>
      <w:bookmarkStart w:id="84" w:name="_Toc466639103"/>
      <w:r>
        <w:t xml:space="preserve">Attachment A – </w:t>
      </w:r>
      <w:r w:rsidR="00372C37">
        <w:t xml:space="preserve">US </w:t>
      </w:r>
      <w:r>
        <w:t xml:space="preserve">FDA </w:t>
      </w:r>
      <w:r w:rsidR="00CA1D4C">
        <w:t>criteria for Priority Review (for information)</w:t>
      </w:r>
      <w:bookmarkEnd w:id="84"/>
    </w:p>
    <w:p w:rsidR="00B07591" w:rsidRDefault="00B07591" w:rsidP="00C17DEA">
      <w:r>
        <w:t>Extract from FDA ‘</w:t>
      </w:r>
      <w:r>
        <w:rPr>
          <w:lang w:val="en"/>
        </w:rPr>
        <w:t xml:space="preserve">Guidance for Industry and Food and Drug Administration Staff - Priority Review of Premarket Submissions for Devices’, retrieved on 20/9/2016 from </w:t>
      </w:r>
      <w:hyperlink r:id="rId15" w:anchor="s3" w:history="1">
        <w:r w:rsidRPr="005B5DE5">
          <w:rPr>
            <w:rStyle w:val="Hyperlink"/>
            <w:lang w:val="en"/>
          </w:rPr>
          <w:t>http://www.fda.gov/MedicalDevices/DeviceRegulationandGuidance/GuidanceDocuments/ucm089643.htm#s3</w:t>
        </w:r>
      </w:hyperlink>
    </w:p>
    <w:p w:rsidR="00B07591" w:rsidRPr="006D58E3" w:rsidRDefault="00B07591" w:rsidP="00AC712B">
      <w:pPr>
        <w:pStyle w:val="Heading4"/>
      </w:pPr>
      <w:bookmarkStart w:id="85" w:name="_Toc462151530"/>
      <w:bookmarkStart w:id="86" w:name="_Toc462215250"/>
      <w:bookmarkStart w:id="87" w:name="_Toc463962795"/>
      <w:bookmarkStart w:id="88" w:name="_Toc466639104"/>
      <w:r w:rsidRPr="006D58E3">
        <w:t>III. Devices Appropriate for Priority Review</w:t>
      </w:r>
      <w:bookmarkEnd w:id="85"/>
      <w:bookmarkEnd w:id="86"/>
      <w:bookmarkEnd w:id="87"/>
      <w:bookmarkEnd w:id="88"/>
    </w:p>
    <w:p w:rsidR="00B07591" w:rsidRDefault="00B07591" w:rsidP="00664858">
      <w:pPr>
        <w:rPr>
          <w:lang w:val="en"/>
        </w:rPr>
      </w:pPr>
      <w:r>
        <w:rPr>
          <w:lang w:val="en"/>
        </w:rPr>
        <w:t>Using the criteria in section 515(d)(5) of the FD&amp;C Act, FDA considers a device or a combination product containing a device,</w:t>
      </w:r>
      <w:hyperlink r:id="rId16" w:anchor="ft3" w:history="1">
        <w:r>
          <w:rPr>
            <w:rStyle w:val="Hyperlink"/>
            <w:rFonts w:ascii="Helvetica" w:hAnsi="Helvetica" w:cs="Helvetica"/>
            <w:sz w:val="18"/>
            <w:szCs w:val="18"/>
            <w:vertAlign w:val="superscript"/>
            <w:lang w:val="en"/>
          </w:rPr>
          <w:t>3</w:t>
        </w:r>
      </w:hyperlink>
      <w:r>
        <w:rPr>
          <w:lang w:val="en"/>
        </w:rPr>
        <w:t xml:space="preserve"> appropriate for priority review if the device or combination product:</w:t>
      </w:r>
    </w:p>
    <w:p w:rsidR="00B07591" w:rsidRPr="00AC712B" w:rsidRDefault="00B07591" w:rsidP="00AC712B">
      <w:pPr>
        <w:pStyle w:val="Numberbullet0"/>
        <w:numPr>
          <w:ilvl w:val="0"/>
          <w:numId w:val="22"/>
        </w:numPr>
        <w:rPr>
          <w:lang w:val="en"/>
        </w:rPr>
      </w:pPr>
      <w:r w:rsidRPr="00AC712B">
        <w:rPr>
          <w:rStyle w:val="Strong"/>
          <w:rFonts w:asciiTheme="minorHAnsi" w:hAnsiTheme="minorHAnsi" w:cs="Helvetica"/>
          <w:color w:val="333333"/>
          <w:lang w:val="en"/>
        </w:rPr>
        <w:t xml:space="preserve">is intended to treat or diagnose a life-threatening or irreversibly debilitating disease or condition, </w:t>
      </w:r>
      <w:r w:rsidRPr="00AC712B">
        <w:rPr>
          <w:lang w:val="en"/>
        </w:rPr>
        <w:t>and</w:t>
      </w:r>
    </w:p>
    <w:p w:rsidR="00B07591" w:rsidRPr="00AC712B" w:rsidRDefault="00B07591" w:rsidP="00AC712B">
      <w:pPr>
        <w:pStyle w:val="Numberbullet0"/>
        <w:numPr>
          <w:ilvl w:val="0"/>
          <w:numId w:val="22"/>
        </w:numPr>
        <w:rPr>
          <w:lang w:val="en"/>
        </w:rPr>
      </w:pPr>
      <w:r w:rsidRPr="00AC712B">
        <w:rPr>
          <w:rStyle w:val="Strong"/>
          <w:rFonts w:asciiTheme="minorHAnsi" w:hAnsiTheme="minorHAnsi" w:cs="Helvetica"/>
          <w:color w:val="333333"/>
          <w:lang w:val="en"/>
        </w:rPr>
        <w:t>meets at least one of the following:</w:t>
      </w:r>
      <w:r w:rsidRPr="00AC712B">
        <w:rPr>
          <w:lang w:val="en"/>
        </w:rPr>
        <w:t xml:space="preserve"> </w:t>
      </w:r>
    </w:p>
    <w:p w:rsidR="00B07591" w:rsidRPr="00664858" w:rsidRDefault="00B07591" w:rsidP="00AC712B">
      <w:pPr>
        <w:pStyle w:val="Numberbullet2"/>
        <w:rPr>
          <w:lang w:val="en"/>
        </w:rPr>
      </w:pPr>
      <w:r w:rsidRPr="00664858">
        <w:rPr>
          <w:rStyle w:val="Strong"/>
          <w:rFonts w:asciiTheme="minorHAnsi" w:hAnsiTheme="minorHAnsi" w:cs="Helvetica"/>
          <w:color w:val="333333"/>
          <w:lang w:val="en"/>
        </w:rPr>
        <w:t>The device represents a breakthrough technology that provides a clinically meaningful advantage over existing technology.</w:t>
      </w:r>
      <w:r w:rsidRPr="00664858">
        <w:rPr>
          <w:lang w:val="en"/>
        </w:rPr>
        <w:t>  Breakthrough technologies should be demonstrated to lead to a clinical improvement in the treatment or diagnosis of the life-threatening or irreversibly debilitating condition</w:t>
      </w:r>
    </w:p>
    <w:p w:rsidR="00B07591" w:rsidRPr="00664858" w:rsidRDefault="00B07591" w:rsidP="00AC712B">
      <w:pPr>
        <w:pStyle w:val="Numberbullet2"/>
        <w:rPr>
          <w:lang w:val="en"/>
        </w:rPr>
      </w:pPr>
      <w:r w:rsidRPr="00664858">
        <w:rPr>
          <w:rStyle w:val="Strong"/>
          <w:rFonts w:asciiTheme="minorHAnsi" w:hAnsiTheme="minorHAnsi" w:cs="Helvetica"/>
          <w:color w:val="333333"/>
          <w:lang w:val="en"/>
        </w:rPr>
        <w:t>No approved alternative treatment or means of diagnosis exists.</w:t>
      </w:r>
    </w:p>
    <w:p w:rsidR="00B07591" w:rsidRPr="00664858" w:rsidRDefault="00B07591" w:rsidP="00AC712B">
      <w:pPr>
        <w:pStyle w:val="Numberbullet2"/>
        <w:rPr>
          <w:lang w:val="en"/>
        </w:rPr>
      </w:pPr>
      <w:r w:rsidRPr="00664858">
        <w:rPr>
          <w:rStyle w:val="Strong"/>
          <w:rFonts w:asciiTheme="minorHAnsi" w:hAnsiTheme="minorHAnsi" w:cs="Helvetica"/>
          <w:color w:val="333333"/>
          <w:lang w:val="en"/>
        </w:rPr>
        <w:t>The device offers significant, clinically meaningful advantages over existing approved alternatives.</w:t>
      </w:r>
      <w:r w:rsidRPr="00664858">
        <w:rPr>
          <w:lang w:val="en"/>
        </w:rPr>
        <w:t xml:space="preserve"> The device should provide for a clinically important earlier or more accurate diagnosis or offer important therapeutic advantages in safety and/or effectiveness over existing alternatives. Such advantages may include demonstrated superiority over current treatments for effects on serious outcomes (e.g., morbidity), ability to provide clinical benefit for those patients unable to tolerate current treatments, or ability to provide a clinical benefit without the serious side effects associated with current treatments.]</w:t>
      </w:r>
    </w:p>
    <w:p w:rsidR="00B07591" w:rsidRPr="00664858" w:rsidRDefault="00B07591" w:rsidP="00664858">
      <w:pPr>
        <w:pStyle w:val="Numberbullet2"/>
        <w:rPr>
          <w:lang w:val="en"/>
        </w:rPr>
      </w:pPr>
      <w:r w:rsidRPr="00664858">
        <w:rPr>
          <w:rStyle w:val="Strong"/>
          <w:rFonts w:asciiTheme="minorHAnsi" w:hAnsiTheme="minorHAnsi" w:cs="Helvetica"/>
          <w:color w:val="333333"/>
          <w:lang w:val="en"/>
        </w:rPr>
        <w:t xml:space="preserve">The availability of the device is in the best interest of patients. </w:t>
      </w:r>
      <w:r w:rsidRPr="00664858">
        <w:rPr>
          <w:lang w:val="en"/>
        </w:rPr>
        <w:t>That is, the device provides a specific public health benefit, or meets the need of a well-defined patient population. This may also apply to a device that was designed or modified to address an unanticipated serious failure occurring in a critical component of an approved device for which there are no alternatives, or for which alternative treatment would entail substantial risk of morbidity for the patient.</w:t>
      </w:r>
    </w:p>
    <w:p w:rsidR="006E3BD6" w:rsidRDefault="00B07591" w:rsidP="00B07591">
      <w:pPr>
        <w:sectPr w:rsidR="006E3BD6" w:rsidSect="0074066C">
          <w:headerReference w:type="even" r:id="rId17"/>
          <w:headerReference w:type="default" r:id="rId18"/>
          <w:footerReference w:type="default" r:id="rId19"/>
          <w:headerReference w:type="first" r:id="rId20"/>
          <w:type w:val="continuous"/>
          <w:pgSz w:w="11906" w:h="16838" w:code="9"/>
          <w:pgMar w:top="1530" w:right="1418" w:bottom="1361" w:left="1418" w:header="998" w:footer="283" w:gutter="0"/>
          <w:cols w:space="708"/>
          <w:titlePg/>
          <w:docGrid w:linePitch="360"/>
        </w:sectPr>
      </w:pPr>
      <w:r w:rsidDel="000F34C6">
        <w:t xml:space="preserve"> </w:t>
      </w:r>
    </w:p>
    <w:p w:rsidR="00B9644F" w:rsidRDefault="00B9644F" w:rsidP="00AC712B">
      <w:pPr>
        <w:pStyle w:val="Heading3"/>
        <w:spacing w:after="480"/>
      </w:pPr>
      <w:bookmarkStart w:id="89" w:name="_Toc466639105"/>
      <w:r>
        <w:lastRenderedPageBreak/>
        <w:t xml:space="preserve">Attachment </w:t>
      </w:r>
      <w:r w:rsidR="00B07591">
        <w:t xml:space="preserve">B – Priority Review </w:t>
      </w:r>
      <w:r w:rsidR="00AB2645">
        <w:t xml:space="preserve">business </w:t>
      </w:r>
      <w:r w:rsidR="00B07591">
        <w:t>process diagram</w:t>
      </w:r>
      <w:bookmarkEnd w:id="89"/>
    </w:p>
    <w:p w:rsidR="00EE3BFC" w:rsidRDefault="005D38DD" w:rsidP="006E3BD6">
      <w:r w:rsidRPr="005D38DD">
        <w:rPr>
          <w:noProof/>
          <w:lang w:eastAsia="en-AU"/>
        </w:rPr>
        <w:drawing>
          <wp:inline distT="0" distB="0" distL="0" distR="0" wp14:anchorId="0F362024" wp14:editId="2A7BC0F3">
            <wp:extent cx="8856345" cy="2937980"/>
            <wp:effectExtent l="0" t="0" r="1905" b="0"/>
            <wp:docPr id="17" name="Picture 17" descr="This diagram shows the proposed business process steps for the priority review business process. The sponsor advises TGA of their intention to make application for Priority Review at least four weeks prior to the application. When an application is made, TGA has up to six weeks to make a decision. The sponsor is advised of the decision and the decision published on the TGA website. If eligible for priority review, the sponsor makes their full application within three months. If the TGA decision is that the application is ineligible, the sponsor may appeal.&#10;&#10;Designation as priority review means the application is placed at the front of the queue for conformity assessment and/or ARTG inclusion. Priority review status may be revoked based on exit criteria.&#10;" title="Attachment B - Priority Review business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56345" cy="2937980"/>
                    </a:xfrm>
                    <a:prstGeom prst="rect">
                      <a:avLst/>
                    </a:prstGeom>
                    <a:noFill/>
                    <a:ln>
                      <a:noFill/>
                    </a:ln>
                  </pic:spPr>
                </pic:pic>
              </a:graphicData>
            </a:graphic>
          </wp:inline>
        </w:drawing>
      </w:r>
    </w:p>
    <w:bookmarkEnd w:id="82"/>
    <w:p w:rsidR="006E3BD6" w:rsidRDefault="006E3BD6" w:rsidP="006D58E3"/>
    <w:p w:rsidR="006E3BD6" w:rsidRDefault="006E3BD6" w:rsidP="006D58E3">
      <w:pPr>
        <w:sectPr w:rsidR="006E3BD6" w:rsidSect="006E3BD6">
          <w:headerReference w:type="even" r:id="rId22"/>
          <w:headerReference w:type="default" r:id="rId23"/>
          <w:footerReference w:type="default" r:id="rId24"/>
          <w:headerReference w:type="first" r:id="rId25"/>
          <w:pgSz w:w="16838" w:h="11906" w:orient="landscape" w:code="9"/>
          <w:pgMar w:top="1418" w:right="1530" w:bottom="1418" w:left="1361" w:header="998" w:footer="283" w:gutter="0"/>
          <w:cols w:space="708"/>
          <w:docGrid w:linePitch="360"/>
        </w:sectPr>
      </w:pPr>
    </w:p>
    <w:p w:rsidR="00BA6FF1" w:rsidRPr="009401F6" w:rsidRDefault="00BA6FF1" w:rsidP="007F1C55">
      <w:pPr>
        <w:pStyle w:val="Heading2"/>
      </w:pPr>
      <w:bookmarkStart w:id="90" w:name="_Toc466639106"/>
      <w:r w:rsidRPr="009401F6">
        <w:lastRenderedPageBreak/>
        <w:t>Version history</w:t>
      </w:r>
      <w:bookmarkEnd w:id="90"/>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4103BB">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4103BB">
            <w:r w:rsidRPr="009401F6">
              <w:t>Version</w:t>
            </w:r>
          </w:p>
        </w:tc>
        <w:tc>
          <w:tcPr>
            <w:tcW w:w="3242" w:type="dxa"/>
          </w:tcPr>
          <w:p w:rsidR="00BA6FF1" w:rsidRPr="009401F6" w:rsidRDefault="00BA6FF1" w:rsidP="004103BB">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4103BB">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4103BB">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2272EE" w:rsidRPr="009401F6" w:rsidTr="002272EE">
        <w:tc>
          <w:tcPr>
            <w:cnfStyle w:val="001000000000" w:firstRow="0" w:lastRow="0" w:firstColumn="1" w:lastColumn="0" w:oddVBand="0" w:evenVBand="0" w:oddHBand="0" w:evenHBand="0" w:firstRowFirstColumn="0" w:firstRowLastColumn="0" w:lastRowFirstColumn="0" w:lastRowLastColumn="0"/>
            <w:tcW w:w="1276" w:type="dxa"/>
          </w:tcPr>
          <w:p w:rsidR="002272EE" w:rsidRPr="009401F6" w:rsidRDefault="002272EE" w:rsidP="004103BB">
            <w:r w:rsidRPr="009401F6">
              <w:t>V1.0</w:t>
            </w:r>
          </w:p>
        </w:tc>
        <w:tc>
          <w:tcPr>
            <w:tcW w:w="3242" w:type="dxa"/>
          </w:tcPr>
          <w:p w:rsidR="002272EE" w:rsidRPr="009401F6" w:rsidRDefault="002272EE" w:rsidP="004103BB">
            <w:pPr>
              <w:cnfStyle w:val="000000000000" w:firstRow="0" w:lastRow="0" w:firstColumn="0" w:lastColumn="0" w:oddVBand="0" w:evenVBand="0" w:oddHBand="0" w:evenHBand="0" w:firstRowFirstColumn="0" w:firstRowLastColumn="0" w:lastRowFirstColumn="0" w:lastRowLastColumn="0"/>
            </w:pPr>
            <w:r>
              <w:t>DRAFT</w:t>
            </w:r>
          </w:p>
        </w:tc>
        <w:tc>
          <w:tcPr>
            <w:tcW w:w="2712" w:type="dxa"/>
          </w:tcPr>
          <w:p w:rsidR="002272EE" w:rsidRPr="009401F6" w:rsidRDefault="002272EE" w:rsidP="004103BB">
            <w:pPr>
              <w:cnfStyle w:val="000000000000" w:firstRow="0" w:lastRow="0" w:firstColumn="0" w:lastColumn="0" w:oddVBand="0" w:evenVBand="0" w:oddHBand="0" w:evenHBand="0" w:firstRowFirstColumn="0" w:firstRowLastColumn="0" w:lastRowFirstColumn="0" w:lastRowLastColumn="0"/>
            </w:pPr>
            <w:r>
              <w:t>Business Improvement and Support Section, Medical Devices Branch</w:t>
            </w:r>
          </w:p>
        </w:tc>
        <w:tc>
          <w:tcPr>
            <w:tcW w:w="1808" w:type="dxa"/>
          </w:tcPr>
          <w:p w:rsidR="002272EE" w:rsidRPr="009401F6" w:rsidRDefault="000A5EA9" w:rsidP="004103BB">
            <w:pPr>
              <w:cnfStyle w:val="000000000000" w:firstRow="0" w:lastRow="0" w:firstColumn="0" w:lastColumn="0" w:oddVBand="0" w:evenVBand="0" w:oddHBand="0" w:evenHBand="0" w:firstRowFirstColumn="0" w:firstRowLastColumn="0" w:lastRowFirstColumn="0" w:lastRowLastColumn="0"/>
            </w:pPr>
            <w:r>
              <w:t>November 2016</w:t>
            </w:r>
          </w:p>
        </w:tc>
      </w:tr>
    </w:tbl>
    <w:p w:rsidR="003E3D34" w:rsidRPr="009401F6" w:rsidRDefault="00BA6FF1" w:rsidP="00F8404D">
      <w:pPr>
        <w:sectPr w:rsidR="003E3D34" w:rsidRPr="009401F6" w:rsidSect="006E3BD6">
          <w:headerReference w:type="even" r:id="rId26"/>
          <w:headerReference w:type="default" r:id="rId27"/>
          <w:footerReference w:type="default" r:id="rId28"/>
          <w:headerReference w:type="first" r:id="rId29"/>
          <w:pgSz w:w="11906" w:h="16838" w:code="9"/>
          <w:pgMar w:top="1530" w:right="1418" w:bottom="1361" w:left="1418" w:header="998" w:footer="283" w:gutter="0"/>
          <w:cols w:space="708"/>
          <w:docGrid w:linePitch="360"/>
        </w:sectPr>
      </w:pPr>
      <w:r>
        <w:br w:type="page"/>
      </w: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4103BB">
        <w:trPr>
          <w:trHeight w:hRule="exact" w:val="565"/>
          <w:jc w:val="center"/>
        </w:trPr>
        <w:tc>
          <w:tcPr>
            <w:tcW w:w="9145" w:type="dxa"/>
          </w:tcPr>
          <w:p w:rsidR="00F8404D" w:rsidRPr="009401F6" w:rsidRDefault="00F8404D" w:rsidP="004103BB">
            <w:pPr>
              <w:pStyle w:val="TGASignoff"/>
            </w:pPr>
            <w:r w:rsidRPr="009401F6">
              <w:lastRenderedPageBreak/>
              <w:t>Therapeutic Goods Administration</w:t>
            </w:r>
          </w:p>
        </w:tc>
      </w:tr>
      <w:tr w:rsidR="00F8404D" w:rsidRPr="009401F6" w:rsidTr="004103BB">
        <w:trPr>
          <w:trHeight w:val="963"/>
          <w:jc w:val="center"/>
        </w:trPr>
        <w:tc>
          <w:tcPr>
            <w:tcW w:w="9145" w:type="dxa"/>
            <w:tcMar>
              <w:top w:w="28" w:type="dxa"/>
            </w:tcMar>
          </w:tcPr>
          <w:p w:rsidR="00F8404D" w:rsidRPr="009401F6" w:rsidRDefault="00F8404D" w:rsidP="004103BB">
            <w:pPr>
              <w:pStyle w:val="Address"/>
              <w:jc w:val="center"/>
            </w:pPr>
            <w:r w:rsidRPr="009401F6">
              <w:t>PO Box 100 Woden ACT 2606 Australia</w:t>
            </w:r>
          </w:p>
          <w:p w:rsidR="00F8404D" w:rsidRPr="009401F6" w:rsidRDefault="00F8404D" w:rsidP="004103BB">
            <w:pPr>
              <w:pStyle w:val="Address"/>
              <w:jc w:val="center"/>
            </w:pPr>
            <w:r w:rsidRPr="009401F6">
              <w:t xml:space="preserve">Email: </w:t>
            </w:r>
            <w:hyperlink r:id="rId30" w:history="1">
              <w:r w:rsidRPr="009401F6">
                <w:rPr>
                  <w:rStyle w:val="Hyperlink"/>
                </w:rPr>
                <w:t>info@tga.gov.au</w:t>
              </w:r>
            </w:hyperlink>
            <w:r w:rsidRPr="009401F6">
              <w:t xml:space="preserve">  Pho</w:t>
            </w:r>
            <w:r w:rsidR="00532F81">
              <w:t>ne: 1800 020 653  Fax: 02 6232 1</w:t>
            </w:r>
            <w:r w:rsidRPr="009401F6">
              <w:t>605</w:t>
            </w:r>
          </w:p>
          <w:p w:rsidR="00F8404D" w:rsidRPr="009401F6" w:rsidRDefault="00114451" w:rsidP="004103BB">
            <w:pPr>
              <w:pStyle w:val="Address"/>
              <w:spacing w:line="260" w:lineRule="atLeast"/>
              <w:jc w:val="center"/>
              <w:rPr>
                <w:rStyle w:val="Hyperlink"/>
                <w:b/>
              </w:rPr>
            </w:pPr>
            <w:hyperlink r:id="rId31" w:history="1">
              <w:r w:rsidR="009401F6" w:rsidRPr="009401F6">
                <w:rPr>
                  <w:rStyle w:val="Hyperlink"/>
                  <w:b/>
                </w:rPr>
                <w:t>https://www.tga.gov.au</w:t>
              </w:r>
            </w:hyperlink>
          </w:p>
        </w:tc>
      </w:tr>
      <w:tr w:rsidR="00F8404D" w:rsidRPr="009401F6" w:rsidTr="004103BB">
        <w:trPr>
          <w:trHeight w:val="251"/>
          <w:jc w:val="center"/>
        </w:trPr>
        <w:tc>
          <w:tcPr>
            <w:tcW w:w="9145" w:type="dxa"/>
            <w:tcMar>
              <w:top w:w="28" w:type="dxa"/>
            </w:tcMar>
          </w:tcPr>
          <w:p w:rsidR="00F8404D" w:rsidRPr="009401F6" w:rsidRDefault="00F8404D" w:rsidP="004103BB">
            <w:pPr>
              <w:pStyle w:val="Address"/>
              <w:jc w:val="center"/>
            </w:pPr>
            <w:r w:rsidRPr="009401F6">
              <w:t>Reference/Publication #</w:t>
            </w:r>
          </w:p>
        </w:tc>
      </w:tr>
    </w:tbl>
    <w:p w:rsidR="0084580B" w:rsidRPr="009401F6" w:rsidRDefault="0084580B" w:rsidP="00F8404D">
      <w:pPr>
        <w:pStyle w:val="Footer"/>
      </w:pPr>
    </w:p>
    <w:sectPr w:rsidR="0084580B" w:rsidRPr="009401F6" w:rsidSect="00F8404D">
      <w:headerReference w:type="even" r:id="rId32"/>
      <w:headerReference w:type="default" r:id="rId33"/>
      <w:headerReference w:type="first" r:id="rId34"/>
      <w:footerReference w:type="first" r:id="rId35"/>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451" w:rsidRDefault="00114451" w:rsidP="00C40A36">
      <w:pPr>
        <w:spacing w:after="0"/>
      </w:pPr>
      <w:r>
        <w:separator/>
      </w:r>
    </w:p>
    <w:p w:rsidR="00114451" w:rsidRDefault="00114451"/>
  </w:endnote>
  <w:endnote w:type="continuationSeparator" w:id="0">
    <w:p w:rsidR="00114451" w:rsidRDefault="00114451" w:rsidP="00C40A36">
      <w:pPr>
        <w:spacing w:after="0"/>
      </w:pPr>
      <w:r>
        <w:continuationSeparator/>
      </w:r>
    </w:p>
    <w:p w:rsidR="00114451" w:rsidRDefault="00114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77" w:rsidRDefault="00CB5377"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CB5377" w:rsidRPr="00257138" w:rsidTr="00A3654F">
      <w:trPr>
        <w:trHeight w:val="423"/>
      </w:trPr>
      <w:tc>
        <w:tcPr>
          <w:tcW w:w="4360" w:type="dxa"/>
          <w:tcBorders>
            <w:top w:val="single" w:sz="4" w:space="0" w:color="auto"/>
          </w:tcBorders>
        </w:tcPr>
        <w:p w:rsidR="00CB5377" w:rsidRDefault="00CB5377" w:rsidP="008D4740">
          <w:pPr>
            <w:pStyle w:val="Footer"/>
          </w:pPr>
        </w:p>
        <w:p w:rsidR="00CB5377" w:rsidRPr="00257138" w:rsidRDefault="00CB5377"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CB5377" w:rsidRDefault="00CB5377" w:rsidP="008D4740">
              <w:pPr>
                <w:pStyle w:val="Footer"/>
                <w:jc w:val="right"/>
              </w:pPr>
            </w:p>
            <w:p w:rsidR="00CB5377" w:rsidRPr="00257138" w:rsidRDefault="00CB5377" w:rsidP="008D4740">
              <w:pPr>
                <w:pStyle w:val="Footer"/>
                <w:jc w:val="right"/>
              </w:pPr>
              <w:r w:rsidRPr="00257138">
                <w:t xml:space="preserve">Page </w:t>
              </w:r>
              <w:r>
                <w:fldChar w:fldCharType="begin"/>
              </w:r>
              <w:r>
                <w:instrText xml:space="preserve"> PAGE </w:instrText>
              </w:r>
              <w:r>
                <w:fldChar w:fldCharType="separate"/>
              </w:r>
              <w:r>
                <w:rPr>
                  <w:noProof/>
                </w:rPr>
                <w:t>12</w:t>
              </w:r>
              <w:r>
                <w:rPr>
                  <w:noProof/>
                </w:rPr>
                <w:fldChar w:fldCharType="end"/>
              </w:r>
              <w:r w:rsidRPr="00257138">
                <w:t xml:space="preserve"> of </w:t>
              </w:r>
              <w:r w:rsidR="00114451">
                <w:fldChar w:fldCharType="begin"/>
              </w:r>
              <w:r w:rsidR="00114451">
                <w:instrText xml:space="preserve"> NUMPAGES  </w:instrText>
              </w:r>
              <w:r w:rsidR="00114451">
                <w:fldChar w:fldCharType="separate"/>
              </w:r>
              <w:r>
                <w:rPr>
                  <w:noProof/>
                </w:rPr>
                <w:t>19</w:t>
              </w:r>
              <w:r w:rsidR="00114451">
                <w:rPr>
                  <w:noProof/>
                </w:rPr>
                <w:fldChar w:fldCharType="end"/>
              </w:r>
            </w:p>
          </w:sdtContent>
        </w:sdt>
      </w:tc>
    </w:tr>
    <w:tr w:rsidR="00CB5377" w:rsidRPr="00257138" w:rsidTr="00A3654F">
      <w:trPr>
        <w:trHeight w:val="263"/>
      </w:trPr>
      <w:tc>
        <w:tcPr>
          <w:tcW w:w="4360" w:type="dxa"/>
        </w:tcPr>
        <w:p w:rsidR="00CB5377" w:rsidRPr="00257138" w:rsidRDefault="00CB5377" w:rsidP="008D4740">
          <w:pPr>
            <w:pStyle w:val="Footer"/>
          </w:pPr>
          <w:r w:rsidRPr="00257138">
            <w:t xml:space="preserve">V1.0 </w:t>
          </w:r>
          <w:r>
            <w:t>Month</w:t>
          </w:r>
          <w:r w:rsidRPr="00257138">
            <w:t xml:space="preserve"> 201</w:t>
          </w:r>
          <w:r>
            <w:t>2</w:t>
          </w:r>
        </w:p>
      </w:tc>
      <w:tc>
        <w:tcPr>
          <w:tcW w:w="4360" w:type="dxa"/>
        </w:tcPr>
        <w:p w:rsidR="00CB5377" w:rsidRPr="00257138" w:rsidRDefault="00CB5377" w:rsidP="008D4740">
          <w:pPr>
            <w:pStyle w:val="Footer"/>
            <w:jc w:val="right"/>
          </w:pPr>
        </w:p>
      </w:tc>
    </w:tr>
  </w:tbl>
  <w:p w:rsidR="00CB5377" w:rsidRPr="00826007" w:rsidRDefault="00CB5377"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77" w:rsidRDefault="00CB5377"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01"/>
    </w:tblGrid>
    <w:tr w:rsidR="00CB5377" w:rsidRPr="00257138" w:rsidTr="00900306">
      <w:trPr>
        <w:trHeight w:val="423"/>
      </w:trPr>
      <w:tc>
        <w:tcPr>
          <w:tcW w:w="7479" w:type="dxa"/>
        </w:tcPr>
        <w:p w:rsidR="00CB5377" w:rsidRPr="00257138" w:rsidRDefault="00CB5377" w:rsidP="000D5CDA">
          <w:pPr>
            <w:pStyle w:val="Footer"/>
            <w:spacing w:before="120" w:after="120"/>
          </w:pPr>
          <w:r>
            <w:t>A</w:t>
          </w:r>
          <w:r w:rsidR="000D5CDA">
            <w:t>ccelerated a</w:t>
          </w:r>
          <w:r>
            <w:t xml:space="preserve">ssessment of </w:t>
          </w:r>
          <w:r w:rsidR="000D5CDA">
            <w:t>m</w:t>
          </w:r>
          <w:r>
            <w:t xml:space="preserve">edical </w:t>
          </w:r>
          <w:r w:rsidR="000D5CDA">
            <w:t>d</w:t>
          </w:r>
          <w:r>
            <w:t xml:space="preserve">evices – Priority Review </w:t>
          </w:r>
          <w:r w:rsidR="000D5CDA">
            <w:t>p</w:t>
          </w:r>
          <w:r>
            <w:t>athway</w:t>
          </w:r>
          <w:r>
            <w:br/>
          </w:r>
          <w:r w:rsidRPr="00257138">
            <w:t>V</w:t>
          </w:r>
          <w:r w:rsidR="00900306">
            <w:t xml:space="preserve">ersion </w:t>
          </w:r>
          <w:r>
            <w:t>1</w:t>
          </w:r>
          <w:r w:rsidRPr="00257138">
            <w:t>.0</w:t>
          </w:r>
          <w:r w:rsidR="00900306">
            <w:t>,</w:t>
          </w:r>
          <w:r w:rsidRPr="00257138">
            <w:t xml:space="preserve"> </w:t>
          </w:r>
          <w:r>
            <w:t>November 2016</w:t>
          </w:r>
        </w:p>
      </w:tc>
      <w:tc>
        <w:tcPr>
          <w:tcW w:w="1701" w:type="dxa"/>
        </w:tcPr>
        <w:sdt>
          <w:sdtPr>
            <w:id w:val="-1369985879"/>
            <w:docPartObj>
              <w:docPartGallery w:val="Page Numbers (Top of Page)"/>
              <w:docPartUnique/>
            </w:docPartObj>
          </w:sdtPr>
          <w:sdtEndPr/>
          <w:sdtContent>
            <w:p w:rsidR="00CB5377" w:rsidRPr="00257138" w:rsidRDefault="00CB5377" w:rsidP="00EE1482">
              <w:pPr>
                <w:pStyle w:val="Footer"/>
                <w:spacing w:before="120" w:after="120"/>
                <w:jc w:val="right"/>
              </w:pPr>
              <w:r w:rsidRPr="00257138">
                <w:t xml:space="preserve">Page </w:t>
              </w:r>
              <w:r>
                <w:fldChar w:fldCharType="begin"/>
              </w:r>
              <w:r>
                <w:instrText xml:space="preserve"> PAGE </w:instrText>
              </w:r>
              <w:r>
                <w:fldChar w:fldCharType="separate"/>
              </w:r>
              <w:r w:rsidR="004E4BF0">
                <w:rPr>
                  <w:noProof/>
                </w:rPr>
                <w:t>17</w:t>
              </w:r>
              <w:r>
                <w:rPr>
                  <w:noProof/>
                </w:rPr>
                <w:fldChar w:fldCharType="end"/>
              </w:r>
              <w:r w:rsidRPr="00257138">
                <w:t xml:space="preserve"> of </w:t>
              </w:r>
              <w:r w:rsidR="00114451">
                <w:fldChar w:fldCharType="begin"/>
              </w:r>
              <w:r w:rsidR="00114451">
                <w:instrText xml:space="preserve"> NUMPAGES  </w:instrText>
              </w:r>
              <w:r w:rsidR="00114451">
                <w:fldChar w:fldCharType="separate"/>
              </w:r>
              <w:r w:rsidR="004E4BF0">
                <w:rPr>
                  <w:noProof/>
                </w:rPr>
                <w:t>20</w:t>
              </w:r>
              <w:r w:rsidR="00114451">
                <w:rPr>
                  <w:noProof/>
                </w:rPr>
                <w:fldChar w:fldCharType="end"/>
              </w:r>
            </w:p>
          </w:sdtContent>
        </w:sdt>
      </w:tc>
    </w:tr>
  </w:tbl>
  <w:p w:rsidR="00CB5377" w:rsidRPr="00826007" w:rsidRDefault="00CB5377"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6663"/>
    </w:tblGrid>
    <w:tr w:rsidR="00CB5377" w:rsidRPr="00257138" w:rsidTr="006E3BD6">
      <w:trPr>
        <w:trHeight w:val="423"/>
      </w:trPr>
      <w:tc>
        <w:tcPr>
          <w:tcW w:w="7479" w:type="dxa"/>
        </w:tcPr>
        <w:p w:rsidR="00CB5377" w:rsidRPr="00257138" w:rsidRDefault="00CB5377" w:rsidP="000D5CDA">
          <w:pPr>
            <w:pStyle w:val="Footer"/>
            <w:spacing w:before="120" w:after="120"/>
          </w:pPr>
          <w:r>
            <w:t xml:space="preserve">Accelerated </w:t>
          </w:r>
          <w:r w:rsidR="000D5CDA">
            <w:t>a</w:t>
          </w:r>
          <w:r>
            <w:t xml:space="preserve">ssessment of </w:t>
          </w:r>
          <w:r w:rsidR="000D5CDA">
            <w:t>m</w:t>
          </w:r>
          <w:r>
            <w:t xml:space="preserve">edical </w:t>
          </w:r>
          <w:r w:rsidR="000D5CDA">
            <w:t>d</w:t>
          </w:r>
          <w:r>
            <w:t xml:space="preserve">evices – Priority Review </w:t>
          </w:r>
          <w:r w:rsidR="000D5CDA">
            <w:t>p</w:t>
          </w:r>
          <w:r>
            <w:t>athway</w:t>
          </w:r>
          <w:r>
            <w:br/>
          </w:r>
          <w:r w:rsidRPr="00257138">
            <w:t>V</w:t>
          </w:r>
          <w:r w:rsidR="00AC712B">
            <w:t xml:space="preserve">ersion </w:t>
          </w:r>
          <w:r>
            <w:t>1</w:t>
          </w:r>
          <w:r w:rsidRPr="00257138">
            <w:t>.0</w:t>
          </w:r>
          <w:r w:rsidR="00AC712B">
            <w:t>,</w:t>
          </w:r>
          <w:r w:rsidRPr="00257138">
            <w:t xml:space="preserve"> </w:t>
          </w:r>
          <w:r>
            <w:t>November 2016</w:t>
          </w:r>
        </w:p>
      </w:tc>
      <w:tc>
        <w:tcPr>
          <w:tcW w:w="6663" w:type="dxa"/>
        </w:tcPr>
        <w:sdt>
          <w:sdtPr>
            <w:id w:val="1969237056"/>
            <w:docPartObj>
              <w:docPartGallery w:val="Page Numbers (Top of Page)"/>
              <w:docPartUnique/>
            </w:docPartObj>
          </w:sdtPr>
          <w:sdtEndPr/>
          <w:sdtContent>
            <w:p w:rsidR="00CB5377" w:rsidRPr="00257138" w:rsidRDefault="00CB5377" w:rsidP="00EE1482">
              <w:pPr>
                <w:pStyle w:val="Footer"/>
                <w:spacing w:before="120" w:after="120"/>
                <w:jc w:val="right"/>
              </w:pPr>
              <w:r w:rsidRPr="00257138">
                <w:t xml:space="preserve">Page </w:t>
              </w:r>
              <w:r>
                <w:fldChar w:fldCharType="begin"/>
              </w:r>
              <w:r>
                <w:instrText xml:space="preserve"> PAGE </w:instrText>
              </w:r>
              <w:r>
                <w:fldChar w:fldCharType="separate"/>
              </w:r>
              <w:r w:rsidR="004E4BF0">
                <w:rPr>
                  <w:noProof/>
                </w:rPr>
                <w:t>18</w:t>
              </w:r>
              <w:r>
                <w:rPr>
                  <w:noProof/>
                </w:rPr>
                <w:fldChar w:fldCharType="end"/>
              </w:r>
              <w:r w:rsidRPr="00257138">
                <w:t xml:space="preserve"> of </w:t>
              </w:r>
              <w:r w:rsidR="00114451">
                <w:fldChar w:fldCharType="begin"/>
              </w:r>
              <w:r w:rsidR="00114451">
                <w:instrText xml:space="preserve"> NUMPAGES  </w:instrText>
              </w:r>
              <w:r w:rsidR="00114451">
                <w:fldChar w:fldCharType="separate"/>
              </w:r>
              <w:r w:rsidR="004E4BF0">
                <w:rPr>
                  <w:noProof/>
                </w:rPr>
                <w:t>20</w:t>
              </w:r>
              <w:r w:rsidR="00114451">
                <w:rPr>
                  <w:noProof/>
                </w:rPr>
                <w:fldChar w:fldCharType="end"/>
              </w:r>
            </w:p>
          </w:sdtContent>
        </w:sdt>
      </w:tc>
    </w:tr>
  </w:tbl>
  <w:p w:rsidR="00CB5377" w:rsidRPr="00826007" w:rsidRDefault="00CB5377" w:rsidP="00F4663D">
    <w:pPr>
      <w:pStyle w:val="Footer"/>
      <w:tabs>
        <w:tab w:val="left" w:pos="7620"/>
        <w:tab w:val="right" w:pos="85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807"/>
    </w:tblGrid>
    <w:tr w:rsidR="00CB5377" w:rsidRPr="00257138" w:rsidTr="000A5EA9">
      <w:trPr>
        <w:trHeight w:val="423"/>
      </w:trPr>
      <w:tc>
        <w:tcPr>
          <w:tcW w:w="7479" w:type="dxa"/>
        </w:tcPr>
        <w:p w:rsidR="00CB5377" w:rsidRPr="00257138" w:rsidRDefault="00CB5377" w:rsidP="000D5CDA">
          <w:pPr>
            <w:pStyle w:val="Footer"/>
            <w:spacing w:before="120" w:after="120"/>
          </w:pPr>
          <w:r>
            <w:t xml:space="preserve">Accelerated </w:t>
          </w:r>
          <w:r w:rsidR="000D5CDA">
            <w:t>a</w:t>
          </w:r>
          <w:r>
            <w:t xml:space="preserve">ssessment of </w:t>
          </w:r>
          <w:r w:rsidR="000D5CDA">
            <w:t>m</w:t>
          </w:r>
          <w:r>
            <w:t xml:space="preserve">edical </w:t>
          </w:r>
          <w:r w:rsidR="000D5CDA">
            <w:t>d</w:t>
          </w:r>
          <w:r>
            <w:t xml:space="preserve">evices – Priority Review </w:t>
          </w:r>
          <w:r w:rsidR="000D5CDA">
            <w:t>p</w:t>
          </w:r>
          <w:r>
            <w:t>athway</w:t>
          </w:r>
          <w:r>
            <w:br/>
          </w:r>
          <w:r w:rsidRPr="00257138">
            <w:t>V</w:t>
          </w:r>
          <w:r w:rsidR="00AC712B">
            <w:t xml:space="preserve">ersion </w:t>
          </w:r>
          <w:r>
            <w:t>1</w:t>
          </w:r>
          <w:r w:rsidRPr="00257138">
            <w:t>.0</w:t>
          </w:r>
          <w:r w:rsidR="00AC712B">
            <w:t>,</w:t>
          </w:r>
          <w:r w:rsidRPr="00257138">
            <w:t xml:space="preserve"> </w:t>
          </w:r>
          <w:r>
            <w:t>November 2016</w:t>
          </w:r>
        </w:p>
      </w:tc>
      <w:tc>
        <w:tcPr>
          <w:tcW w:w="1807" w:type="dxa"/>
        </w:tcPr>
        <w:sdt>
          <w:sdtPr>
            <w:id w:val="-1128472131"/>
            <w:docPartObj>
              <w:docPartGallery w:val="Page Numbers (Top of Page)"/>
              <w:docPartUnique/>
            </w:docPartObj>
          </w:sdtPr>
          <w:sdtEndPr/>
          <w:sdtContent>
            <w:p w:rsidR="00CB5377" w:rsidRPr="00257138" w:rsidRDefault="00CB5377" w:rsidP="00EE1482">
              <w:pPr>
                <w:pStyle w:val="Footer"/>
                <w:spacing w:before="120" w:after="120"/>
                <w:jc w:val="right"/>
              </w:pPr>
              <w:r w:rsidRPr="00257138">
                <w:t xml:space="preserve">Page </w:t>
              </w:r>
              <w:r>
                <w:fldChar w:fldCharType="begin"/>
              </w:r>
              <w:r>
                <w:instrText xml:space="preserve"> PAGE </w:instrText>
              </w:r>
              <w:r>
                <w:fldChar w:fldCharType="separate"/>
              </w:r>
              <w:r w:rsidR="004E4BF0">
                <w:rPr>
                  <w:noProof/>
                </w:rPr>
                <w:t>19</w:t>
              </w:r>
              <w:r>
                <w:rPr>
                  <w:noProof/>
                </w:rPr>
                <w:fldChar w:fldCharType="end"/>
              </w:r>
              <w:r w:rsidRPr="00257138">
                <w:t xml:space="preserve"> of </w:t>
              </w:r>
              <w:r w:rsidR="00114451">
                <w:fldChar w:fldCharType="begin"/>
              </w:r>
              <w:r w:rsidR="00114451">
                <w:instrText xml:space="preserve"> NUMPAGES  </w:instrText>
              </w:r>
              <w:r w:rsidR="00114451">
                <w:fldChar w:fldCharType="separate"/>
              </w:r>
              <w:r w:rsidR="004E4BF0">
                <w:rPr>
                  <w:noProof/>
                </w:rPr>
                <w:t>20</w:t>
              </w:r>
              <w:r w:rsidR="00114451">
                <w:rPr>
                  <w:noProof/>
                </w:rPr>
                <w:fldChar w:fldCharType="end"/>
              </w:r>
            </w:p>
          </w:sdtContent>
        </w:sdt>
      </w:tc>
    </w:tr>
  </w:tbl>
  <w:p w:rsidR="00CB5377" w:rsidRPr="00826007" w:rsidRDefault="00CB5377" w:rsidP="00F4663D">
    <w:pPr>
      <w:pStyle w:val="Footer"/>
      <w:tabs>
        <w:tab w:val="left" w:pos="7620"/>
        <w:tab w:val="right" w:pos="8504"/>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77" w:rsidRPr="00F8404D" w:rsidRDefault="00CB5377"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451" w:rsidRDefault="00114451" w:rsidP="00506B33">
      <w:pPr>
        <w:spacing w:after="0"/>
      </w:pPr>
      <w:r>
        <w:separator/>
      </w:r>
    </w:p>
  </w:footnote>
  <w:footnote w:type="continuationSeparator" w:id="0">
    <w:p w:rsidR="00114451" w:rsidRDefault="00114451" w:rsidP="00C40A36">
      <w:pPr>
        <w:spacing w:after="0"/>
      </w:pPr>
      <w:r>
        <w:continuationSeparator/>
      </w:r>
    </w:p>
    <w:p w:rsidR="00114451" w:rsidRDefault="00114451"/>
  </w:footnote>
  <w:footnote w:id="1">
    <w:p w:rsidR="00CB5377" w:rsidRDefault="00CB5377" w:rsidP="001A46B4">
      <w:pPr>
        <w:pStyle w:val="FootnoteText"/>
      </w:pPr>
      <w:r>
        <w:rPr>
          <w:rStyle w:val="FootnoteReference"/>
        </w:rPr>
        <w:footnoteRef/>
      </w:r>
      <w:r>
        <w:t xml:space="preserve"> </w:t>
      </w:r>
      <w:r w:rsidRPr="00396E09">
        <w:t xml:space="preserve">FDA, May 2013, </w:t>
      </w:r>
      <w:r w:rsidRPr="00A300B6">
        <w:t>Priority review of premar</w:t>
      </w:r>
      <w:r w:rsidRPr="00396E09">
        <w:t xml:space="preserve">ket submissions for devices, </w:t>
      </w:r>
      <w:r w:rsidRPr="00A300B6">
        <w:t>Guidance for Industry and FDA staff</w:t>
      </w:r>
      <w:r w:rsidRPr="00396E09">
        <w:t>, FDA Maryland U.S.A</w:t>
      </w:r>
    </w:p>
  </w:footnote>
  <w:footnote w:id="2">
    <w:p w:rsidR="00CB5377" w:rsidRDefault="00CB5377" w:rsidP="001A46B4">
      <w:pPr>
        <w:pStyle w:val="FootnoteText"/>
      </w:pPr>
      <w:r>
        <w:rPr>
          <w:rStyle w:val="FootnoteReference"/>
        </w:rPr>
        <w:footnoteRef/>
      </w:r>
      <w:r>
        <w:t xml:space="preserve"> </w:t>
      </w:r>
      <w:proofErr w:type="gramStart"/>
      <w:r>
        <w:t>MMDR Report, Recommendation 3, Pathway 3, and related recommendations 8 and 10.</w:t>
      </w:r>
      <w:proofErr w:type="gramEnd"/>
    </w:p>
  </w:footnote>
  <w:footnote w:id="3">
    <w:p w:rsidR="00CB5377" w:rsidRDefault="00CB5377" w:rsidP="001A46B4">
      <w:pPr>
        <w:pStyle w:val="FootnoteText"/>
      </w:pPr>
      <w:r>
        <w:rPr>
          <w:rStyle w:val="FootnoteReference"/>
        </w:rPr>
        <w:footnoteRef/>
      </w:r>
      <w:r>
        <w:t xml:space="preserve"> TGA, March 2016, </w:t>
      </w:r>
      <w:r w:rsidRPr="00A300B6">
        <w:rPr>
          <w:i/>
        </w:rPr>
        <w:t>Consultation: Draft Clinical Evidence Guidelines-Medical Devices</w:t>
      </w:r>
      <w:r>
        <w:t xml:space="preserve">, version 1.0, TGA, Canberra, available at </w:t>
      </w:r>
      <w:r w:rsidRPr="00ED6A06">
        <w:t>https://www.tga.gov.au/node/714419</w:t>
      </w:r>
      <w:r>
        <w:t>.</w:t>
      </w:r>
    </w:p>
  </w:footnote>
  <w:footnote w:id="4">
    <w:p w:rsidR="00CB5377" w:rsidRPr="002272EE" w:rsidRDefault="00CB5377" w:rsidP="001A46B4">
      <w:pPr>
        <w:pStyle w:val="FootnoteText"/>
      </w:pPr>
      <w:r w:rsidRPr="0068754E">
        <w:rPr>
          <w:rStyle w:val="FootnoteReference"/>
        </w:rPr>
        <w:footnoteRef/>
      </w:r>
      <w:r>
        <w:t xml:space="preserve"> </w:t>
      </w:r>
      <w:r w:rsidRPr="002272EE">
        <w:t>U.S. Government Accountability Office (GAO), February 2012, FDA has met most performance goals but device reviews are taking longer, Report to congressional requesters, GAO Washington DC U.S.A, 2012</w:t>
      </w:r>
    </w:p>
  </w:footnote>
  <w:footnote w:id="5">
    <w:p w:rsidR="00CB5377" w:rsidRDefault="00CB5377" w:rsidP="001A46B4">
      <w:pPr>
        <w:pStyle w:val="FootnoteText"/>
      </w:pPr>
      <w:r>
        <w:rPr>
          <w:rStyle w:val="FootnoteReference"/>
        </w:rPr>
        <w:footnoteRef/>
      </w:r>
      <w:r w:rsidR="001A46B4">
        <w:t xml:space="preserve"> </w:t>
      </w:r>
      <w:r>
        <w:t xml:space="preserve">GAO, December 2015, </w:t>
      </w:r>
      <w:r w:rsidRPr="00A95387">
        <w:rPr>
          <w:i/>
        </w:rPr>
        <w:t xml:space="preserve">FDA expedites many applications, but data for post approval oversight need improvement, </w:t>
      </w:r>
      <w:r w:rsidRPr="00A95387">
        <w:t xml:space="preserve">Report to the Ranking Member, Subcommittee on </w:t>
      </w:r>
      <w:proofErr w:type="spellStart"/>
      <w:r w:rsidRPr="00A95387">
        <w:t>Labor</w:t>
      </w:r>
      <w:proofErr w:type="spellEnd"/>
      <w:r w:rsidRPr="00A95387">
        <w:t>, Health and Human Services, Education, and Related Agencies, Committee on Appropriations, House of Representatives,</w:t>
      </w:r>
      <w:r w:rsidRPr="00A95387">
        <w:rPr>
          <w:i/>
        </w:rPr>
        <w:t xml:space="preserve"> </w:t>
      </w:r>
      <w:r w:rsidRPr="00A95387">
        <w:t>GAO,  Washington DC U.S.A</w:t>
      </w:r>
      <w:r>
        <w:t>.</w:t>
      </w:r>
    </w:p>
  </w:footnote>
  <w:footnote w:id="6">
    <w:p w:rsidR="00CB5377" w:rsidRDefault="00CB5377" w:rsidP="001A46B4">
      <w:pPr>
        <w:pStyle w:val="FootnoteText"/>
      </w:pPr>
      <w:r>
        <w:rPr>
          <w:rStyle w:val="FootnoteReference"/>
        </w:rPr>
        <w:footnoteRef/>
      </w:r>
      <w:r w:rsidR="001A46B4">
        <w:t xml:space="preserve"> </w:t>
      </w:r>
      <w:proofErr w:type="gramStart"/>
      <w:r>
        <w:t xml:space="preserve">FDA, April 2015, </w:t>
      </w:r>
      <w:r w:rsidRPr="00A300B6">
        <w:t>Expedited Access for Premarket Approval and De Novo Medical Devices Intended for Unmet Medical Need for Life Threatening or Irreversibly Debilitating Diseases or Conditions, Guidance for Industry and FDA staff</w:t>
      </w:r>
      <w:r w:rsidRPr="00106BE7">
        <w:rPr>
          <w:rFonts w:eastAsiaTheme="majorEastAsia" w:cstheme="minorHAnsi"/>
        </w:rPr>
        <w:t>,</w:t>
      </w:r>
      <w:r>
        <w:rPr>
          <w:rFonts w:eastAsiaTheme="majorEastAsia" w:cstheme="minorHAnsi"/>
        </w:rPr>
        <w:t xml:space="preserve"> </w:t>
      </w:r>
      <w:r w:rsidRPr="001E1119">
        <w:t>FDA Maryland U.S.A</w:t>
      </w:r>
      <w:r w:rsidRPr="00106BE7">
        <w:rPr>
          <w:rFonts w:eastAsiaTheme="majorEastAsia" w:cstheme="minorHAnsi"/>
        </w:rPr>
        <w:t>.</w:t>
      </w:r>
      <w:proofErr w:type="gramEnd"/>
    </w:p>
  </w:footnote>
  <w:footnote w:id="7">
    <w:p w:rsidR="00CB5377" w:rsidRDefault="00CB5377" w:rsidP="001A46B4">
      <w:pPr>
        <w:pStyle w:val="FootnoteText"/>
      </w:pPr>
      <w:r>
        <w:rPr>
          <w:rStyle w:val="FootnoteReference"/>
        </w:rPr>
        <w:footnoteRef/>
      </w:r>
      <w:r>
        <w:t xml:space="preserve"> Department of Finance 2014, </w:t>
      </w:r>
      <w:r w:rsidRPr="009D1564">
        <w:t>Australian government cost recovery guidelines, July 2014, Third</w:t>
      </w:r>
      <w:r>
        <w:t xml:space="preserve"> </w:t>
      </w:r>
      <w:r w:rsidRPr="009D1564">
        <w:t>edition</w:t>
      </w:r>
      <w:r>
        <w:t>, D</w:t>
      </w:r>
      <w:r w:rsidR="00D974FF">
        <w:t>epartment of Finance, Canberra.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F0" w:rsidRDefault="004E4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488" o:spid="_x0000_s2050" type="#_x0000_t136" style="position:absolute;left:0;text-align:left;margin-left:0;margin-top:0;width:587.5pt;height:51.8pt;rotation:315;z-index:-25165312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F0" w:rsidRDefault="004E4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497" o:spid="_x0000_s2059" type="#_x0000_t136" style="position:absolute;left:0;text-align:left;margin-left:0;margin-top:0;width:587.5pt;height:51.8pt;rotation:315;z-index:-251634688;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F0" w:rsidRDefault="004E4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498" o:spid="_x0000_s2060" type="#_x0000_t136" style="position:absolute;left:0;text-align:left;margin-left:0;margin-top:0;width:587.5pt;height:51.8pt;rotation:315;z-index:-25163264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F0" w:rsidRDefault="004E4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496" o:spid="_x0000_s2058" type="#_x0000_t136" style="position:absolute;left:0;text-align:left;margin-left:0;margin-top:0;width:587.5pt;height:51.8pt;rotation:315;z-index:-25163673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F0" w:rsidRDefault="004E4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500" o:spid="_x0000_s2062" type="#_x0000_t136" style="position:absolute;left:0;text-align:left;margin-left:0;margin-top:0;width:587.5pt;height:51.8pt;rotation:315;z-index:-251628544;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F0" w:rsidRDefault="004E4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501" o:spid="_x0000_s2063" type="#_x0000_t136" style="position:absolute;left:0;text-align:left;margin-left:0;margin-top:0;width:587.5pt;height:51.8pt;rotation:315;z-index:-25162649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77" w:rsidRPr="009401F6" w:rsidRDefault="004E4BF0" w:rsidP="0047772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499" o:spid="_x0000_s2061" type="#_x0000_t136" style="position:absolute;margin-left:0;margin-top:0;width:587.5pt;height:51.8pt;rotation:315;z-index:-251630592;mso-position-horizontal:center;mso-position-horizontal-relative:margin;mso-position-vertical:center;mso-position-vertical-relative:margin" o:allowincell="f" fillcolor="#c0d3d4" stroked="f">
          <v:textpath style="font-family:&quot;Arial Black&quot;;font-size:1pt" string="Historical consultation document"/>
        </v:shape>
      </w:pict>
    </w:r>
  </w:p>
  <w:p w:rsidR="00CB5377" w:rsidRPr="002B0C2E" w:rsidRDefault="00CB5377" w:rsidP="002B0C2E">
    <w:pPr>
      <w:pStyle w:val="HeaderNo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77" w:rsidRPr="00920FF4" w:rsidRDefault="004E4BF0"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489" o:spid="_x0000_s2051" type="#_x0000_t136" style="position:absolute;left:0;text-align:left;margin-left:0;margin-top:0;width:587.5pt;height:51.8pt;rotation:315;z-index:-251651072;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CB5377">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77" w:rsidRPr="00E32326" w:rsidRDefault="004E4BF0" w:rsidP="00F202A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487" o:spid="_x0000_s2049" type="#_x0000_t136" style="position:absolute;margin-left:0;margin-top:0;width:587.5pt;height:51.8pt;rotation:315;z-index:251661312;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CB5377" w:rsidRPr="00F3255D">
      <w:rPr>
        <w:noProof/>
        <w:lang w:eastAsia="en-AU"/>
      </w:rPr>
      <w:drawing>
        <wp:anchor distT="0" distB="0" distL="114300" distR="114300" simplePos="0" relativeHeight="251659264" behindDoc="0" locked="0" layoutInCell="1" allowOverlap="1" wp14:anchorId="4456C4BD" wp14:editId="4FC66FB5">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CB5377" w:rsidRPr="00FF7B50" w:rsidTr="004103BB">
      <w:trPr>
        <w:trHeight w:hRule="exact" w:val="8845"/>
      </w:trPr>
      <w:tc>
        <w:tcPr>
          <w:tcW w:w="11964" w:type="dxa"/>
        </w:tcPr>
        <w:p w:rsidR="00CB5377" w:rsidRPr="00FF7B50" w:rsidRDefault="00114451" w:rsidP="00AE0320">
          <w:pPr>
            <w:pStyle w:val="Header"/>
            <w:ind w:left="-57"/>
            <w:jc w:val="left"/>
            <w:rPr>
              <w:noProof/>
              <w:lang w:eastAsia="en-AU"/>
            </w:rPr>
          </w:pPr>
          <w:sdt>
            <w:sdtPr>
              <w:rPr>
                <w:noProof/>
                <w:lang w:eastAsia="en-AU"/>
              </w:rPr>
              <w:id w:val="3702145"/>
              <w:showingPlcHdr/>
              <w:picture/>
            </w:sdtPr>
            <w:sdtEndPr/>
            <w:sdtContent>
              <w:r w:rsidR="00CB5377" w:rsidRPr="00FF7B50">
                <w:rPr>
                  <w:noProof/>
                  <w:lang w:eastAsia="en-AU"/>
                </w:rPr>
                <w:drawing>
                  <wp:inline distT="0" distB="0" distL="0" distR="0" wp14:anchorId="0AB865EC" wp14:editId="5F2AC92D">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CB5377" w:rsidRPr="00E32326" w:rsidRDefault="00CB5377" w:rsidP="00F202AB">
    <w:r>
      <w:rPr>
        <w:noProof/>
        <w:lang w:eastAsia="en-AU"/>
      </w:rPr>
      <w:drawing>
        <wp:anchor distT="0" distB="0" distL="114300" distR="114300" simplePos="0" relativeHeight="251657216" behindDoc="0" locked="0" layoutInCell="0" allowOverlap="1" wp14:anchorId="0774B744" wp14:editId="23A75F1B">
          <wp:simplePos x="0" y="0"/>
          <wp:positionH relativeFrom="column">
            <wp:posOffset>-900322</wp:posOffset>
          </wp:positionH>
          <wp:positionV relativeFrom="page">
            <wp:posOffset>4231736</wp:posOffset>
          </wp:positionV>
          <wp:extent cx="7600950" cy="2457450"/>
          <wp:effectExtent l="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F0" w:rsidRDefault="004E4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491" o:spid="_x0000_s2053" type="#_x0000_t136" style="position:absolute;left:0;text-align:left;margin-left:0;margin-top:0;width:587.5pt;height:51.8pt;rotation:315;z-index:-25164697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77" w:rsidRPr="00920FF4" w:rsidRDefault="004E4BF0"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492" o:spid="_x0000_s2054" type="#_x0000_t136" style="position:absolute;left:0;text-align:left;margin-left:0;margin-top:0;width:587.5pt;height:51.8pt;rotation:315;z-index:-25164492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CB5377">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77" w:rsidRPr="00920FF4" w:rsidRDefault="004E4BF0" w:rsidP="001D4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490" o:spid="_x0000_s2052" type="#_x0000_t136" style="position:absolute;left:0;text-align:left;margin-left:0;margin-top:0;width:587.5pt;height:51.8pt;rotation:315;z-index:-251649024;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CB5377">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F0" w:rsidRDefault="004E4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494" o:spid="_x0000_s2056" type="#_x0000_t136" style="position:absolute;left:0;text-align:left;margin-left:0;margin-top:0;width:587.5pt;height:51.8pt;rotation:315;z-index:-251640832;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F0" w:rsidRDefault="004E4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495" o:spid="_x0000_s2057" type="#_x0000_t136" style="position:absolute;left:0;text-align:left;margin-left:0;margin-top:0;width:587.5pt;height:51.8pt;rotation:315;z-index:-251638784;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F0" w:rsidRDefault="004E4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1493" o:spid="_x0000_s2055" type="#_x0000_t136" style="position:absolute;left:0;text-align:left;margin-left:0;margin-top:0;width:587.5pt;height:51.8pt;rotation:315;z-index:-25164288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DE0"/>
    <w:multiLevelType w:val="hybridMultilevel"/>
    <w:tmpl w:val="D9AAD6A8"/>
    <w:lvl w:ilvl="0" w:tplc="769CD8F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181A1A"/>
    <w:multiLevelType w:val="hybridMultilevel"/>
    <w:tmpl w:val="2FF2C736"/>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183614FF"/>
    <w:multiLevelType w:val="hybridMultilevel"/>
    <w:tmpl w:val="C160154E"/>
    <w:lvl w:ilvl="0" w:tplc="09F6989A">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FD26DE"/>
    <w:multiLevelType w:val="hybridMultilevel"/>
    <w:tmpl w:val="A4A27B54"/>
    <w:lvl w:ilvl="0" w:tplc="5F3280F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0FD2789"/>
    <w:multiLevelType w:val="hybridMultilevel"/>
    <w:tmpl w:val="8BD0117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5D44D21"/>
    <w:multiLevelType w:val="multilevel"/>
    <w:tmpl w:val="5BFE82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E56C93"/>
    <w:multiLevelType w:val="hybridMultilevel"/>
    <w:tmpl w:val="35243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9FE5ADB"/>
    <w:multiLevelType w:val="hybridMultilevel"/>
    <w:tmpl w:val="8416CCE6"/>
    <w:lvl w:ilvl="0" w:tplc="345065D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4FF78DF"/>
    <w:multiLevelType w:val="hybridMultilevel"/>
    <w:tmpl w:val="8B8E4C2E"/>
    <w:lvl w:ilvl="0" w:tplc="1A9ADF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6D43B65"/>
    <w:multiLevelType w:val="hybridMultilevel"/>
    <w:tmpl w:val="989C1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FDB2864"/>
    <w:multiLevelType w:val="hybridMultilevel"/>
    <w:tmpl w:val="9356C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D4C5039"/>
    <w:multiLevelType w:val="hybridMultilevel"/>
    <w:tmpl w:val="E1564314"/>
    <w:lvl w:ilvl="0" w:tplc="2EAC0BE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2881E66"/>
    <w:multiLevelType w:val="hybridMultilevel"/>
    <w:tmpl w:val="92A67452"/>
    <w:lvl w:ilvl="0" w:tplc="57723EB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7AE16C08"/>
    <w:multiLevelType w:val="hybridMultilevel"/>
    <w:tmpl w:val="ED92BA18"/>
    <w:lvl w:ilvl="0" w:tplc="D30E3866">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2"/>
  </w:num>
  <w:num w:numId="5">
    <w:abstractNumId w:val="11"/>
  </w:num>
  <w:num w:numId="6">
    <w:abstractNumId w:val="6"/>
  </w:num>
  <w:num w:numId="7">
    <w:abstractNumId w:val="12"/>
  </w:num>
  <w:num w:numId="8">
    <w:abstractNumId w:val="0"/>
  </w:num>
  <w:num w:numId="9">
    <w:abstractNumId w:val="8"/>
  </w:num>
  <w:num w:numId="10">
    <w:abstractNumId w:val="7"/>
  </w:num>
  <w:num w:numId="11">
    <w:abstractNumId w:val="14"/>
  </w:num>
  <w:num w:numId="12">
    <w:abstractNumId w:val="15"/>
  </w:num>
  <w:num w:numId="13">
    <w:abstractNumId w:val="9"/>
  </w:num>
  <w:num w:numId="14">
    <w:abstractNumId w:val="5"/>
  </w:num>
  <w:num w:numId="15">
    <w:abstractNumId w:val="13"/>
  </w:num>
  <w:num w:numId="16">
    <w:abstractNumId w:val="4"/>
  </w:num>
  <w:num w:numId="17">
    <w:abstractNumId w:val="10"/>
  </w:num>
  <w:num w:numId="18">
    <w:abstractNumId w:val="1"/>
  </w:num>
  <w:num w:numId="19">
    <w:abstractNumId w:val="3"/>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426D8DF-08CF-4CF3-A250-9332DA314AA6}"/>
    <w:docVar w:name="dgnword-eventsink" w:val="107318568"/>
  </w:docVars>
  <w:rsids>
    <w:rsidRoot w:val="002272EE"/>
    <w:rsid w:val="00002031"/>
    <w:rsid w:val="00004734"/>
    <w:rsid w:val="00006B22"/>
    <w:rsid w:val="0001276A"/>
    <w:rsid w:val="000246AE"/>
    <w:rsid w:val="00024B79"/>
    <w:rsid w:val="00025C67"/>
    <w:rsid w:val="0003306D"/>
    <w:rsid w:val="0003542B"/>
    <w:rsid w:val="00037B61"/>
    <w:rsid w:val="00050E01"/>
    <w:rsid w:val="00055129"/>
    <w:rsid w:val="000554B4"/>
    <w:rsid w:val="0005559E"/>
    <w:rsid w:val="00055FE5"/>
    <w:rsid w:val="00061E51"/>
    <w:rsid w:val="00063028"/>
    <w:rsid w:val="00070F23"/>
    <w:rsid w:val="0007301B"/>
    <w:rsid w:val="00073A8C"/>
    <w:rsid w:val="00076D36"/>
    <w:rsid w:val="00077775"/>
    <w:rsid w:val="00090471"/>
    <w:rsid w:val="000958DF"/>
    <w:rsid w:val="000A0965"/>
    <w:rsid w:val="000A5EA9"/>
    <w:rsid w:val="000B0A5D"/>
    <w:rsid w:val="000B3532"/>
    <w:rsid w:val="000B3A75"/>
    <w:rsid w:val="000B7084"/>
    <w:rsid w:val="000C2CEF"/>
    <w:rsid w:val="000C4AB7"/>
    <w:rsid w:val="000C5A31"/>
    <w:rsid w:val="000D391B"/>
    <w:rsid w:val="000D3D6D"/>
    <w:rsid w:val="000D4FC7"/>
    <w:rsid w:val="000D5CDA"/>
    <w:rsid w:val="000E58D6"/>
    <w:rsid w:val="000E7F8D"/>
    <w:rsid w:val="000F2D0D"/>
    <w:rsid w:val="000F34C6"/>
    <w:rsid w:val="000F4869"/>
    <w:rsid w:val="000F5B42"/>
    <w:rsid w:val="000F6E6F"/>
    <w:rsid w:val="001003F2"/>
    <w:rsid w:val="0010601F"/>
    <w:rsid w:val="00107378"/>
    <w:rsid w:val="00110EA5"/>
    <w:rsid w:val="001119DF"/>
    <w:rsid w:val="00114451"/>
    <w:rsid w:val="00115240"/>
    <w:rsid w:val="00125091"/>
    <w:rsid w:val="0012519D"/>
    <w:rsid w:val="00125318"/>
    <w:rsid w:val="001305A2"/>
    <w:rsid w:val="00133238"/>
    <w:rsid w:val="00140FE3"/>
    <w:rsid w:val="0014197B"/>
    <w:rsid w:val="001447CD"/>
    <w:rsid w:val="00146A5A"/>
    <w:rsid w:val="001516B1"/>
    <w:rsid w:val="001525B4"/>
    <w:rsid w:val="00154D00"/>
    <w:rsid w:val="0015561E"/>
    <w:rsid w:val="00156316"/>
    <w:rsid w:val="00160006"/>
    <w:rsid w:val="00162044"/>
    <w:rsid w:val="00165389"/>
    <w:rsid w:val="00170CED"/>
    <w:rsid w:val="00172F5B"/>
    <w:rsid w:val="00174D54"/>
    <w:rsid w:val="0017693F"/>
    <w:rsid w:val="0018110E"/>
    <w:rsid w:val="00181684"/>
    <w:rsid w:val="001843C6"/>
    <w:rsid w:val="001850E0"/>
    <w:rsid w:val="0018693C"/>
    <w:rsid w:val="00186A54"/>
    <w:rsid w:val="0019255A"/>
    <w:rsid w:val="001A46B4"/>
    <w:rsid w:val="001A525F"/>
    <w:rsid w:val="001A69AB"/>
    <w:rsid w:val="001B070C"/>
    <w:rsid w:val="001B09F9"/>
    <w:rsid w:val="001B6448"/>
    <w:rsid w:val="001C03A0"/>
    <w:rsid w:val="001C714C"/>
    <w:rsid w:val="001D1DBD"/>
    <w:rsid w:val="001D480A"/>
    <w:rsid w:val="001E07CF"/>
    <w:rsid w:val="001E59F1"/>
    <w:rsid w:val="001F3887"/>
    <w:rsid w:val="001F49EB"/>
    <w:rsid w:val="001F6CBA"/>
    <w:rsid w:val="001F78B9"/>
    <w:rsid w:val="002012FC"/>
    <w:rsid w:val="00201D4E"/>
    <w:rsid w:val="00207515"/>
    <w:rsid w:val="00211C7B"/>
    <w:rsid w:val="00212C30"/>
    <w:rsid w:val="00220204"/>
    <w:rsid w:val="00220B8A"/>
    <w:rsid w:val="002232C2"/>
    <w:rsid w:val="002257F3"/>
    <w:rsid w:val="002272EE"/>
    <w:rsid w:val="002302EC"/>
    <w:rsid w:val="002303B0"/>
    <w:rsid w:val="002314E8"/>
    <w:rsid w:val="00232968"/>
    <w:rsid w:val="00233456"/>
    <w:rsid w:val="0023397F"/>
    <w:rsid w:val="002339A5"/>
    <w:rsid w:val="0023470E"/>
    <w:rsid w:val="00236A3F"/>
    <w:rsid w:val="002452E7"/>
    <w:rsid w:val="00245F98"/>
    <w:rsid w:val="00246194"/>
    <w:rsid w:val="002538AE"/>
    <w:rsid w:val="002541E7"/>
    <w:rsid w:val="00257138"/>
    <w:rsid w:val="0025750D"/>
    <w:rsid w:val="00257848"/>
    <w:rsid w:val="00260EBB"/>
    <w:rsid w:val="0027084A"/>
    <w:rsid w:val="00271109"/>
    <w:rsid w:val="002743BA"/>
    <w:rsid w:val="00276E7A"/>
    <w:rsid w:val="00277EF5"/>
    <w:rsid w:val="00283688"/>
    <w:rsid w:val="00286434"/>
    <w:rsid w:val="00286C59"/>
    <w:rsid w:val="002942D1"/>
    <w:rsid w:val="00296278"/>
    <w:rsid w:val="00297BA4"/>
    <w:rsid w:val="002A0556"/>
    <w:rsid w:val="002B0C2E"/>
    <w:rsid w:val="002B1638"/>
    <w:rsid w:val="002C1D7D"/>
    <w:rsid w:val="002C2511"/>
    <w:rsid w:val="002C69F3"/>
    <w:rsid w:val="002D1EDF"/>
    <w:rsid w:val="002E4C9A"/>
    <w:rsid w:val="002F0584"/>
    <w:rsid w:val="002F11F8"/>
    <w:rsid w:val="002F3F56"/>
    <w:rsid w:val="002F44B5"/>
    <w:rsid w:val="003018C0"/>
    <w:rsid w:val="00303DF5"/>
    <w:rsid w:val="00311AC0"/>
    <w:rsid w:val="00312791"/>
    <w:rsid w:val="00313576"/>
    <w:rsid w:val="00331DBB"/>
    <w:rsid w:val="00332680"/>
    <w:rsid w:val="00341065"/>
    <w:rsid w:val="00343C76"/>
    <w:rsid w:val="00351B3A"/>
    <w:rsid w:val="003521E8"/>
    <w:rsid w:val="0035434B"/>
    <w:rsid w:val="00365DDD"/>
    <w:rsid w:val="003664BF"/>
    <w:rsid w:val="00370381"/>
    <w:rsid w:val="003719B2"/>
    <w:rsid w:val="003728F3"/>
    <w:rsid w:val="00372C37"/>
    <w:rsid w:val="00377387"/>
    <w:rsid w:val="003858AA"/>
    <w:rsid w:val="00390900"/>
    <w:rsid w:val="00390AB6"/>
    <w:rsid w:val="003A35BD"/>
    <w:rsid w:val="003B00C5"/>
    <w:rsid w:val="003B0C3D"/>
    <w:rsid w:val="003B295B"/>
    <w:rsid w:val="003B37E6"/>
    <w:rsid w:val="003B443E"/>
    <w:rsid w:val="003B7E39"/>
    <w:rsid w:val="003C0ACB"/>
    <w:rsid w:val="003C58DC"/>
    <w:rsid w:val="003C7461"/>
    <w:rsid w:val="003D0CD9"/>
    <w:rsid w:val="003D7EB6"/>
    <w:rsid w:val="003E3208"/>
    <w:rsid w:val="003E3D34"/>
    <w:rsid w:val="003E7EAA"/>
    <w:rsid w:val="003F0B04"/>
    <w:rsid w:val="0040134E"/>
    <w:rsid w:val="004103BB"/>
    <w:rsid w:val="00410839"/>
    <w:rsid w:val="00412FCA"/>
    <w:rsid w:val="0041452B"/>
    <w:rsid w:val="004169A8"/>
    <w:rsid w:val="00431AB9"/>
    <w:rsid w:val="00440A2D"/>
    <w:rsid w:val="00440E06"/>
    <w:rsid w:val="004417CD"/>
    <w:rsid w:val="00447762"/>
    <w:rsid w:val="00455A6F"/>
    <w:rsid w:val="004564A7"/>
    <w:rsid w:val="004617BF"/>
    <w:rsid w:val="004634F1"/>
    <w:rsid w:val="00465E90"/>
    <w:rsid w:val="0047772E"/>
    <w:rsid w:val="00477BB1"/>
    <w:rsid w:val="004923FF"/>
    <w:rsid w:val="00494A73"/>
    <w:rsid w:val="00494E60"/>
    <w:rsid w:val="00496BAC"/>
    <w:rsid w:val="004A4BFA"/>
    <w:rsid w:val="004B1E55"/>
    <w:rsid w:val="004B5A6B"/>
    <w:rsid w:val="004B7B76"/>
    <w:rsid w:val="004C0070"/>
    <w:rsid w:val="004D152A"/>
    <w:rsid w:val="004D4032"/>
    <w:rsid w:val="004D51A6"/>
    <w:rsid w:val="004D60B5"/>
    <w:rsid w:val="004E4BF0"/>
    <w:rsid w:val="004F0F38"/>
    <w:rsid w:val="004F1A46"/>
    <w:rsid w:val="004F1EBB"/>
    <w:rsid w:val="004F4D12"/>
    <w:rsid w:val="00501921"/>
    <w:rsid w:val="00501FD4"/>
    <w:rsid w:val="00506B33"/>
    <w:rsid w:val="00511904"/>
    <w:rsid w:val="00522A0C"/>
    <w:rsid w:val="00530354"/>
    <w:rsid w:val="00531B11"/>
    <w:rsid w:val="00532F81"/>
    <w:rsid w:val="005434C6"/>
    <w:rsid w:val="00543B39"/>
    <w:rsid w:val="00544C7C"/>
    <w:rsid w:val="0054583D"/>
    <w:rsid w:val="005477E7"/>
    <w:rsid w:val="00550096"/>
    <w:rsid w:val="005543BA"/>
    <w:rsid w:val="0055532D"/>
    <w:rsid w:val="00557FF9"/>
    <w:rsid w:val="00576378"/>
    <w:rsid w:val="00577279"/>
    <w:rsid w:val="00577D65"/>
    <w:rsid w:val="00577E38"/>
    <w:rsid w:val="00584F2C"/>
    <w:rsid w:val="00585322"/>
    <w:rsid w:val="00586592"/>
    <w:rsid w:val="0059070C"/>
    <w:rsid w:val="00593AD1"/>
    <w:rsid w:val="00594086"/>
    <w:rsid w:val="005949B6"/>
    <w:rsid w:val="00594D03"/>
    <w:rsid w:val="00597877"/>
    <w:rsid w:val="005A1131"/>
    <w:rsid w:val="005A2F78"/>
    <w:rsid w:val="005A61CE"/>
    <w:rsid w:val="005B0EFE"/>
    <w:rsid w:val="005C5570"/>
    <w:rsid w:val="005C79A4"/>
    <w:rsid w:val="005D38DD"/>
    <w:rsid w:val="005D4EA1"/>
    <w:rsid w:val="005D5442"/>
    <w:rsid w:val="005E1BE8"/>
    <w:rsid w:val="005E4C1B"/>
    <w:rsid w:val="005E6592"/>
    <w:rsid w:val="006026D4"/>
    <w:rsid w:val="00604B52"/>
    <w:rsid w:val="00611B57"/>
    <w:rsid w:val="006162DF"/>
    <w:rsid w:val="00617EAC"/>
    <w:rsid w:val="006239CD"/>
    <w:rsid w:val="0062426D"/>
    <w:rsid w:val="00640190"/>
    <w:rsid w:val="006405A9"/>
    <w:rsid w:val="00640FC3"/>
    <w:rsid w:val="00642020"/>
    <w:rsid w:val="00645305"/>
    <w:rsid w:val="00647074"/>
    <w:rsid w:val="0065143A"/>
    <w:rsid w:val="00651C87"/>
    <w:rsid w:val="006524CF"/>
    <w:rsid w:val="0065337B"/>
    <w:rsid w:val="00653FBF"/>
    <w:rsid w:val="006540B0"/>
    <w:rsid w:val="0065419D"/>
    <w:rsid w:val="006604D8"/>
    <w:rsid w:val="00664858"/>
    <w:rsid w:val="00664A5B"/>
    <w:rsid w:val="00664EB2"/>
    <w:rsid w:val="00665F8C"/>
    <w:rsid w:val="00667942"/>
    <w:rsid w:val="00667B4F"/>
    <w:rsid w:val="00680C08"/>
    <w:rsid w:val="0068263C"/>
    <w:rsid w:val="0068741A"/>
    <w:rsid w:val="0068754E"/>
    <w:rsid w:val="00691723"/>
    <w:rsid w:val="006931B1"/>
    <w:rsid w:val="00693CDB"/>
    <w:rsid w:val="006968A8"/>
    <w:rsid w:val="006A15C0"/>
    <w:rsid w:val="006A5842"/>
    <w:rsid w:val="006B188D"/>
    <w:rsid w:val="006B282A"/>
    <w:rsid w:val="006B7629"/>
    <w:rsid w:val="006C1F3B"/>
    <w:rsid w:val="006C3E2A"/>
    <w:rsid w:val="006C626D"/>
    <w:rsid w:val="006C642F"/>
    <w:rsid w:val="006C6C58"/>
    <w:rsid w:val="006C6EDB"/>
    <w:rsid w:val="006D039E"/>
    <w:rsid w:val="006D03E5"/>
    <w:rsid w:val="006D0C3B"/>
    <w:rsid w:val="006D58E3"/>
    <w:rsid w:val="006D5D3E"/>
    <w:rsid w:val="006E08B3"/>
    <w:rsid w:val="006E3BD6"/>
    <w:rsid w:val="006E5AB4"/>
    <w:rsid w:val="006E745B"/>
    <w:rsid w:val="006E7E1A"/>
    <w:rsid w:val="006F378D"/>
    <w:rsid w:val="006F572E"/>
    <w:rsid w:val="00700B2A"/>
    <w:rsid w:val="0070179F"/>
    <w:rsid w:val="00702FF8"/>
    <w:rsid w:val="007046D6"/>
    <w:rsid w:val="00705DB0"/>
    <w:rsid w:val="00706AFE"/>
    <w:rsid w:val="00711560"/>
    <w:rsid w:val="0071545E"/>
    <w:rsid w:val="00725A8B"/>
    <w:rsid w:val="0074066C"/>
    <w:rsid w:val="00740816"/>
    <w:rsid w:val="00742004"/>
    <w:rsid w:val="0074253D"/>
    <w:rsid w:val="0074429B"/>
    <w:rsid w:val="00745EDA"/>
    <w:rsid w:val="007477F8"/>
    <w:rsid w:val="00752BE1"/>
    <w:rsid w:val="007615BC"/>
    <w:rsid w:val="00762F05"/>
    <w:rsid w:val="00763336"/>
    <w:rsid w:val="00764EB9"/>
    <w:rsid w:val="007652FF"/>
    <w:rsid w:val="00766F39"/>
    <w:rsid w:val="00771329"/>
    <w:rsid w:val="00773EF7"/>
    <w:rsid w:val="00774E1D"/>
    <w:rsid w:val="0077675A"/>
    <w:rsid w:val="00780355"/>
    <w:rsid w:val="007820E3"/>
    <w:rsid w:val="00782C0F"/>
    <w:rsid w:val="00785721"/>
    <w:rsid w:val="00793A59"/>
    <w:rsid w:val="00796CD0"/>
    <w:rsid w:val="00797038"/>
    <w:rsid w:val="007A2162"/>
    <w:rsid w:val="007B302B"/>
    <w:rsid w:val="007B43ED"/>
    <w:rsid w:val="007B4BF9"/>
    <w:rsid w:val="007C0F3D"/>
    <w:rsid w:val="007C1AF7"/>
    <w:rsid w:val="007C7A6D"/>
    <w:rsid w:val="007C7B5B"/>
    <w:rsid w:val="007E7BF8"/>
    <w:rsid w:val="007F1C55"/>
    <w:rsid w:val="007F2B24"/>
    <w:rsid w:val="007F2FF0"/>
    <w:rsid w:val="00810598"/>
    <w:rsid w:val="00811166"/>
    <w:rsid w:val="00814492"/>
    <w:rsid w:val="008161E5"/>
    <w:rsid w:val="00821776"/>
    <w:rsid w:val="00826007"/>
    <w:rsid w:val="00827EE5"/>
    <w:rsid w:val="008321F5"/>
    <w:rsid w:val="00832369"/>
    <w:rsid w:val="00833483"/>
    <w:rsid w:val="008342EE"/>
    <w:rsid w:val="00834660"/>
    <w:rsid w:val="00834C8E"/>
    <w:rsid w:val="00836BC2"/>
    <w:rsid w:val="0084580B"/>
    <w:rsid w:val="00845BCA"/>
    <w:rsid w:val="008475DB"/>
    <w:rsid w:val="00853C8F"/>
    <w:rsid w:val="0085641B"/>
    <w:rsid w:val="00857136"/>
    <w:rsid w:val="00870B12"/>
    <w:rsid w:val="008752CE"/>
    <w:rsid w:val="008821AA"/>
    <w:rsid w:val="008855B8"/>
    <w:rsid w:val="00891CA3"/>
    <w:rsid w:val="00896018"/>
    <w:rsid w:val="008A07FF"/>
    <w:rsid w:val="008A2B9D"/>
    <w:rsid w:val="008A5D8A"/>
    <w:rsid w:val="008A5E0B"/>
    <w:rsid w:val="008A5E18"/>
    <w:rsid w:val="008A6D59"/>
    <w:rsid w:val="008B2D31"/>
    <w:rsid w:val="008B4B03"/>
    <w:rsid w:val="008B596F"/>
    <w:rsid w:val="008C0E3C"/>
    <w:rsid w:val="008C159F"/>
    <w:rsid w:val="008C1623"/>
    <w:rsid w:val="008C169B"/>
    <w:rsid w:val="008C294E"/>
    <w:rsid w:val="008C51A9"/>
    <w:rsid w:val="008C56D9"/>
    <w:rsid w:val="008D2B09"/>
    <w:rsid w:val="008D4740"/>
    <w:rsid w:val="008E1CB8"/>
    <w:rsid w:val="008E7342"/>
    <w:rsid w:val="008E7B83"/>
    <w:rsid w:val="008F1CCC"/>
    <w:rsid w:val="008F2967"/>
    <w:rsid w:val="008F407A"/>
    <w:rsid w:val="00900306"/>
    <w:rsid w:val="0090354E"/>
    <w:rsid w:val="00906CBB"/>
    <w:rsid w:val="00907ACE"/>
    <w:rsid w:val="009172B0"/>
    <w:rsid w:val="00920330"/>
    <w:rsid w:val="00920FF4"/>
    <w:rsid w:val="009219D7"/>
    <w:rsid w:val="00922D53"/>
    <w:rsid w:val="00923B70"/>
    <w:rsid w:val="00925DC5"/>
    <w:rsid w:val="0092600B"/>
    <w:rsid w:val="009270CC"/>
    <w:rsid w:val="00930237"/>
    <w:rsid w:val="00934397"/>
    <w:rsid w:val="009401F6"/>
    <w:rsid w:val="00940F44"/>
    <w:rsid w:val="00941988"/>
    <w:rsid w:val="0095215F"/>
    <w:rsid w:val="00952562"/>
    <w:rsid w:val="00954FBE"/>
    <w:rsid w:val="00963C08"/>
    <w:rsid w:val="00963D36"/>
    <w:rsid w:val="0096726C"/>
    <w:rsid w:val="009744D0"/>
    <w:rsid w:val="00976E18"/>
    <w:rsid w:val="00976E63"/>
    <w:rsid w:val="0099678A"/>
    <w:rsid w:val="00996AD1"/>
    <w:rsid w:val="00997420"/>
    <w:rsid w:val="009A09AA"/>
    <w:rsid w:val="009A1FA6"/>
    <w:rsid w:val="009A2BAB"/>
    <w:rsid w:val="009A474D"/>
    <w:rsid w:val="009A4CED"/>
    <w:rsid w:val="009A57FB"/>
    <w:rsid w:val="009B15F1"/>
    <w:rsid w:val="009B1D12"/>
    <w:rsid w:val="009B327A"/>
    <w:rsid w:val="009B416B"/>
    <w:rsid w:val="009B4FD4"/>
    <w:rsid w:val="009C4762"/>
    <w:rsid w:val="009C4BD5"/>
    <w:rsid w:val="009C5B1C"/>
    <w:rsid w:val="009D2E04"/>
    <w:rsid w:val="009D7B77"/>
    <w:rsid w:val="009E0BB0"/>
    <w:rsid w:val="009E3FBB"/>
    <w:rsid w:val="009E5776"/>
    <w:rsid w:val="009E71F4"/>
    <w:rsid w:val="009F018D"/>
    <w:rsid w:val="009F7D61"/>
    <w:rsid w:val="00A0238E"/>
    <w:rsid w:val="00A052B5"/>
    <w:rsid w:val="00A1235B"/>
    <w:rsid w:val="00A14DF7"/>
    <w:rsid w:val="00A17777"/>
    <w:rsid w:val="00A20456"/>
    <w:rsid w:val="00A23F3C"/>
    <w:rsid w:val="00A30F95"/>
    <w:rsid w:val="00A3246D"/>
    <w:rsid w:val="00A3654F"/>
    <w:rsid w:val="00A36FA7"/>
    <w:rsid w:val="00A46129"/>
    <w:rsid w:val="00A475B7"/>
    <w:rsid w:val="00A47AF7"/>
    <w:rsid w:val="00A47C3E"/>
    <w:rsid w:val="00A50226"/>
    <w:rsid w:val="00A539AC"/>
    <w:rsid w:val="00A561ED"/>
    <w:rsid w:val="00A56488"/>
    <w:rsid w:val="00A60185"/>
    <w:rsid w:val="00A60BAD"/>
    <w:rsid w:val="00A64387"/>
    <w:rsid w:val="00A671A8"/>
    <w:rsid w:val="00A71E1D"/>
    <w:rsid w:val="00A736F3"/>
    <w:rsid w:val="00A73A8D"/>
    <w:rsid w:val="00A84503"/>
    <w:rsid w:val="00A85B04"/>
    <w:rsid w:val="00A86E2C"/>
    <w:rsid w:val="00A87334"/>
    <w:rsid w:val="00AA2FD5"/>
    <w:rsid w:val="00AB2645"/>
    <w:rsid w:val="00AB6F47"/>
    <w:rsid w:val="00AC2B40"/>
    <w:rsid w:val="00AC2BB2"/>
    <w:rsid w:val="00AC2C3C"/>
    <w:rsid w:val="00AC3BD9"/>
    <w:rsid w:val="00AC50D8"/>
    <w:rsid w:val="00AC712B"/>
    <w:rsid w:val="00AC7EB0"/>
    <w:rsid w:val="00AE0320"/>
    <w:rsid w:val="00AE2EC2"/>
    <w:rsid w:val="00AE65EB"/>
    <w:rsid w:val="00AF175D"/>
    <w:rsid w:val="00AF1D94"/>
    <w:rsid w:val="00AF60C5"/>
    <w:rsid w:val="00AF769E"/>
    <w:rsid w:val="00B009C6"/>
    <w:rsid w:val="00B01382"/>
    <w:rsid w:val="00B01548"/>
    <w:rsid w:val="00B07591"/>
    <w:rsid w:val="00B10633"/>
    <w:rsid w:val="00B21D29"/>
    <w:rsid w:val="00B21FC5"/>
    <w:rsid w:val="00B21FEE"/>
    <w:rsid w:val="00B25034"/>
    <w:rsid w:val="00B27A6E"/>
    <w:rsid w:val="00B30EF8"/>
    <w:rsid w:val="00B33863"/>
    <w:rsid w:val="00B37D17"/>
    <w:rsid w:val="00B40C85"/>
    <w:rsid w:val="00B4175E"/>
    <w:rsid w:val="00B510E1"/>
    <w:rsid w:val="00B51F8B"/>
    <w:rsid w:val="00B530F7"/>
    <w:rsid w:val="00B54C25"/>
    <w:rsid w:val="00B558F5"/>
    <w:rsid w:val="00B600DA"/>
    <w:rsid w:val="00B64F68"/>
    <w:rsid w:val="00B7189D"/>
    <w:rsid w:val="00B7419F"/>
    <w:rsid w:val="00B7499F"/>
    <w:rsid w:val="00B76B91"/>
    <w:rsid w:val="00B81E45"/>
    <w:rsid w:val="00B84EDA"/>
    <w:rsid w:val="00B926AF"/>
    <w:rsid w:val="00B92C72"/>
    <w:rsid w:val="00B9644F"/>
    <w:rsid w:val="00BA6FF1"/>
    <w:rsid w:val="00BB0909"/>
    <w:rsid w:val="00BB6529"/>
    <w:rsid w:val="00BB7006"/>
    <w:rsid w:val="00BC1CAB"/>
    <w:rsid w:val="00BC5A15"/>
    <w:rsid w:val="00BC622A"/>
    <w:rsid w:val="00BD38CC"/>
    <w:rsid w:val="00BD6F8A"/>
    <w:rsid w:val="00BE0A78"/>
    <w:rsid w:val="00BE79F0"/>
    <w:rsid w:val="00BF046D"/>
    <w:rsid w:val="00BF1879"/>
    <w:rsid w:val="00BF5D04"/>
    <w:rsid w:val="00C13563"/>
    <w:rsid w:val="00C14C12"/>
    <w:rsid w:val="00C15330"/>
    <w:rsid w:val="00C17DEA"/>
    <w:rsid w:val="00C23637"/>
    <w:rsid w:val="00C26086"/>
    <w:rsid w:val="00C338EB"/>
    <w:rsid w:val="00C339C6"/>
    <w:rsid w:val="00C404A6"/>
    <w:rsid w:val="00C4074A"/>
    <w:rsid w:val="00C40A36"/>
    <w:rsid w:val="00C44419"/>
    <w:rsid w:val="00C44536"/>
    <w:rsid w:val="00C45E7B"/>
    <w:rsid w:val="00C471B1"/>
    <w:rsid w:val="00C52BEE"/>
    <w:rsid w:val="00C5500E"/>
    <w:rsid w:val="00C6316B"/>
    <w:rsid w:val="00C634A9"/>
    <w:rsid w:val="00C72059"/>
    <w:rsid w:val="00C772FF"/>
    <w:rsid w:val="00C77BC8"/>
    <w:rsid w:val="00C801AF"/>
    <w:rsid w:val="00C80256"/>
    <w:rsid w:val="00C83F6F"/>
    <w:rsid w:val="00CA1D4C"/>
    <w:rsid w:val="00CA57C0"/>
    <w:rsid w:val="00CA6DF6"/>
    <w:rsid w:val="00CA77CC"/>
    <w:rsid w:val="00CA7D45"/>
    <w:rsid w:val="00CB167E"/>
    <w:rsid w:val="00CB5377"/>
    <w:rsid w:val="00CB6BC0"/>
    <w:rsid w:val="00CC03FD"/>
    <w:rsid w:val="00CC1B7C"/>
    <w:rsid w:val="00CC55F6"/>
    <w:rsid w:val="00CC5CEB"/>
    <w:rsid w:val="00CC727F"/>
    <w:rsid w:val="00CD2699"/>
    <w:rsid w:val="00CD7871"/>
    <w:rsid w:val="00CE593E"/>
    <w:rsid w:val="00CE5BB0"/>
    <w:rsid w:val="00CF15C3"/>
    <w:rsid w:val="00CF2B6F"/>
    <w:rsid w:val="00CF3409"/>
    <w:rsid w:val="00CF4FA4"/>
    <w:rsid w:val="00D00AE0"/>
    <w:rsid w:val="00D017ED"/>
    <w:rsid w:val="00D0183B"/>
    <w:rsid w:val="00D153B1"/>
    <w:rsid w:val="00D216DB"/>
    <w:rsid w:val="00D224FE"/>
    <w:rsid w:val="00D229BA"/>
    <w:rsid w:val="00D24FB7"/>
    <w:rsid w:val="00D26043"/>
    <w:rsid w:val="00D26B84"/>
    <w:rsid w:val="00D26E89"/>
    <w:rsid w:val="00D5616E"/>
    <w:rsid w:val="00D57941"/>
    <w:rsid w:val="00D634FE"/>
    <w:rsid w:val="00D648D1"/>
    <w:rsid w:val="00D6493E"/>
    <w:rsid w:val="00D974FF"/>
    <w:rsid w:val="00DA1124"/>
    <w:rsid w:val="00DA1DEF"/>
    <w:rsid w:val="00DA1E0B"/>
    <w:rsid w:val="00DA2A6A"/>
    <w:rsid w:val="00DA3043"/>
    <w:rsid w:val="00DB2313"/>
    <w:rsid w:val="00DB5B68"/>
    <w:rsid w:val="00DC3B7B"/>
    <w:rsid w:val="00DC6294"/>
    <w:rsid w:val="00DC7BBC"/>
    <w:rsid w:val="00DD4C9F"/>
    <w:rsid w:val="00DD6D45"/>
    <w:rsid w:val="00DD75A3"/>
    <w:rsid w:val="00DD7A91"/>
    <w:rsid w:val="00DE02AE"/>
    <w:rsid w:val="00DE6A0C"/>
    <w:rsid w:val="00DE6C04"/>
    <w:rsid w:val="00DE75AC"/>
    <w:rsid w:val="00DF1D7F"/>
    <w:rsid w:val="00DF33B3"/>
    <w:rsid w:val="00E0175E"/>
    <w:rsid w:val="00E02FB4"/>
    <w:rsid w:val="00E04C68"/>
    <w:rsid w:val="00E1340C"/>
    <w:rsid w:val="00E178AE"/>
    <w:rsid w:val="00E20571"/>
    <w:rsid w:val="00E21651"/>
    <w:rsid w:val="00E23179"/>
    <w:rsid w:val="00E235F7"/>
    <w:rsid w:val="00E239D4"/>
    <w:rsid w:val="00E32231"/>
    <w:rsid w:val="00E32326"/>
    <w:rsid w:val="00E40873"/>
    <w:rsid w:val="00E40B22"/>
    <w:rsid w:val="00E43AD6"/>
    <w:rsid w:val="00E4588F"/>
    <w:rsid w:val="00E46DA3"/>
    <w:rsid w:val="00E51164"/>
    <w:rsid w:val="00E57977"/>
    <w:rsid w:val="00E618DA"/>
    <w:rsid w:val="00E633E2"/>
    <w:rsid w:val="00E808E5"/>
    <w:rsid w:val="00E8120B"/>
    <w:rsid w:val="00E82B98"/>
    <w:rsid w:val="00E82ED9"/>
    <w:rsid w:val="00E83BE3"/>
    <w:rsid w:val="00E92E6F"/>
    <w:rsid w:val="00EA16DE"/>
    <w:rsid w:val="00EA406B"/>
    <w:rsid w:val="00EA453A"/>
    <w:rsid w:val="00EA4F9D"/>
    <w:rsid w:val="00EB0798"/>
    <w:rsid w:val="00EB0BB2"/>
    <w:rsid w:val="00EB19F8"/>
    <w:rsid w:val="00EB40AD"/>
    <w:rsid w:val="00EB586E"/>
    <w:rsid w:val="00EB5FC8"/>
    <w:rsid w:val="00EC1271"/>
    <w:rsid w:val="00EC4A5C"/>
    <w:rsid w:val="00EC6A52"/>
    <w:rsid w:val="00ED0C8B"/>
    <w:rsid w:val="00ED30D2"/>
    <w:rsid w:val="00ED5A41"/>
    <w:rsid w:val="00EE00B0"/>
    <w:rsid w:val="00EE019B"/>
    <w:rsid w:val="00EE1482"/>
    <w:rsid w:val="00EE255A"/>
    <w:rsid w:val="00EE3BFC"/>
    <w:rsid w:val="00EF578B"/>
    <w:rsid w:val="00F033EC"/>
    <w:rsid w:val="00F04F68"/>
    <w:rsid w:val="00F0627D"/>
    <w:rsid w:val="00F11A17"/>
    <w:rsid w:val="00F12670"/>
    <w:rsid w:val="00F13BBD"/>
    <w:rsid w:val="00F13D19"/>
    <w:rsid w:val="00F14B27"/>
    <w:rsid w:val="00F202AB"/>
    <w:rsid w:val="00F25779"/>
    <w:rsid w:val="00F3148D"/>
    <w:rsid w:val="00F3255D"/>
    <w:rsid w:val="00F35298"/>
    <w:rsid w:val="00F3529E"/>
    <w:rsid w:val="00F36C32"/>
    <w:rsid w:val="00F40F73"/>
    <w:rsid w:val="00F4305F"/>
    <w:rsid w:val="00F43C7E"/>
    <w:rsid w:val="00F44B0D"/>
    <w:rsid w:val="00F4663D"/>
    <w:rsid w:val="00F467A6"/>
    <w:rsid w:val="00F46C21"/>
    <w:rsid w:val="00F47E37"/>
    <w:rsid w:val="00F5126F"/>
    <w:rsid w:val="00F519A0"/>
    <w:rsid w:val="00F623FD"/>
    <w:rsid w:val="00F63C0D"/>
    <w:rsid w:val="00F64003"/>
    <w:rsid w:val="00F640B6"/>
    <w:rsid w:val="00F65C4D"/>
    <w:rsid w:val="00F67B16"/>
    <w:rsid w:val="00F739D1"/>
    <w:rsid w:val="00F75BDE"/>
    <w:rsid w:val="00F80E40"/>
    <w:rsid w:val="00F8365F"/>
    <w:rsid w:val="00F8404D"/>
    <w:rsid w:val="00F87B87"/>
    <w:rsid w:val="00F930A7"/>
    <w:rsid w:val="00FA095B"/>
    <w:rsid w:val="00FA17A0"/>
    <w:rsid w:val="00FA3A97"/>
    <w:rsid w:val="00FA4D6D"/>
    <w:rsid w:val="00FA5B82"/>
    <w:rsid w:val="00FA639E"/>
    <w:rsid w:val="00FB3693"/>
    <w:rsid w:val="00FB5313"/>
    <w:rsid w:val="00FB59CE"/>
    <w:rsid w:val="00FC03C8"/>
    <w:rsid w:val="00FC25E4"/>
    <w:rsid w:val="00FC260C"/>
    <w:rsid w:val="00FC4EF7"/>
    <w:rsid w:val="00FC641A"/>
    <w:rsid w:val="00FD2739"/>
    <w:rsid w:val="00FE1DEE"/>
    <w:rsid w:val="00FE3EE9"/>
    <w:rsid w:val="00FE4EE2"/>
    <w:rsid w:val="00FE756F"/>
    <w:rsid w:val="00FF19A8"/>
    <w:rsid w:val="00FF2126"/>
    <w:rsid w:val="00FF2374"/>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Heading4"/>
    <w:next w:val="Normal"/>
    <w:link w:val="Heading3Char"/>
    <w:qFormat/>
    <w:rsid w:val="00FC641A"/>
    <w:pPr>
      <w:outlineLvl w:val="2"/>
    </w:pPr>
  </w:style>
  <w:style w:type="paragraph" w:styleId="Heading4">
    <w:name w:val="heading 4"/>
    <w:basedOn w:val="Normal"/>
    <w:next w:val="Normal"/>
    <w:link w:val="Heading4Char"/>
    <w:qFormat/>
    <w:rsid w:val="00E57977"/>
    <w:pPr>
      <w:keepNext/>
      <w:keepLines/>
      <w:spacing w:before="360" w:after="120"/>
      <w:outlineLvl w:val="3"/>
    </w:pPr>
    <w:rPr>
      <w:rFonts w:ascii="Arial" w:hAnsi="Arial"/>
      <w:b/>
      <w:bCs/>
      <w:sz w:val="24"/>
      <w:szCs w:val="24"/>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FC641A"/>
    <w:rPr>
      <w:rFonts w:ascii="Arial" w:hAnsi="Arial"/>
      <w:b/>
      <w:bCs/>
      <w:sz w:val="26"/>
      <w:szCs w:val="26"/>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E57977"/>
    <w:rPr>
      <w:rFonts w:ascii="Arial" w:hAnsi="Arial"/>
      <w:b/>
      <w:bCs/>
      <w:sz w:val="24"/>
      <w:szCs w:val="24"/>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3"/>
      </w:numPr>
    </w:pPr>
  </w:style>
  <w:style w:type="paragraph" w:styleId="ListBullet2">
    <w:name w:val="List Bullet 2"/>
    <w:basedOn w:val="Normal"/>
    <w:uiPriority w:val="1"/>
    <w:qFormat/>
    <w:rsid w:val="004B5A6B"/>
    <w:pPr>
      <w:numPr>
        <w:ilvl w:val="1"/>
        <w:numId w:val="3"/>
      </w:numPr>
      <w:ind w:left="850" w:hanging="425"/>
    </w:pPr>
  </w:style>
  <w:style w:type="paragraph" w:styleId="ListBullet3">
    <w:name w:val="List Bullet 3"/>
    <w:basedOn w:val="Normal"/>
    <w:uiPriority w:val="1"/>
    <w:qFormat/>
    <w:rsid w:val="004B5A6B"/>
    <w:pPr>
      <w:numPr>
        <w:ilvl w:val="2"/>
        <w:numId w:val="3"/>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numId w:val="4"/>
      </w:numPr>
    </w:pPr>
  </w:style>
  <w:style w:type="paragraph" w:customStyle="1" w:styleId="Numberbullet3">
    <w:name w:val="Number bullet 3"/>
    <w:basedOn w:val="ListBullet3"/>
    <w:uiPriority w:val="2"/>
    <w:qFormat/>
    <w:rsid w:val="00EE1482"/>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FA095B"/>
    <w:pPr>
      <w:framePr w:hSpace="180" w:wrap="around" w:vAnchor="page" w:hAnchor="margin" w:y="3166"/>
      <w:numPr>
        <w:ilvl w:val="1"/>
      </w:numPr>
      <w:spacing w:before="0" w:after="0"/>
    </w:pPr>
    <w:rPr>
      <w:rFonts w:ascii="Arial" w:eastAsia="Times New Roman" w:hAnsi="Arial"/>
      <w:bCs/>
      <w:iCs/>
      <w:color w:val="006DA7"/>
      <w:sz w:val="40"/>
      <w:szCs w:val="24"/>
      <w:lang w:eastAsia="en-AU"/>
    </w:rPr>
  </w:style>
  <w:style w:type="character" w:customStyle="1" w:styleId="SubtitleChar">
    <w:name w:val="Subtitle Char"/>
    <w:basedOn w:val="DefaultParagraphFont"/>
    <w:link w:val="Subtitle"/>
    <w:uiPriority w:val="11"/>
    <w:rsid w:val="00FA095B"/>
    <w:rPr>
      <w:rFonts w:ascii="Arial" w:eastAsia="Times New Roman" w:hAnsi="Arial"/>
      <w:bCs/>
      <w:iCs/>
      <w:color w:val="006DA7"/>
      <w:sz w:val="40"/>
      <w:szCs w:val="24"/>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1A46B4"/>
    <w:pPr>
      <w:keepLines/>
      <w:spacing w:before="0" w:after="0"/>
    </w:pPr>
    <w:rPr>
      <w:sz w:val="20"/>
    </w:rPr>
  </w:style>
  <w:style w:type="character" w:customStyle="1" w:styleId="FootnoteTextChar">
    <w:name w:val="Footnote Text Char"/>
    <w:basedOn w:val="DefaultParagraphFont"/>
    <w:link w:val="FootnoteText"/>
    <w:uiPriority w:val="99"/>
    <w:rsid w:val="001A46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NoSpacing">
    <w:name w:val="No Spacing"/>
    <w:uiPriority w:val="1"/>
    <w:qFormat/>
    <w:rsid w:val="002272EE"/>
    <w:rPr>
      <w:rFonts w:asciiTheme="minorHAnsi" w:eastAsiaTheme="minorHAnsi" w:hAnsiTheme="minorHAnsi" w:cstheme="minorBidi"/>
      <w:sz w:val="22"/>
      <w:szCs w:val="22"/>
      <w:lang w:eastAsia="en-US"/>
    </w:rPr>
  </w:style>
  <w:style w:type="paragraph" w:customStyle="1" w:styleId="Default">
    <w:name w:val="Default"/>
    <w:rsid w:val="002272EE"/>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272EE"/>
    <w:pPr>
      <w:spacing w:before="0" w:after="200" w:line="240" w:lineRule="auto"/>
      <w:ind w:left="720"/>
      <w:contextualSpacing/>
    </w:pPr>
    <w:rPr>
      <w:rFonts w:asciiTheme="minorHAnsi" w:eastAsiaTheme="minorHAnsi" w:hAnsiTheme="minorHAnsi" w:cstheme="minorBidi"/>
      <w:szCs w:val="22"/>
    </w:rPr>
  </w:style>
  <w:style w:type="paragraph" w:styleId="Quote">
    <w:name w:val="Quote"/>
    <w:basedOn w:val="Normal"/>
    <w:next w:val="Normal"/>
    <w:link w:val="QuoteChar"/>
    <w:uiPriority w:val="29"/>
    <w:qFormat/>
    <w:rsid w:val="002272EE"/>
    <w:pPr>
      <w:spacing w:before="0" w:after="200" w:line="240" w:lineRule="auto"/>
      <w:ind w:left="397" w:right="397"/>
      <w:jc w:val="both"/>
    </w:pPr>
    <w:rPr>
      <w:rFonts w:asciiTheme="minorHAnsi" w:eastAsiaTheme="minorHAnsi" w:hAnsiTheme="minorHAnsi" w:cstheme="minorBidi"/>
      <w:i/>
      <w:iCs/>
      <w:color w:val="002C47" w:themeColor="text1"/>
      <w:sz w:val="24"/>
      <w:szCs w:val="22"/>
    </w:rPr>
  </w:style>
  <w:style w:type="character" w:customStyle="1" w:styleId="QuoteChar">
    <w:name w:val="Quote Char"/>
    <w:basedOn w:val="DefaultParagraphFont"/>
    <w:link w:val="Quote"/>
    <w:uiPriority w:val="29"/>
    <w:rsid w:val="002272EE"/>
    <w:rPr>
      <w:rFonts w:asciiTheme="minorHAnsi" w:eastAsiaTheme="minorHAnsi" w:hAnsiTheme="minorHAnsi" w:cstheme="minorBidi"/>
      <w:i/>
      <w:iCs/>
      <w:color w:val="002C47" w:themeColor="text1"/>
      <w:sz w:val="24"/>
      <w:szCs w:val="22"/>
      <w:lang w:eastAsia="en-US"/>
    </w:rPr>
  </w:style>
  <w:style w:type="paragraph" w:customStyle="1" w:styleId="Recommendations">
    <w:name w:val="Recommendations"/>
    <w:basedOn w:val="Normal"/>
    <w:qFormat/>
    <w:rsid w:val="002272EE"/>
    <w:pPr>
      <w:pBdr>
        <w:top w:val="single" w:sz="8" w:space="6" w:color="auto"/>
        <w:left w:val="single" w:sz="8" w:space="6" w:color="auto"/>
        <w:bottom w:val="single" w:sz="8" w:space="6" w:color="auto"/>
        <w:right w:val="single" w:sz="8" w:space="6" w:color="auto"/>
      </w:pBdr>
      <w:shd w:val="clear" w:color="auto" w:fill="CCE5C6" w:themeFill="accent5" w:themeFillTint="33"/>
      <w:spacing w:before="0" w:after="200" w:line="240" w:lineRule="auto"/>
      <w:jc w:val="both"/>
    </w:pPr>
    <w:rPr>
      <w:rFonts w:asciiTheme="minorHAnsi" w:eastAsiaTheme="minorHAnsi" w:hAnsiTheme="minorHAnsi" w:cstheme="minorBidi"/>
      <w:b/>
      <w:sz w:val="24"/>
      <w:szCs w:val="22"/>
    </w:rPr>
  </w:style>
  <w:style w:type="character" w:styleId="Strong">
    <w:name w:val="Strong"/>
    <w:basedOn w:val="DefaultParagraphFont"/>
    <w:uiPriority w:val="22"/>
    <w:qFormat/>
    <w:rsid w:val="00EE3BFC"/>
    <w:rPr>
      <w:b/>
      <w:bCs/>
    </w:rPr>
  </w:style>
  <w:style w:type="paragraph" w:styleId="NormalWeb">
    <w:name w:val="Normal (Web)"/>
    <w:basedOn w:val="Normal"/>
    <w:uiPriority w:val="99"/>
    <w:semiHidden/>
    <w:unhideWhenUsed/>
    <w:rsid w:val="00EE3BFC"/>
    <w:pPr>
      <w:spacing w:before="0" w:after="0"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EE3BFC"/>
    <w:rPr>
      <w:i/>
      <w:iCs/>
    </w:rPr>
  </w:style>
  <w:style w:type="paragraph" w:styleId="Revision">
    <w:name w:val="Revision"/>
    <w:hidden/>
    <w:uiPriority w:val="99"/>
    <w:semiHidden/>
    <w:rsid w:val="006D58E3"/>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Heading4"/>
    <w:next w:val="Normal"/>
    <w:link w:val="Heading3Char"/>
    <w:qFormat/>
    <w:rsid w:val="00FC641A"/>
    <w:pPr>
      <w:outlineLvl w:val="2"/>
    </w:pPr>
  </w:style>
  <w:style w:type="paragraph" w:styleId="Heading4">
    <w:name w:val="heading 4"/>
    <w:basedOn w:val="Normal"/>
    <w:next w:val="Normal"/>
    <w:link w:val="Heading4Char"/>
    <w:qFormat/>
    <w:rsid w:val="00E57977"/>
    <w:pPr>
      <w:keepNext/>
      <w:keepLines/>
      <w:spacing w:before="360" w:after="120"/>
      <w:outlineLvl w:val="3"/>
    </w:pPr>
    <w:rPr>
      <w:rFonts w:ascii="Arial" w:hAnsi="Arial"/>
      <w:b/>
      <w:bCs/>
      <w:sz w:val="24"/>
      <w:szCs w:val="24"/>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FC641A"/>
    <w:rPr>
      <w:rFonts w:ascii="Arial" w:hAnsi="Arial"/>
      <w:b/>
      <w:bCs/>
      <w:sz w:val="26"/>
      <w:szCs w:val="26"/>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E57977"/>
    <w:rPr>
      <w:rFonts w:ascii="Arial" w:hAnsi="Arial"/>
      <w:b/>
      <w:bCs/>
      <w:sz w:val="24"/>
      <w:szCs w:val="24"/>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3"/>
      </w:numPr>
    </w:pPr>
  </w:style>
  <w:style w:type="paragraph" w:styleId="ListBullet2">
    <w:name w:val="List Bullet 2"/>
    <w:basedOn w:val="Normal"/>
    <w:uiPriority w:val="1"/>
    <w:qFormat/>
    <w:rsid w:val="004B5A6B"/>
    <w:pPr>
      <w:numPr>
        <w:ilvl w:val="1"/>
        <w:numId w:val="3"/>
      </w:numPr>
      <w:ind w:left="850" w:hanging="425"/>
    </w:pPr>
  </w:style>
  <w:style w:type="paragraph" w:styleId="ListBullet3">
    <w:name w:val="List Bullet 3"/>
    <w:basedOn w:val="Normal"/>
    <w:uiPriority w:val="1"/>
    <w:qFormat/>
    <w:rsid w:val="004B5A6B"/>
    <w:pPr>
      <w:numPr>
        <w:ilvl w:val="2"/>
        <w:numId w:val="3"/>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numId w:val="4"/>
      </w:numPr>
    </w:pPr>
  </w:style>
  <w:style w:type="paragraph" w:customStyle="1" w:styleId="Numberbullet3">
    <w:name w:val="Number bullet 3"/>
    <w:basedOn w:val="ListBullet3"/>
    <w:uiPriority w:val="2"/>
    <w:qFormat/>
    <w:rsid w:val="00EE1482"/>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FA095B"/>
    <w:pPr>
      <w:framePr w:hSpace="180" w:wrap="around" w:vAnchor="page" w:hAnchor="margin" w:y="3166"/>
      <w:numPr>
        <w:ilvl w:val="1"/>
      </w:numPr>
      <w:spacing w:before="0" w:after="0"/>
    </w:pPr>
    <w:rPr>
      <w:rFonts w:ascii="Arial" w:eastAsia="Times New Roman" w:hAnsi="Arial"/>
      <w:bCs/>
      <w:iCs/>
      <w:color w:val="006DA7"/>
      <w:sz w:val="40"/>
      <w:szCs w:val="24"/>
      <w:lang w:eastAsia="en-AU"/>
    </w:rPr>
  </w:style>
  <w:style w:type="character" w:customStyle="1" w:styleId="SubtitleChar">
    <w:name w:val="Subtitle Char"/>
    <w:basedOn w:val="DefaultParagraphFont"/>
    <w:link w:val="Subtitle"/>
    <w:uiPriority w:val="11"/>
    <w:rsid w:val="00FA095B"/>
    <w:rPr>
      <w:rFonts w:ascii="Arial" w:eastAsia="Times New Roman" w:hAnsi="Arial"/>
      <w:bCs/>
      <w:iCs/>
      <w:color w:val="006DA7"/>
      <w:sz w:val="40"/>
      <w:szCs w:val="24"/>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1A46B4"/>
    <w:pPr>
      <w:keepLines/>
      <w:spacing w:before="0" w:after="0"/>
    </w:pPr>
    <w:rPr>
      <w:sz w:val="20"/>
    </w:rPr>
  </w:style>
  <w:style w:type="character" w:customStyle="1" w:styleId="FootnoteTextChar">
    <w:name w:val="Footnote Text Char"/>
    <w:basedOn w:val="DefaultParagraphFont"/>
    <w:link w:val="FootnoteText"/>
    <w:uiPriority w:val="99"/>
    <w:rsid w:val="001A46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NoSpacing">
    <w:name w:val="No Spacing"/>
    <w:uiPriority w:val="1"/>
    <w:qFormat/>
    <w:rsid w:val="002272EE"/>
    <w:rPr>
      <w:rFonts w:asciiTheme="minorHAnsi" w:eastAsiaTheme="minorHAnsi" w:hAnsiTheme="minorHAnsi" w:cstheme="minorBidi"/>
      <w:sz w:val="22"/>
      <w:szCs w:val="22"/>
      <w:lang w:eastAsia="en-US"/>
    </w:rPr>
  </w:style>
  <w:style w:type="paragraph" w:customStyle="1" w:styleId="Default">
    <w:name w:val="Default"/>
    <w:rsid w:val="002272EE"/>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272EE"/>
    <w:pPr>
      <w:spacing w:before="0" w:after="200" w:line="240" w:lineRule="auto"/>
      <w:ind w:left="720"/>
      <w:contextualSpacing/>
    </w:pPr>
    <w:rPr>
      <w:rFonts w:asciiTheme="minorHAnsi" w:eastAsiaTheme="minorHAnsi" w:hAnsiTheme="minorHAnsi" w:cstheme="minorBidi"/>
      <w:szCs w:val="22"/>
    </w:rPr>
  </w:style>
  <w:style w:type="paragraph" w:styleId="Quote">
    <w:name w:val="Quote"/>
    <w:basedOn w:val="Normal"/>
    <w:next w:val="Normal"/>
    <w:link w:val="QuoteChar"/>
    <w:uiPriority w:val="29"/>
    <w:qFormat/>
    <w:rsid w:val="002272EE"/>
    <w:pPr>
      <w:spacing w:before="0" w:after="200" w:line="240" w:lineRule="auto"/>
      <w:ind w:left="397" w:right="397"/>
      <w:jc w:val="both"/>
    </w:pPr>
    <w:rPr>
      <w:rFonts w:asciiTheme="minorHAnsi" w:eastAsiaTheme="minorHAnsi" w:hAnsiTheme="minorHAnsi" w:cstheme="minorBidi"/>
      <w:i/>
      <w:iCs/>
      <w:color w:val="002C47" w:themeColor="text1"/>
      <w:sz w:val="24"/>
      <w:szCs w:val="22"/>
    </w:rPr>
  </w:style>
  <w:style w:type="character" w:customStyle="1" w:styleId="QuoteChar">
    <w:name w:val="Quote Char"/>
    <w:basedOn w:val="DefaultParagraphFont"/>
    <w:link w:val="Quote"/>
    <w:uiPriority w:val="29"/>
    <w:rsid w:val="002272EE"/>
    <w:rPr>
      <w:rFonts w:asciiTheme="minorHAnsi" w:eastAsiaTheme="minorHAnsi" w:hAnsiTheme="minorHAnsi" w:cstheme="minorBidi"/>
      <w:i/>
      <w:iCs/>
      <w:color w:val="002C47" w:themeColor="text1"/>
      <w:sz w:val="24"/>
      <w:szCs w:val="22"/>
      <w:lang w:eastAsia="en-US"/>
    </w:rPr>
  </w:style>
  <w:style w:type="paragraph" w:customStyle="1" w:styleId="Recommendations">
    <w:name w:val="Recommendations"/>
    <w:basedOn w:val="Normal"/>
    <w:qFormat/>
    <w:rsid w:val="002272EE"/>
    <w:pPr>
      <w:pBdr>
        <w:top w:val="single" w:sz="8" w:space="6" w:color="auto"/>
        <w:left w:val="single" w:sz="8" w:space="6" w:color="auto"/>
        <w:bottom w:val="single" w:sz="8" w:space="6" w:color="auto"/>
        <w:right w:val="single" w:sz="8" w:space="6" w:color="auto"/>
      </w:pBdr>
      <w:shd w:val="clear" w:color="auto" w:fill="CCE5C6" w:themeFill="accent5" w:themeFillTint="33"/>
      <w:spacing w:before="0" w:after="200" w:line="240" w:lineRule="auto"/>
      <w:jc w:val="both"/>
    </w:pPr>
    <w:rPr>
      <w:rFonts w:asciiTheme="minorHAnsi" w:eastAsiaTheme="minorHAnsi" w:hAnsiTheme="minorHAnsi" w:cstheme="minorBidi"/>
      <w:b/>
      <w:sz w:val="24"/>
      <w:szCs w:val="22"/>
    </w:rPr>
  </w:style>
  <w:style w:type="character" w:styleId="Strong">
    <w:name w:val="Strong"/>
    <w:basedOn w:val="DefaultParagraphFont"/>
    <w:uiPriority w:val="22"/>
    <w:qFormat/>
    <w:rsid w:val="00EE3BFC"/>
    <w:rPr>
      <w:b/>
      <w:bCs/>
    </w:rPr>
  </w:style>
  <w:style w:type="paragraph" w:styleId="NormalWeb">
    <w:name w:val="Normal (Web)"/>
    <w:basedOn w:val="Normal"/>
    <w:uiPriority w:val="99"/>
    <w:semiHidden/>
    <w:unhideWhenUsed/>
    <w:rsid w:val="00EE3BFC"/>
    <w:pPr>
      <w:spacing w:before="0" w:after="0"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EE3BFC"/>
    <w:rPr>
      <w:i/>
      <w:iCs/>
    </w:rPr>
  </w:style>
  <w:style w:type="paragraph" w:styleId="Revision">
    <w:name w:val="Revision"/>
    <w:hidden/>
    <w:uiPriority w:val="99"/>
    <w:semiHidden/>
    <w:rsid w:val="006D58E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9585">
      <w:bodyDiv w:val="1"/>
      <w:marLeft w:val="0"/>
      <w:marRight w:val="0"/>
      <w:marTop w:val="0"/>
      <w:marBottom w:val="0"/>
      <w:divBdr>
        <w:top w:val="none" w:sz="0" w:space="0" w:color="auto"/>
        <w:left w:val="none" w:sz="0" w:space="0" w:color="auto"/>
        <w:bottom w:val="none" w:sz="0" w:space="0" w:color="auto"/>
        <w:right w:val="none" w:sz="0" w:space="0" w:color="auto"/>
      </w:divBdr>
    </w:div>
    <w:div w:id="863985412">
      <w:bodyDiv w:val="1"/>
      <w:marLeft w:val="0"/>
      <w:marRight w:val="0"/>
      <w:marTop w:val="0"/>
      <w:marBottom w:val="0"/>
      <w:divBdr>
        <w:top w:val="none" w:sz="0" w:space="0" w:color="auto"/>
        <w:left w:val="none" w:sz="0" w:space="0" w:color="auto"/>
        <w:bottom w:val="none" w:sz="0" w:space="0" w:color="auto"/>
        <w:right w:val="none" w:sz="0" w:space="0" w:color="auto"/>
      </w:divBdr>
      <w:divsChild>
        <w:div w:id="803158945">
          <w:marLeft w:val="0"/>
          <w:marRight w:val="0"/>
          <w:marTop w:val="0"/>
          <w:marBottom w:val="0"/>
          <w:divBdr>
            <w:top w:val="none" w:sz="0" w:space="0" w:color="auto"/>
            <w:left w:val="none" w:sz="0" w:space="0" w:color="auto"/>
            <w:bottom w:val="none" w:sz="0" w:space="0" w:color="auto"/>
            <w:right w:val="none" w:sz="0" w:space="0" w:color="auto"/>
          </w:divBdr>
          <w:divsChild>
            <w:div w:id="589506717">
              <w:marLeft w:val="0"/>
              <w:marRight w:val="0"/>
              <w:marTop w:val="0"/>
              <w:marBottom w:val="0"/>
              <w:divBdr>
                <w:top w:val="none" w:sz="0" w:space="0" w:color="auto"/>
                <w:left w:val="none" w:sz="0" w:space="0" w:color="auto"/>
                <w:bottom w:val="none" w:sz="0" w:space="0" w:color="auto"/>
                <w:right w:val="none" w:sz="0" w:space="0" w:color="auto"/>
              </w:divBdr>
              <w:divsChild>
                <w:div w:id="418450670">
                  <w:marLeft w:val="0"/>
                  <w:marRight w:val="0"/>
                  <w:marTop w:val="0"/>
                  <w:marBottom w:val="0"/>
                  <w:divBdr>
                    <w:top w:val="none" w:sz="0" w:space="0" w:color="auto"/>
                    <w:left w:val="none" w:sz="0" w:space="0" w:color="auto"/>
                    <w:bottom w:val="none" w:sz="0" w:space="0" w:color="auto"/>
                    <w:right w:val="none" w:sz="0" w:space="0" w:color="auto"/>
                  </w:divBdr>
                  <w:divsChild>
                    <w:div w:id="457844793">
                      <w:marLeft w:val="0"/>
                      <w:marRight w:val="0"/>
                      <w:marTop w:val="0"/>
                      <w:marBottom w:val="0"/>
                      <w:divBdr>
                        <w:top w:val="none" w:sz="0" w:space="0" w:color="auto"/>
                        <w:left w:val="none" w:sz="0" w:space="0" w:color="auto"/>
                        <w:bottom w:val="none" w:sz="0" w:space="0" w:color="auto"/>
                        <w:right w:val="none" w:sz="0" w:space="0" w:color="auto"/>
                      </w:divBdr>
                      <w:divsChild>
                        <w:div w:id="1764104948">
                          <w:marLeft w:val="0"/>
                          <w:marRight w:val="0"/>
                          <w:marTop w:val="0"/>
                          <w:marBottom w:val="0"/>
                          <w:divBdr>
                            <w:top w:val="none" w:sz="0" w:space="0" w:color="auto"/>
                            <w:left w:val="none" w:sz="0" w:space="0" w:color="auto"/>
                            <w:bottom w:val="none" w:sz="0" w:space="0" w:color="auto"/>
                            <w:right w:val="none" w:sz="0" w:space="0" w:color="auto"/>
                          </w:divBdr>
                          <w:divsChild>
                            <w:div w:id="191767984">
                              <w:marLeft w:val="0"/>
                              <w:marRight w:val="0"/>
                              <w:marTop w:val="0"/>
                              <w:marBottom w:val="0"/>
                              <w:divBdr>
                                <w:top w:val="none" w:sz="0" w:space="0" w:color="auto"/>
                                <w:left w:val="none" w:sz="0" w:space="0" w:color="auto"/>
                                <w:bottom w:val="none" w:sz="0" w:space="0" w:color="auto"/>
                                <w:right w:val="none" w:sz="0" w:space="0" w:color="auto"/>
                              </w:divBdr>
                              <w:divsChild>
                                <w:div w:id="644894659">
                                  <w:marLeft w:val="-225"/>
                                  <w:marRight w:val="-225"/>
                                  <w:marTop w:val="0"/>
                                  <w:marBottom w:val="0"/>
                                  <w:divBdr>
                                    <w:top w:val="none" w:sz="0" w:space="0" w:color="auto"/>
                                    <w:left w:val="none" w:sz="0" w:space="0" w:color="auto"/>
                                    <w:bottom w:val="none" w:sz="0" w:space="0" w:color="auto"/>
                                    <w:right w:val="none" w:sz="0" w:space="0" w:color="auto"/>
                                  </w:divBdr>
                                  <w:divsChild>
                                    <w:div w:id="541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37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http://www.fda.gov/MedicalDevices/DeviceRegulationandGuidance/GuidanceDocuments/ucm089643.htm" TargetMode="Externa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da.gov/MedicalDevices/DeviceRegulationandGuidance/GuidanceDocuments/ucm089643.htm" TargetMode="External"/><Relationship Id="rId23" Type="http://schemas.openxmlformats.org/officeDocument/2006/relationships/header" Target="header8.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yperlink" Target="https://www.tga.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tga.copyright@tga.gov.au" TargetMode="Externa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yperlink" Target="mailto:info@tga.gov.au" TargetMode="External"/><Relationship Id="rId35" Type="http://schemas.openxmlformats.org/officeDocument/2006/relationships/footer" Target="footer6.xm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6CBB2-9235-4998-8AF7-34F9B9B0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182</TotalTime>
  <Pages>20</Pages>
  <Words>5256</Words>
  <Characters>29964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Consultation: Accelerated assessment of medical devices - Priority Review pathway - Implementation</vt:lpstr>
    </vt:vector>
  </TitlesOfParts>
  <Company>TGA</Company>
  <LinksUpToDate>false</LinksUpToDate>
  <CharactersWithSpaces>35150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Accelerated assessment of medical devices - Priority Review pathway - Implementation</dc:title>
  <dc:subject>consultation</dc:subject>
  <dc:creator>Therapeutic Goods Administration</dc:creator>
  <cp:keywords>medical devices, consultation</cp:keywords>
  <cp:lastModifiedBy>BIRD, Gail</cp:lastModifiedBy>
  <cp:revision>38</cp:revision>
  <cp:lastPrinted>2016-10-25T23:52:00Z</cp:lastPrinted>
  <dcterms:created xsi:type="dcterms:W3CDTF">2016-10-21T04:43:00Z</dcterms:created>
  <dcterms:modified xsi:type="dcterms:W3CDTF">2018-06-14T23:11:00Z</dcterms:modified>
</cp:coreProperties>
</file>