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2.xml" ContentType="application/vnd.openxmlformats-officedocument.wordprocessingml.footer+xml"/>
  <Override PartName="/word/header57.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7E7F42" w:rsidRPr="009B706B" w:rsidRDefault="007E7F42" w:rsidP="007E7F42">
            <w:pPr>
              <w:pStyle w:val="Title"/>
            </w:pPr>
            <w:bookmarkStart w:id="0" w:name="_GoBack"/>
            <w:bookmarkEnd w:id="0"/>
            <w:r>
              <w:t>Australian regulatory guidelines for OTC medicines</w:t>
            </w:r>
          </w:p>
          <w:p w:rsidR="007E7F42" w:rsidRDefault="007E7F42" w:rsidP="007E7F42">
            <w:pPr>
              <w:pStyle w:val="Subtitle"/>
            </w:pPr>
            <w:r>
              <w:t>(ARGOM)</w:t>
            </w:r>
          </w:p>
          <w:p w:rsidR="006C642F" w:rsidRPr="00DE02AE" w:rsidRDefault="006C642F" w:rsidP="00B76B91">
            <w:pPr>
              <w:pStyle w:val="Subtitle"/>
            </w:pPr>
          </w:p>
        </w:tc>
      </w:tr>
      <w:tr w:rsidR="00DE02AE" w:rsidRPr="00DE02AE" w:rsidTr="00DE02AE">
        <w:trPr>
          <w:trHeight w:val="1197"/>
        </w:trPr>
        <w:tc>
          <w:tcPr>
            <w:tcW w:w="8777" w:type="dxa"/>
          </w:tcPr>
          <w:p w:rsidR="00DE02AE" w:rsidRPr="0014197B" w:rsidRDefault="00D6630F" w:rsidP="006C642F">
            <w:pPr>
              <w:pStyle w:val="Date"/>
            </w:pPr>
            <w:r>
              <w:t>July 2003</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9"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t>About</w:t>
      </w:r>
      <w:r>
        <w:t xml:space="preserve">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BD239E">
        <w:t>medicines</w:t>
      </w:r>
      <w:r>
        <w:t xml:space="preserve"> and medical devices.</w:t>
      </w:r>
    </w:p>
    <w:p w:rsidR="007652FF" w:rsidRDefault="007652FF" w:rsidP="007652FF">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37564C" w:rsidRDefault="008C159F" w:rsidP="007652FF">
      <w:pPr>
        <w:pStyle w:val="ListBullet"/>
      </w:pPr>
      <w:r>
        <w:t>To report a problem with a medicine or medical device, please see the information on the TGA website.</w:t>
      </w:r>
    </w:p>
    <w:p w:rsidR="006F572E" w:rsidRDefault="006F572E" w:rsidP="002F3F56">
      <w:pPr>
        <w:sectPr w:rsidR="006F572E" w:rsidSect="00576378">
          <w:headerReference w:type="even" r:id="rId10"/>
          <w:headerReference w:type="default" r:id="rId11"/>
          <w:footerReference w:type="even" r:id="rId12"/>
          <w:footerReference w:type="default" r:id="rId13"/>
          <w:headerReference w:type="first" r:id="rId14"/>
          <w:footerReference w:type="first" r:id="rId15"/>
          <w:pgSz w:w="11906" w:h="16838" w:code="9"/>
          <w:pgMar w:top="2211" w:right="1701" w:bottom="0" w:left="1701" w:header="907" w:footer="142" w:gutter="0"/>
          <w:cols w:space="708"/>
          <w:titlePg/>
          <w:docGrid w:linePitch="360"/>
        </w:sectPr>
      </w:pPr>
    </w:p>
    <w:p w:rsidR="00C058FF" w:rsidRDefault="00C058FF" w:rsidP="005D5442">
      <w:pPr>
        <w:pStyle w:val="NonTOCHeading2"/>
        <w:sectPr w:rsidR="00C058FF" w:rsidSect="00585322">
          <w:headerReference w:type="even" r:id="rId16"/>
          <w:headerReference w:type="default" r:id="rId17"/>
          <w:footerReference w:type="default" r:id="rId18"/>
          <w:headerReference w:type="first" r:id="rId19"/>
          <w:footerReference w:type="first" r:id="rId20"/>
          <w:pgSz w:w="11906" w:h="16838" w:code="9"/>
          <w:pgMar w:top="2211" w:right="1701" w:bottom="1701" w:left="1701" w:header="907" w:footer="142" w:gutter="0"/>
          <w:cols w:space="708"/>
          <w:docGrid w:linePitch="360"/>
        </w:sectPr>
      </w:pPr>
    </w:p>
    <w:p w:rsidR="009C4BD5" w:rsidRDefault="009B416B" w:rsidP="005D5442">
      <w:pPr>
        <w:pStyle w:val="NonTOCHeading2"/>
      </w:pPr>
      <w:r>
        <w:lastRenderedPageBreak/>
        <w:t>Version history</w:t>
      </w:r>
    </w:p>
    <w:tbl>
      <w:tblPr>
        <w:tblStyle w:val="TableTGA2"/>
        <w:tblW w:w="9038" w:type="dxa"/>
        <w:tblLayout w:type="fixed"/>
        <w:tblLook w:val="04A0" w:firstRow="1" w:lastRow="0" w:firstColumn="1" w:lastColumn="0" w:noHBand="0" w:noVBand="1"/>
      </w:tblPr>
      <w:tblGrid>
        <w:gridCol w:w="1276"/>
        <w:gridCol w:w="3242"/>
        <w:gridCol w:w="2712"/>
        <w:gridCol w:w="1808"/>
      </w:tblGrid>
      <w:tr w:rsidR="009C4BD5" w:rsidTr="009B1D12">
        <w:trPr>
          <w:cnfStyle w:val="100000000000" w:firstRow="1" w:lastRow="0" w:firstColumn="0" w:lastColumn="0" w:oddVBand="0" w:evenVBand="0" w:oddHBand="0" w:evenHBand="0" w:firstRowFirstColumn="0" w:firstRowLastColumn="0" w:lastRowFirstColumn="0" w:lastRowLastColumn="0"/>
        </w:trPr>
        <w:tc>
          <w:tcPr>
            <w:tcW w:w="1276" w:type="dxa"/>
          </w:tcPr>
          <w:p w:rsidR="009C4BD5" w:rsidRDefault="009C4BD5" w:rsidP="0014197B">
            <w:pPr>
              <w:pStyle w:val="TableHeading"/>
            </w:pPr>
            <w:r>
              <w:t>Version</w:t>
            </w:r>
          </w:p>
        </w:tc>
        <w:tc>
          <w:tcPr>
            <w:tcW w:w="3242" w:type="dxa"/>
          </w:tcPr>
          <w:p w:rsidR="009C4BD5" w:rsidRDefault="009C4BD5" w:rsidP="0014197B">
            <w:pPr>
              <w:pStyle w:val="TableHeading"/>
            </w:pPr>
            <w:r>
              <w:t>Description of change</w:t>
            </w:r>
          </w:p>
        </w:tc>
        <w:tc>
          <w:tcPr>
            <w:tcW w:w="2712" w:type="dxa"/>
          </w:tcPr>
          <w:p w:rsidR="009C4BD5" w:rsidRDefault="009C4BD5" w:rsidP="0014197B">
            <w:pPr>
              <w:pStyle w:val="TableHeading"/>
            </w:pPr>
            <w:r>
              <w:t>Author</w:t>
            </w:r>
          </w:p>
        </w:tc>
        <w:tc>
          <w:tcPr>
            <w:tcW w:w="1808" w:type="dxa"/>
          </w:tcPr>
          <w:p w:rsidR="009C4BD5" w:rsidRDefault="00922D53" w:rsidP="0014197B">
            <w:pPr>
              <w:pStyle w:val="TableHeading"/>
            </w:pPr>
            <w:r>
              <w:t>E</w:t>
            </w:r>
            <w:r w:rsidR="009C4BD5">
              <w:t>ffective date</w:t>
            </w:r>
          </w:p>
        </w:tc>
      </w:tr>
      <w:tr w:rsidR="009C4BD5" w:rsidTr="009B1D12">
        <w:trPr>
          <w:trHeight w:val="1418"/>
        </w:trPr>
        <w:tc>
          <w:tcPr>
            <w:tcW w:w="1276" w:type="dxa"/>
          </w:tcPr>
          <w:p w:rsidR="009C4BD5" w:rsidRDefault="009C4BD5" w:rsidP="0014197B">
            <w:r>
              <w:t>V1.0</w:t>
            </w:r>
          </w:p>
        </w:tc>
        <w:tc>
          <w:tcPr>
            <w:tcW w:w="3242" w:type="dxa"/>
          </w:tcPr>
          <w:p w:rsidR="009C4BD5" w:rsidRDefault="004F019C" w:rsidP="0014197B">
            <w:r>
              <w:t>Initial Publication</w:t>
            </w:r>
          </w:p>
        </w:tc>
        <w:tc>
          <w:tcPr>
            <w:tcW w:w="2712" w:type="dxa"/>
          </w:tcPr>
          <w:p w:rsidR="009C4BD5" w:rsidRDefault="004F019C" w:rsidP="0014197B">
            <w:r>
              <w:t>ONPM</w:t>
            </w:r>
          </w:p>
        </w:tc>
        <w:tc>
          <w:tcPr>
            <w:tcW w:w="1808" w:type="dxa"/>
          </w:tcPr>
          <w:p w:rsidR="009C4BD5" w:rsidRDefault="004F019C" w:rsidP="0014197B">
            <w:r>
              <w:t>01/07/03</w:t>
            </w:r>
          </w:p>
        </w:tc>
      </w:tr>
      <w:tr w:rsidR="009C4BD5" w:rsidTr="009B1D12">
        <w:trPr>
          <w:trHeight w:val="1418"/>
        </w:trPr>
        <w:tc>
          <w:tcPr>
            <w:tcW w:w="1276" w:type="dxa"/>
          </w:tcPr>
          <w:p w:rsidR="009C4BD5" w:rsidRDefault="009C4BD5" w:rsidP="0014197B">
            <w:r>
              <w:t>V1.1</w:t>
            </w:r>
          </w:p>
        </w:tc>
        <w:tc>
          <w:tcPr>
            <w:tcW w:w="3242" w:type="dxa"/>
          </w:tcPr>
          <w:p w:rsidR="009C4BD5" w:rsidRDefault="00BF3D61" w:rsidP="0014197B">
            <w:r>
              <w:t>Transferred</w:t>
            </w:r>
            <w:r w:rsidR="004F019C">
              <w:t xml:space="preserve"> to new template</w:t>
            </w:r>
          </w:p>
          <w:p w:rsidR="00262B9C" w:rsidRDefault="00262B9C" w:rsidP="0014197B">
            <w:r>
              <w:t>Corrected hyperlinks</w:t>
            </w:r>
          </w:p>
        </w:tc>
        <w:tc>
          <w:tcPr>
            <w:tcW w:w="2712" w:type="dxa"/>
          </w:tcPr>
          <w:p w:rsidR="009C4BD5" w:rsidRDefault="004F019C" w:rsidP="0014197B">
            <w:r>
              <w:t>OPSS</w:t>
            </w:r>
          </w:p>
        </w:tc>
        <w:tc>
          <w:tcPr>
            <w:tcW w:w="1808" w:type="dxa"/>
          </w:tcPr>
          <w:p w:rsidR="009C4BD5" w:rsidRDefault="00262B9C" w:rsidP="00262B9C">
            <w:r>
              <w:t>04</w:t>
            </w:r>
            <w:r w:rsidR="004F019C">
              <w:t>/0</w:t>
            </w:r>
            <w:r>
              <w:t>5</w:t>
            </w:r>
            <w:r w:rsidR="004F019C">
              <w:t>/11</w:t>
            </w:r>
          </w:p>
        </w:tc>
      </w:tr>
      <w:tr w:rsidR="00803CDA" w:rsidTr="009B1D12">
        <w:trPr>
          <w:trHeight w:val="1418"/>
        </w:trPr>
        <w:tc>
          <w:tcPr>
            <w:tcW w:w="1276" w:type="dxa"/>
          </w:tcPr>
          <w:p w:rsidR="00803CDA" w:rsidRDefault="00803CDA" w:rsidP="0014197B">
            <w:r>
              <w:t>V1.2</w:t>
            </w:r>
          </w:p>
        </w:tc>
        <w:tc>
          <w:tcPr>
            <w:tcW w:w="3242" w:type="dxa"/>
          </w:tcPr>
          <w:p w:rsidR="00803CDA" w:rsidRDefault="00C766AB" w:rsidP="0014197B">
            <w:r>
              <w:t>Amend</w:t>
            </w:r>
            <w:r w:rsidR="00803CDA">
              <w:t>ment of Chapter 5C</w:t>
            </w:r>
          </w:p>
        </w:tc>
        <w:tc>
          <w:tcPr>
            <w:tcW w:w="2712" w:type="dxa"/>
          </w:tcPr>
          <w:p w:rsidR="00803CDA" w:rsidRDefault="00803CDA" w:rsidP="0014197B">
            <w:r>
              <w:t>MAG – OTCME</w:t>
            </w:r>
          </w:p>
        </w:tc>
        <w:tc>
          <w:tcPr>
            <w:tcW w:w="1808" w:type="dxa"/>
          </w:tcPr>
          <w:p w:rsidR="00803CDA" w:rsidRDefault="00803CDA" w:rsidP="00262B9C">
            <w:r>
              <w:t>02/06/2011</w:t>
            </w:r>
          </w:p>
        </w:tc>
      </w:tr>
      <w:tr w:rsidR="00C766AB" w:rsidTr="009B1D12">
        <w:trPr>
          <w:trHeight w:val="1418"/>
        </w:trPr>
        <w:tc>
          <w:tcPr>
            <w:tcW w:w="1276" w:type="dxa"/>
          </w:tcPr>
          <w:p w:rsidR="00C766AB" w:rsidRDefault="00C766AB" w:rsidP="0014197B">
            <w:r>
              <w:t>V1.3</w:t>
            </w:r>
          </w:p>
        </w:tc>
        <w:tc>
          <w:tcPr>
            <w:tcW w:w="3242" w:type="dxa"/>
          </w:tcPr>
          <w:p w:rsidR="00C766AB" w:rsidRPr="00C766AB" w:rsidRDefault="00C766AB" w:rsidP="00C766AB">
            <w:pPr>
              <w:autoSpaceDE w:val="0"/>
              <w:autoSpaceDN w:val="0"/>
              <w:adjustRightInd w:val="0"/>
              <w:spacing w:after="60" w:line="240" w:lineRule="auto"/>
              <w:ind w:left="360"/>
              <w:rPr>
                <w:szCs w:val="24"/>
              </w:rPr>
            </w:pPr>
            <w:r>
              <w:t xml:space="preserve">Amendment to </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 Quality</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4A Manufacture</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4B Formulation</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4C Starting material specification</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4D Finished product specification</w:t>
            </w:r>
          </w:p>
          <w:p w:rsidR="00C766AB" w:rsidRDefault="00C766AB" w:rsidP="00C766AB">
            <w:pPr>
              <w:numPr>
                <w:ilvl w:val="0"/>
                <w:numId w:val="37"/>
              </w:numPr>
              <w:autoSpaceDE w:val="0"/>
              <w:autoSpaceDN w:val="0"/>
              <w:adjustRightInd w:val="0"/>
              <w:spacing w:after="60" w:line="240" w:lineRule="auto"/>
              <w:rPr>
                <w:szCs w:val="24"/>
              </w:rPr>
            </w:pPr>
            <w:r w:rsidRPr="008D743E">
              <w:rPr>
                <w:szCs w:val="24"/>
              </w:rPr>
              <w:t>4E Stability testi</w:t>
            </w:r>
            <w:r>
              <w:rPr>
                <w:szCs w:val="24"/>
              </w:rPr>
              <w:t>ng</w:t>
            </w:r>
          </w:p>
          <w:p w:rsidR="00C766AB" w:rsidRDefault="00C766AB" w:rsidP="00C766AB">
            <w:pPr>
              <w:numPr>
                <w:ilvl w:val="0"/>
                <w:numId w:val="37"/>
              </w:numPr>
              <w:autoSpaceDE w:val="0"/>
              <w:autoSpaceDN w:val="0"/>
              <w:adjustRightInd w:val="0"/>
              <w:spacing w:after="60" w:line="240" w:lineRule="auto"/>
              <w:rPr>
                <w:szCs w:val="24"/>
              </w:rPr>
            </w:pPr>
            <w:r w:rsidRPr="00C766AB">
              <w:rPr>
                <w:szCs w:val="24"/>
              </w:rPr>
              <w:t>4F Microbioloigcal testing</w:t>
            </w:r>
          </w:p>
          <w:p w:rsidR="00C766AB" w:rsidRDefault="00C766AB" w:rsidP="00C766AB">
            <w:pPr>
              <w:numPr>
                <w:ilvl w:val="0"/>
                <w:numId w:val="38"/>
              </w:numPr>
              <w:autoSpaceDE w:val="0"/>
              <w:autoSpaceDN w:val="0"/>
              <w:adjustRightInd w:val="0"/>
              <w:spacing w:after="60" w:line="240" w:lineRule="auto"/>
              <w:rPr>
                <w:szCs w:val="24"/>
              </w:rPr>
            </w:pPr>
            <w:r w:rsidRPr="0048417F">
              <w:rPr>
                <w:szCs w:val="24"/>
              </w:rPr>
              <w:t>5A Product name</w:t>
            </w:r>
          </w:p>
          <w:p w:rsidR="00C766AB" w:rsidRDefault="00C766AB" w:rsidP="00C766AB">
            <w:pPr>
              <w:numPr>
                <w:ilvl w:val="0"/>
                <w:numId w:val="38"/>
              </w:numPr>
              <w:autoSpaceDE w:val="0"/>
              <w:autoSpaceDN w:val="0"/>
              <w:adjustRightInd w:val="0"/>
              <w:spacing w:after="60" w:line="240" w:lineRule="auto"/>
              <w:rPr>
                <w:szCs w:val="24"/>
              </w:rPr>
            </w:pPr>
            <w:r w:rsidRPr="0048417F">
              <w:rPr>
                <w:szCs w:val="24"/>
              </w:rPr>
              <w:t>5B Labelling</w:t>
            </w:r>
          </w:p>
          <w:p w:rsidR="00C766AB" w:rsidRDefault="00C766AB" w:rsidP="00C766AB">
            <w:pPr>
              <w:numPr>
                <w:ilvl w:val="0"/>
                <w:numId w:val="38"/>
              </w:numPr>
              <w:autoSpaceDE w:val="0"/>
              <w:autoSpaceDN w:val="0"/>
              <w:adjustRightInd w:val="0"/>
              <w:spacing w:after="60" w:line="240" w:lineRule="auto"/>
              <w:rPr>
                <w:szCs w:val="24"/>
              </w:rPr>
            </w:pPr>
            <w:r w:rsidRPr="0048417F">
              <w:rPr>
                <w:szCs w:val="24"/>
              </w:rPr>
              <w:t>5C Product Information</w:t>
            </w:r>
          </w:p>
          <w:p w:rsidR="00C766AB" w:rsidRDefault="00C766AB" w:rsidP="00C766AB">
            <w:pPr>
              <w:numPr>
                <w:ilvl w:val="0"/>
                <w:numId w:val="38"/>
              </w:numPr>
              <w:autoSpaceDE w:val="0"/>
              <w:autoSpaceDN w:val="0"/>
              <w:adjustRightInd w:val="0"/>
              <w:spacing w:after="60" w:line="240" w:lineRule="auto"/>
              <w:rPr>
                <w:szCs w:val="24"/>
              </w:rPr>
            </w:pPr>
            <w:r w:rsidRPr="0048417F">
              <w:rPr>
                <w:szCs w:val="24"/>
              </w:rPr>
              <w:t>5D Consumer Medicines Information</w:t>
            </w:r>
          </w:p>
          <w:p w:rsidR="00C766AB" w:rsidRDefault="00C766AB" w:rsidP="00C766AB">
            <w:pPr>
              <w:numPr>
                <w:ilvl w:val="0"/>
                <w:numId w:val="37"/>
              </w:numPr>
              <w:autoSpaceDE w:val="0"/>
              <w:autoSpaceDN w:val="0"/>
              <w:adjustRightInd w:val="0"/>
              <w:spacing w:after="60" w:line="240" w:lineRule="auto"/>
              <w:rPr>
                <w:szCs w:val="24"/>
              </w:rPr>
            </w:pPr>
            <w:r w:rsidRPr="0048417F">
              <w:rPr>
                <w:szCs w:val="24"/>
              </w:rPr>
              <w:t>5E Changes to Scheduling</w:t>
            </w:r>
          </w:p>
          <w:p w:rsidR="00C766AB" w:rsidRDefault="00C766AB" w:rsidP="00C766AB">
            <w:pPr>
              <w:numPr>
                <w:ilvl w:val="0"/>
                <w:numId w:val="37"/>
              </w:numPr>
              <w:autoSpaceDE w:val="0"/>
              <w:autoSpaceDN w:val="0"/>
              <w:adjustRightInd w:val="0"/>
              <w:spacing w:after="60" w:line="240" w:lineRule="auto"/>
              <w:rPr>
                <w:szCs w:val="24"/>
              </w:rPr>
            </w:pPr>
            <w:r>
              <w:rPr>
                <w:szCs w:val="24"/>
              </w:rPr>
              <w:t>6A Efficacy and safety;</w:t>
            </w:r>
          </w:p>
          <w:p w:rsidR="00C766AB" w:rsidRDefault="00C766AB" w:rsidP="00C766AB">
            <w:pPr>
              <w:numPr>
                <w:ilvl w:val="0"/>
                <w:numId w:val="37"/>
              </w:numPr>
              <w:autoSpaceDE w:val="0"/>
              <w:autoSpaceDN w:val="0"/>
              <w:adjustRightInd w:val="0"/>
              <w:spacing w:after="60" w:line="240" w:lineRule="auto"/>
              <w:rPr>
                <w:szCs w:val="24"/>
              </w:rPr>
            </w:pPr>
            <w:r>
              <w:rPr>
                <w:szCs w:val="24"/>
              </w:rPr>
              <w:t>6B New substances</w:t>
            </w:r>
          </w:p>
          <w:p w:rsidR="00C766AB" w:rsidRPr="00C766AB" w:rsidRDefault="00C766AB" w:rsidP="00C766AB">
            <w:pPr>
              <w:numPr>
                <w:ilvl w:val="0"/>
                <w:numId w:val="37"/>
              </w:numPr>
              <w:autoSpaceDE w:val="0"/>
              <w:autoSpaceDN w:val="0"/>
              <w:adjustRightInd w:val="0"/>
              <w:spacing w:after="60" w:line="240" w:lineRule="auto"/>
              <w:rPr>
                <w:szCs w:val="24"/>
              </w:rPr>
            </w:pPr>
            <w:r>
              <w:rPr>
                <w:szCs w:val="24"/>
              </w:rPr>
              <w:t>9 MEC Guidelines</w:t>
            </w:r>
          </w:p>
        </w:tc>
        <w:tc>
          <w:tcPr>
            <w:tcW w:w="2712" w:type="dxa"/>
          </w:tcPr>
          <w:p w:rsidR="00C766AB" w:rsidRDefault="00C766AB" w:rsidP="0014197B">
            <w:r>
              <w:t>MAG -OTCME</w:t>
            </w:r>
          </w:p>
        </w:tc>
        <w:tc>
          <w:tcPr>
            <w:tcW w:w="1808" w:type="dxa"/>
          </w:tcPr>
          <w:p w:rsidR="00C766AB" w:rsidRDefault="00C766AB" w:rsidP="00262B9C">
            <w:r>
              <w:t>xxxxx</w:t>
            </w:r>
          </w:p>
        </w:tc>
      </w:tr>
    </w:tbl>
    <w:p w:rsidR="009C4BD5" w:rsidRDefault="009C4BD5" w:rsidP="009C4BD5"/>
    <w:p w:rsidR="009C4BD5" w:rsidRDefault="009C4BD5" w:rsidP="009C4BD5">
      <w:r>
        <w:br w:type="page"/>
      </w:r>
    </w:p>
    <w:p w:rsidR="000B103F" w:rsidRDefault="000B103F" w:rsidP="000B103F">
      <w:pPr>
        <w:pStyle w:val="Heading1"/>
      </w:pPr>
      <w:bookmarkStart w:id="1" w:name="_Toc310280464"/>
      <w:r>
        <w:lastRenderedPageBreak/>
        <w:t>Foreword</w:t>
      </w:r>
      <w:bookmarkEnd w:id="1"/>
    </w:p>
    <w:p w:rsidR="000B103F" w:rsidRDefault="000B103F" w:rsidP="00503F19">
      <w:pPr>
        <w:pStyle w:val="NonTOCHeading2"/>
      </w:pPr>
      <w:r>
        <w:t>Australian Regulatory Guidelines for OTC Medicines</w:t>
      </w:r>
    </w:p>
    <w:p w:rsidR="0037564C" w:rsidRPr="00503F19" w:rsidRDefault="000B103F" w:rsidP="00503F19">
      <w:pPr>
        <w:rPr>
          <w:b/>
        </w:rPr>
      </w:pPr>
      <w:r w:rsidRPr="00503F19">
        <w:rPr>
          <w:b/>
        </w:rPr>
        <w:t>July 2003</w:t>
      </w:r>
    </w:p>
    <w:p w:rsidR="0037564C" w:rsidRPr="0037564C" w:rsidRDefault="0037564C" w:rsidP="0037564C"/>
    <w:p w:rsidR="0037564C" w:rsidRDefault="000B103F" w:rsidP="000B103F">
      <w:r>
        <w:t xml:space="preserve">These Guidelines describe the information to be supplied with an application for registration of OTC (over-the-counter) medicines in the Australian Register of Therapeutic Goods (ARTG). These medicines will be subject to evaluation by the Non-prescription Medicines Branch of the Therapeutic Goods Administration, in accordance with Section 25 of the </w:t>
      </w:r>
      <w:r>
        <w:rPr>
          <w:i/>
        </w:rPr>
        <w:t>Therapeutic Goods Act 1989</w:t>
      </w:r>
      <w:r>
        <w:t>.</w:t>
      </w:r>
    </w:p>
    <w:p w:rsidR="0037564C" w:rsidRDefault="0037564C" w:rsidP="000B103F"/>
    <w:p w:rsidR="0037564C" w:rsidRDefault="000B103F" w:rsidP="000B103F">
      <w:r>
        <w:t xml:space="preserve">This information will enable the determination of the application for registration and, accordingly, the Guidelines are approved for the purposes of subsection 23(2) of the </w:t>
      </w:r>
      <w:r>
        <w:rPr>
          <w:i/>
        </w:rPr>
        <w:t>Therapeutic Goods Act 1989</w:t>
      </w:r>
      <w:r>
        <w:t xml:space="preserve"> with effect from 1 July 2003. </w:t>
      </w:r>
    </w:p>
    <w:p w:rsidR="0037564C" w:rsidRDefault="0037564C" w:rsidP="000B103F"/>
    <w:p w:rsidR="0037564C" w:rsidRDefault="000B103F" w:rsidP="000B103F">
      <w:r>
        <w:t xml:space="preserve">The Guidelines also give guidance on the information required to be submitted for consideration of applications to vary information about therapeutic goods included in the Register, which are made under subsection 9D(1), (2) or (3) of the </w:t>
      </w:r>
      <w:r>
        <w:rPr>
          <w:i/>
        </w:rPr>
        <w:t>Therapeutic Goods Act 1989</w:t>
      </w:r>
      <w:r>
        <w:t>.</w:t>
      </w:r>
    </w:p>
    <w:p w:rsidR="0037564C" w:rsidRDefault="0037564C" w:rsidP="000B103F"/>
    <w:p w:rsidR="000B103F" w:rsidRDefault="000B103F" w:rsidP="000B103F"/>
    <w:p w:rsidR="0037564C" w:rsidRDefault="0037564C" w:rsidP="000B103F"/>
    <w:p w:rsidR="000B103F" w:rsidRDefault="000B103F" w:rsidP="000B103F">
      <w:r>
        <w:t>Terry Slater</w:t>
      </w:r>
    </w:p>
    <w:p w:rsidR="000B103F" w:rsidRDefault="000B103F" w:rsidP="000B103F">
      <w:r>
        <w:t>National Manager</w:t>
      </w:r>
    </w:p>
    <w:p w:rsidR="000B103F" w:rsidRDefault="000B103F" w:rsidP="000B103F">
      <w:r>
        <w:t>Therapeutic Goods Administration</w:t>
      </w:r>
    </w:p>
    <w:p w:rsidR="00613231" w:rsidRDefault="000B103F" w:rsidP="000B103F">
      <w:r>
        <w:t>(Delegate of the Secretary)</w:t>
      </w:r>
    </w:p>
    <w:p w:rsidR="000B103F" w:rsidRDefault="000B103F" w:rsidP="000B103F">
      <w:r>
        <w:t>June 2003</w:t>
      </w:r>
    </w:p>
    <w:p w:rsidR="000B103F" w:rsidRDefault="000B103F">
      <w:pPr>
        <w:spacing w:after="200" w:line="0" w:lineRule="auto"/>
        <w:rPr>
          <w:rFonts w:asciiTheme="majorHAnsi" w:hAnsiTheme="majorHAnsi"/>
          <w:b/>
          <w:sz w:val="64"/>
        </w:rPr>
      </w:pPr>
      <w:r>
        <w:br w:type="page"/>
      </w:r>
    </w:p>
    <w:p w:rsidR="008C159F" w:rsidRDefault="004564A7" w:rsidP="004564A7">
      <w:pPr>
        <w:pStyle w:val="Contents"/>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887A39" w:rsidRDefault="00887A39">
          <w:pPr>
            <w:pStyle w:val="TOC1"/>
            <w:rPr>
              <w:rFonts w:asciiTheme="minorHAnsi" w:eastAsiaTheme="minorEastAsia" w:hAnsiTheme="minorHAnsi"/>
              <w:b w:val="0"/>
              <w:noProof/>
              <w:sz w:val="22"/>
              <w:lang w:eastAsia="en-AU"/>
            </w:rPr>
          </w:pPr>
          <w:r>
            <w:fldChar w:fldCharType="begin"/>
          </w:r>
          <w:r>
            <w:instrText xml:space="preserve"> TOC \o "1-3" \h \z \u </w:instrText>
          </w:r>
          <w:r>
            <w:fldChar w:fldCharType="separate"/>
          </w:r>
          <w:hyperlink w:anchor="_Toc310280464" w:history="1">
            <w:r w:rsidRPr="00F627F4">
              <w:rPr>
                <w:rStyle w:val="Hyperlink"/>
                <w:noProof/>
              </w:rPr>
              <w:t>Foreword</w:t>
            </w:r>
            <w:r>
              <w:rPr>
                <w:noProof/>
                <w:webHidden/>
              </w:rPr>
              <w:tab/>
            </w:r>
            <w:r>
              <w:rPr>
                <w:noProof/>
                <w:webHidden/>
              </w:rPr>
              <w:fldChar w:fldCharType="begin"/>
            </w:r>
            <w:r>
              <w:rPr>
                <w:noProof/>
                <w:webHidden/>
              </w:rPr>
              <w:instrText xml:space="preserve"> PAGEREF _Toc310280464 \h </w:instrText>
            </w:r>
            <w:r>
              <w:rPr>
                <w:noProof/>
                <w:webHidden/>
              </w:rPr>
            </w:r>
            <w:r>
              <w:rPr>
                <w:noProof/>
                <w:webHidden/>
              </w:rPr>
              <w:fldChar w:fldCharType="separate"/>
            </w:r>
            <w:r>
              <w:rPr>
                <w:noProof/>
                <w:webHidden/>
              </w:rPr>
              <w:t>4</w:t>
            </w:r>
            <w:r>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465" w:history="1">
            <w:r w:rsidR="00887A39" w:rsidRPr="00F627F4">
              <w:rPr>
                <w:rStyle w:val="Hyperlink"/>
                <w:noProof/>
              </w:rPr>
              <w:t>1.</w:t>
            </w:r>
            <w:r w:rsidR="00887A39">
              <w:rPr>
                <w:rFonts w:asciiTheme="minorHAnsi" w:eastAsiaTheme="minorEastAsia" w:hAnsiTheme="minorHAnsi"/>
                <w:b w:val="0"/>
                <w:noProof/>
                <w:sz w:val="22"/>
                <w:lang w:eastAsia="en-AU"/>
              </w:rPr>
              <w:tab/>
            </w:r>
            <w:r w:rsidR="00887A39" w:rsidRPr="00F627F4">
              <w:rPr>
                <w:rStyle w:val="Hyperlink"/>
                <w:noProof/>
              </w:rPr>
              <w:t>Introduction</w:t>
            </w:r>
            <w:r w:rsidR="00887A39">
              <w:rPr>
                <w:noProof/>
                <w:webHidden/>
              </w:rPr>
              <w:tab/>
            </w:r>
            <w:r w:rsidR="00887A39">
              <w:rPr>
                <w:noProof/>
                <w:webHidden/>
              </w:rPr>
              <w:fldChar w:fldCharType="begin"/>
            </w:r>
            <w:r w:rsidR="00887A39">
              <w:rPr>
                <w:noProof/>
                <w:webHidden/>
              </w:rPr>
              <w:instrText xml:space="preserve"> PAGEREF _Toc310280465 \h </w:instrText>
            </w:r>
            <w:r w:rsidR="00887A39">
              <w:rPr>
                <w:noProof/>
                <w:webHidden/>
              </w:rPr>
            </w:r>
            <w:r w:rsidR="00887A39">
              <w:rPr>
                <w:noProof/>
                <w:webHidden/>
              </w:rPr>
              <w:fldChar w:fldCharType="separate"/>
            </w:r>
            <w:r w:rsidR="00887A39">
              <w:rPr>
                <w:noProof/>
                <w:webHidden/>
              </w:rPr>
              <w:t>9</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466" w:history="1">
            <w:r w:rsidR="00887A39" w:rsidRPr="00F627F4">
              <w:rPr>
                <w:rStyle w:val="Hyperlink"/>
                <w:noProof/>
              </w:rPr>
              <w:t>2.</w:t>
            </w:r>
            <w:r w:rsidR="00887A39">
              <w:rPr>
                <w:rFonts w:asciiTheme="minorHAnsi" w:eastAsiaTheme="minorEastAsia" w:hAnsiTheme="minorHAnsi"/>
                <w:b w:val="0"/>
                <w:noProof/>
                <w:sz w:val="22"/>
                <w:lang w:eastAsia="en-AU"/>
              </w:rPr>
              <w:tab/>
            </w:r>
            <w:r w:rsidR="00887A39" w:rsidRPr="00F627F4">
              <w:rPr>
                <w:rStyle w:val="Hyperlink"/>
                <w:noProof/>
              </w:rPr>
              <w:t>Overview</w:t>
            </w:r>
            <w:r w:rsidR="00887A39">
              <w:rPr>
                <w:noProof/>
                <w:webHidden/>
              </w:rPr>
              <w:tab/>
            </w:r>
            <w:r w:rsidR="00887A39">
              <w:rPr>
                <w:noProof/>
                <w:webHidden/>
              </w:rPr>
              <w:fldChar w:fldCharType="begin"/>
            </w:r>
            <w:r w:rsidR="00887A39">
              <w:rPr>
                <w:noProof/>
                <w:webHidden/>
              </w:rPr>
              <w:instrText xml:space="preserve"> PAGEREF _Toc310280466 \h </w:instrText>
            </w:r>
            <w:r w:rsidR="00887A39">
              <w:rPr>
                <w:noProof/>
                <w:webHidden/>
              </w:rPr>
            </w:r>
            <w:r w:rsidR="00887A39">
              <w:rPr>
                <w:noProof/>
                <w:webHidden/>
              </w:rPr>
              <w:fldChar w:fldCharType="separate"/>
            </w:r>
            <w:r w:rsidR="00887A39">
              <w:rPr>
                <w:noProof/>
                <w:webHidden/>
              </w:rPr>
              <w:t>10</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67" w:history="1">
            <w:r w:rsidR="00887A39" w:rsidRPr="00F627F4">
              <w:rPr>
                <w:rStyle w:val="Hyperlink"/>
                <w:noProof/>
              </w:rPr>
              <w:t>Therapeutic Goods</w:t>
            </w:r>
            <w:r w:rsidR="00887A39">
              <w:rPr>
                <w:noProof/>
                <w:webHidden/>
              </w:rPr>
              <w:tab/>
            </w:r>
            <w:r w:rsidR="00887A39">
              <w:rPr>
                <w:noProof/>
                <w:webHidden/>
              </w:rPr>
              <w:fldChar w:fldCharType="begin"/>
            </w:r>
            <w:r w:rsidR="00887A39">
              <w:rPr>
                <w:noProof/>
                <w:webHidden/>
              </w:rPr>
              <w:instrText xml:space="preserve"> PAGEREF _Toc310280467 \h </w:instrText>
            </w:r>
            <w:r w:rsidR="00887A39">
              <w:rPr>
                <w:noProof/>
                <w:webHidden/>
              </w:rPr>
            </w:r>
            <w:r w:rsidR="00887A39">
              <w:rPr>
                <w:noProof/>
                <w:webHidden/>
              </w:rPr>
              <w:fldChar w:fldCharType="separate"/>
            </w:r>
            <w:r w:rsidR="00887A39">
              <w:rPr>
                <w:noProof/>
                <w:webHidden/>
              </w:rPr>
              <w:t>10</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68" w:history="1">
            <w:r w:rsidR="00887A39" w:rsidRPr="00F627F4">
              <w:rPr>
                <w:rStyle w:val="Hyperlink"/>
                <w:noProof/>
              </w:rPr>
              <w:t>Route of evaluation</w:t>
            </w:r>
            <w:r w:rsidR="00887A39">
              <w:rPr>
                <w:noProof/>
                <w:webHidden/>
              </w:rPr>
              <w:tab/>
            </w:r>
            <w:r w:rsidR="00887A39">
              <w:rPr>
                <w:noProof/>
                <w:webHidden/>
              </w:rPr>
              <w:fldChar w:fldCharType="begin"/>
            </w:r>
            <w:r w:rsidR="00887A39">
              <w:rPr>
                <w:noProof/>
                <w:webHidden/>
              </w:rPr>
              <w:instrText xml:space="preserve"> PAGEREF _Toc310280468 \h </w:instrText>
            </w:r>
            <w:r w:rsidR="00887A39">
              <w:rPr>
                <w:noProof/>
                <w:webHidden/>
              </w:rPr>
            </w:r>
            <w:r w:rsidR="00887A39">
              <w:rPr>
                <w:noProof/>
                <w:webHidden/>
              </w:rPr>
              <w:fldChar w:fldCharType="separate"/>
            </w:r>
            <w:r w:rsidR="00887A39">
              <w:rPr>
                <w:noProof/>
                <w:webHidden/>
              </w:rPr>
              <w:t>10</w:t>
            </w:r>
            <w:r w:rsidR="00887A39">
              <w:rPr>
                <w:noProof/>
                <w:webHidden/>
              </w:rPr>
              <w:fldChar w:fldCharType="end"/>
            </w:r>
          </w:hyperlink>
        </w:p>
        <w:p w:rsidR="00887A39" w:rsidRDefault="008453CD">
          <w:pPr>
            <w:pStyle w:val="TOC3"/>
            <w:rPr>
              <w:rFonts w:eastAsiaTheme="minorEastAsia"/>
              <w:noProof/>
              <w:sz w:val="22"/>
              <w:lang w:eastAsia="en-AU"/>
            </w:rPr>
          </w:pPr>
          <w:hyperlink w:anchor="_Toc310280469" w:history="1">
            <w:r w:rsidR="00887A39" w:rsidRPr="00F627F4">
              <w:rPr>
                <w:rStyle w:val="Hyperlink"/>
                <w:noProof/>
              </w:rPr>
              <w:t>DSEB to OTC or OCM</w:t>
            </w:r>
            <w:r w:rsidR="00887A39">
              <w:rPr>
                <w:noProof/>
                <w:webHidden/>
              </w:rPr>
              <w:tab/>
            </w:r>
            <w:r w:rsidR="00887A39">
              <w:rPr>
                <w:noProof/>
                <w:webHidden/>
              </w:rPr>
              <w:fldChar w:fldCharType="begin"/>
            </w:r>
            <w:r w:rsidR="00887A39">
              <w:rPr>
                <w:noProof/>
                <w:webHidden/>
              </w:rPr>
              <w:instrText xml:space="preserve"> PAGEREF _Toc310280469 \h </w:instrText>
            </w:r>
            <w:r w:rsidR="00887A39">
              <w:rPr>
                <w:noProof/>
                <w:webHidden/>
              </w:rPr>
            </w:r>
            <w:r w:rsidR="00887A39">
              <w:rPr>
                <w:noProof/>
                <w:webHidden/>
              </w:rPr>
              <w:fldChar w:fldCharType="separate"/>
            </w:r>
            <w:r w:rsidR="00887A39">
              <w:rPr>
                <w:noProof/>
                <w:webHidden/>
              </w:rPr>
              <w:t>11</w:t>
            </w:r>
            <w:r w:rsidR="00887A39">
              <w:rPr>
                <w:noProof/>
                <w:webHidden/>
              </w:rPr>
              <w:fldChar w:fldCharType="end"/>
            </w:r>
          </w:hyperlink>
        </w:p>
        <w:p w:rsidR="00887A39" w:rsidRDefault="008453CD">
          <w:pPr>
            <w:pStyle w:val="TOC3"/>
            <w:rPr>
              <w:rFonts w:eastAsiaTheme="minorEastAsia"/>
              <w:noProof/>
              <w:sz w:val="22"/>
              <w:lang w:eastAsia="en-AU"/>
            </w:rPr>
          </w:pPr>
          <w:hyperlink w:anchor="_Toc310280470" w:history="1">
            <w:r w:rsidR="00887A39" w:rsidRPr="00F627F4">
              <w:rPr>
                <w:rStyle w:val="Hyperlink"/>
                <w:noProof/>
              </w:rPr>
              <w:t xml:space="preserve">OTC to OCM or </w:t>
            </w:r>
            <w:r w:rsidR="00887A39" w:rsidRPr="00F627F4">
              <w:rPr>
                <w:rStyle w:val="Hyperlink"/>
                <w:i/>
                <w:noProof/>
              </w:rPr>
              <w:t>vice versa</w:t>
            </w:r>
            <w:r w:rsidR="00887A39">
              <w:rPr>
                <w:noProof/>
                <w:webHidden/>
              </w:rPr>
              <w:tab/>
            </w:r>
            <w:r w:rsidR="00887A39">
              <w:rPr>
                <w:noProof/>
                <w:webHidden/>
              </w:rPr>
              <w:fldChar w:fldCharType="begin"/>
            </w:r>
            <w:r w:rsidR="00887A39">
              <w:rPr>
                <w:noProof/>
                <w:webHidden/>
              </w:rPr>
              <w:instrText xml:space="preserve"> PAGEREF _Toc310280470 \h </w:instrText>
            </w:r>
            <w:r w:rsidR="00887A39">
              <w:rPr>
                <w:noProof/>
                <w:webHidden/>
              </w:rPr>
            </w:r>
            <w:r w:rsidR="00887A39">
              <w:rPr>
                <w:noProof/>
                <w:webHidden/>
              </w:rPr>
              <w:fldChar w:fldCharType="separate"/>
            </w:r>
            <w:r w:rsidR="00887A39">
              <w:rPr>
                <w:noProof/>
                <w:webHidden/>
              </w:rPr>
              <w:t>12</w:t>
            </w:r>
            <w:r w:rsidR="00887A39">
              <w:rPr>
                <w:noProof/>
                <w:webHidden/>
              </w:rPr>
              <w:fldChar w:fldCharType="end"/>
            </w:r>
          </w:hyperlink>
        </w:p>
        <w:p w:rsidR="00887A39" w:rsidRDefault="008453CD">
          <w:pPr>
            <w:pStyle w:val="TOC3"/>
            <w:rPr>
              <w:rFonts w:eastAsiaTheme="minorEastAsia"/>
              <w:noProof/>
              <w:sz w:val="22"/>
              <w:lang w:eastAsia="en-AU"/>
            </w:rPr>
          </w:pPr>
          <w:hyperlink w:anchor="_Toc310280471" w:history="1">
            <w:r w:rsidR="00887A39" w:rsidRPr="00F627F4">
              <w:rPr>
                <w:rStyle w:val="Hyperlink"/>
                <w:noProof/>
              </w:rPr>
              <w:t>OTC or OCM to DSEB</w:t>
            </w:r>
            <w:r w:rsidR="00887A39">
              <w:rPr>
                <w:noProof/>
                <w:webHidden/>
              </w:rPr>
              <w:tab/>
            </w:r>
            <w:r w:rsidR="00887A39">
              <w:rPr>
                <w:noProof/>
                <w:webHidden/>
              </w:rPr>
              <w:fldChar w:fldCharType="begin"/>
            </w:r>
            <w:r w:rsidR="00887A39">
              <w:rPr>
                <w:noProof/>
                <w:webHidden/>
              </w:rPr>
              <w:instrText xml:space="preserve"> PAGEREF _Toc310280471 \h </w:instrText>
            </w:r>
            <w:r w:rsidR="00887A39">
              <w:rPr>
                <w:noProof/>
                <w:webHidden/>
              </w:rPr>
            </w:r>
            <w:r w:rsidR="00887A39">
              <w:rPr>
                <w:noProof/>
                <w:webHidden/>
              </w:rPr>
              <w:fldChar w:fldCharType="separate"/>
            </w:r>
            <w:r w:rsidR="00887A39">
              <w:rPr>
                <w:noProof/>
                <w:webHidden/>
              </w:rPr>
              <w:t>12</w:t>
            </w:r>
            <w:r w:rsidR="00887A39">
              <w:rPr>
                <w:noProof/>
                <w:webHidden/>
              </w:rPr>
              <w:fldChar w:fldCharType="end"/>
            </w:r>
          </w:hyperlink>
        </w:p>
        <w:p w:rsidR="00887A39" w:rsidRDefault="008453CD">
          <w:pPr>
            <w:pStyle w:val="TOC3"/>
            <w:rPr>
              <w:rFonts w:eastAsiaTheme="minorEastAsia"/>
              <w:noProof/>
              <w:sz w:val="22"/>
              <w:lang w:eastAsia="en-AU"/>
            </w:rPr>
          </w:pPr>
          <w:hyperlink w:anchor="_Toc310280472" w:history="1">
            <w:r w:rsidR="00887A39" w:rsidRPr="00F627F4">
              <w:rPr>
                <w:rStyle w:val="Hyperlink"/>
                <w:noProof/>
              </w:rPr>
              <w:t>Administrative details</w:t>
            </w:r>
            <w:r w:rsidR="00887A39">
              <w:rPr>
                <w:noProof/>
                <w:webHidden/>
              </w:rPr>
              <w:tab/>
            </w:r>
            <w:r w:rsidR="00887A39">
              <w:rPr>
                <w:noProof/>
                <w:webHidden/>
              </w:rPr>
              <w:fldChar w:fldCharType="begin"/>
            </w:r>
            <w:r w:rsidR="00887A39">
              <w:rPr>
                <w:noProof/>
                <w:webHidden/>
              </w:rPr>
              <w:instrText xml:space="preserve"> PAGEREF _Toc310280472 \h </w:instrText>
            </w:r>
            <w:r w:rsidR="00887A39">
              <w:rPr>
                <w:noProof/>
                <w:webHidden/>
              </w:rPr>
            </w:r>
            <w:r w:rsidR="00887A39">
              <w:rPr>
                <w:noProof/>
                <w:webHidden/>
              </w:rPr>
              <w:fldChar w:fldCharType="separate"/>
            </w:r>
            <w:r w:rsidR="00887A39">
              <w:rPr>
                <w:noProof/>
                <w:webHidden/>
              </w:rPr>
              <w:t>12</w:t>
            </w:r>
            <w:r w:rsidR="00887A39">
              <w:rPr>
                <w:noProof/>
                <w:webHidden/>
              </w:rPr>
              <w:fldChar w:fldCharType="end"/>
            </w:r>
          </w:hyperlink>
        </w:p>
        <w:p w:rsidR="00887A39" w:rsidRDefault="008453CD">
          <w:pPr>
            <w:pStyle w:val="TOC3"/>
            <w:rPr>
              <w:rFonts w:eastAsiaTheme="minorEastAsia"/>
              <w:noProof/>
              <w:sz w:val="22"/>
              <w:lang w:eastAsia="en-AU"/>
            </w:rPr>
          </w:pPr>
          <w:hyperlink w:anchor="_Toc310280473" w:history="1">
            <w:r w:rsidR="00887A39" w:rsidRPr="00F627F4">
              <w:rPr>
                <w:rStyle w:val="Hyperlink"/>
                <w:noProof/>
              </w:rPr>
              <w:t>Excipients</w:t>
            </w:r>
            <w:r w:rsidR="00887A39">
              <w:rPr>
                <w:noProof/>
                <w:webHidden/>
              </w:rPr>
              <w:tab/>
            </w:r>
            <w:r w:rsidR="00887A39">
              <w:rPr>
                <w:noProof/>
                <w:webHidden/>
              </w:rPr>
              <w:fldChar w:fldCharType="begin"/>
            </w:r>
            <w:r w:rsidR="00887A39">
              <w:rPr>
                <w:noProof/>
                <w:webHidden/>
              </w:rPr>
              <w:instrText xml:space="preserve"> PAGEREF _Toc310280473 \h </w:instrText>
            </w:r>
            <w:r w:rsidR="00887A39">
              <w:rPr>
                <w:noProof/>
                <w:webHidden/>
              </w:rPr>
            </w:r>
            <w:r w:rsidR="00887A39">
              <w:rPr>
                <w:noProof/>
                <w:webHidden/>
              </w:rPr>
              <w:fldChar w:fldCharType="separate"/>
            </w:r>
            <w:r w:rsidR="00887A39">
              <w:rPr>
                <w:noProof/>
                <w:webHidden/>
              </w:rPr>
              <w:t>12</w:t>
            </w:r>
            <w:r w:rsidR="00887A39">
              <w:rPr>
                <w:noProof/>
                <w:webHidden/>
              </w:rPr>
              <w:fldChar w:fldCharType="end"/>
            </w:r>
          </w:hyperlink>
        </w:p>
        <w:p w:rsidR="00887A39" w:rsidRDefault="008453CD">
          <w:pPr>
            <w:pStyle w:val="TOC3"/>
            <w:rPr>
              <w:rFonts w:eastAsiaTheme="minorEastAsia"/>
              <w:noProof/>
              <w:sz w:val="22"/>
              <w:lang w:eastAsia="en-AU"/>
            </w:rPr>
          </w:pPr>
          <w:hyperlink w:anchor="_Toc310280474" w:history="1">
            <w:r w:rsidR="00887A39" w:rsidRPr="00F627F4">
              <w:rPr>
                <w:rStyle w:val="Hyperlink"/>
                <w:noProof/>
              </w:rPr>
              <w:t>Currently registered non-prescription transdermal patches</w:t>
            </w:r>
            <w:r w:rsidR="00887A39">
              <w:rPr>
                <w:noProof/>
                <w:webHidden/>
              </w:rPr>
              <w:tab/>
            </w:r>
            <w:r w:rsidR="00887A39">
              <w:rPr>
                <w:noProof/>
                <w:webHidden/>
              </w:rPr>
              <w:fldChar w:fldCharType="begin"/>
            </w:r>
            <w:r w:rsidR="00887A39">
              <w:rPr>
                <w:noProof/>
                <w:webHidden/>
              </w:rPr>
              <w:instrText xml:space="preserve"> PAGEREF _Toc310280474 \h </w:instrText>
            </w:r>
            <w:r w:rsidR="00887A39">
              <w:rPr>
                <w:noProof/>
                <w:webHidden/>
              </w:rPr>
            </w:r>
            <w:r w:rsidR="00887A39">
              <w:rPr>
                <w:noProof/>
                <w:webHidden/>
              </w:rPr>
              <w:fldChar w:fldCharType="separate"/>
            </w:r>
            <w:r w:rsidR="00887A39">
              <w:rPr>
                <w:noProof/>
                <w:webHidden/>
              </w:rPr>
              <w:t>12</w:t>
            </w:r>
            <w:r w:rsidR="00887A39">
              <w:rPr>
                <w:noProof/>
                <w:webHidden/>
              </w:rPr>
              <w:fldChar w:fldCharType="end"/>
            </w:r>
          </w:hyperlink>
        </w:p>
        <w:p w:rsidR="00887A39" w:rsidRDefault="008453CD">
          <w:pPr>
            <w:pStyle w:val="TOC3"/>
            <w:rPr>
              <w:rFonts w:eastAsiaTheme="minorEastAsia"/>
              <w:noProof/>
              <w:sz w:val="22"/>
              <w:lang w:eastAsia="en-AU"/>
            </w:rPr>
          </w:pPr>
          <w:hyperlink w:anchor="_Toc310280475" w:history="1">
            <w:r w:rsidR="00887A39" w:rsidRPr="00F627F4">
              <w:rPr>
                <w:rStyle w:val="Hyperlink"/>
                <w:noProof/>
              </w:rPr>
              <w:t>Relationship to scheduling in the SUSDP</w:t>
            </w:r>
            <w:r w:rsidR="00887A39">
              <w:rPr>
                <w:noProof/>
                <w:webHidden/>
              </w:rPr>
              <w:tab/>
            </w:r>
            <w:r w:rsidR="00887A39">
              <w:rPr>
                <w:noProof/>
                <w:webHidden/>
              </w:rPr>
              <w:fldChar w:fldCharType="begin"/>
            </w:r>
            <w:r w:rsidR="00887A39">
              <w:rPr>
                <w:noProof/>
                <w:webHidden/>
              </w:rPr>
              <w:instrText xml:space="preserve"> PAGEREF _Toc310280475 \h </w:instrText>
            </w:r>
            <w:r w:rsidR="00887A39">
              <w:rPr>
                <w:noProof/>
                <w:webHidden/>
              </w:rPr>
            </w:r>
            <w:r w:rsidR="00887A39">
              <w:rPr>
                <w:noProof/>
                <w:webHidden/>
              </w:rPr>
              <w:fldChar w:fldCharType="separate"/>
            </w:r>
            <w:r w:rsidR="00887A39">
              <w:rPr>
                <w:noProof/>
                <w:webHidden/>
              </w:rPr>
              <w:t>13</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476" w:history="1">
            <w:r w:rsidR="00887A39" w:rsidRPr="00F627F4">
              <w:rPr>
                <w:rStyle w:val="Hyperlink"/>
                <w:noProof/>
              </w:rPr>
              <w:t>3.</w:t>
            </w:r>
            <w:r w:rsidR="00887A39">
              <w:rPr>
                <w:rFonts w:asciiTheme="minorHAnsi" w:eastAsiaTheme="minorEastAsia" w:hAnsiTheme="minorHAnsi"/>
                <w:b w:val="0"/>
                <w:noProof/>
                <w:sz w:val="22"/>
                <w:lang w:eastAsia="en-AU"/>
              </w:rPr>
              <w:tab/>
            </w:r>
            <w:r w:rsidR="00887A39" w:rsidRPr="00F627F4">
              <w:rPr>
                <w:rStyle w:val="Hyperlink"/>
                <w:noProof/>
              </w:rPr>
              <w:t>The application</w:t>
            </w:r>
            <w:r w:rsidR="00887A39">
              <w:rPr>
                <w:noProof/>
                <w:webHidden/>
              </w:rPr>
              <w:tab/>
            </w:r>
            <w:r w:rsidR="00887A39">
              <w:rPr>
                <w:noProof/>
                <w:webHidden/>
              </w:rPr>
              <w:fldChar w:fldCharType="begin"/>
            </w:r>
            <w:r w:rsidR="00887A39">
              <w:rPr>
                <w:noProof/>
                <w:webHidden/>
              </w:rPr>
              <w:instrText xml:space="preserve"> PAGEREF _Toc310280476 \h </w:instrText>
            </w:r>
            <w:r w:rsidR="00887A39">
              <w:rPr>
                <w:noProof/>
                <w:webHidden/>
              </w:rPr>
            </w:r>
            <w:r w:rsidR="00887A39">
              <w:rPr>
                <w:noProof/>
                <w:webHidden/>
              </w:rPr>
              <w:fldChar w:fldCharType="separate"/>
            </w:r>
            <w:r w:rsidR="00887A39">
              <w:rPr>
                <w:noProof/>
                <w:webHidden/>
              </w:rPr>
              <w:t>14</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77" w:history="1">
            <w:r w:rsidR="00887A39" w:rsidRPr="00F627F4">
              <w:rPr>
                <w:rStyle w:val="Hyperlink"/>
                <w:noProof/>
              </w:rPr>
              <w:t>The application form</w:t>
            </w:r>
            <w:r w:rsidR="00887A39">
              <w:rPr>
                <w:noProof/>
                <w:webHidden/>
              </w:rPr>
              <w:tab/>
            </w:r>
            <w:r w:rsidR="00887A39">
              <w:rPr>
                <w:noProof/>
                <w:webHidden/>
              </w:rPr>
              <w:fldChar w:fldCharType="begin"/>
            </w:r>
            <w:r w:rsidR="00887A39">
              <w:rPr>
                <w:noProof/>
                <w:webHidden/>
              </w:rPr>
              <w:instrText xml:space="preserve"> PAGEREF _Toc310280477 \h </w:instrText>
            </w:r>
            <w:r w:rsidR="00887A39">
              <w:rPr>
                <w:noProof/>
                <w:webHidden/>
              </w:rPr>
            </w:r>
            <w:r w:rsidR="00887A39">
              <w:rPr>
                <w:noProof/>
                <w:webHidden/>
              </w:rPr>
              <w:fldChar w:fldCharType="separate"/>
            </w:r>
            <w:r w:rsidR="00887A39">
              <w:rPr>
                <w:noProof/>
                <w:webHidden/>
              </w:rPr>
              <w:t>14</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78" w:history="1">
            <w:r w:rsidR="00887A39" w:rsidRPr="00F627F4">
              <w:rPr>
                <w:rStyle w:val="Hyperlink"/>
                <w:noProof/>
              </w:rPr>
              <w:t>Fees</w:t>
            </w:r>
            <w:r w:rsidR="00887A39">
              <w:rPr>
                <w:noProof/>
                <w:webHidden/>
              </w:rPr>
              <w:tab/>
            </w:r>
            <w:r w:rsidR="00887A39">
              <w:rPr>
                <w:noProof/>
                <w:webHidden/>
              </w:rPr>
              <w:fldChar w:fldCharType="begin"/>
            </w:r>
            <w:r w:rsidR="00887A39">
              <w:rPr>
                <w:noProof/>
                <w:webHidden/>
              </w:rPr>
              <w:instrText xml:space="preserve"> PAGEREF _Toc310280478 \h </w:instrText>
            </w:r>
            <w:r w:rsidR="00887A39">
              <w:rPr>
                <w:noProof/>
                <w:webHidden/>
              </w:rPr>
            </w:r>
            <w:r w:rsidR="00887A39">
              <w:rPr>
                <w:noProof/>
                <w:webHidden/>
              </w:rPr>
              <w:fldChar w:fldCharType="separate"/>
            </w:r>
            <w:r w:rsidR="00887A39">
              <w:rPr>
                <w:noProof/>
                <w:webHidden/>
              </w:rPr>
              <w:t>14</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79" w:history="1">
            <w:r w:rsidR="00887A39" w:rsidRPr="00F627F4">
              <w:rPr>
                <w:rStyle w:val="Hyperlink"/>
                <w:noProof/>
              </w:rPr>
              <w:t>The submission</w:t>
            </w:r>
            <w:r w:rsidR="00887A39">
              <w:rPr>
                <w:noProof/>
                <w:webHidden/>
              </w:rPr>
              <w:tab/>
            </w:r>
            <w:r w:rsidR="00887A39">
              <w:rPr>
                <w:noProof/>
                <w:webHidden/>
              </w:rPr>
              <w:fldChar w:fldCharType="begin"/>
            </w:r>
            <w:r w:rsidR="00887A39">
              <w:rPr>
                <w:noProof/>
                <w:webHidden/>
              </w:rPr>
              <w:instrText xml:space="preserve"> PAGEREF _Toc310280479 \h </w:instrText>
            </w:r>
            <w:r w:rsidR="00887A39">
              <w:rPr>
                <w:noProof/>
                <w:webHidden/>
              </w:rPr>
            </w:r>
            <w:r w:rsidR="00887A39">
              <w:rPr>
                <w:noProof/>
                <w:webHidden/>
              </w:rPr>
              <w:fldChar w:fldCharType="separate"/>
            </w:r>
            <w:r w:rsidR="00887A39">
              <w:rPr>
                <w:noProof/>
                <w:webHidden/>
              </w:rPr>
              <w:t>14</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0" w:history="1">
            <w:r w:rsidR="00887A39" w:rsidRPr="00F627F4">
              <w:rPr>
                <w:rStyle w:val="Hyperlink"/>
                <w:noProof/>
              </w:rPr>
              <w:t>The evaluation process</w:t>
            </w:r>
            <w:r w:rsidR="00887A39">
              <w:rPr>
                <w:noProof/>
                <w:webHidden/>
              </w:rPr>
              <w:tab/>
            </w:r>
            <w:r w:rsidR="00887A39">
              <w:rPr>
                <w:noProof/>
                <w:webHidden/>
              </w:rPr>
              <w:fldChar w:fldCharType="begin"/>
            </w:r>
            <w:r w:rsidR="00887A39">
              <w:rPr>
                <w:noProof/>
                <w:webHidden/>
              </w:rPr>
              <w:instrText xml:space="preserve"> PAGEREF _Toc310280480 \h </w:instrText>
            </w:r>
            <w:r w:rsidR="00887A39">
              <w:rPr>
                <w:noProof/>
                <w:webHidden/>
              </w:rPr>
            </w:r>
            <w:r w:rsidR="00887A39">
              <w:rPr>
                <w:noProof/>
                <w:webHidden/>
              </w:rPr>
              <w:fldChar w:fldCharType="separate"/>
            </w:r>
            <w:r w:rsidR="00887A39">
              <w:rPr>
                <w:noProof/>
                <w:webHidden/>
              </w:rPr>
              <w:t>15</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1" w:history="1">
            <w:r w:rsidR="00887A39" w:rsidRPr="00F627F4">
              <w:rPr>
                <w:rStyle w:val="Hyperlink"/>
                <w:noProof/>
              </w:rPr>
              <w:t>‘Clone’ applications</w:t>
            </w:r>
            <w:r w:rsidR="00887A39">
              <w:rPr>
                <w:noProof/>
                <w:webHidden/>
              </w:rPr>
              <w:tab/>
            </w:r>
            <w:r w:rsidR="00887A39">
              <w:rPr>
                <w:noProof/>
                <w:webHidden/>
              </w:rPr>
              <w:fldChar w:fldCharType="begin"/>
            </w:r>
            <w:r w:rsidR="00887A39">
              <w:rPr>
                <w:noProof/>
                <w:webHidden/>
              </w:rPr>
              <w:instrText xml:space="preserve"> PAGEREF _Toc310280481 \h </w:instrText>
            </w:r>
            <w:r w:rsidR="00887A39">
              <w:rPr>
                <w:noProof/>
                <w:webHidden/>
              </w:rPr>
            </w:r>
            <w:r w:rsidR="00887A39">
              <w:rPr>
                <w:noProof/>
                <w:webHidden/>
              </w:rPr>
              <w:fldChar w:fldCharType="separate"/>
            </w:r>
            <w:r w:rsidR="00887A39">
              <w:rPr>
                <w:noProof/>
                <w:webHidden/>
              </w:rPr>
              <w:t>16</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2" w:history="1">
            <w:r w:rsidR="00887A39" w:rsidRPr="00F627F4">
              <w:rPr>
                <w:rStyle w:val="Hyperlink"/>
                <w:noProof/>
              </w:rPr>
              <w:t>Confidentiality</w:t>
            </w:r>
            <w:r w:rsidR="00887A39">
              <w:rPr>
                <w:noProof/>
                <w:webHidden/>
              </w:rPr>
              <w:tab/>
            </w:r>
            <w:r w:rsidR="00887A39">
              <w:rPr>
                <w:noProof/>
                <w:webHidden/>
              </w:rPr>
              <w:fldChar w:fldCharType="begin"/>
            </w:r>
            <w:r w:rsidR="00887A39">
              <w:rPr>
                <w:noProof/>
                <w:webHidden/>
              </w:rPr>
              <w:instrText xml:space="preserve"> PAGEREF _Toc310280482 \h </w:instrText>
            </w:r>
            <w:r w:rsidR="00887A39">
              <w:rPr>
                <w:noProof/>
                <w:webHidden/>
              </w:rPr>
            </w:r>
            <w:r w:rsidR="00887A39">
              <w:rPr>
                <w:noProof/>
                <w:webHidden/>
              </w:rPr>
              <w:fldChar w:fldCharType="separate"/>
            </w:r>
            <w:r w:rsidR="00887A39">
              <w:rPr>
                <w:noProof/>
                <w:webHidden/>
              </w:rPr>
              <w:t>17</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3" w:history="1">
            <w:r w:rsidR="00887A39" w:rsidRPr="00F627F4">
              <w:rPr>
                <w:rStyle w:val="Hyperlink"/>
                <w:noProof/>
              </w:rPr>
              <w:t>The delegate’s decision</w:t>
            </w:r>
            <w:r w:rsidR="00887A39">
              <w:rPr>
                <w:noProof/>
                <w:webHidden/>
              </w:rPr>
              <w:tab/>
            </w:r>
            <w:r w:rsidR="00887A39">
              <w:rPr>
                <w:noProof/>
                <w:webHidden/>
              </w:rPr>
              <w:fldChar w:fldCharType="begin"/>
            </w:r>
            <w:r w:rsidR="00887A39">
              <w:rPr>
                <w:noProof/>
                <w:webHidden/>
              </w:rPr>
              <w:instrText xml:space="preserve"> PAGEREF _Toc310280483 \h </w:instrText>
            </w:r>
            <w:r w:rsidR="00887A39">
              <w:rPr>
                <w:noProof/>
                <w:webHidden/>
              </w:rPr>
            </w:r>
            <w:r w:rsidR="00887A39">
              <w:rPr>
                <w:noProof/>
                <w:webHidden/>
              </w:rPr>
              <w:fldChar w:fldCharType="separate"/>
            </w:r>
            <w:r w:rsidR="00887A39">
              <w:rPr>
                <w:noProof/>
                <w:webHidden/>
              </w:rPr>
              <w:t>17</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4" w:history="1">
            <w:r w:rsidR="00887A39" w:rsidRPr="00F627F4">
              <w:rPr>
                <w:rStyle w:val="Hyperlink"/>
                <w:noProof/>
              </w:rPr>
              <w:t>Entry in the ‘Register’</w:t>
            </w:r>
            <w:r w:rsidR="00887A39">
              <w:rPr>
                <w:noProof/>
                <w:webHidden/>
              </w:rPr>
              <w:tab/>
            </w:r>
            <w:r w:rsidR="00887A39">
              <w:rPr>
                <w:noProof/>
                <w:webHidden/>
              </w:rPr>
              <w:fldChar w:fldCharType="begin"/>
            </w:r>
            <w:r w:rsidR="00887A39">
              <w:rPr>
                <w:noProof/>
                <w:webHidden/>
              </w:rPr>
              <w:instrText xml:space="preserve"> PAGEREF _Toc310280484 \h </w:instrText>
            </w:r>
            <w:r w:rsidR="00887A39">
              <w:rPr>
                <w:noProof/>
                <w:webHidden/>
              </w:rPr>
            </w:r>
            <w:r w:rsidR="00887A39">
              <w:rPr>
                <w:noProof/>
                <w:webHidden/>
              </w:rPr>
              <w:fldChar w:fldCharType="separate"/>
            </w:r>
            <w:r w:rsidR="00887A39">
              <w:rPr>
                <w:noProof/>
                <w:webHidden/>
              </w:rPr>
              <w:t>17</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5" w:history="1">
            <w:r w:rsidR="00887A39" w:rsidRPr="00F627F4">
              <w:rPr>
                <w:rStyle w:val="Hyperlink"/>
                <w:noProof/>
              </w:rPr>
              <w:t>How long will it take?</w:t>
            </w:r>
            <w:r w:rsidR="00887A39">
              <w:rPr>
                <w:noProof/>
                <w:webHidden/>
              </w:rPr>
              <w:tab/>
            </w:r>
            <w:r w:rsidR="00887A39">
              <w:rPr>
                <w:noProof/>
                <w:webHidden/>
              </w:rPr>
              <w:fldChar w:fldCharType="begin"/>
            </w:r>
            <w:r w:rsidR="00887A39">
              <w:rPr>
                <w:noProof/>
                <w:webHidden/>
              </w:rPr>
              <w:instrText xml:space="preserve"> PAGEREF _Toc310280485 \h </w:instrText>
            </w:r>
            <w:r w:rsidR="00887A39">
              <w:rPr>
                <w:noProof/>
                <w:webHidden/>
              </w:rPr>
            </w:r>
            <w:r w:rsidR="00887A39">
              <w:rPr>
                <w:noProof/>
                <w:webHidden/>
              </w:rPr>
              <w:fldChar w:fldCharType="separate"/>
            </w:r>
            <w:r w:rsidR="00887A39">
              <w:rPr>
                <w:noProof/>
                <w:webHidden/>
              </w:rPr>
              <w:t>18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6" w:history="1">
            <w:r w:rsidR="00887A39" w:rsidRPr="00F627F4">
              <w:rPr>
                <w:rStyle w:val="Hyperlink"/>
                <w:noProof/>
              </w:rPr>
              <w:t>Changes to existing products</w:t>
            </w:r>
            <w:r w:rsidR="00887A39">
              <w:rPr>
                <w:noProof/>
                <w:webHidden/>
              </w:rPr>
              <w:tab/>
            </w:r>
            <w:r w:rsidR="00887A39">
              <w:rPr>
                <w:noProof/>
                <w:webHidden/>
              </w:rPr>
              <w:fldChar w:fldCharType="begin"/>
            </w:r>
            <w:r w:rsidR="00887A39">
              <w:rPr>
                <w:noProof/>
                <w:webHidden/>
              </w:rPr>
              <w:instrText xml:space="preserve"> PAGEREF _Toc310280486 \h </w:instrText>
            </w:r>
            <w:r w:rsidR="00887A39">
              <w:rPr>
                <w:noProof/>
                <w:webHidden/>
              </w:rPr>
            </w:r>
            <w:r w:rsidR="00887A39">
              <w:rPr>
                <w:noProof/>
                <w:webHidden/>
              </w:rPr>
              <w:fldChar w:fldCharType="separate"/>
            </w:r>
            <w:r w:rsidR="00887A39">
              <w:rPr>
                <w:noProof/>
                <w:webHidden/>
              </w:rPr>
              <w:t>18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487" w:history="1">
            <w:r w:rsidR="00887A39" w:rsidRPr="00F627F4">
              <w:rPr>
                <w:rStyle w:val="Hyperlink"/>
                <w:noProof/>
              </w:rPr>
              <w:t>Consultants</w:t>
            </w:r>
            <w:r w:rsidR="00887A39">
              <w:rPr>
                <w:noProof/>
                <w:webHidden/>
              </w:rPr>
              <w:tab/>
            </w:r>
            <w:r w:rsidR="00887A39">
              <w:rPr>
                <w:noProof/>
                <w:webHidden/>
              </w:rPr>
              <w:fldChar w:fldCharType="begin"/>
            </w:r>
            <w:r w:rsidR="00887A39">
              <w:rPr>
                <w:noProof/>
                <w:webHidden/>
              </w:rPr>
              <w:instrText xml:space="preserve"> PAGEREF _Toc310280487 \h </w:instrText>
            </w:r>
            <w:r w:rsidR="00887A39">
              <w:rPr>
                <w:noProof/>
                <w:webHidden/>
              </w:rPr>
            </w:r>
            <w:r w:rsidR="00887A39">
              <w:rPr>
                <w:noProof/>
                <w:webHidden/>
              </w:rPr>
              <w:fldChar w:fldCharType="separate"/>
            </w:r>
            <w:r w:rsidR="00887A39">
              <w:rPr>
                <w:noProof/>
                <w:webHidden/>
              </w:rPr>
              <w:t>18</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488" w:history="1">
            <w:r w:rsidR="00887A39" w:rsidRPr="00F627F4">
              <w:rPr>
                <w:rStyle w:val="Hyperlink"/>
                <w:noProof/>
              </w:rPr>
              <w:t>4.</w:t>
            </w:r>
            <w:r w:rsidR="00887A39">
              <w:rPr>
                <w:rFonts w:asciiTheme="minorHAnsi" w:eastAsiaTheme="minorEastAsia" w:hAnsiTheme="minorHAnsi"/>
                <w:b w:val="0"/>
                <w:noProof/>
                <w:sz w:val="22"/>
                <w:lang w:eastAsia="en-AU"/>
              </w:rPr>
              <w:tab/>
            </w:r>
            <w:r w:rsidR="00887A39" w:rsidRPr="00F627F4">
              <w:rPr>
                <w:rStyle w:val="Hyperlink"/>
                <w:noProof/>
              </w:rPr>
              <w:t>Quality- refer to Appendix</w:t>
            </w:r>
            <w:r w:rsidR="00887A39">
              <w:rPr>
                <w:noProof/>
                <w:webHidden/>
              </w:rPr>
              <w:tab/>
            </w:r>
            <w:r w:rsidR="00887A39">
              <w:rPr>
                <w:noProof/>
                <w:webHidden/>
              </w:rPr>
              <w:fldChar w:fldCharType="begin"/>
            </w:r>
            <w:r w:rsidR="00887A39">
              <w:rPr>
                <w:noProof/>
                <w:webHidden/>
              </w:rPr>
              <w:instrText xml:space="preserve"> PAGEREF _Toc310280488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89" w:history="1">
            <w:r w:rsidR="00887A39" w:rsidRPr="00F627F4">
              <w:rPr>
                <w:rStyle w:val="Hyperlink"/>
                <w:noProof/>
              </w:rPr>
              <w:t>4A.</w:t>
            </w:r>
            <w:r w:rsidR="00887A39">
              <w:rPr>
                <w:rFonts w:asciiTheme="minorHAnsi" w:eastAsiaTheme="minorEastAsia" w:hAnsiTheme="minorHAnsi"/>
                <w:b w:val="0"/>
                <w:noProof/>
                <w:sz w:val="22"/>
                <w:lang w:eastAsia="en-AU"/>
              </w:rPr>
              <w:tab/>
            </w:r>
            <w:r w:rsidR="00887A39" w:rsidRPr="00F627F4">
              <w:rPr>
                <w:rStyle w:val="Hyperlink"/>
                <w:noProof/>
              </w:rPr>
              <w:t>Manufacture</w:t>
            </w:r>
            <w:r w:rsidR="00887A39">
              <w:rPr>
                <w:noProof/>
                <w:webHidden/>
              </w:rPr>
              <w:tab/>
            </w:r>
            <w:r w:rsidR="00887A39">
              <w:rPr>
                <w:noProof/>
                <w:webHidden/>
              </w:rPr>
              <w:fldChar w:fldCharType="begin"/>
            </w:r>
            <w:r w:rsidR="00887A39">
              <w:rPr>
                <w:noProof/>
                <w:webHidden/>
              </w:rPr>
              <w:instrText xml:space="preserve"> PAGEREF _Toc310280489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0" w:history="1">
            <w:r w:rsidR="00887A39" w:rsidRPr="00F627F4">
              <w:rPr>
                <w:rStyle w:val="Hyperlink"/>
                <w:noProof/>
              </w:rPr>
              <w:t>4B.</w:t>
            </w:r>
            <w:r w:rsidR="00887A39">
              <w:rPr>
                <w:rFonts w:asciiTheme="minorHAnsi" w:eastAsiaTheme="minorEastAsia" w:hAnsiTheme="minorHAnsi"/>
                <w:b w:val="0"/>
                <w:noProof/>
                <w:sz w:val="22"/>
                <w:lang w:eastAsia="en-AU"/>
              </w:rPr>
              <w:tab/>
            </w:r>
            <w:r w:rsidR="00887A39" w:rsidRPr="00F627F4">
              <w:rPr>
                <w:rStyle w:val="Hyperlink"/>
                <w:noProof/>
              </w:rPr>
              <w:t>Formulation</w:t>
            </w:r>
            <w:r w:rsidR="00887A39" w:rsidRPr="00F627F4">
              <w:rPr>
                <w:rStyle w:val="Hyperlink"/>
                <w:noProof/>
              </w:rPr>
              <w:fldChar w:fldCharType="begin"/>
            </w:r>
            <w:r w:rsidR="00887A39" w:rsidRPr="00F627F4">
              <w:rPr>
                <w:rStyle w:val="Hyperlink"/>
                <w:noProof/>
              </w:rPr>
              <w:instrText>ADVANCE \d3</w:instrText>
            </w:r>
            <w:r w:rsidR="00887A39" w:rsidRPr="00F627F4">
              <w:rPr>
                <w:rStyle w:val="Hyperlink"/>
                <w:noProof/>
              </w:rPr>
              <w:fldChar w:fldCharType="end"/>
            </w:r>
            <w:r w:rsidR="00887A39">
              <w:rPr>
                <w:noProof/>
                <w:webHidden/>
              </w:rPr>
              <w:tab/>
            </w:r>
            <w:r w:rsidR="00887A39">
              <w:rPr>
                <w:noProof/>
                <w:webHidden/>
              </w:rPr>
              <w:fldChar w:fldCharType="begin"/>
            </w:r>
            <w:r w:rsidR="00887A39">
              <w:rPr>
                <w:noProof/>
                <w:webHidden/>
              </w:rPr>
              <w:instrText xml:space="preserve"> PAGEREF _Toc310280490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1" w:history="1">
            <w:r w:rsidR="00887A39" w:rsidRPr="00F627F4">
              <w:rPr>
                <w:rStyle w:val="Hyperlink"/>
                <w:noProof/>
              </w:rPr>
              <w:t>4C.</w:t>
            </w:r>
            <w:r w:rsidR="00887A39">
              <w:rPr>
                <w:rFonts w:asciiTheme="minorHAnsi" w:eastAsiaTheme="minorEastAsia" w:hAnsiTheme="minorHAnsi"/>
                <w:b w:val="0"/>
                <w:noProof/>
                <w:sz w:val="22"/>
                <w:lang w:eastAsia="en-AU"/>
              </w:rPr>
              <w:tab/>
            </w:r>
            <w:r w:rsidR="00887A39" w:rsidRPr="00F627F4">
              <w:rPr>
                <w:rStyle w:val="Hyperlink"/>
                <w:noProof/>
              </w:rPr>
              <w:t>Starting material specifications</w:t>
            </w:r>
            <w:r w:rsidR="00887A39">
              <w:rPr>
                <w:noProof/>
                <w:webHidden/>
              </w:rPr>
              <w:tab/>
            </w:r>
            <w:r w:rsidR="00887A39">
              <w:rPr>
                <w:noProof/>
                <w:webHidden/>
              </w:rPr>
              <w:fldChar w:fldCharType="begin"/>
            </w:r>
            <w:r w:rsidR="00887A39">
              <w:rPr>
                <w:noProof/>
                <w:webHidden/>
              </w:rPr>
              <w:instrText xml:space="preserve"> PAGEREF _Toc310280491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2" w:history="1">
            <w:r w:rsidR="00887A39" w:rsidRPr="00F627F4">
              <w:rPr>
                <w:rStyle w:val="Hyperlink"/>
                <w:noProof/>
              </w:rPr>
              <w:t>4D.</w:t>
            </w:r>
            <w:r w:rsidR="00887A39">
              <w:rPr>
                <w:rFonts w:asciiTheme="minorHAnsi" w:eastAsiaTheme="minorEastAsia" w:hAnsiTheme="minorHAnsi"/>
                <w:b w:val="0"/>
                <w:noProof/>
                <w:sz w:val="22"/>
                <w:lang w:eastAsia="en-AU"/>
              </w:rPr>
              <w:tab/>
            </w:r>
            <w:r w:rsidR="00887A39" w:rsidRPr="00F627F4">
              <w:rPr>
                <w:rStyle w:val="Hyperlink"/>
                <w:noProof/>
              </w:rPr>
              <w:t>Finished product specifications</w:t>
            </w:r>
            <w:r w:rsidR="00887A39">
              <w:rPr>
                <w:noProof/>
                <w:webHidden/>
              </w:rPr>
              <w:tab/>
            </w:r>
            <w:r w:rsidR="00887A39">
              <w:rPr>
                <w:noProof/>
                <w:webHidden/>
              </w:rPr>
              <w:fldChar w:fldCharType="begin"/>
            </w:r>
            <w:r w:rsidR="00887A39">
              <w:rPr>
                <w:noProof/>
                <w:webHidden/>
              </w:rPr>
              <w:instrText xml:space="preserve"> PAGEREF _Toc310280492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3" w:history="1">
            <w:r w:rsidR="00887A39" w:rsidRPr="00F627F4">
              <w:rPr>
                <w:rStyle w:val="Hyperlink"/>
                <w:noProof/>
              </w:rPr>
              <w:t>4E.</w:t>
            </w:r>
            <w:r w:rsidR="00887A39">
              <w:rPr>
                <w:rFonts w:asciiTheme="minorHAnsi" w:eastAsiaTheme="minorEastAsia" w:hAnsiTheme="minorHAnsi"/>
                <w:b w:val="0"/>
                <w:noProof/>
                <w:sz w:val="22"/>
                <w:lang w:eastAsia="en-AU"/>
              </w:rPr>
              <w:tab/>
            </w:r>
            <w:r w:rsidR="00887A39" w:rsidRPr="00F627F4">
              <w:rPr>
                <w:rStyle w:val="Hyperlink"/>
                <w:noProof/>
              </w:rPr>
              <w:t>Stability testing</w:t>
            </w:r>
            <w:r w:rsidR="00887A39">
              <w:rPr>
                <w:noProof/>
                <w:webHidden/>
              </w:rPr>
              <w:tab/>
            </w:r>
            <w:r w:rsidR="00887A39">
              <w:rPr>
                <w:noProof/>
                <w:webHidden/>
              </w:rPr>
              <w:fldChar w:fldCharType="begin"/>
            </w:r>
            <w:r w:rsidR="00887A39">
              <w:rPr>
                <w:noProof/>
                <w:webHidden/>
              </w:rPr>
              <w:instrText xml:space="preserve"> PAGEREF _Toc310280493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4" w:history="1">
            <w:r w:rsidR="00887A39" w:rsidRPr="00F627F4">
              <w:rPr>
                <w:rStyle w:val="Hyperlink"/>
                <w:noProof/>
              </w:rPr>
              <w:t>4F.</w:t>
            </w:r>
            <w:r w:rsidR="00887A39">
              <w:rPr>
                <w:rFonts w:asciiTheme="minorHAnsi" w:eastAsiaTheme="minorEastAsia" w:hAnsiTheme="minorHAnsi"/>
                <w:b w:val="0"/>
                <w:noProof/>
                <w:sz w:val="22"/>
                <w:lang w:eastAsia="en-AU"/>
              </w:rPr>
              <w:tab/>
            </w:r>
            <w:r w:rsidR="00887A39" w:rsidRPr="00F627F4">
              <w:rPr>
                <w:rStyle w:val="Hyperlink"/>
                <w:noProof/>
              </w:rPr>
              <w:t>Microbiological testing</w:t>
            </w:r>
            <w:r w:rsidR="00887A39">
              <w:rPr>
                <w:noProof/>
                <w:webHidden/>
              </w:rPr>
              <w:tab/>
            </w:r>
            <w:r w:rsidR="00887A39">
              <w:rPr>
                <w:noProof/>
                <w:webHidden/>
              </w:rPr>
              <w:fldChar w:fldCharType="begin"/>
            </w:r>
            <w:r w:rsidR="00887A39">
              <w:rPr>
                <w:noProof/>
                <w:webHidden/>
              </w:rPr>
              <w:instrText xml:space="preserve"> PAGEREF _Toc310280494 \h </w:instrText>
            </w:r>
            <w:r w:rsidR="00887A39">
              <w:rPr>
                <w:noProof/>
                <w:webHidden/>
              </w:rPr>
            </w:r>
            <w:r w:rsidR="00887A39">
              <w:rPr>
                <w:noProof/>
                <w:webHidden/>
              </w:rPr>
              <w:fldChar w:fldCharType="separate"/>
            </w:r>
            <w:r w:rsidR="00887A39">
              <w:rPr>
                <w:noProof/>
                <w:webHidden/>
              </w:rPr>
              <w:t>19</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495" w:history="1">
            <w:r w:rsidR="00887A39" w:rsidRPr="00F627F4">
              <w:rPr>
                <w:rStyle w:val="Hyperlink"/>
                <w:noProof/>
              </w:rPr>
              <w:t>5.</w:t>
            </w:r>
            <w:r w:rsidR="00887A39">
              <w:rPr>
                <w:rFonts w:asciiTheme="minorHAnsi" w:eastAsiaTheme="minorEastAsia" w:hAnsiTheme="minorHAnsi"/>
                <w:b w:val="0"/>
                <w:noProof/>
                <w:sz w:val="22"/>
                <w:lang w:eastAsia="en-AU"/>
              </w:rPr>
              <w:tab/>
            </w:r>
            <w:r w:rsidR="00887A39" w:rsidRPr="00F627F4">
              <w:rPr>
                <w:rStyle w:val="Hyperlink"/>
                <w:noProof/>
              </w:rPr>
              <w:t>Presentation</w:t>
            </w:r>
            <w:r w:rsidR="00887A39">
              <w:rPr>
                <w:noProof/>
                <w:webHidden/>
              </w:rPr>
              <w:tab/>
            </w:r>
            <w:r w:rsidR="00887A39">
              <w:rPr>
                <w:noProof/>
                <w:webHidden/>
              </w:rPr>
              <w:fldChar w:fldCharType="begin"/>
            </w:r>
            <w:r w:rsidR="00887A39">
              <w:rPr>
                <w:noProof/>
                <w:webHidden/>
              </w:rPr>
              <w:instrText xml:space="preserve"> PAGEREF _Toc310280495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6" w:history="1">
            <w:r w:rsidR="00887A39" w:rsidRPr="00F627F4">
              <w:rPr>
                <w:rStyle w:val="Hyperlink"/>
                <w:noProof/>
              </w:rPr>
              <w:t>5A.</w:t>
            </w:r>
            <w:r w:rsidR="00887A39">
              <w:rPr>
                <w:rFonts w:asciiTheme="minorHAnsi" w:eastAsiaTheme="minorEastAsia" w:hAnsiTheme="minorHAnsi"/>
                <w:b w:val="0"/>
                <w:noProof/>
                <w:sz w:val="22"/>
                <w:lang w:eastAsia="en-AU"/>
              </w:rPr>
              <w:tab/>
            </w:r>
            <w:r w:rsidR="00887A39" w:rsidRPr="00F627F4">
              <w:rPr>
                <w:rStyle w:val="Hyperlink"/>
                <w:noProof/>
              </w:rPr>
              <w:t>Product name</w:t>
            </w:r>
            <w:r w:rsidR="00887A39">
              <w:rPr>
                <w:noProof/>
                <w:webHidden/>
              </w:rPr>
              <w:tab/>
            </w:r>
            <w:r w:rsidR="00887A39">
              <w:rPr>
                <w:noProof/>
                <w:webHidden/>
              </w:rPr>
              <w:fldChar w:fldCharType="begin"/>
            </w:r>
            <w:r w:rsidR="00887A39">
              <w:rPr>
                <w:noProof/>
                <w:webHidden/>
              </w:rPr>
              <w:instrText xml:space="preserve"> PAGEREF _Toc310280496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7" w:history="1">
            <w:r w:rsidR="00887A39" w:rsidRPr="00F627F4">
              <w:rPr>
                <w:rStyle w:val="Hyperlink"/>
                <w:noProof/>
              </w:rPr>
              <w:t>5B.</w:t>
            </w:r>
            <w:r w:rsidR="00887A39">
              <w:rPr>
                <w:rFonts w:asciiTheme="minorHAnsi" w:eastAsiaTheme="minorEastAsia" w:hAnsiTheme="minorHAnsi"/>
                <w:b w:val="0"/>
                <w:noProof/>
                <w:sz w:val="22"/>
                <w:lang w:eastAsia="en-AU"/>
              </w:rPr>
              <w:tab/>
            </w:r>
            <w:r w:rsidR="00887A39" w:rsidRPr="00F627F4">
              <w:rPr>
                <w:rStyle w:val="Hyperlink"/>
                <w:noProof/>
              </w:rPr>
              <w:t>Labelling</w:t>
            </w:r>
            <w:r w:rsidR="00887A39">
              <w:rPr>
                <w:noProof/>
                <w:webHidden/>
              </w:rPr>
              <w:tab/>
            </w:r>
            <w:r w:rsidR="00887A39">
              <w:rPr>
                <w:noProof/>
                <w:webHidden/>
              </w:rPr>
              <w:fldChar w:fldCharType="begin"/>
            </w:r>
            <w:r w:rsidR="00887A39">
              <w:rPr>
                <w:noProof/>
                <w:webHidden/>
              </w:rPr>
              <w:instrText xml:space="preserve"> PAGEREF _Toc310280497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8" w:history="1">
            <w:r w:rsidR="00887A39" w:rsidRPr="00F627F4">
              <w:rPr>
                <w:rStyle w:val="Hyperlink"/>
                <w:noProof/>
              </w:rPr>
              <w:t>5C.</w:t>
            </w:r>
            <w:r w:rsidR="00887A39">
              <w:rPr>
                <w:rFonts w:asciiTheme="minorHAnsi" w:eastAsiaTheme="minorEastAsia" w:hAnsiTheme="minorHAnsi"/>
                <w:b w:val="0"/>
                <w:noProof/>
                <w:sz w:val="22"/>
                <w:lang w:eastAsia="en-AU"/>
              </w:rPr>
              <w:tab/>
            </w:r>
            <w:r w:rsidR="00887A39" w:rsidRPr="00F627F4">
              <w:rPr>
                <w:rStyle w:val="Hyperlink"/>
                <w:noProof/>
              </w:rPr>
              <w:t>Product Information (PI)</w:t>
            </w:r>
            <w:r w:rsidR="00887A39">
              <w:rPr>
                <w:noProof/>
                <w:webHidden/>
              </w:rPr>
              <w:tab/>
            </w:r>
            <w:r w:rsidR="00887A39">
              <w:rPr>
                <w:noProof/>
                <w:webHidden/>
              </w:rPr>
              <w:fldChar w:fldCharType="begin"/>
            </w:r>
            <w:r w:rsidR="00887A39">
              <w:rPr>
                <w:noProof/>
                <w:webHidden/>
              </w:rPr>
              <w:instrText xml:space="preserve"> PAGEREF _Toc310280498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499" w:history="1">
            <w:r w:rsidR="00887A39" w:rsidRPr="00F627F4">
              <w:rPr>
                <w:rStyle w:val="Hyperlink"/>
                <w:noProof/>
              </w:rPr>
              <w:t>5D.</w:t>
            </w:r>
            <w:r w:rsidR="00887A39">
              <w:rPr>
                <w:rFonts w:asciiTheme="minorHAnsi" w:eastAsiaTheme="minorEastAsia" w:hAnsiTheme="minorHAnsi"/>
                <w:b w:val="0"/>
                <w:noProof/>
                <w:sz w:val="22"/>
                <w:lang w:eastAsia="en-AU"/>
              </w:rPr>
              <w:tab/>
            </w:r>
            <w:r w:rsidR="00887A39" w:rsidRPr="00F627F4">
              <w:rPr>
                <w:rStyle w:val="Hyperlink"/>
                <w:noProof/>
              </w:rPr>
              <w:t>Consumer Medicine Information (CMI)</w:t>
            </w:r>
            <w:r w:rsidR="00887A39">
              <w:rPr>
                <w:noProof/>
                <w:webHidden/>
              </w:rPr>
              <w:tab/>
            </w:r>
            <w:r w:rsidR="00887A39">
              <w:rPr>
                <w:noProof/>
                <w:webHidden/>
              </w:rPr>
              <w:fldChar w:fldCharType="begin"/>
            </w:r>
            <w:r w:rsidR="00887A39">
              <w:rPr>
                <w:noProof/>
                <w:webHidden/>
              </w:rPr>
              <w:instrText xml:space="preserve"> PAGEREF _Toc310280499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500" w:history="1">
            <w:r w:rsidR="00887A39" w:rsidRPr="00F627F4">
              <w:rPr>
                <w:rStyle w:val="Hyperlink"/>
                <w:noProof/>
              </w:rPr>
              <w:t>5E.</w:t>
            </w:r>
            <w:r w:rsidR="00887A39">
              <w:rPr>
                <w:rFonts w:asciiTheme="minorHAnsi" w:eastAsiaTheme="minorEastAsia" w:hAnsiTheme="minorHAnsi"/>
                <w:b w:val="0"/>
                <w:noProof/>
                <w:sz w:val="22"/>
                <w:lang w:eastAsia="en-AU"/>
              </w:rPr>
              <w:tab/>
            </w:r>
            <w:r w:rsidR="00887A39" w:rsidRPr="00F627F4">
              <w:rPr>
                <w:rStyle w:val="Hyperlink"/>
                <w:noProof/>
              </w:rPr>
              <w:t>Changes to scheduling</w:t>
            </w:r>
            <w:r w:rsidR="00887A39">
              <w:rPr>
                <w:noProof/>
                <w:webHidden/>
              </w:rPr>
              <w:tab/>
            </w:r>
            <w:r w:rsidR="00887A39">
              <w:rPr>
                <w:noProof/>
                <w:webHidden/>
              </w:rPr>
              <w:fldChar w:fldCharType="begin"/>
            </w:r>
            <w:r w:rsidR="00887A39">
              <w:rPr>
                <w:noProof/>
                <w:webHidden/>
              </w:rPr>
              <w:instrText xml:space="preserve"> PAGEREF _Toc310280500 \h </w:instrText>
            </w:r>
            <w:r w:rsidR="00887A39">
              <w:rPr>
                <w:noProof/>
                <w:webHidden/>
              </w:rPr>
            </w:r>
            <w:r w:rsidR="00887A39">
              <w:rPr>
                <w:noProof/>
                <w:webHidden/>
              </w:rPr>
              <w:fldChar w:fldCharType="separate"/>
            </w:r>
            <w:r w:rsidR="00887A39">
              <w:rPr>
                <w:noProof/>
                <w:webHidden/>
              </w:rPr>
              <w:t>20</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501" w:history="1">
            <w:r w:rsidR="00887A39" w:rsidRPr="00F627F4">
              <w:rPr>
                <w:rStyle w:val="Hyperlink"/>
                <w:noProof/>
              </w:rPr>
              <w:t>6A.</w:t>
            </w:r>
            <w:r w:rsidR="00887A39">
              <w:rPr>
                <w:rFonts w:asciiTheme="minorHAnsi" w:eastAsiaTheme="minorEastAsia" w:hAnsiTheme="minorHAnsi"/>
                <w:b w:val="0"/>
                <w:noProof/>
                <w:sz w:val="22"/>
                <w:lang w:eastAsia="en-AU"/>
              </w:rPr>
              <w:tab/>
            </w:r>
            <w:r w:rsidR="00887A39" w:rsidRPr="00F627F4">
              <w:rPr>
                <w:rStyle w:val="Hyperlink"/>
                <w:noProof/>
              </w:rPr>
              <w:t>Efficacy and safety</w:t>
            </w:r>
            <w:r w:rsidR="00887A39">
              <w:rPr>
                <w:noProof/>
                <w:webHidden/>
              </w:rPr>
              <w:tab/>
            </w:r>
            <w:r w:rsidR="00887A39">
              <w:rPr>
                <w:noProof/>
                <w:webHidden/>
              </w:rPr>
              <w:fldChar w:fldCharType="begin"/>
            </w:r>
            <w:r w:rsidR="00887A39">
              <w:rPr>
                <w:noProof/>
                <w:webHidden/>
              </w:rPr>
              <w:instrText xml:space="preserve"> PAGEREF _Toc310280501 \h </w:instrText>
            </w:r>
            <w:r w:rsidR="00887A39">
              <w:rPr>
                <w:noProof/>
                <w:webHidden/>
              </w:rPr>
            </w:r>
            <w:r w:rsidR="00887A39">
              <w:rPr>
                <w:noProof/>
                <w:webHidden/>
              </w:rPr>
              <w:fldChar w:fldCharType="separate"/>
            </w:r>
            <w:r w:rsidR="00887A39">
              <w:rPr>
                <w:noProof/>
                <w:webHidden/>
              </w:rPr>
              <w:t>21</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502" w:history="1">
            <w:r w:rsidR="00887A39" w:rsidRPr="00F627F4">
              <w:rPr>
                <w:rStyle w:val="Hyperlink"/>
                <w:noProof/>
              </w:rPr>
              <w:t>6B.</w:t>
            </w:r>
            <w:r w:rsidR="00887A39">
              <w:rPr>
                <w:rFonts w:asciiTheme="minorHAnsi" w:eastAsiaTheme="minorEastAsia" w:hAnsiTheme="minorHAnsi"/>
                <w:b w:val="0"/>
                <w:noProof/>
                <w:sz w:val="22"/>
                <w:lang w:eastAsia="en-AU"/>
              </w:rPr>
              <w:tab/>
            </w:r>
            <w:r w:rsidR="00887A39" w:rsidRPr="00F627F4">
              <w:rPr>
                <w:rStyle w:val="Hyperlink"/>
                <w:noProof/>
              </w:rPr>
              <w:t>New substances</w:t>
            </w:r>
            <w:r w:rsidR="00887A39">
              <w:rPr>
                <w:noProof/>
                <w:webHidden/>
              </w:rPr>
              <w:tab/>
            </w:r>
            <w:r w:rsidR="00887A39">
              <w:rPr>
                <w:noProof/>
                <w:webHidden/>
              </w:rPr>
              <w:fldChar w:fldCharType="begin"/>
            </w:r>
            <w:r w:rsidR="00887A39">
              <w:rPr>
                <w:noProof/>
                <w:webHidden/>
              </w:rPr>
              <w:instrText xml:space="preserve"> PAGEREF _Toc310280502 \h </w:instrText>
            </w:r>
            <w:r w:rsidR="00887A39">
              <w:rPr>
                <w:noProof/>
                <w:webHidden/>
              </w:rPr>
            </w:r>
            <w:r w:rsidR="00887A39">
              <w:rPr>
                <w:noProof/>
                <w:webHidden/>
              </w:rPr>
              <w:fldChar w:fldCharType="separate"/>
            </w:r>
            <w:r w:rsidR="00887A39">
              <w:rPr>
                <w:noProof/>
                <w:webHidden/>
              </w:rPr>
              <w:t>21</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503" w:history="1">
            <w:r w:rsidR="00887A39" w:rsidRPr="00F627F4">
              <w:rPr>
                <w:rStyle w:val="Hyperlink"/>
                <w:noProof/>
              </w:rPr>
              <w:t>7.</w:t>
            </w:r>
            <w:r w:rsidR="00887A39">
              <w:rPr>
                <w:rFonts w:asciiTheme="minorHAnsi" w:eastAsiaTheme="minorEastAsia" w:hAnsiTheme="minorHAnsi"/>
                <w:b w:val="0"/>
                <w:noProof/>
                <w:sz w:val="22"/>
                <w:lang w:eastAsia="en-AU"/>
              </w:rPr>
              <w:tab/>
            </w:r>
            <w:r w:rsidR="00887A39" w:rsidRPr="00F627F4">
              <w:rPr>
                <w:rStyle w:val="Hyperlink"/>
                <w:noProof/>
              </w:rPr>
              <w:t>Review of decisions</w:t>
            </w:r>
            <w:r w:rsidR="00887A39">
              <w:rPr>
                <w:noProof/>
                <w:webHidden/>
              </w:rPr>
              <w:tab/>
            </w:r>
            <w:r w:rsidR="00887A39">
              <w:rPr>
                <w:noProof/>
                <w:webHidden/>
              </w:rPr>
              <w:fldChar w:fldCharType="begin"/>
            </w:r>
            <w:r w:rsidR="00887A39">
              <w:rPr>
                <w:noProof/>
                <w:webHidden/>
              </w:rPr>
              <w:instrText xml:space="preserve"> PAGEREF _Toc310280503 \h </w:instrText>
            </w:r>
            <w:r w:rsidR="00887A39">
              <w:rPr>
                <w:noProof/>
                <w:webHidden/>
              </w:rPr>
            </w:r>
            <w:r w:rsidR="00887A39">
              <w:rPr>
                <w:noProof/>
                <w:webHidden/>
              </w:rPr>
              <w:fldChar w:fldCharType="separate"/>
            </w:r>
            <w:r w:rsidR="00887A39">
              <w:rPr>
                <w:noProof/>
                <w:webHidden/>
              </w:rPr>
              <w:t>22</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04" w:history="1">
            <w:r w:rsidR="00887A39" w:rsidRPr="00F627F4">
              <w:rPr>
                <w:rStyle w:val="Hyperlink"/>
                <w:noProof/>
              </w:rPr>
              <w:t>The Medicines Evaluation Committee – ‘opportunity to be heard’</w:t>
            </w:r>
            <w:r w:rsidR="00887A39">
              <w:rPr>
                <w:noProof/>
                <w:webHidden/>
              </w:rPr>
              <w:tab/>
            </w:r>
            <w:r w:rsidR="00887A39">
              <w:rPr>
                <w:noProof/>
                <w:webHidden/>
              </w:rPr>
              <w:fldChar w:fldCharType="begin"/>
            </w:r>
            <w:r w:rsidR="00887A39">
              <w:rPr>
                <w:noProof/>
                <w:webHidden/>
              </w:rPr>
              <w:instrText xml:space="preserve"> PAGEREF _Toc310280504 \h </w:instrText>
            </w:r>
            <w:r w:rsidR="00887A39">
              <w:rPr>
                <w:noProof/>
                <w:webHidden/>
              </w:rPr>
            </w:r>
            <w:r w:rsidR="00887A39">
              <w:rPr>
                <w:noProof/>
                <w:webHidden/>
              </w:rPr>
              <w:fldChar w:fldCharType="separate"/>
            </w:r>
            <w:r w:rsidR="00887A39">
              <w:rPr>
                <w:noProof/>
                <w:webHidden/>
              </w:rPr>
              <w:t>22</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05" w:history="1">
            <w:r w:rsidR="00887A39" w:rsidRPr="00F627F4">
              <w:rPr>
                <w:rStyle w:val="Hyperlink"/>
                <w:noProof/>
              </w:rPr>
              <w:t>Reconsideration by the Minister</w:t>
            </w:r>
            <w:r w:rsidR="00887A39">
              <w:rPr>
                <w:noProof/>
                <w:webHidden/>
              </w:rPr>
              <w:tab/>
            </w:r>
            <w:r w:rsidR="00887A39">
              <w:rPr>
                <w:noProof/>
                <w:webHidden/>
              </w:rPr>
              <w:fldChar w:fldCharType="begin"/>
            </w:r>
            <w:r w:rsidR="00887A39">
              <w:rPr>
                <w:noProof/>
                <w:webHidden/>
              </w:rPr>
              <w:instrText xml:space="preserve"> PAGEREF _Toc310280505 \h </w:instrText>
            </w:r>
            <w:r w:rsidR="00887A39">
              <w:rPr>
                <w:noProof/>
                <w:webHidden/>
              </w:rPr>
            </w:r>
            <w:r w:rsidR="00887A39">
              <w:rPr>
                <w:noProof/>
                <w:webHidden/>
              </w:rPr>
              <w:fldChar w:fldCharType="separate"/>
            </w:r>
            <w:r w:rsidR="00887A39">
              <w:rPr>
                <w:noProof/>
                <w:webHidden/>
              </w:rPr>
              <w:t>22</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06" w:history="1">
            <w:r w:rsidR="00887A39" w:rsidRPr="00F627F4">
              <w:rPr>
                <w:rStyle w:val="Hyperlink"/>
                <w:noProof/>
              </w:rPr>
              <w:t>The Administrative Appeals Tribunal</w:t>
            </w:r>
            <w:r w:rsidR="00887A39">
              <w:rPr>
                <w:noProof/>
                <w:webHidden/>
              </w:rPr>
              <w:tab/>
            </w:r>
            <w:r w:rsidR="00887A39">
              <w:rPr>
                <w:noProof/>
                <w:webHidden/>
              </w:rPr>
              <w:fldChar w:fldCharType="begin"/>
            </w:r>
            <w:r w:rsidR="00887A39">
              <w:rPr>
                <w:noProof/>
                <w:webHidden/>
              </w:rPr>
              <w:instrText xml:space="preserve"> PAGEREF _Toc310280506 \h </w:instrText>
            </w:r>
            <w:r w:rsidR="00887A39">
              <w:rPr>
                <w:noProof/>
                <w:webHidden/>
              </w:rPr>
            </w:r>
            <w:r w:rsidR="00887A39">
              <w:rPr>
                <w:noProof/>
                <w:webHidden/>
              </w:rPr>
              <w:fldChar w:fldCharType="separate"/>
            </w:r>
            <w:r w:rsidR="00887A39">
              <w:rPr>
                <w:noProof/>
                <w:webHidden/>
              </w:rPr>
              <w:t>22</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507" w:history="1">
            <w:r w:rsidR="00887A39" w:rsidRPr="00F627F4">
              <w:rPr>
                <w:rStyle w:val="Hyperlink"/>
                <w:noProof/>
              </w:rPr>
              <w:t>8.</w:t>
            </w:r>
            <w:r w:rsidR="00887A39">
              <w:rPr>
                <w:rFonts w:asciiTheme="minorHAnsi" w:eastAsiaTheme="minorEastAsia" w:hAnsiTheme="minorHAnsi"/>
                <w:b w:val="0"/>
                <w:noProof/>
                <w:sz w:val="22"/>
                <w:lang w:eastAsia="en-AU"/>
              </w:rPr>
              <w:tab/>
            </w:r>
            <w:r w:rsidR="00887A39" w:rsidRPr="00F627F4">
              <w:rPr>
                <w:rStyle w:val="Hyperlink"/>
                <w:noProof/>
              </w:rPr>
              <w:t>Post marketing surveillance</w:t>
            </w:r>
            <w:r w:rsidR="00887A39">
              <w:rPr>
                <w:noProof/>
                <w:webHidden/>
              </w:rPr>
              <w:tab/>
            </w:r>
            <w:r w:rsidR="00887A39">
              <w:rPr>
                <w:noProof/>
                <w:webHidden/>
              </w:rPr>
              <w:fldChar w:fldCharType="begin"/>
            </w:r>
            <w:r w:rsidR="00887A39">
              <w:rPr>
                <w:noProof/>
                <w:webHidden/>
              </w:rPr>
              <w:instrText xml:space="preserve"> PAGEREF _Toc310280507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08" w:history="1">
            <w:r w:rsidR="00887A39" w:rsidRPr="00F627F4">
              <w:rPr>
                <w:rStyle w:val="Hyperlink"/>
                <w:noProof/>
              </w:rPr>
              <w:t>The sampling program</w:t>
            </w:r>
            <w:r w:rsidR="00887A39">
              <w:rPr>
                <w:noProof/>
                <w:webHidden/>
              </w:rPr>
              <w:tab/>
            </w:r>
            <w:r w:rsidR="00887A39">
              <w:rPr>
                <w:noProof/>
                <w:webHidden/>
              </w:rPr>
              <w:fldChar w:fldCharType="begin"/>
            </w:r>
            <w:r w:rsidR="00887A39">
              <w:rPr>
                <w:noProof/>
                <w:webHidden/>
              </w:rPr>
              <w:instrText xml:space="preserve"> PAGEREF _Toc310280508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09" w:history="1">
            <w:r w:rsidR="00887A39" w:rsidRPr="00F627F4">
              <w:rPr>
                <w:rStyle w:val="Hyperlink"/>
                <w:noProof/>
              </w:rPr>
              <w:t>Good Manufacturing Practice (GMP) audits</w:t>
            </w:r>
            <w:r w:rsidR="00887A39">
              <w:rPr>
                <w:noProof/>
                <w:webHidden/>
              </w:rPr>
              <w:tab/>
            </w:r>
            <w:r w:rsidR="00887A39">
              <w:rPr>
                <w:noProof/>
                <w:webHidden/>
              </w:rPr>
              <w:fldChar w:fldCharType="begin"/>
            </w:r>
            <w:r w:rsidR="00887A39">
              <w:rPr>
                <w:noProof/>
                <w:webHidden/>
              </w:rPr>
              <w:instrText xml:space="preserve"> PAGEREF _Toc310280509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0" w:history="1">
            <w:r w:rsidR="00887A39" w:rsidRPr="00F627F4">
              <w:rPr>
                <w:rStyle w:val="Hyperlink"/>
                <w:noProof/>
              </w:rPr>
              <w:t>‘Grandfathered’ products</w:t>
            </w:r>
            <w:r w:rsidR="00887A39">
              <w:rPr>
                <w:noProof/>
                <w:webHidden/>
              </w:rPr>
              <w:tab/>
            </w:r>
            <w:r w:rsidR="00887A39">
              <w:rPr>
                <w:noProof/>
                <w:webHidden/>
              </w:rPr>
              <w:fldChar w:fldCharType="begin"/>
            </w:r>
            <w:r w:rsidR="00887A39">
              <w:rPr>
                <w:noProof/>
                <w:webHidden/>
              </w:rPr>
              <w:instrText xml:space="preserve"> PAGEREF _Toc310280510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1" w:history="1">
            <w:r w:rsidR="00887A39" w:rsidRPr="00F627F4">
              <w:rPr>
                <w:rStyle w:val="Hyperlink"/>
                <w:noProof/>
              </w:rPr>
              <w:t>The Surveillance Unit</w:t>
            </w:r>
            <w:r w:rsidR="00887A39">
              <w:rPr>
                <w:noProof/>
                <w:webHidden/>
              </w:rPr>
              <w:tab/>
            </w:r>
            <w:r w:rsidR="00887A39">
              <w:rPr>
                <w:noProof/>
                <w:webHidden/>
              </w:rPr>
              <w:fldChar w:fldCharType="begin"/>
            </w:r>
            <w:r w:rsidR="00887A39">
              <w:rPr>
                <w:noProof/>
                <w:webHidden/>
              </w:rPr>
              <w:instrText xml:space="preserve"> PAGEREF _Toc310280511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2" w:history="1">
            <w:r w:rsidR="00887A39" w:rsidRPr="00F627F4">
              <w:rPr>
                <w:rStyle w:val="Hyperlink"/>
                <w:noProof/>
              </w:rPr>
              <w:t>Problem reporting and recall</w:t>
            </w:r>
            <w:r w:rsidR="00887A39">
              <w:rPr>
                <w:noProof/>
                <w:webHidden/>
              </w:rPr>
              <w:tab/>
            </w:r>
            <w:r w:rsidR="00887A39">
              <w:rPr>
                <w:noProof/>
                <w:webHidden/>
              </w:rPr>
              <w:fldChar w:fldCharType="begin"/>
            </w:r>
            <w:r w:rsidR="00887A39">
              <w:rPr>
                <w:noProof/>
                <w:webHidden/>
              </w:rPr>
              <w:instrText xml:space="preserve"> PAGEREF _Toc310280512 \h </w:instrText>
            </w:r>
            <w:r w:rsidR="00887A39">
              <w:rPr>
                <w:noProof/>
                <w:webHidden/>
              </w:rPr>
            </w:r>
            <w:r w:rsidR="00887A39">
              <w:rPr>
                <w:noProof/>
                <w:webHidden/>
              </w:rPr>
              <w:fldChar w:fldCharType="separate"/>
            </w:r>
            <w:r w:rsidR="00887A39">
              <w:rPr>
                <w:noProof/>
                <w:webHidden/>
              </w:rPr>
              <w:t>23</w:t>
            </w:r>
            <w:r w:rsidR="00887A39">
              <w:rPr>
                <w:noProof/>
                <w:webHidden/>
              </w:rPr>
              <w:fldChar w:fldCharType="end"/>
            </w:r>
          </w:hyperlink>
        </w:p>
        <w:p w:rsidR="00887A39" w:rsidRDefault="008453CD">
          <w:pPr>
            <w:pStyle w:val="TOC1"/>
            <w:tabs>
              <w:tab w:val="left" w:pos="624"/>
            </w:tabs>
            <w:rPr>
              <w:rFonts w:asciiTheme="minorHAnsi" w:eastAsiaTheme="minorEastAsia" w:hAnsiTheme="minorHAnsi"/>
              <w:b w:val="0"/>
              <w:noProof/>
              <w:sz w:val="22"/>
              <w:lang w:eastAsia="en-AU"/>
            </w:rPr>
          </w:pPr>
          <w:hyperlink w:anchor="_Toc310280513" w:history="1">
            <w:r w:rsidR="00887A39" w:rsidRPr="00F627F4">
              <w:rPr>
                <w:rStyle w:val="Hyperlink"/>
                <w:noProof/>
              </w:rPr>
              <w:t>9.</w:t>
            </w:r>
            <w:r w:rsidR="00887A39">
              <w:rPr>
                <w:rFonts w:asciiTheme="minorHAnsi" w:eastAsiaTheme="minorEastAsia" w:hAnsiTheme="minorHAnsi"/>
                <w:b w:val="0"/>
                <w:noProof/>
                <w:sz w:val="22"/>
                <w:lang w:eastAsia="en-AU"/>
              </w:rPr>
              <w:tab/>
            </w:r>
            <w:r w:rsidR="00887A39" w:rsidRPr="00F627F4">
              <w:rPr>
                <w:rStyle w:val="Hyperlink"/>
                <w:noProof/>
              </w:rPr>
              <w:t>MEC guidelines</w:t>
            </w:r>
            <w:r w:rsidR="00887A39">
              <w:rPr>
                <w:noProof/>
                <w:webHidden/>
              </w:rPr>
              <w:tab/>
            </w:r>
            <w:r w:rsidR="00887A39">
              <w:rPr>
                <w:noProof/>
                <w:webHidden/>
              </w:rPr>
              <w:fldChar w:fldCharType="begin"/>
            </w:r>
            <w:r w:rsidR="00887A39">
              <w:rPr>
                <w:noProof/>
                <w:webHidden/>
              </w:rPr>
              <w:instrText xml:space="preserve"> PAGEREF _Toc310280513 \h </w:instrText>
            </w:r>
            <w:r w:rsidR="00887A39">
              <w:rPr>
                <w:noProof/>
                <w:webHidden/>
              </w:rPr>
            </w:r>
            <w:r w:rsidR="00887A39">
              <w:rPr>
                <w:noProof/>
                <w:webHidden/>
              </w:rPr>
              <w:fldChar w:fldCharType="separate"/>
            </w:r>
            <w:r w:rsidR="00887A39">
              <w:rPr>
                <w:noProof/>
                <w:webHidden/>
              </w:rPr>
              <w:t>24</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514" w:history="1">
            <w:r w:rsidR="00887A39" w:rsidRPr="00F627F4">
              <w:rPr>
                <w:rStyle w:val="Hyperlink"/>
                <w:noProof/>
              </w:rPr>
              <w:t>10.</w:t>
            </w:r>
            <w:r w:rsidR="00887A39">
              <w:rPr>
                <w:rFonts w:asciiTheme="minorHAnsi" w:eastAsiaTheme="minorEastAsia" w:hAnsiTheme="minorHAnsi"/>
                <w:b w:val="0"/>
                <w:noProof/>
                <w:sz w:val="22"/>
                <w:lang w:eastAsia="en-AU"/>
              </w:rPr>
              <w:tab/>
            </w:r>
            <w:r w:rsidR="00887A39" w:rsidRPr="00F627F4">
              <w:rPr>
                <w:rStyle w:val="Hyperlink"/>
                <w:noProof/>
              </w:rPr>
              <w:t>Sunscreens</w:t>
            </w:r>
            <w:r w:rsidR="00887A39">
              <w:rPr>
                <w:noProof/>
                <w:webHidden/>
              </w:rPr>
              <w:tab/>
            </w:r>
            <w:r w:rsidR="00887A39">
              <w:rPr>
                <w:noProof/>
                <w:webHidden/>
              </w:rPr>
              <w:fldChar w:fldCharType="begin"/>
            </w:r>
            <w:r w:rsidR="00887A39">
              <w:rPr>
                <w:noProof/>
                <w:webHidden/>
              </w:rPr>
              <w:instrText xml:space="preserve"> PAGEREF _Toc310280514 \h </w:instrText>
            </w:r>
            <w:r w:rsidR="00887A39">
              <w:rPr>
                <w:noProof/>
                <w:webHidden/>
              </w:rPr>
            </w:r>
            <w:r w:rsidR="00887A39">
              <w:rPr>
                <w:noProof/>
                <w:webHidden/>
              </w:rPr>
              <w:fldChar w:fldCharType="separate"/>
            </w:r>
            <w:r w:rsidR="00887A39">
              <w:rPr>
                <w:noProof/>
                <w:webHidden/>
              </w:rPr>
              <w:t>25</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5" w:history="1">
            <w:r w:rsidR="00887A39" w:rsidRPr="00F627F4">
              <w:rPr>
                <w:rStyle w:val="Hyperlink"/>
                <w:noProof/>
              </w:rPr>
              <w:t>Introduction</w:t>
            </w:r>
            <w:r w:rsidR="00887A39">
              <w:rPr>
                <w:noProof/>
                <w:webHidden/>
              </w:rPr>
              <w:tab/>
            </w:r>
            <w:r w:rsidR="00887A39">
              <w:rPr>
                <w:noProof/>
                <w:webHidden/>
              </w:rPr>
              <w:fldChar w:fldCharType="begin"/>
            </w:r>
            <w:r w:rsidR="00887A39">
              <w:rPr>
                <w:noProof/>
                <w:webHidden/>
              </w:rPr>
              <w:instrText xml:space="preserve"> PAGEREF _Toc310280515 \h </w:instrText>
            </w:r>
            <w:r w:rsidR="00887A39">
              <w:rPr>
                <w:noProof/>
                <w:webHidden/>
              </w:rPr>
            </w:r>
            <w:r w:rsidR="00887A39">
              <w:rPr>
                <w:noProof/>
                <w:webHidden/>
              </w:rPr>
              <w:fldChar w:fldCharType="separate"/>
            </w:r>
            <w:r w:rsidR="00887A39">
              <w:rPr>
                <w:noProof/>
                <w:webHidden/>
              </w:rPr>
              <w:t>25</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6" w:history="1">
            <w:r w:rsidR="00887A39" w:rsidRPr="00F627F4">
              <w:rPr>
                <w:rStyle w:val="Hyperlink"/>
                <w:noProof/>
              </w:rPr>
              <w:t>Medicine or cosmetic?</w:t>
            </w:r>
            <w:r w:rsidR="00887A39">
              <w:rPr>
                <w:noProof/>
                <w:webHidden/>
              </w:rPr>
              <w:tab/>
            </w:r>
            <w:r w:rsidR="00887A39">
              <w:rPr>
                <w:noProof/>
                <w:webHidden/>
              </w:rPr>
              <w:fldChar w:fldCharType="begin"/>
            </w:r>
            <w:r w:rsidR="00887A39">
              <w:rPr>
                <w:noProof/>
                <w:webHidden/>
              </w:rPr>
              <w:instrText xml:space="preserve"> PAGEREF _Toc310280516 \h </w:instrText>
            </w:r>
            <w:r w:rsidR="00887A39">
              <w:rPr>
                <w:noProof/>
                <w:webHidden/>
              </w:rPr>
            </w:r>
            <w:r w:rsidR="00887A39">
              <w:rPr>
                <w:noProof/>
                <w:webHidden/>
              </w:rPr>
              <w:fldChar w:fldCharType="separate"/>
            </w:r>
            <w:r w:rsidR="00887A39">
              <w:rPr>
                <w:noProof/>
                <w:webHidden/>
              </w:rPr>
              <w:t>25</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17" w:history="1">
            <w:r w:rsidR="00887A39" w:rsidRPr="00F627F4">
              <w:rPr>
                <w:rStyle w:val="Hyperlink"/>
                <w:noProof/>
              </w:rPr>
              <w:t>Regulatory requirements for sunscreens</w:t>
            </w:r>
            <w:r w:rsidR="00887A39">
              <w:rPr>
                <w:noProof/>
                <w:webHidden/>
              </w:rPr>
              <w:tab/>
            </w:r>
            <w:r w:rsidR="00887A39">
              <w:rPr>
                <w:noProof/>
                <w:webHidden/>
              </w:rPr>
              <w:fldChar w:fldCharType="begin"/>
            </w:r>
            <w:r w:rsidR="00887A39">
              <w:rPr>
                <w:noProof/>
                <w:webHidden/>
              </w:rPr>
              <w:instrText xml:space="preserve"> PAGEREF _Toc310280517 \h </w:instrText>
            </w:r>
            <w:r w:rsidR="00887A39">
              <w:rPr>
                <w:noProof/>
                <w:webHidden/>
              </w:rPr>
            </w:r>
            <w:r w:rsidR="00887A39">
              <w:rPr>
                <w:noProof/>
                <w:webHidden/>
              </w:rPr>
              <w:fldChar w:fldCharType="separate"/>
            </w:r>
            <w:r w:rsidR="00887A39">
              <w:rPr>
                <w:noProof/>
                <w:webHidden/>
              </w:rPr>
              <w:t>25</w:t>
            </w:r>
            <w:r w:rsidR="00887A39">
              <w:rPr>
                <w:noProof/>
                <w:webHidden/>
              </w:rPr>
              <w:fldChar w:fldCharType="end"/>
            </w:r>
          </w:hyperlink>
        </w:p>
        <w:p w:rsidR="00887A39" w:rsidRDefault="008453CD">
          <w:pPr>
            <w:pStyle w:val="TOC3"/>
            <w:rPr>
              <w:rFonts w:eastAsiaTheme="minorEastAsia"/>
              <w:noProof/>
              <w:sz w:val="22"/>
              <w:lang w:eastAsia="en-AU"/>
            </w:rPr>
          </w:pPr>
          <w:hyperlink w:anchor="_Toc310280518" w:history="1">
            <w:r w:rsidR="00887A39" w:rsidRPr="00F627F4">
              <w:rPr>
                <w:rStyle w:val="Hyperlink"/>
                <w:noProof/>
              </w:rPr>
              <w:t>Exempt sunscreens</w:t>
            </w:r>
            <w:r w:rsidR="00887A39">
              <w:rPr>
                <w:noProof/>
                <w:webHidden/>
              </w:rPr>
              <w:tab/>
            </w:r>
            <w:r w:rsidR="00887A39">
              <w:rPr>
                <w:noProof/>
                <w:webHidden/>
              </w:rPr>
              <w:fldChar w:fldCharType="begin"/>
            </w:r>
            <w:r w:rsidR="00887A39">
              <w:rPr>
                <w:noProof/>
                <w:webHidden/>
              </w:rPr>
              <w:instrText xml:space="preserve"> PAGEREF _Toc310280518 \h </w:instrText>
            </w:r>
            <w:r w:rsidR="00887A39">
              <w:rPr>
                <w:noProof/>
                <w:webHidden/>
              </w:rPr>
            </w:r>
            <w:r w:rsidR="00887A39">
              <w:rPr>
                <w:noProof/>
                <w:webHidden/>
              </w:rPr>
              <w:fldChar w:fldCharType="separate"/>
            </w:r>
            <w:r w:rsidR="00887A39">
              <w:rPr>
                <w:noProof/>
                <w:webHidden/>
              </w:rPr>
              <w:t>25</w:t>
            </w:r>
            <w:r w:rsidR="00887A39">
              <w:rPr>
                <w:noProof/>
                <w:webHidden/>
              </w:rPr>
              <w:fldChar w:fldCharType="end"/>
            </w:r>
          </w:hyperlink>
        </w:p>
        <w:p w:rsidR="00887A39" w:rsidRDefault="008453CD">
          <w:pPr>
            <w:pStyle w:val="TOC3"/>
            <w:rPr>
              <w:rFonts w:eastAsiaTheme="minorEastAsia"/>
              <w:noProof/>
              <w:sz w:val="22"/>
              <w:lang w:eastAsia="en-AU"/>
            </w:rPr>
          </w:pPr>
          <w:hyperlink w:anchor="_Toc310280519" w:history="1">
            <w:r w:rsidR="00887A39" w:rsidRPr="00F627F4">
              <w:rPr>
                <w:rStyle w:val="Hyperlink"/>
                <w:noProof/>
              </w:rPr>
              <w:t>Listing of sunscreens</w:t>
            </w:r>
            <w:r w:rsidR="00887A39">
              <w:rPr>
                <w:noProof/>
                <w:webHidden/>
              </w:rPr>
              <w:tab/>
            </w:r>
            <w:r w:rsidR="00887A39">
              <w:rPr>
                <w:noProof/>
                <w:webHidden/>
              </w:rPr>
              <w:fldChar w:fldCharType="begin"/>
            </w:r>
            <w:r w:rsidR="00887A39">
              <w:rPr>
                <w:noProof/>
                <w:webHidden/>
              </w:rPr>
              <w:instrText xml:space="preserve"> PAGEREF _Toc310280519 \h </w:instrText>
            </w:r>
            <w:r w:rsidR="00887A39">
              <w:rPr>
                <w:noProof/>
                <w:webHidden/>
              </w:rPr>
            </w:r>
            <w:r w:rsidR="00887A39">
              <w:rPr>
                <w:noProof/>
                <w:webHidden/>
              </w:rPr>
              <w:fldChar w:fldCharType="separate"/>
            </w:r>
            <w:r w:rsidR="00887A39">
              <w:rPr>
                <w:noProof/>
                <w:webHidden/>
              </w:rPr>
              <w:t>26</w:t>
            </w:r>
            <w:r w:rsidR="00887A39">
              <w:rPr>
                <w:noProof/>
                <w:webHidden/>
              </w:rPr>
              <w:fldChar w:fldCharType="end"/>
            </w:r>
          </w:hyperlink>
        </w:p>
        <w:p w:rsidR="00887A39" w:rsidRDefault="008453CD">
          <w:pPr>
            <w:pStyle w:val="TOC3"/>
            <w:rPr>
              <w:rFonts w:eastAsiaTheme="minorEastAsia"/>
              <w:noProof/>
              <w:sz w:val="22"/>
              <w:lang w:eastAsia="en-AU"/>
            </w:rPr>
          </w:pPr>
          <w:hyperlink w:anchor="_Toc310280520" w:history="1">
            <w:r w:rsidR="00887A39" w:rsidRPr="00F627F4">
              <w:rPr>
                <w:rStyle w:val="Hyperlink"/>
                <w:noProof/>
              </w:rPr>
              <w:t>Registration of sunscreens</w:t>
            </w:r>
            <w:r w:rsidR="00887A39">
              <w:rPr>
                <w:noProof/>
                <w:webHidden/>
              </w:rPr>
              <w:tab/>
            </w:r>
            <w:r w:rsidR="00887A39">
              <w:rPr>
                <w:noProof/>
                <w:webHidden/>
              </w:rPr>
              <w:fldChar w:fldCharType="begin"/>
            </w:r>
            <w:r w:rsidR="00887A39">
              <w:rPr>
                <w:noProof/>
                <w:webHidden/>
              </w:rPr>
              <w:instrText xml:space="preserve"> PAGEREF _Toc310280520 \h </w:instrText>
            </w:r>
            <w:r w:rsidR="00887A39">
              <w:rPr>
                <w:noProof/>
                <w:webHidden/>
              </w:rPr>
            </w:r>
            <w:r w:rsidR="00887A39">
              <w:rPr>
                <w:noProof/>
                <w:webHidden/>
              </w:rPr>
              <w:fldChar w:fldCharType="separate"/>
            </w:r>
            <w:r w:rsidR="00887A39">
              <w:rPr>
                <w:noProof/>
                <w:webHidden/>
              </w:rPr>
              <w:t>27</w:t>
            </w:r>
            <w:r w:rsidR="00887A39">
              <w:rPr>
                <w:noProof/>
                <w:webHidden/>
              </w:rPr>
              <w:fldChar w:fldCharType="end"/>
            </w:r>
          </w:hyperlink>
        </w:p>
        <w:p w:rsidR="00887A39" w:rsidRDefault="008453CD">
          <w:pPr>
            <w:pStyle w:val="TOC3"/>
            <w:rPr>
              <w:rFonts w:eastAsiaTheme="minorEastAsia"/>
              <w:noProof/>
              <w:sz w:val="22"/>
              <w:lang w:eastAsia="en-AU"/>
            </w:rPr>
          </w:pPr>
          <w:hyperlink w:anchor="_Toc310280521" w:history="1">
            <w:r w:rsidR="00887A39" w:rsidRPr="00F627F4">
              <w:rPr>
                <w:rStyle w:val="Hyperlink"/>
                <w:noProof/>
              </w:rPr>
              <w:t>Labelling of sunscreens</w:t>
            </w:r>
            <w:r w:rsidR="00887A39">
              <w:rPr>
                <w:noProof/>
                <w:webHidden/>
              </w:rPr>
              <w:tab/>
            </w:r>
            <w:r w:rsidR="00887A39">
              <w:rPr>
                <w:noProof/>
                <w:webHidden/>
              </w:rPr>
              <w:fldChar w:fldCharType="begin"/>
            </w:r>
            <w:r w:rsidR="00887A39">
              <w:rPr>
                <w:noProof/>
                <w:webHidden/>
              </w:rPr>
              <w:instrText xml:space="preserve"> PAGEREF _Toc310280521 \h </w:instrText>
            </w:r>
            <w:r w:rsidR="00887A39">
              <w:rPr>
                <w:noProof/>
                <w:webHidden/>
              </w:rPr>
            </w:r>
            <w:r w:rsidR="00887A39">
              <w:rPr>
                <w:noProof/>
                <w:webHidden/>
              </w:rPr>
              <w:fldChar w:fldCharType="separate"/>
            </w:r>
            <w:r w:rsidR="00887A39">
              <w:rPr>
                <w:noProof/>
                <w:webHidden/>
              </w:rPr>
              <w:t>27</w:t>
            </w:r>
            <w:r w:rsidR="00887A39">
              <w:rPr>
                <w:noProof/>
                <w:webHidden/>
              </w:rPr>
              <w:fldChar w:fldCharType="end"/>
            </w:r>
          </w:hyperlink>
        </w:p>
        <w:p w:rsidR="00887A39" w:rsidRDefault="008453CD">
          <w:pPr>
            <w:pStyle w:val="TOC3"/>
            <w:rPr>
              <w:rFonts w:eastAsiaTheme="minorEastAsia"/>
              <w:noProof/>
              <w:sz w:val="22"/>
              <w:lang w:eastAsia="en-AU"/>
            </w:rPr>
          </w:pPr>
          <w:hyperlink w:anchor="_Toc310280522" w:history="1">
            <w:r w:rsidR="00887A39" w:rsidRPr="00F627F4">
              <w:rPr>
                <w:rStyle w:val="Hyperlink"/>
                <w:noProof/>
              </w:rPr>
              <w:t>Stability testing of sunscreens</w:t>
            </w:r>
            <w:r w:rsidR="00887A39">
              <w:rPr>
                <w:noProof/>
                <w:webHidden/>
              </w:rPr>
              <w:tab/>
            </w:r>
            <w:r w:rsidR="00887A39">
              <w:rPr>
                <w:noProof/>
                <w:webHidden/>
              </w:rPr>
              <w:fldChar w:fldCharType="begin"/>
            </w:r>
            <w:r w:rsidR="00887A39">
              <w:rPr>
                <w:noProof/>
                <w:webHidden/>
              </w:rPr>
              <w:instrText xml:space="preserve"> PAGEREF _Toc310280522 \h </w:instrText>
            </w:r>
            <w:r w:rsidR="00887A39">
              <w:rPr>
                <w:noProof/>
                <w:webHidden/>
              </w:rPr>
            </w:r>
            <w:r w:rsidR="00887A39">
              <w:rPr>
                <w:noProof/>
                <w:webHidden/>
              </w:rPr>
              <w:fldChar w:fldCharType="separate"/>
            </w:r>
            <w:r w:rsidR="00887A39">
              <w:rPr>
                <w:noProof/>
                <w:webHidden/>
              </w:rPr>
              <w:t>28</w:t>
            </w:r>
            <w:r w:rsidR="00887A39">
              <w:rPr>
                <w:noProof/>
                <w:webHidden/>
              </w:rPr>
              <w:fldChar w:fldCharType="end"/>
            </w:r>
          </w:hyperlink>
        </w:p>
        <w:p w:rsidR="00887A39" w:rsidRDefault="008453CD">
          <w:pPr>
            <w:pStyle w:val="TOC3"/>
            <w:rPr>
              <w:rFonts w:eastAsiaTheme="minorEastAsia"/>
              <w:noProof/>
              <w:sz w:val="22"/>
              <w:lang w:eastAsia="en-AU"/>
            </w:rPr>
          </w:pPr>
          <w:hyperlink w:anchor="_Toc310280523" w:history="1">
            <w:r w:rsidR="00887A39" w:rsidRPr="00F627F4">
              <w:rPr>
                <w:rStyle w:val="Hyperlink"/>
                <w:noProof/>
              </w:rPr>
              <w:t>Microbial content and preservative efficacy of sunscreens</w:t>
            </w:r>
            <w:r w:rsidR="00887A39">
              <w:rPr>
                <w:noProof/>
                <w:webHidden/>
              </w:rPr>
              <w:tab/>
            </w:r>
            <w:r w:rsidR="00887A39">
              <w:rPr>
                <w:noProof/>
                <w:webHidden/>
              </w:rPr>
              <w:fldChar w:fldCharType="begin"/>
            </w:r>
            <w:r w:rsidR="00887A39">
              <w:rPr>
                <w:noProof/>
                <w:webHidden/>
              </w:rPr>
              <w:instrText xml:space="preserve"> PAGEREF _Toc310280523 \h </w:instrText>
            </w:r>
            <w:r w:rsidR="00887A39">
              <w:rPr>
                <w:noProof/>
                <w:webHidden/>
              </w:rPr>
            </w:r>
            <w:r w:rsidR="00887A39">
              <w:rPr>
                <w:noProof/>
                <w:webHidden/>
              </w:rPr>
              <w:fldChar w:fldCharType="separate"/>
            </w:r>
            <w:r w:rsidR="00887A39">
              <w:rPr>
                <w:noProof/>
                <w:webHidden/>
              </w:rPr>
              <w:t>28</w:t>
            </w:r>
            <w:r w:rsidR="00887A39">
              <w:rPr>
                <w:noProof/>
                <w:webHidden/>
              </w:rPr>
              <w:fldChar w:fldCharType="end"/>
            </w:r>
          </w:hyperlink>
        </w:p>
        <w:p w:rsidR="00887A39" w:rsidRDefault="008453CD">
          <w:pPr>
            <w:pStyle w:val="TOC3"/>
            <w:rPr>
              <w:rFonts w:eastAsiaTheme="minorEastAsia"/>
              <w:noProof/>
              <w:sz w:val="22"/>
              <w:lang w:eastAsia="en-AU"/>
            </w:rPr>
          </w:pPr>
          <w:hyperlink w:anchor="_Toc310280524" w:history="1">
            <w:r w:rsidR="00887A39" w:rsidRPr="00F627F4">
              <w:rPr>
                <w:rStyle w:val="Hyperlink"/>
                <w:noProof/>
              </w:rPr>
              <w:t>Manufacturers of sunscreens</w:t>
            </w:r>
            <w:r w:rsidR="00887A39">
              <w:rPr>
                <w:noProof/>
                <w:webHidden/>
              </w:rPr>
              <w:tab/>
            </w:r>
            <w:r w:rsidR="00887A39">
              <w:rPr>
                <w:noProof/>
                <w:webHidden/>
              </w:rPr>
              <w:fldChar w:fldCharType="begin"/>
            </w:r>
            <w:r w:rsidR="00887A39">
              <w:rPr>
                <w:noProof/>
                <w:webHidden/>
              </w:rPr>
              <w:instrText xml:space="preserve"> PAGEREF _Toc310280524 \h </w:instrText>
            </w:r>
            <w:r w:rsidR="00887A39">
              <w:rPr>
                <w:noProof/>
                <w:webHidden/>
              </w:rPr>
            </w:r>
            <w:r w:rsidR="00887A39">
              <w:rPr>
                <w:noProof/>
                <w:webHidden/>
              </w:rPr>
              <w:fldChar w:fldCharType="separate"/>
            </w:r>
            <w:r w:rsidR="00887A39">
              <w:rPr>
                <w:noProof/>
                <w:webHidden/>
              </w:rPr>
              <w:t>28</w:t>
            </w:r>
            <w:r w:rsidR="00887A39">
              <w:rPr>
                <w:noProof/>
                <w:webHidden/>
              </w:rPr>
              <w:fldChar w:fldCharType="end"/>
            </w:r>
          </w:hyperlink>
        </w:p>
        <w:p w:rsidR="00887A39" w:rsidRDefault="008453CD">
          <w:pPr>
            <w:pStyle w:val="TOC3"/>
            <w:rPr>
              <w:rFonts w:eastAsiaTheme="minorEastAsia"/>
              <w:noProof/>
              <w:sz w:val="22"/>
              <w:lang w:eastAsia="en-AU"/>
            </w:rPr>
          </w:pPr>
          <w:hyperlink w:anchor="_Toc310280525" w:history="1">
            <w:r w:rsidR="00887A39" w:rsidRPr="00F627F4">
              <w:rPr>
                <w:rStyle w:val="Hyperlink"/>
                <w:noProof/>
              </w:rPr>
              <w:t>Sunscreening agents permitted as active ingredients in listed or exempt products</w:t>
            </w:r>
            <w:r w:rsidR="00887A39">
              <w:rPr>
                <w:noProof/>
                <w:webHidden/>
              </w:rPr>
              <w:tab/>
            </w:r>
            <w:r w:rsidR="00887A39">
              <w:rPr>
                <w:noProof/>
                <w:webHidden/>
              </w:rPr>
              <w:fldChar w:fldCharType="begin"/>
            </w:r>
            <w:r w:rsidR="00887A39">
              <w:rPr>
                <w:noProof/>
                <w:webHidden/>
              </w:rPr>
              <w:instrText xml:space="preserve"> PAGEREF _Toc310280525 \h </w:instrText>
            </w:r>
            <w:r w:rsidR="00887A39">
              <w:rPr>
                <w:noProof/>
                <w:webHidden/>
              </w:rPr>
            </w:r>
            <w:r w:rsidR="00887A39">
              <w:rPr>
                <w:noProof/>
                <w:webHidden/>
              </w:rPr>
              <w:fldChar w:fldCharType="separate"/>
            </w:r>
            <w:r w:rsidR="00887A39">
              <w:rPr>
                <w:noProof/>
                <w:webHidden/>
              </w:rPr>
              <w:t>28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26" w:history="1">
            <w:r w:rsidR="00887A39" w:rsidRPr="00F627F4">
              <w:rPr>
                <w:rStyle w:val="Hyperlink"/>
                <w:noProof/>
              </w:rPr>
              <w:t>New active ingredients in sunscreens</w:t>
            </w:r>
            <w:r w:rsidR="00887A39">
              <w:rPr>
                <w:noProof/>
                <w:webHidden/>
              </w:rPr>
              <w:tab/>
            </w:r>
            <w:r w:rsidR="00887A39">
              <w:rPr>
                <w:noProof/>
                <w:webHidden/>
              </w:rPr>
              <w:fldChar w:fldCharType="begin"/>
            </w:r>
            <w:r w:rsidR="00887A39">
              <w:rPr>
                <w:noProof/>
                <w:webHidden/>
              </w:rPr>
              <w:instrText xml:space="preserve"> PAGEREF _Toc310280526 \h </w:instrText>
            </w:r>
            <w:r w:rsidR="00887A39">
              <w:rPr>
                <w:noProof/>
                <w:webHidden/>
              </w:rPr>
            </w:r>
            <w:r w:rsidR="00887A39">
              <w:rPr>
                <w:noProof/>
                <w:webHidden/>
              </w:rPr>
              <w:fldChar w:fldCharType="separate"/>
            </w:r>
            <w:r w:rsidR="00887A39">
              <w:rPr>
                <w:noProof/>
                <w:webHidden/>
              </w:rPr>
              <w:t>28</w:t>
            </w:r>
            <w:r w:rsidR="00887A39">
              <w:rPr>
                <w:noProof/>
                <w:webHidden/>
              </w:rPr>
              <w:fldChar w:fldCharType="end"/>
            </w:r>
          </w:hyperlink>
        </w:p>
        <w:p w:rsidR="00887A39" w:rsidRDefault="008453CD">
          <w:pPr>
            <w:pStyle w:val="TOC3"/>
            <w:rPr>
              <w:rFonts w:eastAsiaTheme="minorEastAsia"/>
              <w:noProof/>
              <w:sz w:val="22"/>
              <w:lang w:eastAsia="en-AU"/>
            </w:rPr>
          </w:pPr>
          <w:hyperlink w:anchor="_Toc310280527" w:history="1">
            <w:r w:rsidR="00887A39" w:rsidRPr="00F627F4">
              <w:rPr>
                <w:rStyle w:val="Hyperlink"/>
                <w:noProof/>
              </w:rPr>
              <w:t>Data requirements</w:t>
            </w:r>
            <w:r w:rsidR="00887A39">
              <w:rPr>
                <w:noProof/>
                <w:webHidden/>
              </w:rPr>
              <w:tab/>
            </w:r>
            <w:r w:rsidR="00887A39">
              <w:rPr>
                <w:noProof/>
                <w:webHidden/>
              </w:rPr>
              <w:fldChar w:fldCharType="begin"/>
            </w:r>
            <w:r w:rsidR="00887A39">
              <w:rPr>
                <w:noProof/>
                <w:webHidden/>
              </w:rPr>
              <w:instrText xml:space="preserve"> PAGEREF _Toc310280527 \h </w:instrText>
            </w:r>
            <w:r w:rsidR="00887A39">
              <w:rPr>
                <w:noProof/>
                <w:webHidden/>
              </w:rPr>
            </w:r>
            <w:r w:rsidR="00887A39">
              <w:rPr>
                <w:noProof/>
                <w:webHidden/>
              </w:rPr>
              <w:fldChar w:fldCharType="separate"/>
            </w:r>
            <w:r w:rsidR="00887A39">
              <w:rPr>
                <w:noProof/>
                <w:webHidden/>
              </w:rPr>
              <w:t>29</w:t>
            </w:r>
            <w:r w:rsidR="00887A39">
              <w:rPr>
                <w:noProof/>
                <w:webHidden/>
              </w:rPr>
              <w:fldChar w:fldCharType="end"/>
            </w:r>
          </w:hyperlink>
        </w:p>
        <w:p w:rsidR="00887A39" w:rsidRDefault="008453CD">
          <w:pPr>
            <w:pStyle w:val="TOC3"/>
            <w:rPr>
              <w:rFonts w:eastAsiaTheme="minorEastAsia"/>
              <w:noProof/>
              <w:sz w:val="22"/>
              <w:lang w:eastAsia="en-AU"/>
            </w:rPr>
          </w:pPr>
          <w:hyperlink w:anchor="_Toc310280528" w:history="1">
            <w:r w:rsidR="00887A39" w:rsidRPr="00F627F4">
              <w:rPr>
                <w:rStyle w:val="Hyperlink"/>
                <w:noProof/>
              </w:rPr>
              <w:t>Justification for not providing particular studies</w:t>
            </w:r>
            <w:r w:rsidR="00887A39">
              <w:rPr>
                <w:noProof/>
                <w:webHidden/>
              </w:rPr>
              <w:tab/>
            </w:r>
            <w:r w:rsidR="00887A39">
              <w:rPr>
                <w:noProof/>
                <w:webHidden/>
              </w:rPr>
              <w:fldChar w:fldCharType="begin"/>
            </w:r>
            <w:r w:rsidR="00887A39">
              <w:rPr>
                <w:noProof/>
                <w:webHidden/>
              </w:rPr>
              <w:instrText xml:space="preserve"> PAGEREF _Toc310280528 \h </w:instrText>
            </w:r>
            <w:r w:rsidR="00887A39">
              <w:rPr>
                <w:noProof/>
                <w:webHidden/>
              </w:rPr>
            </w:r>
            <w:r w:rsidR="00887A39">
              <w:rPr>
                <w:noProof/>
                <w:webHidden/>
              </w:rPr>
              <w:fldChar w:fldCharType="separate"/>
            </w:r>
            <w:r w:rsidR="00887A39">
              <w:rPr>
                <w:noProof/>
                <w:webHidden/>
              </w:rPr>
              <w:t>30</w:t>
            </w:r>
            <w:r w:rsidR="00887A39">
              <w:rPr>
                <w:noProof/>
                <w:webHidden/>
              </w:rPr>
              <w:fldChar w:fldCharType="end"/>
            </w:r>
          </w:hyperlink>
        </w:p>
        <w:p w:rsidR="00887A39" w:rsidRDefault="008453CD">
          <w:pPr>
            <w:pStyle w:val="TOC3"/>
            <w:rPr>
              <w:rFonts w:eastAsiaTheme="minorEastAsia"/>
              <w:noProof/>
              <w:sz w:val="22"/>
              <w:lang w:eastAsia="en-AU"/>
            </w:rPr>
          </w:pPr>
          <w:hyperlink w:anchor="_Toc310280529" w:history="1">
            <w:r w:rsidR="00887A39" w:rsidRPr="00F627F4">
              <w:rPr>
                <w:rStyle w:val="Hyperlink"/>
                <w:noProof/>
              </w:rPr>
              <w:t>Related studies</w:t>
            </w:r>
            <w:r w:rsidR="00887A39">
              <w:rPr>
                <w:noProof/>
                <w:webHidden/>
              </w:rPr>
              <w:tab/>
            </w:r>
            <w:r w:rsidR="00887A39">
              <w:rPr>
                <w:noProof/>
                <w:webHidden/>
              </w:rPr>
              <w:fldChar w:fldCharType="begin"/>
            </w:r>
            <w:r w:rsidR="00887A39">
              <w:rPr>
                <w:noProof/>
                <w:webHidden/>
              </w:rPr>
              <w:instrText xml:space="preserve"> PAGEREF _Toc310280529 \h </w:instrText>
            </w:r>
            <w:r w:rsidR="00887A39">
              <w:rPr>
                <w:noProof/>
                <w:webHidden/>
              </w:rPr>
            </w:r>
            <w:r w:rsidR="00887A39">
              <w:rPr>
                <w:noProof/>
                <w:webHidden/>
              </w:rPr>
              <w:fldChar w:fldCharType="separate"/>
            </w:r>
            <w:r w:rsidR="00887A39">
              <w:rPr>
                <w:noProof/>
                <w:webHidden/>
              </w:rPr>
              <w:t>31</w:t>
            </w:r>
            <w:r w:rsidR="00887A39">
              <w:rPr>
                <w:noProof/>
                <w:webHidden/>
              </w:rPr>
              <w:fldChar w:fldCharType="end"/>
            </w:r>
          </w:hyperlink>
        </w:p>
        <w:p w:rsidR="00887A39" w:rsidRDefault="008453CD">
          <w:pPr>
            <w:pStyle w:val="TOC3"/>
            <w:rPr>
              <w:rFonts w:eastAsiaTheme="minorEastAsia"/>
              <w:noProof/>
              <w:sz w:val="22"/>
              <w:lang w:eastAsia="en-AU"/>
            </w:rPr>
          </w:pPr>
          <w:hyperlink w:anchor="_Toc310280530" w:history="1">
            <w:r w:rsidR="00887A39" w:rsidRPr="00F627F4">
              <w:rPr>
                <w:rStyle w:val="Hyperlink"/>
                <w:noProof/>
              </w:rPr>
              <w:t>Chemistry requirements</w:t>
            </w:r>
            <w:r w:rsidR="00887A39">
              <w:rPr>
                <w:noProof/>
                <w:webHidden/>
              </w:rPr>
              <w:tab/>
            </w:r>
            <w:r w:rsidR="00887A39">
              <w:rPr>
                <w:noProof/>
                <w:webHidden/>
              </w:rPr>
              <w:fldChar w:fldCharType="begin"/>
            </w:r>
            <w:r w:rsidR="00887A39">
              <w:rPr>
                <w:noProof/>
                <w:webHidden/>
              </w:rPr>
              <w:instrText xml:space="preserve"> PAGEREF _Toc310280530 \h </w:instrText>
            </w:r>
            <w:r w:rsidR="00887A39">
              <w:rPr>
                <w:noProof/>
                <w:webHidden/>
              </w:rPr>
            </w:r>
            <w:r w:rsidR="00887A39">
              <w:rPr>
                <w:noProof/>
                <w:webHidden/>
              </w:rPr>
              <w:fldChar w:fldCharType="separate"/>
            </w:r>
            <w:r w:rsidR="00887A39">
              <w:rPr>
                <w:noProof/>
                <w:webHidden/>
              </w:rPr>
              <w:t>31</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1" w:history="1">
            <w:r w:rsidR="00887A39" w:rsidRPr="00F627F4">
              <w:rPr>
                <w:rStyle w:val="Hyperlink"/>
                <w:noProof/>
              </w:rPr>
              <w:t>New excipients in sunscreens</w:t>
            </w:r>
            <w:r w:rsidR="00887A39">
              <w:rPr>
                <w:noProof/>
                <w:webHidden/>
              </w:rPr>
              <w:tab/>
            </w:r>
            <w:r w:rsidR="00887A39">
              <w:rPr>
                <w:noProof/>
                <w:webHidden/>
              </w:rPr>
              <w:fldChar w:fldCharType="begin"/>
            </w:r>
            <w:r w:rsidR="00887A39">
              <w:rPr>
                <w:noProof/>
                <w:webHidden/>
              </w:rPr>
              <w:instrText xml:space="preserve"> PAGEREF _Toc310280531 \h </w:instrText>
            </w:r>
            <w:r w:rsidR="00887A39">
              <w:rPr>
                <w:noProof/>
                <w:webHidden/>
              </w:rPr>
            </w:r>
            <w:r w:rsidR="00887A39">
              <w:rPr>
                <w:noProof/>
                <w:webHidden/>
              </w:rPr>
              <w:fldChar w:fldCharType="separate"/>
            </w:r>
            <w:r w:rsidR="00887A39">
              <w:rPr>
                <w:noProof/>
                <w:webHidden/>
              </w:rPr>
              <w:t>31</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2" w:history="1">
            <w:r w:rsidR="00887A39" w:rsidRPr="00F627F4">
              <w:rPr>
                <w:rStyle w:val="Hyperlink"/>
                <w:noProof/>
              </w:rPr>
              <w:t>Summary of sunscreen regulation</w:t>
            </w:r>
            <w:r w:rsidR="00887A39">
              <w:rPr>
                <w:noProof/>
                <w:webHidden/>
              </w:rPr>
              <w:tab/>
            </w:r>
            <w:r w:rsidR="00887A39">
              <w:rPr>
                <w:noProof/>
                <w:webHidden/>
              </w:rPr>
              <w:fldChar w:fldCharType="begin"/>
            </w:r>
            <w:r w:rsidR="00887A39">
              <w:rPr>
                <w:noProof/>
                <w:webHidden/>
              </w:rPr>
              <w:instrText xml:space="preserve"> PAGEREF _Toc310280532 \h </w:instrText>
            </w:r>
            <w:r w:rsidR="00887A39">
              <w:rPr>
                <w:noProof/>
                <w:webHidden/>
              </w:rPr>
            </w:r>
            <w:r w:rsidR="00887A39">
              <w:rPr>
                <w:noProof/>
                <w:webHidden/>
              </w:rPr>
              <w:fldChar w:fldCharType="separate"/>
            </w:r>
            <w:r w:rsidR="00887A39">
              <w:rPr>
                <w:noProof/>
                <w:webHidden/>
              </w:rPr>
              <w:t>33</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3" w:history="1">
            <w:r w:rsidR="00887A39" w:rsidRPr="00F627F4">
              <w:rPr>
                <w:rStyle w:val="Hyperlink"/>
                <w:noProof/>
              </w:rPr>
              <w:t>Sunscreening agents permitted as active ingredients in listed products</w:t>
            </w:r>
            <w:r w:rsidR="00887A39">
              <w:rPr>
                <w:noProof/>
                <w:webHidden/>
              </w:rPr>
              <w:tab/>
            </w:r>
            <w:r w:rsidR="00887A39">
              <w:rPr>
                <w:noProof/>
                <w:webHidden/>
              </w:rPr>
              <w:fldChar w:fldCharType="begin"/>
            </w:r>
            <w:r w:rsidR="00887A39">
              <w:rPr>
                <w:noProof/>
                <w:webHidden/>
              </w:rPr>
              <w:instrText xml:space="preserve"> PAGEREF _Toc310280533 \h </w:instrText>
            </w:r>
            <w:r w:rsidR="00887A39">
              <w:rPr>
                <w:noProof/>
                <w:webHidden/>
              </w:rPr>
            </w:r>
            <w:r w:rsidR="00887A39">
              <w:rPr>
                <w:noProof/>
                <w:webHidden/>
              </w:rPr>
              <w:fldChar w:fldCharType="separate"/>
            </w:r>
            <w:r w:rsidR="00887A39">
              <w:rPr>
                <w:noProof/>
                <w:webHidden/>
              </w:rPr>
              <w:t>34</w:t>
            </w:r>
            <w:r w:rsidR="00887A39">
              <w:rPr>
                <w:noProof/>
                <w:webHidden/>
              </w:rPr>
              <w:fldChar w:fldCharType="end"/>
            </w:r>
          </w:hyperlink>
        </w:p>
        <w:p w:rsidR="00887A39" w:rsidRDefault="008453CD">
          <w:pPr>
            <w:pStyle w:val="TOC1"/>
            <w:tabs>
              <w:tab w:val="left" w:pos="1021"/>
            </w:tabs>
            <w:rPr>
              <w:rFonts w:asciiTheme="minorHAnsi" w:eastAsiaTheme="minorEastAsia" w:hAnsiTheme="minorHAnsi"/>
              <w:b w:val="0"/>
              <w:noProof/>
              <w:sz w:val="22"/>
              <w:lang w:eastAsia="en-AU"/>
            </w:rPr>
          </w:pPr>
          <w:hyperlink w:anchor="_Toc310280534" w:history="1">
            <w:r w:rsidR="00887A39" w:rsidRPr="00F627F4">
              <w:rPr>
                <w:rStyle w:val="Hyperlink"/>
                <w:noProof/>
              </w:rPr>
              <w:t>11.</w:t>
            </w:r>
            <w:r w:rsidR="00887A39">
              <w:rPr>
                <w:rFonts w:asciiTheme="minorHAnsi" w:eastAsiaTheme="minorEastAsia" w:hAnsiTheme="minorHAnsi"/>
                <w:b w:val="0"/>
                <w:noProof/>
                <w:sz w:val="22"/>
                <w:lang w:eastAsia="en-AU"/>
              </w:rPr>
              <w:tab/>
            </w:r>
            <w:r w:rsidR="00887A39" w:rsidRPr="00F627F4">
              <w:rPr>
                <w:rStyle w:val="Hyperlink"/>
                <w:noProof/>
              </w:rPr>
              <w:t>Changes to OTC medicines</w:t>
            </w:r>
            <w:r w:rsidR="00887A39">
              <w:rPr>
                <w:noProof/>
                <w:webHidden/>
              </w:rPr>
              <w:tab/>
            </w:r>
            <w:r w:rsidR="00887A39">
              <w:rPr>
                <w:noProof/>
                <w:webHidden/>
              </w:rPr>
              <w:fldChar w:fldCharType="begin"/>
            </w:r>
            <w:r w:rsidR="00887A39">
              <w:rPr>
                <w:noProof/>
                <w:webHidden/>
              </w:rPr>
              <w:instrText xml:space="preserve"> PAGEREF _Toc310280534 \h </w:instrText>
            </w:r>
            <w:r w:rsidR="00887A39">
              <w:rPr>
                <w:noProof/>
                <w:webHidden/>
              </w:rPr>
            </w:r>
            <w:r w:rsidR="00887A39">
              <w:rPr>
                <w:noProof/>
                <w:webHidden/>
              </w:rPr>
              <w:fldChar w:fldCharType="separate"/>
            </w:r>
            <w:r w:rsidR="00887A39">
              <w:rPr>
                <w:noProof/>
                <w:webHidden/>
              </w:rPr>
              <w:t>38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5" w:history="1">
            <w:r w:rsidR="00887A39" w:rsidRPr="00F627F4">
              <w:rPr>
                <w:rStyle w:val="Hyperlink"/>
                <w:noProof/>
              </w:rPr>
              <w:t>Is notification or prior approval required?</w:t>
            </w:r>
            <w:r w:rsidR="00887A39">
              <w:rPr>
                <w:noProof/>
                <w:webHidden/>
              </w:rPr>
              <w:tab/>
            </w:r>
            <w:r w:rsidR="00887A39">
              <w:rPr>
                <w:noProof/>
                <w:webHidden/>
              </w:rPr>
              <w:fldChar w:fldCharType="begin"/>
            </w:r>
            <w:r w:rsidR="00887A39">
              <w:rPr>
                <w:noProof/>
                <w:webHidden/>
              </w:rPr>
              <w:instrText xml:space="preserve"> PAGEREF _Toc310280535 \h </w:instrText>
            </w:r>
            <w:r w:rsidR="00887A39">
              <w:rPr>
                <w:noProof/>
                <w:webHidden/>
              </w:rPr>
            </w:r>
            <w:r w:rsidR="00887A39">
              <w:rPr>
                <w:noProof/>
                <w:webHidden/>
              </w:rPr>
              <w:fldChar w:fldCharType="separate"/>
            </w:r>
            <w:r w:rsidR="00887A39">
              <w:rPr>
                <w:noProof/>
                <w:webHidden/>
              </w:rPr>
              <w:t>38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6" w:history="1">
            <w:r w:rsidR="00887A39" w:rsidRPr="00F627F4">
              <w:rPr>
                <w:rStyle w:val="Hyperlink"/>
                <w:noProof/>
              </w:rPr>
              <w:t>About this document</w:t>
            </w:r>
            <w:r w:rsidR="00887A39">
              <w:rPr>
                <w:noProof/>
                <w:webHidden/>
              </w:rPr>
              <w:tab/>
            </w:r>
            <w:r w:rsidR="00887A39">
              <w:rPr>
                <w:noProof/>
                <w:webHidden/>
              </w:rPr>
              <w:fldChar w:fldCharType="begin"/>
            </w:r>
            <w:r w:rsidR="00887A39">
              <w:rPr>
                <w:noProof/>
                <w:webHidden/>
              </w:rPr>
              <w:instrText xml:space="preserve"> PAGEREF _Toc310280536 \h </w:instrText>
            </w:r>
            <w:r w:rsidR="00887A39">
              <w:rPr>
                <w:noProof/>
                <w:webHidden/>
              </w:rPr>
            </w:r>
            <w:r w:rsidR="00887A39">
              <w:rPr>
                <w:noProof/>
                <w:webHidden/>
              </w:rPr>
              <w:fldChar w:fldCharType="separate"/>
            </w:r>
            <w:r w:rsidR="00887A39">
              <w:rPr>
                <w:noProof/>
                <w:webHidden/>
              </w:rPr>
              <w:t>38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7" w:history="1">
            <w:r w:rsidR="00887A39" w:rsidRPr="00F627F4">
              <w:rPr>
                <w:rStyle w:val="Hyperlink"/>
                <w:noProof/>
              </w:rPr>
              <w:t>Which form do I fill in?</w:t>
            </w:r>
            <w:r w:rsidR="00887A39">
              <w:rPr>
                <w:noProof/>
                <w:webHidden/>
              </w:rPr>
              <w:tab/>
            </w:r>
            <w:r w:rsidR="00887A39">
              <w:rPr>
                <w:noProof/>
                <w:webHidden/>
              </w:rPr>
              <w:fldChar w:fldCharType="begin"/>
            </w:r>
            <w:r w:rsidR="00887A39">
              <w:rPr>
                <w:noProof/>
                <w:webHidden/>
              </w:rPr>
              <w:instrText xml:space="preserve"> PAGEREF _Toc310280537 \h </w:instrText>
            </w:r>
            <w:r w:rsidR="00887A39">
              <w:rPr>
                <w:noProof/>
                <w:webHidden/>
              </w:rPr>
            </w:r>
            <w:r w:rsidR="00887A39">
              <w:rPr>
                <w:noProof/>
                <w:webHidden/>
              </w:rPr>
              <w:fldChar w:fldCharType="separate"/>
            </w:r>
            <w:r w:rsidR="00887A39">
              <w:rPr>
                <w:noProof/>
                <w:webHidden/>
              </w:rPr>
              <w:t>38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8" w:history="1">
            <w:r w:rsidR="00887A39" w:rsidRPr="00F627F4">
              <w:rPr>
                <w:rStyle w:val="Hyperlink"/>
                <w:noProof/>
              </w:rPr>
              <w:t>How much will it cost?</w:t>
            </w:r>
            <w:r w:rsidR="00887A39">
              <w:rPr>
                <w:noProof/>
                <w:webHidden/>
              </w:rPr>
              <w:tab/>
            </w:r>
            <w:r w:rsidR="00887A39">
              <w:rPr>
                <w:noProof/>
                <w:webHidden/>
              </w:rPr>
              <w:fldChar w:fldCharType="begin"/>
            </w:r>
            <w:r w:rsidR="00887A39">
              <w:rPr>
                <w:noProof/>
                <w:webHidden/>
              </w:rPr>
              <w:instrText xml:space="preserve"> PAGEREF _Toc310280538 \h </w:instrText>
            </w:r>
            <w:r w:rsidR="00887A39">
              <w:rPr>
                <w:noProof/>
                <w:webHidden/>
              </w:rPr>
            </w:r>
            <w:r w:rsidR="00887A39">
              <w:rPr>
                <w:noProof/>
                <w:webHidden/>
              </w:rPr>
              <w:fldChar w:fldCharType="separate"/>
            </w:r>
            <w:r w:rsidR="00887A39">
              <w:rPr>
                <w:noProof/>
                <w:webHidden/>
              </w:rPr>
              <w:t>38</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39" w:history="1">
            <w:r w:rsidR="00887A39" w:rsidRPr="00F627F4">
              <w:rPr>
                <w:rStyle w:val="Hyperlink"/>
                <w:noProof/>
              </w:rPr>
              <w:t>Does the change make the goods ‘separate and distinct’?</w:t>
            </w:r>
            <w:r w:rsidR="00887A39">
              <w:rPr>
                <w:noProof/>
                <w:webHidden/>
              </w:rPr>
              <w:tab/>
            </w:r>
            <w:r w:rsidR="00887A39">
              <w:rPr>
                <w:noProof/>
                <w:webHidden/>
              </w:rPr>
              <w:fldChar w:fldCharType="begin"/>
            </w:r>
            <w:r w:rsidR="00887A39">
              <w:rPr>
                <w:noProof/>
                <w:webHidden/>
              </w:rPr>
              <w:instrText xml:space="preserve"> PAGEREF _Toc310280539 \h </w:instrText>
            </w:r>
            <w:r w:rsidR="00887A39">
              <w:rPr>
                <w:noProof/>
                <w:webHidden/>
              </w:rPr>
            </w:r>
            <w:r w:rsidR="00887A39">
              <w:rPr>
                <w:noProof/>
                <w:webHidden/>
              </w:rPr>
              <w:fldChar w:fldCharType="separate"/>
            </w:r>
            <w:r w:rsidR="00887A39">
              <w:rPr>
                <w:noProof/>
                <w:webHidden/>
              </w:rPr>
              <w:t>39</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0" w:history="1">
            <w:r w:rsidR="00887A39" w:rsidRPr="00F627F4">
              <w:rPr>
                <w:rStyle w:val="Hyperlink"/>
                <w:noProof/>
              </w:rPr>
              <w:t>What else do I need to send?</w:t>
            </w:r>
            <w:r w:rsidR="00887A39">
              <w:rPr>
                <w:noProof/>
                <w:webHidden/>
              </w:rPr>
              <w:tab/>
            </w:r>
            <w:r w:rsidR="00887A39">
              <w:rPr>
                <w:noProof/>
                <w:webHidden/>
              </w:rPr>
              <w:fldChar w:fldCharType="begin"/>
            </w:r>
            <w:r w:rsidR="00887A39">
              <w:rPr>
                <w:noProof/>
                <w:webHidden/>
              </w:rPr>
              <w:instrText xml:space="preserve"> PAGEREF _Toc310280540 \h </w:instrText>
            </w:r>
            <w:r w:rsidR="00887A39">
              <w:rPr>
                <w:noProof/>
                <w:webHidden/>
              </w:rPr>
            </w:r>
            <w:r w:rsidR="00887A39">
              <w:rPr>
                <w:noProof/>
                <w:webHidden/>
              </w:rPr>
              <w:fldChar w:fldCharType="separate"/>
            </w:r>
            <w:r w:rsidR="00887A39">
              <w:rPr>
                <w:noProof/>
                <w:webHidden/>
              </w:rPr>
              <w:t>39</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1" w:history="1">
            <w:r w:rsidR="00887A39" w:rsidRPr="00F627F4">
              <w:rPr>
                <w:rStyle w:val="Hyperlink"/>
                <w:noProof/>
              </w:rPr>
              <w:t>Other aspects of the product (that are not being changed)</w:t>
            </w:r>
            <w:r w:rsidR="00887A39">
              <w:rPr>
                <w:noProof/>
                <w:webHidden/>
              </w:rPr>
              <w:tab/>
            </w:r>
            <w:r w:rsidR="00887A39">
              <w:rPr>
                <w:noProof/>
                <w:webHidden/>
              </w:rPr>
              <w:fldChar w:fldCharType="begin"/>
            </w:r>
            <w:r w:rsidR="00887A39">
              <w:rPr>
                <w:noProof/>
                <w:webHidden/>
              </w:rPr>
              <w:instrText xml:space="preserve"> PAGEREF _Toc310280541 \h </w:instrText>
            </w:r>
            <w:r w:rsidR="00887A39">
              <w:rPr>
                <w:noProof/>
                <w:webHidden/>
              </w:rPr>
            </w:r>
            <w:r w:rsidR="00887A39">
              <w:rPr>
                <w:noProof/>
                <w:webHidden/>
              </w:rPr>
              <w:fldChar w:fldCharType="separate"/>
            </w:r>
            <w:r w:rsidR="00887A39">
              <w:rPr>
                <w:noProof/>
                <w:webHidden/>
              </w:rPr>
              <w:t>39</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2" w:history="1">
            <w:r w:rsidR="00887A39" w:rsidRPr="00F627F4">
              <w:rPr>
                <w:rStyle w:val="Hyperlink"/>
                <w:noProof/>
              </w:rPr>
              <w:t>The same changes for many products?</w:t>
            </w:r>
            <w:r w:rsidR="00887A39">
              <w:rPr>
                <w:noProof/>
                <w:webHidden/>
              </w:rPr>
              <w:tab/>
            </w:r>
            <w:r w:rsidR="00887A39">
              <w:rPr>
                <w:noProof/>
                <w:webHidden/>
              </w:rPr>
              <w:fldChar w:fldCharType="begin"/>
            </w:r>
            <w:r w:rsidR="00887A39">
              <w:rPr>
                <w:noProof/>
                <w:webHidden/>
              </w:rPr>
              <w:instrText xml:space="preserve"> PAGEREF _Toc310280542 \h </w:instrText>
            </w:r>
            <w:r w:rsidR="00887A39">
              <w:rPr>
                <w:noProof/>
                <w:webHidden/>
              </w:rPr>
            </w:r>
            <w:r w:rsidR="00887A39">
              <w:rPr>
                <w:noProof/>
                <w:webHidden/>
              </w:rPr>
              <w:fldChar w:fldCharType="separate"/>
            </w:r>
            <w:r w:rsidR="00887A39">
              <w:rPr>
                <w:noProof/>
                <w:webHidden/>
              </w:rPr>
              <w:t>39</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3" w:history="1">
            <w:r w:rsidR="00887A39" w:rsidRPr="00F627F4">
              <w:rPr>
                <w:rStyle w:val="Hyperlink"/>
                <w:noProof/>
              </w:rPr>
              <w:t>What if the proposed change is not in the</w:t>
            </w:r>
            <w:r w:rsidR="00887A39" w:rsidRPr="00F627F4">
              <w:rPr>
                <w:rStyle w:val="Hyperlink"/>
                <w:i/>
                <w:noProof/>
              </w:rPr>
              <w:t xml:space="preserve"> Changes table</w:t>
            </w:r>
            <w:r w:rsidR="00887A39" w:rsidRPr="00F627F4">
              <w:rPr>
                <w:rStyle w:val="Hyperlink"/>
                <w:noProof/>
              </w:rPr>
              <w:t>?</w:t>
            </w:r>
            <w:r w:rsidR="00887A39">
              <w:rPr>
                <w:noProof/>
                <w:webHidden/>
              </w:rPr>
              <w:tab/>
            </w:r>
            <w:r w:rsidR="00887A39">
              <w:rPr>
                <w:noProof/>
                <w:webHidden/>
              </w:rPr>
              <w:fldChar w:fldCharType="begin"/>
            </w:r>
            <w:r w:rsidR="00887A39">
              <w:rPr>
                <w:noProof/>
                <w:webHidden/>
              </w:rPr>
              <w:instrText xml:space="preserve"> PAGEREF _Toc310280543 \h </w:instrText>
            </w:r>
            <w:r w:rsidR="00887A39">
              <w:rPr>
                <w:noProof/>
                <w:webHidden/>
              </w:rPr>
            </w:r>
            <w:r w:rsidR="00887A39">
              <w:rPr>
                <w:noProof/>
                <w:webHidden/>
              </w:rPr>
              <w:fldChar w:fldCharType="separate"/>
            </w:r>
            <w:r w:rsidR="00887A39">
              <w:rPr>
                <w:noProof/>
                <w:webHidden/>
              </w:rPr>
              <w:t>40</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4" w:history="1">
            <w:r w:rsidR="00887A39" w:rsidRPr="00F627F4">
              <w:rPr>
                <w:rStyle w:val="Hyperlink"/>
                <w:noProof/>
              </w:rPr>
              <w:t>Acknowledgment of application</w:t>
            </w:r>
            <w:r w:rsidR="00887A39">
              <w:rPr>
                <w:noProof/>
                <w:webHidden/>
              </w:rPr>
              <w:tab/>
            </w:r>
            <w:r w:rsidR="00887A39">
              <w:rPr>
                <w:noProof/>
                <w:webHidden/>
              </w:rPr>
              <w:fldChar w:fldCharType="begin"/>
            </w:r>
            <w:r w:rsidR="00887A39">
              <w:rPr>
                <w:noProof/>
                <w:webHidden/>
              </w:rPr>
              <w:instrText xml:space="preserve"> PAGEREF _Toc310280544 \h </w:instrText>
            </w:r>
            <w:r w:rsidR="00887A39">
              <w:rPr>
                <w:noProof/>
                <w:webHidden/>
              </w:rPr>
            </w:r>
            <w:r w:rsidR="00887A39">
              <w:rPr>
                <w:noProof/>
                <w:webHidden/>
              </w:rPr>
              <w:fldChar w:fldCharType="separate"/>
            </w:r>
            <w:r w:rsidR="00887A39">
              <w:rPr>
                <w:noProof/>
                <w:webHidden/>
              </w:rPr>
              <w:t>40</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45" w:history="1">
            <w:r w:rsidR="00887A39" w:rsidRPr="00F627F4">
              <w:rPr>
                <w:rStyle w:val="Hyperlink"/>
                <w:i/>
                <w:noProof/>
              </w:rPr>
              <w:t>Groups Order</w:t>
            </w:r>
            <w:r w:rsidR="00887A39" w:rsidRPr="00F627F4">
              <w:rPr>
                <w:rStyle w:val="Hyperlink"/>
                <w:noProof/>
              </w:rPr>
              <w:t xml:space="preserve"> – summary</w:t>
            </w:r>
            <w:r w:rsidR="00887A39">
              <w:rPr>
                <w:noProof/>
                <w:webHidden/>
              </w:rPr>
              <w:tab/>
            </w:r>
            <w:r w:rsidR="00887A39">
              <w:rPr>
                <w:noProof/>
                <w:webHidden/>
              </w:rPr>
              <w:fldChar w:fldCharType="begin"/>
            </w:r>
            <w:r w:rsidR="00887A39">
              <w:rPr>
                <w:noProof/>
                <w:webHidden/>
              </w:rPr>
              <w:instrText xml:space="preserve"> PAGEREF _Toc310280545 \h </w:instrText>
            </w:r>
            <w:r w:rsidR="00887A39">
              <w:rPr>
                <w:noProof/>
                <w:webHidden/>
              </w:rPr>
            </w:r>
            <w:r w:rsidR="00887A39">
              <w:rPr>
                <w:noProof/>
                <w:webHidden/>
              </w:rPr>
              <w:fldChar w:fldCharType="separate"/>
            </w:r>
            <w:r w:rsidR="00887A39">
              <w:rPr>
                <w:noProof/>
                <w:webHidden/>
              </w:rPr>
              <w:t>40</w:t>
            </w:r>
            <w:r w:rsidR="00887A39">
              <w:rPr>
                <w:noProof/>
                <w:webHidden/>
              </w:rPr>
              <w:fldChar w:fldCharType="end"/>
            </w:r>
          </w:hyperlink>
        </w:p>
        <w:p w:rsidR="00887A39" w:rsidRDefault="008453CD">
          <w:pPr>
            <w:pStyle w:val="TOC3"/>
            <w:rPr>
              <w:rFonts w:eastAsiaTheme="minorEastAsia"/>
              <w:noProof/>
              <w:sz w:val="22"/>
              <w:lang w:eastAsia="en-AU"/>
            </w:rPr>
          </w:pPr>
          <w:hyperlink w:anchor="_Toc310280546" w:history="1">
            <w:r w:rsidR="00887A39" w:rsidRPr="00F627F4">
              <w:rPr>
                <w:rStyle w:val="Hyperlink"/>
                <w:noProof/>
              </w:rPr>
              <w:t>Name change</w:t>
            </w:r>
            <w:r w:rsidR="00887A39">
              <w:rPr>
                <w:noProof/>
                <w:webHidden/>
              </w:rPr>
              <w:tab/>
            </w:r>
            <w:r w:rsidR="00887A39">
              <w:rPr>
                <w:noProof/>
                <w:webHidden/>
              </w:rPr>
              <w:fldChar w:fldCharType="begin"/>
            </w:r>
            <w:r w:rsidR="00887A39">
              <w:rPr>
                <w:noProof/>
                <w:webHidden/>
              </w:rPr>
              <w:instrText xml:space="preserve"> PAGEREF _Toc310280546 \h </w:instrText>
            </w:r>
            <w:r w:rsidR="00887A39">
              <w:rPr>
                <w:noProof/>
                <w:webHidden/>
              </w:rPr>
            </w:r>
            <w:r w:rsidR="00887A39">
              <w:rPr>
                <w:noProof/>
                <w:webHidden/>
              </w:rPr>
              <w:fldChar w:fldCharType="separate"/>
            </w:r>
            <w:r w:rsidR="00887A39">
              <w:rPr>
                <w:noProof/>
                <w:webHidden/>
              </w:rPr>
              <w:t>40</w:t>
            </w:r>
            <w:r w:rsidR="00887A39">
              <w:rPr>
                <w:noProof/>
                <w:webHidden/>
              </w:rPr>
              <w:fldChar w:fldCharType="end"/>
            </w:r>
          </w:hyperlink>
        </w:p>
        <w:p w:rsidR="00887A39" w:rsidRDefault="008453CD">
          <w:pPr>
            <w:pStyle w:val="TOC3"/>
            <w:rPr>
              <w:rFonts w:eastAsiaTheme="minorEastAsia"/>
              <w:noProof/>
              <w:sz w:val="22"/>
              <w:lang w:eastAsia="en-AU"/>
            </w:rPr>
          </w:pPr>
          <w:hyperlink w:anchor="_Toc310280547" w:history="1">
            <w:r w:rsidR="00887A39" w:rsidRPr="00F627F4">
              <w:rPr>
                <w:rStyle w:val="Hyperlink"/>
                <w:noProof/>
              </w:rPr>
              <w:t>Change in the amount of an excipient</w:t>
            </w:r>
            <w:r w:rsidR="00887A39">
              <w:rPr>
                <w:noProof/>
                <w:webHidden/>
              </w:rPr>
              <w:tab/>
            </w:r>
            <w:r w:rsidR="00887A39">
              <w:rPr>
                <w:noProof/>
                <w:webHidden/>
              </w:rPr>
              <w:fldChar w:fldCharType="begin"/>
            </w:r>
            <w:r w:rsidR="00887A39">
              <w:rPr>
                <w:noProof/>
                <w:webHidden/>
              </w:rPr>
              <w:instrText xml:space="preserve"> PAGEREF _Toc310280547 \h </w:instrText>
            </w:r>
            <w:r w:rsidR="00887A39">
              <w:rPr>
                <w:noProof/>
                <w:webHidden/>
              </w:rPr>
            </w:r>
            <w:r w:rsidR="00887A39">
              <w:rPr>
                <w:noProof/>
                <w:webHidden/>
              </w:rPr>
              <w:fldChar w:fldCharType="separate"/>
            </w:r>
            <w:r w:rsidR="00887A39">
              <w:rPr>
                <w:noProof/>
                <w:webHidden/>
              </w:rPr>
              <w:t>40</w:t>
            </w:r>
            <w:r w:rsidR="00887A39">
              <w:rPr>
                <w:noProof/>
                <w:webHidden/>
              </w:rPr>
              <w:fldChar w:fldCharType="end"/>
            </w:r>
          </w:hyperlink>
        </w:p>
        <w:p w:rsidR="00887A39" w:rsidRDefault="008453CD">
          <w:pPr>
            <w:pStyle w:val="TOC3"/>
            <w:rPr>
              <w:rFonts w:eastAsiaTheme="minorEastAsia"/>
              <w:noProof/>
              <w:sz w:val="22"/>
              <w:lang w:eastAsia="en-AU"/>
            </w:rPr>
          </w:pPr>
          <w:hyperlink w:anchor="_Toc310280548" w:history="1">
            <w:r w:rsidR="00887A39" w:rsidRPr="00F627F4">
              <w:rPr>
                <w:rStyle w:val="Hyperlink"/>
                <w:noProof/>
              </w:rPr>
              <w:t>Removal or addition of a fragrance, flavour, printing ink or colour</w:t>
            </w:r>
            <w:r w:rsidR="00887A39">
              <w:rPr>
                <w:noProof/>
                <w:webHidden/>
              </w:rPr>
              <w:tab/>
            </w:r>
            <w:r w:rsidR="00887A39">
              <w:rPr>
                <w:noProof/>
                <w:webHidden/>
              </w:rPr>
              <w:fldChar w:fldCharType="begin"/>
            </w:r>
            <w:r w:rsidR="00887A39">
              <w:rPr>
                <w:noProof/>
                <w:webHidden/>
              </w:rPr>
              <w:instrText xml:space="preserve"> PAGEREF _Toc310280548 \h </w:instrText>
            </w:r>
            <w:r w:rsidR="00887A39">
              <w:rPr>
                <w:noProof/>
                <w:webHidden/>
              </w:rPr>
            </w:r>
            <w:r w:rsidR="00887A39">
              <w:rPr>
                <w:noProof/>
                <w:webHidden/>
              </w:rPr>
              <w:fldChar w:fldCharType="separate"/>
            </w:r>
            <w:r w:rsidR="00887A39">
              <w:rPr>
                <w:noProof/>
                <w:webHidden/>
              </w:rPr>
              <w:t>41</w:t>
            </w:r>
            <w:r w:rsidR="00887A39">
              <w:rPr>
                <w:noProof/>
                <w:webHidden/>
              </w:rPr>
              <w:fldChar w:fldCharType="end"/>
            </w:r>
          </w:hyperlink>
        </w:p>
        <w:p w:rsidR="00887A39" w:rsidRDefault="008453CD">
          <w:pPr>
            <w:pStyle w:val="TOC3"/>
            <w:rPr>
              <w:rFonts w:eastAsiaTheme="minorEastAsia"/>
              <w:noProof/>
              <w:sz w:val="22"/>
              <w:lang w:eastAsia="en-AU"/>
            </w:rPr>
          </w:pPr>
          <w:hyperlink w:anchor="_Toc310280549" w:history="1">
            <w:r w:rsidR="00887A39" w:rsidRPr="00F627F4">
              <w:rPr>
                <w:rStyle w:val="Hyperlink"/>
                <w:noProof/>
              </w:rPr>
              <w:t>Revised indications and/or directions for use</w:t>
            </w:r>
            <w:r w:rsidR="00887A39">
              <w:rPr>
                <w:noProof/>
                <w:webHidden/>
              </w:rPr>
              <w:tab/>
            </w:r>
            <w:r w:rsidR="00887A39">
              <w:rPr>
                <w:noProof/>
                <w:webHidden/>
              </w:rPr>
              <w:fldChar w:fldCharType="begin"/>
            </w:r>
            <w:r w:rsidR="00887A39">
              <w:rPr>
                <w:noProof/>
                <w:webHidden/>
              </w:rPr>
              <w:instrText xml:space="preserve"> PAGEREF _Toc310280549 \h </w:instrText>
            </w:r>
            <w:r w:rsidR="00887A39">
              <w:rPr>
                <w:noProof/>
                <w:webHidden/>
              </w:rPr>
            </w:r>
            <w:r w:rsidR="00887A39">
              <w:rPr>
                <w:noProof/>
                <w:webHidden/>
              </w:rPr>
              <w:fldChar w:fldCharType="separate"/>
            </w:r>
            <w:r w:rsidR="00887A39">
              <w:rPr>
                <w:noProof/>
                <w:webHidden/>
              </w:rPr>
              <w:t>41</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50" w:history="1">
            <w:r w:rsidR="00887A39" w:rsidRPr="00F627F4">
              <w:rPr>
                <w:rStyle w:val="Hyperlink"/>
                <w:i/>
                <w:noProof/>
              </w:rPr>
              <w:t>Changes table</w:t>
            </w:r>
            <w:r w:rsidR="00887A39" w:rsidRPr="00F627F4">
              <w:rPr>
                <w:rStyle w:val="Hyperlink"/>
                <w:noProof/>
              </w:rPr>
              <w:t xml:space="preserve"> codes</w:t>
            </w:r>
            <w:r w:rsidR="00887A39">
              <w:rPr>
                <w:noProof/>
                <w:webHidden/>
              </w:rPr>
              <w:tab/>
            </w:r>
            <w:r w:rsidR="00887A39">
              <w:rPr>
                <w:noProof/>
                <w:webHidden/>
              </w:rPr>
              <w:fldChar w:fldCharType="begin"/>
            </w:r>
            <w:r w:rsidR="00887A39">
              <w:rPr>
                <w:noProof/>
                <w:webHidden/>
              </w:rPr>
              <w:instrText xml:space="preserve"> PAGEREF _Toc310280550 \h </w:instrText>
            </w:r>
            <w:r w:rsidR="00887A39">
              <w:rPr>
                <w:noProof/>
                <w:webHidden/>
              </w:rPr>
            </w:r>
            <w:r w:rsidR="00887A39">
              <w:rPr>
                <w:noProof/>
                <w:webHidden/>
              </w:rPr>
              <w:fldChar w:fldCharType="separate"/>
            </w:r>
            <w:r w:rsidR="00887A39">
              <w:rPr>
                <w:noProof/>
                <w:webHidden/>
              </w:rPr>
              <w:t>41</w:t>
            </w:r>
            <w:r w:rsidR="00887A39">
              <w:rPr>
                <w:noProof/>
                <w:webHidden/>
              </w:rPr>
              <w:fldChar w:fldCharType="end"/>
            </w:r>
          </w:hyperlink>
        </w:p>
        <w:p w:rsidR="00887A39" w:rsidRDefault="008453CD">
          <w:pPr>
            <w:pStyle w:val="TOC3"/>
            <w:rPr>
              <w:rFonts w:eastAsiaTheme="minorEastAsia"/>
              <w:noProof/>
              <w:sz w:val="22"/>
              <w:lang w:eastAsia="en-AU"/>
            </w:rPr>
          </w:pPr>
          <w:hyperlink w:anchor="_Toc310280551" w:history="1">
            <w:r w:rsidR="00887A39" w:rsidRPr="00F627F4">
              <w:rPr>
                <w:rStyle w:val="Hyperlink"/>
                <w:noProof/>
              </w:rPr>
              <w:t>Status codes</w:t>
            </w:r>
            <w:r w:rsidR="00887A39">
              <w:rPr>
                <w:noProof/>
                <w:webHidden/>
              </w:rPr>
              <w:tab/>
            </w:r>
            <w:r w:rsidR="00887A39">
              <w:rPr>
                <w:noProof/>
                <w:webHidden/>
              </w:rPr>
              <w:fldChar w:fldCharType="begin"/>
            </w:r>
            <w:r w:rsidR="00887A39">
              <w:rPr>
                <w:noProof/>
                <w:webHidden/>
              </w:rPr>
              <w:instrText xml:space="preserve"> PAGEREF _Toc310280551 \h </w:instrText>
            </w:r>
            <w:r w:rsidR="00887A39">
              <w:rPr>
                <w:noProof/>
                <w:webHidden/>
              </w:rPr>
            </w:r>
            <w:r w:rsidR="00887A39">
              <w:rPr>
                <w:noProof/>
                <w:webHidden/>
              </w:rPr>
              <w:fldChar w:fldCharType="separate"/>
            </w:r>
            <w:r w:rsidR="00887A39">
              <w:rPr>
                <w:noProof/>
                <w:webHidden/>
              </w:rPr>
              <w:t>41</w:t>
            </w:r>
            <w:r w:rsidR="00887A39">
              <w:rPr>
                <w:noProof/>
                <w:webHidden/>
              </w:rPr>
              <w:fldChar w:fldCharType="end"/>
            </w:r>
          </w:hyperlink>
        </w:p>
        <w:p w:rsidR="00887A39" w:rsidRDefault="008453CD">
          <w:pPr>
            <w:pStyle w:val="TOC3"/>
            <w:rPr>
              <w:rFonts w:eastAsiaTheme="minorEastAsia"/>
              <w:noProof/>
              <w:sz w:val="22"/>
              <w:lang w:eastAsia="en-AU"/>
            </w:rPr>
          </w:pPr>
          <w:hyperlink w:anchor="_Toc310280552" w:history="1">
            <w:r w:rsidR="00887A39" w:rsidRPr="00F627F4">
              <w:rPr>
                <w:rStyle w:val="Hyperlink"/>
                <w:noProof/>
              </w:rPr>
              <w:t>Documentation and assurance codes</w:t>
            </w:r>
            <w:r w:rsidR="00887A39">
              <w:rPr>
                <w:noProof/>
                <w:webHidden/>
              </w:rPr>
              <w:tab/>
            </w:r>
            <w:r w:rsidR="00887A39">
              <w:rPr>
                <w:noProof/>
                <w:webHidden/>
              </w:rPr>
              <w:fldChar w:fldCharType="begin"/>
            </w:r>
            <w:r w:rsidR="00887A39">
              <w:rPr>
                <w:noProof/>
                <w:webHidden/>
              </w:rPr>
              <w:instrText xml:space="preserve"> PAGEREF _Toc310280552 \h </w:instrText>
            </w:r>
            <w:r w:rsidR="00887A39">
              <w:rPr>
                <w:noProof/>
                <w:webHidden/>
              </w:rPr>
            </w:r>
            <w:r w:rsidR="00887A39">
              <w:rPr>
                <w:noProof/>
                <w:webHidden/>
              </w:rPr>
              <w:fldChar w:fldCharType="separate"/>
            </w:r>
            <w:r w:rsidR="00887A39">
              <w:rPr>
                <w:noProof/>
                <w:webHidden/>
              </w:rPr>
              <w:t>41</w:t>
            </w:r>
            <w:r w:rsidR="00887A39">
              <w:rPr>
                <w:noProof/>
                <w:webHidden/>
              </w:rPr>
              <w:fldChar w:fldCharType="end"/>
            </w:r>
          </w:hyperlink>
        </w:p>
        <w:p w:rsidR="00887A39" w:rsidRDefault="008453CD">
          <w:pPr>
            <w:pStyle w:val="TOC2"/>
            <w:rPr>
              <w:rFonts w:eastAsiaTheme="minorEastAsia"/>
              <w:b w:val="0"/>
              <w:noProof/>
              <w:sz w:val="22"/>
              <w:lang w:eastAsia="en-AU"/>
            </w:rPr>
          </w:pPr>
          <w:hyperlink w:anchor="_Toc310280553" w:history="1">
            <w:r w:rsidR="00887A39" w:rsidRPr="00F627F4">
              <w:rPr>
                <w:rStyle w:val="Hyperlink"/>
                <w:noProof/>
              </w:rPr>
              <w:t>Changes Table</w:t>
            </w:r>
            <w:r w:rsidR="00887A39">
              <w:rPr>
                <w:noProof/>
                <w:webHidden/>
              </w:rPr>
              <w:tab/>
            </w:r>
            <w:r w:rsidR="00887A39">
              <w:rPr>
                <w:noProof/>
                <w:webHidden/>
              </w:rPr>
              <w:fldChar w:fldCharType="begin"/>
            </w:r>
            <w:r w:rsidR="00887A39">
              <w:rPr>
                <w:noProof/>
                <w:webHidden/>
              </w:rPr>
              <w:instrText xml:space="preserve"> PAGEREF _Toc310280553 \h </w:instrText>
            </w:r>
            <w:r w:rsidR="00887A39">
              <w:rPr>
                <w:noProof/>
                <w:webHidden/>
              </w:rPr>
            </w:r>
            <w:r w:rsidR="00887A39">
              <w:rPr>
                <w:noProof/>
                <w:webHidden/>
              </w:rPr>
              <w:fldChar w:fldCharType="separate"/>
            </w:r>
            <w:r w:rsidR="00887A39">
              <w:rPr>
                <w:noProof/>
                <w:webHidden/>
              </w:rPr>
              <w:t>44</w:t>
            </w:r>
            <w:r w:rsidR="00887A39">
              <w:rPr>
                <w:noProof/>
                <w:webHidden/>
              </w:rPr>
              <w:fldChar w:fldCharType="end"/>
            </w:r>
          </w:hyperlink>
        </w:p>
        <w:p w:rsidR="004564A7" w:rsidRDefault="00887A39" w:rsidP="00887A39">
          <w:pPr>
            <w:pStyle w:val="TOC1"/>
          </w:pPr>
          <w:r>
            <w:fldChar w:fldCharType="end"/>
          </w:r>
        </w:p>
      </w:sdtContent>
    </w:sdt>
    <w:p w:rsidR="00E7356B" w:rsidRDefault="004564A7">
      <w:pPr>
        <w:spacing w:after="200" w:line="0" w:lineRule="auto"/>
        <w:sectPr w:rsidR="00E7356B" w:rsidSect="00C058FF">
          <w:type w:val="continuous"/>
          <w:pgSz w:w="11906" w:h="16838" w:code="9"/>
          <w:pgMar w:top="2211" w:right="1701" w:bottom="1701" w:left="1701" w:header="907" w:footer="142" w:gutter="0"/>
          <w:cols w:space="708"/>
          <w:docGrid w:linePitch="360"/>
        </w:sectPr>
      </w:pPr>
      <w:r>
        <w:t xml:space="preserve"> </w:t>
      </w:r>
      <w:r w:rsidR="000B103F">
        <w:br w:type="page"/>
      </w:r>
      <w:bookmarkStart w:id="2" w:name="_Toc41208551"/>
      <w:bookmarkStart w:id="3" w:name="_Toc43883841"/>
      <w:bookmarkStart w:id="4" w:name="_Toc44298016"/>
      <w:bookmarkStart w:id="5" w:name="_Toc44299233"/>
      <w:bookmarkStart w:id="6" w:name="_Toc45684672"/>
      <w:bookmarkStart w:id="7" w:name="_Toc51726102"/>
      <w:bookmarkStart w:id="8" w:name="_Toc64108352"/>
      <w:bookmarkStart w:id="9" w:name="_Toc139258892"/>
    </w:p>
    <w:p w:rsidR="000B103F" w:rsidRPr="000B103F" w:rsidRDefault="00E7356B" w:rsidP="000B103F">
      <w:pPr>
        <w:pStyle w:val="Heading1"/>
        <w:rPr>
          <w:sz w:val="36"/>
        </w:rPr>
      </w:pPr>
      <w:bookmarkStart w:id="10" w:name="_Toc310280465"/>
      <w:r>
        <w:lastRenderedPageBreak/>
        <w:t>1.</w:t>
      </w:r>
      <w:r>
        <w:tab/>
      </w:r>
      <w:r w:rsidR="000B103F">
        <w:t>Introduction</w:t>
      </w:r>
      <w:bookmarkEnd w:id="2"/>
      <w:bookmarkEnd w:id="3"/>
      <w:bookmarkEnd w:id="4"/>
      <w:bookmarkEnd w:id="5"/>
      <w:bookmarkEnd w:id="6"/>
      <w:bookmarkEnd w:id="7"/>
      <w:bookmarkEnd w:id="8"/>
      <w:bookmarkEnd w:id="9"/>
      <w:bookmarkEnd w:id="10"/>
    </w:p>
    <w:p w:rsidR="0037564C" w:rsidRDefault="000B103F" w:rsidP="000B103F">
      <w:r>
        <w:t xml:space="preserve">These guidelines describe the information to be supplied with applications for registration or variation of OTC medicines. These are medicines which are available without a prescription but not ‘complementary medicines’. ‘OTC medicine’ and ‘complementary medicines’ are defined in the </w:t>
      </w:r>
      <w:r>
        <w:rPr>
          <w:i/>
        </w:rPr>
        <w:t>Therapeutic Goods Regulations 1990</w:t>
      </w:r>
      <w:r>
        <w:t xml:space="preserve"> </w:t>
      </w:r>
      <w:r w:rsidR="00613231" w:rsidRPr="00613231">
        <w:rPr>
          <w:rStyle w:val="FootnoteReference"/>
        </w:rPr>
        <w:footnoteReference w:id="1"/>
      </w:r>
      <w:r>
        <w:t>.</w:t>
      </w:r>
    </w:p>
    <w:p w:rsidR="0037564C" w:rsidRDefault="000B103F" w:rsidP="000B103F">
      <w:r>
        <w:t>The object of the guidelines is to assist sponsors to submit applications which will be evaluated in the minimum possible time and be successful.</w:t>
      </w:r>
    </w:p>
    <w:p w:rsidR="0037564C" w:rsidRDefault="000B103F" w:rsidP="000B103F">
      <w:r>
        <w:t>While the guidelines reflect the views of the TGA and its evaluation committees at the time of publication, there may be occasions where a departure from the guidelines is warranted. If you believe this to be the case, a justification for the departure should be submitted with the application. You may wish to contact staff of the OTC Medicines Section for advice in such instances.</w:t>
      </w:r>
    </w:p>
    <w:p w:rsidR="0037564C" w:rsidRDefault="000B103F" w:rsidP="000B103F">
      <w:r>
        <w:t>The guidelines contain many references to legislation. However, these references, although accurate at the time of publication, are not intended to be comprehensive. It is the sponsor’s responsibility to ensure that current regulatory requirements are fully met.</w:t>
      </w:r>
    </w:p>
    <w:p w:rsidR="0037564C" w:rsidRDefault="000B103F" w:rsidP="000B103F">
      <w:r>
        <w:t>It is possible for some products containing ‘new’ substances (ie. those not contained in a product currently included in the Australian Register of Therapeutic Goods for supply in Australia) to be evaluated as OTC medicines. Provisional approval of a substance which is not, as yet, included in a product is also possible. Details of provisions for the approval of substances, as opposed to products, are given in Chapter 6B</w:t>
      </w:r>
      <w:r w:rsidRPr="00E032B8">
        <w:rPr>
          <w:i/>
        </w:rPr>
        <w:t xml:space="preserve">, </w:t>
      </w:r>
      <w:hyperlink w:anchor="_6B._New_substances" w:history="1">
        <w:r w:rsidRPr="00B169D5">
          <w:rPr>
            <w:rStyle w:val="Hyperlink"/>
          </w:rPr>
          <w:t>New s</w:t>
        </w:r>
        <w:bookmarkStart w:id="11" w:name="_Hlt40583399"/>
        <w:r w:rsidRPr="00B169D5">
          <w:rPr>
            <w:rStyle w:val="Hyperlink"/>
          </w:rPr>
          <w:t>u</w:t>
        </w:r>
        <w:bookmarkStart w:id="12" w:name="_Hlt40862474"/>
        <w:bookmarkEnd w:id="11"/>
        <w:r w:rsidRPr="00B169D5">
          <w:rPr>
            <w:rStyle w:val="Hyperlink"/>
          </w:rPr>
          <w:t>b</w:t>
        </w:r>
        <w:bookmarkEnd w:id="12"/>
        <w:r w:rsidRPr="00B169D5">
          <w:rPr>
            <w:rStyle w:val="Hyperlink"/>
          </w:rPr>
          <w:t>stances</w:t>
        </w:r>
      </w:hyperlink>
      <w:r w:rsidRPr="00E032B8">
        <w:rPr>
          <w:rStyle w:val="Hyperlink"/>
        </w:rPr>
        <w:t>.</w:t>
      </w:r>
    </w:p>
    <w:p w:rsidR="0037564C" w:rsidRDefault="000B103F" w:rsidP="000B103F">
      <w:r>
        <w:t>Except where otherwise indicated, these guidelines apply to products rather than substances.</w:t>
      </w:r>
    </w:p>
    <w:p w:rsidR="0037564C" w:rsidRDefault="000B103F" w:rsidP="000B103F">
      <w:r>
        <w:t xml:space="preserve">The guidelines are available on the TGA website or in hard copy from the TGA Publications Office. Each chapter is separately numbered to facilitate future additions and amendments. </w:t>
      </w:r>
    </w:p>
    <w:p w:rsidR="0037564C" w:rsidRDefault="000B103F" w:rsidP="000B103F">
      <w:r>
        <w:t>The TGA would welcome comments or suggestions and these should be directed to:</w:t>
      </w:r>
    </w:p>
    <w:p w:rsidR="000B103F" w:rsidRDefault="000B103F" w:rsidP="00672862">
      <w:pPr>
        <w:pStyle w:val="Address"/>
      </w:pPr>
      <w:r>
        <w:t>The Director</w:t>
      </w:r>
    </w:p>
    <w:p w:rsidR="000B103F" w:rsidRDefault="000B103F" w:rsidP="00672862">
      <w:pPr>
        <w:pStyle w:val="Address"/>
      </w:pPr>
      <w:r>
        <w:t>Non-prescription Medicines Branch</w:t>
      </w:r>
    </w:p>
    <w:p w:rsidR="000B103F" w:rsidRDefault="000B103F" w:rsidP="00672862">
      <w:pPr>
        <w:pStyle w:val="Address"/>
      </w:pPr>
      <w:r>
        <w:t>Therapeutic Goods Administration</w:t>
      </w:r>
    </w:p>
    <w:p w:rsidR="000B103F" w:rsidRDefault="000B103F" w:rsidP="00672862">
      <w:pPr>
        <w:pStyle w:val="Address"/>
      </w:pPr>
      <w:r>
        <w:t>PO Box 100</w:t>
      </w:r>
    </w:p>
    <w:p w:rsidR="00E7356B" w:rsidRDefault="000B103F" w:rsidP="00672862">
      <w:pPr>
        <w:pStyle w:val="Address"/>
      </w:pPr>
      <w:r>
        <w:t>WODEN  ACT  2606</w:t>
      </w:r>
    </w:p>
    <w:p w:rsidR="00E7356B" w:rsidRDefault="00E7356B">
      <w:pPr>
        <w:spacing w:after="200" w:line="0" w:lineRule="auto"/>
      </w:pPr>
      <w:r>
        <w:br w:type="page"/>
      </w:r>
    </w:p>
    <w:p w:rsidR="00E7356B" w:rsidRDefault="00E7356B" w:rsidP="00E7356B">
      <w:pPr>
        <w:pStyle w:val="Heading1"/>
        <w:sectPr w:rsidR="00E7356B" w:rsidSect="00E7356B">
          <w:headerReference w:type="even" r:id="rId21"/>
          <w:headerReference w:type="default" r:id="rId22"/>
          <w:footerReference w:type="default" r:id="rId23"/>
          <w:headerReference w:type="first" r:id="rId24"/>
          <w:type w:val="continuous"/>
          <w:pgSz w:w="11906" w:h="16838" w:code="9"/>
          <w:pgMar w:top="2211" w:right="1701" w:bottom="1701" w:left="1701" w:header="907" w:footer="142" w:gutter="0"/>
          <w:cols w:space="708"/>
          <w:docGrid w:linePitch="360"/>
        </w:sectPr>
      </w:pPr>
      <w:bookmarkStart w:id="13" w:name="_Toc41208552"/>
      <w:bookmarkStart w:id="14" w:name="_Toc43883842"/>
      <w:bookmarkStart w:id="15" w:name="_Toc44298017"/>
      <w:bookmarkStart w:id="16" w:name="_Toc44299234"/>
      <w:bookmarkStart w:id="17" w:name="_Toc45684673"/>
      <w:bookmarkStart w:id="18" w:name="_Toc51726103"/>
      <w:bookmarkStart w:id="19" w:name="_Toc64108353"/>
      <w:bookmarkStart w:id="20" w:name="_Toc139258893"/>
    </w:p>
    <w:p w:rsidR="0037564C" w:rsidRDefault="00E7356B" w:rsidP="00E7356B">
      <w:pPr>
        <w:pStyle w:val="Heading1"/>
        <w:rPr>
          <w:sz w:val="22"/>
        </w:rPr>
      </w:pPr>
      <w:bookmarkStart w:id="21" w:name="_Toc310280466"/>
      <w:r>
        <w:lastRenderedPageBreak/>
        <w:t>2.</w:t>
      </w:r>
      <w:r>
        <w:tab/>
        <w:t>Overview</w:t>
      </w:r>
      <w:bookmarkEnd w:id="13"/>
      <w:bookmarkEnd w:id="14"/>
      <w:bookmarkEnd w:id="15"/>
      <w:bookmarkEnd w:id="16"/>
      <w:bookmarkEnd w:id="17"/>
      <w:bookmarkEnd w:id="18"/>
      <w:bookmarkEnd w:id="19"/>
      <w:bookmarkEnd w:id="20"/>
      <w:bookmarkEnd w:id="21"/>
      <w:r>
        <w:t xml:space="preserve"> </w:t>
      </w:r>
    </w:p>
    <w:p w:rsidR="0037564C" w:rsidRDefault="00E7356B" w:rsidP="00E7356B">
      <w:r>
        <w:t xml:space="preserve">This Chapter gives an overview of the legislative and procedural framework within which OTC medicines are regulated. It also defines the terms used in these guidelines. Information on substances which are not, as yet, included in a product is contained in Chapter 6B, </w:t>
      </w:r>
      <w:hyperlink w:anchor="_6B._New_substances" w:history="1">
        <w:r w:rsidR="00781286" w:rsidRPr="00B169D5">
          <w:rPr>
            <w:rStyle w:val="Hyperlink"/>
          </w:rPr>
          <w:t xml:space="preserve">New </w:t>
        </w:r>
        <w:bookmarkStart w:id="22" w:name="_Hlt40583510"/>
        <w:r w:rsidR="00781286" w:rsidRPr="00B169D5">
          <w:rPr>
            <w:rStyle w:val="Hyperlink"/>
          </w:rPr>
          <w:t>s</w:t>
        </w:r>
        <w:bookmarkStart w:id="23" w:name="_Hlt40862478"/>
        <w:bookmarkEnd w:id="22"/>
        <w:r w:rsidR="00781286" w:rsidRPr="00B169D5">
          <w:rPr>
            <w:rStyle w:val="Hyperlink"/>
          </w:rPr>
          <w:t>u</w:t>
        </w:r>
        <w:bookmarkStart w:id="24" w:name="_Hlt44303404"/>
        <w:bookmarkEnd w:id="23"/>
        <w:r w:rsidR="00781286" w:rsidRPr="00B169D5">
          <w:rPr>
            <w:rStyle w:val="Hyperlink"/>
          </w:rPr>
          <w:t>b</w:t>
        </w:r>
        <w:bookmarkEnd w:id="24"/>
        <w:r w:rsidR="00781286" w:rsidRPr="00B169D5">
          <w:rPr>
            <w:rStyle w:val="Hyperlink"/>
          </w:rPr>
          <w:t>stances</w:t>
        </w:r>
      </w:hyperlink>
      <w:r w:rsidR="00781286">
        <w:t>.</w:t>
      </w:r>
    </w:p>
    <w:p w:rsidR="0037564C" w:rsidRDefault="00E7356B" w:rsidP="00E7356B">
      <w:pPr>
        <w:pStyle w:val="Heading2"/>
      </w:pPr>
      <w:bookmarkStart w:id="25" w:name="_Toc40505039"/>
      <w:bookmarkStart w:id="26" w:name="_Toc40505262"/>
      <w:bookmarkStart w:id="27" w:name="_Toc40771548"/>
      <w:bookmarkStart w:id="28" w:name="_Toc41208553"/>
      <w:bookmarkStart w:id="29" w:name="_Toc43883843"/>
      <w:bookmarkStart w:id="30" w:name="_Toc44298018"/>
      <w:bookmarkStart w:id="31" w:name="_Toc44299235"/>
      <w:bookmarkStart w:id="32" w:name="_Toc45684674"/>
      <w:bookmarkStart w:id="33" w:name="_Toc51726104"/>
      <w:bookmarkStart w:id="34" w:name="_Toc64108354"/>
      <w:bookmarkStart w:id="35" w:name="_Toc139258894"/>
      <w:bookmarkStart w:id="36" w:name="_Toc310280467"/>
      <w:r w:rsidRPr="001A388A">
        <w:t>Therapeutic Goods</w:t>
      </w:r>
      <w:bookmarkEnd w:id="25"/>
      <w:bookmarkEnd w:id="26"/>
      <w:bookmarkEnd w:id="27"/>
      <w:bookmarkEnd w:id="28"/>
      <w:bookmarkEnd w:id="29"/>
      <w:bookmarkEnd w:id="30"/>
      <w:bookmarkEnd w:id="31"/>
      <w:bookmarkEnd w:id="32"/>
      <w:bookmarkEnd w:id="33"/>
      <w:bookmarkEnd w:id="34"/>
      <w:bookmarkEnd w:id="35"/>
      <w:bookmarkEnd w:id="36"/>
    </w:p>
    <w:p w:rsidR="0037564C" w:rsidRDefault="00E7356B" w:rsidP="00E7356B">
      <w:r>
        <w:t xml:space="preserve">The </w:t>
      </w:r>
      <w:r>
        <w:rPr>
          <w:i/>
        </w:rPr>
        <w:t>Therapeutic Goods Act 1989</w:t>
      </w:r>
      <w:r>
        <w:t xml:space="preserve"> (the Act) came into operation in February 1991. Its object is:</w:t>
      </w:r>
    </w:p>
    <w:p w:rsidR="0037564C" w:rsidRDefault="00E7356B" w:rsidP="00E7356B">
      <w:pPr>
        <w:ind w:left="720"/>
        <w:rPr>
          <w:i/>
        </w:rPr>
      </w:pPr>
      <w:r>
        <w:rPr>
          <w:i/>
        </w:rPr>
        <w:t xml:space="preserve">to promote the development of a national system of controls relating to the quality, safety, efficacy and timely availability of therapeutic goods used in Australia or exported from Australia, whether the goods are produced in Australia or elsewhere. </w:t>
      </w:r>
    </w:p>
    <w:p w:rsidR="0037564C" w:rsidRDefault="00E7356B" w:rsidP="00E7356B">
      <w:r>
        <w:t>‘Therapeutic goods’ are defined in the Act. All therapeutic goods (other than those which are exempt) must be regis</w:t>
      </w:r>
      <w:r>
        <w:softHyphen/>
        <w:t xml:space="preserve">tered or listed in the Australian Register of Therapeutic Goods (ARTG) before they can be imported, exported, manufactured or supplied in Australia. </w:t>
      </w:r>
    </w:p>
    <w:p w:rsidR="0037564C" w:rsidRDefault="00E7356B" w:rsidP="00E7356B">
      <w:r>
        <w:t xml:space="preserve">Therapeutic goods are divided into ‘medicines’ and ‘medical devices’. Some ‘medicines’ are limited to prescription-only while others are available without a prescription. Non-prescription medicines may be ‘complementary medicines’ or ‘OTC medicines’ and may be ‘listed’ or ‘registered’ in the ARTG. </w:t>
      </w:r>
    </w:p>
    <w:p w:rsidR="0037564C" w:rsidRDefault="00781286" w:rsidP="00130EF7">
      <w:r>
        <w:t>These guidelines are solely concerned with OTC medicines. Some OTC medicines (eg. sunscreens) are normally ‘listable’ but the majority are ‘registrable’. Information on registration and listing is available on the TGA website</w:t>
      </w:r>
      <w:r w:rsidR="00613231" w:rsidRPr="00613231">
        <w:rPr>
          <w:rStyle w:val="FootnoteReference"/>
        </w:rPr>
        <w:footnoteReference w:id="2"/>
      </w:r>
      <w:r>
        <w:t>.</w:t>
      </w:r>
    </w:p>
    <w:p w:rsidR="00781286" w:rsidRPr="00781286" w:rsidRDefault="00781286" w:rsidP="00781286">
      <w:pPr>
        <w:pStyle w:val="Heading2"/>
        <w:rPr>
          <w:sz w:val="22"/>
        </w:rPr>
      </w:pPr>
      <w:bookmarkStart w:id="37" w:name="_Toc40505041"/>
      <w:bookmarkStart w:id="38" w:name="_Toc40505264"/>
      <w:bookmarkStart w:id="39" w:name="_Toc40771550"/>
      <w:bookmarkStart w:id="40" w:name="_Toc41208554"/>
      <w:bookmarkStart w:id="41" w:name="_Toc43883844"/>
      <w:bookmarkStart w:id="42" w:name="_Toc44298019"/>
      <w:bookmarkStart w:id="43" w:name="_Toc44299236"/>
      <w:bookmarkStart w:id="44" w:name="_Toc45684675"/>
      <w:bookmarkStart w:id="45" w:name="_Toc51726105"/>
      <w:bookmarkStart w:id="46" w:name="_Toc64108355"/>
      <w:bookmarkStart w:id="47" w:name="_Toc139258895"/>
      <w:bookmarkStart w:id="48" w:name="_Toc310280468"/>
      <w:r>
        <w:t>Route of evaluation</w:t>
      </w:r>
      <w:bookmarkEnd w:id="37"/>
      <w:bookmarkEnd w:id="38"/>
      <w:bookmarkEnd w:id="39"/>
      <w:bookmarkEnd w:id="40"/>
      <w:bookmarkEnd w:id="41"/>
      <w:bookmarkEnd w:id="42"/>
      <w:bookmarkEnd w:id="43"/>
      <w:bookmarkEnd w:id="44"/>
      <w:bookmarkEnd w:id="45"/>
      <w:bookmarkEnd w:id="46"/>
      <w:bookmarkEnd w:id="47"/>
      <w:bookmarkEnd w:id="48"/>
    </w:p>
    <w:p w:rsidR="0037564C" w:rsidRDefault="00781286" w:rsidP="00781286">
      <w:r>
        <w:t xml:space="preserve">Medicines are evaluated by one of three regulatory units. OTC Medicines are evaluated by the OTC Medicines Section (OTC), complementary medicines by the Office of Complementary Medicines (OCM) and prescription and other specified medicines by the Drug Safety and Evaluation Branch (DSEB). The criteria for deciding which of these units evaluates a particular medicine are set out in Schedule 10 to the </w:t>
      </w:r>
      <w:r>
        <w:rPr>
          <w:i/>
        </w:rPr>
        <w:t>Therapeutic Goods Regulations</w:t>
      </w:r>
      <w:r>
        <w:t xml:space="preserve">. </w:t>
      </w:r>
    </w:p>
    <w:p w:rsidR="0037564C" w:rsidRDefault="001231FA" w:rsidP="001231FA">
      <w:r>
        <w:t>In some circumstances it may be more appropriate for a particular medicine to be evaluated by a different unit to the one specified in Schedule 10. Here are some examples of where this may occur:</w:t>
      </w:r>
    </w:p>
    <w:p w:rsidR="001231FA" w:rsidRDefault="001231FA" w:rsidP="001231FA">
      <w:pPr>
        <w:pStyle w:val="ListBullet"/>
      </w:pPr>
      <w:r>
        <w:t>Where a medicine is currently classified as a ‘Prescription Only Medicine’ (Schedule 4) but meets the criteria for classification in an OTC schedule and the sponsor intends to lodge an application for down-scheduling;</w:t>
      </w:r>
    </w:p>
    <w:p w:rsidR="0037564C" w:rsidRDefault="001231FA" w:rsidP="001231FA">
      <w:pPr>
        <w:pStyle w:val="ListBullet"/>
      </w:pPr>
      <w:r>
        <w:t xml:space="preserve">Where a product contains a new active substance that is closely related to a substance already classified OTC (eg. an active metabolite of an existing ‘Pharmacy Medicine’ (Schedule 2) or ‘Pharmacist Only Medicine’ (Schedule 3) substance)’ and is likely to meet the criteria for classification as a non-prescription medicine in the </w:t>
      </w:r>
      <w:r>
        <w:rPr>
          <w:i/>
        </w:rPr>
        <w:t>Guidelines for the National Drugs and Poisons Schedule Committee</w:t>
      </w:r>
      <w:r w:rsidR="00613231" w:rsidRPr="00613231">
        <w:rPr>
          <w:rStyle w:val="FootnoteReference"/>
        </w:rPr>
        <w:footnoteReference w:id="3"/>
      </w:r>
      <w:r>
        <w:t>.</w:t>
      </w:r>
    </w:p>
    <w:p w:rsidR="0037564C" w:rsidRDefault="001231FA" w:rsidP="001231FA">
      <w:r>
        <w:t xml:space="preserve">The Regulations allow for the transfer of applications between the regulatory units. Once transferred, the applications are dealt with according to the requirements (eg. fees and data requirements) of the new area. </w:t>
      </w:r>
    </w:p>
    <w:p w:rsidR="0037564C" w:rsidRDefault="001231FA" w:rsidP="001231FA">
      <w:r>
        <w:lastRenderedPageBreak/>
        <w:t>A decision to transfer an application to a different regulatory unit may be taken at the initiative of the TGA delegate (eg. OTC products containing oral nitrates for the treatment of heart disease are routinely transferred from OTC to DSEB to maintain consistency in evaluation with prescription medicines). In such cases, the sponsor will be advised before the transfer takes place and be given the opportunity to provide comment.</w:t>
      </w:r>
    </w:p>
    <w:p w:rsidR="0037564C" w:rsidRDefault="001231FA" w:rsidP="001231FA">
      <w:r>
        <w:t xml:space="preserve">Where a sponsor wishes to have an application dealt with by an evaluation unit other than the one specified in Schedule 10 to the Regulations, they will need to provide a justification to the TGA to establish that this is appropriate. The justification can be provided separately in advance of an application or as part of the application itself. </w:t>
      </w:r>
    </w:p>
    <w:p w:rsidR="0037564C" w:rsidRDefault="001231FA" w:rsidP="001231FA">
      <w:r>
        <w:t>If the justification is accepted, the application for that product will then be dealt with by the ‘new’ evaluation unit in the same way as other products regulated by that unit (eg. application and evaluation fees and data requirements will be those of the ‘new’ evaluation unit).</w:t>
      </w:r>
    </w:p>
    <w:p w:rsidR="0037564C" w:rsidRDefault="001231FA" w:rsidP="001231FA">
      <w:r>
        <w:t xml:space="preserve">If the justification is refused, any subsequent application for that product will be dealt with according to Schedule 10 to the Regulations. Details of a procedure for appeals are included under </w:t>
      </w:r>
      <w:hyperlink w:anchor="JustificnAppeals" w:history="1">
        <w:r w:rsidRPr="007B1D00">
          <w:rPr>
            <w:rStyle w:val="Hyperlink"/>
          </w:rPr>
          <w:t>Administrativ</w:t>
        </w:r>
        <w:bookmarkStart w:id="51" w:name="_Hlt44303414"/>
        <w:r w:rsidRPr="007B1D00">
          <w:rPr>
            <w:rStyle w:val="Hyperlink"/>
          </w:rPr>
          <w:t>e</w:t>
        </w:r>
        <w:bookmarkEnd w:id="51"/>
        <w:r w:rsidRPr="007B1D00">
          <w:rPr>
            <w:rStyle w:val="Hyperlink"/>
          </w:rPr>
          <w:t xml:space="preserve"> details</w:t>
        </w:r>
      </w:hyperlink>
      <w:r>
        <w:t>, below.</w:t>
      </w:r>
    </w:p>
    <w:p w:rsidR="0037564C" w:rsidRDefault="001231FA" w:rsidP="001231FA">
      <w:r>
        <w:t xml:space="preserve">The information required in a justification will vary depending on the current and proposed route of evaluation. </w:t>
      </w:r>
    </w:p>
    <w:p w:rsidR="0037564C" w:rsidRDefault="001231FA" w:rsidP="001231FA">
      <w:pPr>
        <w:pStyle w:val="Heading3"/>
      </w:pPr>
      <w:bookmarkStart w:id="52" w:name="_Toc310280469"/>
      <w:r>
        <w:t>DSEB to OTC or OCM</w:t>
      </w:r>
      <w:bookmarkEnd w:id="52"/>
    </w:p>
    <w:p w:rsidR="0037564C" w:rsidRDefault="001231FA" w:rsidP="001231FA">
      <w:r>
        <w:t>Products containing new active substances (ie. those that are not included in any medicine currently authorised for sale in Australia) are usually evaluated by the DSEB. Exceptions to this general rule are sunscreens (evaluated by OTC) and herbal substances (evaluated by OCM).</w:t>
      </w:r>
    </w:p>
    <w:p w:rsidR="0037564C" w:rsidRDefault="001231FA" w:rsidP="001231FA">
      <w:r>
        <w:t>Where a justification for evaluation of a product or substance via the OTC or OCM route is proposed, the primary factors to be taken into account include:</w:t>
      </w:r>
    </w:p>
    <w:p w:rsidR="001231FA" w:rsidRDefault="001231FA" w:rsidP="001231FA">
      <w:pPr>
        <w:pStyle w:val="ListBullet"/>
      </w:pPr>
      <w:r>
        <w:t>The safety of the active substance;</w:t>
      </w:r>
    </w:p>
    <w:p w:rsidR="001231FA" w:rsidRDefault="001231FA" w:rsidP="001231FA">
      <w:pPr>
        <w:pStyle w:val="ListBullet"/>
      </w:pPr>
      <w:r>
        <w:t>The need for professional counselling before use;</w:t>
      </w:r>
    </w:p>
    <w:p w:rsidR="001231FA" w:rsidRDefault="001231FA" w:rsidP="001231FA">
      <w:pPr>
        <w:pStyle w:val="ListBullet"/>
      </w:pPr>
      <w:r>
        <w:t>The nature of the ailments or symptoms to be treated (can they be easily recognised by the consumer, do they require medical diagnosis or management?)</w:t>
      </w:r>
    </w:p>
    <w:p w:rsidR="001231FA" w:rsidRDefault="001231FA" w:rsidP="001231FA">
      <w:pPr>
        <w:pStyle w:val="ListBullet"/>
      </w:pPr>
      <w:r>
        <w:t>The abuse potential of the product or substance;</w:t>
      </w:r>
    </w:p>
    <w:p w:rsidR="001231FA" w:rsidRDefault="001231FA" w:rsidP="001231FA">
      <w:pPr>
        <w:pStyle w:val="ListBullet"/>
      </w:pPr>
      <w:r>
        <w:t>The incidence of adverse effects and contraindications;</w:t>
      </w:r>
    </w:p>
    <w:p w:rsidR="001231FA" w:rsidRDefault="001231FA" w:rsidP="001231FA">
      <w:pPr>
        <w:pStyle w:val="ListBullet"/>
      </w:pPr>
      <w:r>
        <w:t>The risk of masking serious disease;</w:t>
      </w:r>
    </w:p>
    <w:p w:rsidR="0037564C" w:rsidRDefault="001231FA" w:rsidP="001231FA">
      <w:pPr>
        <w:pStyle w:val="ListBullet"/>
      </w:pPr>
      <w:r>
        <w:t>The risk/benefit profile of the product (eg. therapeutic index).</w:t>
      </w:r>
    </w:p>
    <w:p w:rsidR="0037564C" w:rsidRDefault="001231FA" w:rsidP="001231FA">
      <w:r>
        <w:t>Other factors that may be taken into account include:</w:t>
      </w:r>
    </w:p>
    <w:p w:rsidR="001231FA" w:rsidRDefault="001231FA" w:rsidP="001231FA">
      <w:pPr>
        <w:pStyle w:val="ListBullet"/>
      </w:pPr>
      <w:r>
        <w:t>Whether the product would be in a lower schedule if presented in a different form (eg. different pack size, different strength, different indications, different route of administration);</w:t>
      </w:r>
    </w:p>
    <w:p w:rsidR="001231FA" w:rsidRDefault="001231FA" w:rsidP="001231FA">
      <w:pPr>
        <w:pStyle w:val="ListBullet"/>
      </w:pPr>
      <w:r>
        <w:t>Whether products containing the substance are available without prescription in other countries with comparable regulatory regimes to Australia;</w:t>
      </w:r>
    </w:p>
    <w:p w:rsidR="001231FA" w:rsidRDefault="001231FA" w:rsidP="001231FA">
      <w:pPr>
        <w:pStyle w:val="ListBullet"/>
      </w:pPr>
      <w:r>
        <w:t>Whether the product contains a substance that has a closely related chemical structure and similar therapeutic action to other substances that are in a less restrictive schedule;</w:t>
      </w:r>
    </w:p>
    <w:p w:rsidR="0037564C" w:rsidRDefault="001231FA" w:rsidP="001231FA">
      <w:pPr>
        <w:pStyle w:val="ListBullet"/>
      </w:pPr>
      <w:r>
        <w:t>Whether the substance appears to meet the criteria for listing.</w:t>
      </w:r>
    </w:p>
    <w:p w:rsidR="0037564C" w:rsidRDefault="001231FA" w:rsidP="001231FA">
      <w:pPr>
        <w:pStyle w:val="Heading3"/>
      </w:pPr>
      <w:bookmarkStart w:id="53" w:name="_Toc310280470"/>
      <w:r>
        <w:lastRenderedPageBreak/>
        <w:t xml:space="preserve">OTC to OCM or </w:t>
      </w:r>
      <w:r>
        <w:rPr>
          <w:i/>
        </w:rPr>
        <w:t>vice versa</w:t>
      </w:r>
      <w:bookmarkEnd w:id="53"/>
    </w:p>
    <w:p w:rsidR="0037564C" w:rsidRDefault="001231FA" w:rsidP="001231FA">
      <w:r>
        <w:t>In general, products containing active ingredients that would normally be evaluated as OTC (eg. paracetamol) in combination with active ingredients that would normally be evaluated as complementary (eg. herbal substances, vitamins, minerals) will be evaluated via the OTC route.</w:t>
      </w:r>
    </w:p>
    <w:p w:rsidR="0037564C" w:rsidRDefault="001231FA" w:rsidP="001231FA">
      <w:r>
        <w:t>Where a sponsor wishes to propose a different route to that specified in Schedule 10 to the Regulations, a justification should be provided.</w:t>
      </w:r>
    </w:p>
    <w:p w:rsidR="0037564C" w:rsidRDefault="001231FA" w:rsidP="001231FA">
      <w:pPr>
        <w:pStyle w:val="Heading3"/>
      </w:pPr>
      <w:bookmarkStart w:id="54" w:name="_Toc310280471"/>
      <w:r>
        <w:t>OTC or OCM to DSEB</w:t>
      </w:r>
      <w:bookmarkEnd w:id="54"/>
    </w:p>
    <w:p w:rsidR="0037564C" w:rsidRDefault="001231FA" w:rsidP="001231FA">
      <w:r>
        <w:t>In some circumstances, sponsors may prefer to have an application evaluated by the DSEB rather than OTC or OCM (eg. where a product range includes strengths that are ‘prescription’ as well as OTC). A justification should be submitted but minimal supporting data will be required in such cases.</w:t>
      </w:r>
    </w:p>
    <w:p w:rsidR="0037564C" w:rsidRDefault="001231FA" w:rsidP="001231FA">
      <w:pPr>
        <w:pStyle w:val="Heading3"/>
      </w:pPr>
      <w:bookmarkStart w:id="55" w:name="_Hlt44303416"/>
      <w:bookmarkStart w:id="56" w:name="JustificnAppeals"/>
      <w:bookmarkStart w:id="57" w:name="_Toc310280472"/>
      <w:bookmarkEnd w:id="55"/>
      <w:r>
        <w:t>Administrative details</w:t>
      </w:r>
      <w:bookmarkEnd w:id="56"/>
      <w:bookmarkEnd w:id="57"/>
    </w:p>
    <w:p w:rsidR="0037564C" w:rsidRDefault="001231FA" w:rsidP="001231FA">
      <w:r>
        <w:t>A form (</w:t>
      </w:r>
      <w:r>
        <w:rPr>
          <w:i/>
        </w:rPr>
        <w:t>Justification for a particular route of evaluation)</w:t>
      </w:r>
      <w:r w:rsidR="00613231" w:rsidRPr="00613231">
        <w:rPr>
          <w:rStyle w:val="FootnoteReference"/>
        </w:rPr>
        <w:footnoteReference w:id="4"/>
      </w:r>
      <w:r>
        <w:t xml:space="preserve"> is provided to assist sponsors in submitting the required information. The justification request should be submitted to the evaluation unit specified in Schedule 10 to the Regulations (eg. a ‘Prescription Only Medicine’ (Schedule 4) justification request should be submitted to the DSEB) with a copy sent to the proposed evaluation unit. There is no fee for this.</w:t>
      </w:r>
    </w:p>
    <w:p w:rsidR="0037564C" w:rsidRDefault="001231FA" w:rsidP="001231FA">
      <w:r>
        <w:t>A decision will be made by the TGA within 20 working days (four weeks) of receipt of the justification request. The decision will be made by the relinquishing area following discussion with the proposed receiving area. The sponsor will be advised of the decision by the relinquishing area. If the initial decision is to refuse the justification request, the reasons for refusal will be given.</w:t>
      </w:r>
    </w:p>
    <w:p w:rsidR="0037564C" w:rsidRDefault="001231FA" w:rsidP="001231FA">
      <w:pPr>
        <w:rPr>
          <w:color w:val="000000"/>
        </w:rPr>
      </w:pPr>
      <w:r>
        <w:rPr>
          <w:color w:val="000000"/>
        </w:rPr>
        <w:t>Following the initial decision, if the sponsor and the TGA cannot come to a mutually acceptable position, the sponsor may request the TGA National Manager to undertake an independent internal review. This review will be completed within 20 working days of the receipt of the request and may involve consultation with the chairs of the relevant evaluation committees.</w:t>
      </w:r>
    </w:p>
    <w:p w:rsidR="0037564C" w:rsidRDefault="001231FA" w:rsidP="001231FA">
      <w:pPr>
        <w:pStyle w:val="Heading3"/>
      </w:pPr>
      <w:bookmarkStart w:id="58" w:name="_Toc310280473"/>
      <w:r>
        <w:t>Excipients</w:t>
      </w:r>
      <w:bookmarkEnd w:id="58"/>
    </w:p>
    <w:p w:rsidR="0037564C" w:rsidRDefault="001231FA" w:rsidP="001231FA">
      <w:r>
        <w:t xml:space="preserve">Excipients are usually evaluated via the same route as the products in which they are to be used (eg. a new excipient that is to be used in complementary medicines will be evaluated by the OCM).  </w:t>
      </w:r>
    </w:p>
    <w:p w:rsidR="0037564C" w:rsidRDefault="001231FA" w:rsidP="001231FA">
      <w:r>
        <w:t>In general, the evaluation criteria for new excipients are common across all areas of the TGA. Information on data requirements is available from the relevant evaluation area.</w:t>
      </w:r>
    </w:p>
    <w:p w:rsidR="0037564C" w:rsidRDefault="001231FA" w:rsidP="001231FA">
      <w:pPr>
        <w:pStyle w:val="Heading3"/>
      </w:pPr>
      <w:bookmarkStart w:id="59" w:name="_Toc310280474"/>
      <w:r>
        <w:t>Currently registered non-prescription transdermal patches</w:t>
      </w:r>
      <w:bookmarkEnd w:id="59"/>
    </w:p>
    <w:p w:rsidR="0037564C" w:rsidRDefault="001231FA" w:rsidP="001231FA">
      <w:r>
        <w:t>Under Schedule 10 to the Regulations, transdermal systems are routinely evaluated by the DSEB even if they are non-prescription products.</w:t>
      </w:r>
    </w:p>
    <w:p w:rsidR="0037564C" w:rsidRDefault="001231FA" w:rsidP="001231FA">
      <w:r>
        <w:t>Notwithstanding this, evaluation of a particular application via the OTC or OCM route will be accepted when it involves a change or changes that do not result in a new delivery system or influence the characteristics of the currently approved delivery system. Changes in formulation, membrane or other specific factor(s) that control release of the active frequently result in what could be considered a new delivery system.</w:t>
      </w:r>
    </w:p>
    <w:p w:rsidR="0037564C" w:rsidRDefault="001231FA" w:rsidP="001231FA">
      <w:r>
        <w:t xml:space="preserve">Acceptable changes (ie. to be considered by the OTC or OCM route), therefore include applications involving clinical data, toxicological data, and only those pharmaceutical chemistry changes that do not create a new transdermal system or influence the characteristics of the currently approved system.  </w:t>
      </w:r>
    </w:p>
    <w:p w:rsidR="001231FA" w:rsidRDefault="001231FA" w:rsidP="001231FA">
      <w:r>
        <w:t>Examples of changes that will be accepted for evaluation via the OTC or OCM route are:</w:t>
      </w:r>
    </w:p>
    <w:p w:rsidR="001231FA" w:rsidRDefault="001231FA" w:rsidP="007B1D00">
      <w:pPr>
        <w:pStyle w:val="ListBullet"/>
      </w:pPr>
      <w:r>
        <w:lastRenderedPageBreak/>
        <w:t xml:space="preserve">Labelling changes </w:t>
      </w:r>
    </w:p>
    <w:p w:rsidR="001231FA" w:rsidRDefault="001231FA" w:rsidP="007B1D00">
      <w:pPr>
        <w:pStyle w:val="ListBullet"/>
      </w:pPr>
      <w:r>
        <w:t>Sponsor changes</w:t>
      </w:r>
    </w:p>
    <w:p w:rsidR="001231FA" w:rsidRDefault="001231FA" w:rsidP="007B1D00">
      <w:pPr>
        <w:pStyle w:val="ListBullet"/>
      </w:pPr>
      <w:r>
        <w:t xml:space="preserve">Consumer Medicine Information </w:t>
      </w:r>
    </w:p>
    <w:p w:rsidR="001231FA" w:rsidRDefault="001231FA" w:rsidP="007B1D00">
      <w:pPr>
        <w:pStyle w:val="ListBullet"/>
      </w:pPr>
      <w:r>
        <w:t xml:space="preserve">Product Information </w:t>
      </w:r>
    </w:p>
    <w:p w:rsidR="001231FA" w:rsidRDefault="001231FA" w:rsidP="007B1D00">
      <w:pPr>
        <w:pStyle w:val="ListBullet"/>
      </w:pPr>
      <w:r>
        <w:t>Packaging changes, other than immediate packaging</w:t>
      </w:r>
    </w:p>
    <w:p w:rsidR="0037564C" w:rsidRDefault="001231FA" w:rsidP="007B1D00">
      <w:pPr>
        <w:pStyle w:val="ListBullet"/>
      </w:pPr>
      <w:r>
        <w:t>Product detail changes not involving a change to the delivery system.</w:t>
      </w:r>
    </w:p>
    <w:p w:rsidR="0037564C" w:rsidRDefault="001231FA" w:rsidP="001231FA">
      <w:r>
        <w:t>Changes other than those specified will require a justification if an alternative evaluation area is desired. For example:</w:t>
      </w:r>
    </w:p>
    <w:p w:rsidR="001231FA" w:rsidRDefault="001231FA" w:rsidP="007B1D00">
      <w:pPr>
        <w:pStyle w:val="ListBullet"/>
      </w:pPr>
      <w:r>
        <w:t>Product detail changes involving the delivery system (PDF to PMI);</w:t>
      </w:r>
    </w:p>
    <w:p w:rsidR="001231FA" w:rsidRDefault="001231FA" w:rsidP="007B1D00">
      <w:pPr>
        <w:pStyle w:val="ListBullet"/>
      </w:pPr>
      <w:r>
        <w:t>Quality Control changes – finished product specifications (QFX to QFR) which do not result in a new transdermal system;</w:t>
      </w:r>
    </w:p>
    <w:p w:rsidR="001231FA" w:rsidRDefault="001231FA" w:rsidP="007B1D00">
      <w:pPr>
        <w:pStyle w:val="ListBullet"/>
      </w:pPr>
      <w:r>
        <w:t>Quality control changes – starting material specifications (QSX to QSS) which do not result in a new transdermal system;</w:t>
      </w:r>
    </w:p>
    <w:p w:rsidR="0037564C" w:rsidRDefault="001231FA" w:rsidP="007B1D00">
      <w:pPr>
        <w:pStyle w:val="ListBullet"/>
      </w:pPr>
      <w:r>
        <w:t>Manufacturing changes – finished product (MMA to MPR).</w:t>
      </w:r>
    </w:p>
    <w:p w:rsidR="0037564C" w:rsidRDefault="001231FA" w:rsidP="001231FA">
      <w:pPr>
        <w:rPr>
          <w:color w:val="000000"/>
        </w:rPr>
      </w:pPr>
      <w:r>
        <w:rPr>
          <w:color w:val="000000"/>
        </w:rPr>
        <w:t xml:space="preserve">The codes quoted above are from the </w:t>
      </w:r>
      <w:hyperlink w:anchor="Changestable" w:history="1">
        <w:r w:rsidRPr="007B1D00">
          <w:rPr>
            <w:rStyle w:val="Hyperlink"/>
          </w:rPr>
          <w:t>Ch</w:t>
        </w:r>
        <w:bookmarkStart w:id="60" w:name="_Hlt44303433"/>
        <w:r w:rsidRPr="007B1D00">
          <w:rPr>
            <w:rStyle w:val="Hyperlink"/>
          </w:rPr>
          <w:t>a</w:t>
        </w:r>
        <w:bookmarkStart w:id="61" w:name="_Hlt43874624"/>
        <w:bookmarkEnd w:id="60"/>
        <w:r w:rsidRPr="007B1D00">
          <w:rPr>
            <w:rStyle w:val="Hyperlink"/>
          </w:rPr>
          <w:t>n</w:t>
        </w:r>
        <w:bookmarkEnd w:id="61"/>
        <w:r w:rsidRPr="007B1D00">
          <w:rPr>
            <w:rStyle w:val="Hyperlink"/>
          </w:rPr>
          <w:t>ges table</w:t>
        </w:r>
      </w:hyperlink>
      <w:r>
        <w:t xml:space="preserve"> (Chapter 11).</w:t>
      </w:r>
    </w:p>
    <w:p w:rsidR="0037564C" w:rsidRDefault="001231FA" w:rsidP="001231FA">
      <w:pPr>
        <w:pStyle w:val="Heading3"/>
      </w:pPr>
      <w:bookmarkStart w:id="62" w:name="_Toc310280475"/>
      <w:r>
        <w:t>Relationship to scheduling in the SUSDP</w:t>
      </w:r>
      <w:bookmarkEnd w:id="62"/>
    </w:p>
    <w:p w:rsidR="0037564C" w:rsidRDefault="001231FA" w:rsidP="001231FA">
      <w:r>
        <w:t>Where a product that contains a new active substance is approved for registration and it appears that the substance meets the criteria for inclusion in a schedule of the SUSDP, the matter will be referred to the National Drugs and Poisons Schedule Committee (NDPSC) for consideration as to the most appropriate schedule for the substance. The sponsor may wish to make a submission to the NDPSC at that time.</w:t>
      </w:r>
    </w:p>
    <w:p w:rsidR="0037564C" w:rsidRDefault="001231FA" w:rsidP="001231FA">
      <w:r>
        <w:t>Where a product is already included in Schedule 4, 8 or 9 of the SUSDP and the TGA has accepted a justification for evaluation via the non-prescription route, the sponsor should submit an application to the NDPSC for ‘switching’ the substance to a lower schedule. Depending on timeframes, the sponsor should consider submitting these applications concurrently.</w:t>
      </w:r>
    </w:p>
    <w:p w:rsidR="0037564C" w:rsidRDefault="001231FA" w:rsidP="001231FA">
      <w:r>
        <w:t>In both the above instances, the NDPSC will generally consider the application for scheduling or ‘switching’ schedules after advice of the TGA’s decision on registration of the product has been received. The TGA’s evaluation report will be made available to the NDPSC to assist in its assessment.</w:t>
      </w:r>
    </w:p>
    <w:p w:rsidR="0037564C" w:rsidRDefault="001231FA" w:rsidP="001231FA">
      <w:r>
        <w:t>In cases where it is clear that the ‘new’ substance does not meet the criteria for inclusion in any schedule of the SUSDP, the matter will not be referred to the NDPSC.</w:t>
      </w:r>
    </w:p>
    <w:p w:rsidR="0037564C" w:rsidRDefault="001231FA" w:rsidP="001231FA">
      <w:r>
        <w:t>It must be recognised that the decision on which schedule a substance is allocated is the sole responsibility of the NDPSC. It should not be expected that because a substance or product has been evaluated via the non-prescription route that the NDPSC will necessarily allocate a non-prescription schedule to that substance, or that it will accept a recommendation to include a substance in a particular schedule.</w:t>
      </w:r>
    </w:p>
    <w:p w:rsidR="0037564C" w:rsidRDefault="001231FA" w:rsidP="001231FA">
      <w:r>
        <w:t>In circumstances where a product is evaluated via a non-prescription route and then the NDPSC allocates or confirms a ‘Prescription Only Medicine’ (Schedule 4) classification, the evaluation will not be repeated via the DSEB.</w:t>
      </w:r>
    </w:p>
    <w:p w:rsidR="001231FA" w:rsidRDefault="001231FA">
      <w:pPr>
        <w:spacing w:after="200" w:line="0" w:lineRule="auto"/>
      </w:pPr>
      <w:r>
        <w:br w:type="page"/>
      </w:r>
    </w:p>
    <w:p w:rsidR="00130EF7" w:rsidRDefault="00130EF7" w:rsidP="001231FA">
      <w:pPr>
        <w:pStyle w:val="Heading1"/>
        <w:sectPr w:rsidR="00130EF7" w:rsidSect="00E7356B">
          <w:headerReference w:type="even" r:id="rId25"/>
          <w:headerReference w:type="default" r:id="rId26"/>
          <w:footerReference w:type="default" r:id="rId27"/>
          <w:headerReference w:type="first" r:id="rId28"/>
          <w:footnotePr>
            <w:numRestart w:val="eachSect"/>
          </w:footnotePr>
          <w:type w:val="continuous"/>
          <w:pgSz w:w="11906" w:h="16838" w:code="9"/>
          <w:pgMar w:top="2211" w:right="1701" w:bottom="1701" w:left="1701" w:header="907" w:footer="142" w:gutter="0"/>
          <w:cols w:space="708"/>
          <w:docGrid w:linePitch="360"/>
        </w:sectPr>
      </w:pPr>
      <w:bookmarkStart w:id="63" w:name="_Toc41208555"/>
      <w:bookmarkStart w:id="64" w:name="_Toc43883845"/>
      <w:bookmarkStart w:id="65" w:name="_Toc44298020"/>
      <w:bookmarkStart w:id="66" w:name="_Toc44299237"/>
      <w:bookmarkStart w:id="67" w:name="_Toc45684676"/>
      <w:bookmarkStart w:id="68" w:name="_Toc51726106"/>
      <w:bookmarkStart w:id="69" w:name="_Toc64108356"/>
      <w:bookmarkStart w:id="70" w:name="_Toc139258896"/>
    </w:p>
    <w:p w:rsidR="0037564C" w:rsidRDefault="001231FA" w:rsidP="001231FA">
      <w:pPr>
        <w:pStyle w:val="Heading1"/>
      </w:pPr>
      <w:bookmarkStart w:id="71" w:name="_Toc310280476"/>
      <w:r>
        <w:lastRenderedPageBreak/>
        <w:t>3.</w:t>
      </w:r>
      <w:r>
        <w:tab/>
        <w:t>The application</w:t>
      </w:r>
      <w:bookmarkEnd w:id="63"/>
      <w:bookmarkEnd w:id="64"/>
      <w:bookmarkEnd w:id="65"/>
      <w:bookmarkEnd w:id="66"/>
      <w:bookmarkEnd w:id="67"/>
      <w:bookmarkEnd w:id="68"/>
      <w:bookmarkEnd w:id="69"/>
      <w:bookmarkEnd w:id="70"/>
      <w:bookmarkEnd w:id="71"/>
    </w:p>
    <w:p w:rsidR="0037564C" w:rsidRDefault="001231FA" w:rsidP="001231FA">
      <w:r>
        <w:t>This chapter describes the information required to support an application to register an OTC medicine. In general, that information should consist of an application form (accompanied by the prescribed fee) together with a submission containing information and data to support the product’s registration. Submissions should be page numbered and include an index. Applications prepared in the European or ICH format are preferred.</w:t>
      </w:r>
    </w:p>
    <w:p w:rsidR="0037564C" w:rsidRDefault="001231FA" w:rsidP="001231FA">
      <w:pPr>
        <w:pStyle w:val="Heading2"/>
      </w:pPr>
      <w:bookmarkStart w:id="72" w:name="_Toc40505043"/>
      <w:bookmarkStart w:id="73" w:name="_Toc40505266"/>
      <w:bookmarkStart w:id="74" w:name="_Toc40771552"/>
      <w:bookmarkStart w:id="75" w:name="_Toc41208556"/>
      <w:bookmarkStart w:id="76" w:name="_Toc43883846"/>
      <w:bookmarkStart w:id="77" w:name="_Toc44298021"/>
      <w:bookmarkStart w:id="78" w:name="_Toc44299238"/>
      <w:bookmarkStart w:id="79" w:name="_Toc45684677"/>
      <w:bookmarkStart w:id="80" w:name="_Toc51726107"/>
      <w:bookmarkStart w:id="81" w:name="_Toc64108357"/>
      <w:bookmarkStart w:id="82" w:name="_Toc139258897"/>
      <w:bookmarkStart w:id="83" w:name="_Toc310280477"/>
      <w:r>
        <w:t>The application form</w:t>
      </w:r>
      <w:bookmarkEnd w:id="72"/>
      <w:bookmarkEnd w:id="73"/>
      <w:bookmarkEnd w:id="74"/>
      <w:bookmarkEnd w:id="75"/>
      <w:bookmarkEnd w:id="76"/>
      <w:bookmarkEnd w:id="77"/>
      <w:bookmarkEnd w:id="78"/>
      <w:bookmarkEnd w:id="79"/>
      <w:bookmarkEnd w:id="80"/>
      <w:bookmarkEnd w:id="81"/>
      <w:bookmarkEnd w:id="82"/>
      <w:bookmarkEnd w:id="83"/>
    </w:p>
    <w:p w:rsidR="0037564C" w:rsidRDefault="001231FA" w:rsidP="001231FA">
      <w:r>
        <w:t xml:space="preserve">The application form is called the </w:t>
      </w:r>
      <w:r>
        <w:rPr>
          <w:i/>
        </w:rPr>
        <w:t>New medicine registration application form (OTC)</w:t>
      </w:r>
      <w:r w:rsidR="00613231" w:rsidRPr="00613231">
        <w:rPr>
          <w:rStyle w:val="FootnoteReference"/>
        </w:rPr>
        <w:footnoteReference w:id="5"/>
      </w:r>
      <w:r>
        <w:t>. Instructions on how to complete the form are printed opposite the corresponding item in the form. The instructions on the form are additional to the requirements in these guidelines. Contact the OTC Medicines Section if you are unsure as to how to complete any particular item in the form.</w:t>
      </w:r>
    </w:p>
    <w:p w:rsidR="0037564C" w:rsidRDefault="001231FA" w:rsidP="001231FA">
      <w:pPr>
        <w:pStyle w:val="Heading2"/>
        <w:rPr>
          <w:sz w:val="22"/>
        </w:rPr>
      </w:pPr>
      <w:bookmarkStart w:id="84" w:name="_Toc40505044"/>
      <w:bookmarkStart w:id="85" w:name="_Toc40505267"/>
      <w:bookmarkStart w:id="86" w:name="_Toc40771553"/>
      <w:bookmarkStart w:id="87" w:name="_Toc41208557"/>
      <w:bookmarkStart w:id="88" w:name="_Toc43883847"/>
      <w:bookmarkStart w:id="89" w:name="_Toc44298022"/>
      <w:bookmarkStart w:id="90" w:name="_Toc44299239"/>
      <w:bookmarkStart w:id="91" w:name="_Toc45684678"/>
      <w:bookmarkStart w:id="92" w:name="_Toc51726108"/>
      <w:bookmarkStart w:id="93" w:name="_Toc64108358"/>
      <w:bookmarkStart w:id="94" w:name="_Toc139258898"/>
      <w:bookmarkStart w:id="95" w:name="_Toc310280478"/>
      <w:r>
        <w:t>Fees</w:t>
      </w:r>
      <w:bookmarkEnd w:id="84"/>
      <w:bookmarkEnd w:id="85"/>
      <w:bookmarkEnd w:id="86"/>
      <w:bookmarkEnd w:id="87"/>
      <w:bookmarkEnd w:id="88"/>
      <w:bookmarkEnd w:id="89"/>
      <w:bookmarkEnd w:id="90"/>
      <w:bookmarkEnd w:id="91"/>
      <w:bookmarkEnd w:id="92"/>
      <w:bookmarkEnd w:id="93"/>
      <w:bookmarkEnd w:id="94"/>
      <w:bookmarkEnd w:id="95"/>
    </w:p>
    <w:p w:rsidR="0037564C" w:rsidRDefault="001231FA" w:rsidP="001231FA">
      <w:r>
        <w:t>Application and evaluation fees are payable for most applications. Full details of the current fees are contained in Schedule 9 to the Regulations. A summary of</w:t>
      </w:r>
      <w:r>
        <w:rPr>
          <w:u w:val="single"/>
        </w:rPr>
        <w:t xml:space="preserve"> </w:t>
      </w:r>
      <w:r>
        <w:t>fees and charges is available on the TGA website</w:t>
      </w:r>
      <w:r w:rsidR="00613231" w:rsidRPr="00613231">
        <w:rPr>
          <w:rStyle w:val="FootnoteReference"/>
        </w:rPr>
        <w:footnoteReference w:id="6"/>
      </w:r>
      <w:r>
        <w:t>. To avoid delay, you should pay the full application and evaluation fees at the time of submitting your application.</w:t>
      </w:r>
    </w:p>
    <w:p w:rsidR="0037564C" w:rsidRDefault="001231FA" w:rsidP="001231FA">
      <w:r>
        <w:t xml:space="preserve">In some circumstances, a waiver or reduction of the evaluation fee (but not the application fee) may be possible under the provisions of Regulation 45 of the </w:t>
      </w:r>
      <w:r>
        <w:rPr>
          <w:i/>
        </w:rPr>
        <w:t>Therapeutic Goods Regulations</w:t>
      </w:r>
      <w:r>
        <w:t xml:space="preserve"> (eg. where the TGA has already evaluated relevant data on a related product and the evaluation can be abridged).</w:t>
      </w:r>
    </w:p>
    <w:p w:rsidR="0037564C" w:rsidRDefault="001231FA" w:rsidP="001231FA">
      <w:r>
        <w:t>If you believe you are eligible for a waiver or reduction of the evaluation fee, include a request with your application. If approved, a refund will be issued by the Business Management Unit (BMU).</w:t>
      </w:r>
    </w:p>
    <w:p w:rsidR="0037564C" w:rsidRDefault="001231FA" w:rsidP="001231FA">
      <w:r>
        <w:t>The BMU will acknowledge receipt of your application within a few days of its arrival in the TGA. The acknowledgment letter will quote a TGA Identification Number (TGAIN) which uniquely identifies your application. This number should be quoted in any correspondence or enquires concerning the application.</w:t>
      </w:r>
    </w:p>
    <w:p w:rsidR="0037564C" w:rsidRDefault="001231FA" w:rsidP="001231FA">
      <w:pPr>
        <w:pStyle w:val="Heading2"/>
        <w:rPr>
          <w:sz w:val="22"/>
        </w:rPr>
      </w:pPr>
      <w:bookmarkStart w:id="96" w:name="_Toc40505045"/>
      <w:bookmarkStart w:id="97" w:name="_Toc40505268"/>
      <w:bookmarkStart w:id="98" w:name="_Toc40771554"/>
      <w:bookmarkStart w:id="99" w:name="_Toc41208558"/>
      <w:bookmarkStart w:id="100" w:name="_Toc43883848"/>
      <w:bookmarkStart w:id="101" w:name="_Toc44298023"/>
      <w:bookmarkStart w:id="102" w:name="_Toc44299240"/>
      <w:bookmarkStart w:id="103" w:name="_Toc45684679"/>
      <w:bookmarkStart w:id="104" w:name="_Toc51726109"/>
      <w:bookmarkStart w:id="105" w:name="_Toc64108359"/>
      <w:bookmarkStart w:id="106" w:name="_Toc139258899"/>
      <w:bookmarkStart w:id="107" w:name="_Toc310280479"/>
      <w:r>
        <w:t>The submission</w:t>
      </w:r>
      <w:bookmarkEnd w:id="96"/>
      <w:bookmarkEnd w:id="97"/>
      <w:bookmarkEnd w:id="98"/>
      <w:bookmarkEnd w:id="99"/>
      <w:bookmarkEnd w:id="100"/>
      <w:bookmarkEnd w:id="101"/>
      <w:bookmarkEnd w:id="102"/>
      <w:bookmarkEnd w:id="103"/>
      <w:bookmarkEnd w:id="104"/>
      <w:bookmarkEnd w:id="105"/>
      <w:bookmarkEnd w:id="106"/>
      <w:bookmarkEnd w:id="107"/>
    </w:p>
    <w:p w:rsidR="0037564C" w:rsidRDefault="001231FA" w:rsidP="001231FA">
      <w:r>
        <w:t>In general, a submission for registration of an OTC medicine should include the following components:</w:t>
      </w:r>
    </w:p>
    <w:p w:rsidR="001231FA" w:rsidRDefault="001231FA" w:rsidP="001231FA">
      <w:pPr>
        <w:pStyle w:val="ListBullet"/>
      </w:pPr>
      <w:r>
        <w:t xml:space="preserve">Specifications and stability data as specified in Chapter 4, </w:t>
      </w:r>
      <w:hyperlink w:anchor="Quality" w:history="1">
        <w:r w:rsidRPr="002339D9">
          <w:rPr>
            <w:rStyle w:val="Hyperlink"/>
          </w:rPr>
          <w:t>Q</w:t>
        </w:r>
        <w:bookmarkStart w:id="108" w:name="_Hlt40587864"/>
        <w:r w:rsidRPr="002339D9">
          <w:rPr>
            <w:rStyle w:val="Hyperlink"/>
          </w:rPr>
          <w:t>u</w:t>
        </w:r>
        <w:bookmarkStart w:id="109" w:name="_Hlt40862501"/>
        <w:bookmarkEnd w:id="108"/>
        <w:r w:rsidRPr="002339D9">
          <w:rPr>
            <w:rStyle w:val="Hyperlink"/>
          </w:rPr>
          <w:t>a</w:t>
        </w:r>
        <w:bookmarkStart w:id="110" w:name="_Hlt44303468"/>
        <w:bookmarkEnd w:id="109"/>
        <w:r w:rsidRPr="002339D9">
          <w:rPr>
            <w:rStyle w:val="Hyperlink"/>
          </w:rPr>
          <w:t>l</w:t>
        </w:r>
        <w:bookmarkEnd w:id="110"/>
        <w:r w:rsidRPr="002339D9">
          <w:rPr>
            <w:rStyle w:val="Hyperlink"/>
          </w:rPr>
          <w:t>ity</w:t>
        </w:r>
      </w:hyperlink>
      <w:r w:rsidRPr="002339D9">
        <w:t>;</w:t>
      </w:r>
    </w:p>
    <w:p w:rsidR="001231FA" w:rsidRDefault="001231FA" w:rsidP="001231FA">
      <w:pPr>
        <w:pStyle w:val="ListBullet"/>
      </w:pPr>
      <w:r>
        <w:t>Copies of all labelling including package inserts;</w:t>
      </w:r>
    </w:p>
    <w:p w:rsidR="001231FA" w:rsidRDefault="001231FA" w:rsidP="001231FA">
      <w:pPr>
        <w:pStyle w:val="ListBullet"/>
      </w:pPr>
      <w:r>
        <w:t xml:space="preserve">A copy of the Product Information (PI) and Consumer Medicine Information (CMI) documents where relevant (refer Chapter 5, </w:t>
      </w:r>
      <w:hyperlink w:anchor="Presentation" w:history="1">
        <w:r w:rsidRPr="002339D9">
          <w:rPr>
            <w:rStyle w:val="Hyperlink"/>
          </w:rPr>
          <w:t>Pr</w:t>
        </w:r>
        <w:bookmarkStart w:id="111" w:name="_Hlt40862504"/>
        <w:r w:rsidRPr="002339D9">
          <w:rPr>
            <w:rStyle w:val="Hyperlink"/>
          </w:rPr>
          <w:t>e</w:t>
        </w:r>
        <w:bookmarkEnd w:id="111"/>
        <w:r w:rsidRPr="002339D9">
          <w:rPr>
            <w:rStyle w:val="Hyperlink"/>
          </w:rPr>
          <w:t>s</w:t>
        </w:r>
        <w:bookmarkStart w:id="112" w:name="_Hlt40588086"/>
        <w:r w:rsidRPr="002339D9">
          <w:rPr>
            <w:rStyle w:val="Hyperlink"/>
          </w:rPr>
          <w:t>e</w:t>
        </w:r>
        <w:bookmarkStart w:id="113" w:name="_Hlt44303471"/>
        <w:bookmarkEnd w:id="112"/>
        <w:r w:rsidRPr="002339D9">
          <w:rPr>
            <w:rStyle w:val="Hyperlink"/>
          </w:rPr>
          <w:t>n</w:t>
        </w:r>
        <w:bookmarkEnd w:id="113"/>
        <w:r w:rsidRPr="002339D9">
          <w:rPr>
            <w:rStyle w:val="Hyperlink"/>
          </w:rPr>
          <w:t>t</w:t>
        </w:r>
        <w:bookmarkStart w:id="114" w:name="_Hlt44303487"/>
        <w:r w:rsidRPr="002339D9">
          <w:rPr>
            <w:rStyle w:val="Hyperlink"/>
          </w:rPr>
          <w:t>a</w:t>
        </w:r>
        <w:bookmarkEnd w:id="114"/>
        <w:r w:rsidRPr="002339D9">
          <w:rPr>
            <w:rStyle w:val="Hyperlink"/>
          </w:rPr>
          <w:t>tion</w:t>
        </w:r>
      </w:hyperlink>
      <w:r>
        <w:t>);</w:t>
      </w:r>
    </w:p>
    <w:p w:rsidR="0037564C" w:rsidRDefault="001231FA" w:rsidP="001231FA">
      <w:pPr>
        <w:pStyle w:val="ListBullet"/>
      </w:pPr>
      <w:r>
        <w:t xml:space="preserve">Efficacy and safety information where relevant (refer Chapters 6A, </w:t>
      </w:r>
      <w:hyperlink w:anchor="Effsafety" w:history="1">
        <w:r w:rsidRPr="002339D9">
          <w:rPr>
            <w:rStyle w:val="Hyperlink"/>
          </w:rPr>
          <w:t>E</w:t>
        </w:r>
        <w:bookmarkStart w:id="115" w:name="_Hlt40862507"/>
        <w:r w:rsidRPr="002339D9">
          <w:rPr>
            <w:rStyle w:val="Hyperlink"/>
          </w:rPr>
          <w:t>f</w:t>
        </w:r>
        <w:bookmarkStart w:id="116" w:name="_Hlt44303500"/>
        <w:bookmarkEnd w:id="115"/>
        <w:r w:rsidRPr="002339D9">
          <w:rPr>
            <w:rStyle w:val="Hyperlink"/>
          </w:rPr>
          <w:t>f</w:t>
        </w:r>
        <w:bookmarkEnd w:id="116"/>
        <w:r w:rsidRPr="002339D9">
          <w:rPr>
            <w:rStyle w:val="Hyperlink"/>
          </w:rPr>
          <w:t>ic</w:t>
        </w:r>
        <w:bookmarkStart w:id="117" w:name="_Hlt41197586"/>
        <w:r w:rsidRPr="002339D9">
          <w:rPr>
            <w:rStyle w:val="Hyperlink"/>
          </w:rPr>
          <w:t>a</w:t>
        </w:r>
        <w:bookmarkStart w:id="118" w:name="_Hlt40588091"/>
        <w:bookmarkEnd w:id="117"/>
        <w:r w:rsidRPr="002339D9">
          <w:rPr>
            <w:rStyle w:val="Hyperlink"/>
          </w:rPr>
          <w:t>c</w:t>
        </w:r>
        <w:bookmarkEnd w:id="118"/>
        <w:r w:rsidRPr="002339D9">
          <w:rPr>
            <w:rStyle w:val="Hyperlink"/>
          </w:rPr>
          <w:t>y and safety</w:t>
        </w:r>
      </w:hyperlink>
      <w:r>
        <w:t xml:space="preserve"> and 6B, </w:t>
      </w:r>
      <w:hyperlink w:anchor="_6B._New_substances" w:history="1">
        <w:r w:rsidRPr="002339D9">
          <w:rPr>
            <w:rStyle w:val="Hyperlink"/>
          </w:rPr>
          <w:t xml:space="preserve">New </w:t>
        </w:r>
        <w:bookmarkStart w:id="119" w:name="_Hlt44303555"/>
        <w:r w:rsidRPr="002339D9">
          <w:rPr>
            <w:rStyle w:val="Hyperlink"/>
          </w:rPr>
          <w:t>s</w:t>
        </w:r>
        <w:bookmarkEnd w:id="119"/>
        <w:r w:rsidRPr="002339D9">
          <w:rPr>
            <w:rStyle w:val="Hyperlink"/>
          </w:rPr>
          <w:t>ubstances</w:t>
        </w:r>
      </w:hyperlink>
      <w:r>
        <w:t>).</w:t>
      </w:r>
    </w:p>
    <w:p w:rsidR="0037564C" w:rsidRDefault="001231FA" w:rsidP="001231FA">
      <w:pPr>
        <w:pStyle w:val="Heading2"/>
        <w:rPr>
          <w:sz w:val="22"/>
        </w:rPr>
      </w:pPr>
      <w:bookmarkStart w:id="120" w:name="_Toc40505046"/>
      <w:bookmarkStart w:id="121" w:name="_Toc40505269"/>
      <w:bookmarkStart w:id="122" w:name="_Toc40771555"/>
      <w:bookmarkStart w:id="123" w:name="_Toc41208559"/>
      <w:bookmarkStart w:id="124" w:name="_Toc43883849"/>
      <w:bookmarkStart w:id="125" w:name="_Toc44298024"/>
      <w:bookmarkStart w:id="126" w:name="_Toc44299241"/>
      <w:bookmarkStart w:id="127" w:name="_Toc45684680"/>
      <w:bookmarkStart w:id="128" w:name="_Toc51726110"/>
      <w:bookmarkStart w:id="129" w:name="_Toc64108360"/>
      <w:bookmarkStart w:id="130" w:name="_Toc139258900"/>
      <w:bookmarkStart w:id="131" w:name="_Toc310280480"/>
      <w:r>
        <w:lastRenderedPageBreak/>
        <w:t>The evaluation process</w:t>
      </w:r>
      <w:bookmarkEnd w:id="120"/>
      <w:bookmarkEnd w:id="121"/>
      <w:bookmarkEnd w:id="122"/>
      <w:bookmarkEnd w:id="123"/>
      <w:bookmarkEnd w:id="124"/>
      <w:bookmarkEnd w:id="125"/>
      <w:bookmarkEnd w:id="126"/>
      <w:bookmarkEnd w:id="127"/>
      <w:bookmarkEnd w:id="128"/>
      <w:bookmarkEnd w:id="129"/>
      <w:bookmarkEnd w:id="130"/>
      <w:bookmarkEnd w:id="131"/>
      <w:r>
        <w:t xml:space="preserve"> </w:t>
      </w:r>
    </w:p>
    <w:p w:rsidR="0037564C" w:rsidRDefault="001231FA" w:rsidP="001231FA">
      <w:r>
        <w:t>Instructions for lodging applications are given on the application form. On receipt at the TGA, applications are screened to ensure that they comply with the following criteria:</w:t>
      </w:r>
    </w:p>
    <w:p w:rsidR="001231FA" w:rsidRDefault="001231FA" w:rsidP="001231FA">
      <w:pPr>
        <w:pStyle w:val="ListBullet"/>
      </w:pPr>
      <w:r>
        <w:t>correct fees paid;</w:t>
      </w:r>
    </w:p>
    <w:p w:rsidR="001231FA" w:rsidRDefault="001231FA" w:rsidP="001231FA">
      <w:pPr>
        <w:pStyle w:val="ListBullet"/>
      </w:pPr>
      <w:r>
        <w:t>form filled correctly;</w:t>
      </w:r>
    </w:p>
    <w:p w:rsidR="001231FA" w:rsidRDefault="001231FA" w:rsidP="001231FA">
      <w:pPr>
        <w:pStyle w:val="ListBullet"/>
      </w:pPr>
      <w:r>
        <w:t xml:space="preserve">all necessary data present (including stability and validation data as detailed in Chapter 4E, </w:t>
      </w:r>
      <w:hyperlink w:anchor="QualStabilityCh" w:history="1">
        <w:r w:rsidRPr="00CC2B11">
          <w:rPr>
            <w:rStyle w:val="Hyperlink"/>
          </w:rPr>
          <w:t>Quality –</w:t>
        </w:r>
        <w:bookmarkStart w:id="132" w:name="_Hlt44209046"/>
        <w:r w:rsidRPr="00CC2B11">
          <w:rPr>
            <w:rStyle w:val="Hyperlink"/>
          </w:rPr>
          <w:t xml:space="preserve"> </w:t>
        </w:r>
        <w:bookmarkEnd w:id="132"/>
        <w:r w:rsidRPr="00CC2B11">
          <w:rPr>
            <w:rStyle w:val="Hyperlink"/>
          </w:rPr>
          <w:t>St</w:t>
        </w:r>
        <w:bookmarkStart w:id="133" w:name="_Hlt44303559"/>
        <w:r w:rsidRPr="00CC2B11">
          <w:rPr>
            <w:rStyle w:val="Hyperlink"/>
          </w:rPr>
          <w:t>a</w:t>
        </w:r>
        <w:bookmarkEnd w:id="133"/>
        <w:r w:rsidRPr="00CC2B11">
          <w:rPr>
            <w:rStyle w:val="Hyperlink"/>
          </w:rPr>
          <w:t>bility testing</w:t>
        </w:r>
      </w:hyperlink>
      <w:r>
        <w:t>);</w:t>
      </w:r>
    </w:p>
    <w:p w:rsidR="001231FA" w:rsidRDefault="001231FA" w:rsidP="001231FA">
      <w:pPr>
        <w:pStyle w:val="ListBullet"/>
      </w:pPr>
      <w:r>
        <w:t>all necessary attachments present (eg. labels, PI and CMI documents, where relevant);</w:t>
      </w:r>
    </w:p>
    <w:p w:rsidR="0037564C" w:rsidRDefault="001231FA" w:rsidP="001231FA">
      <w:pPr>
        <w:pStyle w:val="ListBullet"/>
      </w:pPr>
      <w:r>
        <w:t>Information on the GMP status of manufacturer(s) provided (usually in the form of a clearance letter from the TGA’s Manufacturer Assessment Section).</w:t>
      </w:r>
    </w:p>
    <w:p w:rsidR="0037564C" w:rsidRDefault="001231FA" w:rsidP="001231FA">
      <w:r>
        <w:t xml:space="preserve">If any of these factors are absent, the application may be returned to the sponsor on the basis that </w:t>
      </w:r>
      <w:r w:rsidRPr="00A06AA0">
        <w:rPr>
          <w:i/>
        </w:rPr>
        <w:t>“An application is not effective unless: the applicant has delivered … such information … as will allow the determination of the application”</w:t>
      </w:r>
      <w:r>
        <w:t xml:space="preserve"> (Section 23 of the Act). In such cases the application fee is not eligible for refund but the evaluation fee may be refunded on the basis that evaluation had not commenced. </w:t>
      </w:r>
    </w:p>
    <w:p w:rsidR="0037564C" w:rsidRDefault="001231FA" w:rsidP="001231FA">
      <w:r>
        <w:t>The sponsor may also be contacted at this stage (before evaluation commences) if, in the opinion of a senior evaluator, the application is unlikely to be approved. In such cases the sponsor will be given the option of withdrawing the application (with loss of the application fee but not the evaluation fee) or requesting that the application proceed regardless.</w:t>
      </w:r>
    </w:p>
    <w:p w:rsidR="0037564C" w:rsidRDefault="001231FA" w:rsidP="001231FA">
      <w:r>
        <w:t xml:space="preserve">Applications which are returned at this screening stage or subsequently withdrawn can be corrected and resubmitted (as a new application with the appropriate fees) at any time. The TGA is willing to provide some general guidance as to what would be required for a future application but for detailed or technical assistance, it is recommended that the services of an appropriately qualified and experienced regulatory affairs consultant be sought (see </w:t>
      </w:r>
      <w:hyperlink w:anchor="Consultants" w:history="1">
        <w:r w:rsidRPr="00CC2B11">
          <w:rPr>
            <w:rStyle w:val="Hyperlink"/>
          </w:rPr>
          <w:t>Cons</w:t>
        </w:r>
        <w:bookmarkStart w:id="134" w:name="_Hlt40588197"/>
        <w:r w:rsidRPr="00CC2B11">
          <w:rPr>
            <w:rStyle w:val="Hyperlink"/>
          </w:rPr>
          <w:t>u</w:t>
        </w:r>
        <w:bookmarkEnd w:id="134"/>
        <w:r w:rsidRPr="00CC2B11">
          <w:rPr>
            <w:rStyle w:val="Hyperlink"/>
          </w:rPr>
          <w:t>ltants</w:t>
        </w:r>
      </w:hyperlink>
      <w:r>
        <w:t xml:space="preserve"> below).</w:t>
      </w:r>
    </w:p>
    <w:p w:rsidR="0037564C" w:rsidRDefault="001231FA" w:rsidP="001231FA">
      <w:r>
        <w:t xml:space="preserve">Where a product is required to be sterile (eg. eye drops), the sterility and preservative efficacy aspects of the product will be evaluated concurrently by the TGA’s Microbiology Section. The microbiology evaluator may contact the sponsor directly if there are any issues relating to this part of the evaluation. </w:t>
      </w:r>
    </w:p>
    <w:p w:rsidR="0037564C" w:rsidRDefault="001231FA" w:rsidP="001231FA">
      <w:r>
        <w:t xml:space="preserve">Where a product contains ingredients of animal origin the sponsor must comply with the requirements specified </w:t>
      </w:r>
      <w:r w:rsidRPr="00CC2B11">
        <w:t xml:space="preserve">under </w:t>
      </w:r>
      <w:hyperlink w:anchor="TSEreqments" w:history="1">
        <w:r w:rsidRPr="00CC2B11">
          <w:rPr>
            <w:rStyle w:val="Hyperlink"/>
          </w:rPr>
          <w:t>Ingre</w:t>
        </w:r>
        <w:bookmarkStart w:id="135" w:name="_Hlt44303569"/>
        <w:r w:rsidRPr="00CC2B11">
          <w:rPr>
            <w:rStyle w:val="Hyperlink"/>
          </w:rPr>
          <w:t>d</w:t>
        </w:r>
        <w:bookmarkEnd w:id="135"/>
        <w:r w:rsidRPr="00CC2B11">
          <w:rPr>
            <w:rStyle w:val="Hyperlink"/>
          </w:rPr>
          <w:t>ient</w:t>
        </w:r>
        <w:bookmarkStart w:id="136" w:name="_Hlt43881732"/>
        <w:r w:rsidRPr="00CC2B11">
          <w:rPr>
            <w:rStyle w:val="Hyperlink"/>
          </w:rPr>
          <w:t>s</w:t>
        </w:r>
        <w:bookmarkEnd w:id="136"/>
        <w:r w:rsidRPr="00CC2B11">
          <w:rPr>
            <w:rStyle w:val="Hyperlink"/>
          </w:rPr>
          <w:t xml:space="preserve"> of human or animal origin</w:t>
        </w:r>
      </w:hyperlink>
      <w:r>
        <w:t xml:space="preserve"> in Chapter 4B.</w:t>
      </w:r>
    </w:p>
    <w:p w:rsidR="0037564C" w:rsidRDefault="001231FA" w:rsidP="001231FA">
      <w:r>
        <w:t>Applications for new products may be referred to the Medicines Evaluation Committee (MEC) for assessment and recommendation. However, the delegate may choose to make a decision on the basis of information already to hand without advice from the committee. For example:</w:t>
      </w:r>
    </w:p>
    <w:p w:rsidR="001231FA" w:rsidRDefault="001231FA" w:rsidP="001231FA">
      <w:pPr>
        <w:pStyle w:val="ListBullet"/>
      </w:pPr>
      <w:r>
        <w:t>where the new product is a ‘clone’ (ie. identical in all respects except for the name) of an existing evaluated product (with the consent of the sponsor of the ‘parent’ product);</w:t>
      </w:r>
    </w:p>
    <w:p w:rsidR="001231FA" w:rsidRDefault="001231FA" w:rsidP="001231FA">
      <w:pPr>
        <w:pStyle w:val="ListBullet"/>
      </w:pPr>
      <w:r>
        <w:t xml:space="preserve">where the new product is similar to products which have been evaluated in the past (eg. a new brand of paracetamol tablet) and bioequivalence data are not required; </w:t>
      </w:r>
    </w:p>
    <w:p w:rsidR="0037564C" w:rsidRDefault="001231FA" w:rsidP="001231FA">
      <w:pPr>
        <w:pStyle w:val="ListBullet"/>
      </w:pPr>
      <w:r>
        <w:t>where all issues have been dealt with by the MEC in the past and the Delegate does not require further advice from the committee.</w:t>
      </w:r>
    </w:p>
    <w:p w:rsidR="0037564C" w:rsidRDefault="001231FA" w:rsidP="001231FA">
      <w:r>
        <w:t>Applications which are precedential or which contain issues that have not been fully addressed in the past will usually be referred to the MEC.</w:t>
      </w:r>
    </w:p>
    <w:p w:rsidR="0037564C" w:rsidRDefault="001231FA" w:rsidP="001231FA">
      <w:r>
        <w:lastRenderedPageBreak/>
        <w:t>The MEC comprises members with expertise and experience in medicine, paediatric medicine, clinical pharmacology, pharmacy, toxicology, microbiology, regulatory affairs, pharmaceutical chemistry, manufacturing and forensic pharmacy. Its secretariat is provided by the OTC Medicines Section and meetings are held on a two monthly basis. Further details of the composition and terms of reference of the MEC can be found on the TGA website</w:t>
      </w:r>
      <w:r w:rsidR="00613231" w:rsidRPr="00613231">
        <w:rPr>
          <w:rStyle w:val="FootnoteReference"/>
        </w:rPr>
        <w:footnoteReference w:id="7"/>
      </w:r>
      <w:r>
        <w:t xml:space="preserve">. </w:t>
      </w:r>
    </w:p>
    <w:p w:rsidR="0037564C" w:rsidRDefault="001231FA" w:rsidP="001231FA">
      <w:r>
        <w:t>An evaluation report is prepared by a TGA evaluator for submission to the MEC. The purpose of the evaluation report is to provide an objective regulatory and scientific assessment and summary of the application to assist the committee in reaching a conclusion about the suitability of the product for registration.</w:t>
      </w:r>
    </w:p>
    <w:p w:rsidR="0037564C" w:rsidRDefault="001231FA" w:rsidP="001231FA">
      <w:r>
        <w:t>Applications for variation of existing products are generally not referred to the MEC unless the advice of the committee is specifically required. Circumstances where this may occur include:</w:t>
      </w:r>
    </w:p>
    <w:p w:rsidR="001231FA" w:rsidRDefault="001231FA" w:rsidP="001231FA">
      <w:pPr>
        <w:pStyle w:val="ListBullet"/>
      </w:pPr>
      <w:r>
        <w:t>new indications, directions for use or claims for an existing product;</w:t>
      </w:r>
    </w:p>
    <w:p w:rsidR="001231FA" w:rsidRDefault="001231FA" w:rsidP="001231FA">
      <w:pPr>
        <w:pStyle w:val="ListBullet"/>
      </w:pPr>
      <w:r>
        <w:t>a chemistry, quality control or labelling issue which is precedential; or</w:t>
      </w:r>
    </w:p>
    <w:p w:rsidR="0037564C" w:rsidRDefault="001231FA" w:rsidP="001231FA">
      <w:pPr>
        <w:pStyle w:val="ListBullet"/>
      </w:pPr>
      <w:r>
        <w:t xml:space="preserve">where the delegate requires technical or policy advice from the committee. </w:t>
      </w:r>
    </w:p>
    <w:p w:rsidR="0037564C" w:rsidRDefault="001231FA" w:rsidP="001231FA">
      <w:r>
        <w:t xml:space="preserve">Where the product is to be referred to the MEC, the sponsor will be sent a copy of the TGA’s evaluation report at least ten days before the cut-off date for the meeting at which the application is to be considered. Comments from the sponsor will be given to the MEC. In general, comments must be limited to three pages and should only address substantial issues raised in the evaluation report. Minor and administrative issues can be dealt with separately by the evaluator. Additional data will not be accepted at this stage.   </w:t>
      </w:r>
    </w:p>
    <w:p w:rsidR="0037564C" w:rsidRDefault="001231FA" w:rsidP="001231FA">
      <w:pPr>
        <w:rPr>
          <w:snapToGrid w:val="0"/>
        </w:rPr>
      </w:pPr>
      <w:r>
        <w:rPr>
          <w:snapToGrid w:val="0"/>
        </w:rPr>
        <w:t>Where an application is recommended by the MEC for rejection, the committee will usually offer the sponsor the opportunity to appear before a future meeting in support of the application. If the sponsor chooses to accept this invitation, the following considerations will apply:</w:t>
      </w:r>
    </w:p>
    <w:p w:rsidR="001231FA" w:rsidRDefault="001231FA" w:rsidP="001231FA">
      <w:pPr>
        <w:pStyle w:val="ListBullet"/>
        <w:rPr>
          <w:snapToGrid w:val="0"/>
        </w:rPr>
      </w:pPr>
      <w:r>
        <w:rPr>
          <w:snapToGrid w:val="0"/>
        </w:rPr>
        <w:t>The sponsor should contact the OTC Medicines Section as soon as possible to arrange a suitable meeting;</w:t>
      </w:r>
    </w:p>
    <w:p w:rsidR="001231FA" w:rsidRDefault="001231FA" w:rsidP="001231FA">
      <w:pPr>
        <w:pStyle w:val="ListBullet"/>
        <w:rPr>
          <w:snapToGrid w:val="0"/>
        </w:rPr>
      </w:pPr>
      <w:r>
        <w:rPr>
          <w:snapToGrid w:val="0"/>
        </w:rPr>
        <w:t>The sponsor is allocated half an hour (usually towards the end of the meeting) to present their case;</w:t>
      </w:r>
    </w:p>
    <w:p w:rsidR="001231FA" w:rsidRDefault="001231FA" w:rsidP="001231FA">
      <w:pPr>
        <w:pStyle w:val="ListBullet"/>
        <w:rPr>
          <w:snapToGrid w:val="0"/>
        </w:rPr>
      </w:pPr>
      <w:r>
        <w:rPr>
          <w:snapToGrid w:val="0"/>
        </w:rPr>
        <w:t>New data that require evaluation are not usually accepted at this stage;</w:t>
      </w:r>
    </w:p>
    <w:p w:rsidR="001231FA" w:rsidRDefault="001231FA" w:rsidP="001231FA">
      <w:pPr>
        <w:pStyle w:val="ListBullet"/>
        <w:rPr>
          <w:snapToGrid w:val="0"/>
        </w:rPr>
      </w:pPr>
      <w:r>
        <w:rPr>
          <w:snapToGrid w:val="0"/>
        </w:rPr>
        <w:t xml:space="preserve">Presentation aids (eg. PowerPoint, overhead projector) will be available on request; </w:t>
      </w:r>
    </w:p>
    <w:p w:rsidR="0037564C" w:rsidRDefault="001231FA" w:rsidP="001231FA">
      <w:pPr>
        <w:pStyle w:val="ListBullet"/>
        <w:rPr>
          <w:snapToGrid w:val="0"/>
        </w:rPr>
      </w:pPr>
      <w:r>
        <w:rPr>
          <w:snapToGrid w:val="0"/>
        </w:rPr>
        <w:t>The committee may ask questions at the end of the presentation.</w:t>
      </w:r>
    </w:p>
    <w:p w:rsidR="0037564C" w:rsidRDefault="001231FA" w:rsidP="001231FA">
      <w:pPr>
        <w:rPr>
          <w:snapToGrid w:val="0"/>
        </w:rPr>
      </w:pPr>
      <w:r>
        <w:rPr>
          <w:snapToGrid w:val="0"/>
        </w:rPr>
        <w:t xml:space="preserve">This procedure has been accepted as a long-standing custom of the MEC. It is not a formal appeal and does not affect the sponsor’s appeal rights under Section 60 of the </w:t>
      </w:r>
      <w:r>
        <w:rPr>
          <w:i/>
          <w:snapToGrid w:val="0"/>
        </w:rPr>
        <w:t>Therapeutic Goods Act 1989</w:t>
      </w:r>
      <w:r>
        <w:rPr>
          <w:snapToGrid w:val="0"/>
        </w:rPr>
        <w:t xml:space="preserve">. Refer also to Chapter 7, </w:t>
      </w:r>
      <w:hyperlink w:anchor="Reviewdecisions" w:history="1">
        <w:r w:rsidRPr="00CC2B11">
          <w:rPr>
            <w:rStyle w:val="Hyperlink"/>
          </w:rPr>
          <w:t>Rev</w:t>
        </w:r>
        <w:bookmarkStart w:id="137" w:name="_Hlt41964261"/>
        <w:r w:rsidRPr="00CC2B11">
          <w:rPr>
            <w:rStyle w:val="Hyperlink"/>
          </w:rPr>
          <w:t>i</w:t>
        </w:r>
        <w:bookmarkEnd w:id="137"/>
        <w:r w:rsidRPr="00CC2B11">
          <w:rPr>
            <w:rStyle w:val="Hyperlink"/>
          </w:rPr>
          <w:t>ew</w:t>
        </w:r>
        <w:bookmarkStart w:id="138" w:name="_Hlt41964213"/>
        <w:r w:rsidRPr="00CC2B11">
          <w:rPr>
            <w:rStyle w:val="Hyperlink"/>
          </w:rPr>
          <w:t xml:space="preserve"> </w:t>
        </w:r>
        <w:bookmarkEnd w:id="138"/>
        <w:r w:rsidRPr="00CC2B11">
          <w:rPr>
            <w:rStyle w:val="Hyperlink"/>
          </w:rPr>
          <w:t>of</w:t>
        </w:r>
        <w:bookmarkStart w:id="139" w:name="_Hlt44303580"/>
        <w:r w:rsidRPr="00CC2B11">
          <w:rPr>
            <w:rStyle w:val="Hyperlink"/>
          </w:rPr>
          <w:t xml:space="preserve"> </w:t>
        </w:r>
        <w:bookmarkEnd w:id="139"/>
        <w:r w:rsidRPr="00CC2B11">
          <w:rPr>
            <w:rStyle w:val="Hyperlink"/>
          </w:rPr>
          <w:t>decisions</w:t>
        </w:r>
      </w:hyperlink>
      <w:r w:rsidRPr="00CC2B11">
        <w:rPr>
          <w:snapToGrid w:val="0"/>
        </w:rPr>
        <w:t>.</w:t>
      </w:r>
      <w:r>
        <w:rPr>
          <w:snapToGrid w:val="0"/>
        </w:rPr>
        <w:t xml:space="preserve"> </w:t>
      </w:r>
    </w:p>
    <w:p w:rsidR="0037564C" w:rsidRDefault="001231FA" w:rsidP="001231FA">
      <w:pPr>
        <w:pStyle w:val="Heading2"/>
      </w:pPr>
      <w:bookmarkStart w:id="140" w:name="_Toc40505047"/>
      <w:bookmarkStart w:id="141" w:name="_Toc40505270"/>
      <w:bookmarkStart w:id="142" w:name="_Toc40771556"/>
      <w:bookmarkStart w:id="143" w:name="_Toc41208560"/>
      <w:bookmarkStart w:id="144" w:name="_Toc43883850"/>
      <w:bookmarkStart w:id="145" w:name="_Toc44298025"/>
      <w:bookmarkStart w:id="146" w:name="_Toc44299242"/>
      <w:bookmarkStart w:id="147" w:name="_Toc45684681"/>
      <w:bookmarkStart w:id="148" w:name="_Toc51726111"/>
      <w:bookmarkStart w:id="149" w:name="_Toc64108361"/>
      <w:bookmarkStart w:id="150" w:name="_Toc139258901"/>
      <w:bookmarkStart w:id="151" w:name="_Toc310280481"/>
      <w:r>
        <w:t>‘Clone’ applications</w:t>
      </w:r>
      <w:bookmarkEnd w:id="140"/>
      <w:bookmarkEnd w:id="141"/>
      <w:bookmarkEnd w:id="142"/>
      <w:bookmarkEnd w:id="143"/>
      <w:bookmarkEnd w:id="144"/>
      <w:bookmarkEnd w:id="145"/>
      <w:bookmarkEnd w:id="146"/>
      <w:bookmarkEnd w:id="147"/>
      <w:bookmarkEnd w:id="148"/>
      <w:bookmarkEnd w:id="149"/>
      <w:bookmarkEnd w:id="150"/>
      <w:bookmarkEnd w:id="151"/>
    </w:p>
    <w:p w:rsidR="0037564C" w:rsidRDefault="001231FA" w:rsidP="001231FA">
      <w:r>
        <w:t>The term ‘clone’ is used in relation to OTC medicines that are identical in all respects to an existing evaluated medicine, apart from the product name and identifying details on the product label.</w:t>
      </w:r>
    </w:p>
    <w:p w:rsidR="0037564C" w:rsidRDefault="001231FA" w:rsidP="001231FA">
      <w:r>
        <w:t>Where a product is accepted as a ‘clone’, no supporting data are required (apart from the proposed labelling, PI and CMI) and the evaluation fee will be reduced to the amount of the variation evaluation fee.</w:t>
      </w:r>
    </w:p>
    <w:p w:rsidR="0037564C" w:rsidRDefault="001231FA" w:rsidP="001231FA">
      <w:r>
        <w:lastRenderedPageBreak/>
        <w:t>If the application is approved, the ‘clone’ will be registered in its own right in the ARTG. From the time of registration onwards, the ‘clone’ will bear no legal relationship to the ‘parent’ product. The sponsor of the ‘clone’ will be fully responsible for that product.</w:t>
      </w:r>
    </w:p>
    <w:p w:rsidR="0037564C" w:rsidRDefault="001231FA" w:rsidP="001231FA">
      <w:r>
        <w:t>In general, ‘clone’ applications must comply with the following requirements:</w:t>
      </w:r>
    </w:p>
    <w:p w:rsidR="001231FA" w:rsidRDefault="001231FA" w:rsidP="001231FA">
      <w:pPr>
        <w:pStyle w:val="ListBullet"/>
      </w:pPr>
      <w:r>
        <w:t>The application should be accompanied by a letter from the sponsor of the ‘parent’ product authorising the TGA to access information on the ‘parent’ to support the ‘clone’ application.</w:t>
      </w:r>
    </w:p>
    <w:p w:rsidR="001231FA" w:rsidRDefault="001231FA" w:rsidP="001231FA">
      <w:pPr>
        <w:pStyle w:val="ListBullet"/>
      </w:pPr>
      <w:r>
        <w:t>The ‘parent’ product must have been fully evaluated (ie. not a grandfathered product).</w:t>
      </w:r>
    </w:p>
    <w:p w:rsidR="001231FA" w:rsidRDefault="001231FA" w:rsidP="001231FA">
      <w:pPr>
        <w:pStyle w:val="ListBullet"/>
      </w:pPr>
      <w:r>
        <w:t>The sponsor must provide an assurance that all quality aspects of the proposed ‘clone’ product are identical to the ‘parent’ product, and that the sponsor will ensure that the ‘clone’ product will comply with all applicable regulatory requirements.</w:t>
      </w:r>
    </w:p>
    <w:p w:rsidR="0037564C" w:rsidRDefault="001231FA" w:rsidP="001231FA">
      <w:pPr>
        <w:pStyle w:val="ListBullet"/>
      </w:pPr>
      <w:r>
        <w:t>The application should be accompanied by copies of all labels, PI and CMI (where applicable) of the ‘parent’ product and the ‘clone’.</w:t>
      </w:r>
    </w:p>
    <w:p w:rsidR="0037564C" w:rsidRDefault="001231FA" w:rsidP="001231FA">
      <w:r>
        <w:t>The TGA will closely compare the labels, PI and CMI of the ‘parent’ and ‘clone’ products. If there are changes beyond the product name and identifying details, the label, PI and CMI will be fully evaluated without regard to the ‘parent’. In such cases, the full new product evaluation fee will apply.</w:t>
      </w:r>
    </w:p>
    <w:p w:rsidR="0037564C" w:rsidRDefault="001231FA" w:rsidP="001231FA">
      <w:pPr>
        <w:pStyle w:val="Heading2"/>
      </w:pPr>
      <w:bookmarkStart w:id="152" w:name="_Toc40505048"/>
      <w:bookmarkStart w:id="153" w:name="_Toc40505271"/>
      <w:bookmarkStart w:id="154" w:name="_Toc40771557"/>
      <w:bookmarkStart w:id="155" w:name="_Toc41208561"/>
      <w:bookmarkStart w:id="156" w:name="_Toc43883851"/>
      <w:bookmarkStart w:id="157" w:name="_Toc44298026"/>
      <w:bookmarkStart w:id="158" w:name="_Toc44299243"/>
      <w:bookmarkStart w:id="159" w:name="_Toc45684682"/>
      <w:bookmarkStart w:id="160" w:name="_Toc51726112"/>
      <w:bookmarkStart w:id="161" w:name="_Toc64108362"/>
      <w:bookmarkStart w:id="162" w:name="_Toc139258902"/>
      <w:bookmarkStart w:id="163" w:name="_Toc310280482"/>
      <w:r>
        <w:t>Confidentiality</w:t>
      </w:r>
      <w:bookmarkEnd w:id="152"/>
      <w:bookmarkEnd w:id="153"/>
      <w:bookmarkEnd w:id="154"/>
      <w:bookmarkEnd w:id="155"/>
      <w:bookmarkEnd w:id="156"/>
      <w:bookmarkEnd w:id="157"/>
      <w:bookmarkEnd w:id="158"/>
      <w:bookmarkEnd w:id="159"/>
      <w:bookmarkEnd w:id="160"/>
      <w:bookmarkEnd w:id="161"/>
      <w:bookmarkEnd w:id="162"/>
      <w:bookmarkEnd w:id="163"/>
    </w:p>
    <w:p w:rsidR="0037564C" w:rsidRDefault="001231FA" w:rsidP="001231FA">
      <w:r>
        <w:t>Applications are treated on a commercial-in-confidence basis. Details of an application will only be discussed with the sponsor or the sponsor’s appointed agent. All TGA committees operate under a strict code of confidentiality. Members of committees must declare any conflict of interest in matters to be considered at a meeting and are excluded from taking part in any final determination of those matters.</w:t>
      </w:r>
    </w:p>
    <w:p w:rsidR="0037564C" w:rsidRDefault="001231FA" w:rsidP="001231FA">
      <w:pPr>
        <w:pStyle w:val="Heading2"/>
        <w:rPr>
          <w:sz w:val="22"/>
        </w:rPr>
      </w:pPr>
      <w:bookmarkStart w:id="164" w:name="_Toc40505049"/>
      <w:bookmarkStart w:id="165" w:name="_Toc40505272"/>
      <w:bookmarkStart w:id="166" w:name="_Toc40771558"/>
      <w:bookmarkStart w:id="167" w:name="_Toc41208562"/>
      <w:bookmarkStart w:id="168" w:name="_Toc43883852"/>
      <w:bookmarkStart w:id="169" w:name="_Toc44298027"/>
      <w:bookmarkStart w:id="170" w:name="_Toc44299244"/>
      <w:bookmarkStart w:id="171" w:name="_Toc45684683"/>
      <w:bookmarkStart w:id="172" w:name="_Toc51726113"/>
      <w:bookmarkStart w:id="173" w:name="_Toc64108363"/>
      <w:bookmarkStart w:id="174" w:name="_Toc139258903"/>
      <w:bookmarkStart w:id="175" w:name="_Toc310280483"/>
      <w:r>
        <w:t>The delegate’s decision</w:t>
      </w:r>
      <w:bookmarkEnd w:id="164"/>
      <w:bookmarkEnd w:id="165"/>
      <w:bookmarkEnd w:id="166"/>
      <w:bookmarkEnd w:id="167"/>
      <w:bookmarkEnd w:id="168"/>
      <w:bookmarkEnd w:id="169"/>
      <w:bookmarkEnd w:id="170"/>
      <w:bookmarkEnd w:id="171"/>
      <w:bookmarkEnd w:id="172"/>
      <w:bookmarkEnd w:id="173"/>
      <w:bookmarkEnd w:id="174"/>
      <w:bookmarkEnd w:id="175"/>
      <w:r>
        <w:t xml:space="preserve"> </w:t>
      </w:r>
    </w:p>
    <w:p w:rsidR="0037564C" w:rsidRDefault="001231FA" w:rsidP="001231FA">
      <w:r>
        <w:t>The Act is written in terms of two parties – ‘the sponsor’ and ‘the Secretary’. In practice, where the Act specifies that decisions are to be made by ‘the Secretary’, those decisions are usually made by an officer of the TGA to whom the Secretary’s authority has been formally delegated. Delegations of this nature are generally restricted to senior officers.</w:t>
      </w:r>
    </w:p>
    <w:p w:rsidR="0037564C" w:rsidRDefault="001231FA" w:rsidP="001231FA">
      <w:r>
        <w:t xml:space="preserve">When an evaluation has been completed, the delegate makes a decision on whether the product is suitable for entry in the ARTG on the basis of the application and accompanying data, advice from evaluation committees, other relevant sources and his or her own professional judgement. Decisions made under the Act may be appealed – information on appeal rights is given in Chapter 7, </w:t>
      </w:r>
      <w:hyperlink w:anchor="Reviewdecisions" w:history="1">
        <w:r w:rsidRPr="00CC2B11">
          <w:rPr>
            <w:rStyle w:val="Hyperlink"/>
          </w:rPr>
          <w:t>Revie</w:t>
        </w:r>
        <w:bookmarkStart w:id="176" w:name="_Hlt40588451"/>
        <w:r w:rsidRPr="00CC2B11">
          <w:rPr>
            <w:rStyle w:val="Hyperlink"/>
          </w:rPr>
          <w:t>w</w:t>
        </w:r>
        <w:bookmarkEnd w:id="176"/>
        <w:r w:rsidRPr="00CC2B11">
          <w:rPr>
            <w:rStyle w:val="Hyperlink"/>
          </w:rPr>
          <w:t xml:space="preserve"> of </w:t>
        </w:r>
        <w:bookmarkStart w:id="177" w:name="_Hlt40862521"/>
        <w:r w:rsidRPr="00CC2B11">
          <w:rPr>
            <w:rStyle w:val="Hyperlink"/>
          </w:rPr>
          <w:t>d</w:t>
        </w:r>
        <w:bookmarkEnd w:id="177"/>
        <w:r w:rsidRPr="00CC2B11">
          <w:rPr>
            <w:rStyle w:val="Hyperlink"/>
          </w:rPr>
          <w:t>e</w:t>
        </w:r>
        <w:bookmarkStart w:id="178" w:name="_Hlt44303584"/>
        <w:r w:rsidRPr="00CC2B11">
          <w:rPr>
            <w:rStyle w:val="Hyperlink"/>
          </w:rPr>
          <w:t>c</w:t>
        </w:r>
        <w:bookmarkEnd w:id="178"/>
        <w:r w:rsidRPr="00CC2B11">
          <w:rPr>
            <w:rStyle w:val="Hyperlink"/>
          </w:rPr>
          <w:t>isions</w:t>
        </w:r>
      </w:hyperlink>
      <w:r w:rsidRPr="00CC2B11">
        <w:t>.</w:t>
      </w:r>
    </w:p>
    <w:p w:rsidR="004D24E5" w:rsidRDefault="004D24E5" w:rsidP="001231FA"/>
    <w:p w:rsidR="0037564C" w:rsidRDefault="001231FA" w:rsidP="001231FA">
      <w:pPr>
        <w:pStyle w:val="Heading2"/>
        <w:rPr>
          <w:sz w:val="22"/>
        </w:rPr>
      </w:pPr>
      <w:bookmarkStart w:id="179" w:name="_Toc40505050"/>
      <w:bookmarkStart w:id="180" w:name="_Toc40505273"/>
      <w:bookmarkStart w:id="181" w:name="_Toc40771559"/>
      <w:bookmarkStart w:id="182" w:name="_Toc41208563"/>
      <w:bookmarkStart w:id="183" w:name="_Toc43883853"/>
      <w:bookmarkStart w:id="184" w:name="_Toc44298028"/>
      <w:bookmarkStart w:id="185" w:name="_Toc44299245"/>
      <w:bookmarkStart w:id="186" w:name="_Toc45684684"/>
      <w:bookmarkStart w:id="187" w:name="_Toc51726114"/>
      <w:bookmarkStart w:id="188" w:name="_Toc64108364"/>
      <w:bookmarkStart w:id="189" w:name="_Toc139258904"/>
      <w:bookmarkStart w:id="190" w:name="_Toc310280484"/>
      <w:r>
        <w:t>Entry in the ‘Register’</w:t>
      </w:r>
      <w:bookmarkEnd w:id="179"/>
      <w:bookmarkEnd w:id="180"/>
      <w:bookmarkEnd w:id="181"/>
      <w:bookmarkEnd w:id="182"/>
      <w:bookmarkEnd w:id="183"/>
      <w:bookmarkEnd w:id="184"/>
      <w:bookmarkEnd w:id="185"/>
      <w:bookmarkEnd w:id="186"/>
      <w:bookmarkEnd w:id="187"/>
      <w:bookmarkEnd w:id="188"/>
      <w:bookmarkEnd w:id="189"/>
      <w:bookmarkEnd w:id="190"/>
    </w:p>
    <w:p w:rsidR="0037564C" w:rsidRDefault="001231FA" w:rsidP="001231FA">
      <w:r>
        <w:t>If your application for registration of a product is approved it will be entered in the Australian Register of Therapeutic Goods (ARTG). You will be sent a letter asking you to check the accuracy of all details of the ARTG entry using your on-line access to the SIME ARTG and confirm it is correct (or advise any amendment required). A certificate of registration will be issued following receipt of your confirmation that all details are correct. The registration of the goods will commence on the day specified for the purpose in the certificate of registration. The goods may not be supplied before this date.</w:t>
      </w:r>
    </w:p>
    <w:p w:rsidR="0037564C" w:rsidRDefault="001231FA" w:rsidP="001231FA">
      <w:r>
        <w:lastRenderedPageBreak/>
        <w:t>The Certificate of Registration will include a number of conditions of registration. Read the conditions carefully as they must be complied with in order to retain your product in the register.</w:t>
      </w:r>
    </w:p>
    <w:p w:rsidR="0037564C" w:rsidRDefault="001231FA" w:rsidP="001231FA">
      <w:pPr>
        <w:pStyle w:val="Heading2"/>
      </w:pPr>
      <w:bookmarkStart w:id="191" w:name="_Toc40505051"/>
      <w:bookmarkStart w:id="192" w:name="_Toc40505274"/>
      <w:bookmarkStart w:id="193" w:name="_Toc40771560"/>
      <w:bookmarkStart w:id="194" w:name="_Toc41208564"/>
      <w:bookmarkStart w:id="195" w:name="_Toc43883854"/>
      <w:bookmarkStart w:id="196" w:name="_Toc44298029"/>
      <w:bookmarkStart w:id="197" w:name="_Toc44299246"/>
      <w:bookmarkStart w:id="198" w:name="_Toc45684685"/>
      <w:bookmarkStart w:id="199" w:name="_Toc51726115"/>
      <w:bookmarkStart w:id="200" w:name="_Toc64108365"/>
      <w:bookmarkStart w:id="201" w:name="_Toc139258905"/>
      <w:bookmarkStart w:id="202" w:name="_Toc310280485"/>
      <w:r>
        <w:t>How long will it take?</w:t>
      </w:r>
      <w:bookmarkEnd w:id="191"/>
      <w:bookmarkEnd w:id="192"/>
      <w:bookmarkEnd w:id="193"/>
      <w:bookmarkEnd w:id="194"/>
      <w:bookmarkEnd w:id="195"/>
      <w:bookmarkEnd w:id="196"/>
      <w:bookmarkEnd w:id="197"/>
      <w:bookmarkEnd w:id="198"/>
      <w:bookmarkEnd w:id="199"/>
      <w:bookmarkEnd w:id="200"/>
      <w:bookmarkEnd w:id="201"/>
      <w:bookmarkEnd w:id="202"/>
    </w:p>
    <w:p w:rsidR="001231FA" w:rsidRDefault="001231FA" w:rsidP="001231FA">
      <w:r>
        <w:t>The target times for the various types of applications are set out in the table below.</w:t>
      </w:r>
    </w:p>
    <w:tbl>
      <w:tblPr>
        <w:tblStyle w:val="TableTGA1"/>
        <w:tblW w:w="9067" w:type="dxa"/>
        <w:tblLook w:val="04A0" w:firstRow="1" w:lastRow="0" w:firstColumn="1" w:lastColumn="0" w:noHBand="0" w:noVBand="1"/>
      </w:tblPr>
      <w:tblGrid>
        <w:gridCol w:w="5665"/>
        <w:gridCol w:w="3402"/>
      </w:tblGrid>
      <w:tr w:rsidR="001231FA" w:rsidTr="00D10529">
        <w:trPr>
          <w:cnfStyle w:val="100000000000" w:firstRow="1" w:lastRow="0" w:firstColumn="0" w:lastColumn="0" w:oddVBand="0" w:evenVBand="0" w:oddHBand="0" w:evenHBand="0" w:firstRowFirstColumn="0" w:firstRowLastColumn="0" w:lastRowFirstColumn="0" w:lastRowLastColumn="0"/>
        </w:trPr>
        <w:tc>
          <w:tcPr>
            <w:tcW w:w="5665" w:type="dxa"/>
          </w:tcPr>
          <w:p w:rsidR="001231FA" w:rsidRPr="006A352D" w:rsidRDefault="001231FA" w:rsidP="002A596D">
            <w:pPr>
              <w:pStyle w:val="TableHeading"/>
            </w:pPr>
            <w:r>
              <w:t>Application type</w:t>
            </w:r>
          </w:p>
        </w:tc>
        <w:tc>
          <w:tcPr>
            <w:tcW w:w="3402" w:type="dxa"/>
          </w:tcPr>
          <w:p w:rsidR="001231FA" w:rsidRDefault="00D10529" w:rsidP="002A596D">
            <w:pPr>
              <w:pStyle w:val="TableHeading"/>
            </w:pPr>
            <w:r>
              <w:t>Target time (working days)</w:t>
            </w:r>
          </w:p>
        </w:tc>
      </w:tr>
      <w:tr w:rsidR="001231FA" w:rsidTr="00D10529">
        <w:tc>
          <w:tcPr>
            <w:tcW w:w="5665" w:type="dxa"/>
          </w:tcPr>
          <w:p w:rsidR="001231FA" w:rsidRDefault="001231FA" w:rsidP="002A596D">
            <w:pPr>
              <w:tabs>
                <w:tab w:val="left" w:pos="-1440"/>
                <w:tab w:val="left" w:pos="-720"/>
                <w:tab w:val="left" w:pos="0"/>
                <w:tab w:val="left" w:pos="720"/>
                <w:tab w:val="left" w:pos="1440"/>
                <w:tab w:val="left" w:pos="2324"/>
              </w:tabs>
              <w:spacing w:after="58"/>
              <w:rPr>
                <w:color w:val="000000"/>
              </w:rPr>
            </w:pPr>
            <w:r>
              <w:rPr>
                <w:color w:val="000000"/>
              </w:rPr>
              <w:t xml:space="preserve">New applications </w:t>
            </w:r>
          </w:p>
          <w:p w:rsidR="001231FA" w:rsidRDefault="001231FA" w:rsidP="002A596D">
            <w:pPr>
              <w:tabs>
                <w:tab w:val="left" w:pos="-1440"/>
                <w:tab w:val="left" w:pos="-720"/>
                <w:tab w:val="left" w:pos="0"/>
                <w:tab w:val="left" w:pos="720"/>
                <w:tab w:val="left" w:pos="1440"/>
                <w:tab w:val="left" w:pos="2324"/>
              </w:tabs>
              <w:spacing w:after="58"/>
              <w:rPr>
                <w:color w:val="000000"/>
              </w:rPr>
            </w:pPr>
            <w:r>
              <w:rPr>
                <w:color w:val="000000"/>
              </w:rPr>
              <w:t xml:space="preserve">Variations referred to the MEC </w:t>
            </w:r>
          </w:p>
          <w:p w:rsidR="001231FA" w:rsidRDefault="001231FA" w:rsidP="002A596D">
            <w:r>
              <w:rPr>
                <w:color w:val="000000"/>
              </w:rPr>
              <w:t>‘Clone’ applications</w:t>
            </w:r>
          </w:p>
        </w:tc>
        <w:tc>
          <w:tcPr>
            <w:tcW w:w="3402" w:type="dxa"/>
            <w:vAlign w:val="center"/>
          </w:tcPr>
          <w:p w:rsidR="001231FA" w:rsidRDefault="001231FA" w:rsidP="00D10529">
            <w:pPr>
              <w:jc w:val="center"/>
            </w:pPr>
            <w:r>
              <w:t>71</w:t>
            </w:r>
          </w:p>
        </w:tc>
      </w:tr>
      <w:tr w:rsidR="001231FA" w:rsidTr="00D10529">
        <w:tc>
          <w:tcPr>
            <w:tcW w:w="5665" w:type="dxa"/>
          </w:tcPr>
          <w:p w:rsidR="001231FA" w:rsidRDefault="001231FA" w:rsidP="002A596D">
            <w:r>
              <w:rPr>
                <w:color w:val="000000"/>
              </w:rPr>
              <w:t>Variation processed through TGA only</w:t>
            </w:r>
          </w:p>
        </w:tc>
        <w:tc>
          <w:tcPr>
            <w:tcW w:w="3402" w:type="dxa"/>
            <w:vAlign w:val="center"/>
          </w:tcPr>
          <w:p w:rsidR="001231FA" w:rsidRDefault="001231FA" w:rsidP="00D10529">
            <w:pPr>
              <w:jc w:val="center"/>
            </w:pPr>
            <w:r>
              <w:t>32</w:t>
            </w:r>
          </w:p>
        </w:tc>
      </w:tr>
      <w:tr w:rsidR="001231FA" w:rsidTr="00D10529">
        <w:tc>
          <w:tcPr>
            <w:tcW w:w="5665" w:type="dxa"/>
          </w:tcPr>
          <w:p w:rsidR="001231FA" w:rsidRDefault="001231FA" w:rsidP="002A596D">
            <w:r>
              <w:rPr>
                <w:color w:val="000000"/>
              </w:rPr>
              <w:t>Variation – notification only</w:t>
            </w:r>
          </w:p>
        </w:tc>
        <w:tc>
          <w:tcPr>
            <w:tcW w:w="3402" w:type="dxa"/>
            <w:vAlign w:val="center"/>
          </w:tcPr>
          <w:p w:rsidR="001231FA" w:rsidRDefault="001231FA" w:rsidP="00D10529">
            <w:pPr>
              <w:jc w:val="center"/>
            </w:pPr>
            <w:r>
              <w:t>20</w:t>
            </w:r>
          </w:p>
        </w:tc>
      </w:tr>
    </w:tbl>
    <w:p w:rsidR="001231FA" w:rsidRDefault="001231FA" w:rsidP="001231FA"/>
    <w:p w:rsidR="0037564C" w:rsidRDefault="001231FA" w:rsidP="001231FA">
      <w:r>
        <w:t xml:space="preserve">These targets are set by agreement between the TGA and industry representative bodies and are exclusive of ‘company response time’ (ie. time taken for the sponsor to respond to issues raised during the evaluation). </w:t>
      </w:r>
    </w:p>
    <w:p w:rsidR="0037564C" w:rsidRDefault="001231FA" w:rsidP="001231FA">
      <w:r>
        <w:t>The TGA’s goal is to finalise all applications within the target time. To help achieve these goals, the following procedures are followed:</w:t>
      </w:r>
    </w:p>
    <w:p w:rsidR="001231FA" w:rsidRDefault="001231FA" w:rsidP="001231FA">
      <w:pPr>
        <w:pStyle w:val="ListBullet"/>
      </w:pPr>
      <w:r>
        <w:t>applications not meeting acceptance criteria (see above) are returned to the sponsor without evaluation;</w:t>
      </w:r>
    </w:p>
    <w:p w:rsidR="001231FA" w:rsidRDefault="001231FA" w:rsidP="001231FA">
      <w:pPr>
        <w:pStyle w:val="ListBullet"/>
      </w:pPr>
      <w:r>
        <w:t>where possible, applications are assessed by the evaluator and evaluation committee only once;</w:t>
      </w:r>
    </w:p>
    <w:p w:rsidR="0037564C" w:rsidRDefault="001231FA" w:rsidP="001231FA">
      <w:pPr>
        <w:pStyle w:val="ListBullet"/>
      </w:pPr>
      <w:r>
        <w:t>in general, applications are dealt with on the basis of the submitted information – deficiencies can be corrected by the sponsor in a new application rather than by a process of iterative submissions.</w:t>
      </w:r>
    </w:p>
    <w:p w:rsidR="001231FA" w:rsidRPr="007410BA" w:rsidRDefault="001231FA" w:rsidP="001231FA">
      <w:pPr>
        <w:pStyle w:val="Heading2"/>
        <w:rPr>
          <w:sz w:val="22"/>
        </w:rPr>
      </w:pPr>
      <w:bookmarkStart w:id="203" w:name="_Toc40505052"/>
      <w:bookmarkStart w:id="204" w:name="_Toc40505275"/>
      <w:bookmarkStart w:id="205" w:name="_Toc40771561"/>
      <w:bookmarkStart w:id="206" w:name="_Toc41208565"/>
      <w:bookmarkStart w:id="207" w:name="_Toc43883855"/>
      <w:bookmarkStart w:id="208" w:name="_Toc44298030"/>
      <w:bookmarkStart w:id="209" w:name="_Toc44299247"/>
      <w:bookmarkStart w:id="210" w:name="_Toc45684686"/>
      <w:bookmarkStart w:id="211" w:name="_Toc51726116"/>
      <w:bookmarkStart w:id="212" w:name="_Toc64108366"/>
      <w:bookmarkStart w:id="213" w:name="_Toc139258906"/>
      <w:bookmarkStart w:id="214" w:name="_Toc310280486"/>
      <w:r>
        <w:t>Changes to existing products</w:t>
      </w:r>
      <w:bookmarkEnd w:id="203"/>
      <w:bookmarkEnd w:id="204"/>
      <w:bookmarkEnd w:id="205"/>
      <w:bookmarkEnd w:id="206"/>
      <w:bookmarkEnd w:id="207"/>
      <w:bookmarkEnd w:id="208"/>
      <w:bookmarkEnd w:id="209"/>
      <w:bookmarkEnd w:id="210"/>
      <w:bookmarkEnd w:id="211"/>
      <w:bookmarkEnd w:id="212"/>
      <w:bookmarkEnd w:id="213"/>
      <w:bookmarkEnd w:id="214"/>
    </w:p>
    <w:p w:rsidR="0037564C" w:rsidRDefault="001231FA" w:rsidP="001231FA">
      <w:r>
        <w:t xml:space="preserve">Specific information on the requirements for changes to existing products is given in Chapter 11, </w:t>
      </w:r>
      <w:hyperlink w:anchor="_11._Changes_to" w:history="1">
        <w:r w:rsidRPr="00F5380B">
          <w:rPr>
            <w:rStyle w:val="Hyperlink"/>
          </w:rPr>
          <w:t>Changes t</w:t>
        </w:r>
        <w:bookmarkStart w:id="215" w:name="_Hlt40588506"/>
        <w:r w:rsidRPr="00F5380B">
          <w:rPr>
            <w:rStyle w:val="Hyperlink"/>
          </w:rPr>
          <w:t>o</w:t>
        </w:r>
        <w:bookmarkEnd w:id="215"/>
        <w:r w:rsidRPr="00F5380B">
          <w:rPr>
            <w:rStyle w:val="Hyperlink"/>
          </w:rPr>
          <w:t xml:space="preserve"> OTC</w:t>
        </w:r>
        <w:bookmarkStart w:id="216" w:name="_Hlt40862526"/>
        <w:r w:rsidRPr="00F5380B">
          <w:rPr>
            <w:rStyle w:val="Hyperlink"/>
          </w:rPr>
          <w:t xml:space="preserve"> </w:t>
        </w:r>
        <w:bookmarkEnd w:id="216"/>
        <w:r w:rsidRPr="00F5380B">
          <w:rPr>
            <w:rStyle w:val="Hyperlink"/>
          </w:rPr>
          <w:t>medicines</w:t>
        </w:r>
      </w:hyperlink>
      <w:r>
        <w:t>.</w:t>
      </w:r>
    </w:p>
    <w:p w:rsidR="001231FA" w:rsidRPr="007410BA" w:rsidRDefault="001231FA" w:rsidP="001231FA">
      <w:pPr>
        <w:pStyle w:val="Heading2"/>
        <w:rPr>
          <w:sz w:val="22"/>
        </w:rPr>
      </w:pPr>
      <w:bookmarkStart w:id="217" w:name="_Hlt40588202"/>
      <w:bookmarkStart w:id="218" w:name="_Toc40505053"/>
      <w:bookmarkStart w:id="219" w:name="_Toc40505276"/>
      <w:bookmarkStart w:id="220" w:name="Consultants"/>
      <w:bookmarkStart w:id="221" w:name="_Toc40771562"/>
      <w:bookmarkStart w:id="222" w:name="_Toc41208566"/>
      <w:bookmarkStart w:id="223" w:name="_Toc43883856"/>
      <w:bookmarkStart w:id="224" w:name="_Toc44298031"/>
      <w:bookmarkStart w:id="225" w:name="_Toc44299248"/>
      <w:bookmarkStart w:id="226" w:name="_Toc45684687"/>
      <w:bookmarkStart w:id="227" w:name="_Toc51726117"/>
      <w:bookmarkStart w:id="228" w:name="_Toc64108367"/>
      <w:bookmarkStart w:id="229" w:name="_Toc139258907"/>
      <w:bookmarkStart w:id="230" w:name="_Toc310280487"/>
      <w:bookmarkEnd w:id="217"/>
      <w:r>
        <w:t>Consultants</w:t>
      </w:r>
      <w:bookmarkEnd w:id="218"/>
      <w:bookmarkEnd w:id="219"/>
      <w:bookmarkEnd w:id="220"/>
      <w:bookmarkEnd w:id="221"/>
      <w:bookmarkEnd w:id="222"/>
      <w:bookmarkEnd w:id="223"/>
      <w:bookmarkEnd w:id="224"/>
      <w:bookmarkEnd w:id="225"/>
      <w:bookmarkEnd w:id="226"/>
      <w:bookmarkEnd w:id="227"/>
      <w:bookmarkEnd w:id="228"/>
      <w:bookmarkEnd w:id="229"/>
      <w:bookmarkEnd w:id="230"/>
    </w:p>
    <w:p w:rsidR="0037564C" w:rsidRDefault="001231FA" w:rsidP="001231FA">
      <w:r>
        <w:t>Sponsors who are not experienced in preparing registration applications may find it to their advantage to engage the services of an appropriately qualified and experienced regulatory affairs consultant.</w:t>
      </w:r>
    </w:p>
    <w:p w:rsidR="0037564C" w:rsidRDefault="001231FA" w:rsidP="001231FA">
      <w:r>
        <w:t>Information on how to locate consultants is available on the TGA website</w:t>
      </w:r>
      <w:r w:rsidR="00613231" w:rsidRPr="00613231">
        <w:rPr>
          <w:rStyle w:val="FootnoteReference"/>
        </w:rPr>
        <w:footnoteReference w:id="8"/>
      </w:r>
      <w:r>
        <w:t>.</w:t>
      </w:r>
    </w:p>
    <w:p w:rsidR="001231FA" w:rsidRDefault="001231FA" w:rsidP="001231FA"/>
    <w:p w:rsidR="001231FA" w:rsidRDefault="001231FA">
      <w:pPr>
        <w:spacing w:after="200" w:line="0" w:lineRule="auto"/>
      </w:pPr>
      <w:r>
        <w:br w:type="page"/>
      </w:r>
    </w:p>
    <w:p w:rsidR="004D24E5" w:rsidRDefault="004D24E5" w:rsidP="001231FA">
      <w:pPr>
        <w:pStyle w:val="Heading1"/>
        <w:sectPr w:rsidR="004D24E5" w:rsidSect="00E7356B">
          <w:headerReference w:type="even" r:id="rId29"/>
          <w:headerReference w:type="default" r:id="rId30"/>
          <w:footerReference w:type="default" r:id="rId31"/>
          <w:headerReference w:type="first" r:id="rId32"/>
          <w:footnotePr>
            <w:numRestart w:val="eachSect"/>
          </w:footnotePr>
          <w:type w:val="continuous"/>
          <w:pgSz w:w="11906" w:h="16838" w:code="9"/>
          <w:pgMar w:top="2211" w:right="1701" w:bottom="1701" w:left="1701" w:header="907" w:footer="142" w:gutter="0"/>
          <w:cols w:space="708"/>
          <w:docGrid w:linePitch="360"/>
        </w:sectPr>
      </w:pPr>
      <w:bookmarkStart w:id="231" w:name="_Toc41208567"/>
      <w:bookmarkStart w:id="232" w:name="_Toc43883857"/>
      <w:bookmarkStart w:id="233" w:name="_Toc44298032"/>
      <w:bookmarkStart w:id="234" w:name="_Toc44299249"/>
      <w:bookmarkStart w:id="235" w:name="Quality"/>
      <w:bookmarkStart w:id="236" w:name="_Toc45684688"/>
      <w:bookmarkStart w:id="237" w:name="_Toc51726118"/>
      <w:bookmarkStart w:id="238" w:name="_Toc64108368"/>
      <w:bookmarkStart w:id="239" w:name="_Toc139258908"/>
    </w:p>
    <w:p w:rsidR="001231FA" w:rsidRDefault="00A10C7E" w:rsidP="001231FA">
      <w:pPr>
        <w:pStyle w:val="Heading1"/>
      </w:pPr>
      <w:bookmarkStart w:id="240" w:name="_Toc310280488"/>
      <w:r>
        <w:lastRenderedPageBreak/>
        <w:t>4.</w:t>
      </w:r>
      <w:r>
        <w:tab/>
      </w:r>
      <w:r w:rsidR="001231FA">
        <w:t>Quality</w:t>
      </w:r>
      <w:bookmarkStart w:id="241" w:name="_Hlt44303467"/>
      <w:bookmarkEnd w:id="231"/>
      <w:bookmarkEnd w:id="232"/>
      <w:bookmarkEnd w:id="233"/>
      <w:bookmarkEnd w:id="234"/>
      <w:bookmarkEnd w:id="235"/>
      <w:bookmarkEnd w:id="236"/>
      <w:bookmarkEnd w:id="237"/>
      <w:bookmarkEnd w:id="238"/>
      <w:bookmarkEnd w:id="239"/>
      <w:bookmarkEnd w:id="241"/>
      <w:r>
        <w:t>- refer to Appendix</w:t>
      </w:r>
      <w:bookmarkEnd w:id="240"/>
    </w:p>
    <w:p w:rsidR="001231FA" w:rsidRDefault="00A10C7E" w:rsidP="001231FA">
      <w:pPr>
        <w:pStyle w:val="Heading1"/>
        <w:spacing w:before="240"/>
      </w:pPr>
      <w:bookmarkStart w:id="242" w:name="QualManufactureCh"/>
      <w:bookmarkStart w:id="243" w:name="_Toc41208569"/>
      <w:bookmarkStart w:id="244" w:name="_Toc43883859"/>
      <w:bookmarkStart w:id="245" w:name="_Toc44298034"/>
      <w:bookmarkStart w:id="246" w:name="_Toc44299251"/>
      <w:bookmarkStart w:id="247" w:name="_Toc45684690"/>
      <w:bookmarkStart w:id="248" w:name="_Toc51726120"/>
      <w:bookmarkStart w:id="249" w:name="_Toc64108370"/>
      <w:bookmarkStart w:id="250" w:name="_Toc139258910"/>
      <w:bookmarkStart w:id="251" w:name="_Toc310280489"/>
      <w:r>
        <w:t>4A.</w:t>
      </w:r>
      <w:r>
        <w:tab/>
      </w:r>
      <w:r w:rsidR="001231FA">
        <w:t>Manufacture</w:t>
      </w:r>
      <w:bookmarkEnd w:id="242"/>
      <w:bookmarkEnd w:id="243"/>
      <w:bookmarkEnd w:id="244"/>
      <w:bookmarkEnd w:id="245"/>
      <w:bookmarkEnd w:id="246"/>
      <w:bookmarkEnd w:id="247"/>
      <w:bookmarkEnd w:id="248"/>
      <w:bookmarkEnd w:id="249"/>
      <w:bookmarkEnd w:id="250"/>
      <w:bookmarkEnd w:id="251"/>
    </w:p>
    <w:p w:rsidR="00E84149" w:rsidRDefault="00E84149" w:rsidP="001231FA">
      <w:pPr>
        <w:pStyle w:val="Heading1"/>
        <w:sectPr w:rsidR="00E84149" w:rsidSect="00E7356B">
          <w:footnotePr>
            <w:numRestart w:val="eachSect"/>
          </w:footnotePr>
          <w:type w:val="continuous"/>
          <w:pgSz w:w="11906" w:h="16838" w:code="9"/>
          <w:pgMar w:top="2211" w:right="1701" w:bottom="1701" w:left="1701" w:header="907" w:footer="142" w:gutter="0"/>
          <w:cols w:space="708"/>
          <w:docGrid w:linePitch="360"/>
        </w:sectPr>
      </w:pPr>
      <w:bookmarkStart w:id="252" w:name="_Hlt40769786"/>
      <w:bookmarkStart w:id="253" w:name="_Toc41208574"/>
      <w:bookmarkStart w:id="254" w:name="_Toc43883864"/>
      <w:bookmarkStart w:id="255" w:name="_Toc44298039"/>
      <w:bookmarkStart w:id="256" w:name="_Toc44299256"/>
      <w:bookmarkStart w:id="257" w:name="_Toc45684695"/>
      <w:bookmarkStart w:id="258" w:name="_Toc51726125"/>
      <w:bookmarkStart w:id="259" w:name="_Toc64108375"/>
      <w:bookmarkStart w:id="260" w:name="_Toc139258915"/>
      <w:bookmarkStart w:id="261" w:name="QualFormulationCh"/>
      <w:bookmarkEnd w:id="252"/>
    </w:p>
    <w:p w:rsidR="005D7668" w:rsidRDefault="00A10C7E" w:rsidP="00C766AB">
      <w:pPr>
        <w:pStyle w:val="Heading1"/>
        <w:sectPr w:rsidR="005D7668" w:rsidSect="00E7356B">
          <w:footnotePr>
            <w:numRestart w:val="eachSect"/>
          </w:footnotePr>
          <w:type w:val="continuous"/>
          <w:pgSz w:w="11906" w:h="16838" w:code="9"/>
          <w:pgMar w:top="2211" w:right="1701" w:bottom="1701" w:left="1701" w:header="907" w:footer="142" w:gutter="0"/>
          <w:cols w:space="708"/>
          <w:docGrid w:linePitch="360"/>
        </w:sectPr>
      </w:pPr>
      <w:bookmarkStart w:id="262" w:name="_4B._Formulation"/>
      <w:bookmarkStart w:id="263" w:name="_Toc310280490"/>
      <w:bookmarkEnd w:id="262"/>
      <w:r>
        <w:lastRenderedPageBreak/>
        <w:t>4B.</w:t>
      </w:r>
      <w:r>
        <w:tab/>
      </w:r>
      <w:r w:rsidR="001231FA">
        <w:t>Formulation</w:t>
      </w:r>
      <w:bookmarkEnd w:id="253"/>
      <w:bookmarkEnd w:id="254"/>
      <w:bookmarkEnd w:id="255"/>
      <w:bookmarkEnd w:id="256"/>
      <w:bookmarkEnd w:id="257"/>
      <w:bookmarkEnd w:id="258"/>
      <w:bookmarkEnd w:id="259"/>
      <w:bookmarkEnd w:id="260"/>
      <w:bookmarkEnd w:id="261"/>
      <w:r w:rsidR="00030F83">
        <w:fldChar w:fldCharType="begin"/>
      </w:r>
      <w:r w:rsidR="001231FA">
        <w:instrText>ADVANCE \d3</w:instrText>
      </w:r>
      <w:r w:rsidR="00030F83">
        <w:fldChar w:fldCharType="end"/>
      </w:r>
      <w:bookmarkStart w:id="264" w:name="QualStartingmaterialSpecs"/>
      <w:bookmarkStart w:id="265" w:name="_Toc41208583"/>
      <w:bookmarkStart w:id="266" w:name="_Toc43883873"/>
      <w:bookmarkStart w:id="267" w:name="_Toc44298048"/>
      <w:bookmarkStart w:id="268" w:name="_Toc44299265"/>
      <w:bookmarkStart w:id="269" w:name="_Toc45684704"/>
      <w:bookmarkStart w:id="270" w:name="_Toc51726134"/>
      <w:bookmarkStart w:id="271" w:name="_Toc64108384"/>
      <w:bookmarkStart w:id="272" w:name="_Toc139258924"/>
      <w:bookmarkEnd w:id="263"/>
    </w:p>
    <w:p w:rsidR="00E55427" w:rsidRDefault="00785825" w:rsidP="00C766AB">
      <w:pPr>
        <w:pStyle w:val="Heading1"/>
      </w:pPr>
      <w:bookmarkStart w:id="273" w:name="_Toc310280491"/>
      <w:r>
        <w:lastRenderedPageBreak/>
        <w:t>4C.</w:t>
      </w:r>
      <w:r>
        <w:tab/>
        <w:t>Starting material specificatio</w:t>
      </w:r>
      <w:bookmarkEnd w:id="264"/>
      <w:bookmarkEnd w:id="265"/>
      <w:bookmarkEnd w:id="266"/>
      <w:bookmarkEnd w:id="267"/>
      <w:bookmarkEnd w:id="268"/>
      <w:bookmarkEnd w:id="269"/>
      <w:bookmarkEnd w:id="270"/>
      <w:bookmarkEnd w:id="271"/>
      <w:bookmarkEnd w:id="272"/>
      <w:r w:rsidR="005E48CF">
        <w:t>ns</w:t>
      </w:r>
      <w:bookmarkEnd w:id="273"/>
    </w:p>
    <w:p w:rsidR="00845960" w:rsidRDefault="00845960" w:rsidP="00E55427">
      <w:pPr>
        <w:pStyle w:val="Heading1"/>
        <w:sectPr w:rsidR="00845960" w:rsidSect="00E7356B">
          <w:footnotePr>
            <w:numRestart w:val="eachSect"/>
          </w:footnotePr>
          <w:type w:val="continuous"/>
          <w:pgSz w:w="11906" w:h="16838" w:code="9"/>
          <w:pgMar w:top="2211" w:right="1701" w:bottom="1701" w:left="1701" w:header="907" w:footer="142" w:gutter="0"/>
          <w:cols w:space="708"/>
          <w:docGrid w:linePitch="360"/>
        </w:sectPr>
      </w:pPr>
      <w:bookmarkStart w:id="274" w:name="Qualfps"/>
      <w:bookmarkStart w:id="275" w:name="_Toc41208593"/>
      <w:bookmarkStart w:id="276" w:name="_Toc43883883"/>
      <w:bookmarkStart w:id="277" w:name="_Toc44298058"/>
      <w:bookmarkStart w:id="278" w:name="_Toc44299275"/>
      <w:bookmarkStart w:id="279" w:name="_Toc45684714"/>
      <w:bookmarkStart w:id="280" w:name="_Toc51726144"/>
      <w:bookmarkStart w:id="281" w:name="_Toc64108394"/>
      <w:bookmarkStart w:id="282" w:name="_Toc139258934"/>
    </w:p>
    <w:p w:rsidR="00E55427" w:rsidRDefault="006977FB" w:rsidP="00C766AB">
      <w:pPr>
        <w:pStyle w:val="Heading1"/>
      </w:pPr>
      <w:bookmarkStart w:id="283" w:name="_Toc310280492"/>
      <w:r>
        <w:lastRenderedPageBreak/>
        <w:t>4D.</w:t>
      </w:r>
      <w:r>
        <w:tab/>
      </w:r>
      <w:r w:rsidR="00E55427">
        <w:t>Finished product specifications</w:t>
      </w:r>
      <w:bookmarkStart w:id="284" w:name="_Hlt40770737"/>
      <w:bookmarkEnd w:id="274"/>
      <w:bookmarkEnd w:id="275"/>
      <w:bookmarkEnd w:id="276"/>
      <w:bookmarkEnd w:id="277"/>
      <w:bookmarkEnd w:id="278"/>
      <w:bookmarkEnd w:id="279"/>
      <w:bookmarkEnd w:id="280"/>
      <w:bookmarkEnd w:id="281"/>
      <w:bookmarkEnd w:id="282"/>
      <w:bookmarkEnd w:id="284"/>
      <w:bookmarkEnd w:id="283"/>
    </w:p>
    <w:p w:rsidR="00C20170" w:rsidRDefault="00C20170" w:rsidP="00E55427">
      <w:pPr>
        <w:pStyle w:val="Heading1"/>
        <w:sectPr w:rsidR="00C20170" w:rsidSect="00E7356B">
          <w:headerReference w:type="even" r:id="rId33"/>
          <w:headerReference w:type="default" r:id="rId34"/>
          <w:footerReference w:type="default" r:id="rId35"/>
          <w:headerReference w:type="first" r:id="rId36"/>
          <w:footnotePr>
            <w:numRestart w:val="eachSect"/>
          </w:footnotePr>
          <w:type w:val="continuous"/>
          <w:pgSz w:w="11906" w:h="16838" w:code="9"/>
          <w:pgMar w:top="2211" w:right="1701" w:bottom="1701" w:left="1701" w:header="907" w:footer="142" w:gutter="0"/>
          <w:cols w:space="708"/>
          <w:docGrid w:linePitch="360"/>
        </w:sectPr>
      </w:pPr>
      <w:bookmarkStart w:id="285" w:name="_Toc40505088"/>
      <w:bookmarkStart w:id="286" w:name="_Toc40505312"/>
      <w:bookmarkStart w:id="287" w:name="QualStabilityCh"/>
      <w:bookmarkStart w:id="288" w:name="_Toc40771599"/>
      <w:bookmarkStart w:id="289" w:name="_Toc41208601"/>
      <w:bookmarkStart w:id="290" w:name="_Toc43883891"/>
      <w:bookmarkStart w:id="291" w:name="_Toc44298066"/>
      <w:bookmarkStart w:id="292" w:name="_Toc44299283"/>
      <w:bookmarkStart w:id="293" w:name="_Toc45684722"/>
      <w:bookmarkStart w:id="294" w:name="_Toc51726152"/>
      <w:bookmarkStart w:id="295" w:name="_Toc64108402"/>
      <w:bookmarkStart w:id="296" w:name="_Toc139258942"/>
    </w:p>
    <w:p w:rsidR="00E55427" w:rsidRDefault="002B291C" w:rsidP="00C766AB">
      <w:pPr>
        <w:pStyle w:val="Heading1"/>
      </w:pPr>
      <w:bookmarkStart w:id="297" w:name="_Toc310280493"/>
      <w:r>
        <w:lastRenderedPageBreak/>
        <w:t>4E.</w:t>
      </w:r>
      <w:r>
        <w:tab/>
      </w:r>
      <w:r w:rsidR="00E55427">
        <w:t>Stability testing</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B65AB2" w:rsidRDefault="00B65AB2" w:rsidP="00E55427">
      <w:pPr>
        <w:pStyle w:val="Heading1"/>
        <w:sectPr w:rsidR="00B65AB2" w:rsidSect="00E7356B">
          <w:headerReference w:type="even" r:id="rId37"/>
          <w:headerReference w:type="default" r:id="rId38"/>
          <w:footerReference w:type="default" r:id="rId39"/>
          <w:headerReference w:type="first" r:id="rId40"/>
          <w:footnotePr>
            <w:numRestart w:val="eachSect"/>
          </w:footnotePr>
          <w:type w:val="continuous"/>
          <w:pgSz w:w="11906" w:h="16838" w:code="9"/>
          <w:pgMar w:top="2211" w:right="1701" w:bottom="1701" w:left="1701" w:header="907" w:footer="142" w:gutter="0"/>
          <w:cols w:space="708"/>
          <w:docGrid w:linePitch="360"/>
        </w:sectPr>
      </w:pPr>
      <w:bookmarkStart w:id="298" w:name="_Toc41208613"/>
      <w:bookmarkStart w:id="299" w:name="_Toc43883903"/>
      <w:bookmarkStart w:id="300" w:name="_Toc44298078"/>
      <w:bookmarkStart w:id="301" w:name="_Toc44299295"/>
      <w:bookmarkStart w:id="302" w:name="_Toc45684734"/>
      <w:bookmarkStart w:id="303" w:name="_Toc51726164"/>
      <w:bookmarkStart w:id="304" w:name="_Toc64108414"/>
      <w:bookmarkStart w:id="305" w:name="_Toc139258954"/>
      <w:bookmarkStart w:id="306" w:name="QualMicroTesting"/>
    </w:p>
    <w:p w:rsidR="00A10C4C" w:rsidRDefault="003952A3" w:rsidP="00E55427">
      <w:pPr>
        <w:pStyle w:val="Heading1"/>
      </w:pPr>
      <w:bookmarkStart w:id="307" w:name="_4F._Microbiological_testing"/>
      <w:bookmarkStart w:id="308" w:name="_Toc310280494"/>
      <w:bookmarkEnd w:id="307"/>
      <w:r>
        <w:lastRenderedPageBreak/>
        <w:t>4F.</w:t>
      </w:r>
      <w:r w:rsidR="00BD1D06">
        <w:tab/>
      </w:r>
      <w:r w:rsidR="00E55427">
        <w:t>Microbiological testing</w:t>
      </w:r>
      <w:bookmarkEnd w:id="298"/>
      <w:bookmarkEnd w:id="299"/>
      <w:bookmarkEnd w:id="300"/>
      <w:bookmarkEnd w:id="301"/>
      <w:bookmarkEnd w:id="302"/>
      <w:bookmarkEnd w:id="303"/>
      <w:bookmarkEnd w:id="304"/>
      <w:bookmarkEnd w:id="305"/>
      <w:bookmarkEnd w:id="308"/>
    </w:p>
    <w:p w:rsidR="00A10C4C" w:rsidRDefault="00A10C4C" w:rsidP="00A10C4C">
      <w:r>
        <w:t>This section has been updated.</w:t>
      </w:r>
    </w:p>
    <w:p w:rsidR="00E55427" w:rsidRPr="00A10C7E" w:rsidRDefault="00A10C4C" w:rsidP="00A10C4C">
      <w:pPr>
        <w:rPr>
          <w:color w:val="22ABFF" w:themeColor="text2" w:themeTint="80"/>
          <w:u w:val="single"/>
        </w:rPr>
      </w:pPr>
      <w:r>
        <w:t xml:space="preserve">Refer to </w:t>
      </w:r>
      <w:r w:rsidRPr="00A10C7E">
        <w:rPr>
          <w:color w:val="22ABFF" w:themeColor="text2" w:themeTint="80"/>
          <w:u w:val="single"/>
        </w:rPr>
        <w:t>Australian regulatory guideline on over-the-counter medicines</w:t>
      </w:r>
      <w:bookmarkStart w:id="309" w:name="_Hlt41201414"/>
      <w:bookmarkEnd w:id="306"/>
      <w:bookmarkEnd w:id="309"/>
      <w:r w:rsidR="009A3BFA" w:rsidRPr="00A10C7E">
        <w:rPr>
          <w:color w:val="22ABFF" w:themeColor="text2" w:themeTint="80"/>
          <w:u w:val="single"/>
        </w:rPr>
        <w:t xml:space="preserve"> – Appendix 2 Guideline on quality aspects of OTC application</w:t>
      </w:r>
    </w:p>
    <w:p w:rsidR="00E55427" w:rsidRDefault="00E55427" w:rsidP="00E55427">
      <w:pPr>
        <w:spacing w:after="200" w:line="0" w:lineRule="auto"/>
      </w:pPr>
      <w:bookmarkStart w:id="310" w:name="_Hlt41195888"/>
      <w:bookmarkStart w:id="311" w:name="_Hlt43862288"/>
      <w:bookmarkEnd w:id="310"/>
      <w:bookmarkEnd w:id="311"/>
      <w:r>
        <w:br w:type="page"/>
      </w:r>
    </w:p>
    <w:p w:rsidR="006D1510" w:rsidRDefault="006D1510" w:rsidP="00E55427">
      <w:pPr>
        <w:pStyle w:val="Heading1"/>
        <w:sectPr w:rsidR="006D1510" w:rsidSect="00E7356B">
          <w:headerReference w:type="even" r:id="rId41"/>
          <w:headerReference w:type="default" r:id="rId42"/>
          <w:footerReference w:type="default" r:id="rId43"/>
          <w:headerReference w:type="first" r:id="rId44"/>
          <w:footnotePr>
            <w:numRestart w:val="eachSect"/>
          </w:footnotePr>
          <w:type w:val="continuous"/>
          <w:pgSz w:w="11906" w:h="16838" w:code="9"/>
          <w:pgMar w:top="2211" w:right="1701" w:bottom="1701" w:left="1701" w:header="907" w:footer="142" w:gutter="0"/>
          <w:cols w:space="708"/>
          <w:docGrid w:linePitch="360"/>
        </w:sectPr>
      </w:pPr>
    </w:p>
    <w:p w:rsidR="00E55427" w:rsidRDefault="00A10C7E" w:rsidP="00E55427">
      <w:pPr>
        <w:pStyle w:val="Heading1"/>
      </w:pPr>
      <w:bookmarkStart w:id="312" w:name="_Toc41208614"/>
      <w:bookmarkStart w:id="313" w:name="_Toc43883904"/>
      <w:bookmarkStart w:id="314" w:name="_Toc44298079"/>
      <w:bookmarkStart w:id="315" w:name="_Toc44299296"/>
      <w:bookmarkStart w:id="316" w:name="_Toc45684735"/>
      <w:bookmarkStart w:id="317" w:name="_Toc51726165"/>
      <w:bookmarkStart w:id="318" w:name="_Toc64108415"/>
      <w:bookmarkStart w:id="319" w:name="_Toc139258955"/>
      <w:bookmarkStart w:id="320" w:name="_Toc310280495"/>
      <w:bookmarkStart w:id="321" w:name="Presentation"/>
      <w:r>
        <w:lastRenderedPageBreak/>
        <w:t>5.</w:t>
      </w:r>
      <w:r>
        <w:tab/>
      </w:r>
      <w:r w:rsidR="00E55427">
        <w:t>Presentation</w:t>
      </w:r>
      <w:bookmarkEnd w:id="312"/>
      <w:bookmarkEnd w:id="313"/>
      <w:bookmarkEnd w:id="314"/>
      <w:bookmarkEnd w:id="315"/>
      <w:bookmarkEnd w:id="316"/>
      <w:bookmarkEnd w:id="317"/>
      <w:bookmarkEnd w:id="318"/>
      <w:bookmarkEnd w:id="319"/>
      <w:bookmarkEnd w:id="320"/>
    </w:p>
    <w:p w:rsidR="009341B3" w:rsidRDefault="009341B3" w:rsidP="006D1510">
      <w:pPr>
        <w:pStyle w:val="Heading1"/>
        <w:sectPr w:rsidR="009341B3" w:rsidSect="00E7356B">
          <w:headerReference w:type="even" r:id="rId45"/>
          <w:headerReference w:type="default" r:id="rId46"/>
          <w:footerReference w:type="default" r:id="rId47"/>
          <w:headerReference w:type="first" r:id="rId48"/>
          <w:footnotePr>
            <w:numRestart w:val="eachSect"/>
          </w:footnotePr>
          <w:type w:val="continuous"/>
          <w:pgSz w:w="11906" w:h="16838" w:code="9"/>
          <w:pgMar w:top="2211" w:right="1701" w:bottom="1701" w:left="1701" w:header="907" w:footer="142" w:gutter="0"/>
          <w:cols w:space="708"/>
          <w:docGrid w:linePitch="360"/>
        </w:sectPr>
      </w:pPr>
      <w:bookmarkStart w:id="322" w:name="ProductName"/>
      <w:bookmarkStart w:id="323" w:name="_Toc41208616"/>
      <w:bookmarkStart w:id="324" w:name="_Toc43883906"/>
      <w:bookmarkStart w:id="325" w:name="_Toc44298081"/>
      <w:bookmarkStart w:id="326" w:name="_Toc44299298"/>
      <w:bookmarkStart w:id="327" w:name="_Toc45684737"/>
      <w:bookmarkStart w:id="328" w:name="_Toc51726167"/>
      <w:bookmarkStart w:id="329" w:name="_Toc64108417"/>
      <w:bookmarkStart w:id="330" w:name="_Toc139258957"/>
      <w:bookmarkEnd w:id="321"/>
    </w:p>
    <w:p w:rsidR="006D1510" w:rsidRDefault="006D1510" w:rsidP="00A10C4C">
      <w:pPr>
        <w:pStyle w:val="Heading1"/>
      </w:pPr>
      <w:bookmarkStart w:id="331" w:name="_Toc310280496"/>
      <w:r>
        <w:lastRenderedPageBreak/>
        <w:t>5A.</w:t>
      </w:r>
      <w:r w:rsidR="00D86060">
        <w:tab/>
      </w:r>
      <w:r>
        <w:t>Product name</w:t>
      </w:r>
      <w:bookmarkEnd w:id="322"/>
      <w:bookmarkEnd w:id="323"/>
      <w:bookmarkEnd w:id="324"/>
      <w:bookmarkEnd w:id="325"/>
      <w:bookmarkEnd w:id="326"/>
      <w:bookmarkEnd w:id="327"/>
      <w:bookmarkEnd w:id="328"/>
      <w:bookmarkEnd w:id="329"/>
      <w:bookmarkEnd w:id="330"/>
      <w:bookmarkEnd w:id="331"/>
    </w:p>
    <w:p w:rsidR="00020AB3" w:rsidRDefault="00020AB3" w:rsidP="00A10C4C">
      <w:pPr>
        <w:pStyle w:val="Heading1"/>
      </w:pPr>
      <w:bookmarkStart w:id="332" w:name="Labelling"/>
      <w:bookmarkStart w:id="333" w:name="_Toc41208620"/>
      <w:bookmarkStart w:id="334" w:name="_Toc43883910"/>
      <w:bookmarkStart w:id="335" w:name="_Toc44298085"/>
      <w:bookmarkStart w:id="336" w:name="_Toc44299302"/>
      <w:bookmarkStart w:id="337" w:name="_Toc45684741"/>
      <w:bookmarkStart w:id="338" w:name="_Toc51726171"/>
      <w:bookmarkStart w:id="339" w:name="_Toc64108422"/>
      <w:bookmarkStart w:id="340" w:name="_Toc139258962"/>
      <w:bookmarkStart w:id="341" w:name="_Toc310280497"/>
      <w:r>
        <w:t>5B.</w:t>
      </w:r>
      <w:r>
        <w:tab/>
        <w:t>Labelling</w:t>
      </w:r>
      <w:bookmarkEnd w:id="332"/>
      <w:bookmarkEnd w:id="333"/>
      <w:bookmarkEnd w:id="334"/>
      <w:bookmarkEnd w:id="335"/>
      <w:bookmarkEnd w:id="336"/>
      <w:bookmarkEnd w:id="337"/>
      <w:bookmarkEnd w:id="338"/>
      <w:bookmarkEnd w:id="339"/>
      <w:bookmarkEnd w:id="340"/>
      <w:bookmarkEnd w:id="341"/>
    </w:p>
    <w:p w:rsidR="003322F3" w:rsidRDefault="003322F3" w:rsidP="00020AB3">
      <w:pPr>
        <w:pStyle w:val="Heading1"/>
        <w:sectPr w:rsidR="003322F3" w:rsidSect="00E7356B">
          <w:headerReference w:type="even" r:id="rId49"/>
          <w:headerReference w:type="default" r:id="rId50"/>
          <w:footerReference w:type="default" r:id="rId51"/>
          <w:headerReference w:type="first" r:id="rId52"/>
          <w:footnotePr>
            <w:numRestart w:val="eachSect"/>
          </w:footnotePr>
          <w:type w:val="continuous"/>
          <w:pgSz w:w="11906" w:h="16838" w:code="9"/>
          <w:pgMar w:top="2211" w:right="1701" w:bottom="1701" w:left="1701" w:header="907" w:footer="142" w:gutter="0"/>
          <w:cols w:space="708"/>
          <w:docGrid w:linePitch="360"/>
        </w:sectPr>
      </w:pPr>
      <w:bookmarkStart w:id="342" w:name="PresentnPI"/>
      <w:bookmarkStart w:id="343" w:name="_Toc41208633"/>
      <w:bookmarkStart w:id="344" w:name="_Toc43883923"/>
      <w:bookmarkStart w:id="345" w:name="_Toc44298098"/>
      <w:bookmarkStart w:id="346" w:name="_Toc44299315"/>
      <w:bookmarkStart w:id="347" w:name="_Toc45684754"/>
      <w:bookmarkStart w:id="348" w:name="_Toc51726184"/>
      <w:bookmarkStart w:id="349" w:name="_Toc64108435"/>
      <w:bookmarkStart w:id="350" w:name="_Toc139258975"/>
    </w:p>
    <w:p w:rsidR="00803CDA" w:rsidRDefault="00A10C7E" w:rsidP="00803CDA">
      <w:pPr>
        <w:pStyle w:val="Heading1"/>
      </w:pPr>
      <w:bookmarkStart w:id="351" w:name="_Toc310280498"/>
      <w:bookmarkEnd w:id="342"/>
      <w:bookmarkEnd w:id="343"/>
      <w:bookmarkEnd w:id="344"/>
      <w:bookmarkEnd w:id="345"/>
      <w:bookmarkEnd w:id="346"/>
      <w:bookmarkEnd w:id="347"/>
      <w:bookmarkEnd w:id="348"/>
      <w:bookmarkEnd w:id="349"/>
      <w:bookmarkEnd w:id="350"/>
      <w:r>
        <w:lastRenderedPageBreak/>
        <w:t>5C.</w:t>
      </w:r>
      <w:r>
        <w:tab/>
      </w:r>
      <w:r w:rsidR="00803CDA">
        <w:t>Pro</w:t>
      </w:r>
      <w:bookmarkStart w:id="352" w:name="_Hlt41203711"/>
      <w:bookmarkEnd w:id="352"/>
      <w:r w:rsidR="00803CDA">
        <w:t>duct Information (PI)</w:t>
      </w:r>
      <w:bookmarkEnd w:id="351"/>
    </w:p>
    <w:p w:rsidR="006D1510" w:rsidRDefault="00A10C4C" w:rsidP="00A10C4C">
      <w:pPr>
        <w:pStyle w:val="Heading1"/>
      </w:pPr>
      <w:bookmarkStart w:id="353" w:name="PresentnCMI"/>
      <w:bookmarkStart w:id="354" w:name="_Toc41208634"/>
      <w:bookmarkStart w:id="355" w:name="_Toc43883924"/>
      <w:bookmarkStart w:id="356" w:name="_Toc44298099"/>
      <w:bookmarkStart w:id="357" w:name="_Toc44299316"/>
      <w:bookmarkStart w:id="358" w:name="_Toc45684755"/>
      <w:bookmarkStart w:id="359" w:name="_Toc51726185"/>
      <w:bookmarkStart w:id="360" w:name="_Toc64108436"/>
      <w:bookmarkStart w:id="361" w:name="_Toc139258976"/>
      <w:bookmarkStart w:id="362" w:name="_Toc310280499"/>
      <w:r>
        <w:t>5</w:t>
      </w:r>
      <w:r w:rsidR="00B575AB">
        <w:t>D.</w:t>
      </w:r>
      <w:r w:rsidR="00B575AB">
        <w:tab/>
      </w:r>
      <w:r w:rsidR="001407B9">
        <w:t>Consumer Medicine Information (CMI)</w:t>
      </w:r>
      <w:bookmarkStart w:id="363" w:name="_Hlt40591196"/>
      <w:bookmarkEnd w:id="353"/>
      <w:bookmarkEnd w:id="354"/>
      <w:bookmarkEnd w:id="355"/>
      <w:bookmarkEnd w:id="356"/>
      <w:bookmarkEnd w:id="357"/>
      <w:bookmarkEnd w:id="358"/>
      <w:bookmarkEnd w:id="359"/>
      <w:bookmarkEnd w:id="360"/>
      <w:bookmarkEnd w:id="361"/>
      <w:bookmarkEnd w:id="363"/>
      <w:bookmarkEnd w:id="362"/>
    </w:p>
    <w:p w:rsidR="00E96512" w:rsidRDefault="00E96512" w:rsidP="00E96512">
      <w:pPr>
        <w:pStyle w:val="Heading1"/>
        <w:sectPr w:rsidR="00E96512" w:rsidSect="00E7356B">
          <w:headerReference w:type="even" r:id="rId53"/>
          <w:headerReference w:type="default" r:id="rId54"/>
          <w:footerReference w:type="default" r:id="rId55"/>
          <w:headerReference w:type="first" r:id="rId56"/>
          <w:footnotePr>
            <w:numRestart w:val="eachSect"/>
          </w:footnotePr>
          <w:type w:val="continuous"/>
          <w:pgSz w:w="11906" w:h="16838" w:code="9"/>
          <w:pgMar w:top="2211" w:right="1701" w:bottom="1701" w:left="1701" w:header="907" w:footer="142" w:gutter="0"/>
          <w:cols w:space="708"/>
          <w:docGrid w:linePitch="360"/>
        </w:sectPr>
      </w:pPr>
      <w:bookmarkStart w:id="364" w:name="PresentnSchedChanges"/>
      <w:bookmarkStart w:id="365" w:name="_Toc41208638"/>
      <w:bookmarkStart w:id="366" w:name="_Toc43883928"/>
      <w:bookmarkStart w:id="367" w:name="_Toc44298103"/>
      <w:bookmarkStart w:id="368" w:name="_Toc44299320"/>
      <w:bookmarkStart w:id="369" w:name="_Toc45684759"/>
      <w:bookmarkStart w:id="370" w:name="_Toc51726189"/>
      <w:bookmarkStart w:id="371" w:name="_Toc64108440"/>
      <w:bookmarkStart w:id="372" w:name="_Toc139258980"/>
    </w:p>
    <w:p w:rsidR="00E96512" w:rsidRDefault="00825787" w:rsidP="00E96512">
      <w:pPr>
        <w:pStyle w:val="Heading1"/>
      </w:pPr>
      <w:bookmarkStart w:id="373" w:name="_Toc310280500"/>
      <w:r>
        <w:lastRenderedPageBreak/>
        <w:t>5E.</w:t>
      </w:r>
      <w:r>
        <w:tab/>
      </w:r>
      <w:r w:rsidR="00E96512">
        <w:t>Changes to scheduling</w:t>
      </w:r>
      <w:bookmarkEnd w:id="364"/>
      <w:bookmarkEnd w:id="365"/>
      <w:bookmarkEnd w:id="366"/>
      <w:bookmarkEnd w:id="367"/>
      <w:bookmarkEnd w:id="368"/>
      <w:bookmarkEnd w:id="369"/>
      <w:bookmarkEnd w:id="370"/>
      <w:bookmarkEnd w:id="371"/>
      <w:bookmarkEnd w:id="372"/>
      <w:bookmarkEnd w:id="373"/>
    </w:p>
    <w:p w:rsidR="0073266C" w:rsidRDefault="0073266C" w:rsidP="00305DA4">
      <w:pPr>
        <w:pStyle w:val="Heading1"/>
        <w:sectPr w:rsidR="0073266C" w:rsidSect="00E7356B">
          <w:headerReference w:type="even" r:id="rId57"/>
          <w:headerReference w:type="default" r:id="rId58"/>
          <w:footerReference w:type="default" r:id="rId59"/>
          <w:headerReference w:type="first" r:id="rId60"/>
          <w:footnotePr>
            <w:numRestart w:val="eachSect"/>
          </w:footnotePr>
          <w:type w:val="continuous"/>
          <w:pgSz w:w="11906" w:h="16838" w:code="9"/>
          <w:pgMar w:top="2211" w:right="1701" w:bottom="1701" w:left="1701" w:header="907" w:footer="142" w:gutter="0"/>
          <w:cols w:space="708"/>
          <w:docGrid w:linePitch="360"/>
        </w:sectPr>
      </w:pPr>
      <w:bookmarkStart w:id="374" w:name="_Toc40505130"/>
      <w:bookmarkStart w:id="375" w:name="_Toc40505354"/>
      <w:bookmarkStart w:id="376" w:name="_Toc40771638"/>
      <w:bookmarkStart w:id="377" w:name="_Toc41208639"/>
      <w:bookmarkStart w:id="378" w:name="_Toc43883929"/>
      <w:bookmarkStart w:id="379" w:name="_Toc44298104"/>
      <w:bookmarkStart w:id="380" w:name="_Toc44299321"/>
      <w:bookmarkStart w:id="381" w:name="_Toc45684760"/>
      <w:bookmarkStart w:id="382" w:name="_Toc51726190"/>
      <w:bookmarkStart w:id="383" w:name="_Toc64108441"/>
      <w:bookmarkStart w:id="384" w:name="_Toc139258981"/>
      <w:bookmarkStart w:id="385" w:name="Effsafety"/>
    </w:p>
    <w:p w:rsidR="009A3BFA" w:rsidRDefault="009A3BFA" w:rsidP="009A3BFA">
      <w:r>
        <w:lastRenderedPageBreak/>
        <w:t>This section has been updated.</w:t>
      </w:r>
    </w:p>
    <w:p w:rsidR="009A3BFA" w:rsidRPr="00A10C7E" w:rsidRDefault="009A3BFA" w:rsidP="009A3BFA">
      <w:pPr>
        <w:rPr>
          <w:color w:val="22ABFF" w:themeColor="text2" w:themeTint="80"/>
          <w:u w:val="single"/>
        </w:rPr>
      </w:pPr>
      <w:r>
        <w:t xml:space="preserve">Refer to </w:t>
      </w:r>
      <w:r w:rsidRPr="00A10C7E">
        <w:rPr>
          <w:color w:val="22ABFF" w:themeColor="text2" w:themeTint="80"/>
          <w:u w:val="single"/>
        </w:rPr>
        <w:t>Australian regulatory guideline on over-the-counter medicines – Appendix 3</w:t>
      </w:r>
    </w:p>
    <w:p w:rsidR="009A3BFA" w:rsidRPr="00A10C7E" w:rsidRDefault="009A3BFA" w:rsidP="009A3BFA">
      <w:pPr>
        <w:rPr>
          <w:color w:val="22ABFF" w:themeColor="text2" w:themeTint="80"/>
          <w:u w:val="single"/>
        </w:rPr>
      </w:pPr>
      <w:r w:rsidRPr="00A10C7E">
        <w:rPr>
          <w:color w:val="22ABFF" w:themeColor="text2" w:themeTint="80"/>
          <w:u w:val="single"/>
        </w:rPr>
        <w:t xml:space="preserve"> Guideline on presentation aspects of OTC application</w:t>
      </w:r>
    </w:p>
    <w:p w:rsidR="00A10C4C" w:rsidRDefault="00A10C4C">
      <w:pPr>
        <w:spacing w:after="200" w:line="0" w:lineRule="auto"/>
        <w:rPr>
          <w:rFonts w:asciiTheme="majorHAnsi" w:eastAsiaTheme="majorEastAsia" w:hAnsiTheme="majorHAnsi" w:cstheme="majorBidi"/>
          <w:b/>
          <w:bCs/>
          <w:sz w:val="64"/>
          <w:szCs w:val="28"/>
        </w:rPr>
      </w:pPr>
      <w:r>
        <w:br w:type="page"/>
      </w:r>
    </w:p>
    <w:p w:rsidR="0037564C" w:rsidRDefault="00AA351C" w:rsidP="00305DA4">
      <w:pPr>
        <w:pStyle w:val="Heading1"/>
      </w:pPr>
      <w:bookmarkStart w:id="386" w:name="_Toc310280501"/>
      <w:r>
        <w:lastRenderedPageBreak/>
        <w:t>6A.</w:t>
      </w:r>
      <w:r>
        <w:tab/>
      </w:r>
      <w:r w:rsidR="00305DA4">
        <w:t>Efficacy and safety</w:t>
      </w:r>
      <w:bookmarkStart w:id="387" w:name="_Hlt41197630"/>
      <w:bookmarkEnd w:id="374"/>
      <w:bookmarkEnd w:id="375"/>
      <w:bookmarkEnd w:id="376"/>
      <w:bookmarkEnd w:id="377"/>
      <w:bookmarkEnd w:id="378"/>
      <w:bookmarkEnd w:id="379"/>
      <w:bookmarkEnd w:id="380"/>
      <w:bookmarkEnd w:id="381"/>
      <w:bookmarkEnd w:id="382"/>
      <w:bookmarkEnd w:id="383"/>
      <w:bookmarkEnd w:id="384"/>
      <w:bookmarkEnd w:id="385"/>
      <w:bookmarkEnd w:id="387"/>
      <w:bookmarkEnd w:id="386"/>
    </w:p>
    <w:p w:rsidR="009A3BFA" w:rsidRDefault="009A3BFA" w:rsidP="009A3BFA">
      <w:r>
        <w:t>This section has been updated.</w:t>
      </w:r>
    </w:p>
    <w:p w:rsidR="009A3BFA" w:rsidRPr="00A10C7E" w:rsidRDefault="009A3BFA" w:rsidP="009A3BFA">
      <w:pPr>
        <w:rPr>
          <w:color w:val="22ABFF" w:themeColor="text2" w:themeTint="80"/>
          <w:u w:val="single"/>
        </w:rPr>
      </w:pPr>
      <w:r>
        <w:t xml:space="preserve">Refer to </w:t>
      </w:r>
      <w:r w:rsidRPr="00A10C7E">
        <w:rPr>
          <w:color w:val="22ABFF" w:themeColor="text2" w:themeTint="80"/>
          <w:u w:val="single"/>
        </w:rPr>
        <w:t>Australian regulatory guideline on over-the-counter medicines – Appendix 1</w:t>
      </w:r>
    </w:p>
    <w:p w:rsidR="009A3BFA" w:rsidRPr="00A10C7E" w:rsidRDefault="009A3BFA" w:rsidP="009A3BFA">
      <w:pPr>
        <w:rPr>
          <w:color w:val="22ABFF" w:themeColor="text2" w:themeTint="80"/>
          <w:u w:val="single"/>
        </w:rPr>
      </w:pPr>
      <w:r w:rsidRPr="00A10C7E">
        <w:rPr>
          <w:color w:val="22ABFF" w:themeColor="text2" w:themeTint="80"/>
          <w:u w:val="single"/>
        </w:rPr>
        <w:t xml:space="preserve"> Guideline on safety and efficacy aspects of OTC application</w:t>
      </w:r>
    </w:p>
    <w:p w:rsidR="009A3BFA" w:rsidRPr="009A3BFA" w:rsidRDefault="009A3BFA" w:rsidP="009A3BFA"/>
    <w:p w:rsidR="00A10C4C" w:rsidRDefault="00A10C4C" w:rsidP="00C12460">
      <w:pPr>
        <w:pStyle w:val="Heading1"/>
      </w:pPr>
      <w:bookmarkStart w:id="388" w:name="_6B._New_substances"/>
      <w:bookmarkStart w:id="389" w:name="_Toc41208653"/>
      <w:bookmarkStart w:id="390" w:name="_Toc43883943"/>
      <w:bookmarkStart w:id="391" w:name="_Toc44298118"/>
      <w:bookmarkStart w:id="392" w:name="_Toc44299335"/>
      <w:bookmarkStart w:id="393" w:name="_Toc45684774"/>
      <w:bookmarkStart w:id="394" w:name="_Toc51726204"/>
      <w:bookmarkStart w:id="395" w:name="_Toc64108455"/>
      <w:bookmarkStart w:id="396" w:name="_Toc139258995"/>
      <w:bookmarkStart w:id="397" w:name="newsubstances"/>
      <w:bookmarkEnd w:id="388"/>
    </w:p>
    <w:p w:rsidR="0037564C" w:rsidRDefault="00C12460" w:rsidP="00C12460">
      <w:pPr>
        <w:pStyle w:val="Heading1"/>
      </w:pPr>
      <w:bookmarkStart w:id="398" w:name="_Toc310280502"/>
      <w:r>
        <w:t>6B.</w:t>
      </w:r>
      <w:r>
        <w:tab/>
        <w:t>New substances</w:t>
      </w:r>
      <w:bookmarkEnd w:id="389"/>
      <w:bookmarkEnd w:id="390"/>
      <w:bookmarkEnd w:id="391"/>
      <w:bookmarkEnd w:id="392"/>
      <w:bookmarkEnd w:id="393"/>
      <w:bookmarkEnd w:id="394"/>
      <w:bookmarkEnd w:id="395"/>
      <w:bookmarkEnd w:id="396"/>
      <w:bookmarkEnd w:id="397"/>
      <w:bookmarkEnd w:id="398"/>
    </w:p>
    <w:p w:rsidR="009A3BFA" w:rsidRDefault="009A3BFA" w:rsidP="009A3BFA">
      <w:r>
        <w:t>This section has been updated.</w:t>
      </w:r>
    </w:p>
    <w:p w:rsidR="009A3BFA" w:rsidRPr="00A10C7E" w:rsidRDefault="009A3BFA" w:rsidP="009A3BFA">
      <w:pPr>
        <w:rPr>
          <w:color w:val="22ABFF" w:themeColor="text2" w:themeTint="80"/>
          <w:u w:val="single"/>
        </w:rPr>
      </w:pPr>
      <w:r>
        <w:t xml:space="preserve">Refer to </w:t>
      </w:r>
      <w:r w:rsidRPr="00A10C7E">
        <w:rPr>
          <w:color w:val="22ABFF" w:themeColor="text2" w:themeTint="80"/>
          <w:u w:val="single"/>
        </w:rPr>
        <w:t>Australian regulatory guideline on over-the-counter medicines – Appendix 4</w:t>
      </w:r>
    </w:p>
    <w:p w:rsidR="009A3BFA" w:rsidRPr="00A10C7E" w:rsidRDefault="009A3BFA" w:rsidP="009A3BFA">
      <w:pPr>
        <w:rPr>
          <w:color w:val="22ABFF" w:themeColor="text2" w:themeTint="80"/>
          <w:u w:val="single"/>
        </w:rPr>
      </w:pPr>
      <w:r w:rsidRPr="00A10C7E">
        <w:rPr>
          <w:color w:val="22ABFF" w:themeColor="text2" w:themeTint="80"/>
          <w:u w:val="single"/>
        </w:rPr>
        <w:t xml:space="preserve"> Guideline OTC applications for new substances</w:t>
      </w:r>
    </w:p>
    <w:p w:rsidR="009A3BFA" w:rsidRPr="009A3BFA" w:rsidRDefault="009A3BFA" w:rsidP="009A3BFA"/>
    <w:p w:rsidR="007A57AF" w:rsidRDefault="007A57AF">
      <w:pPr>
        <w:spacing w:after="200" w:line="0" w:lineRule="auto"/>
      </w:pPr>
      <w:r>
        <w:br w:type="page"/>
      </w:r>
    </w:p>
    <w:p w:rsidR="007A57AF" w:rsidRDefault="007A57AF" w:rsidP="007A57AF">
      <w:pPr>
        <w:pStyle w:val="Heading1"/>
        <w:sectPr w:rsidR="007A57AF" w:rsidSect="00E7356B">
          <w:headerReference w:type="even" r:id="rId61"/>
          <w:headerReference w:type="default" r:id="rId62"/>
          <w:footerReference w:type="default" r:id="rId63"/>
          <w:headerReference w:type="first" r:id="rId64"/>
          <w:footnotePr>
            <w:numRestart w:val="eachSect"/>
          </w:footnotePr>
          <w:type w:val="continuous"/>
          <w:pgSz w:w="11906" w:h="16838" w:code="9"/>
          <w:pgMar w:top="2211" w:right="1701" w:bottom="1701" w:left="1701" w:header="907" w:footer="142" w:gutter="0"/>
          <w:cols w:space="708"/>
          <w:docGrid w:linePitch="360"/>
        </w:sectPr>
      </w:pPr>
      <w:bookmarkStart w:id="399" w:name="_Toc41208658"/>
      <w:bookmarkStart w:id="400" w:name="Reviewdecisions"/>
      <w:bookmarkStart w:id="401" w:name="_Toc43883948"/>
      <w:bookmarkStart w:id="402" w:name="_Toc44298123"/>
      <w:bookmarkStart w:id="403" w:name="_Toc44299340"/>
      <w:bookmarkStart w:id="404" w:name="_Toc45684779"/>
      <w:bookmarkStart w:id="405" w:name="_Toc51726209"/>
      <w:bookmarkStart w:id="406" w:name="_Toc64108460"/>
      <w:bookmarkStart w:id="407" w:name="_Toc139259000"/>
    </w:p>
    <w:p w:rsidR="007A57AF" w:rsidRDefault="007A57AF" w:rsidP="007A57AF">
      <w:pPr>
        <w:pStyle w:val="Heading1"/>
      </w:pPr>
      <w:bookmarkStart w:id="408" w:name="_Toc310280503"/>
      <w:r>
        <w:lastRenderedPageBreak/>
        <w:t>7.</w:t>
      </w:r>
      <w:r>
        <w:tab/>
        <w:t>Review of decisions</w:t>
      </w:r>
      <w:bookmarkStart w:id="409" w:name="_Hlt41964118"/>
      <w:bookmarkEnd w:id="399"/>
      <w:bookmarkEnd w:id="400"/>
      <w:bookmarkEnd w:id="401"/>
      <w:bookmarkEnd w:id="402"/>
      <w:bookmarkEnd w:id="403"/>
      <w:bookmarkEnd w:id="404"/>
      <w:bookmarkEnd w:id="405"/>
      <w:bookmarkEnd w:id="406"/>
      <w:bookmarkEnd w:id="407"/>
      <w:bookmarkEnd w:id="409"/>
      <w:bookmarkEnd w:id="408"/>
    </w:p>
    <w:p w:rsidR="0037564C" w:rsidRDefault="007A57AF" w:rsidP="007A57AF">
      <w:pPr>
        <w:pStyle w:val="Heading2"/>
      </w:pPr>
      <w:bookmarkStart w:id="410" w:name="_Toc40505151"/>
      <w:bookmarkStart w:id="411" w:name="_Toc40505375"/>
      <w:bookmarkStart w:id="412" w:name="_Toc40771659"/>
      <w:bookmarkStart w:id="413" w:name="_Toc41208659"/>
      <w:bookmarkStart w:id="414" w:name="_Toc43883949"/>
      <w:bookmarkStart w:id="415" w:name="_Toc44298124"/>
      <w:bookmarkStart w:id="416" w:name="_Toc44299341"/>
      <w:bookmarkStart w:id="417" w:name="_Toc45684780"/>
      <w:bookmarkStart w:id="418" w:name="_Toc51726210"/>
      <w:bookmarkStart w:id="419" w:name="_Toc64108461"/>
      <w:bookmarkStart w:id="420" w:name="_Toc139259001"/>
      <w:bookmarkStart w:id="421" w:name="_Toc310280504"/>
      <w:r>
        <w:t>The Medicines Evaluation Committee – ‘opportunity to be heard’</w:t>
      </w:r>
      <w:bookmarkEnd w:id="410"/>
      <w:bookmarkEnd w:id="411"/>
      <w:bookmarkEnd w:id="412"/>
      <w:bookmarkEnd w:id="413"/>
      <w:bookmarkEnd w:id="414"/>
      <w:bookmarkEnd w:id="415"/>
      <w:bookmarkEnd w:id="416"/>
      <w:bookmarkEnd w:id="417"/>
      <w:bookmarkEnd w:id="418"/>
      <w:bookmarkEnd w:id="419"/>
      <w:bookmarkEnd w:id="420"/>
      <w:bookmarkEnd w:id="421"/>
    </w:p>
    <w:p w:rsidR="0037564C" w:rsidRDefault="007A57AF" w:rsidP="007A57AF">
      <w:r>
        <w:t xml:space="preserve">Where an application is under evaluation by the MEC and it appears that rejection is to be recommended, the committee has established a procedure whereby the sponsor is invited to appear at a committee meeting and present a submission in support of the application. </w:t>
      </w:r>
    </w:p>
    <w:p w:rsidR="0037564C" w:rsidRDefault="007A57AF" w:rsidP="007A57AF">
      <w:r>
        <w:t>This is not a formal appeal mechanism but is simply a means of ensuring that you have an opportunity to personally present a case to the committee. It has no bearing on any subsequent right of appeal to the Minister or Administrative Appeals Tribunal if the application is rejected.</w:t>
      </w:r>
    </w:p>
    <w:p w:rsidR="0037564C" w:rsidRDefault="007A57AF" w:rsidP="007A57AF">
      <w:r>
        <w:t>If your application is formally rejected by the TGA you will be sent a letter from the Delegate of the Secretary informing you of the decision and setting out the reasons for the rejection. If you wish to have this decision reviewed, a number of procedures are available (section 60 of the Act refers).</w:t>
      </w:r>
    </w:p>
    <w:p w:rsidR="0037564C" w:rsidRDefault="007A57AF" w:rsidP="007A57AF">
      <w:pPr>
        <w:pStyle w:val="Heading2"/>
      </w:pPr>
      <w:bookmarkStart w:id="422" w:name="_Toc41208660"/>
      <w:bookmarkStart w:id="423" w:name="_Toc43883950"/>
      <w:bookmarkStart w:id="424" w:name="_Toc44298125"/>
      <w:bookmarkStart w:id="425" w:name="_Toc44299342"/>
      <w:bookmarkStart w:id="426" w:name="_Toc45684781"/>
      <w:bookmarkStart w:id="427" w:name="_Toc51726211"/>
      <w:bookmarkStart w:id="428" w:name="_Toc64108462"/>
      <w:bookmarkStart w:id="429" w:name="_Toc139259002"/>
      <w:bookmarkStart w:id="430" w:name="_Toc310280505"/>
      <w:r>
        <w:t>Reconsideration by the Minister</w:t>
      </w:r>
      <w:bookmarkEnd w:id="422"/>
      <w:bookmarkEnd w:id="423"/>
      <w:bookmarkEnd w:id="424"/>
      <w:bookmarkEnd w:id="425"/>
      <w:bookmarkEnd w:id="426"/>
      <w:bookmarkEnd w:id="427"/>
      <w:bookmarkEnd w:id="428"/>
      <w:bookmarkEnd w:id="429"/>
      <w:bookmarkEnd w:id="430"/>
    </w:p>
    <w:p w:rsidR="0037564C" w:rsidRDefault="007A57AF" w:rsidP="007A57AF">
      <w:r>
        <w:t>In the first instance you may write to the Minister, within 90 (calendar) days of receiving the rejection letter, requesting a reconsideration of the decision to reject the application. Directions on how to proceed will be given in the rejection letter. The decision is generally reviewed by a delegate of the Minister, usually a senior officer of the TGA other than the officer who made the initial decision.</w:t>
      </w:r>
    </w:p>
    <w:p w:rsidR="0037564C" w:rsidRDefault="007A57AF" w:rsidP="007A57AF">
      <w:r>
        <w:t>After the decision has been reviewed, you will be given a statement of the outcome and, if the decision is confirmed, advice on further options available to you. The delegate of the Minister may confirm the initial decision or revoke it and substitute another decision in its place. If you do not receive notice of the review of the decision within 60 (calendar) days of your request it is taken that the initial decision is confirmed.</w:t>
      </w:r>
    </w:p>
    <w:p w:rsidR="0037564C" w:rsidRDefault="007A57AF" w:rsidP="007A57AF">
      <w:pPr>
        <w:pStyle w:val="Heading2"/>
      </w:pPr>
      <w:bookmarkStart w:id="431" w:name="_Toc41208661"/>
      <w:bookmarkStart w:id="432" w:name="_Toc43883951"/>
      <w:bookmarkStart w:id="433" w:name="_Toc44298126"/>
      <w:bookmarkStart w:id="434" w:name="_Toc44299343"/>
      <w:bookmarkStart w:id="435" w:name="_Toc45684782"/>
      <w:bookmarkStart w:id="436" w:name="_Toc51726212"/>
      <w:bookmarkStart w:id="437" w:name="_Toc64108463"/>
      <w:bookmarkStart w:id="438" w:name="_Toc139259003"/>
      <w:bookmarkStart w:id="439" w:name="_Toc310280506"/>
      <w:r>
        <w:t>The Administrative Appeals Tribunal</w:t>
      </w:r>
      <w:bookmarkEnd w:id="431"/>
      <w:bookmarkEnd w:id="432"/>
      <w:bookmarkEnd w:id="433"/>
      <w:bookmarkEnd w:id="434"/>
      <w:bookmarkEnd w:id="435"/>
      <w:bookmarkEnd w:id="436"/>
      <w:bookmarkEnd w:id="437"/>
      <w:bookmarkEnd w:id="438"/>
      <w:bookmarkEnd w:id="439"/>
    </w:p>
    <w:p w:rsidR="00F91044" w:rsidRDefault="007A57AF" w:rsidP="007A57AF">
      <w:r>
        <w:t>If you are dissatisfied with the results of the reconsideration you may then make an appeal to the Administrative Appeals Tribunal for a review of the decision.</w:t>
      </w:r>
    </w:p>
    <w:p w:rsidR="00F91044" w:rsidRDefault="00F91044">
      <w:pPr>
        <w:spacing w:after="200" w:line="0" w:lineRule="auto"/>
      </w:pPr>
      <w:r>
        <w:br w:type="page"/>
      </w:r>
    </w:p>
    <w:p w:rsidR="00F91044" w:rsidRDefault="00F91044" w:rsidP="00F91044">
      <w:pPr>
        <w:pStyle w:val="Heading1"/>
        <w:sectPr w:rsidR="00F91044" w:rsidSect="00E7356B">
          <w:headerReference w:type="even" r:id="rId65"/>
          <w:headerReference w:type="default" r:id="rId66"/>
          <w:footerReference w:type="default" r:id="rId67"/>
          <w:headerReference w:type="first" r:id="rId68"/>
          <w:footnotePr>
            <w:numRestart w:val="eachSect"/>
          </w:footnotePr>
          <w:type w:val="continuous"/>
          <w:pgSz w:w="11906" w:h="16838" w:code="9"/>
          <w:pgMar w:top="2211" w:right="1701" w:bottom="1701" w:left="1701" w:header="907" w:footer="142" w:gutter="0"/>
          <w:cols w:space="708"/>
          <w:docGrid w:linePitch="360"/>
        </w:sectPr>
      </w:pPr>
      <w:bookmarkStart w:id="440" w:name="_Toc41208662"/>
      <w:bookmarkStart w:id="441" w:name="_Toc43883952"/>
      <w:bookmarkStart w:id="442" w:name="_Toc44298127"/>
      <w:bookmarkStart w:id="443" w:name="_Toc44299344"/>
      <w:bookmarkStart w:id="444" w:name="_Toc45684783"/>
      <w:bookmarkStart w:id="445" w:name="_Toc51726213"/>
      <w:bookmarkStart w:id="446" w:name="_Toc64108464"/>
      <w:bookmarkStart w:id="447" w:name="_Toc139259004"/>
    </w:p>
    <w:p w:rsidR="00F91044" w:rsidRDefault="00F91044" w:rsidP="00F91044">
      <w:pPr>
        <w:pStyle w:val="Heading1"/>
      </w:pPr>
      <w:bookmarkStart w:id="448" w:name="_Toc310280507"/>
      <w:r>
        <w:lastRenderedPageBreak/>
        <w:t>8.</w:t>
      </w:r>
      <w:r>
        <w:tab/>
        <w:t>Post marketing surveillance</w:t>
      </w:r>
      <w:bookmarkEnd w:id="440"/>
      <w:bookmarkEnd w:id="441"/>
      <w:bookmarkEnd w:id="442"/>
      <w:bookmarkEnd w:id="443"/>
      <w:bookmarkEnd w:id="444"/>
      <w:bookmarkEnd w:id="445"/>
      <w:bookmarkEnd w:id="446"/>
      <w:bookmarkEnd w:id="447"/>
      <w:bookmarkEnd w:id="448"/>
    </w:p>
    <w:p w:rsidR="0037564C" w:rsidRDefault="00F91044" w:rsidP="00F91044">
      <w:r>
        <w:t>Products which are already being marketed are subject to a number of levels of surveillance by the TGA.</w:t>
      </w:r>
    </w:p>
    <w:p w:rsidR="00F91044" w:rsidRDefault="00F91044" w:rsidP="00F91044">
      <w:pPr>
        <w:pStyle w:val="Heading2"/>
      </w:pPr>
      <w:bookmarkStart w:id="449" w:name="_Toc41208663"/>
      <w:bookmarkStart w:id="450" w:name="_Toc43883953"/>
      <w:bookmarkStart w:id="451" w:name="_Toc44298128"/>
      <w:bookmarkStart w:id="452" w:name="_Toc44299345"/>
      <w:bookmarkStart w:id="453" w:name="_Toc45684784"/>
      <w:bookmarkStart w:id="454" w:name="_Toc51726214"/>
      <w:bookmarkStart w:id="455" w:name="_Toc64108465"/>
      <w:bookmarkStart w:id="456" w:name="_Toc139259005"/>
      <w:bookmarkStart w:id="457" w:name="_Toc310280508"/>
      <w:r>
        <w:t>The sampling program</w:t>
      </w:r>
      <w:bookmarkEnd w:id="449"/>
      <w:bookmarkEnd w:id="450"/>
      <w:bookmarkEnd w:id="451"/>
      <w:bookmarkEnd w:id="452"/>
      <w:bookmarkEnd w:id="453"/>
      <w:bookmarkEnd w:id="454"/>
      <w:bookmarkEnd w:id="455"/>
      <w:bookmarkEnd w:id="456"/>
      <w:bookmarkEnd w:id="457"/>
    </w:p>
    <w:p w:rsidR="0037564C" w:rsidRDefault="00F91044" w:rsidP="00F91044">
      <w:r>
        <w:t xml:space="preserve">The TGA Laboratories undertake a continuous sampling program in all states of </w:t>
      </w:r>
      <w:smartTag w:uri="urn:schemas-microsoft-com:office:smarttags" w:element="place">
        <w:smartTag w:uri="urn:schemas-microsoft-com:office:smarttags" w:element="country-region">
          <w:r>
            <w:t>Australia</w:t>
          </w:r>
        </w:smartTag>
      </w:smartTag>
      <w:r>
        <w:t>. Products are purchased in the marketplace, or obtained from manufacturers or sponsors, and subjected to analysis and regulatory scrutiny. Products not meeting the required standards may be subject to corrective action, recall or removal from the register.</w:t>
      </w:r>
    </w:p>
    <w:p w:rsidR="00F91044" w:rsidRDefault="00F91044" w:rsidP="00F91044">
      <w:pPr>
        <w:pStyle w:val="Heading2"/>
      </w:pPr>
      <w:bookmarkStart w:id="458" w:name="_Toc41208664"/>
      <w:bookmarkStart w:id="459" w:name="_Toc43883954"/>
      <w:bookmarkStart w:id="460" w:name="_Toc44298129"/>
      <w:bookmarkStart w:id="461" w:name="_Toc44299346"/>
      <w:bookmarkStart w:id="462" w:name="_Toc45684785"/>
      <w:bookmarkStart w:id="463" w:name="_Toc51726215"/>
      <w:bookmarkStart w:id="464" w:name="_Toc64108466"/>
      <w:bookmarkStart w:id="465" w:name="_Toc139259006"/>
      <w:bookmarkStart w:id="466" w:name="_Toc310280509"/>
      <w:r>
        <w:t>Good Manufacturing Practice (GMP) audits</w:t>
      </w:r>
      <w:bookmarkEnd w:id="458"/>
      <w:bookmarkEnd w:id="459"/>
      <w:bookmarkEnd w:id="460"/>
      <w:bookmarkEnd w:id="461"/>
      <w:bookmarkEnd w:id="462"/>
      <w:bookmarkEnd w:id="463"/>
      <w:bookmarkEnd w:id="464"/>
      <w:bookmarkEnd w:id="465"/>
      <w:bookmarkEnd w:id="466"/>
    </w:p>
    <w:p w:rsidR="0037564C" w:rsidRDefault="00F91044" w:rsidP="00F91044">
      <w:r>
        <w:t xml:space="preserve">Manufacturers of therapeutic goods in Australia are subject to regular inspections by the TGA’s Manufacturer Assessment Section. Details of requirements for manufacture are specified in the </w:t>
      </w:r>
      <w:r>
        <w:rPr>
          <w:i/>
        </w:rPr>
        <w:t>Australian Code of Good Manufacturing Practice for medicinal products</w:t>
      </w:r>
      <w:r w:rsidR="00613231" w:rsidRPr="00613231">
        <w:rPr>
          <w:rStyle w:val="FootnoteReference"/>
        </w:rPr>
        <w:footnoteReference w:id="9"/>
      </w:r>
      <w:r>
        <w:t xml:space="preserve">.  </w:t>
      </w:r>
    </w:p>
    <w:p w:rsidR="0037564C" w:rsidRDefault="00F91044" w:rsidP="00F91044">
      <w:r>
        <w:t xml:space="preserve">The evaluation committees may request that particular problems encountered during the evaluation process be followed up with the manufacturer during subsequent GMP audits. </w:t>
      </w:r>
    </w:p>
    <w:p w:rsidR="0037564C" w:rsidRDefault="00F91044" w:rsidP="00F91044">
      <w:r>
        <w:t xml:space="preserve">See also </w:t>
      </w:r>
      <w:hyperlink w:anchor="postregreqs" w:history="1">
        <w:r w:rsidRPr="00B169D5">
          <w:rPr>
            <w:rStyle w:val="Hyperlink"/>
          </w:rPr>
          <w:t>Post-r</w:t>
        </w:r>
        <w:bookmarkStart w:id="467" w:name="_Hlt40605809"/>
        <w:r w:rsidRPr="00B169D5">
          <w:rPr>
            <w:rStyle w:val="Hyperlink"/>
          </w:rPr>
          <w:t>e</w:t>
        </w:r>
        <w:bookmarkEnd w:id="467"/>
        <w:r w:rsidRPr="00B169D5">
          <w:rPr>
            <w:rStyle w:val="Hyperlink"/>
          </w:rPr>
          <w:t>gistr</w:t>
        </w:r>
        <w:bookmarkStart w:id="468" w:name="_Hlt44304979"/>
        <w:r w:rsidRPr="00B169D5">
          <w:rPr>
            <w:rStyle w:val="Hyperlink"/>
          </w:rPr>
          <w:t>a</w:t>
        </w:r>
        <w:bookmarkEnd w:id="468"/>
        <w:r w:rsidRPr="00B169D5">
          <w:rPr>
            <w:rStyle w:val="Hyperlink"/>
          </w:rPr>
          <w:t>tion requirements</w:t>
        </w:r>
      </w:hyperlink>
      <w:r>
        <w:t xml:space="preserve"> in Chapter 4E, </w:t>
      </w:r>
      <w:r>
        <w:rPr>
          <w:i/>
        </w:rPr>
        <w:t>Stability testing</w:t>
      </w:r>
      <w:r>
        <w:t xml:space="preserve">. </w:t>
      </w:r>
    </w:p>
    <w:p w:rsidR="00F91044" w:rsidRDefault="00F91044" w:rsidP="00F91044">
      <w:pPr>
        <w:pStyle w:val="Heading2"/>
      </w:pPr>
      <w:bookmarkStart w:id="469" w:name="_Toc41208665"/>
      <w:bookmarkStart w:id="470" w:name="_Toc43883955"/>
      <w:bookmarkStart w:id="471" w:name="_Toc44298130"/>
      <w:bookmarkStart w:id="472" w:name="_Toc44299347"/>
      <w:bookmarkStart w:id="473" w:name="_Toc45684786"/>
      <w:bookmarkStart w:id="474" w:name="_Toc51726216"/>
      <w:bookmarkStart w:id="475" w:name="_Toc64108467"/>
      <w:bookmarkStart w:id="476" w:name="_Toc139259007"/>
      <w:bookmarkStart w:id="477" w:name="_Toc310280510"/>
      <w:r>
        <w:t>‘Grandfathered’ products</w:t>
      </w:r>
      <w:bookmarkEnd w:id="469"/>
      <w:bookmarkEnd w:id="470"/>
      <w:bookmarkEnd w:id="471"/>
      <w:bookmarkEnd w:id="472"/>
      <w:bookmarkEnd w:id="473"/>
      <w:bookmarkEnd w:id="474"/>
      <w:bookmarkEnd w:id="475"/>
      <w:bookmarkEnd w:id="476"/>
      <w:bookmarkEnd w:id="477"/>
    </w:p>
    <w:p w:rsidR="0037564C" w:rsidRDefault="00F91044" w:rsidP="00F91044">
      <w:r>
        <w:t xml:space="preserve">Those products entered in the ARTG under the ‘grandfather’ provisions of the Act may be subject to future evaluation to determine whether they should remain on the Register. If you are the sponsor of such a product, you should ensure that you hold evidence to substantiate the quality, safety and efficacy of the product. You should also ensure that an ongoing stability testing program is in place for each product under your control. </w:t>
      </w:r>
    </w:p>
    <w:p w:rsidR="00F91044" w:rsidRDefault="00F91044" w:rsidP="00F91044">
      <w:pPr>
        <w:pStyle w:val="Heading2"/>
      </w:pPr>
      <w:bookmarkStart w:id="478" w:name="_Toc41208666"/>
      <w:bookmarkStart w:id="479" w:name="_Toc43883956"/>
      <w:bookmarkStart w:id="480" w:name="_Toc44298131"/>
      <w:bookmarkStart w:id="481" w:name="_Toc44299348"/>
      <w:bookmarkStart w:id="482" w:name="_Toc45684787"/>
      <w:bookmarkStart w:id="483" w:name="_Toc51726217"/>
      <w:bookmarkStart w:id="484" w:name="_Toc64108468"/>
      <w:bookmarkStart w:id="485" w:name="_Toc139259008"/>
      <w:bookmarkStart w:id="486" w:name="_Toc310280511"/>
      <w:r>
        <w:t>The Surveillance Unit</w:t>
      </w:r>
      <w:bookmarkEnd w:id="478"/>
      <w:bookmarkEnd w:id="479"/>
      <w:bookmarkEnd w:id="480"/>
      <w:bookmarkEnd w:id="481"/>
      <w:bookmarkEnd w:id="482"/>
      <w:bookmarkEnd w:id="483"/>
      <w:bookmarkEnd w:id="484"/>
      <w:bookmarkEnd w:id="485"/>
      <w:bookmarkEnd w:id="486"/>
      <w:r>
        <w:t xml:space="preserve"> </w:t>
      </w:r>
    </w:p>
    <w:p w:rsidR="0037564C" w:rsidRDefault="00F91044" w:rsidP="00F91044">
      <w:r>
        <w:t>The Surveillance Unit investigates breaches of the legislation and coordinates prosecutions.</w:t>
      </w:r>
    </w:p>
    <w:p w:rsidR="00F91044" w:rsidRDefault="00F91044" w:rsidP="00F91044">
      <w:pPr>
        <w:pStyle w:val="Heading2"/>
      </w:pPr>
      <w:bookmarkStart w:id="487" w:name="_Toc41208667"/>
      <w:bookmarkStart w:id="488" w:name="_Toc43883957"/>
      <w:bookmarkStart w:id="489" w:name="_Toc44298132"/>
      <w:bookmarkStart w:id="490" w:name="_Toc44299349"/>
      <w:bookmarkStart w:id="491" w:name="_Toc45684788"/>
      <w:bookmarkStart w:id="492" w:name="_Toc51726218"/>
      <w:bookmarkStart w:id="493" w:name="_Toc64108469"/>
      <w:bookmarkStart w:id="494" w:name="_Toc139259009"/>
      <w:bookmarkStart w:id="495" w:name="_Toc310280512"/>
      <w:r>
        <w:t>Problem reporting and recall</w:t>
      </w:r>
      <w:bookmarkEnd w:id="487"/>
      <w:bookmarkEnd w:id="488"/>
      <w:bookmarkEnd w:id="489"/>
      <w:bookmarkEnd w:id="490"/>
      <w:bookmarkEnd w:id="491"/>
      <w:bookmarkEnd w:id="492"/>
      <w:bookmarkEnd w:id="493"/>
      <w:bookmarkEnd w:id="494"/>
      <w:bookmarkEnd w:id="495"/>
    </w:p>
    <w:p w:rsidR="00710F09" w:rsidRDefault="00F91044" w:rsidP="00F91044">
      <w:r>
        <w:t>Recalls of therapeutic goods are coordinated by the TGA’s Recalls Section. Information can be obtained from the TGA website</w:t>
      </w:r>
      <w:r w:rsidR="00613231" w:rsidRPr="00613231">
        <w:rPr>
          <w:rStyle w:val="FootnoteReference"/>
        </w:rPr>
        <w:footnoteReference w:id="10"/>
      </w:r>
      <w:r>
        <w:t>.</w:t>
      </w:r>
    </w:p>
    <w:p w:rsidR="00710F09" w:rsidRDefault="00710F09">
      <w:pPr>
        <w:spacing w:after="200" w:line="0" w:lineRule="auto"/>
      </w:pPr>
      <w:r>
        <w:br w:type="page"/>
      </w:r>
    </w:p>
    <w:p w:rsidR="00304E05" w:rsidRDefault="00304E05" w:rsidP="00710F09">
      <w:pPr>
        <w:pStyle w:val="Heading1"/>
        <w:sectPr w:rsidR="00304E05" w:rsidSect="00E7356B">
          <w:headerReference w:type="even" r:id="rId69"/>
          <w:headerReference w:type="default" r:id="rId70"/>
          <w:footerReference w:type="default" r:id="rId71"/>
          <w:headerReference w:type="first" r:id="rId72"/>
          <w:footnotePr>
            <w:numRestart w:val="eachSect"/>
          </w:footnotePr>
          <w:type w:val="continuous"/>
          <w:pgSz w:w="11906" w:h="16838" w:code="9"/>
          <w:pgMar w:top="2211" w:right="1701" w:bottom="1701" w:left="1701" w:header="907" w:footer="142" w:gutter="0"/>
          <w:cols w:space="708"/>
          <w:docGrid w:linePitch="360"/>
        </w:sectPr>
      </w:pPr>
      <w:bookmarkStart w:id="496" w:name="policyguidelines"/>
      <w:bookmarkStart w:id="497" w:name="_Toc41208668"/>
      <w:bookmarkStart w:id="498" w:name="_Toc43883958"/>
      <w:bookmarkStart w:id="499" w:name="_Toc44298133"/>
      <w:bookmarkStart w:id="500" w:name="_Toc44299350"/>
      <w:bookmarkStart w:id="501" w:name="_Toc45684789"/>
      <w:bookmarkStart w:id="502" w:name="_Toc51726219"/>
      <w:bookmarkStart w:id="503" w:name="_Toc64108470"/>
      <w:bookmarkStart w:id="504" w:name="_Toc139259010"/>
    </w:p>
    <w:p w:rsidR="0037564C" w:rsidRDefault="00710F09" w:rsidP="00710F09">
      <w:pPr>
        <w:pStyle w:val="Heading1"/>
      </w:pPr>
      <w:bookmarkStart w:id="505" w:name="_9._MEC_guidelines"/>
      <w:bookmarkStart w:id="506" w:name="_Toc310280513"/>
      <w:bookmarkEnd w:id="505"/>
      <w:r>
        <w:lastRenderedPageBreak/>
        <w:t>9.</w:t>
      </w:r>
      <w:r>
        <w:tab/>
        <w:t>MEC guidelines</w:t>
      </w:r>
      <w:bookmarkEnd w:id="496"/>
      <w:bookmarkEnd w:id="497"/>
      <w:bookmarkEnd w:id="498"/>
      <w:bookmarkEnd w:id="499"/>
      <w:bookmarkEnd w:id="500"/>
      <w:bookmarkEnd w:id="501"/>
      <w:bookmarkEnd w:id="502"/>
      <w:bookmarkEnd w:id="503"/>
      <w:bookmarkEnd w:id="504"/>
      <w:bookmarkEnd w:id="506"/>
    </w:p>
    <w:p w:rsidR="009A3BFA" w:rsidRDefault="009A3BFA" w:rsidP="009A3BFA">
      <w:r>
        <w:t>This section has been updated.</w:t>
      </w:r>
    </w:p>
    <w:p w:rsidR="009A3BFA" w:rsidRPr="00A10C7E" w:rsidRDefault="009A3BFA" w:rsidP="009A3BFA">
      <w:pPr>
        <w:rPr>
          <w:color w:val="22ABFF" w:themeColor="text2" w:themeTint="80"/>
          <w:u w:val="single"/>
        </w:rPr>
      </w:pPr>
      <w:r>
        <w:t xml:space="preserve">Refer to </w:t>
      </w:r>
      <w:r w:rsidRPr="00A10C7E">
        <w:rPr>
          <w:color w:val="22ABFF" w:themeColor="text2" w:themeTint="80"/>
          <w:u w:val="single"/>
        </w:rPr>
        <w:t>Australian regulatory guideline on over-the-counter medicines – Appendix 5</w:t>
      </w:r>
    </w:p>
    <w:p w:rsidR="009A3BFA" w:rsidRDefault="009A3BFA" w:rsidP="009A3BFA">
      <w:r>
        <w:t xml:space="preserve"> Guideline on OTC applications for specific products</w:t>
      </w:r>
    </w:p>
    <w:p w:rsidR="009A3BFA" w:rsidRPr="009A3BFA" w:rsidRDefault="009A3BFA" w:rsidP="009A3BFA"/>
    <w:p w:rsidR="00297FDD" w:rsidRDefault="00297FDD">
      <w:pPr>
        <w:spacing w:after="200" w:line="0" w:lineRule="auto"/>
        <w:rPr>
          <w:i/>
        </w:rPr>
      </w:pPr>
      <w:r>
        <w:rPr>
          <w:i/>
        </w:rPr>
        <w:br w:type="page"/>
      </w:r>
    </w:p>
    <w:p w:rsidR="00D67947" w:rsidRDefault="00D67947" w:rsidP="00297FDD">
      <w:pPr>
        <w:pStyle w:val="Heading1"/>
        <w:sectPr w:rsidR="00D67947" w:rsidSect="00E7356B">
          <w:headerReference w:type="even" r:id="rId73"/>
          <w:headerReference w:type="default" r:id="rId74"/>
          <w:footerReference w:type="default" r:id="rId75"/>
          <w:headerReference w:type="first" r:id="rId76"/>
          <w:footnotePr>
            <w:numRestart w:val="eachSect"/>
          </w:footnotePr>
          <w:type w:val="continuous"/>
          <w:pgSz w:w="11906" w:h="16838" w:code="9"/>
          <w:pgMar w:top="2211" w:right="1701" w:bottom="1701" w:left="1701" w:header="907" w:footer="142" w:gutter="0"/>
          <w:cols w:space="708"/>
          <w:docGrid w:linePitch="360"/>
        </w:sectPr>
      </w:pPr>
    </w:p>
    <w:p w:rsidR="00297FDD" w:rsidRDefault="00A10C7E" w:rsidP="00297FDD">
      <w:pPr>
        <w:pStyle w:val="Heading1"/>
      </w:pPr>
      <w:bookmarkStart w:id="507" w:name="_Toc45684856"/>
      <w:bookmarkStart w:id="508" w:name="_Toc51726286"/>
      <w:bookmarkStart w:id="509" w:name="_Toc64108537"/>
      <w:bookmarkStart w:id="510" w:name="_Toc139259078"/>
      <w:bookmarkStart w:id="511" w:name="_Toc310280514"/>
      <w:r>
        <w:lastRenderedPageBreak/>
        <w:t>10.</w:t>
      </w:r>
      <w:r>
        <w:tab/>
      </w:r>
      <w:r w:rsidR="00297FDD">
        <w:t>Sunscreens</w:t>
      </w:r>
      <w:bookmarkEnd w:id="507"/>
      <w:bookmarkEnd w:id="508"/>
      <w:bookmarkEnd w:id="509"/>
      <w:bookmarkEnd w:id="510"/>
      <w:bookmarkEnd w:id="511"/>
    </w:p>
    <w:p w:rsidR="0037564C" w:rsidRDefault="00297FDD" w:rsidP="00297FDD">
      <w:pPr>
        <w:rPr>
          <w:i/>
        </w:rPr>
      </w:pPr>
      <w:r w:rsidRPr="00297FDD">
        <w:rPr>
          <w:i/>
        </w:rPr>
        <w:t>Chapter added 24 September 2003</w:t>
      </w:r>
    </w:p>
    <w:p w:rsidR="00297FDD" w:rsidRDefault="00297FDD" w:rsidP="00297FDD">
      <w:pPr>
        <w:pStyle w:val="Heading2"/>
      </w:pPr>
      <w:bookmarkStart w:id="512" w:name="_Toc45684857"/>
      <w:bookmarkStart w:id="513" w:name="_Toc51726287"/>
      <w:bookmarkStart w:id="514" w:name="_Toc64108538"/>
      <w:bookmarkStart w:id="515" w:name="_Toc139259079"/>
      <w:bookmarkStart w:id="516" w:name="_Toc310280515"/>
      <w:r>
        <w:t>Introduction</w:t>
      </w:r>
      <w:bookmarkEnd w:id="512"/>
      <w:bookmarkEnd w:id="513"/>
      <w:bookmarkEnd w:id="514"/>
      <w:bookmarkEnd w:id="515"/>
      <w:bookmarkEnd w:id="516"/>
    </w:p>
    <w:p w:rsidR="0037564C" w:rsidRDefault="00297FDD" w:rsidP="00297FDD">
      <w:r>
        <w:t>Australia has the highest rate of melanoma in the world</w:t>
      </w:r>
      <w:r w:rsidR="00613231" w:rsidRPr="00613231">
        <w:rPr>
          <w:rStyle w:val="FootnoteReference"/>
        </w:rPr>
        <w:footnoteReference w:id="11"/>
      </w:r>
      <w:r>
        <w:t xml:space="preserve">. Many Australians use sunscreen every day of their lives, sometimes over large areas of their body surface. It is important therefore that sunscreens used in Australia are safe and effective and of good quality. </w:t>
      </w:r>
    </w:p>
    <w:p w:rsidR="0037564C" w:rsidRDefault="00297FDD" w:rsidP="00297FDD">
      <w:r>
        <w:t>This chapter describes the regulatory requirements for sunscreens and their ingredients in Australia. It replaces all information on sunscreens contained in the TGA publication,</w:t>
      </w:r>
      <w:r>
        <w:rPr>
          <w:i/>
        </w:rPr>
        <w:t xml:space="preserve"> Listing drug products in the Australian Register of Therapeutic Goods for supply in Australia: Guidelines for applicants</w:t>
      </w:r>
      <w:r w:rsidR="00613231" w:rsidRPr="00613231">
        <w:rPr>
          <w:rStyle w:val="FootnoteReference"/>
        </w:rPr>
        <w:footnoteReference w:id="12"/>
      </w:r>
      <w:r>
        <w:t>.</w:t>
      </w:r>
    </w:p>
    <w:p w:rsidR="00297FDD" w:rsidRDefault="00297FDD" w:rsidP="00297FDD">
      <w:pPr>
        <w:pStyle w:val="Heading2"/>
      </w:pPr>
      <w:bookmarkStart w:id="518" w:name="_Toc45684858"/>
      <w:bookmarkStart w:id="519" w:name="_Toc51726288"/>
      <w:bookmarkStart w:id="520" w:name="_Toc64108539"/>
      <w:bookmarkStart w:id="521" w:name="_Toc139259080"/>
      <w:bookmarkStart w:id="522" w:name="_Toc310280516"/>
      <w:r>
        <w:t>Medicine or cosmetic?</w:t>
      </w:r>
      <w:bookmarkEnd w:id="518"/>
      <w:bookmarkEnd w:id="519"/>
      <w:bookmarkEnd w:id="520"/>
      <w:bookmarkEnd w:id="521"/>
      <w:bookmarkEnd w:id="522"/>
    </w:p>
    <w:p w:rsidR="0037564C" w:rsidRDefault="00297FDD" w:rsidP="00297FDD">
      <w:r>
        <w:t xml:space="preserve">Most sunscreens are regulated as medicines under the </w:t>
      </w:r>
      <w:r>
        <w:rPr>
          <w:i/>
        </w:rPr>
        <w:t>Therapeutic Goods Act 1989</w:t>
      </w:r>
      <w:r>
        <w:t>. Some products that contain an ingredient with sunscreening properties are regulated as cosmetics rather than as medicines where the primary purpose is not sunscreening. These cosmetic products are referred to as ‘excluded’ sunscreens and are not regulated under therapeutic goods legislation.</w:t>
      </w:r>
    </w:p>
    <w:p w:rsidR="0037564C" w:rsidRDefault="00297FDD" w:rsidP="00297FDD">
      <w:pPr>
        <w:rPr>
          <w:i/>
        </w:rPr>
      </w:pPr>
      <w:r>
        <w:t>A table at the end of this chapter (</w:t>
      </w:r>
      <w:hyperlink w:anchor="SunscreenSummaryTable" w:history="1">
        <w:r w:rsidRPr="00B169D5">
          <w:rPr>
            <w:rStyle w:val="Hyperlink"/>
          </w:rPr>
          <w:t>Summ</w:t>
        </w:r>
        <w:bookmarkStart w:id="523" w:name="_Hlt51728675"/>
        <w:r w:rsidRPr="00B169D5">
          <w:rPr>
            <w:rStyle w:val="Hyperlink"/>
          </w:rPr>
          <w:t>a</w:t>
        </w:r>
        <w:bookmarkEnd w:id="523"/>
        <w:r w:rsidRPr="00B169D5">
          <w:rPr>
            <w:rStyle w:val="Hyperlink"/>
          </w:rPr>
          <w:t>ry of su</w:t>
        </w:r>
        <w:bookmarkStart w:id="524" w:name="_Hlt51665183"/>
        <w:r w:rsidRPr="00B169D5">
          <w:rPr>
            <w:rStyle w:val="Hyperlink"/>
          </w:rPr>
          <w:t>n</w:t>
        </w:r>
        <w:bookmarkEnd w:id="524"/>
        <w:r w:rsidRPr="00B169D5">
          <w:rPr>
            <w:rStyle w:val="Hyperlink"/>
          </w:rPr>
          <w:t>screen regulation</w:t>
        </w:r>
      </w:hyperlink>
      <w:r>
        <w:t xml:space="preserve">) summarises the current regulation of the various categories of sunscreens. This information is based on the </w:t>
      </w:r>
      <w:r>
        <w:rPr>
          <w:i/>
        </w:rPr>
        <w:t>Therapeutic Goods (Excluded Goods) Order No. 1 of 1998, Therapeutic Goods (Excluded Goods) Order No. 2 of 1998</w:t>
      </w:r>
      <w:r>
        <w:t xml:space="preserve"> and the </w:t>
      </w:r>
      <w:r>
        <w:rPr>
          <w:i/>
        </w:rPr>
        <w:t>Therapeutic Goods Regulations 1990.</w:t>
      </w:r>
    </w:p>
    <w:p w:rsidR="0037564C" w:rsidRDefault="00297FDD" w:rsidP="00297FDD">
      <w:r>
        <w:t>The labelling of cosmetics is regulated by the Australian Competition and Consumer Commission (ACCC)</w:t>
      </w:r>
      <w:r w:rsidR="00613231" w:rsidRPr="00613231">
        <w:rPr>
          <w:rStyle w:val="FootnoteReference"/>
        </w:rPr>
        <w:footnoteReference w:id="13"/>
      </w:r>
      <w:r>
        <w:t>. The safety of ingredients used in cosmetics is regulated by the National Industrial Chemicals Notification &amp; Assessment Scheme (NICNAS)</w:t>
      </w:r>
      <w:r w:rsidR="00613231" w:rsidRPr="00613231">
        <w:rPr>
          <w:rStyle w:val="FootnoteReference"/>
        </w:rPr>
        <w:footnoteReference w:id="14"/>
      </w:r>
      <w:r>
        <w:t>.</w:t>
      </w:r>
    </w:p>
    <w:p w:rsidR="0037564C" w:rsidRDefault="00297FDD" w:rsidP="00297FDD">
      <w:pPr>
        <w:pStyle w:val="Heading2"/>
      </w:pPr>
      <w:bookmarkStart w:id="526" w:name="_Toc45684859"/>
      <w:bookmarkStart w:id="527" w:name="_Toc51726289"/>
      <w:bookmarkStart w:id="528" w:name="_Toc64108540"/>
      <w:bookmarkStart w:id="529" w:name="_Toc139259081"/>
      <w:bookmarkStart w:id="530" w:name="_Toc310280517"/>
      <w:r>
        <w:t>Regulatory requirements for sunscreens</w:t>
      </w:r>
      <w:bookmarkEnd w:id="526"/>
      <w:bookmarkEnd w:id="527"/>
      <w:bookmarkEnd w:id="528"/>
      <w:bookmarkEnd w:id="529"/>
      <w:bookmarkEnd w:id="530"/>
      <w:r>
        <w:t xml:space="preserve"> </w:t>
      </w:r>
    </w:p>
    <w:p w:rsidR="0037564C" w:rsidRDefault="00297FDD" w:rsidP="00297FDD">
      <w:pPr>
        <w:rPr>
          <w:rStyle w:val="FollowedHyperlink"/>
        </w:rPr>
      </w:pPr>
      <w:r>
        <w:t>Most sunscreens currently defined as medicines can be ‘listed’, some are exempt from registration or listing and some must be ‘registered’ in the Australian Register of Therapeutic Goods (ARTG). General information on listing and registration is available on the TGA website</w:t>
      </w:r>
      <w:r w:rsidR="00613231" w:rsidRPr="00613231">
        <w:rPr>
          <w:rStyle w:val="FootnoteReference"/>
        </w:rPr>
        <w:footnoteReference w:id="15"/>
      </w:r>
      <w:r>
        <w:t>.</w:t>
      </w:r>
    </w:p>
    <w:p w:rsidR="0037564C" w:rsidRDefault="00297FDD" w:rsidP="00297FDD">
      <w:pPr>
        <w:pStyle w:val="Heading3"/>
      </w:pPr>
      <w:bookmarkStart w:id="531" w:name="_Toc310280518"/>
      <w:r>
        <w:t>Exempt sunscreens</w:t>
      </w:r>
      <w:bookmarkEnd w:id="531"/>
    </w:p>
    <w:p w:rsidR="0037564C" w:rsidRDefault="00297FDD" w:rsidP="00297FDD">
      <w:r>
        <w:t>These sunscreens do not require registration or listing in the Australian Register of Therapeutic Goods (ARTG) but are treated as medicines in all other respects. They must comply with all relevant parts of the legislation, for example:</w:t>
      </w:r>
    </w:p>
    <w:p w:rsidR="00297FDD" w:rsidRDefault="00297FDD" w:rsidP="00297FDD">
      <w:pPr>
        <w:pStyle w:val="ListBullet"/>
      </w:pPr>
      <w:r>
        <w:t>The Labelling Order (</w:t>
      </w:r>
      <w:r w:rsidRPr="006704C1">
        <w:rPr>
          <w:i/>
        </w:rPr>
        <w:t>Therapeutic Goods Order No. 69</w:t>
      </w:r>
      <w:r>
        <w:t>)</w:t>
      </w:r>
      <w:r w:rsidR="00613231" w:rsidRPr="00613231">
        <w:rPr>
          <w:rStyle w:val="FootnoteReference"/>
        </w:rPr>
        <w:footnoteReference w:id="16"/>
      </w:r>
      <w:r>
        <w:t>;</w:t>
      </w:r>
    </w:p>
    <w:p w:rsidR="0037564C" w:rsidRDefault="00297FDD" w:rsidP="00297FDD">
      <w:pPr>
        <w:pStyle w:val="ListBullet"/>
      </w:pPr>
      <w:r w:rsidRPr="006704C1">
        <w:rPr>
          <w:i/>
        </w:rPr>
        <w:t>The Therapeutic Goods Advertising Code</w:t>
      </w:r>
      <w:r w:rsidR="00613231" w:rsidRPr="00613231">
        <w:rPr>
          <w:rStyle w:val="FootnoteReference"/>
        </w:rPr>
        <w:footnoteReference w:id="17"/>
      </w:r>
      <w:r>
        <w:t>.</w:t>
      </w:r>
    </w:p>
    <w:p w:rsidR="0037564C" w:rsidRDefault="00297FDD" w:rsidP="00297FDD">
      <w:r>
        <w:lastRenderedPageBreak/>
        <w:t>Sunscreen products are ‘exempt’ if:</w:t>
      </w:r>
    </w:p>
    <w:p w:rsidR="00297FDD" w:rsidRDefault="00297FDD" w:rsidP="00297FDD">
      <w:pPr>
        <w:pStyle w:val="ListBullet"/>
      </w:pPr>
      <w:r>
        <w:t>The claimed SPF (established by testing according to AS/NZS 2604:1998</w:t>
      </w:r>
      <w:r w:rsidR="00613231" w:rsidRPr="00613231">
        <w:rPr>
          <w:rStyle w:val="FootnoteReference"/>
        </w:rPr>
        <w:footnoteReference w:id="18"/>
      </w:r>
      <w:r>
        <w:t>) is 3 or less; and</w:t>
      </w:r>
    </w:p>
    <w:p w:rsidR="00297FDD" w:rsidRDefault="00297FDD" w:rsidP="00297FDD">
      <w:pPr>
        <w:pStyle w:val="ListBullet"/>
      </w:pPr>
      <w:r>
        <w:t>The label claims comply with AS/NZS 2604:1998;  and</w:t>
      </w:r>
    </w:p>
    <w:p w:rsidR="0037564C" w:rsidRDefault="00297FDD" w:rsidP="00297FDD">
      <w:pPr>
        <w:pStyle w:val="ListBullet"/>
      </w:pPr>
      <w:r>
        <w:t xml:space="preserve">The product </w:t>
      </w:r>
      <w:r>
        <w:rPr>
          <w:b/>
        </w:rPr>
        <w:t>does not</w:t>
      </w:r>
      <w:r>
        <w:t xml:space="preserve"> contain ingredients of human origin or from cattle, sheep, goats or mule deer that are derived from body parts listed in the Regulations (eg. adrenal glands, brain).</w:t>
      </w:r>
    </w:p>
    <w:p w:rsidR="0037564C" w:rsidRDefault="00297FDD" w:rsidP="00297FDD">
      <w:r>
        <w:t xml:space="preserve">Exempt products can only contain active ingredients that are included in the list of </w:t>
      </w:r>
      <w:hyperlink w:anchor="SunscreenActiveListProds" w:history="1">
        <w:r w:rsidRPr="00B169D5">
          <w:rPr>
            <w:rStyle w:val="Hyperlink"/>
          </w:rPr>
          <w:t>Sunscreening agents permitt</w:t>
        </w:r>
        <w:bookmarkStart w:id="532" w:name="_Hlt51665237"/>
        <w:r w:rsidRPr="00B169D5">
          <w:rPr>
            <w:rStyle w:val="Hyperlink"/>
          </w:rPr>
          <w:t>e</w:t>
        </w:r>
        <w:bookmarkEnd w:id="532"/>
        <w:r w:rsidRPr="00B169D5">
          <w:rPr>
            <w:rStyle w:val="Hyperlink"/>
          </w:rPr>
          <w:t>d as active ingredients in listed products</w:t>
        </w:r>
      </w:hyperlink>
      <w:r>
        <w:t xml:space="preserve"> within the maximum concentrations stated in the list.</w:t>
      </w:r>
    </w:p>
    <w:p w:rsidR="0037564C" w:rsidRDefault="00297FDD" w:rsidP="00297FDD">
      <w:r>
        <w:t xml:space="preserve">Reference: </w:t>
      </w:r>
      <w:r>
        <w:rPr>
          <w:i/>
        </w:rPr>
        <w:t>Therapeutic Goods Regulations 1990</w:t>
      </w:r>
      <w:r>
        <w:t>, Schedule 5, Part 8(g).</w:t>
      </w:r>
    </w:p>
    <w:p w:rsidR="0037564C" w:rsidRDefault="00297FDD" w:rsidP="00297FDD">
      <w:pPr>
        <w:pStyle w:val="Heading3"/>
      </w:pPr>
      <w:bookmarkStart w:id="533" w:name="_Toc310280519"/>
      <w:r>
        <w:t>Listing of sunscreens</w:t>
      </w:r>
      <w:bookmarkEnd w:id="533"/>
    </w:p>
    <w:p w:rsidR="0037564C" w:rsidRDefault="00297FDD" w:rsidP="00297FDD">
      <w:r>
        <w:t>The majority of sunscreen products require listing in the ARTG. Products are eligible for listing where:</w:t>
      </w:r>
    </w:p>
    <w:p w:rsidR="00297FDD" w:rsidRDefault="00297FDD" w:rsidP="00297FDD">
      <w:pPr>
        <w:pStyle w:val="ListBullet"/>
      </w:pPr>
      <w:r>
        <w:t>The claimed SPF has been tested according to AS/NZS 2604:1998 and is 4 or greater; and</w:t>
      </w:r>
    </w:p>
    <w:p w:rsidR="00297FDD" w:rsidRDefault="00297FDD" w:rsidP="00297FDD">
      <w:pPr>
        <w:pStyle w:val="ListBullet"/>
      </w:pPr>
      <w:r>
        <w:t xml:space="preserve">The product does not make a ‘prohibited’ or ‘restricted’ representation as defined in Appendix 6 to the </w:t>
      </w:r>
      <w:r>
        <w:rPr>
          <w:i/>
        </w:rPr>
        <w:t>Therapeutic Goods Advertising Code</w:t>
      </w:r>
      <w:r w:rsidR="00613231" w:rsidRPr="00613231">
        <w:rPr>
          <w:rStyle w:val="FootnoteReference"/>
        </w:rPr>
        <w:footnoteReference w:id="19"/>
      </w:r>
      <w:r>
        <w:rPr>
          <w:i/>
        </w:rPr>
        <w:t xml:space="preserve"> </w:t>
      </w:r>
      <w:r>
        <w:t xml:space="preserve">(note that </w:t>
      </w:r>
      <w:r>
        <w:rPr>
          <w:i/>
        </w:rPr>
        <w:t>“prevention of skin cancer through the use of sunscreens”</w:t>
      </w:r>
      <w:r>
        <w:t xml:space="preserve"> is not a ‘prohibited representation’ for </w:t>
      </w:r>
      <w:hyperlink w:anchor="SunscreenParaP4" w:history="1">
        <w:r w:rsidRPr="00B169D5">
          <w:rPr>
            <w:rStyle w:val="Hyperlink"/>
          </w:rPr>
          <w:t>so</w:t>
        </w:r>
        <w:bookmarkStart w:id="534" w:name="_Hlt51725556"/>
        <w:r w:rsidRPr="00B169D5">
          <w:rPr>
            <w:rStyle w:val="Hyperlink"/>
          </w:rPr>
          <w:t>m</w:t>
        </w:r>
        <w:bookmarkEnd w:id="534"/>
        <w:r w:rsidRPr="00B169D5">
          <w:rPr>
            <w:rStyle w:val="Hyperlink"/>
          </w:rPr>
          <w:t>e sunscreens</w:t>
        </w:r>
      </w:hyperlink>
      <w:r>
        <w:t>); and</w:t>
      </w:r>
    </w:p>
    <w:p w:rsidR="0037564C" w:rsidRDefault="00297FDD" w:rsidP="00297FDD">
      <w:pPr>
        <w:pStyle w:val="ListBullet"/>
      </w:pPr>
      <w:r>
        <w:t xml:space="preserve">The labelling complies with AS/NZS 2604:1998, the </w:t>
      </w:r>
      <w:r>
        <w:rPr>
          <w:i/>
        </w:rPr>
        <w:t>Labelling Order</w:t>
      </w:r>
      <w:r>
        <w:t xml:space="preserve"> and the </w:t>
      </w:r>
      <w:r>
        <w:rPr>
          <w:i/>
        </w:rPr>
        <w:t>Therapeutic Goods Advertising Code</w:t>
      </w:r>
      <w:r>
        <w:t>.</w:t>
      </w:r>
    </w:p>
    <w:p w:rsidR="0037564C" w:rsidRDefault="00297FDD" w:rsidP="00297FDD">
      <w:r>
        <w:t xml:space="preserve">Sunscreen products that are otherwise exempt will require listing where the product </w:t>
      </w:r>
      <w:r>
        <w:rPr>
          <w:b/>
        </w:rPr>
        <w:t xml:space="preserve">does </w:t>
      </w:r>
      <w:r>
        <w:t xml:space="preserve">contain ingredients of human origin or from cattle, sheep, goats or mule deer that are derived from parts listed in the </w:t>
      </w:r>
      <w:r>
        <w:rPr>
          <w:i/>
        </w:rPr>
        <w:t>Therapeutic Goods Regulations 1990</w:t>
      </w:r>
      <w:r>
        <w:t xml:space="preserve"> (eg. adrenal glands, brain).</w:t>
      </w:r>
    </w:p>
    <w:p w:rsidR="0037564C" w:rsidRDefault="00297FDD" w:rsidP="00297FDD">
      <w:r>
        <w:t xml:space="preserve">Applications for listing of sunscreen products that contain material of human or animal origin as above must include a pre-clearance certificate issued by the TGA Laboratories Branch (TGAL). </w:t>
      </w:r>
    </w:p>
    <w:p w:rsidR="0037564C" w:rsidRDefault="00297FDD" w:rsidP="00297FDD">
      <w:r>
        <w:t xml:space="preserve">Listed sunscreen products can only contain active ingredients that are included in the list of </w:t>
      </w:r>
      <w:hyperlink w:anchor="SunscreenActiveListProds" w:history="1">
        <w:r w:rsidRPr="00B169D5">
          <w:rPr>
            <w:rStyle w:val="Hyperlink"/>
          </w:rPr>
          <w:t xml:space="preserve">Sunscreening agents </w:t>
        </w:r>
        <w:bookmarkStart w:id="535" w:name="_Hlt51665715"/>
        <w:r w:rsidRPr="00B169D5">
          <w:rPr>
            <w:rStyle w:val="Hyperlink"/>
          </w:rPr>
          <w:t>p</w:t>
        </w:r>
        <w:bookmarkEnd w:id="535"/>
        <w:r w:rsidRPr="00B169D5">
          <w:rPr>
            <w:rStyle w:val="Hyperlink"/>
          </w:rPr>
          <w:t>ermitted as active ingredients in listed products</w:t>
        </w:r>
      </w:hyperlink>
      <w:r>
        <w:t xml:space="preserve"> within the maximum concentrations stated in the list.</w:t>
      </w:r>
    </w:p>
    <w:p w:rsidR="0037564C" w:rsidRDefault="00297FDD" w:rsidP="00297FDD">
      <w:r>
        <w:t>Sponsors should consider the impact of excipients on the sensitivity of the skin to sunlight and should ensure the finished product is safe for its intended purpose.</w:t>
      </w:r>
    </w:p>
    <w:p w:rsidR="0037564C" w:rsidRDefault="00297FDD" w:rsidP="00297FDD">
      <w:r>
        <w:t xml:space="preserve">Sunscreen products that make claims other than sunscreening (eg. ‘antioxidant’ claims or claims relating to reduction of UV induced immune suppression) and / or contain active ingredients that are not included in the list of </w:t>
      </w:r>
      <w:r>
        <w:rPr>
          <w:i/>
        </w:rPr>
        <w:t>Sunscreening agents permitted as active ingredients in listed products</w:t>
      </w:r>
      <w:r>
        <w:t xml:space="preserve"> are not ‘sunscreen preparations’ and must be registered as an OTC medicine rather than listed in the ARTG (see below for details of registration).</w:t>
      </w:r>
    </w:p>
    <w:p w:rsidR="0037564C" w:rsidRDefault="00297FDD" w:rsidP="00297FDD">
      <w:r>
        <w:t xml:space="preserve">All other sunscreen products (ie. those that are neither exempt nor listable) must be registered in the ARTG. </w:t>
      </w:r>
    </w:p>
    <w:p w:rsidR="0037564C" w:rsidRDefault="00297FDD" w:rsidP="00297FDD">
      <w:r>
        <w:t>Information on the listing process can be found on the TGA website</w:t>
      </w:r>
      <w:r w:rsidR="00613231" w:rsidRPr="00613231">
        <w:rPr>
          <w:rStyle w:val="FootnoteReference"/>
        </w:rPr>
        <w:footnoteReference w:id="20"/>
      </w:r>
      <w:r>
        <w:t>.</w:t>
      </w:r>
    </w:p>
    <w:p w:rsidR="0037564C" w:rsidRDefault="00297FDD" w:rsidP="00297FDD">
      <w:r>
        <w:t xml:space="preserve">Reference:  </w:t>
      </w:r>
      <w:r>
        <w:rPr>
          <w:i/>
        </w:rPr>
        <w:t>Therapeutic Goods Regulations 1990</w:t>
      </w:r>
      <w:r>
        <w:t>, Schedule 4, Item 7.</w:t>
      </w:r>
    </w:p>
    <w:p w:rsidR="0037564C" w:rsidRDefault="00297FDD" w:rsidP="00297FDD">
      <w:pPr>
        <w:pStyle w:val="Heading3"/>
      </w:pPr>
      <w:bookmarkStart w:id="536" w:name="_Toc310280520"/>
      <w:r>
        <w:lastRenderedPageBreak/>
        <w:t>Registration of sunscreens</w:t>
      </w:r>
      <w:bookmarkEnd w:id="536"/>
    </w:p>
    <w:p w:rsidR="0037564C" w:rsidRDefault="00297FDD" w:rsidP="00297FDD">
      <w:pPr>
        <w:rPr>
          <w:snapToGrid w:val="0"/>
          <w:lang w:val="en-GB"/>
        </w:rPr>
      </w:pPr>
      <w:r>
        <w:rPr>
          <w:snapToGrid w:val="0"/>
          <w:lang w:val="en-GB"/>
        </w:rPr>
        <w:t xml:space="preserve">‘Registration’ is the default category for sunscreens that are not ‘exempt’ or ‘listable’. These products are evaluated by the TGA for quality, safety and efficacy under the provisions of Section 25 of the </w:t>
      </w:r>
      <w:r>
        <w:rPr>
          <w:i/>
          <w:snapToGrid w:val="0"/>
          <w:lang w:val="en-GB"/>
        </w:rPr>
        <w:t>Therapeutic Goods Act 1989</w:t>
      </w:r>
      <w:r>
        <w:rPr>
          <w:snapToGrid w:val="0"/>
          <w:lang w:val="en-GB"/>
        </w:rPr>
        <w:t xml:space="preserve">. </w:t>
      </w:r>
    </w:p>
    <w:p w:rsidR="0037564C" w:rsidRDefault="00297FDD" w:rsidP="00297FDD">
      <w:pPr>
        <w:rPr>
          <w:snapToGrid w:val="0"/>
          <w:lang w:val="en-GB"/>
        </w:rPr>
      </w:pPr>
      <w:r>
        <w:rPr>
          <w:snapToGrid w:val="0"/>
          <w:lang w:val="en-GB"/>
        </w:rPr>
        <w:t>Products in this category include:</w:t>
      </w:r>
    </w:p>
    <w:p w:rsidR="00297FDD" w:rsidRDefault="00297FDD" w:rsidP="00297FDD">
      <w:pPr>
        <w:pStyle w:val="ListBullet"/>
        <w:rPr>
          <w:snapToGrid w:val="0"/>
          <w:lang w:val="en-GB"/>
        </w:rPr>
      </w:pPr>
      <w:r>
        <w:rPr>
          <w:snapToGrid w:val="0"/>
          <w:lang w:val="en-GB"/>
        </w:rPr>
        <w:t xml:space="preserve">Products that are to be included in the </w:t>
      </w:r>
      <w:r>
        <w:rPr>
          <w:i/>
          <w:snapToGrid w:val="0"/>
          <w:lang w:val="en-GB"/>
        </w:rPr>
        <w:t>Schedule of Pharmaceutical Benefits</w:t>
      </w:r>
      <w:r>
        <w:rPr>
          <w:snapToGrid w:val="0"/>
          <w:lang w:val="en-GB"/>
        </w:rPr>
        <w:t>;</w:t>
      </w:r>
    </w:p>
    <w:p w:rsidR="00297FDD" w:rsidRDefault="00297FDD" w:rsidP="00297FDD">
      <w:pPr>
        <w:pStyle w:val="ListBullet"/>
        <w:rPr>
          <w:i/>
        </w:rPr>
      </w:pPr>
      <w:r>
        <w:rPr>
          <w:snapToGrid w:val="0"/>
          <w:lang w:val="en-GB"/>
        </w:rPr>
        <w:t xml:space="preserve">Products that contain a sunscreen active ingredient that is not included in the </w:t>
      </w:r>
      <w:r>
        <w:t xml:space="preserve">list of </w:t>
      </w:r>
      <w:r>
        <w:rPr>
          <w:i/>
        </w:rPr>
        <w:t>Sunscreening agents permitted as active ingredients in listed products;</w:t>
      </w:r>
    </w:p>
    <w:p w:rsidR="00297FDD" w:rsidRDefault="00297FDD" w:rsidP="00297FDD">
      <w:pPr>
        <w:pStyle w:val="ListBullet"/>
      </w:pPr>
      <w:r>
        <w:t>Products that make therapeutic claims other than sunscreening;</w:t>
      </w:r>
    </w:p>
    <w:p w:rsidR="0037564C" w:rsidRDefault="00297FDD" w:rsidP="00297FDD">
      <w:pPr>
        <w:pStyle w:val="ListBullet"/>
      </w:pPr>
      <w:r>
        <w:t>Products that are not otherwise ‘exempt’ or ‘listable’.</w:t>
      </w:r>
    </w:p>
    <w:p w:rsidR="0037564C" w:rsidRDefault="00297FDD" w:rsidP="00297FDD">
      <w:pPr>
        <w:pStyle w:val="Heading3"/>
      </w:pPr>
      <w:bookmarkStart w:id="537" w:name="_Toc310280521"/>
      <w:r>
        <w:t>Labelling of sunscreens</w:t>
      </w:r>
      <w:bookmarkEnd w:id="537"/>
    </w:p>
    <w:p w:rsidR="0037564C" w:rsidRDefault="00297FDD" w:rsidP="00297FDD">
      <w:pPr>
        <w:rPr>
          <w:snapToGrid w:val="0"/>
        </w:rPr>
      </w:pPr>
      <w:r>
        <w:rPr>
          <w:snapToGrid w:val="0"/>
        </w:rPr>
        <w:t>The labelling of sunscreen products must comply with:</w:t>
      </w:r>
    </w:p>
    <w:p w:rsidR="00297FDD" w:rsidRDefault="00297FDD" w:rsidP="00297FDD">
      <w:pPr>
        <w:pStyle w:val="ListBullet"/>
        <w:rPr>
          <w:snapToGrid w:val="0"/>
        </w:rPr>
      </w:pPr>
      <w:r>
        <w:rPr>
          <w:snapToGrid w:val="0"/>
        </w:rPr>
        <w:t>The Labelling Order (</w:t>
      </w:r>
      <w:r w:rsidRPr="006704C1">
        <w:rPr>
          <w:i/>
          <w:snapToGrid w:val="0"/>
        </w:rPr>
        <w:t>Therapeutic Goods Order No. 69</w:t>
      </w:r>
      <w:r>
        <w:rPr>
          <w:snapToGrid w:val="0"/>
        </w:rPr>
        <w:t>)</w:t>
      </w:r>
      <w:r w:rsidR="00613231" w:rsidRPr="00613231">
        <w:rPr>
          <w:rStyle w:val="FootnoteReference"/>
        </w:rPr>
        <w:t xml:space="preserve"> </w:t>
      </w:r>
      <w:r w:rsidR="00613231" w:rsidRPr="00613231">
        <w:rPr>
          <w:rStyle w:val="FootnoteReference"/>
        </w:rPr>
        <w:footnoteReference w:id="21"/>
      </w:r>
      <w:r>
        <w:rPr>
          <w:snapToGrid w:val="0"/>
        </w:rPr>
        <w:t>;</w:t>
      </w:r>
    </w:p>
    <w:p w:rsidR="00297FDD" w:rsidRDefault="00297FDD" w:rsidP="00297FDD">
      <w:pPr>
        <w:pStyle w:val="ListBullet"/>
        <w:rPr>
          <w:snapToGrid w:val="0"/>
        </w:rPr>
      </w:pPr>
      <w:r>
        <w:rPr>
          <w:snapToGrid w:val="0"/>
        </w:rPr>
        <w:t xml:space="preserve">The Therapeutic </w:t>
      </w:r>
      <w:r w:rsidRPr="006704C1">
        <w:rPr>
          <w:i/>
          <w:snapToGrid w:val="0"/>
        </w:rPr>
        <w:t>Goods Advertising Code</w:t>
      </w:r>
      <w:r w:rsidR="00613231" w:rsidRPr="00613231">
        <w:rPr>
          <w:rStyle w:val="FootnoteReference"/>
        </w:rPr>
        <w:footnoteReference w:id="22"/>
      </w:r>
      <w:r>
        <w:rPr>
          <w:snapToGrid w:val="0"/>
        </w:rPr>
        <w:t>;</w:t>
      </w:r>
    </w:p>
    <w:p w:rsidR="0037564C" w:rsidRDefault="00297FDD" w:rsidP="00297FDD">
      <w:pPr>
        <w:pStyle w:val="ListBullet"/>
        <w:rPr>
          <w:snapToGrid w:val="0"/>
        </w:rPr>
      </w:pPr>
      <w:r>
        <w:rPr>
          <w:snapToGrid w:val="0"/>
        </w:rPr>
        <w:t xml:space="preserve">Australia/New Zealand Standard </w:t>
      </w:r>
      <w:r>
        <w:rPr>
          <w:i/>
        </w:rPr>
        <w:t>AS/NZS 2604:1998</w:t>
      </w:r>
      <w:r>
        <w:t xml:space="preserve"> </w:t>
      </w:r>
      <w:r w:rsidR="00613231" w:rsidRPr="00613231">
        <w:rPr>
          <w:rStyle w:val="FootnoteReference"/>
        </w:rPr>
        <w:footnoteReference w:id="23"/>
      </w:r>
      <w:r>
        <w:t>.</w:t>
      </w:r>
    </w:p>
    <w:p w:rsidR="0037564C" w:rsidRDefault="00297FDD" w:rsidP="00297FDD">
      <w:r>
        <w:rPr>
          <w:snapToGrid w:val="0"/>
          <w:color w:val="000000"/>
        </w:rPr>
        <w:t xml:space="preserve">Note that </w:t>
      </w:r>
      <w:r>
        <w:t>AS/NZS 2604:1998 has particular requirements for the labelling of sunscreens:</w:t>
      </w:r>
    </w:p>
    <w:p w:rsidR="00297FDD" w:rsidRDefault="00297FDD" w:rsidP="00297FDD">
      <w:pPr>
        <w:pStyle w:val="ListBullet"/>
      </w:pPr>
      <w:r>
        <w:t>Specifications for the declaration of the SPF;</w:t>
      </w:r>
    </w:p>
    <w:p w:rsidR="00297FDD" w:rsidRDefault="00297FDD" w:rsidP="00297FDD">
      <w:pPr>
        <w:pStyle w:val="ListBullet"/>
      </w:pPr>
      <w:r>
        <w:t xml:space="preserve">Limitations on </w:t>
      </w:r>
      <w:r>
        <w:rPr>
          <w:i/>
        </w:rPr>
        <w:t>“broad spectrum”</w:t>
      </w:r>
      <w:r>
        <w:t xml:space="preserve"> claims;</w:t>
      </w:r>
    </w:p>
    <w:p w:rsidR="0037564C" w:rsidRDefault="00297FDD" w:rsidP="00297FDD">
      <w:pPr>
        <w:pStyle w:val="ListBullet"/>
      </w:pPr>
      <w:r>
        <w:t xml:space="preserve">Limitations on the use of </w:t>
      </w:r>
      <w:r>
        <w:rPr>
          <w:i/>
        </w:rPr>
        <w:t>“water resistant”</w:t>
      </w:r>
      <w:r>
        <w:t xml:space="preserve"> claims.</w:t>
      </w:r>
    </w:p>
    <w:p w:rsidR="0037564C" w:rsidRDefault="00297FDD" w:rsidP="00297FDD">
      <w:pPr>
        <w:rPr>
          <w:snapToGrid w:val="0"/>
        </w:rPr>
      </w:pPr>
      <w:bookmarkStart w:id="538" w:name="_Hlt51666169"/>
      <w:bookmarkStart w:id="539" w:name="SunscreenParaP4"/>
      <w:bookmarkEnd w:id="538"/>
      <w:r>
        <w:rPr>
          <w:snapToGrid w:val="0"/>
        </w:rPr>
        <w:t>The</w:t>
      </w:r>
      <w:bookmarkEnd w:id="539"/>
      <w:r>
        <w:rPr>
          <w:snapToGrid w:val="0"/>
        </w:rPr>
        <w:t xml:space="preserve"> following claims are permitted for broad spectrum sunscreen preparations with a sun protection factor of ‘30 plus’:</w:t>
      </w:r>
    </w:p>
    <w:p w:rsidR="00297FDD" w:rsidRDefault="00297FDD" w:rsidP="00297FDD">
      <w:pPr>
        <w:pStyle w:val="ListBullet"/>
        <w:rPr>
          <w:snapToGrid w:val="0"/>
          <w:color w:val="000000"/>
        </w:rPr>
      </w:pPr>
      <w:r>
        <w:t>may assist in preventing some skin cancers;</w:t>
      </w:r>
    </w:p>
    <w:p w:rsidR="0037564C" w:rsidRDefault="00297FDD" w:rsidP="00297FDD">
      <w:pPr>
        <w:pStyle w:val="ListBullet"/>
      </w:pPr>
      <w:r>
        <w:t>may reduce the risk of some skin cancers;</w:t>
      </w:r>
    </w:p>
    <w:p w:rsidR="0037564C" w:rsidRDefault="00297FDD" w:rsidP="00297FDD">
      <w:r>
        <w:rPr>
          <w:snapToGrid w:val="0"/>
          <w:color w:val="000000"/>
        </w:rPr>
        <w:t xml:space="preserve">provided that the product label </w:t>
      </w:r>
      <w:r>
        <w:t xml:space="preserve">highlights the need for avoidance of prolonged exposure to the sun and the importance of wearing protective clothing, hats and eyewear. Reference: </w:t>
      </w:r>
      <w:r>
        <w:rPr>
          <w:i/>
        </w:rPr>
        <w:t>Gazette notice: Advertising sunscreens, 13 September 2002</w:t>
      </w:r>
      <w:r w:rsidR="00613231" w:rsidRPr="00613231">
        <w:rPr>
          <w:rStyle w:val="FootnoteReference"/>
        </w:rPr>
        <w:footnoteReference w:id="24"/>
      </w:r>
      <w:r>
        <w:t>.</w:t>
      </w:r>
    </w:p>
    <w:p w:rsidR="00297FDD" w:rsidRDefault="00297FDD" w:rsidP="00297FDD">
      <w:r>
        <w:rPr>
          <w:snapToGrid w:val="0"/>
        </w:rPr>
        <w:t xml:space="preserve">A broad-spectrum sunscreening preparation may make the claim </w:t>
      </w:r>
      <w:r>
        <w:rPr>
          <w:i/>
          <w:snapToGrid w:val="0"/>
        </w:rPr>
        <w:t>“can aid in the prevention of premature skin ageing”</w:t>
      </w:r>
      <w:r>
        <w:rPr>
          <w:snapToGrid w:val="0"/>
        </w:rPr>
        <w:t xml:space="preserve"> or words to that effect.</w:t>
      </w:r>
    </w:p>
    <w:p w:rsidR="0037564C" w:rsidRDefault="00297FDD" w:rsidP="00297FDD">
      <w:pPr>
        <w:rPr>
          <w:snapToGrid w:val="0"/>
        </w:rPr>
      </w:pPr>
      <w:r w:rsidRPr="00297FDD">
        <w:t>[“30+” deleted after “broad spectrum” 13 February 2004]</w:t>
      </w:r>
    </w:p>
    <w:p w:rsidR="0037564C" w:rsidRDefault="00297FDD" w:rsidP="00297FDD">
      <w:pPr>
        <w:rPr>
          <w:snapToGrid w:val="0"/>
        </w:rPr>
      </w:pPr>
      <w:r>
        <w:rPr>
          <w:snapToGrid w:val="0"/>
        </w:rPr>
        <w:t>The labels of sunscreen products should include statements to the effect of the following:</w:t>
      </w:r>
    </w:p>
    <w:p w:rsidR="00297FDD" w:rsidRPr="006704C1" w:rsidRDefault="00297FDD" w:rsidP="00297FDD">
      <w:pPr>
        <w:pStyle w:val="ListBullet"/>
        <w:rPr>
          <w:snapToGrid w:val="0"/>
        </w:rPr>
      </w:pPr>
      <w:r>
        <w:rPr>
          <w:snapToGrid w:val="0"/>
        </w:rPr>
        <w:t>Advise consumers to apply generous amounts of sunscreen over all exposed areas 15 to 20 minutes before sun exposure, and again after swimming or towelling.</w:t>
      </w:r>
    </w:p>
    <w:p w:rsidR="00297FDD" w:rsidRDefault="00297FDD" w:rsidP="00297FDD">
      <w:pPr>
        <w:pStyle w:val="ListBullet"/>
      </w:pPr>
      <w:r>
        <w:lastRenderedPageBreak/>
        <w:t>Highlight the need for avoidance of prolonged exposure to the sun and the importance of wearing protective clothing, hats and eyewear.</w:t>
      </w:r>
    </w:p>
    <w:p w:rsidR="0037564C" w:rsidRDefault="00297FDD" w:rsidP="00297FDD">
      <w:pPr>
        <w:pStyle w:val="ListBullet"/>
      </w:pPr>
      <w:r>
        <w:t>Advise consumers to keep the product out of the eyes.</w:t>
      </w:r>
    </w:p>
    <w:p w:rsidR="0037564C" w:rsidRDefault="00297FDD" w:rsidP="00297FDD">
      <w:r>
        <w:t>The first and second requirements above do not apply to secondary sunscreens (those sunscreen products that are represented on the label as protecting the skin from harmful effects of the sun’s rays while fulfilling another primary function). None of the above labelling requirements apply to lip preparations.</w:t>
      </w:r>
    </w:p>
    <w:p w:rsidR="0037564C" w:rsidRDefault="00297FDD" w:rsidP="00297FDD">
      <w:pPr>
        <w:pStyle w:val="Heading3"/>
      </w:pPr>
      <w:bookmarkStart w:id="541" w:name="_Toc310280522"/>
      <w:r>
        <w:t>Stability testing of sunscreens</w:t>
      </w:r>
      <w:bookmarkEnd w:id="541"/>
    </w:p>
    <w:p w:rsidR="0037564C" w:rsidRDefault="00297FDD" w:rsidP="00297FDD">
      <w:r>
        <w:t>Guidelines for the stability testing of sunscreen products have been compiled by industry peak bodies and agreed by the TGA. Sponsors of all sunscreen products are expected to have performed stability testing on each product to at least the standard set out in these guidelines. The claimed shelf life and storage conditions for each product should be derived from the results of the stability testing on that product.</w:t>
      </w:r>
    </w:p>
    <w:p w:rsidR="0037564C" w:rsidRDefault="00297FDD" w:rsidP="00297FDD">
      <w:r>
        <w:t>The stability testing guidelines for listed sunscreens can be found on the Australian Self Medication Industry (ASMI) website</w:t>
      </w:r>
      <w:r w:rsidR="00613231" w:rsidRPr="00613231">
        <w:rPr>
          <w:rStyle w:val="FootnoteReference"/>
        </w:rPr>
        <w:footnoteReference w:id="25"/>
      </w:r>
      <w:r>
        <w:t xml:space="preserve">. The stability testing guidelines for registered sunscreens can be found in Chapter 4E, </w:t>
      </w:r>
      <w:hyperlink w:anchor="QualStabilityCh" w:history="1">
        <w:r w:rsidRPr="00B169D5">
          <w:rPr>
            <w:rStyle w:val="Hyperlink"/>
          </w:rPr>
          <w:t>St</w:t>
        </w:r>
        <w:bookmarkStart w:id="542" w:name="_Hlt45683556"/>
        <w:r w:rsidRPr="00B169D5">
          <w:rPr>
            <w:rStyle w:val="Hyperlink"/>
          </w:rPr>
          <w:t>a</w:t>
        </w:r>
        <w:bookmarkEnd w:id="542"/>
        <w:r w:rsidRPr="00B169D5">
          <w:rPr>
            <w:rStyle w:val="Hyperlink"/>
          </w:rPr>
          <w:t>bili</w:t>
        </w:r>
        <w:bookmarkStart w:id="543" w:name="_Hlt51665461"/>
        <w:r w:rsidRPr="00B169D5">
          <w:rPr>
            <w:rStyle w:val="Hyperlink"/>
          </w:rPr>
          <w:t>t</w:t>
        </w:r>
        <w:bookmarkEnd w:id="543"/>
        <w:r w:rsidRPr="00B169D5">
          <w:rPr>
            <w:rStyle w:val="Hyperlink"/>
          </w:rPr>
          <w:t>y testing</w:t>
        </w:r>
      </w:hyperlink>
      <w:r>
        <w:t>.</w:t>
      </w:r>
    </w:p>
    <w:p w:rsidR="0037564C" w:rsidRDefault="00297FDD" w:rsidP="00297FDD">
      <w:pPr>
        <w:pStyle w:val="Heading3"/>
      </w:pPr>
      <w:bookmarkStart w:id="544" w:name="_Toc310280523"/>
      <w:r>
        <w:t>Microbial content and preservative efficacy of sunscreens</w:t>
      </w:r>
      <w:bookmarkEnd w:id="544"/>
    </w:p>
    <w:p w:rsidR="00297FDD" w:rsidRDefault="00297FDD" w:rsidP="00297FDD">
      <w:pPr>
        <w:rPr>
          <w:snapToGrid w:val="0"/>
          <w:color w:val="000000"/>
        </w:rPr>
      </w:pPr>
      <w:r>
        <w:t xml:space="preserve">Sunscreen products in all categories (exempt, listed or registered) are expected to comply with the TGAL guidelines for microbiological testing for ‘products for topical application’ in Chapter 4F, </w:t>
      </w:r>
      <w:hyperlink w:anchor="QualMicroTesting" w:history="1">
        <w:r w:rsidRPr="00B169D5">
          <w:rPr>
            <w:rStyle w:val="Hyperlink"/>
          </w:rPr>
          <w:t>Micro</w:t>
        </w:r>
        <w:bookmarkStart w:id="545" w:name="_Hlt45683592"/>
        <w:r w:rsidRPr="00B169D5">
          <w:rPr>
            <w:rStyle w:val="Hyperlink"/>
          </w:rPr>
          <w:t>b</w:t>
        </w:r>
        <w:bookmarkEnd w:id="545"/>
        <w:r w:rsidRPr="00B169D5">
          <w:rPr>
            <w:rStyle w:val="Hyperlink"/>
          </w:rPr>
          <w:t>iological testing</w:t>
        </w:r>
      </w:hyperlink>
      <w:r>
        <w:t xml:space="preserve">, and to comply with the preservative efficacy test in the current edition of the </w:t>
      </w:r>
      <w:r>
        <w:rPr>
          <w:i/>
        </w:rPr>
        <w:t>British Pharmacopoeia.</w:t>
      </w:r>
      <w:r>
        <w:rPr>
          <w:snapToGrid w:val="0"/>
          <w:color w:val="000000"/>
        </w:rPr>
        <w:t xml:space="preserve"> </w:t>
      </w:r>
    </w:p>
    <w:p w:rsidR="0037564C" w:rsidRDefault="00297FDD" w:rsidP="00297FDD">
      <w:pPr>
        <w:pStyle w:val="Heading3"/>
      </w:pPr>
      <w:bookmarkStart w:id="546" w:name="_Toc310280524"/>
      <w:r>
        <w:t>Manufacturers of sunscreens</w:t>
      </w:r>
      <w:bookmarkEnd w:id="546"/>
    </w:p>
    <w:p w:rsidR="0037564C" w:rsidRDefault="00297FDD" w:rsidP="00297FDD">
      <w:pPr>
        <w:rPr>
          <w:snapToGrid w:val="0"/>
        </w:rPr>
      </w:pPr>
      <w:r>
        <w:rPr>
          <w:snapToGrid w:val="0"/>
        </w:rPr>
        <w:t>Manufacturers of listed or registered sunscreens must be licensed or approved by the TGA. Information on licensing/approval is available on the TGA website</w:t>
      </w:r>
      <w:r w:rsidR="00613231" w:rsidRPr="00613231">
        <w:rPr>
          <w:rStyle w:val="FootnoteReference"/>
        </w:rPr>
        <w:footnoteReference w:id="26"/>
      </w:r>
      <w:r>
        <w:rPr>
          <w:snapToGrid w:val="0"/>
        </w:rPr>
        <w:t>.</w:t>
      </w:r>
    </w:p>
    <w:p w:rsidR="0037564C" w:rsidRDefault="00297FDD" w:rsidP="00297FDD">
      <w:pPr>
        <w:rPr>
          <w:snapToGrid w:val="0"/>
        </w:rPr>
      </w:pPr>
      <w:r>
        <w:rPr>
          <w:snapToGrid w:val="0"/>
        </w:rPr>
        <w:t>Manufacturers of sunscreens are required to comply with the Australian Code of GMP for Therapeutic Goods – Sunscreen Products</w:t>
      </w:r>
      <w:r w:rsidR="00613231" w:rsidRPr="00613231">
        <w:rPr>
          <w:rStyle w:val="FootnoteReference"/>
        </w:rPr>
        <w:footnoteReference w:id="27"/>
      </w:r>
      <w:r>
        <w:rPr>
          <w:snapToGrid w:val="0"/>
        </w:rPr>
        <w:t xml:space="preserve">.  </w:t>
      </w:r>
    </w:p>
    <w:p w:rsidR="0037564C" w:rsidRDefault="00297FDD" w:rsidP="00E11D49">
      <w:pPr>
        <w:pStyle w:val="Heading3"/>
      </w:pPr>
      <w:bookmarkStart w:id="547" w:name="_Toc310280525"/>
      <w:r>
        <w:t>Sunscreening agents permitted as active ingredients in listed or exempt products</w:t>
      </w:r>
      <w:bookmarkEnd w:id="547"/>
    </w:p>
    <w:p w:rsidR="0037564C" w:rsidRDefault="00297FDD" w:rsidP="00297FDD">
      <w:r>
        <w:t xml:space="preserve">The only active ingredients permitted in exempt or listed sunscreens are those included in the table of </w:t>
      </w:r>
      <w:hyperlink w:anchor="SunscreenActiveListProds" w:history="1">
        <w:r w:rsidRPr="00B169D5">
          <w:rPr>
            <w:rStyle w:val="Hyperlink"/>
          </w:rPr>
          <w:t>Sun</w:t>
        </w:r>
        <w:bookmarkStart w:id="548" w:name="_Hlt51665328"/>
        <w:r w:rsidRPr="00B169D5">
          <w:rPr>
            <w:rStyle w:val="Hyperlink"/>
          </w:rPr>
          <w:t>s</w:t>
        </w:r>
        <w:bookmarkEnd w:id="548"/>
        <w:r w:rsidRPr="00B169D5">
          <w:rPr>
            <w:rStyle w:val="Hyperlink"/>
          </w:rPr>
          <w:t>cree</w:t>
        </w:r>
        <w:bookmarkStart w:id="549" w:name="_Hlt51728792"/>
        <w:r w:rsidRPr="00B169D5">
          <w:rPr>
            <w:rStyle w:val="Hyperlink"/>
          </w:rPr>
          <w:t>n</w:t>
        </w:r>
        <w:bookmarkEnd w:id="549"/>
        <w:r w:rsidRPr="00B169D5">
          <w:rPr>
            <w:rStyle w:val="Hyperlink"/>
          </w:rPr>
          <w:t>ing agents permitted as active ingredients in listed or exempt products</w:t>
        </w:r>
      </w:hyperlink>
      <w:r>
        <w:t xml:space="preserve">, within the maximum concentrations stated in the list. This list replaces the list included in the TGA publication, </w:t>
      </w:r>
      <w:r>
        <w:rPr>
          <w:i/>
        </w:rPr>
        <w:t>Listing drug products in the Australian Register of Therapeutic Goods for supply in Australia: Guidelines for applicants</w:t>
      </w:r>
      <w:r w:rsidR="00613231" w:rsidRPr="00613231">
        <w:rPr>
          <w:rStyle w:val="FootnoteReference"/>
        </w:rPr>
        <w:footnoteReference w:id="28"/>
      </w:r>
      <w:r>
        <w:t xml:space="preserve"> (pp 35 – 37).</w:t>
      </w:r>
    </w:p>
    <w:p w:rsidR="0037564C" w:rsidRDefault="00297FDD" w:rsidP="00297FDD">
      <w:r>
        <w:t xml:space="preserve">Sponsors wanting to market a product containing an active ingredient not on the list must submit data to establish the safety of the ingredient under its proposed conditions of use (see below). </w:t>
      </w:r>
    </w:p>
    <w:p w:rsidR="00297FDD" w:rsidRDefault="00297FDD" w:rsidP="00297FDD">
      <w:pPr>
        <w:pStyle w:val="Heading2"/>
      </w:pPr>
      <w:bookmarkStart w:id="550" w:name="_Hlt51666485"/>
      <w:bookmarkStart w:id="551" w:name="_Toc45684860"/>
      <w:bookmarkStart w:id="552" w:name="SunscreenNewActives"/>
      <w:bookmarkStart w:id="553" w:name="_Toc51726290"/>
      <w:bookmarkStart w:id="554" w:name="_Toc64108541"/>
      <w:bookmarkStart w:id="555" w:name="_Toc139259082"/>
      <w:bookmarkStart w:id="556" w:name="_Toc310280526"/>
      <w:bookmarkEnd w:id="550"/>
      <w:r>
        <w:t>New active ingredients in sunscreens</w:t>
      </w:r>
      <w:bookmarkEnd w:id="551"/>
      <w:bookmarkEnd w:id="552"/>
      <w:bookmarkEnd w:id="553"/>
      <w:bookmarkEnd w:id="554"/>
      <w:bookmarkEnd w:id="555"/>
      <w:bookmarkEnd w:id="556"/>
    </w:p>
    <w:p w:rsidR="0037564C" w:rsidRDefault="00297FDD" w:rsidP="00297FDD">
      <w:r>
        <w:t xml:space="preserve">Guidelines for the approval of new substances are given in Chapter 6B, </w:t>
      </w:r>
      <w:hyperlink w:anchor="_6B._New_substances" w:history="1">
        <w:r w:rsidRPr="00B169D5">
          <w:rPr>
            <w:rStyle w:val="Hyperlink"/>
          </w:rPr>
          <w:t>New su</w:t>
        </w:r>
        <w:bookmarkStart w:id="557" w:name="_Hlt45684067"/>
        <w:r w:rsidRPr="00B169D5">
          <w:rPr>
            <w:rStyle w:val="Hyperlink"/>
          </w:rPr>
          <w:t>b</w:t>
        </w:r>
        <w:bookmarkEnd w:id="557"/>
        <w:r w:rsidRPr="00B169D5">
          <w:rPr>
            <w:rStyle w:val="Hyperlink"/>
          </w:rPr>
          <w:t>st</w:t>
        </w:r>
        <w:bookmarkStart w:id="558" w:name="_Hlt51728976"/>
        <w:r w:rsidRPr="00B169D5">
          <w:rPr>
            <w:rStyle w:val="Hyperlink"/>
          </w:rPr>
          <w:t>a</w:t>
        </w:r>
        <w:bookmarkEnd w:id="558"/>
        <w:r w:rsidRPr="00B169D5">
          <w:rPr>
            <w:rStyle w:val="Hyperlink"/>
          </w:rPr>
          <w:t>nces</w:t>
        </w:r>
      </w:hyperlink>
      <w:r>
        <w:t>. This section (below) describes the specific requirements that apply to new sunscreen active ingredients and should be read in conjunction with Chapter 6B.</w:t>
      </w:r>
    </w:p>
    <w:p w:rsidR="0037564C" w:rsidRDefault="00297FDD" w:rsidP="00297FDD">
      <w:pPr>
        <w:pStyle w:val="Heading3"/>
      </w:pPr>
      <w:bookmarkStart w:id="559" w:name="_Toc310280527"/>
      <w:r>
        <w:lastRenderedPageBreak/>
        <w:t>Data requirements</w:t>
      </w:r>
      <w:bookmarkEnd w:id="559"/>
    </w:p>
    <w:p w:rsidR="0037564C" w:rsidRDefault="00297FDD" w:rsidP="00297FDD">
      <w:r>
        <w:t>The table (below) gives specific references to the relevant guidelines for the types of data that are usually required for a new sunscreen active ingredient. All EU guidelines referenced below have been adopted by the TGA.</w:t>
      </w:r>
    </w:p>
    <w:p w:rsidR="00297FDD" w:rsidRPr="006704C1" w:rsidRDefault="00297FDD" w:rsidP="00297FDD">
      <w:r>
        <w:t xml:space="preserve">The intention in specifying these guidelines is not to impose them as absolute requirements but to assist sponsors in assessing the type and depth of information needed to support an application. If a particular guideline is not applicable or other data are available that adequately address the same criteria, alternative approaches based on adequate scientific justification will be considered. </w:t>
      </w:r>
    </w:p>
    <w:p w:rsidR="00297FDD" w:rsidRDefault="00297FDD" w:rsidP="00297FDD">
      <w:pPr>
        <w:rPr>
          <w:rFonts w:asciiTheme="minorHAnsi" w:eastAsiaTheme="majorEastAsia" w:hAnsiTheme="minorHAnsi" w:cstheme="majorBidi"/>
          <w:b/>
          <w:bCs/>
          <w:sz w:val="22"/>
        </w:rPr>
      </w:pPr>
    </w:p>
    <w:tbl>
      <w:tblPr>
        <w:tblStyle w:val="TableTGA1"/>
        <w:tblW w:w="8642" w:type="dxa"/>
        <w:tblLook w:val="04A0" w:firstRow="1" w:lastRow="0" w:firstColumn="1" w:lastColumn="0" w:noHBand="0" w:noVBand="1"/>
      </w:tblPr>
      <w:tblGrid>
        <w:gridCol w:w="3048"/>
        <w:gridCol w:w="5594"/>
      </w:tblGrid>
      <w:tr w:rsidR="00297FDD" w:rsidTr="00E032B8">
        <w:trPr>
          <w:cnfStyle w:val="100000000000" w:firstRow="1" w:lastRow="0" w:firstColumn="0" w:lastColumn="0" w:oddVBand="0" w:evenVBand="0" w:oddHBand="0" w:evenHBand="0" w:firstRowFirstColumn="0" w:firstRowLastColumn="0" w:lastRowFirstColumn="0" w:lastRowLastColumn="0"/>
        </w:trPr>
        <w:tc>
          <w:tcPr>
            <w:tcW w:w="3114" w:type="dxa"/>
          </w:tcPr>
          <w:p w:rsidR="00297FDD" w:rsidRDefault="00297FDD" w:rsidP="00E032B8">
            <w:pPr>
              <w:pStyle w:val="TableHeading"/>
            </w:pPr>
            <w:r>
              <w:t>Type of data</w:t>
            </w:r>
          </w:p>
        </w:tc>
        <w:tc>
          <w:tcPr>
            <w:tcW w:w="5528" w:type="dxa"/>
          </w:tcPr>
          <w:p w:rsidR="00297FDD" w:rsidRDefault="00297FDD" w:rsidP="00E032B8">
            <w:pPr>
              <w:pStyle w:val="TableHeading"/>
            </w:pPr>
            <w:r>
              <w:t>European guidelines reference</w:t>
            </w:r>
          </w:p>
        </w:tc>
      </w:tr>
      <w:tr w:rsidR="00297FDD" w:rsidTr="00E032B8">
        <w:tc>
          <w:tcPr>
            <w:tcW w:w="3114" w:type="dxa"/>
          </w:tcPr>
          <w:p w:rsidR="00297FDD" w:rsidRDefault="00297FDD" w:rsidP="00E032B8">
            <w:r>
              <w:t>Photostability</w:t>
            </w:r>
          </w:p>
          <w:p w:rsidR="00297FDD" w:rsidRDefault="00297FDD" w:rsidP="00E032B8">
            <w:pPr>
              <w:pStyle w:val="ListBullet2"/>
            </w:pPr>
            <w:r>
              <w:t>UV absorption spectra</w:t>
            </w:r>
          </w:p>
        </w:tc>
        <w:tc>
          <w:tcPr>
            <w:tcW w:w="5528" w:type="dxa"/>
          </w:tcPr>
          <w:p w:rsidR="00297FDD" w:rsidRDefault="00297FDD" w:rsidP="00E032B8">
            <w:pPr>
              <w:spacing w:before="60"/>
            </w:pPr>
            <w:r>
              <w:rPr>
                <w:i/>
              </w:rPr>
              <w:t>Photostability testing of new active substances and medicinal products</w:t>
            </w:r>
            <w:r>
              <w:t xml:space="preserve"> (pp 157-166 of Rules 1998 (3A) – 3AQ18a)</w:t>
            </w:r>
          </w:p>
          <w:p w:rsidR="00297FDD" w:rsidRDefault="008453CD" w:rsidP="00E032B8">
            <w:hyperlink r:id="rId77" w:history="1">
              <w:r w:rsidR="004B7222">
                <w:rPr>
                  <w:rStyle w:val="Hyperlink"/>
                </w:rPr>
                <w:t>http://www.tga.gov.au/pdf/euguide/vol3aq18aen.pdf</w:t>
              </w:r>
            </w:hyperlink>
          </w:p>
        </w:tc>
      </w:tr>
      <w:tr w:rsidR="00297FDD" w:rsidTr="00E032B8">
        <w:tc>
          <w:tcPr>
            <w:tcW w:w="3114" w:type="dxa"/>
          </w:tcPr>
          <w:p w:rsidR="00297FDD" w:rsidRDefault="00297FDD" w:rsidP="00E032B8">
            <w:r>
              <w:t>Acute toxicity (oral and dermal)</w:t>
            </w:r>
          </w:p>
        </w:tc>
        <w:tc>
          <w:tcPr>
            <w:tcW w:w="5528" w:type="dxa"/>
          </w:tcPr>
          <w:p w:rsidR="00297FDD" w:rsidRDefault="00297FDD" w:rsidP="00E032B8">
            <w:pPr>
              <w:spacing w:before="60"/>
            </w:pPr>
            <w:r>
              <w:rPr>
                <w:i/>
              </w:rPr>
              <w:t>Single dose toxicity</w:t>
            </w:r>
            <w:r>
              <w:t xml:space="preserve"> (pp 3-8 of Rules 1998 (3B) – 3BS1a)</w:t>
            </w:r>
          </w:p>
          <w:p w:rsidR="00297FDD" w:rsidRDefault="008453CD" w:rsidP="00E032B8">
            <w:hyperlink r:id="rId78" w:history="1">
              <w:r w:rsidR="004B7222">
                <w:rPr>
                  <w:rStyle w:val="Hyperlink"/>
                </w:rPr>
                <w:t>http://www.tga.gov.au/pdf/euguide/vol3bs1aen.pdf</w:t>
              </w:r>
            </w:hyperlink>
          </w:p>
        </w:tc>
      </w:tr>
      <w:tr w:rsidR="00297FDD" w:rsidTr="00E032B8">
        <w:tc>
          <w:tcPr>
            <w:tcW w:w="3114" w:type="dxa"/>
          </w:tcPr>
          <w:p w:rsidR="00297FDD" w:rsidRDefault="00297FDD" w:rsidP="00E032B8">
            <w:r>
              <w:t>Local tolerance</w:t>
            </w:r>
          </w:p>
          <w:p w:rsidR="00297FDD" w:rsidRDefault="00297FDD" w:rsidP="00E032B8">
            <w:pPr>
              <w:pStyle w:val="ListBullet2"/>
            </w:pPr>
            <w:r>
              <w:t>skin irritation</w:t>
            </w:r>
          </w:p>
          <w:p w:rsidR="00297FDD" w:rsidRDefault="00297FDD" w:rsidP="00E032B8">
            <w:pPr>
              <w:pStyle w:val="ListBullet2"/>
            </w:pPr>
            <w:r>
              <w:t>phototoxicity</w:t>
            </w:r>
          </w:p>
          <w:p w:rsidR="00297FDD" w:rsidRDefault="00297FDD" w:rsidP="00E032B8">
            <w:pPr>
              <w:pStyle w:val="ListBullet2"/>
            </w:pPr>
            <w:r>
              <w:t>eye irritation</w:t>
            </w:r>
          </w:p>
        </w:tc>
        <w:tc>
          <w:tcPr>
            <w:tcW w:w="5528" w:type="dxa"/>
          </w:tcPr>
          <w:p w:rsidR="00297FDD" w:rsidRDefault="00297FDD" w:rsidP="00E032B8">
            <w:r>
              <w:rPr>
                <w:i/>
              </w:rPr>
              <w:t>Note for guidance on non-clinical local tolerance testing of medicinal products</w:t>
            </w:r>
            <w:r>
              <w:t xml:space="preserve"> (CPMP/SWP/2145/00)</w:t>
            </w:r>
            <w:r>
              <w:br/>
            </w:r>
            <w:hyperlink r:id="rId79" w:history="1">
              <w:r w:rsidR="004B7222">
                <w:rPr>
                  <w:rStyle w:val="Hyperlink"/>
                </w:rPr>
                <w:t>http://www.tga.gov.au/pdf/euguide/swp214500en.pdf</w:t>
              </w:r>
            </w:hyperlink>
          </w:p>
        </w:tc>
      </w:tr>
      <w:tr w:rsidR="00297FDD" w:rsidTr="00E032B8">
        <w:tc>
          <w:tcPr>
            <w:tcW w:w="3114" w:type="dxa"/>
          </w:tcPr>
          <w:p w:rsidR="00297FDD" w:rsidRDefault="00297FDD" w:rsidP="00E032B8">
            <w:r>
              <w:t>Allergenicity</w:t>
            </w:r>
          </w:p>
          <w:p w:rsidR="00297FDD" w:rsidRDefault="00297FDD" w:rsidP="00E032B8">
            <w:pPr>
              <w:pStyle w:val="ListBullet2"/>
            </w:pPr>
            <w:r>
              <w:t>skin sensitisation</w:t>
            </w:r>
          </w:p>
          <w:p w:rsidR="00297FDD" w:rsidRDefault="00297FDD" w:rsidP="00E032B8">
            <w:pPr>
              <w:pStyle w:val="ListBullet2"/>
            </w:pPr>
            <w:r>
              <w:t>photosensitisation</w:t>
            </w:r>
          </w:p>
        </w:tc>
        <w:tc>
          <w:tcPr>
            <w:tcW w:w="5528" w:type="dxa"/>
          </w:tcPr>
          <w:p w:rsidR="00297FDD" w:rsidRDefault="00297FDD" w:rsidP="00E032B8">
            <w:r>
              <w:rPr>
                <w:i/>
              </w:rPr>
              <w:t>Note for guidance on non-clinical local tolerance testing of medicinal products</w:t>
            </w:r>
            <w:r>
              <w:t xml:space="preserve"> (CPMP/SWP/2145/00)</w:t>
            </w:r>
            <w:r>
              <w:br/>
            </w:r>
            <w:hyperlink r:id="rId80" w:history="1">
              <w:r w:rsidR="004B7222">
                <w:rPr>
                  <w:rStyle w:val="Hyperlink"/>
                </w:rPr>
                <w:t>http://www.tga.gov.au/pdf/euguide/swp214500en.pdf</w:t>
              </w:r>
            </w:hyperlink>
          </w:p>
        </w:tc>
      </w:tr>
      <w:tr w:rsidR="00297FDD" w:rsidTr="00E032B8">
        <w:tc>
          <w:tcPr>
            <w:tcW w:w="3114" w:type="dxa"/>
          </w:tcPr>
          <w:p w:rsidR="00297FDD" w:rsidRDefault="00297FDD" w:rsidP="00E032B8">
            <w:pPr>
              <w:spacing w:before="60"/>
            </w:pPr>
            <w:r>
              <w:t xml:space="preserve">Toxicokinetics </w:t>
            </w:r>
            <w:r w:rsidR="00613231" w:rsidRPr="00613231">
              <w:rPr>
                <w:vertAlign w:val="superscript"/>
              </w:rPr>
              <w:t>a</w:t>
            </w:r>
          </w:p>
          <w:p w:rsidR="00297FDD" w:rsidRDefault="00297FDD" w:rsidP="00E032B8">
            <w:pPr>
              <w:pStyle w:val="ListBullet2"/>
            </w:pPr>
            <w:r>
              <w:t>oral &amp; dermal bioavailability (exposure)</w:t>
            </w:r>
          </w:p>
          <w:p w:rsidR="00297FDD" w:rsidRDefault="00297FDD" w:rsidP="00E032B8">
            <w:pPr>
              <w:pStyle w:val="ListBullet2"/>
            </w:pPr>
            <w:r>
              <w:t>ADME studies</w:t>
            </w:r>
          </w:p>
        </w:tc>
        <w:tc>
          <w:tcPr>
            <w:tcW w:w="5528" w:type="dxa"/>
          </w:tcPr>
          <w:p w:rsidR="00297FDD" w:rsidRDefault="00297FDD" w:rsidP="00E032B8">
            <w:pPr>
              <w:spacing w:before="60"/>
            </w:pPr>
            <w:r>
              <w:rPr>
                <w:i/>
              </w:rPr>
              <w:t>Repeated dose tissue distribution studies</w:t>
            </w:r>
            <w:r>
              <w:t xml:space="preserve"> (pp 21-24 of Rules 1998 (3B) – 3BS3a)</w:t>
            </w:r>
            <w:r>
              <w:br/>
            </w:r>
            <w:hyperlink r:id="rId81" w:history="1">
              <w:r w:rsidR="004B7222">
                <w:rPr>
                  <w:rStyle w:val="Hyperlink"/>
                </w:rPr>
                <w:t>http://www.tga.gov.au/pdf/euguide/vol3bs3aen.pdf</w:t>
              </w:r>
            </w:hyperlink>
            <w:r>
              <w:rPr>
                <w:color w:val="800080"/>
                <w:u w:val="single"/>
              </w:rPr>
              <w:t xml:space="preserve"> </w:t>
            </w:r>
            <w:r>
              <w:t xml:space="preserve"> </w:t>
            </w:r>
          </w:p>
          <w:p w:rsidR="00297FDD" w:rsidRDefault="00297FDD" w:rsidP="00E032B8">
            <w:r>
              <w:rPr>
                <w:i/>
              </w:rPr>
              <w:t>The assessment of systemic exposure in toxicity studies</w:t>
            </w:r>
            <w:r>
              <w:br/>
              <w:t>(pp 89-101 of Rules 1998 (3B) – 3BS10a)</w:t>
            </w:r>
          </w:p>
          <w:p w:rsidR="00297FDD" w:rsidRDefault="008453CD" w:rsidP="00E032B8">
            <w:hyperlink r:id="rId82" w:history="1">
              <w:r w:rsidR="004B7222">
                <w:rPr>
                  <w:rStyle w:val="Hyperlink"/>
                </w:rPr>
                <w:t>http://www.tga.gov.au/pdf/euguide/vol3bs10aen.pdf</w:t>
              </w:r>
            </w:hyperlink>
            <w:r w:rsidR="00297FDD">
              <w:t xml:space="preserve">  </w:t>
            </w:r>
          </w:p>
          <w:p w:rsidR="00297FDD" w:rsidRDefault="00297FDD" w:rsidP="00E032B8">
            <w:r>
              <w:rPr>
                <w:i/>
              </w:rPr>
              <w:t>Pharmacokinetics and metabolic studies in the safety evaluation of new medicinal products in animals</w:t>
            </w:r>
            <w:r>
              <w:t xml:space="preserve"> (pp 103-106 of Rules 1998 (3B) – 3BS11a)</w:t>
            </w:r>
            <w:r>
              <w:br/>
            </w:r>
            <w:hyperlink r:id="rId83" w:history="1">
              <w:r w:rsidR="004B7222">
                <w:rPr>
                  <w:rStyle w:val="Hyperlink"/>
                </w:rPr>
                <w:t>http://www.tga.gov.au/pdf/euguide/vol3bs11aen.pdf</w:t>
              </w:r>
            </w:hyperlink>
            <w:r>
              <w:t xml:space="preserve">  </w:t>
            </w:r>
          </w:p>
        </w:tc>
      </w:tr>
      <w:tr w:rsidR="00297FDD" w:rsidTr="00E032B8">
        <w:tc>
          <w:tcPr>
            <w:tcW w:w="3114" w:type="dxa"/>
          </w:tcPr>
          <w:p w:rsidR="00297FDD" w:rsidRDefault="00297FDD" w:rsidP="00E032B8">
            <w:r>
              <w:t>Repeat dose toxicity (oral &amp; dermal) – 3 to 6 months data</w:t>
            </w:r>
          </w:p>
        </w:tc>
        <w:tc>
          <w:tcPr>
            <w:tcW w:w="5528" w:type="dxa"/>
          </w:tcPr>
          <w:p w:rsidR="00297FDD" w:rsidRDefault="00297FDD" w:rsidP="00E032B8">
            <w:pPr>
              <w:spacing w:before="60"/>
            </w:pPr>
            <w:r>
              <w:rPr>
                <w:i/>
              </w:rPr>
              <w:t>Note for guidance on repeated dose toxicity</w:t>
            </w:r>
            <w:r>
              <w:t xml:space="preserve"> (CPMP/SWP/1042/99)</w:t>
            </w:r>
            <w:r>
              <w:br/>
            </w:r>
            <w:hyperlink r:id="rId84" w:history="1">
              <w:r w:rsidR="004B7222">
                <w:rPr>
                  <w:rStyle w:val="Hyperlink"/>
                </w:rPr>
                <w:t>http://www.tga.gov.au/pdf/euguide/swp104299en.pdf</w:t>
              </w:r>
            </w:hyperlink>
            <w:r>
              <w:t xml:space="preserve">  </w:t>
            </w:r>
          </w:p>
          <w:p w:rsidR="00297FDD" w:rsidRDefault="00297FDD" w:rsidP="00E032B8">
            <w:r>
              <w:rPr>
                <w:b/>
              </w:rPr>
              <w:t>See also:</w:t>
            </w:r>
            <w:r>
              <w:t xml:space="preserve"> </w:t>
            </w:r>
            <w:r>
              <w:rPr>
                <w:i/>
              </w:rPr>
              <w:t>Note for guidance on duration of chronic toxicity testing in animals (rodent and non-rodent toxicity testing)</w:t>
            </w:r>
            <w:r>
              <w:t xml:space="preserve"> (CPMP/SWP/300/95)</w:t>
            </w:r>
            <w:r>
              <w:br/>
            </w:r>
            <w:r w:rsidR="00FA2C29">
              <w:lastRenderedPageBreak/>
              <w:t>http://</w:t>
            </w:r>
            <w:r w:rsidRPr="00FA2C29">
              <w:t>ww.tga.gov.au/docs/pdf/euguide/ich/030095entga.pdf</w:t>
            </w:r>
          </w:p>
        </w:tc>
      </w:tr>
      <w:tr w:rsidR="00297FDD" w:rsidTr="00E032B8">
        <w:tc>
          <w:tcPr>
            <w:tcW w:w="3114" w:type="dxa"/>
          </w:tcPr>
          <w:p w:rsidR="00297FDD" w:rsidRDefault="00297FDD" w:rsidP="00E032B8">
            <w:r>
              <w:lastRenderedPageBreak/>
              <w:t xml:space="preserve">Genotoxicity </w:t>
            </w:r>
            <w:r w:rsidR="00613231" w:rsidRPr="00613231">
              <w:rPr>
                <w:vertAlign w:val="superscript"/>
              </w:rPr>
              <w:t>b</w:t>
            </w:r>
          </w:p>
          <w:p w:rsidR="00297FDD" w:rsidRPr="0048741E" w:rsidRDefault="00297FDD" w:rsidP="00E032B8">
            <w:r>
              <w:t xml:space="preserve">photomutagenicity </w:t>
            </w:r>
          </w:p>
        </w:tc>
        <w:tc>
          <w:tcPr>
            <w:tcW w:w="5528" w:type="dxa"/>
          </w:tcPr>
          <w:p w:rsidR="00297FDD" w:rsidRDefault="00297FDD" w:rsidP="00E032B8">
            <w:pPr>
              <w:spacing w:before="60"/>
            </w:pPr>
            <w:r>
              <w:rPr>
                <w:i/>
              </w:rPr>
              <w:t>Testing of medicinal products for their mutagenic potential</w:t>
            </w:r>
            <w:r>
              <w:t xml:space="preserve"> (pp 45-50 of Rules 1998 (3B) – 3BS5a)</w:t>
            </w:r>
            <w:r>
              <w:br/>
            </w:r>
            <w:hyperlink r:id="rId85" w:history="1">
              <w:r w:rsidR="00FA2C29">
                <w:rPr>
                  <w:rStyle w:val="Hyperlink"/>
                </w:rPr>
                <w:t>http://www.tga.gov.au/pdf/euguide/vol3bs5aen.pdf</w:t>
              </w:r>
            </w:hyperlink>
            <w:r>
              <w:rPr>
                <w:color w:val="800080"/>
                <w:u w:val="single"/>
              </w:rPr>
              <w:t xml:space="preserve"> </w:t>
            </w:r>
            <w:r>
              <w:t xml:space="preserve"> </w:t>
            </w:r>
          </w:p>
          <w:p w:rsidR="00297FDD" w:rsidRDefault="00297FDD" w:rsidP="00E032B8">
            <w:r>
              <w:rPr>
                <w:i/>
              </w:rPr>
              <w:t>Genotoxicity: Specific aspects of regulatory genotoxicity tests for pharmaceuticals</w:t>
            </w:r>
            <w:r>
              <w:t xml:space="preserve"> (pp 51-62 of Rules 1998 (3B) – 3BS6a)</w:t>
            </w:r>
            <w:r>
              <w:br/>
            </w:r>
            <w:hyperlink r:id="rId86" w:history="1">
              <w:r w:rsidR="00FA2C29">
                <w:rPr>
                  <w:rStyle w:val="Hyperlink"/>
                </w:rPr>
                <w:t>http://www.tga.gov.au/pdf/euguide/vol3bs6aen.pdf</w:t>
              </w:r>
            </w:hyperlink>
            <w:r>
              <w:t xml:space="preserve"> </w:t>
            </w:r>
          </w:p>
          <w:p w:rsidR="00297FDD" w:rsidRPr="00CC7886" w:rsidRDefault="00297FDD" w:rsidP="00E032B8">
            <w:r>
              <w:rPr>
                <w:i/>
              </w:rPr>
              <w:t>Note for guidance on genotoxicity: A standard battery for genotoxicity testing of pharmaceuticals</w:t>
            </w:r>
            <w:r>
              <w:t xml:space="preserve"> (CPMP/ICH/174/95)</w:t>
            </w:r>
            <w:r>
              <w:br/>
            </w:r>
            <w:hyperlink r:id="rId87" w:history="1">
              <w:r w:rsidR="00FA2C29">
                <w:rPr>
                  <w:rStyle w:val="Hyperlink"/>
                </w:rPr>
                <w:t>http://www.tga.gov.au/pdf/euguide/ich017495en.pdf</w:t>
              </w:r>
            </w:hyperlink>
          </w:p>
        </w:tc>
      </w:tr>
      <w:tr w:rsidR="00297FDD" w:rsidTr="00E032B8">
        <w:tc>
          <w:tcPr>
            <w:tcW w:w="3114" w:type="dxa"/>
          </w:tcPr>
          <w:p w:rsidR="00297FDD" w:rsidRDefault="00297FDD" w:rsidP="00E032B8">
            <w:pPr>
              <w:spacing w:before="60"/>
            </w:pPr>
            <w:r>
              <w:t xml:space="preserve">Reproductive toxicity </w:t>
            </w:r>
            <w:r w:rsidR="00613231" w:rsidRPr="00613231">
              <w:rPr>
                <w:vertAlign w:val="superscript"/>
              </w:rPr>
              <w:t>c, e</w:t>
            </w:r>
            <w:r>
              <w:t xml:space="preserve"> </w:t>
            </w:r>
          </w:p>
        </w:tc>
        <w:tc>
          <w:tcPr>
            <w:tcW w:w="5528" w:type="dxa"/>
          </w:tcPr>
          <w:p w:rsidR="00297FDD" w:rsidRPr="00CC7886" w:rsidRDefault="00297FDD" w:rsidP="00E032B8">
            <w:r>
              <w:rPr>
                <w:i/>
              </w:rPr>
              <w:t>Detection of toxicity to reproduction for medicinal products including toxicity to male fertility</w:t>
            </w:r>
            <w:r>
              <w:t xml:space="preserve"> (pp 25-44 of Rules 1998 (3B) – 3BS4a)</w:t>
            </w:r>
            <w:r>
              <w:br/>
            </w:r>
            <w:hyperlink r:id="rId88" w:history="1">
              <w:r w:rsidR="00FA2C29">
                <w:rPr>
                  <w:rStyle w:val="Hyperlink"/>
                </w:rPr>
                <w:t>http://www.tga.gov.au/pdf/euguide/vol3bs4aen.pdf</w:t>
              </w:r>
            </w:hyperlink>
            <w:r>
              <w:t xml:space="preserve">  </w:t>
            </w:r>
          </w:p>
        </w:tc>
      </w:tr>
      <w:tr w:rsidR="00297FDD" w:rsidTr="00E032B8">
        <w:tc>
          <w:tcPr>
            <w:tcW w:w="3114" w:type="dxa"/>
          </w:tcPr>
          <w:p w:rsidR="00297FDD" w:rsidRDefault="00297FDD" w:rsidP="00E032B8">
            <w:r>
              <w:t xml:space="preserve">Carcinogenicity </w:t>
            </w:r>
            <w:r w:rsidR="00613231" w:rsidRPr="00613231">
              <w:rPr>
                <w:vertAlign w:val="superscript"/>
              </w:rPr>
              <w:t>d</w:t>
            </w:r>
          </w:p>
          <w:p w:rsidR="00297FDD" w:rsidRPr="0048741E" w:rsidRDefault="00297FDD" w:rsidP="00E032B8">
            <w:r>
              <w:t>photocarcinogenicity</w:t>
            </w:r>
          </w:p>
        </w:tc>
        <w:tc>
          <w:tcPr>
            <w:tcW w:w="5528" w:type="dxa"/>
          </w:tcPr>
          <w:p w:rsidR="00297FDD" w:rsidRPr="00CC7886" w:rsidRDefault="00297FDD" w:rsidP="00E032B8">
            <w:r>
              <w:rPr>
                <w:i/>
              </w:rPr>
              <w:t>Carcinogenic potential</w:t>
            </w:r>
            <w:r>
              <w:t xml:space="preserve"> (pp 63-67 of Rules 1998 (3B) – 3BS7a)</w:t>
            </w:r>
            <w:r>
              <w:br/>
            </w:r>
            <w:bookmarkStart w:id="560" w:name="_Hlt40761093"/>
            <w:r w:rsidR="00FA2C29" w:rsidRPr="00FA2C29">
              <w:t>http://</w:t>
            </w:r>
            <w:r w:rsidRPr="00FA2C29">
              <w:t>w</w:t>
            </w:r>
            <w:bookmarkEnd w:id="560"/>
            <w:r w:rsidRPr="00FA2C29">
              <w:t>w.tga.gov.au/docs/pdf/euguide/vol3b/3bs7aen.pdf</w:t>
            </w:r>
            <w:r>
              <w:t xml:space="preserve">  </w:t>
            </w:r>
          </w:p>
        </w:tc>
      </w:tr>
      <w:tr w:rsidR="00297FDD" w:rsidTr="00E032B8">
        <w:tc>
          <w:tcPr>
            <w:tcW w:w="3114" w:type="dxa"/>
          </w:tcPr>
          <w:p w:rsidR="00297FDD" w:rsidRPr="0048741E" w:rsidRDefault="00297FDD" w:rsidP="00E032B8">
            <w:r>
              <w:t>Interaction potential</w:t>
            </w:r>
          </w:p>
        </w:tc>
        <w:tc>
          <w:tcPr>
            <w:tcW w:w="5528" w:type="dxa"/>
          </w:tcPr>
          <w:p w:rsidR="00297FDD" w:rsidRPr="00CC7886" w:rsidRDefault="00297FDD" w:rsidP="00E032B8">
            <w:r>
              <w:t>Since sunscreen formulations usually contain more than one active ingredient, data on the potential for interaction of the new substance with other UV filters will usually need to be provided.</w:t>
            </w:r>
          </w:p>
        </w:tc>
      </w:tr>
    </w:tbl>
    <w:p w:rsidR="00E11D49" w:rsidRPr="00E11D49" w:rsidRDefault="00E11D49" w:rsidP="00E11D49">
      <w:pPr>
        <w:pStyle w:val="Notes"/>
        <w:ind w:left="284"/>
        <w:rPr>
          <w:i/>
        </w:rPr>
      </w:pPr>
    </w:p>
    <w:p w:rsidR="00297FDD" w:rsidRPr="00BF4A32" w:rsidRDefault="00297FDD" w:rsidP="00297FDD">
      <w:pPr>
        <w:pStyle w:val="Notes"/>
        <w:numPr>
          <w:ilvl w:val="0"/>
          <w:numId w:val="20"/>
        </w:numPr>
        <w:ind w:left="284" w:hanging="284"/>
        <w:rPr>
          <w:rFonts w:ascii="Cambria" w:hAnsi="Cambria"/>
          <w:sz w:val="20"/>
        </w:rPr>
      </w:pPr>
      <w:r w:rsidRPr="00BF4A32">
        <w:rPr>
          <w:rFonts w:ascii="Cambria" w:hAnsi="Cambria"/>
          <w:sz w:val="20"/>
        </w:rPr>
        <w:t>An in vivo determination of dermal and oral absorption is needed to establish systemic exposure via both routes and to enable interpretation of the toxicity studies.</w:t>
      </w:r>
    </w:p>
    <w:p w:rsidR="00297FDD" w:rsidRPr="00BF4A32" w:rsidRDefault="00297FDD" w:rsidP="00297FDD">
      <w:pPr>
        <w:pStyle w:val="Notes"/>
        <w:numPr>
          <w:ilvl w:val="0"/>
          <w:numId w:val="20"/>
        </w:numPr>
        <w:ind w:left="284" w:hanging="284"/>
        <w:rPr>
          <w:rFonts w:ascii="Cambria" w:hAnsi="Cambria"/>
          <w:sz w:val="20"/>
        </w:rPr>
      </w:pPr>
      <w:r w:rsidRPr="00BF4A32">
        <w:rPr>
          <w:rFonts w:ascii="Cambria" w:hAnsi="Cambria"/>
          <w:sz w:val="20"/>
        </w:rPr>
        <w:t>Genotoxicity testing in bacterial and mammalian cell lines, photomutagenicity test in bacteria, photomutagenicity in a chromosomal aberration test and an in vivo chromosome aberration assay.</w:t>
      </w:r>
    </w:p>
    <w:p w:rsidR="00297FDD" w:rsidRPr="00BF4A32" w:rsidRDefault="00297FDD" w:rsidP="00297FDD">
      <w:pPr>
        <w:pStyle w:val="Notes"/>
        <w:numPr>
          <w:ilvl w:val="0"/>
          <w:numId w:val="20"/>
        </w:numPr>
        <w:ind w:left="284" w:hanging="284"/>
        <w:rPr>
          <w:rFonts w:ascii="Cambria" w:hAnsi="Cambria"/>
          <w:sz w:val="20"/>
        </w:rPr>
      </w:pPr>
      <w:r w:rsidRPr="00BF4A32">
        <w:rPr>
          <w:rFonts w:ascii="Cambria" w:hAnsi="Cambria"/>
          <w:sz w:val="20"/>
        </w:rPr>
        <w:t>For assessment of developmental and fertility effects</w:t>
      </w:r>
    </w:p>
    <w:p w:rsidR="00297FDD" w:rsidRPr="00BF4A32" w:rsidRDefault="00297FDD" w:rsidP="00297FDD">
      <w:pPr>
        <w:pStyle w:val="Notes"/>
        <w:numPr>
          <w:ilvl w:val="0"/>
          <w:numId w:val="20"/>
        </w:numPr>
        <w:ind w:left="284" w:hanging="284"/>
        <w:rPr>
          <w:rFonts w:ascii="Cambria" w:hAnsi="Cambria"/>
          <w:sz w:val="20"/>
        </w:rPr>
      </w:pPr>
      <w:r w:rsidRPr="00BF4A32">
        <w:rPr>
          <w:rFonts w:ascii="Cambria" w:hAnsi="Cambria"/>
          <w:sz w:val="20"/>
        </w:rPr>
        <w:t>In vivo carcinogenicity and photocarcinogenicity bioassay or a justification for not providing these studies (see below).</w:t>
      </w:r>
    </w:p>
    <w:p w:rsidR="0037564C" w:rsidRDefault="00297FDD" w:rsidP="00297FDD">
      <w:pPr>
        <w:pStyle w:val="Notes"/>
        <w:numPr>
          <w:ilvl w:val="0"/>
          <w:numId w:val="20"/>
        </w:numPr>
        <w:ind w:left="284" w:hanging="284"/>
        <w:rPr>
          <w:rFonts w:ascii="Cambria" w:hAnsi="Cambria"/>
          <w:sz w:val="20"/>
        </w:rPr>
      </w:pPr>
      <w:r w:rsidRPr="00BF4A32">
        <w:rPr>
          <w:rFonts w:ascii="Cambria" w:hAnsi="Cambria"/>
          <w:sz w:val="20"/>
        </w:rPr>
        <w:t>Endocrine disruption potential needs to be addressed. This could be examined during the repeat-dose toxicity and/or reproductive toxicity studies.</w:t>
      </w:r>
    </w:p>
    <w:p w:rsidR="00BF4A32" w:rsidRPr="00BF4A32" w:rsidRDefault="00BF4A32" w:rsidP="00BF4A32">
      <w:pPr>
        <w:pStyle w:val="Notes"/>
        <w:ind w:left="284"/>
        <w:rPr>
          <w:rFonts w:ascii="Cambria" w:hAnsi="Cambria"/>
          <w:sz w:val="20"/>
        </w:rPr>
      </w:pPr>
    </w:p>
    <w:p w:rsidR="0037564C" w:rsidRDefault="00297FDD" w:rsidP="00297FDD">
      <w:r>
        <w:t>Relevant human studies are acceptable in the assessment of potential skin irritation and sensitisation using the repeat insult patch test or other relevant validated tests.</w:t>
      </w:r>
    </w:p>
    <w:p w:rsidR="0037564C" w:rsidRDefault="00297FDD" w:rsidP="00297FDD">
      <w:pPr>
        <w:pStyle w:val="Heading3"/>
      </w:pPr>
      <w:bookmarkStart w:id="561" w:name="_Toc310280528"/>
      <w:r>
        <w:t>Justification for not providing particular studies</w:t>
      </w:r>
      <w:bookmarkEnd w:id="561"/>
    </w:p>
    <w:p w:rsidR="0037564C" w:rsidRDefault="00297FDD" w:rsidP="00297FDD">
      <w:r>
        <w:t xml:space="preserve">In circumstances where particular tests specified in the table above are not feasible or appropriate, sponsors should submit a justification, based on sound scientific argument, for not including these tests in the dossier. </w:t>
      </w:r>
    </w:p>
    <w:p w:rsidR="0037564C" w:rsidRDefault="00297FDD" w:rsidP="00297FDD">
      <w:r>
        <w:t xml:space="preserve">In the case of </w:t>
      </w:r>
      <w:r>
        <w:rPr>
          <w:i/>
        </w:rPr>
        <w:t>in vivo</w:t>
      </w:r>
      <w:r>
        <w:t xml:space="preserve"> carcinogenicity bioassays, a justification for not including long-term studies could be based around issues such as:</w:t>
      </w:r>
    </w:p>
    <w:p w:rsidR="00297FDD" w:rsidRDefault="00297FDD" w:rsidP="00297FDD">
      <w:pPr>
        <w:pStyle w:val="ListBullet"/>
        <w:rPr>
          <w:snapToGrid w:val="0"/>
        </w:rPr>
      </w:pPr>
      <w:r>
        <w:rPr>
          <w:snapToGrid w:val="0"/>
        </w:rPr>
        <w:t>the expected pattern of use (identify possible low exposure);</w:t>
      </w:r>
    </w:p>
    <w:p w:rsidR="00297FDD" w:rsidRDefault="00297FDD" w:rsidP="00297FDD">
      <w:pPr>
        <w:pStyle w:val="ListBullet"/>
        <w:rPr>
          <w:snapToGrid w:val="0"/>
        </w:rPr>
      </w:pPr>
      <w:r>
        <w:rPr>
          <w:snapToGrid w:val="0"/>
        </w:rPr>
        <w:lastRenderedPageBreak/>
        <w:t>results of mutagenicity studies;</w:t>
      </w:r>
    </w:p>
    <w:p w:rsidR="00297FDD" w:rsidRDefault="00297FDD" w:rsidP="00297FDD">
      <w:pPr>
        <w:pStyle w:val="ListBullet"/>
        <w:rPr>
          <w:snapToGrid w:val="0"/>
        </w:rPr>
      </w:pPr>
      <w:r>
        <w:rPr>
          <w:snapToGrid w:val="0"/>
        </w:rPr>
        <w:t>lack of similarity to other molecules with known carcinogenic activity;</w:t>
      </w:r>
    </w:p>
    <w:p w:rsidR="00297FDD" w:rsidRDefault="00297FDD" w:rsidP="00297FDD">
      <w:pPr>
        <w:pStyle w:val="ListBullet"/>
        <w:rPr>
          <w:snapToGrid w:val="0"/>
        </w:rPr>
      </w:pPr>
      <w:r>
        <w:rPr>
          <w:snapToGrid w:val="0"/>
        </w:rPr>
        <w:t>low persistence in the skin ;</w:t>
      </w:r>
    </w:p>
    <w:p w:rsidR="00297FDD" w:rsidRDefault="00297FDD" w:rsidP="00297FDD">
      <w:pPr>
        <w:pStyle w:val="ListBullet"/>
        <w:rPr>
          <w:snapToGrid w:val="0"/>
        </w:rPr>
      </w:pPr>
      <w:r>
        <w:rPr>
          <w:snapToGrid w:val="0"/>
        </w:rPr>
        <w:t xml:space="preserve">low </w:t>
      </w:r>
      <w:r>
        <w:rPr>
          <w:i/>
          <w:snapToGrid w:val="0"/>
        </w:rPr>
        <w:t>in vivo</w:t>
      </w:r>
      <w:r>
        <w:rPr>
          <w:snapToGrid w:val="0"/>
        </w:rPr>
        <w:t xml:space="preserve"> absorption;</w:t>
      </w:r>
    </w:p>
    <w:p w:rsidR="00297FDD" w:rsidRDefault="00297FDD" w:rsidP="00297FDD">
      <w:pPr>
        <w:pStyle w:val="ListBullet"/>
        <w:rPr>
          <w:snapToGrid w:val="0"/>
        </w:rPr>
      </w:pPr>
      <w:r>
        <w:rPr>
          <w:snapToGrid w:val="0"/>
        </w:rPr>
        <w:t>lack of photosensitisation or phototoxic potential;</w:t>
      </w:r>
    </w:p>
    <w:p w:rsidR="00297FDD" w:rsidRDefault="00297FDD" w:rsidP="00297FDD">
      <w:pPr>
        <w:pStyle w:val="ListBullet"/>
        <w:rPr>
          <w:snapToGrid w:val="0"/>
        </w:rPr>
      </w:pPr>
      <w:r>
        <w:rPr>
          <w:snapToGrid w:val="0"/>
        </w:rPr>
        <w:t>proven photostability;</w:t>
      </w:r>
    </w:p>
    <w:p w:rsidR="00297FDD" w:rsidRDefault="00297FDD" w:rsidP="00297FDD">
      <w:pPr>
        <w:pStyle w:val="ListBullet"/>
        <w:rPr>
          <w:snapToGrid w:val="0"/>
        </w:rPr>
      </w:pPr>
      <w:r>
        <w:rPr>
          <w:snapToGrid w:val="0"/>
        </w:rPr>
        <w:t>lack of possible adverse effects on the skin (change to epidermis/dermis);</w:t>
      </w:r>
    </w:p>
    <w:p w:rsidR="0037564C" w:rsidRDefault="00297FDD" w:rsidP="00297FDD">
      <w:pPr>
        <w:pStyle w:val="ListBullet"/>
        <w:rPr>
          <w:snapToGrid w:val="0"/>
        </w:rPr>
      </w:pPr>
      <w:r>
        <w:rPr>
          <w:snapToGrid w:val="0"/>
        </w:rPr>
        <w:t>length of submitted repeat dose toxicity studies.</w:t>
      </w:r>
    </w:p>
    <w:p w:rsidR="0037564C" w:rsidRDefault="0037564C" w:rsidP="00297FDD">
      <w:pPr>
        <w:pStyle w:val="BodytextARGOM"/>
        <w:rPr>
          <w:snapToGrid w:val="0"/>
          <w:lang w:eastAsia="en-US"/>
        </w:rPr>
      </w:pPr>
    </w:p>
    <w:p w:rsidR="00E11D49" w:rsidRDefault="00E11D49" w:rsidP="00297FDD">
      <w:pPr>
        <w:pStyle w:val="BodytextARGOM"/>
        <w:rPr>
          <w:snapToGrid w:val="0"/>
          <w:lang w:eastAsia="en-US"/>
        </w:rPr>
      </w:pPr>
    </w:p>
    <w:p w:rsidR="0037564C" w:rsidRDefault="00297FDD" w:rsidP="00297FDD">
      <w:pPr>
        <w:pStyle w:val="Heading3"/>
      </w:pPr>
      <w:bookmarkStart w:id="562" w:name="_Toc310280529"/>
      <w:r>
        <w:t>Related studies</w:t>
      </w:r>
      <w:bookmarkEnd w:id="562"/>
    </w:p>
    <w:p w:rsidR="0037564C" w:rsidRDefault="00297FDD" w:rsidP="00297FDD">
      <w:r>
        <w:t>Other studies that are not currently referenced in EC guidelines may be useful in supporting particular applications. Reference to these studies is included only as a guide. They will not be relevant in all cases, nor should they be seen as a complete list of relevant studies.</w:t>
      </w:r>
    </w:p>
    <w:p w:rsidR="0037564C" w:rsidRDefault="00297FDD" w:rsidP="00297FDD">
      <w:r>
        <w:t>The following studies may be useful in providing information on the potential of a substance to cause tumours in people:</w:t>
      </w:r>
    </w:p>
    <w:p w:rsidR="00297FDD" w:rsidRDefault="00297FDD" w:rsidP="00297FDD">
      <w:pPr>
        <w:pStyle w:val="ListBullet"/>
      </w:pPr>
      <w:r>
        <w:t>Studies using a transgenic mouse model to test exposure to the substance (the transgenic mouse is heterozygous for the p53 suppressor gene and tumours develop in a relatively short time frame (6 months) in this strain of mouse)</w:t>
      </w:r>
      <w:r w:rsidR="00613231" w:rsidRPr="00613231">
        <w:rPr>
          <w:rStyle w:val="FootnoteReference"/>
        </w:rPr>
        <w:footnoteReference w:id="29"/>
      </w:r>
      <w:r>
        <w:t xml:space="preserve">;   </w:t>
      </w:r>
    </w:p>
    <w:p w:rsidR="00297FDD" w:rsidRDefault="00297FDD" w:rsidP="00297FDD">
      <w:pPr>
        <w:pStyle w:val="ListBullet"/>
      </w:pPr>
      <w:r>
        <w:rPr>
          <w:i/>
        </w:rPr>
        <w:t>In vitro</w:t>
      </w:r>
      <w:r>
        <w:t xml:space="preserve"> human dermal cell cultures exposed to the substance</w:t>
      </w:r>
      <w:r w:rsidR="00613231" w:rsidRPr="00613231">
        <w:rPr>
          <w:rStyle w:val="FootnoteReference"/>
        </w:rPr>
        <w:footnoteReference w:id="30"/>
      </w:r>
      <w:r>
        <w:t>;</w:t>
      </w:r>
    </w:p>
    <w:p w:rsidR="0037564C" w:rsidRDefault="00297FDD" w:rsidP="00297FDD">
      <w:pPr>
        <w:pStyle w:val="ListBullet"/>
      </w:pPr>
      <w:r>
        <w:rPr>
          <w:i/>
        </w:rPr>
        <w:t>In vitro</w:t>
      </w:r>
      <w:r>
        <w:t xml:space="preserve"> human dermal tumour cell cultures exposed to the substance</w:t>
      </w:r>
      <w:r w:rsidR="00613231" w:rsidRPr="00613231">
        <w:rPr>
          <w:vertAlign w:val="superscript"/>
        </w:rPr>
        <w:t>5</w:t>
      </w:r>
      <w:r>
        <w:t>.</w:t>
      </w:r>
    </w:p>
    <w:p w:rsidR="0037564C" w:rsidRDefault="00297FDD" w:rsidP="00297FDD">
      <w:r>
        <w:t>The following references may be useful in justifying the use of ingredients with a potential for skin corrosion/irritation:</w:t>
      </w:r>
    </w:p>
    <w:p w:rsidR="00297FDD" w:rsidRDefault="00297FDD" w:rsidP="00297FDD">
      <w:pPr>
        <w:pStyle w:val="ListBullet"/>
      </w:pPr>
      <w:r>
        <w:t xml:space="preserve">Non-animal testing strategies for assessment of the skin corrosion and skin irritation potential of ingredients and finished products; M K Robinson </w:t>
      </w:r>
      <w:r>
        <w:rPr>
          <w:i/>
        </w:rPr>
        <w:t>et al</w:t>
      </w:r>
      <w:r>
        <w:t xml:space="preserve">; Food and Chemical Toxicology, 40(5), pp 573-592, 2002. </w:t>
      </w:r>
    </w:p>
    <w:p w:rsidR="00297FDD" w:rsidRDefault="00297FDD" w:rsidP="00297FDD">
      <w:pPr>
        <w:pStyle w:val="ListBullet"/>
      </w:pPr>
      <w:r>
        <w:t xml:space="preserve">OECD/OCDE, Draft TG431, March 2002, OECD Guidelines for the testing of chemicals; </w:t>
      </w:r>
      <w:r>
        <w:rPr>
          <w:i/>
        </w:rPr>
        <w:t>in vitro</w:t>
      </w:r>
      <w:r>
        <w:t xml:space="preserve"> skin corrosion: human skin model test. </w:t>
      </w:r>
    </w:p>
    <w:p w:rsidR="0037564C" w:rsidRDefault="00297FDD" w:rsidP="00297FDD">
      <w:pPr>
        <w:pStyle w:val="Heading3"/>
      </w:pPr>
      <w:bookmarkStart w:id="563" w:name="_Toc310280530"/>
      <w:r>
        <w:t>Chemistry requirements</w:t>
      </w:r>
      <w:bookmarkEnd w:id="563"/>
    </w:p>
    <w:p w:rsidR="0037564C" w:rsidRDefault="00297FDD" w:rsidP="00297FDD">
      <w:r>
        <w:t xml:space="preserve">In addition to the requirements stated in Chapter 4B, </w:t>
      </w:r>
      <w:hyperlink w:anchor="_4B._Formulation" w:history="1">
        <w:r w:rsidRPr="00B169D5">
          <w:rPr>
            <w:rStyle w:val="Hyperlink"/>
          </w:rPr>
          <w:t>For</w:t>
        </w:r>
        <w:bookmarkStart w:id="564" w:name="_Hlt51728750"/>
        <w:r w:rsidRPr="00B169D5">
          <w:rPr>
            <w:rStyle w:val="Hyperlink"/>
          </w:rPr>
          <w:t>m</w:t>
        </w:r>
        <w:bookmarkEnd w:id="564"/>
        <w:r w:rsidRPr="00B169D5">
          <w:rPr>
            <w:rStyle w:val="Hyperlink"/>
          </w:rPr>
          <w:t>ulation</w:t>
        </w:r>
      </w:hyperlink>
      <w:r>
        <w:t xml:space="preserve">, sponsors should provide data to establish the UV absorption range of the substance together with data addressing </w:t>
      </w:r>
      <w:r>
        <w:rPr>
          <w:snapToGrid w:val="0"/>
          <w:color w:val="000000"/>
        </w:rPr>
        <w:t>the potential for physical interaction with other commonly used sunscreening agents.</w:t>
      </w:r>
    </w:p>
    <w:p w:rsidR="0037564C" w:rsidRDefault="00297FDD" w:rsidP="00297FDD">
      <w:pPr>
        <w:pStyle w:val="Heading2"/>
      </w:pPr>
      <w:bookmarkStart w:id="565" w:name="_Toc45684861"/>
      <w:bookmarkStart w:id="566" w:name="_Toc51726291"/>
      <w:bookmarkStart w:id="567" w:name="_Toc64108542"/>
      <w:bookmarkStart w:id="568" w:name="_Toc139259083"/>
      <w:bookmarkStart w:id="569" w:name="_Toc310280531"/>
      <w:r>
        <w:t>New excipients in sunscreens</w:t>
      </w:r>
      <w:bookmarkEnd w:id="565"/>
      <w:bookmarkEnd w:id="566"/>
      <w:bookmarkEnd w:id="567"/>
      <w:bookmarkEnd w:id="568"/>
      <w:bookmarkEnd w:id="569"/>
    </w:p>
    <w:p w:rsidR="0037564C" w:rsidRDefault="00297FDD" w:rsidP="00297FDD">
      <w:r>
        <w:t xml:space="preserve">Where a sunscreen contains an excipient ingredient which is not in any product currently included in the Australian Register of Therapeutic Goods (ARTG) for supply in Australia, the excipient must be cleared for use by the TGA. </w:t>
      </w:r>
    </w:p>
    <w:p w:rsidR="00297FDD" w:rsidRDefault="00297FDD" w:rsidP="00297FDD">
      <w:r>
        <w:lastRenderedPageBreak/>
        <w:t>The following information is required:</w:t>
      </w:r>
    </w:p>
    <w:p w:rsidR="00297FDD" w:rsidRDefault="00297FDD" w:rsidP="00297FDD">
      <w:r>
        <w:t xml:space="preserve"> </w:t>
      </w:r>
    </w:p>
    <w:p w:rsidR="00297FDD" w:rsidRDefault="00297FDD" w:rsidP="00297FDD">
      <w:pPr>
        <w:pStyle w:val="ListBullet"/>
        <w:numPr>
          <w:ilvl w:val="0"/>
          <w:numId w:val="21"/>
        </w:numPr>
      </w:pPr>
      <w:r>
        <w:t>Identification of the excipient as a substance included in the CTFA International Cosmetic Ingredient Dictionary (the page number and reference should be quoted); and</w:t>
      </w:r>
    </w:p>
    <w:p w:rsidR="00297FDD" w:rsidRDefault="00297FDD" w:rsidP="00297FDD">
      <w:pPr>
        <w:pStyle w:val="ListBullet"/>
        <w:numPr>
          <w:ilvl w:val="0"/>
          <w:numId w:val="21"/>
        </w:numPr>
      </w:pPr>
      <w:r>
        <w:t>Assurance that it does not appear in Annex II to the EEC Directive 76/768 List of substances which must not form part of the composition of cosmetic products; and</w:t>
      </w:r>
    </w:p>
    <w:p w:rsidR="00297FDD" w:rsidRDefault="00297FDD" w:rsidP="00297FDD">
      <w:pPr>
        <w:pStyle w:val="ListBullet"/>
        <w:numPr>
          <w:ilvl w:val="0"/>
          <w:numId w:val="21"/>
        </w:numPr>
      </w:pPr>
      <w:r>
        <w:t>Assurance that the excipient has been approved by the appropriate regulatory agency in Sweden, Canada, USA, UK or The Netherlands; or (less desirably)</w:t>
      </w:r>
    </w:p>
    <w:p w:rsidR="00297FDD" w:rsidRDefault="00297FDD" w:rsidP="00297FDD">
      <w:pPr>
        <w:pStyle w:val="ListBullet"/>
        <w:numPr>
          <w:ilvl w:val="0"/>
          <w:numId w:val="21"/>
        </w:numPr>
      </w:pPr>
      <w:r>
        <w:t xml:space="preserve">Assurance by the applicant that there have been market-place sales of comparable products containing the excipient in one of those five countries for at least two years; and </w:t>
      </w:r>
    </w:p>
    <w:p w:rsidR="00297FDD" w:rsidRDefault="00297FDD" w:rsidP="00297FDD">
      <w:pPr>
        <w:pStyle w:val="ListBullet"/>
        <w:numPr>
          <w:ilvl w:val="0"/>
          <w:numId w:val="21"/>
        </w:numPr>
      </w:pPr>
      <w:r>
        <w:t>Acute oral toxicity: LD</w:t>
      </w:r>
      <w:r>
        <w:rPr>
          <w:vertAlign w:val="subscript"/>
        </w:rPr>
        <w:t>50</w:t>
      </w:r>
      <w:r>
        <w:t xml:space="preserve"> – animal or alternative method; and</w:t>
      </w:r>
    </w:p>
    <w:p w:rsidR="00297FDD" w:rsidRDefault="00297FDD" w:rsidP="00297FDD">
      <w:pPr>
        <w:pStyle w:val="ListBullet"/>
        <w:numPr>
          <w:ilvl w:val="0"/>
          <w:numId w:val="21"/>
        </w:numPr>
      </w:pPr>
      <w:r>
        <w:t>Irritation study – skin; animal or alternative method; and</w:t>
      </w:r>
    </w:p>
    <w:p w:rsidR="0037564C" w:rsidRDefault="00297FDD" w:rsidP="00297FDD">
      <w:pPr>
        <w:pStyle w:val="ListBullet"/>
        <w:numPr>
          <w:ilvl w:val="0"/>
          <w:numId w:val="21"/>
        </w:numPr>
      </w:pPr>
      <w:r>
        <w:t>Sensitisation study – skin; animal or alternative method.</w:t>
      </w:r>
    </w:p>
    <w:p w:rsidR="0037564C" w:rsidRDefault="00297FDD" w:rsidP="00297FDD">
      <w:r>
        <w:t xml:space="preserve">The following additional studies may be requested in individual cases where concerns become evident at the time of evaluation.  </w:t>
      </w:r>
    </w:p>
    <w:p w:rsidR="00297FDD" w:rsidRDefault="00297FDD" w:rsidP="00297FDD">
      <w:pPr>
        <w:pStyle w:val="ListBullet"/>
        <w:numPr>
          <w:ilvl w:val="0"/>
          <w:numId w:val="22"/>
        </w:numPr>
      </w:pPr>
      <w:r>
        <w:t>Eye irritation study; and</w:t>
      </w:r>
    </w:p>
    <w:p w:rsidR="00297FDD" w:rsidRDefault="00297FDD" w:rsidP="00297FDD">
      <w:pPr>
        <w:pStyle w:val="ListBullet"/>
        <w:numPr>
          <w:ilvl w:val="0"/>
          <w:numId w:val="22"/>
        </w:numPr>
      </w:pPr>
      <w:r>
        <w:rPr>
          <w:i/>
        </w:rPr>
        <w:t>In vitro</w:t>
      </w:r>
      <w:r>
        <w:t xml:space="preserve"> mutagenicity (Ames) test; and</w:t>
      </w:r>
    </w:p>
    <w:p w:rsidR="0037564C" w:rsidRDefault="00297FDD" w:rsidP="00297FDD">
      <w:pPr>
        <w:pStyle w:val="ListBullet"/>
        <w:numPr>
          <w:ilvl w:val="0"/>
          <w:numId w:val="22"/>
        </w:numPr>
      </w:pPr>
      <w:r>
        <w:rPr>
          <w:i/>
        </w:rPr>
        <w:t>In vitro</w:t>
      </w:r>
      <w:r>
        <w:t xml:space="preserve"> percutaneous absorption test.</w:t>
      </w:r>
    </w:p>
    <w:p w:rsidR="0037564C" w:rsidRDefault="00297FDD" w:rsidP="00297FDD">
      <w:r>
        <w:t xml:space="preserve">All of the above information can be submitted prior to listing together with the </w:t>
      </w:r>
      <w:r>
        <w:rPr>
          <w:i/>
        </w:rPr>
        <w:t>New substance application form</w:t>
      </w:r>
      <w:r w:rsidR="00613231" w:rsidRPr="00613231">
        <w:rPr>
          <w:rStyle w:val="FootnoteReference"/>
        </w:rPr>
        <w:footnoteReference w:id="31"/>
      </w:r>
      <w:r>
        <w:t xml:space="preserve"> (available from the TGA website). If the substance is cleared it will be given an ‘Australian Approved Name’ (AAN) and will thereafter be able to be used in other topical non-prescription medicines (subject to any conditions or limitations) without the need for further evaluation. The sponsor will be advised of the AAN and will then be able to submit an application to list/register the sunscreen product.</w:t>
      </w:r>
    </w:p>
    <w:p w:rsidR="0037564C" w:rsidRDefault="00297FDD" w:rsidP="00297FDD">
      <w:r>
        <w:t>Alternative sources of data on the safety of the excipient will be considered. For instance, if the excipient has been cleared by NICNAS or by the US Cosmetic Ingredient Review (CIR) group the review document may be sufficient in itself. Copies of CIR reviews are available on the Internet</w:t>
      </w:r>
      <w:r w:rsidR="00613231" w:rsidRPr="00613231">
        <w:rPr>
          <w:rStyle w:val="FootnoteReference"/>
        </w:rPr>
        <w:footnoteReference w:id="32"/>
      </w:r>
      <w:r>
        <w:t>. Copies of NICNAS reviews may be available from the supplier of the excipient.</w:t>
      </w:r>
    </w:p>
    <w:p w:rsidR="0037564C" w:rsidRDefault="00297FDD" w:rsidP="00297FDD">
      <w:r>
        <w:t xml:space="preserve">Alternatively, the information in the first four points above can be submitted as part of a ‘Listing’ application for a sunscreen together with an assurance that the data specified in points 5 to 7 will be provided to the TGA within 6 months of the date of listing of the product. The new excipient will be given a ‘provisional AAN’ (known as a ‘PRV’) and the product listed with a condition that the data must be provided within 6 months of listing. Failure to submit the specified data within this time may result in cancellation of the product from the ARTG and recall. </w:t>
      </w:r>
    </w:p>
    <w:p w:rsidR="0037564C" w:rsidRDefault="00297FDD" w:rsidP="00297FDD">
      <w:r>
        <w:t>The data will be evaluated by the TGA and, if cleared, the excipient will be given an AAN and will thereafter be able to be used in other topical non-prescription medicines (subject to any conditions or limitations) without the need for further evaluation. If there are concerns about the safety of the excipient or if the data provided by the sponsor are incomplete or otherwise unacceptable, the product may be cancelled from the register and/or recalled.</w:t>
      </w:r>
    </w:p>
    <w:p w:rsidR="0037564C" w:rsidRDefault="00297FDD" w:rsidP="00297FDD">
      <w:r>
        <w:lastRenderedPageBreak/>
        <w:t xml:space="preserve">Fees will apply to the evaluation of the data and the listing of the product as specified in the </w:t>
      </w:r>
      <w:r>
        <w:rPr>
          <w:i/>
        </w:rPr>
        <w:t>Summary of fees and charges</w:t>
      </w:r>
      <w:r w:rsidR="00613231" w:rsidRPr="00613231">
        <w:rPr>
          <w:rStyle w:val="FootnoteReference"/>
        </w:rPr>
        <w:footnoteReference w:id="33"/>
      </w:r>
      <w:r>
        <w:t>.</w:t>
      </w:r>
    </w:p>
    <w:p w:rsidR="00297FDD" w:rsidRDefault="00297FDD" w:rsidP="00297FDD">
      <w:pPr>
        <w:pStyle w:val="Heading2"/>
      </w:pPr>
      <w:bookmarkStart w:id="572" w:name="_Hlt51665186"/>
      <w:bookmarkStart w:id="573" w:name="SunscreenSummaryTable"/>
      <w:bookmarkStart w:id="574" w:name="_Toc51726292"/>
      <w:bookmarkStart w:id="575" w:name="_Toc64108543"/>
      <w:bookmarkStart w:id="576" w:name="_Toc139259084"/>
      <w:bookmarkStart w:id="577" w:name="_Toc310280532"/>
      <w:bookmarkEnd w:id="572"/>
      <w:r>
        <w:t>Summary of sunscreen regulation</w:t>
      </w:r>
      <w:bookmarkEnd w:id="573"/>
      <w:bookmarkEnd w:id="574"/>
      <w:bookmarkEnd w:id="575"/>
      <w:bookmarkEnd w:id="576"/>
      <w:bookmarkEnd w:id="577"/>
    </w:p>
    <w:tbl>
      <w:tblPr>
        <w:tblStyle w:val="TableTGA1"/>
        <w:tblW w:w="8642" w:type="dxa"/>
        <w:tblLook w:val="04A0" w:firstRow="1" w:lastRow="0" w:firstColumn="1" w:lastColumn="0" w:noHBand="0" w:noVBand="1"/>
      </w:tblPr>
      <w:tblGrid>
        <w:gridCol w:w="2405"/>
        <w:gridCol w:w="3686"/>
        <w:gridCol w:w="2551"/>
      </w:tblGrid>
      <w:tr w:rsidR="00297FDD" w:rsidTr="00E032B8">
        <w:trPr>
          <w:cnfStyle w:val="100000000000" w:firstRow="1" w:lastRow="0" w:firstColumn="0" w:lastColumn="0" w:oddVBand="0" w:evenVBand="0" w:oddHBand="0" w:evenHBand="0" w:firstRowFirstColumn="0" w:firstRowLastColumn="0" w:lastRowFirstColumn="0" w:lastRowLastColumn="0"/>
        </w:trPr>
        <w:tc>
          <w:tcPr>
            <w:tcW w:w="2405" w:type="dxa"/>
          </w:tcPr>
          <w:p w:rsidR="00297FDD" w:rsidRDefault="00297FDD" w:rsidP="00E032B8">
            <w:pPr>
              <w:pStyle w:val="TableHeading"/>
            </w:pPr>
            <w:r>
              <w:t>Product category</w:t>
            </w:r>
          </w:p>
        </w:tc>
        <w:tc>
          <w:tcPr>
            <w:tcW w:w="3686" w:type="dxa"/>
          </w:tcPr>
          <w:p w:rsidR="00297FDD" w:rsidRDefault="00297FDD" w:rsidP="00E032B8">
            <w:pPr>
              <w:pStyle w:val="TableHeading"/>
            </w:pPr>
            <w:r>
              <w:t>Sub-category</w:t>
            </w:r>
          </w:p>
        </w:tc>
        <w:tc>
          <w:tcPr>
            <w:tcW w:w="2551" w:type="dxa"/>
          </w:tcPr>
          <w:p w:rsidR="00297FDD" w:rsidRDefault="00297FDD" w:rsidP="00E032B8">
            <w:pPr>
              <w:pStyle w:val="TableHeading"/>
            </w:pPr>
            <w:r>
              <w:t>Currently regulated by TGA as:</w:t>
            </w:r>
          </w:p>
        </w:tc>
      </w:tr>
      <w:tr w:rsidR="00297FDD" w:rsidTr="00E032B8">
        <w:tc>
          <w:tcPr>
            <w:tcW w:w="2405" w:type="dxa"/>
          </w:tcPr>
          <w:p w:rsidR="00297FDD" w:rsidRDefault="00297FDD" w:rsidP="00E032B8">
            <w:r>
              <w:t>Listable sunscreens</w:t>
            </w:r>
          </w:p>
        </w:tc>
        <w:tc>
          <w:tcPr>
            <w:tcW w:w="3686" w:type="dxa"/>
          </w:tcPr>
          <w:p w:rsidR="00297FDD" w:rsidRDefault="00297FDD" w:rsidP="00E032B8">
            <w:pPr>
              <w:keepNext/>
              <w:spacing w:before="60" w:after="60"/>
            </w:pPr>
            <w:r>
              <w:t>Sunscreens or moisturisers making SPF claims (or equivalent) where SPF is 4 or greater and claims are limited to sunscreening.</w:t>
            </w:r>
          </w:p>
          <w:p w:rsidR="00297FDD" w:rsidRDefault="00297FDD" w:rsidP="00E032B8">
            <w:pPr>
              <w:keepNext/>
              <w:spacing w:before="60" w:after="60"/>
            </w:pPr>
            <w:r>
              <w:t>Sunscreens that are otherwise exempt but contain certain ingredients of animal origin (see note below).</w:t>
            </w:r>
          </w:p>
        </w:tc>
        <w:tc>
          <w:tcPr>
            <w:tcW w:w="2551" w:type="dxa"/>
          </w:tcPr>
          <w:p w:rsidR="00297FDD" w:rsidRDefault="00297FDD" w:rsidP="00E032B8">
            <w:pPr>
              <w:keepNext/>
              <w:spacing w:before="60" w:after="60"/>
            </w:pPr>
            <w:r>
              <w:t>Listing in the ARTG.</w:t>
            </w:r>
          </w:p>
        </w:tc>
      </w:tr>
      <w:tr w:rsidR="00297FDD" w:rsidTr="00E032B8">
        <w:tc>
          <w:tcPr>
            <w:tcW w:w="2405" w:type="dxa"/>
          </w:tcPr>
          <w:p w:rsidR="00297FDD" w:rsidRDefault="00297FDD" w:rsidP="00E032B8">
            <w:pPr>
              <w:spacing w:before="60" w:after="60"/>
            </w:pPr>
            <w:r>
              <w:t>Registrable sunscreens</w:t>
            </w:r>
          </w:p>
        </w:tc>
        <w:tc>
          <w:tcPr>
            <w:tcW w:w="3686" w:type="dxa"/>
          </w:tcPr>
          <w:p w:rsidR="00297FDD" w:rsidRDefault="00297FDD" w:rsidP="00E032B8">
            <w:pPr>
              <w:spacing w:before="60" w:after="60"/>
            </w:pPr>
            <w:r>
              <w:t>Sunscreens that are included in the Schedule of Pharmaceutical Benefits.</w:t>
            </w:r>
          </w:p>
          <w:p w:rsidR="00297FDD" w:rsidRDefault="00297FDD" w:rsidP="00E032B8">
            <w:pPr>
              <w:spacing w:before="60" w:after="60"/>
            </w:pPr>
            <w:r>
              <w:t>Sunscreens that make therapeutic claims other than sunscreening.</w:t>
            </w:r>
          </w:p>
        </w:tc>
        <w:tc>
          <w:tcPr>
            <w:tcW w:w="2551" w:type="dxa"/>
          </w:tcPr>
          <w:p w:rsidR="00297FDD" w:rsidRDefault="00297FDD" w:rsidP="00E032B8">
            <w:pPr>
              <w:spacing w:before="60" w:after="60"/>
            </w:pPr>
            <w:r>
              <w:t>Registration in the ARTG.</w:t>
            </w:r>
          </w:p>
        </w:tc>
      </w:tr>
      <w:tr w:rsidR="00297FDD" w:rsidTr="00E032B8">
        <w:tc>
          <w:tcPr>
            <w:tcW w:w="2405" w:type="dxa"/>
          </w:tcPr>
          <w:p w:rsidR="00297FDD" w:rsidRDefault="00297FDD" w:rsidP="00E032B8">
            <w:pPr>
              <w:spacing w:before="60" w:after="60"/>
            </w:pPr>
            <w:r>
              <w:t>Exempt sunscreens</w:t>
            </w:r>
          </w:p>
        </w:tc>
        <w:tc>
          <w:tcPr>
            <w:tcW w:w="3686" w:type="dxa"/>
          </w:tcPr>
          <w:p w:rsidR="00297FDD" w:rsidRDefault="00297FDD" w:rsidP="00E032B8">
            <w:pPr>
              <w:spacing w:before="60" w:after="60"/>
            </w:pPr>
            <w:r>
              <w:t>Sunscreens or moisturisers making SPF claims (or equivalent) where SPF is 3 or less, claims are limited to sunscreening and the product does not contain certain ingredients of animal origin (see note below).</w:t>
            </w:r>
          </w:p>
        </w:tc>
        <w:tc>
          <w:tcPr>
            <w:tcW w:w="2551" w:type="dxa"/>
          </w:tcPr>
          <w:p w:rsidR="00297FDD" w:rsidRDefault="00297FDD" w:rsidP="00E032B8">
            <w:pPr>
              <w:spacing w:before="60" w:after="60"/>
            </w:pPr>
            <w:r>
              <w:t>Exempt from listing or registration in ARTG, exempt from being made by a licensed manufacturer.</w:t>
            </w:r>
          </w:p>
          <w:p w:rsidR="00297FDD" w:rsidRDefault="00297FDD" w:rsidP="00E032B8">
            <w:pPr>
              <w:spacing w:before="60" w:after="60"/>
            </w:pPr>
            <w:r>
              <w:t>Note: these sunscreens are still regulated as ‘medicines’ and must comply with the Labelling Order.</w:t>
            </w:r>
          </w:p>
        </w:tc>
      </w:tr>
      <w:tr w:rsidR="00297FDD" w:rsidTr="00E032B8">
        <w:tc>
          <w:tcPr>
            <w:tcW w:w="2405" w:type="dxa"/>
          </w:tcPr>
          <w:p w:rsidR="00297FDD" w:rsidRDefault="00297FDD" w:rsidP="00E032B8">
            <w:pPr>
              <w:spacing w:before="60" w:after="60"/>
            </w:pPr>
            <w:r>
              <w:t>Excluded sunscreens</w:t>
            </w:r>
          </w:p>
        </w:tc>
        <w:tc>
          <w:tcPr>
            <w:tcW w:w="3686" w:type="dxa"/>
          </w:tcPr>
          <w:p w:rsidR="00297FDD" w:rsidRDefault="00297FDD" w:rsidP="00E032B8">
            <w:pPr>
              <w:spacing w:before="60" w:after="60"/>
            </w:pPr>
            <w:r>
              <w:t>Tinted, unmedicated lip preparations (includes lipstick) without therapeutic claims (other than sunscreening) with or without SPF or equivalent declared on label.</w:t>
            </w:r>
          </w:p>
          <w:p w:rsidR="00297FDD" w:rsidRDefault="00297FDD" w:rsidP="00E032B8">
            <w:pPr>
              <w:spacing w:before="60" w:after="60"/>
            </w:pPr>
            <w:r>
              <w:t>Other cosmetics (including moisturisers) without therapeutic claims (other than sunscreening) and without SPF claims or equivalent on the label.</w:t>
            </w:r>
          </w:p>
        </w:tc>
        <w:tc>
          <w:tcPr>
            <w:tcW w:w="2551" w:type="dxa"/>
          </w:tcPr>
          <w:p w:rsidR="00297FDD" w:rsidRDefault="00297FDD" w:rsidP="00E032B8">
            <w:pPr>
              <w:spacing w:before="60" w:after="60"/>
            </w:pPr>
            <w:r>
              <w:t>Regulated by NICNAS / ACCC as a cosmetic</w:t>
            </w:r>
          </w:p>
        </w:tc>
      </w:tr>
    </w:tbl>
    <w:p w:rsidR="00297FDD" w:rsidRDefault="00297FDD" w:rsidP="00297FDD">
      <w:pPr>
        <w:rPr>
          <w:rFonts w:asciiTheme="minorHAnsi" w:eastAsiaTheme="majorEastAsia" w:hAnsiTheme="minorHAnsi" w:cstheme="majorBidi"/>
          <w:b/>
          <w:bCs/>
          <w:sz w:val="22"/>
        </w:rPr>
      </w:pPr>
    </w:p>
    <w:p w:rsidR="0037564C" w:rsidRDefault="00297FDD" w:rsidP="00297FDD">
      <w:r>
        <w:t>Note: The preceding table is a summary of legislative provisions. For complete details the following documents should be referred to:</w:t>
      </w:r>
    </w:p>
    <w:p w:rsidR="00297FDD" w:rsidRDefault="00297FDD" w:rsidP="00297FDD">
      <w:pPr>
        <w:numPr>
          <w:ilvl w:val="0"/>
          <w:numId w:val="23"/>
        </w:numPr>
        <w:spacing w:after="0" w:line="240" w:lineRule="auto"/>
        <w:rPr>
          <w:i/>
        </w:rPr>
      </w:pPr>
      <w:r>
        <w:rPr>
          <w:i/>
        </w:rPr>
        <w:t>Therapeutic Goods Regulations 1990</w:t>
      </w:r>
    </w:p>
    <w:p w:rsidR="00297FDD" w:rsidRDefault="00297FDD" w:rsidP="00297FDD">
      <w:pPr>
        <w:numPr>
          <w:ilvl w:val="0"/>
          <w:numId w:val="23"/>
        </w:numPr>
        <w:spacing w:after="0" w:line="240" w:lineRule="auto"/>
        <w:rPr>
          <w:i/>
        </w:rPr>
      </w:pPr>
      <w:r>
        <w:rPr>
          <w:i/>
        </w:rPr>
        <w:t>Therapeutic Goods (Excluded Goods) Order No 1 of 1998</w:t>
      </w:r>
      <w:r w:rsidR="00613231" w:rsidRPr="00613231">
        <w:rPr>
          <w:rStyle w:val="FootnoteReference"/>
        </w:rPr>
        <w:footnoteReference w:id="34"/>
      </w:r>
    </w:p>
    <w:p w:rsidR="0037564C" w:rsidRDefault="00297FDD" w:rsidP="00297FDD">
      <w:pPr>
        <w:numPr>
          <w:ilvl w:val="0"/>
          <w:numId w:val="23"/>
        </w:numPr>
        <w:spacing w:after="0" w:line="240" w:lineRule="auto"/>
      </w:pPr>
      <w:r>
        <w:rPr>
          <w:i/>
        </w:rPr>
        <w:lastRenderedPageBreak/>
        <w:t>Therapeutic Goods (Excluded Goods) Order No 2 of 1998</w:t>
      </w:r>
      <w:r w:rsidR="00613231" w:rsidRPr="00613231">
        <w:rPr>
          <w:rStyle w:val="FootnoteReference"/>
        </w:rPr>
        <w:footnoteReference w:id="35"/>
      </w:r>
      <w:r>
        <w:t xml:space="preserve"> </w:t>
      </w:r>
    </w:p>
    <w:p w:rsidR="009A34F1" w:rsidRDefault="009A34F1" w:rsidP="009A34F1">
      <w:pPr>
        <w:spacing w:after="0" w:line="240" w:lineRule="auto"/>
      </w:pPr>
    </w:p>
    <w:p w:rsidR="00297FDD" w:rsidRDefault="00297FDD" w:rsidP="00297FDD">
      <w:pPr>
        <w:pStyle w:val="Heading2"/>
      </w:pPr>
      <w:bookmarkStart w:id="580" w:name="SunscreenActiveListProds"/>
      <w:bookmarkStart w:id="581" w:name="_Toc51726293"/>
      <w:bookmarkStart w:id="582" w:name="_Toc64108544"/>
      <w:bookmarkStart w:id="583" w:name="_Toc139259085"/>
      <w:bookmarkStart w:id="584" w:name="_Toc310280533"/>
      <w:r>
        <w:t>Sunscreening agents permitted as active ingredients in listed products</w:t>
      </w:r>
      <w:bookmarkEnd w:id="580"/>
      <w:bookmarkEnd w:id="581"/>
      <w:bookmarkEnd w:id="582"/>
      <w:bookmarkEnd w:id="583"/>
      <w:bookmarkEnd w:id="584"/>
    </w:p>
    <w:p w:rsidR="0037564C" w:rsidRDefault="00297FDD" w:rsidP="00297FDD">
      <w:pPr>
        <w:rPr>
          <w:i/>
        </w:rPr>
      </w:pPr>
      <w:r w:rsidRPr="009A34F1">
        <w:rPr>
          <w:i/>
        </w:rPr>
        <w:t>Table corrected 18 August 2006</w:t>
      </w:r>
    </w:p>
    <w:p w:rsidR="00297FDD" w:rsidRDefault="00297FDD" w:rsidP="00297FDD">
      <w:pPr>
        <w:rPr>
          <w:i/>
        </w:rPr>
      </w:pPr>
    </w:p>
    <w:tbl>
      <w:tblPr>
        <w:tblStyle w:val="TableTGA1"/>
        <w:tblW w:w="0" w:type="auto"/>
        <w:tblLook w:val="04A0" w:firstRow="1" w:lastRow="0" w:firstColumn="1" w:lastColumn="0" w:noHBand="0" w:noVBand="1"/>
      </w:tblPr>
      <w:tblGrid>
        <w:gridCol w:w="2075"/>
        <w:gridCol w:w="3054"/>
        <w:gridCol w:w="2032"/>
        <w:gridCol w:w="1446"/>
      </w:tblGrid>
      <w:tr w:rsidR="00297FDD" w:rsidTr="00E032B8">
        <w:trPr>
          <w:cnfStyle w:val="100000000000" w:firstRow="1" w:lastRow="0" w:firstColumn="0" w:lastColumn="0" w:oddVBand="0" w:evenVBand="0" w:oddHBand="0" w:evenHBand="0" w:firstRowFirstColumn="0" w:firstRowLastColumn="0" w:lastRowFirstColumn="0" w:lastRowLastColumn="0"/>
        </w:trPr>
        <w:tc>
          <w:tcPr>
            <w:tcW w:w="2128" w:type="dxa"/>
          </w:tcPr>
          <w:p w:rsidR="00297FDD" w:rsidRDefault="00297FDD" w:rsidP="00E032B8">
            <w:pPr>
              <w:pStyle w:val="TableHeading"/>
              <w:rPr>
                <w:snapToGrid w:val="0"/>
              </w:rPr>
            </w:pPr>
            <w:r>
              <w:rPr>
                <w:snapToGrid w:val="0"/>
              </w:rPr>
              <w:t>Australian Approved Name (AAN)</w:t>
            </w:r>
          </w:p>
        </w:tc>
        <w:tc>
          <w:tcPr>
            <w:tcW w:w="2545" w:type="dxa"/>
          </w:tcPr>
          <w:p w:rsidR="00297FDD" w:rsidRDefault="00297FDD" w:rsidP="00E032B8">
            <w:pPr>
              <w:pStyle w:val="TableHeading"/>
              <w:rPr>
                <w:snapToGrid w:val="0"/>
              </w:rPr>
            </w:pPr>
            <w:r>
              <w:rPr>
                <w:snapToGrid w:val="0"/>
              </w:rPr>
              <w:t>EC &amp; USA/FDA name</w:t>
            </w:r>
          </w:p>
        </w:tc>
        <w:tc>
          <w:tcPr>
            <w:tcW w:w="2410" w:type="dxa"/>
          </w:tcPr>
          <w:p w:rsidR="00297FDD" w:rsidRDefault="00297FDD" w:rsidP="00E032B8">
            <w:pPr>
              <w:pStyle w:val="TableHeading"/>
              <w:rPr>
                <w:snapToGrid w:val="0"/>
              </w:rPr>
            </w:pPr>
            <w:r>
              <w:rPr>
                <w:snapToGrid w:val="0"/>
              </w:rPr>
              <w:t>Synonyms/ abbreviations/   trade names</w:t>
            </w:r>
          </w:p>
        </w:tc>
        <w:tc>
          <w:tcPr>
            <w:tcW w:w="1524" w:type="dxa"/>
          </w:tcPr>
          <w:p w:rsidR="00297FDD" w:rsidRDefault="00297FDD" w:rsidP="00E032B8">
            <w:pPr>
              <w:pStyle w:val="TableHeading"/>
              <w:rPr>
                <w:snapToGrid w:val="0"/>
              </w:rPr>
            </w:pPr>
            <w:r>
              <w:rPr>
                <w:snapToGrid w:val="0"/>
              </w:rPr>
              <w:t>Maximum concentration</w:t>
            </w:r>
          </w:p>
        </w:tc>
      </w:tr>
      <w:tr w:rsidR="00297FDD" w:rsidTr="00E032B8">
        <w:tc>
          <w:tcPr>
            <w:tcW w:w="2128" w:type="dxa"/>
          </w:tcPr>
          <w:p w:rsidR="00297FDD" w:rsidRDefault="00297FDD" w:rsidP="00E032B8">
            <w:pPr>
              <w:rPr>
                <w:snapToGrid w:val="0"/>
              </w:rPr>
            </w:pPr>
            <w:r>
              <w:rPr>
                <w:snapToGrid w:val="0"/>
              </w:rPr>
              <w:t>Aminobenzoic acid</w:t>
            </w:r>
          </w:p>
        </w:tc>
        <w:tc>
          <w:tcPr>
            <w:tcW w:w="2545" w:type="dxa"/>
          </w:tcPr>
          <w:p w:rsidR="00297FDD" w:rsidRDefault="00297FDD" w:rsidP="00E032B8">
            <w:pPr>
              <w:rPr>
                <w:snapToGrid w:val="0"/>
              </w:rPr>
            </w:pPr>
            <w:r>
              <w:rPr>
                <w:snapToGrid w:val="0"/>
              </w:rPr>
              <w:t>4-Aminobenzoic acid</w:t>
            </w:r>
          </w:p>
        </w:tc>
        <w:tc>
          <w:tcPr>
            <w:tcW w:w="2410" w:type="dxa"/>
          </w:tcPr>
          <w:p w:rsidR="00297FDD" w:rsidRDefault="00297FDD" w:rsidP="00E032B8">
            <w:pPr>
              <w:rPr>
                <w:snapToGrid w:val="0"/>
              </w:rPr>
            </w:pPr>
          </w:p>
        </w:tc>
        <w:tc>
          <w:tcPr>
            <w:tcW w:w="1524" w:type="dxa"/>
          </w:tcPr>
          <w:p w:rsidR="00297FDD" w:rsidRDefault="00297FDD" w:rsidP="00E032B8">
            <w:pPr>
              <w:rPr>
                <w:snapToGrid w:val="0"/>
              </w:rPr>
            </w:pPr>
            <w:r>
              <w:rPr>
                <w:snapToGrid w:val="0"/>
              </w:rPr>
              <w:t>15%</w:t>
            </w:r>
          </w:p>
        </w:tc>
      </w:tr>
      <w:tr w:rsidR="00297FDD" w:rsidTr="00E032B8">
        <w:tc>
          <w:tcPr>
            <w:tcW w:w="2128" w:type="dxa"/>
            <w:tcBorders>
              <w:bottom w:val="single" w:sz="4" w:space="0" w:color="002C47" w:themeColor="accent1"/>
            </w:tcBorders>
          </w:tcPr>
          <w:p w:rsidR="00297FDD" w:rsidRDefault="00297FDD" w:rsidP="00E032B8">
            <w:pPr>
              <w:rPr>
                <w:snapToGrid w:val="0"/>
              </w:rPr>
            </w:pPr>
            <w:r>
              <w:rPr>
                <w:snapToGrid w:val="0"/>
              </w:rPr>
              <w:t>Isoamyl methoxycinnamate</w:t>
            </w:r>
          </w:p>
        </w:tc>
        <w:tc>
          <w:tcPr>
            <w:tcW w:w="2545" w:type="dxa"/>
            <w:tcBorders>
              <w:bottom w:val="single" w:sz="4" w:space="0" w:color="002C47" w:themeColor="accent1"/>
            </w:tcBorders>
          </w:tcPr>
          <w:p w:rsidR="00297FDD" w:rsidRDefault="00297FDD" w:rsidP="00E032B8">
            <w:pPr>
              <w:rPr>
                <w:snapToGrid w:val="0"/>
              </w:rPr>
            </w:pPr>
            <w:r>
              <w:rPr>
                <w:snapToGrid w:val="0"/>
              </w:rPr>
              <w:t>Isopentenyl-4-methoxycinnamate (Isoamyl 4-methoxycinnamate)</w:t>
            </w:r>
          </w:p>
        </w:tc>
        <w:tc>
          <w:tcPr>
            <w:tcW w:w="2410" w:type="dxa"/>
            <w:tcBorders>
              <w:bottom w:val="single" w:sz="4" w:space="0" w:color="002C47" w:themeColor="accent1"/>
            </w:tcBorders>
          </w:tcPr>
          <w:p w:rsidR="00297FDD" w:rsidRDefault="00297FDD" w:rsidP="00E032B8">
            <w:pPr>
              <w:rPr>
                <w:snapToGrid w:val="0"/>
              </w:rPr>
            </w:pPr>
          </w:p>
        </w:tc>
        <w:tc>
          <w:tcPr>
            <w:tcW w:w="1524" w:type="dxa"/>
            <w:tcBorders>
              <w:bottom w:val="single" w:sz="4" w:space="0" w:color="002C47" w:themeColor="accent1"/>
            </w:tcBorders>
          </w:tcPr>
          <w:p w:rsidR="00297FDD" w:rsidRDefault="00297FDD" w:rsidP="00E032B8">
            <w:pPr>
              <w:rPr>
                <w:snapToGrid w:val="0"/>
              </w:rPr>
            </w:pPr>
            <w:r>
              <w:rPr>
                <w:snapToGrid w:val="0"/>
              </w:rPr>
              <w:t>10%</w:t>
            </w:r>
          </w:p>
        </w:tc>
      </w:tr>
      <w:tr w:rsidR="00297FDD" w:rsidTr="00E032B8">
        <w:tc>
          <w:tcPr>
            <w:tcW w:w="2128" w:type="dxa"/>
            <w:shd w:val="clear" w:color="auto" w:fill="EAEAEA"/>
          </w:tcPr>
          <w:p w:rsidR="00297FDD" w:rsidRPr="009A34F1" w:rsidRDefault="00297FDD" w:rsidP="00E032B8">
            <w:pPr>
              <w:rPr>
                <w:snapToGrid w:val="0"/>
              </w:rPr>
            </w:pPr>
            <w:r w:rsidRPr="009A34F1">
              <w:rPr>
                <w:snapToGrid w:val="0"/>
              </w:rPr>
              <w:t>Benzophenone</w:t>
            </w:r>
          </w:p>
        </w:tc>
        <w:tc>
          <w:tcPr>
            <w:tcW w:w="2545" w:type="dxa"/>
            <w:shd w:val="clear" w:color="auto" w:fill="EAEAEA"/>
          </w:tcPr>
          <w:p w:rsidR="00297FDD" w:rsidRPr="009A34F1" w:rsidRDefault="00297FDD" w:rsidP="00E032B8"/>
        </w:tc>
        <w:tc>
          <w:tcPr>
            <w:tcW w:w="2410" w:type="dxa"/>
            <w:shd w:val="clear" w:color="auto" w:fill="EAEAEA"/>
          </w:tcPr>
          <w:p w:rsidR="00297FDD" w:rsidRPr="009A34F1" w:rsidRDefault="00297FDD" w:rsidP="00E032B8">
            <w:pPr>
              <w:rPr>
                <w:snapToGrid w:val="0"/>
              </w:rPr>
            </w:pPr>
            <w:r w:rsidRPr="009A34F1">
              <w:rPr>
                <w:snapToGrid w:val="0"/>
              </w:rPr>
              <w:t>Phenylketone</w:t>
            </w:r>
          </w:p>
        </w:tc>
        <w:tc>
          <w:tcPr>
            <w:tcW w:w="1524" w:type="dxa"/>
            <w:shd w:val="clear" w:color="auto" w:fill="EAEAEA"/>
          </w:tcPr>
          <w:p w:rsidR="00297FDD" w:rsidRPr="009A34F1" w:rsidRDefault="00297FDD" w:rsidP="00E032B8">
            <w:pPr>
              <w:rPr>
                <w:snapToGrid w:val="0"/>
              </w:rPr>
            </w:pPr>
            <w:r w:rsidRPr="009A34F1">
              <w:rPr>
                <w:snapToGrid w:val="0"/>
              </w:rPr>
              <w:t>To be determined</w:t>
            </w:r>
          </w:p>
        </w:tc>
      </w:tr>
      <w:tr w:rsidR="00297FDD" w:rsidTr="00E032B8">
        <w:tc>
          <w:tcPr>
            <w:tcW w:w="2128" w:type="dxa"/>
            <w:shd w:val="clear" w:color="auto" w:fill="EAEAEA"/>
          </w:tcPr>
          <w:p w:rsidR="00297FDD" w:rsidRPr="009A34F1" w:rsidRDefault="00297FDD" w:rsidP="00E032B8">
            <w:pPr>
              <w:rPr>
                <w:snapToGrid w:val="0"/>
              </w:rPr>
            </w:pPr>
            <w:r w:rsidRPr="009A34F1">
              <w:rPr>
                <w:snapToGrid w:val="0"/>
              </w:rPr>
              <w:t>Benzophenone-2</w:t>
            </w:r>
          </w:p>
        </w:tc>
        <w:tc>
          <w:tcPr>
            <w:tcW w:w="2545" w:type="dxa"/>
            <w:shd w:val="clear" w:color="auto" w:fill="EAEAEA"/>
          </w:tcPr>
          <w:p w:rsidR="00297FDD" w:rsidRPr="009A34F1" w:rsidRDefault="00297FDD" w:rsidP="00E032B8">
            <w:pPr>
              <w:rPr>
                <w:snapToGrid w:val="0"/>
              </w:rPr>
            </w:pPr>
            <w:r w:rsidRPr="009A34F1">
              <w:rPr>
                <w:snapToGrid w:val="0"/>
              </w:rPr>
              <w:t>Benzophenone-2</w:t>
            </w:r>
          </w:p>
        </w:tc>
        <w:tc>
          <w:tcPr>
            <w:tcW w:w="2410" w:type="dxa"/>
            <w:shd w:val="clear" w:color="auto" w:fill="EAEAEA"/>
          </w:tcPr>
          <w:p w:rsidR="00297FDD" w:rsidRPr="009A34F1" w:rsidRDefault="00297FDD" w:rsidP="00E032B8">
            <w:pPr>
              <w:rPr>
                <w:snapToGrid w:val="0"/>
              </w:rPr>
            </w:pPr>
            <w:r w:rsidRPr="009A34F1">
              <w:rPr>
                <w:snapToGrid w:val="0"/>
              </w:rPr>
              <w:t>Bis(2,4-Dihydroxyphenyl) Methanone</w:t>
            </w:r>
          </w:p>
        </w:tc>
        <w:tc>
          <w:tcPr>
            <w:tcW w:w="1524" w:type="dxa"/>
            <w:shd w:val="clear" w:color="auto" w:fill="EAEAEA"/>
          </w:tcPr>
          <w:p w:rsidR="00297FDD" w:rsidRPr="009A34F1" w:rsidRDefault="00297FDD" w:rsidP="00E032B8">
            <w:pPr>
              <w:rPr>
                <w:snapToGrid w:val="0"/>
              </w:rPr>
            </w:pPr>
            <w:r w:rsidRPr="009A34F1">
              <w:rPr>
                <w:snapToGrid w:val="0"/>
              </w:rPr>
              <w:t>To be determined</w:t>
            </w:r>
          </w:p>
        </w:tc>
      </w:tr>
      <w:tr w:rsidR="00297FDD" w:rsidTr="00E032B8">
        <w:tc>
          <w:tcPr>
            <w:tcW w:w="2128" w:type="dxa"/>
          </w:tcPr>
          <w:p w:rsidR="00297FDD" w:rsidRDefault="00297FDD" w:rsidP="00E032B8">
            <w:pPr>
              <w:pStyle w:val="FootnoteText"/>
              <w:spacing w:before="60" w:after="60"/>
              <w:rPr>
                <w:lang w:eastAsia="en-US"/>
              </w:rPr>
            </w:pPr>
            <w:r>
              <w:rPr>
                <w:lang w:eastAsia="en-US"/>
              </w:rPr>
              <w:t>Butyl methoxy dibenzoylmethane</w:t>
            </w:r>
          </w:p>
        </w:tc>
        <w:tc>
          <w:tcPr>
            <w:tcW w:w="2545" w:type="dxa"/>
          </w:tcPr>
          <w:p w:rsidR="00297FDD" w:rsidRDefault="00297FDD" w:rsidP="00E032B8">
            <w:pPr>
              <w:spacing w:before="60" w:after="60"/>
              <w:rPr>
                <w:snapToGrid w:val="0"/>
              </w:rPr>
            </w:pPr>
            <w:r>
              <w:rPr>
                <w:snapToGrid w:val="0"/>
              </w:rPr>
              <w:t>1-(4 tert butylphenyl)-3(4-methoxyphenyl)propane-1,3-dione</w:t>
            </w:r>
          </w:p>
        </w:tc>
        <w:tc>
          <w:tcPr>
            <w:tcW w:w="2410" w:type="dxa"/>
          </w:tcPr>
          <w:p w:rsidR="00297FDD" w:rsidRDefault="00297FDD" w:rsidP="00E032B8">
            <w:pPr>
              <w:spacing w:before="60" w:after="60"/>
              <w:rPr>
                <w:snapToGrid w:val="0"/>
              </w:rPr>
            </w:pPr>
            <w:r>
              <w:rPr>
                <w:snapToGrid w:val="0"/>
              </w:rPr>
              <w:t>Avobenzone, BMDM, 4-tert-butyl-4-methoxy dibenzoylmethane</w:t>
            </w:r>
          </w:p>
        </w:tc>
        <w:tc>
          <w:tcPr>
            <w:tcW w:w="1524" w:type="dxa"/>
          </w:tcPr>
          <w:p w:rsidR="00297FDD" w:rsidRDefault="00297FDD" w:rsidP="00E032B8">
            <w:pPr>
              <w:spacing w:before="60" w:after="60"/>
              <w:jc w:val="center"/>
              <w:rPr>
                <w:snapToGrid w:val="0"/>
              </w:rPr>
            </w:pPr>
            <w:r>
              <w:rPr>
                <w:snapToGrid w:val="0"/>
              </w:rPr>
              <w:t>5%</w:t>
            </w:r>
          </w:p>
        </w:tc>
      </w:tr>
      <w:tr w:rsidR="00297FDD" w:rsidTr="00E032B8">
        <w:tc>
          <w:tcPr>
            <w:tcW w:w="2128" w:type="dxa"/>
          </w:tcPr>
          <w:p w:rsidR="00297FDD" w:rsidRDefault="00297FDD" w:rsidP="00E032B8">
            <w:pPr>
              <w:spacing w:before="60" w:after="60"/>
              <w:rPr>
                <w:snapToGrid w:val="0"/>
              </w:rPr>
            </w:pPr>
            <w:r>
              <w:rPr>
                <w:snapToGrid w:val="0"/>
              </w:rPr>
              <w:t>Cinoxate</w:t>
            </w:r>
          </w:p>
        </w:tc>
        <w:tc>
          <w:tcPr>
            <w:tcW w:w="2545" w:type="dxa"/>
          </w:tcPr>
          <w:p w:rsidR="00297FDD" w:rsidRDefault="00297FDD" w:rsidP="00E032B8">
            <w:pPr>
              <w:spacing w:before="60" w:after="60"/>
              <w:rPr>
                <w:snapToGrid w:val="0"/>
              </w:rPr>
            </w:pPr>
            <w:r>
              <w:rPr>
                <w:snapToGrid w:val="0"/>
              </w:rPr>
              <w:t>Cinoxate</w:t>
            </w:r>
          </w:p>
        </w:tc>
        <w:tc>
          <w:tcPr>
            <w:tcW w:w="2410" w:type="dxa"/>
          </w:tcPr>
          <w:p w:rsidR="00297FDD" w:rsidRDefault="00297FDD" w:rsidP="00E032B8">
            <w:pPr>
              <w:spacing w:before="60" w:after="60"/>
              <w:rPr>
                <w:snapToGrid w:val="0"/>
              </w:rPr>
            </w:pPr>
          </w:p>
        </w:tc>
        <w:tc>
          <w:tcPr>
            <w:tcW w:w="1524" w:type="dxa"/>
          </w:tcPr>
          <w:p w:rsidR="00297FDD" w:rsidRDefault="00297FDD" w:rsidP="00E032B8">
            <w:pPr>
              <w:spacing w:before="60" w:after="60"/>
              <w:jc w:val="center"/>
              <w:rPr>
                <w:snapToGrid w:val="0"/>
              </w:rPr>
            </w:pPr>
            <w:r>
              <w:rPr>
                <w:snapToGrid w:val="0"/>
              </w:rPr>
              <w:t>6%</w:t>
            </w:r>
          </w:p>
        </w:tc>
      </w:tr>
      <w:tr w:rsidR="00297FDD" w:rsidTr="00E032B8">
        <w:tc>
          <w:tcPr>
            <w:tcW w:w="2128" w:type="dxa"/>
          </w:tcPr>
          <w:p w:rsidR="00297FDD" w:rsidRDefault="00297FDD" w:rsidP="00E032B8">
            <w:pPr>
              <w:spacing w:before="60" w:after="60"/>
              <w:rPr>
                <w:snapToGrid w:val="0"/>
              </w:rPr>
            </w:pPr>
            <w:r>
              <w:rPr>
                <w:snapToGrid w:val="0"/>
              </w:rPr>
              <w:t>Dioxybenzone</w:t>
            </w:r>
          </w:p>
        </w:tc>
        <w:tc>
          <w:tcPr>
            <w:tcW w:w="2545" w:type="dxa"/>
          </w:tcPr>
          <w:p w:rsidR="00297FDD" w:rsidRDefault="00297FDD" w:rsidP="00E032B8">
            <w:pPr>
              <w:spacing w:before="60" w:after="60"/>
              <w:rPr>
                <w:snapToGrid w:val="0"/>
              </w:rPr>
            </w:pPr>
            <w:r>
              <w:rPr>
                <w:snapToGrid w:val="0"/>
              </w:rPr>
              <w:t>Dioxybenzone</w:t>
            </w:r>
          </w:p>
        </w:tc>
        <w:tc>
          <w:tcPr>
            <w:tcW w:w="2410" w:type="dxa"/>
          </w:tcPr>
          <w:p w:rsidR="00297FDD" w:rsidRDefault="00297FDD" w:rsidP="00E032B8">
            <w:pPr>
              <w:spacing w:before="60" w:after="60"/>
              <w:rPr>
                <w:snapToGrid w:val="0"/>
              </w:rPr>
            </w:pPr>
            <w:r>
              <w:rPr>
                <w:snapToGrid w:val="0"/>
              </w:rPr>
              <w:t>Benzophenone 8</w:t>
            </w:r>
          </w:p>
        </w:tc>
        <w:tc>
          <w:tcPr>
            <w:tcW w:w="1524" w:type="dxa"/>
          </w:tcPr>
          <w:p w:rsidR="00297FDD" w:rsidRDefault="00297FDD" w:rsidP="00E032B8">
            <w:pPr>
              <w:spacing w:before="60" w:after="60"/>
              <w:jc w:val="center"/>
              <w:rPr>
                <w:snapToGrid w:val="0"/>
              </w:rPr>
            </w:pPr>
            <w:r>
              <w:rPr>
                <w:snapToGrid w:val="0"/>
              </w:rPr>
              <w:t>3%</w:t>
            </w:r>
          </w:p>
        </w:tc>
      </w:tr>
      <w:tr w:rsidR="00297FDD" w:rsidTr="00E032B8">
        <w:tc>
          <w:tcPr>
            <w:tcW w:w="2128" w:type="dxa"/>
          </w:tcPr>
          <w:p w:rsidR="00297FDD" w:rsidRDefault="00297FDD" w:rsidP="00E032B8">
            <w:pPr>
              <w:spacing w:before="60" w:after="60"/>
              <w:rPr>
                <w:snapToGrid w:val="0"/>
              </w:rPr>
            </w:pPr>
          </w:p>
        </w:tc>
        <w:tc>
          <w:tcPr>
            <w:tcW w:w="2545" w:type="dxa"/>
          </w:tcPr>
          <w:p w:rsidR="00297FDD" w:rsidRDefault="00297FDD" w:rsidP="00E032B8">
            <w:pPr>
              <w:spacing w:before="60" w:after="60"/>
              <w:rPr>
                <w:snapToGrid w:val="0"/>
              </w:rPr>
            </w:pPr>
            <w:r>
              <w:rPr>
                <w:snapToGrid w:val="0"/>
              </w:rPr>
              <w:t>Ethoxylated ethyl 4-aminobenzoic acid</w:t>
            </w:r>
          </w:p>
        </w:tc>
        <w:tc>
          <w:tcPr>
            <w:tcW w:w="2410" w:type="dxa"/>
          </w:tcPr>
          <w:p w:rsidR="00297FDD" w:rsidRDefault="00297FDD" w:rsidP="00E032B8">
            <w:pPr>
              <w:spacing w:before="60" w:after="60"/>
              <w:rPr>
                <w:snapToGrid w:val="0"/>
              </w:rPr>
            </w:pPr>
            <w:r>
              <w:rPr>
                <w:snapToGrid w:val="0"/>
              </w:rPr>
              <w:t>PEG25 PABA</w:t>
            </w:r>
          </w:p>
        </w:tc>
        <w:tc>
          <w:tcPr>
            <w:tcW w:w="1524" w:type="dxa"/>
          </w:tcPr>
          <w:p w:rsidR="00297FDD" w:rsidRDefault="00297FDD" w:rsidP="00E032B8">
            <w:pPr>
              <w:spacing w:before="60" w:after="60"/>
              <w:jc w:val="center"/>
              <w:rPr>
                <w:snapToGrid w:val="0"/>
              </w:rPr>
            </w:pPr>
            <w:r>
              <w:rPr>
                <w:snapToGrid w:val="0"/>
              </w:rPr>
              <w:t>10%</w:t>
            </w:r>
          </w:p>
        </w:tc>
      </w:tr>
      <w:tr w:rsidR="00297FDD" w:rsidTr="00E032B8">
        <w:tc>
          <w:tcPr>
            <w:tcW w:w="2128" w:type="dxa"/>
          </w:tcPr>
          <w:p w:rsidR="00297FDD" w:rsidRDefault="00297FDD" w:rsidP="00E032B8">
            <w:pPr>
              <w:spacing w:before="60" w:after="60"/>
              <w:rPr>
                <w:snapToGrid w:val="0"/>
              </w:rPr>
            </w:pPr>
            <w:r>
              <w:rPr>
                <w:snapToGrid w:val="0"/>
              </w:rPr>
              <w:t>Padimate O</w:t>
            </w:r>
          </w:p>
        </w:tc>
        <w:tc>
          <w:tcPr>
            <w:tcW w:w="2545" w:type="dxa"/>
          </w:tcPr>
          <w:p w:rsidR="00297FDD" w:rsidRDefault="00297FDD" w:rsidP="00E032B8">
            <w:pPr>
              <w:spacing w:before="60" w:after="60"/>
              <w:rPr>
                <w:snapToGrid w:val="0"/>
              </w:rPr>
            </w:pPr>
            <w:r>
              <w:rPr>
                <w:snapToGrid w:val="0"/>
              </w:rPr>
              <w:t>2-Ethylhexyl 4-dimethylaminobenzoate</w:t>
            </w:r>
          </w:p>
        </w:tc>
        <w:tc>
          <w:tcPr>
            <w:tcW w:w="2410" w:type="dxa"/>
          </w:tcPr>
          <w:p w:rsidR="00297FDD" w:rsidRDefault="00297FDD" w:rsidP="00E032B8">
            <w:pPr>
              <w:spacing w:before="60" w:after="60"/>
              <w:rPr>
                <w:snapToGrid w:val="0"/>
              </w:rPr>
            </w:pPr>
            <w:r>
              <w:rPr>
                <w:snapToGrid w:val="0"/>
              </w:rPr>
              <w:t>Octyl dimethyl PABA</w:t>
            </w:r>
          </w:p>
        </w:tc>
        <w:tc>
          <w:tcPr>
            <w:tcW w:w="1524" w:type="dxa"/>
          </w:tcPr>
          <w:p w:rsidR="00297FDD" w:rsidRDefault="00297FDD" w:rsidP="00E032B8">
            <w:pPr>
              <w:spacing w:before="60" w:after="60"/>
              <w:jc w:val="center"/>
              <w:rPr>
                <w:snapToGrid w:val="0"/>
              </w:rPr>
            </w:pPr>
            <w:r>
              <w:rPr>
                <w:snapToGrid w:val="0"/>
              </w:rPr>
              <w:t>8%</w:t>
            </w:r>
          </w:p>
        </w:tc>
      </w:tr>
      <w:tr w:rsidR="00297FDD" w:rsidTr="00E032B8">
        <w:tc>
          <w:tcPr>
            <w:tcW w:w="2128" w:type="dxa"/>
          </w:tcPr>
          <w:p w:rsidR="00297FDD" w:rsidRDefault="00297FDD" w:rsidP="00E032B8">
            <w:pPr>
              <w:spacing w:before="60" w:after="60"/>
              <w:rPr>
                <w:snapToGrid w:val="0"/>
              </w:rPr>
            </w:pPr>
            <w:r>
              <w:rPr>
                <w:snapToGrid w:val="0"/>
              </w:rPr>
              <w:t>Octyl methoxycinnamate</w:t>
            </w:r>
          </w:p>
        </w:tc>
        <w:tc>
          <w:tcPr>
            <w:tcW w:w="2545" w:type="dxa"/>
          </w:tcPr>
          <w:p w:rsidR="00297FDD" w:rsidRDefault="00297FDD" w:rsidP="00E032B8">
            <w:pPr>
              <w:spacing w:before="60" w:after="60"/>
              <w:rPr>
                <w:snapToGrid w:val="0"/>
              </w:rPr>
            </w:pPr>
            <w:r>
              <w:rPr>
                <w:snapToGrid w:val="0"/>
              </w:rPr>
              <w:t>Octyl methoxycinnamate</w:t>
            </w:r>
          </w:p>
        </w:tc>
        <w:tc>
          <w:tcPr>
            <w:tcW w:w="2410" w:type="dxa"/>
          </w:tcPr>
          <w:p w:rsidR="00297FDD" w:rsidRDefault="00297FDD" w:rsidP="00E032B8">
            <w:pPr>
              <w:spacing w:before="60" w:after="60"/>
              <w:rPr>
                <w:snapToGrid w:val="0"/>
              </w:rPr>
            </w:pPr>
            <w:r>
              <w:rPr>
                <w:snapToGrid w:val="0"/>
              </w:rPr>
              <w:t>Ethylhexyl Methoxycinnamate</w:t>
            </w:r>
          </w:p>
        </w:tc>
        <w:tc>
          <w:tcPr>
            <w:tcW w:w="1524" w:type="dxa"/>
          </w:tcPr>
          <w:p w:rsidR="00297FDD" w:rsidRDefault="00297FDD" w:rsidP="00E032B8">
            <w:pPr>
              <w:spacing w:before="60" w:after="60"/>
              <w:jc w:val="center"/>
              <w:rPr>
                <w:snapToGrid w:val="0"/>
              </w:rPr>
            </w:pPr>
            <w:r>
              <w:rPr>
                <w:snapToGrid w:val="0"/>
              </w:rPr>
              <w:t>10%</w:t>
            </w:r>
          </w:p>
        </w:tc>
      </w:tr>
      <w:tr w:rsidR="00297FDD" w:rsidTr="00E032B8">
        <w:tc>
          <w:tcPr>
            <w:tcW w:w="2128" w:type="dxa"/>
          </w:tcPr>
          <w:p w:rsidR="00297FDD" w:rsidRDefault="00297FDD" w:rsidP="00E032B8">
            <w:pPr>
              <w:spacing w:before="60" w:after="60"/>
              <w:rPr>
                <w:snapToGrid w:val="0"/>
              </w:rPr>
            </w:pPr>
            <w:r>
              <w:rPr>
                <w:snapToGrid w:val="0"/>
              </w:rPr>
              <w:t>Octyl salicylate</w:t>
            </w:r>
          </w:p>
        </w:tc>
        <w:tc>
          <w:tcPr>
            <w:tcW w:w="2545" w:type="dxa"/>
          </w:tcPr>
          <w:p w:rsidR="00297FDD" w:rsidRDefault="00297FDD" w:rsidP="00E032B8">
            <w:pPr>
              <w:spacing w:before="60" w:after="60"/>
              <w:rPr>
                <w:snapToGrid w:val="0"/>
              </w:rPr>
            </w:pPr>
            <w:r>
              <w:rPr>
                <w:snapToGrid w:val="0"/>
              </w:rPr>
              <w:t>2-Ethylhexyl Salicylate</w:t>
            </w:r>
          </w:p>
        </w:tc>
        <w:tc>
          <w:tcPr>
            <w:tcW w:w="2410" w:type="dxa"/>
          </w:tcPr>
          <w:p w:rsidR="00297FDD" w:rsidRDefault="00297FDD" w:rsidP="00E032B8">
            <w:pPr>
              <w:spacing w:before="60" w:after="60"/>
              <w:rPr>
                <w:snapToGrid w:val="0"/>
              </w:rPr>
            </w:pPr>
          </w:p>
        </w:tc>
        <w:tc>
          <w:tcPr>
            <w:tcW w:w="1524" w:type="dxa"/>
          </w:tcPr>
          <w:p w:rsidR="00297FDD" w:rsidRDefault="00297FDD" w:rsidP="00E032B8">
            <w:pPr>
              <w:spacing w:before="60" w:after="60"/>
              <w:jc w:val="center"/>
              <w:rPr>
                <w:snapToGrid w:val="0"/>
              </w:rPr>
            </w:pPr>
            <w:r>
              <w:rPr>
                <w:snapToGrid w:val="0"/>
              </w:rPr>
              <w:t>5%</w:t>
            </w:r>
          </w:p>
        </w:tc>
      </w:tr>
      <w:tr w:rsidR="00297FDD" w:rsidTr="00E032B8">
        <w:tc>
          <w:tcPr>
            <w:tcW w:w="2128" w:type="dxa"/>
            <w:tcBorders>
              <w:bottom w:val="single" w:sz="4" w:space="0" w:color="002C47" w:themeColor="accent1"/>
            </w:tcBorders>
          </w:tcPr>
          <w:p w:rsidR="00297FDD" w:rsidRDefault="00297FDD" w:rsidP="00E032B8">
            <w:pPr>
              <w:spacing w:before="60" w:after="60"/>
              <w:rPr>
                <w:snapToGrid w:val="0"/>
              </w:rPr>
            </w:pPr>
            <w:r>
              <w:rPr>
                <w:snapToGrid w:val="0"/>
              </w:rPr>
              <w:lastRenderedPageBreak/>
              <w:t>Homosalate</w:t>
            </w:r>
          </w:p>
        </w:tc>
        <w:tc>
          <w:tcPr>
            <w:tcW w:w="2545" w:type="dxa"/>
            <w:tcBorders>
              <w:bottom w:val="single" w:sz="4" w:space="0" w:color="002C47" w:themeColor="accent1"/>
            </w:tcBorders>
          </w:tcPr>
          <w:p w:rsidR="00297FDD" w:rsidRDefault="00297FDD" w:rsidP="00E032B8">
            <w:pPr>
              <w:spacing w:before="60" w:after="60"/>
              <w:rPr>
                <w:snapToGrid w:val="0"/>
              </w:rPr>
            </w:pPr>
            <w:r>
              <w:rPr>
                <w:snapToGrid w:val="0"/>
              </w:rPr>
              <w:t>Homosalate</w:t>
            </w:r>
          </w:p>
        </w:tc>
        <w:tc>
          <w:tcPr>
            <w:tcW w:w="2410" w:type="dxa"/>
            <w:tcBorders>
              <w:bottom w:val="single" w:sz="4" w:space="0" w:color="002C47" w:themeColor="accent1"/>
            </w:tcBorders>
          </w:tcPr>
          <w:p w:rsidR="00297FDD" w:rsidRDefault="00297FDD" w:rsidP="00E032B8">
            <w:pPr>
              <w:spacing w:before="60" w:after="60"/>
              <w:rPr>
                <w:snapToGrid w:val="0"/>
              </w:rPr>
            </w:pPr>
            <w:r>
              <w:rPr>
                <w:snapToGrid w:val="0"/>
              </w:rPr>
              <w:t>Homomethyl salicylate</w:t>
            </w:r>
          </w:p>
        </w:tc>
        <w:tc>
          <w:tcPr>
            <w:tcW w:w="1524" w:type="dxa"/>
            <w:tcBorders>
              <w:bottom w:val="single" w:sz="4" w:space="0" w:color="002C47" w:themeColor="accent1"/>
            </w:tcBorders>
          </w:tcPr>
          <w:p w:rsidR="00297FDD" w:rsidRDefault="00297FDD" w:rsidP="00E032B8">
            <w:pPr>
              <w:spacing w:before="60" w:after="60"/>
              <w:jc w:val="center"/>
              <w:rPr>
                <w:snapToGrid w:val="0"/>
              </w:rPr>
            </w:pPr>
            <w:r>
              <w:rPr>
                <w:snapToGrid w:val="0"/>
              </w:rPr>
              <w:t>15%</w:t>
            </w:r>
          </w:p>
        </w:tc>
      </w:tr>
      <w:tr w:rsidR="00297FDD" w:rsidTr="00E032B8">
        <w:tc>
          <w:tcPr>
            <w:tcW w:w="2128" w:type="dxa"/>
            <w:shd w:val="clear" w:color="auto" w:fill="EAEAEA"/>
          </w:tcPr>
          <w:p w:rsidR="00297FDD" w:rsidRDefault="00297FDD" w:rsidP="00E032B8">
            <w:pPr>
              <w:spacing w:before="60" w:after="60"/>
              <w:rPr>
                <w:snapToGrid w:val="0"/>
              </w:rPr>
            </w:pPr>
            <w:r>
              <w:rPr>
                <w:snapToGrid w:val="0"/>
              </w:rPr>
              <w:t>Isopropylbenzyl salicylate</w:t>
            </w:r>
          </w:p>
        </w:tc>
        <w:tc>
          <w:tcPr>
            <w:tcW w:w="2545" w:type="dxa"/>
            <w:shd w:val="clear" w:color="auto" w:fill="EAEAEA"/>
          </w:tcPr>
          <w:p w:rsidR="00297FDD" w:rsidRDefault="00297FDD" w:rsidP="00E032B8">
            <w:pPr>
              <w:spacing w:before="60" w:after="60"/>
              <w:rPr>
                <w:snapToGrid w:val="0"/>
              </w:rPr>
            </w:pPr>
            <w:r>
              <w:rPr>
                <w:snapToGrid w:val="0"/>
              </w:rPr>
              <w:t>4-1sopropylbenzyl Salicylate</w:t>
            </w:r>
          </w:p>
        </w:tc>
        <w:tc>
          <w:tcPr>
            <w:tcW w:w="2410" w:type="dxa"/>
            <w:shd w:val="clear" w:color="auto" w:fill="EAEAEA"/>
          </w:tcPr>
          <w:p w:rsidR="00297FDD" w:rsidRDefault="00297FDD" w:rsidP="00E032B8">
            <w:pPr>
              <w:spacing w:before="60" w:after="60"/>
              <w:rPr>
                <w:snapToGrid w:val="0"/>
              </w:rPr>
            </w:pPr>
          </w:p>
        </w:tc>
        <w:tc>
          <w:tcPr>
            <w:tcW w:w="1524" w:type="dxa"/>
            <w:shd w:val="clear" w:color="auto" w:fill="EAEAEA"/>
          </w:tcPr>
          <w:p w:rsidR="00297FDD" w:rsidRDefault="00297FDD" w:rsidP="00E032B8">
            <w:pPr>
              <w:pStyle w:val="Style10ptCenteredBefore3ptAfter3pt"/>
              <w:rPr>
                <w:snapToGrid w:val="0"/>
                <w:lang w:eastAsia="en-US"/>
              </w:rPr>
            </w:pPr>
            <w:r>
              <w:rPr>
                <w:snapToGrid w:val="0"/>
                <w:lang w:eastAsia="en-US"/>
              </w:rPr>
              <w:t>To be determined</w:t>
            </w:r>
          </w:p>
        </w:tc>
      </w:tr>
      <w:tr w:rsidR="00297FDD" w:rsidTr="00E032B8">
        <w:tc>
          <w:tcPr>
            <w:tcW w:w="2128" w:type="dxa"/>
          </w:tcPr>
          <w:p w:rsidR="00297FDD" w:rsidRDefault="00297FDD" w:rsidP="00E032B8">
            <w:pPr>
              <w:rPr>
                <w:snapToGrid w:val="0"/>
              </w:rPr>
            </w:pPr>
            <w:r>
              <w:rPr>
                <w:snapToGrid w:val="0"/>
              </w:rPr>
              <w:t xml:space="preserve">Menthyl anthranilate </w:t>
            </w:r>
          </w:p>
        </w:tc>
        <w:tc>
          <w:tcPr>
            <w:tcW w:w="2545" w:type="dxa"/>
          </w:tcPr>
          <w:p w:rsidR="00297FDD" w:rsidRDefault="00297FDD" w:rsidP="00E032B8">
            <w:pPr>
              <w:rPr>
                <w:snapToGrid w:val="0"/>
              </w:rPr>
            </w:pPr>
            <w:r>
              <w:rPr>
                <w:snapToGrid w:val="0"/>
              </w:rPr>
              <w:t>Menthyl Anthranilate</w:t>
            </w:r>
          </w:p>
        </w:tc>
        <w:tc>
          <w:tcPr>
            <w:tcW w:w="2410" w:type="dxa"/>
          </w:tcPr>
          <w:p w:rsidR="00297FDD" w:rsidRDefault="00297FDD" w:rsidP="00E032B8">
            <w:pPr>
              <w:rPr>
                <w:snapToGrid w:val="0"/>
              </w:rPr>
            </w:pPr>
            <w:r>
              <w:rPr>
                <w:snapToGrid w:val="0"/>
              </w:rPr>
              <w:t>Methyl 2-aminobenzoate</w:t>
            </w:r>
          </w:p>
        </w:tc>
        <w:tc>
          <w:tcPr>
            <w:tcW w:w="1524" w:type="dxa"/>
          </w:tcPr>
          <w:p w:rsidR="00297FDD" w:rsidRDefault="00297FDD" w:rsidP="00E032B8">
            <w:pPr>
              <w:rPr>
                <w:snapToGrid w:val="0"/>
              </w:rPr>
            </w:pPr>
            <w:r>
              <w:rPr>
                <w:snapToGrid w:val="0"/>
              </w:rPr>
              <w:t>5%</w:t>
            </w:r>
          </w:p>
        </w:tc>
      </w:tr>
      <w:tr w:rsidR="00297FDD" w:rsidTr="00E032B8">
        <w:tc>
          <w:tcPr>
            <w:tcW w:w="2128" w:type="dxa"/>
          </w:tcPr>
          <w:p w:rsidR="00297FDD" w:rsidRDefault="00297FDD" w:rsidP="00E032B8">
            <w:pPr>
              <w:rPr>
                <w:snapToGrid w:val="0"/>
              </w:rPr>
            </w:pPr>
            <w:r>
              <w:rPr>
                <w:snapToGrid w:val="0"/>
              </w:rPr>
              <w:t>4 Methylbenzylidene camphor</w:t>
            </w:r>
          </w:p>
        </w:tc>
        <w:tc>
          <w:tcPr>
            <w:tcW w:w="2545" w:type="dxa"/>
          </w:tcPr>
          <w:p w:rsidR="00297FDD" w:rsidRDefault="00297FDD" w:rsidP="00E032B8">
            <w:pPr>
              <w:rPr>
                <w:snapToGrid w:val="0"/>
              </w:rPr>
            </w:pPr>
            <w:r>
              <w:rPr>
                <w:snapToGrid w:val="0"/>
              </w:rPr>
              <w:t>3-(4-Methylbenzylidene)-d-1 camphor</w:t>
            </w:r>
          </w:p>
        </w:tc>
        <w:tc>
          <w:tcPr>
            <w:tcW w:w="2410" w:type="dxa"/>
          </w:tcPr>
          <w:p w:rsidR="00297FDD" w:rsidRDefault="00297FDD" w:rsidP="00E032B8">
            <w:pPr>
              <w:rPr>
                <w:snapToGrid w:val="0"/>
              </w:rPr>
            </w:pPr>
          </w:p>
        </w:tc>
        <w:tc>
          <w:tcPr>
            <w:tcW w:w="1524" w:type="dxa"/>
          </w:tcPr>
          <w:p w:rsidR="00297FDD" w:rsidRDefault="00297FDD" w:rsidP="00E032B8">
            <w:pPr>
              <w:rPr>
                <w:snapToGrid w:val="0"/>
              </w:rPr>
            </w:pPr>
            <w:r>
              <w:rPr>
                <w:snapToGrid w:val="0"/>
              </w:rPr>
              <w:t>4%</w:t>
            </w:r>
          </w:p>
        </w:tc>
      </w:tr>
      <w:tr w:rsidR="00297FDD" w:rsidTr="00E032B8">
        <w:tc>
          <w:tcPr>
            <w:tcW w:w="2128" w:type="dxa"/>
          </w:tcPr>
          <w:p w:rsidR="00297FDD" w:rsidRDefault="00297FDD" w:rsidP="00E032B8">
            <w:pPr>
              <w:rPr>
                <w:snapToGrid w:val="0"/>
              </w:rPr>
            </w:pPr>
            <w:r>
              <w:rPr>
                <w:snapToGrid w:val="0"/>
              </w:rPr>
              <w:t xml:space="preserve">Octocrylene </w:t>
            </w:r>
          </w:p>
        </w:tc>
        <w:tc>
          <w:tcPr>
            <w:tcW w:w="2545" w:type="dxa"/>
          </w:tcPr>
          <w:p w:rsidR="00297FDD" w:rsidRDefault="00297FDD" w:rsidP="00E032B8">
            <w:pPr>
              <w:rPr>
                <w:snapToGrid w:val="0"/>
              </w:rPr>
            </w:pPr>
            <w:r>
              <w:rPr>
                <w:snapToGrid w:val="0"/>
              </w:rPr>
              <w:t>2-cyano-3,3-diphenyl acrylic acid, 2-ethyl hexyl ester</w:t>
            </w:r>
          </w:p>
        </w:tc>
        <w:tc>
          <w:tcPr>
            <w:tcW w:w="2410" w:type="dxa"/>
          </w:tcPr>
          <w:p w:rsidR="00297FDD" w:rsidRDefault="00297FDD" w:rsidP="00E032B8">
            <w:pPr>
              <w:rPr>
                <w:snapToGrid w:val="0"/>
              </w:rPr>
            </w:pPr>
            <w:r>
              <w:rPr>
                <w:snapToGrid w:val="0"/>
              </w:rPr>
              <w:t>2-Ethylhexyl-2-cyano-3,3 diphenylacrylate</w:t>
            </w:r>
          </w:p>
        </w:tc>
        <w:tc>
          <w:tcPr>
            <w:tcW w:w="1524" w:type="dxa"/>
          </w:tcPr>
          <w:p w:rsidR="00297FDD" w:rsidRDefault="00297FDD" w:rsidP="00E032B8">
            <w:pPr>
              <w:rPr>
                <w:snapToGrid w:val="0"/>
              </w:rPr>
            </w:pPr>
            <w:r>
              <w:rPr>
                <w:snapToGrid w:val="0"/>
              </w:rPr>
              <w:t>10%</w:t>
            </w:r>
          </w:p>
        </w:tc>
      </w:tr>
      <w:tr w:rsidR="00297FDD" w:rsidTr="00E032B8">
        <w:tc>
          <w:tcPr>
            <w:tcW w:w="2128" w:type="dxa"/>
          </w:tcPr>
          <w:p w:rsidR="00297FDD" w:rsidRDefault="00297FDD" w:rsidP="00E032B8">
            <w:pPr>
              <w:rPr>
                <w:snapToGrid w:val="0"/>
              </w:rPr>
            </w:pPr>
            <w:r>
              <w:rPr>
                <w:snapToGrid w:val="0"/>
              </w:rPr>
              <w:t>Octyl triazone</w:t>
            </w:r>
          </w:p>
        </w:tc>
        <w:tc>
          <w:tcPr>
            <w:tcW w:w="2545" w:type="dxa"/>
          </w:tcPr>
          <w:p w:rsidR="00297FDD" w:rsidRDefault="00297FDD" w:rsidP="00E032B8">
            <w:pPr>
              <w:rPr>
                <w:snapToGrid w:val="0"/>
              </w:rPr>
            </w:pPr>
            <w:r>
              <w:rPr>
                <w:snapToGrid w:val="0"/>
              </w:rPr>
              <w:t>2,4,6-Trianalino-(p-Carbo-2'-ethylhexyl-1'oxy)1,3,5-Triazine</w:t>
            </w:r>
          </w:p>
        </w:tc>
        <w:tc>
          <w:tcPr>
            <w:tcW w:w="2410" w:type="dxa"/>
          </w:tcPr>
          <w:p w:rsidR="00297FDD" w:rsidRDefault="00297FDD" w:rsidP="00E032B8">
            <w:pPr>
              <w:rPr>
                <w:snapToGrid w:val="0"/>
              </w:rPr>
            </w:pPr>
          </w:p>
        </w:tc>
        <w:tc>
          <w:tcPr>
            <w:tcW w:w="1524" w:type="dxa"/>
          </w:tcPr>
          <w:p w:rsidR="00297FDD" w:rsidRDefault="00297FDD" w:rsidP="00E032B8">
            <w:pPr>
              <w:rPr>
                <w:snapToGrid w:val="0"/>
              </w:rPr>
            </w:pPr>
            <w:r>
              <w:rPr>
                <w:snapToGrid w:val="0"/>
              </w:rPr>
              <w:t>5%</w:t>
            </w:r>
          </w:p>
        </w:tc>
      </w:tr>
      <w:tr w:rsidR="00297FDD" w:rsidTr="00E032B8">
        <w:tc>
          <w:tcPr>
            <w:tcW w:w="2128" w:type="dxa"/>
          </w:tcPr>
          <w:p w:rsidR="00297FDD" w:rsidRDefault="00297FDD" w:rsidP="00E032B8">
            <w:pPr>
              <w:rPr>
                <w:snapToGrid w:val="0"/>
              </w:rPr>
            </w:pPr>
          </w:p>
        </w:tc>
        <w:tc>
          <w:tcPr>
            <w:tcW w:w="2545" w:type="dxa"/>
          </w:tcPr>
          <w:p w:rsidR="00297FDD" w:rsidRDefault="00297FDD" w:rsidP="00E032B8">
            <w:pPr>
              <w:rPr>
                <w:snapToGrid w:val="0"/>
              </w:rPr>
            </w:pPr>
            <w:r>
              <w:rPr>
                <w:snapToGrid w:val="0"/>
              </w:rPr>
              <w:t>alpha-(2-Oxoborn-3-ylidene)toluene-4-sulphonic acid and its salts</w:t>
            </w:r>
          </w:p>
        </w:tc>
        <w:tc>
          <w:tcPr>
            <w:tcW w:w="2410" w:type="dxa"/>
          </w:tcPr>
          <w:p w:rsidR="00297FDD" w:rsidRDefault="00297FDD" w:rsidP="00E032B8">
            <w:pPr>
              <w:rPr>
                <w:snapToGrid w:val="0"/>
              </w:rPr>
            </w:pPr>
          </w:p>
        </w:tc>
        <w:tc>
          <w:tcPr>
            <w:tcW w:w="1524" w:type="dxa"/>
          </w:tcPr>
          <w:p w:rsidR="00297FDD" w:rsidRDefault="00297FDD" w:rsidP="00E032B8">
            <w:pPr>
              <w:rPr>
                <w:snapToGrid w:val="0"/>
              </w:rPr>
            </w:pPr>
            <w:r>
              <w:rPr>
                <w:snapToGrid w:val="0"/>
              </w:rPr>
              <w:t>6% (as acid)</w:t>
            </w:r>
          </w:p>
        </w:tc>
      </w:tr>
      <w:tr w:rsidR="00297FDD" w:rsidTr="00E032B8">
        <w:tc>
          <w:tcPr>
            <w:tcW w:w="2128" w:type="dxa"/>
          </w:tcPr>
          <w:p w:rsidR="00297FDD" w:rsidRDefault="00297FDD" w:rsidP="00E032B8">
            <w:pPr>
              <w:rPr>
                <w:snapToGrid w:val="0"/>
              </w:rPr>
            </w:pPr>
            <w:r>
              <w:rPr>
                <w:snapToGrid w:val="0"/>
              </w:rPr>
              <w:t>Oxybenzone</w:t>
            </w:r>
          </w:p>
        </w:tc>
        <w:tc>
          <w:tcPr>
            <w:tcW w:w="2545" w:type="dxa"/>
          </w:tcPr>
          <w:p w:rsidR="00297FDD" w:rsidRDefault="00297FDD" w:rsidP="00E032B8">
            <w:pPr>
              <w:rPr>
                <w:snapToGrid w:val="0"/>
              </w:rPr>
            </w:pPr>
            <w:r>
              <w:rPr>
                <w:snapToGrid w:val="0"/>
              </w:rPr>
              <w:t>Oxybenzone</w:t>
            </w:r>
          </w:p>
        </w:tc>
        <w:tc>
          <w:tcPr>
            <w:tcW w:w="2410" w:type="dxa"/>
          </w:tcPr>
          <w:p w:rsidR="00297FDD" w:rsidRDefault="00297FDD" w:rsidP="00E032B8">
            <w:pPr>
              <w:rPr>
                <w:snapToGrid w:val="0"/>
              </w:rPr>
            </w:pPr>
            <w:r>
              <w:rPr>
                <w:snapToGrid w:val="0"/>
              </w:rPr>
              <w:t>Benzophenone 3</w:t>
            </w:r>
          </w:p>
        </w:tc>
        <w:tc>
          <w:tcPr>
            <w:tcW w:w="1524" w:type="dxa"/>
          </w:tcPr>
          <w:p w:rsidR="00297FDD" w:rsidRDefault="00297FDD" w:rsidP="00E032B8">
            <w:pPr>
              <w:rPr>
                <w:snapToGrid w:val="0"/>
              </w:rPr>
            </w:pPr>
            <w:r>
              <w:rPr>
                <w:snapToGrid w:val="0"/>
              </w:rPr>
              <w:t>10%</w:t>
            </w:r>
          </w:p>
        </w:tc>
      </w:tr>
      <w:tr w:rsidR="00297FDD" w:rsidTr="00E032B8">
        <w:tc>
          <w:tcPr>
            <w:tcW w:w="2128" w:type="dxa"/>
          </w:tcPr>
          <w:p w:rsidR="00297FDD" w:rsidRDefault="00297FDD" w:rsidP="00E032B8">
            <w:pPr>
              <w:rPr>
                <w:snapToGrid w:val="0"/>
              </w:rPr>
            </w:pPr>
            <w:r>
              <w:rPr>
                <w:snapToGrid w:val="0"/>
              </w:rPr>
              <w:t>Phenylbenzimidazole sulfonic acid</w:t>
            </w:r>
          </w:p>
        </w:tc>
        <w:tc>
          <w:tcPr>
            <w:tcW w:w="2545" w:type="dxa"/>
          </w:tcPr>
          <w:p w:rsidR="00297FDD" w:rsidRDefault="00297FDD" w:rsidP="00E032B8">
            <w:pPr>
              <w:rPr>
                <w:snapToGrid w:val="0"/>
              </w:rPr>
            </w:pPr>
            <w:r>
              <w:rPr>
                <w:snapToGrid w:val="0"/>
              </w:rPr>
              <w:t>2-Phenylbenzimidazole-5-sulfonic acid and its potassium, sodium and triethanolamine salts</w:t>
            </w:r>
          </w:p>
        </w:tc>
        <w:tc>
          <w:tcPr>
            <w:tcW w:w="2410" w:type="dxa"/>
          </w:tcPr>
          <w:p w:rsidR="00297FDD" w:rsidRDefault="00297FDD" w:rsidP="00E032B8">
            <w:pPr>
              <w:rPr>
                <w:snapToGrid w:val="0"/>
              </w:rPr>
            </w:pPr>
          </w:p>
        </w:tc>
        <w:tc>
          <w:tcPr>
            <w:tcW w:w="1524" w:type="dxa"/>
          </w:tcPr>
          <w:p w:rsidR="00297FDD" w:rsidRDefault="00297FDD" w:rsidP="00E032B8">
            <w:pPr>
              <w:rPr>
                <w:snapToGrid w:val="0"/>
              </w:rPr>
            </w:pPr>
            <w:r>
              <w:rPr>
                <w:snapToGrid w:val="0"/>
              </w:rPr>
              <w:t>4%</w:t>
            </w:r>
          </w:p>
        </w:tc>
      </w:tr>
      <w:tr w:rsidR="00297FDD" w:rsidTr="00E032B8">
        <w:tc>
          <w:tcPr>
            <w:tcW w:w="2128" w:type="dxa"/>
            <w:tcBorders>
              <w:bottom w:val="single" w:sz="4" w:space="0" w:color="002C47" w:themeColor="accent1"/>
            </w:tcBorders>
          </w:tcPr>
          <w:p w:rsidR="00297FDD" w:rsidRDefault="00297FDD" w:rsidP="00E032B8">
            <w:pPr>
              <w:rPr>
                <w:snapToGrid w:val="0"/>
              </w:rPr>
            </w:pPr>
          </w:p>
        </w:tc>
        <w:tc>
          <w:tcPr>
            <w:tcW w:w="2545" w:type="dxa"/>
            <w:tcBorders>
              <w:bottom w:val="single" w:sz="4" w:space="0" w:color="002C47" w:themeColor="accent1"/>
            </w:tcBorders>
          </w:tcPr>
          <w:p w:rsidR="00297FDD" w:rsidRDefault="00297FDD" w:rsidP="00E032B8">
            <w:pPr>
              <w:rPr>
                <w:snapToGrid w:val="0"/>
              </w:rPr>
            </w:pPr>
            <w:r>
              <w:rPr>
                <w:snapToGrid w:val="0"/>
              </w:rPr>
              <w:t>N,N,N-Trimethyl-4-(oxoborn-3-ylidenemethyl)anilinium methyl sulfate</w:t>
            </w:r>
          </w:p>
        </w:tc>
        <w:tc>
          <w:tcPr>
            <w:tcW w:w="2410" w:type="dxa"/>
            <w:tcBorders>
              <w:bottom w:val="single" w:sz="4" w:space="0" w:color="002C47" w:themeColor="accent1"/>
            </w:tcBorders>
          </w:tcPr>
          <w:p w:rsidR="00297FDD" w:rsidRDefault="00297FDD" w:rsidP="00E032B8">
            <w:pPr>
              <w:rPr>
                <w:snapToGrid w:val="0"/>
              </w:rPr>
            </w:pPr>
          </w:p>
        </w:tc>
        <w:tc>
          <w:tcPr>
            <w:tcW w:w="1524" w:type="dxa"/>
            <w:tcBorders>
              <w:bottom w:val="single" w:sz="4" w:space="0" w:color="002C47" w:themeColor="accent1"/>
            </w:tcBorders>
          </w:tcPr>
          <w:p w:rsidR="00297FDD" w:rsidRDefault="00297FDD" w:rsidP="00E032B8">
            <w:pPr>
              <w:rPr>
                <w:snapToGrid w:val="0"/>
              </w:rPr>
            </w:pPr>
            <w:r>
              <w:rPr>
                <w:snapToGrid w:val="0"/>
              </w:rPr>
              <w:t>6%</w:t>
            </w:r>
          </w:p>
        </w:tc>
      </w:tr>
      <w:tr w:rsidR="00297FDD" w:rsidTr="00E032B8">
        <w:tc>
          <w:tcPr>
            <w:tcW w:w="2128" w:type="dxa"/>
            <w:shd w:val="clear" w:color="auto" w:fill="EAEAEA"/>
          </w:tcPr>
          <w:p w:rsidR="00297FDD" w:rsidRDefault="00297FDD" w:rsidP="00E032B8">
            <w:pPr>
              <w:rPr>
                <w:snapToGrid w:val="0"/>
              </w:rPr>
            </w:pPr>
          </w:p>
        </w:tc>
        <w:tc>
          <w:tcPr>
            <w:tcW w:w="2545" w:type="dxa"/>
            <w:shd w:val="clear" w:color="auto" w:fill="EAEAEA"/>
          </w:tcPr>
          <w:p w:rsidR="00297FDD" w:rsidRDefault="00297FDD" w:rsidP="00E032B8">
            <w:pPr>
              <w:rPr>
                <w:snapToGrid w:val="0"/>
              </w:rPr>
            </w:pPr>
            <w:r>
              <w:rPr>
                <w:snapToGrid w:val="0"/>
              </w:rPr>
              <w:t>Salicylic acid salts (potassium, sodium and triethanolamine)</w:t>
            </w:r>
          </w:p>
        </w:tc>
        <w:tc>
          <w:tcPr>
            <w:tcW w:w="2410" w:type="dxa"/>
            <w:shd w:val="clear" w:color="auto" w:fill="EAEAEA"/>
          </w:tcPr>
          <w:p w:rsidR="00297FDD" w:rsidRDefault="00297FDD" w:rsidP="00E032B8">
            <w:pPr>
              <w:rPr>
                <w:snapToGrid w:val="0"/>
              </w:rPr>
            </w:pPr>
          </w:p>
        </w:tc>
        <w:tc>
          <w:tcPr>
            <w:tcW w:w="1524" w:type="dxa"/>
            <w:shd w:val="clear" w:color="auto" w:fill="EAEAEA"/>
          </w:tcPr>
          <w:p w:rsidR="00297FDD" w:rsidRDefault="00297FDD" w:rsidP="00E032B8">
            <w:pPr>
              <w:rPr>
                <w:snapToGrid w:val="0"/>
              </w:rPr>
            </w:pPr>
            <w:r>
              <w:rPr>
                <w:snapToGrid w:val="0"/>
              </w:rPr>
              <w:t>To be determined</w:t>
            </w:r>
          </w:p>
        </w:tc>
      </w:tr>
      <w:tr w:rsidR="00297FDD" w:rsidTr="00E032B8">
        <w:tc>
          <w:tcPr>
            <w:tcW w:w="2128" w:type="dxa"/>
          </w:tcPr>
          <w:p w:rsidR="00297FDD" w:rsidRDefault="00297FDD" w:rsidP="00E032B8">
            <w:pPr>
              <w:rPr>
                <w:snapToGrid w:val="0"/>
                <w:color w:val="00FFFF"/>
                <w:vertAlign w:val="superscript"/>
              </w:rPr>
            </w:pPr>
            <w:r>
              <w:rPr>
                <w:snapToGrid w:val="0"/>
              </w:rPr>
              <w:t xml:space="preserve">Sulisobenzone </w:t>
            </w:r>
            <w:r w:rsidR="00613231" w:rsidRPr="00613231">
              <w:rPr>
                <w:color w:val="800080"/>
                <w:vertAlign w:val="superscript"/>
              </w:rPr>
              <w:t>2</w:t>
            </w:r>
          </w:p>
        </w:tc>
        <w:tc>
          <w:tcPr>
            <w:tcW w:w="2545" w:type="dxa"/>
          </w:tcPr>
          <w:p w:rsidR="00297FDD" w:rsidRDefault="00297FDD" w:rsidP="00E032B8">
            <w:pPr>
              <w:rPr>
                <w:snapToGrid w:val="0"/>
              </w:rPr>
            </w:pPr>
          </w:p>
        </w:tc>
        <w:tc>
          <w:tcPr>
            <w:tcW w:w="2410" w:type="dxa"/>
          </w:tcPr>
          <w:p w:rsidR="00297FDD" w:rsidRDefault="00297FDD" w:rsidP="00E032B8">
            <w:pPr>
              <w:rPr>
                <w:snapToGrid w:val="0"/>
              </w:rPr>
            </w:pPr>
            <w:r>
              <w:rPr>
                <w:snapToGrid w:val="0"/>
              </w:rPr>
              <w:t>Benzophenone 4</w:t>
            </w:r>
          </w:p>
        </w:tc>
        <w:tc>
          <w:tcPr>
            <w:tcW w:w="1524" w:type="dxa"/>
          </w:tcPr>
          <w:p w:rsidR="00297FDD" w:rsidRDefault="00297FDD" w:rsidP="00E032B8">
            <w:pPr>
              <w:rPr>
                <w:snapToGrid w:val="0"/>
              </w:rPr>
            </w:pPr>
            <w:r>
              <w:rPr>
                <w:snapToGrid w:val="0"/>
              </w:rPr>
              <w:t>10%</w:t>
            </w:r>
          </w:p>
        </w:tc>
      </w:tr>
      <w:tr w:rsidR="00297FDD" w:rsidTr="00E032B8">
        <w:tc>
          <w:tcPr>
            <w:tcW w:w="2128" w:type="dxa"/>
          </w:tcPr>
          <w:p w:rsidR="00297FDD" w:rsidRDefault="00297FDD" w:rsidP="00E032B8">
            <w:pPr>
              <w:rPr>
                <w:snapToGrid w:val="0"/>
              </w:rPr>
            </w:pPr>
          </w:p>
        </w:tc>
        <w:tc>
          <w:tcPr>
            <w:tcW w:w="2545" w:type="dxa"/>
          </w:tcPr>
          <w:p w:rsidR="00297FDD" w:rsidRDefault="00297FDD" w:rsidP="00E032B8">
            <w:pPr>
              <w:rPr>
                <w:snapToGrid w:val="0"/>
              </w:rPr>
            </w:pPr>
            <w:r>
              <w:rPr>
                <w:snapToGrid w:val="0"/>
              </w:rPr>
              <w:t>Sulisobenzone sodium</w:t>
            </w:r>
          </w:p>
        </w:tc>
        <w:tc>
          <w:tcPr>
            <w:tcW w:w="2410" w:type="dxa"/>
          </w:tcPr>
          <w:p w:rsidR="00297FDD" w:rsidRDefault="00297FDD" w:rsidP="00E032B8">
            <w:pPr>
              <w:rPr>
                <w:snapToGrid w:val="0"/>
              </w:rPr>
            </w:pPr>
            <w:r>
              <w:rPr>
                <w:snapToGrid w:val="0"/>
              </w:rPr>
              <w:t>Benzophenone 5</w:t>
            </w:r>
          </w:p>
        </w:tc>
        <w:tc>
          <w:tcPr>
            <w:tcW w:w="1524" w:type="dxa"/>
          </w:tcPr>
          <w:p w:rsidR="00297FDD" w:rsidRDefault="00297FDD" w:rsidP="00E032B8">
            <w:pPr>
              <w:rPr>
                <w:snapToGrid w:val="0"/>
                <w:color w:val="000000"/>
              </w:rPr>
            </w:pPr>
            <w:r>
              <w:rPr>
                <w:snapToGrid w:val="0"/>
                <w:color w:val="000000"/>
              </w:rPr>
              <w:t>10%</w:t>
            </w:r>
          </w:p>
        </w:tc>
      </w:tr>
      <w:tr w:rsidR="00297FDD" w:rsidTr="00E032B8">
        <w:tc>
          <w:tcPr>
            <w:tcW w:w="2128" w:type="dxa"/>
          </w:tcPr>
          <w:p w:rsidR="00297FDD" w:rsidRDefault="00297FDD" w:rsidP="00E032B8">
            <w:pPr>
              <w:rPr>
                <w:snapToGrid w:val="0"/>
              </w:rPr>
            </w:pPr>
            <w:r>
              <w:rPr>
                <w:snapToGrid w:val="0"/>
              </w:rPr>
              <w:t>Ecamsule</w:t>
            </w:r>
          </w:p>
        </w:tc>
        <w:tc>
          <w:tcPr>
            <w:tcW w:w="2545" w:type="dxa"/>
          </w:tcPr>
          <w:p w:rsidR="00297FDD" w:rsidRDefault="00297FDD" w:rsidP="00E032B8">
            <w:pPr>
              <w:rPr>
                <w:snapToGrid w:val="0"/>
              </w:rPr>
            </w:pPr>
            <w:r>
              <w:rPr>
                <w:snapToGrid w:val="0"/>
              </w:rPr>
              <w:t>Terephthalylidene dicamphor sulfonic acid</w:t>
            </w:r>
          </w:p>
        </w:tc>
        <w:tc>
          <w:tcPr>
            <w:tcW w:w="2410" w:type="dxa"/>
          </w:tcPr>
          <w:p w:rsidR="00297FDD" w:rsidRDefault="00297FDD" w:rsidP="00E032B8">
            <w:pPr>
              <w:rPr>
                <w:snapToGrid w:val="0"/>
              </w:rPr>
            </w:pPr>
          </w:p>
        </w:tc>
        <w:tc>
          <w:tcPr>
            <w:tcW w:w="1524" w:type="dxa"/>
          </w:tcPr>
          <w:p w:rsidR="00297FDD" w:rsidRDefault="00297FDD" w:rsidP="00E032B8">
            <w:pPr>
              <w:rPr>
                <w:snapToGrid w:val="0"/>
                <w:color w:val="000000"/>
              </w:rPr>
            </w:pPr>
            <w:r>
              <w:rPr>
                <w:snapToGrid w:val="0"/>
                <w:color w:val="000000"/>
              </w:rPr>
              <w:t>10%</w:t>
            </w:r>
          </w:p>
        </w:tc>
      </w:tr>
      <w:tr w:rsidR="00297FDD" w:rsidTr="00E032B8">
        <w:tc>
          <w:tcPr>
            <w:tcW w:w="2128" w:type="dxa"/>
          </w:tcPr>
          <w:p w:rsidR="00297FDD" w:rsidRDefault="00297FDD" w:rsidP="00E032B8">
            <w:pPr>
              <w:rPr>
                <w:snapToGrid w:val="0"/>
              </w:rPr>
            </w:pPr>
            <w:r>
              <w:rPr>
                <w:snapToGrid w:val="0"/>
              </w:rPr>
              <w:lastRenderedPageBreak/>
              <w:t>Titanium dioxide</w:t>
            </w:r>
          </w:p>
        </w:tc>
        <w:tc>
          <w:tcPr>
            <w:tcW w:w="2545" w:type="dxa"/>
          </w:tcPr>
          <w:p w:rsidR="00297FDD" w:rsidRDefault="00297FDD" w:rsidP="00E032B8">
            <w:pPr>
              <w:rPr>
                <w:snapToGrid w:val="0"/>
              </w:rPr>
            </w:pPr>
            <w:r>
              <w:rPr>
                <w:snapToGrid w:val="0"/>
              </w:rPr>
              <w:t>Titanium dioxide</w:t>
            </w:r>
          </w:p>
        </w:tc>
        <w:tc>
          <w:tcPr>
            <w:tcW w:w="2410" w:type="dxa"/>
          </w:tcPr>
          <w:p w:rsidR="00297FDD" w:rsidRDefault="00297FDD" w:rsidP="00E032B8">
            <w:pPr>
              <w:rPr>
                <w:snapToGrid w:val="0"/>
              </w:rPr>
            </w:pPr>
          </w:p>
        </w:tc>
        <w:tc>
          <w:tcPr>
            <w:tcW w:w="1524" w:type="dxa"/>
          </w:tcPr>
          <w:p w:rsidR="00297FDD" w:rsidRDefault="00297FDD" w:rsidP="00E032B8">
            <w:pPr>
              <w:rPr>
                <w:snapToGrid w:val="0"/>
                <w:color w:val="000000"/>
              </w:rPr>
            </w:pPr>
            <w:r>
              <w:rPr>
                <w:snapToGrid w:val="0"/>
                <w:color w:val="000000"/>
              </w:rPr>
              <w:t>25%</w:t>
            </w:r>
          </w:p>
        </w:tc>
      </w:tr>
      <w:tr w:rsidR="00297FDD" w:rsidTr="00E032B8">
        <w:tc>
          <w:tcPr>
            <w:tcW w:w="2128" w:type="dxa"/>
          </w:tcPr>
          <w:p w:rsidR="00297FDD" w:rsidRDefault="00297FDD" w:rsidP="00E032B8">
            <w:pPr>
              <w:rPr>
                <w:snapToGrid w:val="0"/>
              </w:rPr>
            </w:pPr>
            <w:r>
              <w:rPr>
                <w:snapToGrid w:val="0"/>
              </w:rPr>
              <w:t>Triethanolamine salicylate</w:t>
            </w:r>
          </w:p>
        </w:tc>
        <w:tc>
          <w:tcPr>
            <w:tcW w:w="2545" w:type="dxa"/>
          </w:tcPr>
          <w:p w:rsidR="00297FDD" w:rsidRDefault="00297FDD" w:rsidP="00E032B8">
            <w:pPr>
              <w:rPr>
                <w:snapToGrid w:val="0"/>
              </w:rPr>
            </w:pPr>
            <w:r>
              <w:rPr>
                <w:snapToGrid w:val="0"/>
              </w:rPr>
              <w:t>Trolamine salicylate</w:t>
            </w:r>
          </w:p>
        </w:tc>
        <w:tc>
          <w:tcPr>
            <w:tcW w:w="2410" w:type="dxa"/>
          </w:tcPr>
          <w:p w:rsidR="00297FDD" w:rsidRDefault="00297FDD" w:rsidP="00E032B8">
            <w:pPr>
              <w:rPr>
                <w:snapToGrid w:val="0"/>
              </w:rPr>
            </w:pPr>
          </w:p>
        </w:tc>
        <w:tc>
          <w:tcPr>
            <w:tcW w:w="1524" w:type="dxa"/>
          </w:tcPr>
          <w:p w:rsidR="00297FDD" w:rsidRDefault="00297FDD" w:rsidP="00E032B8">
            <w:pPr>
              <w:rPr>
                <w:snapToGrid w:val="0"/>
                <w:color w:val="000000"/>
              </w:rPr>
            </w:pPr>
            <w:r>
              <w:rPr>
                <w:snapToGrid w:val="0"/>
                <w:color w:val="000000"/>
              </w:rPr>
              <w:t>12%</w:t>
            </w:r>
          </w:p>
        </w:tc>
      </w:tr>
      <w:tr w:rsidR="00297FDD" w:rsidTr="00E032B8">
        <w:tc>
          <w:tcPr>
            <w:tcW w:w="2128" w:type="dxa"/>
          </w:tcPr>
          <w:p w:rsidR="00297FDD" w:rsidRPr="004E31CE" w:rsidRDefault="00297FDD" w:rsidP="00E032B8">
            <w:r w:rsidRPr="004E31CE">
              <w:t>Zinc</w:t>
            </w:r>
            <w:r w:rsidRPr="004E31CE">
              <w:rPr>
                <w:rStyle w:val="BodytextARGOMChar"/>
                <w:rFonts w:asciiTheme="minorHAnsi" w:eastAsiaTheme="minorHAnsi" w:hAnsiTheme="minorHAnsi"/>
              </w:rPr>
              <w:t xml:space="preserve"> </w:t>
            </w:r>
            <w:r w:rsidRPr="004E31CE">
              <w:t xml:space="preserve">oxide </w:t>
            </w:r>
            <w:r w:rsidR="00613231" w:rsidRPr="00613231">
              <w:rPr>
                <w:vertAlign w:val="superscript"/>
              </w:rPr>
              <w:t>1</w:t>
            </w:r>
          </w:p>
        </w:tc>
        <w:tc>
          <w:tcPr>
            <w:tcW w:w="2545" w:type="dxa"/>
          </w:tcPr>
          <w:p w:rsidR="00297FDD" w:rsidRDefault="00297FDD" w:rsidP="00E032B8">
            <w:pPr>
              <w:rPr>
                <w:snapToGrid w:val="0"/>
              </w:rPr>
            </w:pPr>
            <w:r>
              <w:rPr>
                <w:snapToGrid w:val="0"/>
              </w:rPr>
              <w:t>Zinc oxide</w:t>
            </w:r>
          </w:p>
        </w:tc>
        <w:tc>
          <w:tcPr>
            <w:tcW w:w="2410" w:type="dxa"/>
          </w:tcPr>
          <w:p w:rsidR="00297FDD" w:rsidRDefault="00297FDD" w:rsidP="00E032B8">
            <w:pPr>
              <w:rPr>
                <w:snapToGrid w:val="0"/>
              </w:rPr>
            </w:pPr>
          </w:p>
        </w:tc>
        <w:tc>
          <w:tcPr>
            <w:tcW w:w="1524" w:type="dxa"/>
          </w:tcPr>
          <w:p w:rsidR="00297FDD" w:rsidRPr="004E31CE" w:rsidRDefault="00297FDD" w:rsidP="00E032B8">
            <w:pPr>
              <w:rPr>
                <w:snapToGrid w:val="0"/>
              </w:rPr>
            </w:pPr>
            <w:r w:rsidRPr="004E31CE">
              <w:t xml:space="preserve">No limit </w:t>
            </w:r>
            <w:r w:rsidR="00613231" w:rsidRPr="00613231">
              <w:rPr>
                <w:snapToGrid w:val="0"/>
                <w:vertAlign w:val="superscript"/>
              </w:rPr>
              <w:t>1</w:t>
            </w:r>
          </w:p>
        </w:tc>
      </w:tr>
      <w:tr w:rsidR="00297FDD" w:rsidTr="00E032B8">
        <w:tc>
          <w:tcPr>
            <w:tcW w:w="2128" w:type="dxa"/>
          </w:tcPr>
          <w:p w:rsidR="00297FDD" w:rsidRPr="004E31CE" w:rsidRDefault="00297FDD" w:rsidP="00E032B8">
            <w:pPr>
              <w:rPr>
                <w:snapToGrid w:val="0"/>
              </w:rPr>
            </w:pPr>
            <w:r w:rsidRPr="004E31CE">
              <w:t xml:space="preserve">Bemotrizinol </w:t>
            </w:r>
            <w:r w:rsidR="00613231" w:rsidRPr="00613231">
              <w:rPr>
                <w:vertAlign w:val="superscript"/>
              </w:rPr>
              <w:t>3</w:t>
            </w:r>
          </w:p>
        </w:tc>
        <w:tc>
          <w:tcPr>
            <w:tcW w:w="2545" w:type="dxa"/>
          </w:tcPr>
          <w:p w:rsidR="00297FDD" w:rsidRPr="004E31CE" w:rsidRDefault="00297FDD" w:rsidP="00E032B8">
            <w:pPr>
              <w:rPr>
                <w:snapToGrid w:val="0"/>
              </w:rPr>
            </w:pPr>
            <w:r w:rsidRPr="004E31CE">
              <w:t>Bemotrizinol</w:t>
            </w:r>
          </w:p>
        </w:tc>
        <w:tc>
          <w:tcPr>
            <w:tcW w:w="2410" w:type="dxa"/>
          </w:tcPr>
          <w:p w:rsidR="00297FDD" w:rsidRPr="004E31CE" w:rsidRDefault="00297FDD" w:rsidP="00E032B8">
            <w:pPr>
              <w:rPr>
                <w:snapToGrid w:val="0"/>
              </w:rPr>
            </w:pPr>
            <w:r w:rsidRPr="004E31CE">
              <w:t>Tinosorb S</w:t>
            </w:r>
          </w:p>
        </w:tc>
        <w:tc>
          <w:tcPr>
            <w:tcW w:w="1524" w:type="dxa"/>
          </w:tcPr>
          <w:p w:rsidR="00297FDD" w:rsidRPr="004E31CE" w:rsidRDefault="00297FDD" w:rsidP="00E032B8">
            <w:pPr>
              <w:rPr>
                <w:snapToGrid w:val="0"/>
              </w:rPr>
            </w:pPr>
            <w:r w:rsidRPr="004E31CE">
              <w:rPr>
                <w:snapToGrid w:val="0"/>
              </w:rPr>
              <w:t>10%</w:t>
            </w:r>
          </w:p>
        </w:tc>
      </w:tr>
      <w:tr w:rsidR="00297FDD" w:rsidTr="00E032B8">
        <w:tc>
          <w:tcPr>
            <w:tcW w:w="2128" w:type="dxa"/>
          </w:tcPr>
          <w:p w:rsidR="00297FDD" w:rsidRPr="004E31CE" w:rsidRDefault="00297FDD" w:rsidP="00E032B8">
            <w:pPr>
              <w:rPr>
                <w:snapToGrid w:val="0"/>
              </w:rPr>
            </w:pPr>
            <w:r w:rsidRPr="004E31CE">
              <w:rPr>
                <w:snapToGrid w:val="0"/>
              </w:rPr>
              <w:t xml:space="preserve">Methylene bis-benzotriazolyl tetramethylbutyl phenol </w:t>
            </w:r>
            <w:r w:rsidR="00613231" w:rsidRPr="00613231">
              <w:rPr>
                <w:vertAlign w:val="superscript"/>
              </w:rPr>
              <w:t>4</w:t>
            </w:r>
          </w:p>
        </w:tc>
        <w:tc>
          <w:tcPr>
            <w:tcW w:w="2545" w:type="dxa"/>
          </w:tcPr>
          <w:p w:rsidR="00297FDD" w:rsidRPr="004E31CE" w:rsidRDefault="00297FDD" w:rsidP="00E032B8">
            <w:pPr>
              <w:rPr>
                <w:snapToGrid w:val="0"/>
              </w:rPr>
            </w:pPr>
            <w:r w:rsidRPr="004E31CE">
              <w:rPr>
                <w:snapToGrid w:val="0"/>
              </w:rPr>
              <w:t>2,2'-Methylene-bis-6-(2H-benzotriazol-2yl)-4-(tetramethyl-butyl)-1,1,3,3-phenol</w:t>
            </w:r>
          </w:p>
        </w:tc>
        <w:tc>
          <w:tcPr>
            <w:tcW w:w="2410" w:type="dxa"/>
          </w:tcPr>
          <w:p w:rsidR="00297FDD" w:rsidRPr="004E31CE" w:rsidRDefault="00297FDD" w:rsidP="00E032B8">
            <w:pPr>
              <w:rPr>
                <w:snapToGrid w:val="0"/>
              </w:rPr>
            </w:pPr>
            <w:r w:rsidRPr="004E31CE">
              <w:rPr>
                <w:snapToGrid w:val="0"/>
              </w:rPr>
              <w:t>Tinosorb M</w:t>
            </w:r>
          </w:p>
        </w:tc>
        <w:tc>
          <w:tcPr>
            <w:tcW w:w="1524" w:type="dxa"/>
          </w:tcPr>
          <w:p w:rsidR="00297FDD" w:rsidRPr="004E31CE" w:rsidRDefault="00297FDD" w:rsidP="00E032B8">
            <w:pPr>
              <w:rPr>
                <w:snapToGrid w:val="0"/>
              </w:rPr>
            </w:pPr>
            <w:r w:rsidRPr="004E31CE">
              <w:rPr>
                <w:snapToGrid w:val="0"/>
              </w:rPr>
              <w:t>10%</w:t>
            </w:r>
          </w:p>
        </w:tc>
      </w:tr>
      <w:tr w:rsidR="00297FDD" w:rsidTr="00E032B8">
        <w:tc>
          <w:tcPr>
            <w:tcW w:w="2128" w:type="dxa"/>
          </w:tcPr>
          <w:p w:rsidR="00297FDD" w:rsidRPr="004E31CE" w:rsidRDefault="00297FDD" w:rsidP="00E032B8">
            <w:r w:rsidRPr="004E31CE">
              <w:t xml:space="preserve">Drometrizole trisiloxane </w:t>
            </w:r>
            <w:r w:rsidR="00613231" w:rsidRPr="00613231">
              <w:rPr>
                <w:vertAlign w:val="superscript"/>
              </w:rPr>
              <w:t>5</w:t>
            </w:r>
          </w:p>
        </w:tc>
        <w:tc>
          <w:tcPr>
            <w:tcW w:w="2545" w:type="dxa"/>
          </w:tcPr>
          <w:p w:rsidR="00297FDD" w:rsidRPr="004E31CE" w:rsidRDefault="00297FDD" w:rsidP="00E032B8">
            <w:pPr>
              <w:rPr>
                <w:snapToGrid w:val="0"/>
              </w:rPr>
            </w:pPr>
            <w:r w:rsidRPr="004E31CE">
              <w:rPr>
                <w:snapToGrid w:val="0"/>
              </w:rPr>
              <w:t>phenol,2-(2H-benzotriazol-2-yl)-4-methyl-6[2-methyl-3-[1,3,3,3-tetramethyl-1-[(trimethylsilyl)oxy] disiloxanyl]propyl</w:t>
            </w:r>
          </w:p>
        </w:tc>
        <w:tc>
          <w:tcPr>
            <w:tcW w:w="2410" w:type="dxa"/>
          </w:tcPr>
          <w:p w:rsidR="00297FDD" w:rsidRPr="004E31CE" w:rsidRDefault="00297FDD" w:rsidP="00E032B8">
            <w:pPr>
              <w:rPr>
                <w:snapToGrid w:val="0"/>
              </w:rPr>
            </w:pPr>
            <w:r w:rsidRPr="004E31CE">
              <w:rPr>
                <w:snapToGrid w:val="0"/>
              </w:rPr>
              <w:t>Mexoryl XL</w:t>
            </w:r>
          </w:p>
        </w:tc>
        <w:tc>
          <w:tcPr>
            <w:tcW w:w="1524" w:type="dxa"/>
          </w:tcPr>
          <w:p w:rsidR="00297FDD" w:rsidRPr="004E31CE" w:rsidRDefault="00297FDD" w:rsidP="00E032B8">
            <w:pPr>
              <w:rPr>
                <w:snapToGrid w:val="0"/>
              </w:rPr>
            </w:pPr>
            <w:r w:rsidRPr="004E31CE">
              <w:rPr>
                <w:snapToGrid w:val="0"/>
              </w:rPr>
              <w:t>15%</w:t>
            </w:r>
          </w:p>
        </w:tc>
      </w:tr>
      <w:tr w:rsidR="00297FDD" w:rsidTr="00E032B8">
        <w:tc>
          <w:tcPr>
            <w:tcW w:w="2128" w:type="dxa"/>
          </w:tcPr>
          <w:p w:rsidR="00297FDD" w:rsidRPr="004E31CE" w:rsidRDefault="00297FDD" w:rsidP="00E032B8">
            <w:r w:rsidRPr="004E31CE">
              <w:t xml:space="preserve">Disodium phenyl dibenzimidazole tetrasulfonate </w:t>
            </w:r>
            <w:r w:rsidR="00613231" w:rsidRPr="00613231">
              <w:rPr>
                <w:vertAlign w:val="superscript"/>
              </w:rPr>
              <w:t>6</w:t>
            </w:r>
          </w:p>
        </w:tc>
        <w:tc>
          <w:tcPr>
            <w:tcW w:w="2545" w:type="dxa"/>
          </w:tcPr>
          <w:p w:rsidR="00297FDD" w:rsidRPr="004E31CE" w:rsidRDefault="00297FDD" w:rsidP="00E032B8">
            <w:pPr>
              <w:rPr>
                <w:snapToGrid w:val="0"/>
              </w:rPr>
            </w:pPr>
            <w:r w:rsidRPr="004E31CE">
              <w:rPr>
                <w:snapToGrid w:val="0"/>
              </w:rPr>
              <w:t>2,2'-(1,4-Phenylene) bis-(1-H-benzimidazole-4,6-disulfonic acid, monosodium salt)</w:t>
            </w:r>
          </w:p>
        </w:tc>
        <w:tc>
          <w:tcPr>
            <w:tcW w:w="2410" w:type="dxa"/>
          </w:tcPr>
          <w:p w:rsidR="00297FDD" w:rsidRPr="004E31CE" w:rsidRDefault="00297FDD" w:rsidP="00E032B8">
            <w:pPr>
              <w:rPr>
                <w:snapToGrid w:val="0"/>
              </w:rPr>
            </w:pPr>
            <w:r w:rsidRPr="004E31CE">
              <w:t>Bisimidazylate</w:t>
            </w:r>
            <w:r w:rsidRPr="004E31CE">
              <w:rPr>
                <w:snapToGrid w:val="0"/>
              </w:rPr>
              <w:t>, Neoheliopan AP</w:t>
            </w:r>
          </w:p>
        </w:tc>
        <w:tc>
          <w:tcPr>
            <w:tcW w:w="1524" w:type="dxa"/>
          </w:tcPr>
          <w:p w:rsidR="00297FDD" w:rsidRPr="004E31CE" w:rsidRDefault="00297FDD" w:rsidP="00E032B8">
            <w:pPr>
              <w:rPr>
                <w:snapToGrid w:val="0"/>
              </w:rPr>
            </w:pPr>
            <w:r w:rsidRPr="004E31CE">
              <w:rPr>
                <w:snapToGrid w:val="0"/>
              </w:rPr>
              <w:t>10%</w:t>
            </w:r>
          </w:p>
        </w:tc>
      </w:tr>
      <w:tr w:rsidR="00297FDD" w:rsidTr="00E032B8">
        <w:tc>
          <w:tcPr>
            <w:tcW w:w="2128" w:type="dxa"/>
            <w:tcBorders>
              <w:bottom w:val="single" w:sz="4" w:space="0" w:color="002C47" w:themeColor="accent1"/>
            </w:tcBorders>
          </w:tcPr>
          <w:p w:rsidR="00297FDD" w:rsidRPr="004E31CE" w:rsidRDefault="00297FDD" w:rsidP="00E032B8">
            <w:r w:rsidRPr="004E31CE">
              <w:t>Polysilicone-15</w:t>
            </w:r>
            <w:r w:rsidR="00613231" w:rsidRPr="00613231">
              <w:rPr>
                <w:vertAlign w:val="superscript"/>
              </w:rPr>
              <w:t>7</w:t>
            </w:r>
          </w:p>
        </w:tc>
        <w:tc>
          <w:tcPr>
            <w:tcW w:w="2545" w:type="dxa"/>
            <w:tcBorders>
              <w:bottom w:val="single" w:sz="4" w:space="0" w:color="002C47" w:themeColor="accent1"/>
            </w:tcBorders>
          </w:tcPr>
          <w:p w:rsidR="00297FDD" w:rsidRPr="004E31CE" w:rsidRDefault="00297FDD" w:rsidP="00E032B8">
            <w:pPr>
              <w:rPr>
                <w:snapToGrid w:val="0"/>
              </w:rPr>
            </w:pPr>
            <w:r w:rsidRPr="004E31CE">
              <w:rPr>
                <w:snapToGrid w:val="0"/>
              </w:rPr>
              <w:t>Dimethicodiethylbenzalmalonate</w:t>
            </w:r>
          </w:p>
        </w:tc>
        <w:tc>
          <w:tcPr>
            <w:tcW w:w="2410" w:type="dxa"/>
            <w:tcBorders>
              <w:bottom w:val="single" w:sz="4" w:space="0" w:color="002C47" w:themeColor="accent1"/>
            </w:tcBorders>
          </w:tcPr>
          <w:p w:rsidR="00297FDD" w:rsidRPr="004E31CE" w:rsidRDefault="00297FDD" w:rsidP="00E032B8">
            <w:r w:rsidRPr="004E31CE">
              <w:t>Parsol SLX</w:t>
            </w:r>
          </w:p>
        </w:tc>
        <w:tc>
          <w:tcPr>
            <w:tcW w:w="1524" w:type="dxa"/>
            <w:tcBorders>
              <w:bottom w:val="single" w:sz="4" w:space="0" w:color="002C47" w:themeColor="accent1"/>
            </w:tcBorders>
          </w:tcPr>
          <w:p w:rsidR="00297FDD" w:rsidRPr="004E31CE" w:rsidRDefault="00297FDD" w:rsidP="00E032B8">
            <w:pPr>
              <w:rPr>
                <w:snapToGrid w:val="0"/>
              </w:rPr>
            </w:pPr>
            <w:r w:rsidRPr="004E31CE">
              <w:rPr>
                <w:snapToGrid w:val="0"/>
              </w:rPr>
              <w:t>10%</w:t>
            </w:r>
          </w:p>
        </w:tc>
      </w:tr>
    </w:tbl>
    <w:p w:rsidR="00297FDD" w:rsidRPr="00AB7577" w:rsidRDefault="00297FDD" w:rsidP="00297FDD">
      <w:pPr>
        <w:rPr>
          <w:i/>
        </w:rPr>
      </w:pPr>
    </w:p>
    <w:p w:rsidR="00297FDD" w:rsidRPr="00BF4A32" w:rsidRDefault="00297FDD" w:rsidP="00297FDD">
      <w:pPr>
        <w:pStyle w:val="Notes"/>
        <w:rPr>
          <w:rFonts w:ascii="Cambria" w:hAnsi="Cambria"/>
          <w:sz w:val="20"/>
        </w:rPr>
      </w:pPr>
      <w:r w:rsidRPr="00BF4A32">
        <w:rPr>
          <w:rFonts w:ascii="Cambria" w:hAnsi="Cambria"/>
          <w:sz w:val="20"/>
        </w:rPr>
        <w:t>1. Maximum concentration for zinc oxide amended 12 December 2003</w:t>
      </w:r>
    </w:p>
    <w:p w:rsidR="00297FDD" w:rsidRPr="00BF4A32" w:rsidRDefault="00297FDD" w:rsidP="00297FDD">
      <w:pPr>
        <w:pStyle w:val="Notes"/>
        <w:rPr>
          <w:rFonts w:ascii="Cambria" w:hAnsi="Cambria"/>
          <w:sz w:val="20"/>
        </w:rPr>
      </w:pPr>
      <w:r w:rsidRPr="00BF4A32">
        <w:rPr>
          <w:rFonts w:ascii="Cambria" w:hAnsi="Cambria"/>
          <w:sz w:val="20"/>
        </w:rPr>
        <w:t>2. ‘Benzophenone-4’ deleted from column 1 and ‘Sulisobenzone’ moved from column 2 to column 1,  25</w:t>
      </w:r>
      <w:r w:rsidRPr="00BF4A32">
        <w:rPr>
          <w:rFonts w:ascii="Cambria" w:hAnsi="Cambria"/>
          <w:sz w:val="20"/>
        </w:rPr>
        <w:sym w:font="Symbol" w:char="F020"/>
      </w:r>
      <w:r w:rsidRPr="00BF4A32">
        <w:rPr>
          <w:rFonts w:ascii="Cambria" w:hAnsi="Cambria"/>
          <w:sz w:val="20"/>
        </w:rPr>
        <w:t>June 2004</w:t>
      </w:r>
    </w:p>
    <w:p w:rsidR="00297FDD" w:rsidRPr="00BF4A32" w:rsidRDefault="00297FDD" w:rsidP="00297FDD">
      <w:pPr>
        <w:pStyle w:val="Notes"/>
        <w:rPr>
          <w:rFonts w:ascii="Cambria" w:hAnsi="Cambria"/>
          <w:sz w:val="20"/>
        </w:rPr>
      </w:pPr>
      <w:r w:rsidRPr="00BF4A32">
        <w:rPr>
          <w:rFonts w:ascii="Cambria" w:hAnsi="Cambria"/>
          <w:sz w:val="20"/>
        </w:rPr>
        <w:t>3. ‘Bemotrizinol’ added 22 November 2004</w:t>
      </w:r>
    </w:p>
    <w:p w:rsidR="00297FDD" w:rsidRPr="00BF4A32" w:rsidRDefault="00297FDD" w:rsidP="00297FDD">
      <w:pPr>
        <w:pStyle w:val="Notes"/>
        <w:rPr>
          <w:rFonts w:ascii="Cambria" w:hAnsi="Cambria"/>
          <w:sz w:val="20"/>
        </w:rPr>
      </w:pPr>
      <w:r w:rsidRPr="00BF4A32">
        <w:rPr>
          <w:rFonts w:ascii="Cambria" w:hAnsi="Cambria"/>
          <w:sz w:val="20"/>
        </w:rPr>
        <w:t>4. ‘Methylene bis-benzotriazolyl tetramethylbutyl phenol’ added, 22 November 2004</w:t>
      </w:r>
    </w:p>
    <w:p w:rsidR="00297FDD" w:rsidRPr="00BF4A32" w:rsidRDefault="00297FDD" w:rsidP="00297FDD">
      <w:pPr>
        <w:pStyle w:val="Notes"/>
        <w:rPr>
          <w:rFonts w:ascii="Cambria" w:hAnsi="Cambria"/>
          <w:sz w:val="20"/>
        </w:rPr>
      </w:pPr>
      <w:r w:rsidRPr="00BF4A32">
        <w:rPr>
          <w:rFonts w:ascii="Cambria" w:hAnsi="Cambria"/>
          <w:sz w:val="20"/>
        </w:rPr>
        <w:t>5. ‘Drometrizole trisiloxane’ added, 6 December 2004</w:t>
      </w:r>
    </w:p>
    <w:p w:rsidR="00297FDD" w:rsidRPr="00BF4A32" w:rsidRDefault="00297FDD" w:rsidP="00297FDD">
      <w:pPr>
        <w:pStyle w:val="Notes"/>
        <w:rPr>
          <w:rFonts w:ascii="Cambria" w:hAnsi="Cambria"/>
          <w:sz w:val="20"/>
        </w:rPr>
      </w:pPr>
      <w:r w:rsidRPr="00BF4A32">
        <w:rPr>
          <w:rFonts w:ascii="Cambria" w:hAnsi="Cambria"/>
          <w:sz w:val="20"/>
        </w:rPr>
        <w:t>6. ‘Disodium phenyl dibenzimidazole tetrasulfonate’ added, 31 August 2005</w:t>
      </w:r>
    </w:p>
    <w:p w:rsidR="00297FDD" w:rsidRPr="00BF4A32" w:rsidRDefault="00297FDD" w:rsidP="00297FDD">
      <w:pPr>
        <w:pStyle w:val="Notes"/>
        <w:rPr>
          <w:rFonts w:ascii="Cambria" w:hAnsi="Cambria"/>
          <w:sz w:val="20"/>
        </w:rPr>
      </w:pPr>
      <w:r w:rsidRPr="00BF4A32">
        <w:rPr>
          <w:rFonts w:ascii="Cambria" w:hAnsi="Cambria"/>
          <w:sz w:val="20"/>
        </w:rPr>
        <w:t>7. ‘Polysilicone’ added, 18 August 2006</w:t>
      </w:r>
    </w:p>
    <w:p w:rsidR="00297FDD" w:rsidRPr="000029DC" w:rsidRDefault="00297FDD" w:rsidP="00297FDD"/>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97FDD" w:rsidTr="00E032B8">
        <w:trPr>
          <w:trHeight w:val="388"/>
        </w:trPr>
        <w:tc>
          <w:tcPr>
            <w:tcW w:w="20" w:type="dxa"/>
            <w:vAlign w:val="center"/>
          </w:tcPr>
          <w:p w:rsidR="00297FDD" w:rsidRDefault="00297FDD" w:rsidP="00E032B8"/>
        </w:tc>
        <w:tc>
          <w:tcPr>
            <w:tcW w:w="9018" w:type="dxa"/>
            <w:shd w:val="clear" w:color="auto" w:fill="EAEAEA"/>
            <w:tcMar>
              <w:top w:w="170" w:type="dxa"/>
              <w:left w:w="170" w:type="dxa"/>
              <w:bottom w:w="170" w:type="dxa"/>
              <w:right w:w="170" w:type="dxa"/>
            </w:tcMar>
          </w:tcPr>
          <w:p w:rsidR="00297FDD" w:rsidRPr="000029DC" w:rsidRDefault="00297FDD" w:rsidP="00E032B8">
            <w:r>
              <w:t>Shading indicates that the sunscreen agent is currently under review – new products containing any of these ingredients will not be listed until the review has been completed</w:t>
            </w:r>
          </w:p>
        </w:tc>
      </w:tr>
    </w:tbl>
    <w:p w:rsidR="00297FDD" w:rsidRDefault="00297FDD" w:rsidP="00297FDD">
      <w:pPr>
        <w:rPr>
          <w:rFonts w:asciiTheme="minorHAnsi" w:eastAsiaTheme="majorEastAsia" w:hAnsiTheme="minorHAnsi" w:cstheme="majorBidi"/>
          <w:b/>
          <w:bCs/>
          <w:sz w:val="22"/>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97FDD" w:rsidTr="00E032B8">
        <w:trPr>
          <w:trHeight w:val="388"/>
        </w:trPr>
        <w:tc>
          <w:tcPr>
            <w:tcW w:w="20" w:type="dxa"/>
            <w:vAlign w:val="center"/>
          </w:tcPr>
          <w:p w:rsidR="00297FDD" w:rsidRDefault="00297FDD" w:rsidP="00E032B8"/>
        </w:tc>
        <w:tc>
          <w:tcPr>
            <w:tcW w:w="9018" w:type="dxa"/>
            <w:shd w:val="clear" w:color="auto" w:fill="EAEAEA"/>
            <w:tcMar>
              <w:top w:w="170" w:type="dxa"/>
              <w:left w:w="170" w:type="dxa"/>
              <w:bottom w:w="170" w:type="dxa"/>
              <w:right w:w="170" w:type="dxa"/>
            </w:tcMar>
          </w:tcPr>
          <w:p w:rsidR="00297FDD" w:rsidRPr="000029DC" w:rsidRDefault="00297FDD" w:rsidP="00E032B8">
            <w:pPr>
              <w:rPr>
                <w:rFonts w:asciiTheme="minorHAnsi" w:eastAsiaTheme="majorEastAsia" w:hAnsiTheme="minorHAnsi" w:cstheme="majorBidi"/>
                <w:b/>
                <w:bCs/>
                <w:sz w:val="22"/>
              </w:rPr>
            </w:pPr>
            <w:r>
              <w:t xml:space="preserve">Note: Sponsors wanting to market a product containing an active ingredient not on this list must submit data to establish the safety of the ingredient under its proposed conditions of use (See </w:t>
            </w:r>
            <w:hyperlink w:anchor="SunscreenNewActives" w:history="1">
              <w:r w:rsidRPr="00B169D5">
                <w:rPr>
                  <w:rStyle w:val="Hyperlink"/>
                </w:rPr>
                <w:t>New activ</w:t>
              </w:r>
              <w:bookmarkStart w:id="585" w:name="_Hlt51729012"/>
              <w:r w:rsidRPr="00B169D5">
                <w:rPr>
                  <w:rStyle w:val="Hyperlink"/>
                </w:rPr>
                <w:t>e</w:t>
              </w:r>
              <w:bookmarkEnd w:id="585"/>
              <w:r w:rsidRPr="00B169D5">
                <w:rPr>
                  <w:rStyle w:val="Hyperlink"/>
                </w:rPr>
                <w:t xml:space="preserve"> ingr</w:t>
              </w:r>
              <w:bookmarkStart w:id="586" w:name="_Hlt51666483"/>
              <w:r w:rsidRPr="00B169D5">
                <w:rPr>
                  <w:rStyle w:val="Hyperlink"/>
                </w:rPr>
                <w:t>e</w:t>
              </w:r>
              <w:bookmarkEnd w:id="586"/>
              <w:r w:rsidRPr="00B169D5">
                <w:rPr>
                  <w:rStyle w:val="Hyperlink"/>
                </w:rPr>
                <w:t>dients in sunscreens</w:t>
              </w:r>
            </w:hyperlink>
            <w:r>
              <w:t>).</w:t>
            </w:r>
          </w:p>
        </w:tc>
      </w:tr>
    </w:tbl>
    <w:p w:rsidR="00F847D0" w:rsidRDefault="00F847D0" w:rsidP="00297FDD">
      <w:pPr>
        <w:rPr>
          <w:rFonts w:asciiTheme="minorHAnsi" w:eastAsiaTheme="majorEastAsia" w:hAnsiTheme="minorHAnsi" w:cstheme="majorBidi"/>
          <w:b/>
          <w:bCs/>
          <w:sz w:val="22"/>
        </w:rPr>
      </w:pPr>
    </w:p>
    <w:p w:rsidR="00F847D0" w:rsidRDefault="00F847D0">
      <w:pPr>
        <w:spacing w:after="200" w:line="0" w:lineRule="auto"/>
        <w:rPr>
          <w:rFonts w:asciiTheme="minorHAnsi" w:eastAsiaTheme="majorEastAsia" w:hAnsiTheme="minorHAnsi" w:cstheme="majorBidi"/>
          <w:b/>
          <w:bCs/>
          <w:sz w:val="22"/>
        </w:rPr>
      </w:pPr>
      <w:r>
        <w:rPr>
          <w:rFonts w:asciiTheme="minorHAnsi" w:eastAsiaTheme="majorEastAsia" w:hAnsiTheme="minorHAnsi" w:cstheme="majorBidi"/>
          <w:b/>
          <w:bCs/>
          <w:sz w:val="22"/>
        </w:rPr>
        <w:br w:type="page"/>
      </w:r>
    </w:p>
    <w:p w:rsidR="00D67947" w:rsidRDefault="00D67947" w:rsidP="00F847D0">
      <w:pPr>
        <w:pStyle w:val="Heading1"/>
        <w:sectPr w:rsidR="00D67947" w:rsidSect="00E7356B">
          <w:headerReference w:type="even" r:id="rId89"/>
          <w:headerReference w:type="default" r:id="rId90"/>
          <w:footerReference w:type="default" r:id="rId91"/>
          <w:headerReference w:type="first" r:id="rId92"/>
          <w:footnotePr>
            <w:numRestart w:val="eachSect"/>
          </w:footnotePr>
          <w:type w:val="continuous"/>
          <w:pgSz w:w="11906" w:h="16838" w:code="9"/>
          <w:pgMar w:top="2211" w:right="1701" w:bottom="1701" w:left="1701" w:header="907" w:footer="142" w:gutter="0"/>
          <w:cols w:space="708"/>
          <w:docGrid w:linePitch="360"/>
        </w:sectPr>
      </w:pPr>
      <w:bookmarkStart w:id="587" w:name="_Toc41208741"/>
      <w:bookmarkStart w:id="588" w:name="_Toc43884026"/>
      <w:bookmarkStart w:id="589" w:name="_Toc44298201"/>
      <w:bookmarkStart w:id="590" w:name="_Toc44299418"/>
      <w:bookmarkStart w:id="591" w:name="_Toc45684863"/>
      <w:bookmarkStart w:id="592" w:name="_Toc51726294"/>
      <w:bookmarkStart w:id="593" w:name="_Toc64108545"/>
      <w:bookmarkStart w:id="594" w:name="_Toc139259086"/>
      <w:bookmarkStart w:id="595" w:name="Changes"/>
    </w:p>
    <w:p w:rsidR="00F847D0" w:rsidRDefault="00F847D0" w:rsidP="00F847D0">
      <w:pPr>
        <w:pStyle w:val="Heading1"/>
      </w:pPr>
      <w:bookmarkStart w:id="596" w:name="_11._Changes_to"/>
      <w:bookmarkStart w:id="597" w:name="_Toc310280534"/>
      <w:bookmarkEnd w:id="596"/>
      <w:r>
        <w:lastRenderedPageBreak/>
        <w:t>11.</w:t>
      </w:r>
      <w:r>
        <w:tab/>
        <w:t>Changes to OTC medicines</w:t>
      </w:r>
      <w:bookmarkEnd w:id="587"/>
      <w:bookmarkEnd w:id="588"/>
      <w:bookmarkEnd w:id="589"/>
      <w:bookmarkEnd w:id="590"/>
      <w:bookmarkEnd w:id="591"/>
      <w:bookmarkEnd w:id="592"/>
      <w:bookmarkEnd w:id="593"/>
      <w:bookmarkEnd w:id="594"/>
      <w:bookmarkEnd w:id="597"/>
      <w:r>
        <w:t xml:space="preserve"> </w:t>
      </w:r>
    </w:p>
    <w:p w:rsidR="00F847D0" w:rsidRPr="000029DC" w:rsidRDefault="00F847D0" w:rsidP="00F847D0">
      <w:pPr>
        <w:pStyle w:val="Heading2"/>
      </w:pPr>
      <w:bookmarkStart w:id="598" w:name="_Toc40505234"/>
      <w:bookmarkStart w:id="599" w:name="_Toc40505458"/>
      <w:bookmarkStart w:id="600" w:name="_Toc40771742"/>
      <w:bookmarkStart w:id="601" w:name="_Toc41208742"/>
      <w:bookmarkStart w:id="602" w:name="_Toc43884027"/>
      <w:bookmarkStart w:id="603" w:name="_Toc44298202"/>
      <w:bookmarkStart w:id="604" w:name="_Toc44299419"/>
      <w:bookmarkStart w:id="605" w:name="_Toc45684864"/>
      <w:bookmarkStart w:id="606" w:name="_Toc51726295"/>
      <w:bookmarkStart w:id="607" w:name="_Toc64108546"/>
      <w:bookmarkStart w:id="608" w:name="_Toc139259087"/>
      <w:bookmarkStart w:id="609" w:name="_Toc310280535"/>
      <w:bookmarkEnd w:id="595"/>
      <w:r>
        <w:t>Is notification or prior approval required?</w:t>
      </w:r>
      <w:bookmarkEnd w:id="598"/>
      <w:bookmarkEnd w:id="599"/>
      <w:bookmarkEnd w:id="600"/>
      <w:bookmarkEnd w:id="601"/>
      <w:bookmarkEnd w:id="602"/>
      <w:bookmarkEnd w:id="603"/>
      <w:bookmarkEnd w:id="604"/>
      <w:bookmarkEnd w:id="605"/>
      <w:bookmarkEnd w:id="606"/>
      <w:bookmarkEnd w:id="607"/>
      <w:bookmarkEnd w:id="608"/>
      <w:bookmarkEnd w:id="609"/>
    </w:p>
    <w:p w:rsidR="0037564C" w:rsidRDefault="00F847D0" w:rsidP="00F847D0">
      <w:r>
        <w:t>Following the inclusion of your product as a registered OTC medicine in the Australian Register of Therapeutic Goods (ARTG), you may wish to change certain details held by the TGA. Influences such as product stability, manufacturer changes and developing marketing strategies may dictate changes to product details which were approved at the time of the product’s inclusion in the ARTG.</w:t>
      </w:r>
    </w:p>
    <w:p w:rsidR="0037564C" w:rsidRDefault="00F847D0" w:rsidP="00F847D0">
      <w:r>
        <w:t>It is a condition of registration of your goods that you notify the TGA of any changes in information that may have been relevant to a decision to register the goods.</w:t>
      </w:r>
    </w:p>
    <w:p w:rsidR="0037564C" w:rsidRDefault="00F847D0" w:rsidP="00F847D0">
      <w:r>
        <w:t xml:space="preserve">The </w:t>
      </w:r>
      <w:hyperlink w:anchor="Changestable" w:history="1">
        <w:r w:rsidRPr="00B169D5">
          <w:rPr>
            <w:rStyle w:val="Hyperlink"/>
          </w:rPr>
          <w:t>Changes t</w:t>
        </w:r>
        <w:bookmarkStart w:id="610" w:name="_Hlt40762373"/>
        <w:r w:rsidRPr="00B169D5">
          <w:rPr>
            <w:rStyle w:val="Hyperlink"/>
          </w:rPr>
          <w:t>a</w:t>
        </w:r>
        <w:bookmarkEnd w:id="610"/>
        <w:r w:rsidRPr="00B169D5">
          <w:rPr>
            <w:rStyle w:val="Hyperlink"/>
          </w:rPr>
          <w:t>ble</w:t>
        </w:r>
      </w:hyperlink>
      <w:r>
        <w:t xml:space="preserve"> in this Chapter sets out the steps that you must take </w:t>
      </w:r>
      <w:r>
        <w:rPr>
          <w:b/>
          <w:i/>
        </w:rPr>
        <w:t>before</w:t>
      </w:r>
      <w:r>
        <w:rPr>
          <w:b/>
        </w:rPr>
        <w:t xml:space="preserve"> </w:t>
      </w:r>
      <w:r>
        <w:t xml:space="preserve">proceeding with a change. Note that the </w:t>
      </w:r>
      <w:r>
        <w:rPr>
          <w:i/>
        </w:rPr>
        <w:t>Therapeutic Goods Act 1989</w:t>
      </w:r>
      <w:r>
        <w:t xml:space="preserve"> provides for penalties where a change is implemented without the approval of the TGA (see subsection 22(3) of the </w:t>
      </w:r>
      <w:r>
        <w:rPr>
          <w:i/>
        </w:rPr>
        <w:t>Act</w:t>
      </w:r>
      <w:r>
        <w:t>).</w:t>
      </w:r>
    </w:p>
    <w:p w:rsidR="00F847D0" w:rsidRPr="000029DC" w:rsidRDefault="00F847D0" w:rsidP="00F847D0">
      <w:pPr>
        <w:pStyle w:val="Heading2"/>
        <w:rPr>
          <w:sz w:val="22"/>
        </w:rPr>
      </w:pPr>
      <w:bookmarkStart w:id="611" w:name="_Toc40505235"/>
      <w:bookmarkStart w:id="612" w:name="_Toc40505459"/>
      <w:bookmarkStart w:id="613" w:name="_Toc40771743"/>
      <w:bookmarkStart w:id="614" w:name="_Toc41208743"/>
      <w:bookmarkStart w:id="615" w:name="_Toc43884028"/>
      <w:bookmarkStart w:id="616" w:name="_Toc44298203"/>
      <w:bookmarkStart w:id="617" w:name="_Toc44299420"/>
      <w:bookmarkStart w:id="618" w:name="_Toc45684865"/>
      <w:bookmarkStart w:id="619" w:name="_Toc51726296"/>
      <w:bookmarkStart w:id="620" w:name="_Toc64108547"/>
      <w:bookmarkStart w:id="621" w:name="_Toc139259088"/>
      <w:bookmarkStart w:id="622" w:name="_Toc310280536"/>
      <w:r>
        <w:t>About this document</w:t>
      </w:r>
      <w:bookmarkEnd w:id="611"/>
      <w:bookmarkEnd w:id="612"/>
      <w:bookmarkEnd w:id="613"/>
      <w:bookmarkEnd w:id="614"/>
      <w:bookmarkEnd w:id="615"/>
      <w:bookmarkEnd w:id="616"/>
      <w:bookmarkEnd w:id="617"/>
      <w:bookmarkEnd w:id="618"/>
      <w:bookmarkEnd w:id="619"/>
      <w:bookmarkEnd w:id="620"/>
      <w:bookmarkEnd w:id="621"/>
      <w:bookmarkEnd w:id="622"/>
    </w:p>
    <w:p w:rsidR="0037564C" w:rsidRDefault="00F847D0" w:rsidP="00F847D0">
      <w:r>
        <w:t>While this document gives summary information about the legislation, you are strongly advised to refer to the legislation itself for complete information on the implications for your product. This document refers only to registered OTC medicines. It does not apply to listed medicines, complementary medicines or medicines of the type evaluated by the Drug Safety and Evaluation Branch.</w:t>
      </w:r>
    </w:p>
    <w:p w:rsidR="00F847D0" w:rsidRPr="000029DC" w:rsidRDefault="00F847D0" w:rsidP="00F847D0">
      <w:pPr>
        <w:pStyle w:val="Heading2"/>
        <w:rPr>
          <w:sz w:val="22"/>
        </w:rPr>
      </w:pPr>
      <w:bookmarkStart w:id="623" w:name="_Toc40505236"/>
      <w:bookmarkStart w:id="624" w:name="_Toc40505460"/>
      <w:bookmarkStart w:id="625" w:name="_Toc40771744"/>
      <w:bookmarkStart w:id="626" w:name="_Toc41208744"/>
      <w:bookmarkStart w:id="627" w:name="_Toc43884029"/>
      <w:bookmarkStart w:id="628" w:name="_Toc44298204"/>
      <w:bookmarkStart w:id="629" w:name="_Toc44299421"/>
      <w:bookmarkStart w:id="630" w:name="_Toc45684866"/>
      <w:bookmarkStart w:id="631" w:name="_Toc51726297"/>
      <w:bookmarkStart w:id="632" w:name="_Toc64108548"/>
      <w:bookmarkStart w:id="633" w:name="_Toc139259089"/>
      <w:bookmarkStart w:id="634" w:name="_Toc310280537"/>
      <w:r>
        <w:t>Which form do I fill in?</w:t>
      </w:r>
      <w:bookmarkEnd w:id="623"/>
      <w:bookmarkEnd w:id="624"/>
      <w:bookmarkEnd w:id="625"/>
      <w:bookmarkEnd w:id="626"/>
      <w:bookmarkEnd w:id="627"/>
      <w:bookmarkEnd w:id="628"/>
      <w:bookmarkEnd w:id="629"/>
      <w:bookmarkEnd w:id="630"/>
      <w:bookmarkEnd w:id="631"/>
      <w:bookmarkEnd w:id="632"/>
      <w:bookmarkEnd w:id="633"/>
      <w:bookmarkEnd w:id="634"/>
    </w:p>
    <w:p w:rsidR="0037564C" w:rsidRDefault="00F847D0" w:rsidP="00F847D0">
      <w:pPr>
        <w:rPr>
          <w:i/>
        </w:rPr>
      </w:pPr>
      <w:r>
        <w:t>Applications for variation of an existing product should be made on the</w:t>
      </w:r>
      <w:r>
        <w:rPr>
          <w:i/>
        </w:rPr>
        <w:t xml:space="preserve"> Registered medicine variation form (OTC)</w:t>
      </w:r>
      <w:r w:rsidR="00613231" w:rsidRPr="00613231">
        <w:rPr>
          <w:rStyle w:val="FootnoteReference"/>
        </w:rPr>
        <w:footnoteReference w:id="36"/>
      </w:r>
      <w:r>
        <w:t>. Applications for registration of a</w:t>
      </w:r>
      <w:r>
        <w:rPr>
          <w:b/>
        </w:rPr>
        <w:t xml:space="preserve"> new product</w:t>
      </w:r>
      <w:r>
        <w:t xml:space="preserve"> should be made on the </w:t>
      </w:r>
      <w:r>
        <w:rPr>
          <w:i/>
        </w:rPr>
        <w:t>New medicine registration application form (OTC)</w:t>
      </w:r>
      <w:r w:rsidR="00613231" w:rsidRPr="00613231">
        <w:rPr>
          <w:rStyle w:val="FootnoteReference"/>
        </w:rPr>
        <w:footnoteReference w:id="37"/>
      </w:r>
      <w:r>
        <w:t>. These forms are available on the OTC medicines page</w:t>
      </w:r>
      <w:r w:rsidR="00613231" w:rsidRPr="00613231">
        <w:rPr>
          <w:rStyle w:val="FootnoteReference"/>
        </w:rPr>
        <w:footnoteReference w:id="38"/>
      </w:r>
      <w:r>
        <w:t xml:space="preserve"> of the TGA website.</w:t>
      </w:r>
    </w:p>
    <w:p w:rsidR="00F847D0" w:rsidRDefault="00F847D0" w:rsidP="00F847D0">
      <w:pPr>
        <w:pStyle w:val="Heading2"/>
        <w:rPr>
          <w:sz w:val="22"/>
        </w:rPr>
      </w:pPr>
      <w:bookmarkStart w:id="637" w:name="_Toc40505237"/>
      <w:bookmarkStart w:id="638" w:name="_Toc40505461"/>
      <w:bookmarkStart w:id="639" w:name="_Toc40771745"/>
      <w:bookmarkStart w:id="640" w:name="_Toc41208745"/>
      <w:bookmarkStart w:id="641" w:name="_Toc43884030"/>
      <w:bookmarkStart w:id="642" w:name="_Toc44298205"/>
      <w:bookmarkStart w:id="643" w:name="_Toc44299422"/>
      <w:bookmarkStart w:id="644" w:name="_Toc45684867"/>
      <w:bookmarkStart w:id="645" w:name="_Toc51726298"/>
      <w:bookmarkStart w:id="646" w:name="_Toc64108549"/>
      <w:bookmarkStart w:id="647" w:name="_Toc139259090"/>
      <w:bookmarkStart w:id="648" w:name="_Toc310280538"/>
      <w:r>
        <w:t>How much will it cost?</w:t>
      </w:r>
      <w:bookmarkEnd w:id="637"/>
      <w:bookmarkEnd w:id="638"/>
      <w:bookmarkEnd w:id="639"/>
      <w:bookmarkEnd w:id="640"/>
      <w:bookmarkEnd w:id="641"/>
      <w:bookmarkEnd w:id="642"/>
      <w:bookmarkEnd w:id="643"/>
      <w:bookmarkEnd w:id="644"/>
      <w:bookmarkEnd w:id="645"/>
      <w:bookmarkEnd w:id="646"/>
      <w:bookmarkEnd w:id="647"/>
      <w:bookmarkEnd w:id="648"/>
    </w:p>
    <w:p w:rsidR="0037564C" w:rsidRDefault="00F847D0" w:rsidP="00F847D0">
      <w:r>
        <w:t>All applications directed to the Non-Prescription Medicines Branch, whether requiring notification or prior approval, will attract an application fee. For applications which require approval, a separate evaluation fee is payable. Information on current fees is available on the TGA website</w:t>
      </w:r>
      <w:r w:rsidR="00613231" w:rsidRPr="00613231">
        <w:rPr>
          <w:rStyle w:val="FootnoteReference"/>
        </w:rPr>
        <w:footnoteReference w:id="39"/>
      </w:r>
      <w:r>
        <w:t xml:space="preserve"> or from the TGA Publications Office – Freecall 1800 020 653.</w:t>
      </w:r>
    </w:p>
    <w:p w:rsidR="0037564C" w:rsidRDefault="00F847D0" w:rsidP="00F847D0">
      <w:r>
        <w:t xml:space="preserve">The </w:t>
      </w:r>
      <w:r>
        <w:rPr>
          <w:i/>
        </w:rPr>
        <w:t>Therapeutic Goods Regulations</w:t>
      </w:r>
      <w:r>
        <w:t xml:space="preserve"> provide for the waiver or reduction of evaluation fees under certain circumstances. If the change to your product is such that you feel you are eligible for a waiver or reduction of the evaluation fee you should pay the full fee at the time of application and include a request for waiver/reduction with the application. Reductions or waivers are </w:t>
      </w:r>
      <w:r>
        <w:rPr>
          <w:b/>
          <w:i/>
        </w:rPr>
        <w:t>not</w:t>
      </w:r>
      <w:r>
        <w:t xml:space="preserve"> granted as a matter of course. Each application is judged on its own merits. If approved, the appropriate </w:t>
      </w:r>
      <w:r>
        <w:lastRenderedPageBreak/>
        <w:t>amount will be refunded by the Business Management Unit. Processing delays may result if the correct fees are not paid at the time of application.</w:t>
      </w:r>
    </w:p>
    <w:p w:rsidR="0037564C" w:rsidRDefault="00F847D0" w:rsidP="00F847D0">
      <w:r>
        <w:t xml:space="preserve">Refer to Regulation 45 of the </w:t>
      </w:r>
      <w:r>
        <w:rPr>
          <w:i/>
        </w:rPr>
        <w:t>Therapeutic Goods Regulations</w:t>
      </w:r>
      <w:r>
        <w:t xml:space="preserve"> for the criteria applying to the waiver and/or reduction of fees.</w:t>
      </w:r>
    </w:p>
    <w:p w:rsidR="00F847D0" w:rsidRPr="000029DC" w:rsidRDefault="00F847D0" w:rsidP="00F847D0">
      <w:pPr>
        <w:pStyle w:val="Heading2"/>
        <w:rPr>
          <w:sz w:val="22"/>
        </w:rPr>
      </w:pPr>
      <w:bookmarkStart w:id="649" w:name="_Toc40505238"/>
      <w:bookmarkStart w:id="650" w:name="_Toc40505462"/>
      <w:bookmarkStart w:id="651" w:name="_Toc40771746"/>
      <w:bookmarkStart w:id="652" w:name="_Toc41208746"/>
      <w:bookmarkStart w:id="653" w:name="_Toc43884031"/>
      <w:bookmarkStart w:id="654" w:name="_Toc44298206"/>
      <w:bookmarkStart w:id="655" w:name="_Toc44299423"/>
      <w:bookmarkStart w:id="656" w:name="_Toc45684868"/>
      <w:bookmarkStart w:id="657" w:name="_Toc51726299"/>
      <w:bookmarkStart w:id="658" w:name="_Toc64108550"/>
      <w:bookmarkStart w:id="659" w:name="_Toc139259091"/>
      <w:bookmarkStart w:id="660" w:name="_Toc310280539"/>
      <w:r>
        <w:t>Does the change make the goods ‘separate and distinct’?</w:t>
      </w:r>
      <w:bookmarkEnd w:id="649"/>
      <w:bookmarkEnd w:id="650"/>
      <w:bookmarkEnd w:id="651"/>
      <w:bookmarkEnd w:id="652"/>
      <w:bookmarkEnd w:id="653"/>
      <w:bookmarkEnd w:id="654"/>
      <w:bookmarkEnd w:id="655"/>
      <w:bookmarkEnd w:id="656"/>
      <w:bookmarkEnd w:id="657"/>
      <w:bookmarkEnd w:id="658"/>
      <w:bookmarkEnd w:id="659"/>
      <w:bookmarkEnd w:id="660"/>
    </w:p>
    <w:p w:rsidR="0037564C" w:rsidRDefault="00F847D0" w:rsidP="00F847D0">
      <w:r>
        <w:t xml:space="preserve">Some changes may render the changed goods </w:t>
      </w:r>
      <w:r>
        <w:rPr>
          <w:i/>
        </w:rPr>
        <w:t>separate and distinct</w:t>
      </w:r>
      <w:r>
        <w:t xml:space="preserve"> from the present goods. Section 16 of the </w:t>
      </w:r>
      <w:r>
        <w:rPr>
          <w:i/>
        </w:rPr>
        <w:t>Act</w:t>
      </w:r>
      <w:r>
        <w:t xml:space="preserve"> lists those criteria which make goods </w:t>
      </w:r>
      <w:r>
        <w:rPr>
          <w:i/>
        </w:rPr>
        <w:t>separate and distinct</w:t>
      </w:r>
      <w:r>
        <w:t>. Where the</w:t>
      </w:r>
      <w:r>
        <w:rPr>
          <w:i/>
        </w:rPr>
        <w:t xml:space="preserve"> Therapeutic Goods (Groups) Order </w:t>
      </w:r>
      <w:r>
        <w:t>(the ‘</w:t>
      </w:r>
      <w:r>
        <w:rPr>
          <w:i/>
        </w:rPr>
        <w:t>Groups Order</w:t>
      </w:r>
      <w:r>
        <w:t xml:space="preserve">’) applies, the ‘new’ goods, although technically </w:t>
      </w:r>
      <w:r>
        <w:rPr>
          <w:i/>
        </w:rPr>
        <w:t xml:space="preserve">separate and distinct </w:t>
      </w:r>
      <w:r>
        <w:t xml:space="preserve">from the present goods, may be ‘grouped’ in the same register entry as the existing goods. If the ‘new’ goods are </w:t>
      </w:r>
      <w:r>
        <w:rPr>
          <w:i/>
        </w:rPr>
        <w:t>separate and distinct</w:t>
      </w:r>
      <w:r>
        <w:t xml:space="preserve"> and the </w:t>
      </w:r>
      <w:r>
        <w:rPr>
          <w:i/>
        </w:rPr>
        <w:t>Groups Order</w:t>
      </w:r>
      <w:r>
        <w:t xml:space="preserve"> does </w:t>
      </w:r>
      <w:r>
        <w:rPr>
          <w:b/>
        </w:rPr>
        <w:t>not</w:t>
      </w:r>
      <w:r>
        <w:t xml:space="preserve"> apply, you will need to submit a new application for registration of the goods.</w:t>
      </w:r>
    </w:p>
    <w:p w:rsidR="0037564C" w:rsidRDefault="00F847D0" w:rsidP="00F847D0">
      <w:r>
        <w:t xml:space="preserve">See </w:t>
      </w:r>
      <w:hyperlink w:anchor="Groupsorder" w:history="1">
        <w:r w:rsidRPr="00B169D5">
          <w:rPr>
            <w:rStyle w:val="Hyperlink"/>
          </w:rPr>
          <w:t>Grou</w:t>
        </w:r>
        <w:bookmarkStart w:id="661" w:name="_Hlt44305358"/>
        <w:r w:rsidRPr="00B169D5">
          <w:rPr>
            <w:rStyle w:val="Hyperlink"/>
          </w:rPr>
          <w:t>p</w:t>
        </w:r>
        <w:bookmarkStart w:id="662" w:name="_Hlt40762795"/>
        <w:bookmarkEnd w:id="661"/>
        <w:r w:rsidRPr="00B169D5">
          <w:rPr>
            <w:rStyle w:val="Hyperlink"/>
          </w:rPr>
          <w:t>s</w:t>
        </w:r>
        <w:bookmarkEnd w:id="662"/>
        <w:r w:rsidRPr="00B169D5">
          <w:rPr>
            <w:rStyle w:val="Hyperlink"/>
          </w:rPr>
          <w:t xml:space="preserve"> Order</w:t>
        </w:r>
      </w:hyperlink>
      <w:r>
        <w:t xml:space="preserve"> (below) for a summary of the provisions of the </w:t>
      </w:r>
      <w:r>
        <w:rPr>
          <w:i/>
        </w:rPr>
        <w:t>Therapeutic Goods (Groups) Order</w:t>
      </w:r>
      <w:r>
        <w:t>.</w:t>
      </w:r>
    </w:p>
    <w:p w:rsidR="00F847D0" w:rsidRPr="000029DC" w:rsidRDefault="00F847D0" w:rsidP="00F847D0">
      <w:pPr>
        <w:pStyle w:val="Heading2"/>
        <w:rPr>
          <w:i/>
          <w:sz w:val="22"/>
        </w:rPr>
      </w:pPr>
      <w:bookmarkStart w:id="663" w:name="_Toc40505239"/>
      <w:bookmarkStart w:id="664" w:name="_Toc40505463"/>
      <w:bookmarkStart w:id="665" w:name="_Toc40771747"/>
      <w:bookmarkStart w:id="666" w:name="_Toc41208747"/>
      <w:bookmarkStart w:id="667" w:name="_Toc43884032"/>
      <w:bookmarkStart w:id="668" w:name="_Toc44298207"/>
      <w:bookmarkStart w:id="669" w:name="_Toc44299424"/>
      <w:bookmarkStart w:id="670" w:name="_Toc45684869"/>
      <w:bookmarkStart w:id="671" w:name="_Toc51726300"/>
      <w:bookmarkStart w:id="672" w:name="_Toc64108551"/>
      <w:bookmarkStart w:id="673" w:name="_Toc139259092"/>
      <w:bookmarkStart w:id="674" w:name="_Toc310280540"/>
      <w:r>
        <w:t>What else do I need to send?</w:t>
      </w:r>
      <w:bookmarkEnd w:id="663"/>
      <w:bookmarkEnd w:id="664"/>
      <w:bookmarkEnd w:id="665"/>
      <w:bookmarkEnd w:id="666"/>
      <w:bookmarkEnd w:id="667"/>
      <w:bookmarkEnd w:id="668"/>
      <w:bookmarkEnd w:id="669"/>
      <w:bookmarkEnd w:id="670"/>
      <w:bookmarkEnd w:id="671"/>
      <w:bookmarkEnd w:id="672"/>
      <w:bookmarkEnd w:id="673"/>
      <w:bookmarkEnd w:id="674"/>
    </w:p>
    <w:p w:rsidR="0037564C" w:rsidRDefault="00F847D0" w:rsidP="00F847D0">
      <w:r>
        <w:t>For applications that require approval, and for some applications that require notification, you will need to submit further documentation with the variation form. Some supporting documentation requirements are self-evident. If you wish to change details of the label, for example, you will need to send a copy of the present label and a draft copy of the new label, highlighting the changes (note that finished artwork is not necessary at this stage).</w:t>
      </w:r>
    </w:p>
    <w:p w:rsidR="0037564C" w:rsidRDefault="00F847D0" w:rsidP="00F847D0">
      <w:r>
        <w:t xml:space="preserve">In other cases, what is required as supporting documentation may not be so evident. If you have consulted the various references and are still unsure, contact the staff of the OTC Medicines Section. </w:t>
      </w:r>
    </w:p>
    <w:p w:rsidR="0037564C" w:rsidRDefault="00F847D0" w:rsidP="00F847D0">
      <w:r>
        <w:t xml:space="preserve">In some instances, certain assurances about the change will also need to be made before the application can proceed. Where these are required, details are given in the </w:t>
      </w:r>
      <w:hyperlink w:anchor="Changestable" w:history="1">
        <w:r w:rsidRPr="00B169D5">
          <w:rPr>
            <w:rStyle w:val="Hyperlink"/>
          </w:rPr>
          <w:t>Chan</w:t>
        </w:r>
        <w:bookmarkStart w:id="675" w:name="_Hlt44305367"/>
        <w:r w:rsidRPr="00B169D5">
          <w:rPr>
            <w:rStyle w:val="Hyperlink"/>
          </w:rPr>
          <w:t>g</w:t>
        </w:r>
        <w:bookmarkEnd w:id="675"/>
        <w:r w:rsidRPr="00B169D5">
          <w:rPr>
            <w:rStyle w:val="Hyperlink"/>
          </w:rPr>
          <w:t>es table</w:t>
        </w:r>
      </w:hyperlink>
      <w:r>
        <w:t xml:space="preserve">. Note that it is your responsibility to ensure that the required assurances are given in your application. If they are not given, the change may require prior approval, rather than notification. </w:t>
      </w:r>
    </w:p>
    <w:p w:rsidR="00F847D0" w:rsidRPr="000029DC" w:rsidRDefault="00F847D0" w:rsidP="00F847D0">
      <w:pPr>
        <w:pStyle w:val="Heading2"/>
        <w:rPr>
          <w:sz w:val="22"/>
        </w:rPr>
      </w:pPr>
      <w:bookmarkStart w:id="676" w:name="_Toc40505240"/>
      <w:bookmarkStart w:id="677" w:name="_Toc40505464"/>
      <w:bookmarkStart w:id="678" w:name="_Toc40771748"/>
      <w:bookmarkStart w:id="679" w:name="_Toc41208748"/>
      <w:bookmarkStart w:id="680" w:name="_Toc43884033"/>
      <w:bookmarkStart w:id="681" w:name="_Toc44298208"/>
      <w:bookmarkStart w:id="682" w:name="_Toc44299425"/>
      <w:bookmarkStart w:id="683" w:name="_Toc45684870"/>
      <w:bookmarkStart w:id="684" w:name="_Toc51726301"/>
      <w:bookmarkStart w:id="685" w:name="_Toc64108552"/>
      <w:bookmarkStart w:id="686" w:name="_Toc139259093"/>
      <w:bookmarkStart w:id="687" w:name="_Toc310280541"/>
      <w:r>
        <w:t>Other aspects of the product (that are not being changed)</w:t>
      </w:r>
      <w:bookmarkEnd w:id="676"/>
      <w:bookmarkEnd w:id="677"/>
      <w:bookmarkEnd w:id="678"/>
      <w:bookmarkEnd w:id="679"/>
      <w:bookmarkEnd w:id="680"/>
      <w:bookmarkEnd w:id="681"/>
      <w:bookmarkEnd w:id="682"/>
      <w:bookmarkEnd w:id="683"/>
      <w:bookmarkEnd w:id="684"/>
      <w:bookmarkEnd w:id="685"/>
      <w:bookmarkEnd w:id="686"/>
      <w:bookmarkEnd w:id="687"/>
    </w:p>
    <w:p w:rsidR="0037564C" w:rsidRDefault="00F847D0" w:rsidP="00F847D0">
      <w:r>
        <w:t>Generally, only the requested change will be reviewed at the time of application. However, some changes naturally impact on other aspects of the product which may require further clarification. If a problem is detected which is unrelated to the requested change it may be followed up as a separate issue but will not generally hold up processing of the application.</w:t>
      </w:r>
    </w:p>
    <w:p w:rsidR="0037564C" w:rsidRDefault="00F847D0" w:rsidP="00F847D0">
      <w:r>
        <w:t>Obviously, some flexibility will be necessary, as it may be in the interests of both the TGA and the sponsor to have all outstanding issues resolved before the change is implemented.</w:t>
      </w:r>
    </w:p>
    <w:p w:rsidR="0037564C" w:rsidRDefault="00F847D0" w:rsidP="00F847D0">
      <w:r>
        <w:t>Sponsors should be aware that sometimes a proposed change might involve additional consequential changes (eg. removal of a colouring agent may also require change to visual identification). In such cases each of the relevant changes should be specified in the application.</w:t>
      </w:r>
    </w:p>
    <w:p w:rsidR="00F847D0" w:rsidRPr="000029DC" w:rsidRDefault="00F847D0" w:rsidP="00F847D0">
      <w:pPr>
        <w:pStyle w:val="Heading2"/>
        <w:rPr>
          <w:sz w:val="22"/>
        </w:rPr>
      </w:pPr>
      <w:bookmarkStart w:id="688" w:name="_Toc40505241"/>
      <w:bookmarkStart w:id="689" w:name="_Toc40505465"/>
      <w:bookmarkStart w:id="690" w:name="_Toc40771749"/>
      <w:bookmarkStart w:id="691" w:name="_Toc41208749"/>
      <w:bookmarkStart w:id="692" w:name="_Toc43884034"/>
      <w:bookmarkStart w:id="693" w:name="_Toc44298209"/>
      <w:bookmarkStart w:id="694" w:name="_Toc44299426"/>
      <w:bookmarkStart w:id="695" w:name="_Toc45684871"/>
      <w:bookmarkStart w:id="696" w:name="_Toc51726302"/>
      <w:bookmarkStart w:id="697" w:name="_Toc64108553"/>
      <w:bookmarkStart w:id="698" w:name="_Toc139259094"/>
      <w:bookmarkStart w:id="699" w:name="_Toc310280542"/>
      <w:r>
        <w:t>The same changes for many products?</w:t>
      </w:r>
      <w:bookmarkEnd w:id="688"/>
      <w:bookmarkEnd w:id="689"/>
      <w:bookmarkEnd w:id="690"/>
      <w:bookmarkEnd w:id="691"/>
      <w:bookmarkEnd w:id="692"/>
      <w:bookmarkEnd w:id="693"/>
      <w:bookmarkEnd w:id="694"/>
      <w:bookmarkEnd w:id="695"/>
      <w:bookmarkEnd w:id="696"/>
      <w:bookmarkEnd w:id="697"/>
      <w:bookmarkEnd w:id="698"/>
      <w:bookmarkEnd w:id="699"/>
    </w:p>
    <w:p w:rsidR="0037564C" w:rsidRDefault="00F847D0" w:rsidP="00F847D0">
      <w:r>
        <w:t>If you wish to implement an identical change across a range of similar products, only one application form may need to be completed in certain cases. An example is the notification of a change of the same principal manufacturer (licensed) for a range of registered products.</w:t>
      </w:r>
    </w:p>
    <w:p w:rsidR="00F847D0" w:rsidRPr="000029DC" w:rsidRDefault="00F847D0" w:rsidP="00F847D0">
      <w:pPr>
        <w:pStyle w:val="Heading2"/>
        <w:rPr>
          <w:sz w:val="22"/>
        </w:rPr>
      </w:pPr>
      <w:bookmarkStart w:id="700" w:name="_Toc40505242"/>
      <w:bookmarkStart w:id="701" w:name="_Toc40505466"/>
      <w:bookmarkStart w:id="702" w:name="_Toc40771750"/>
      <w:bookmarkStart w:id="703" w:name="_Toc41208750"/>
      <w:bookmarkStart w:id="704" w:name="_Toc43884035"/>
      <w:bookmarkStart w:id="705" w:name="_Toc44298210"/>
      <w:bookmarkStart w:id="706" w:name="_Toc44299427"/>
      <w:bookmarkStart w:id="707" w:name="_Toc45684872"/>
      <w:bookmarkStart w:id="708" w:name="_Toc51726303"/>
      <w:bookmarkStart w:id="709" w:name="_Toc64108554"/>
      <w:bookmarkStart w:id="710" w:name="_Toc139259095"/>
      <w:bookmarkStart w:id="711" w:name="_Toc310280543"/>
      <w:r>
        <w:lastRenderedPageBreak/>
        <w:t>What if the proposed change is not in the</w:t>
      </w:r>
      <w:r>
        <w:rPr>
          <w:i/>
        </w:rPr>
        <w:t xml:space="preserve"> Changes table</w:t>
      </w:r>
      <w:r>
        <w:t>?</w:t>
      </w:r>
      <w:bookmarkEnd w:id="700"/>
      <w:bookmarkEnd w:id="701"/>
      <w:bookmarkEnd w:id="702"/>
      <w:bookmarkEnd w:id="703"/>
      <w:bookmarkEnd w:id="704"/>
      <w:bookmarkEnd w:id="705"/>
      <w:bookmarkEnd w:id="706"/>
      <w:bookmarkEnd w:id="707"/>
      <w:bookmarkEnd w:id="708"/>
      <w:bookmarkEnd w:id="709"/>
      <w:bookmarkEnd w:id="710"/>
      <w:bookmarkEnd w:id="711"/>
    </w:p>
    <w:p w:rsidR="0037564C" w:rsidRDefault="00F847D0" w:rsidP="00F847D0">
      <w:r>
        <w:t xml:space="preserve">If you cannot find a description of your proposed change in the </w:t>
      </w:r>
      <w:hyperlink w:anchor="Changestable" w:history="1">
        <w:r w:rsidRPr="00B169D5">
          <w:rPr>
            <w:rStyle w:val="Hyperlink"/>
          </w:rPr>
          <w:t>C</w:t>
        </w:r>
        <w:bookmarkStart w:id="712" w:name="_Hlt44305373"/>
        <w:r w:rsidRPr="00B169D5">
          <w:rPr>
            <w:rStyle w:val="Hyperlink"/>
          </w:rPr>
          <w:t>h</w:t>
        </w:r>
        <w:bookmarkEnd w:id="712"/>
        <w:r w:rsidRPr="00B169D5">
          <w:rPr>
            <w:rStyle w:val="Hyperlink"/>
          </w:rPr>
          <w:t>anges table</w:t>
        </w:r>
      </w:hyperlink>
      <w:r>
        <w:t>, contact the staff of the OTC Medicines Section. The absence of your proposed change does not imply that you may proceed with the change without notifying us or seeking prior approval of the change.</w:t>
      </w:r>
    </w:p>
    <w:p w:rsidR="00F847D0" w:rsidRPr="000029DC" w:rsidRDefault="00F847D0" w:rsidP="00F847D0">
      <w:pPr>
        <w:pStyle w:val="Heading2"/>
        <w:rPr>
          <w:sz w:val="22"/>
        </w:rPr>
      </w:pPr>
      <w:bookmarkStart w:id="713" w:name="_Toc40505243"/>
      <w:bookmarkStart w:id="714" w:name="_Toc40505467"/>
      <w:bookmarkStart w:id="715" w:name="_Toc40771751"/>
      <w:bookmarkStart w:id="716" w:name="_Toc41208751"/>
      <w:bookmarkStart w:id="717" w:name="_Toc43884036"/>
      <w:bookmarkStart w:id="718" w:name="_Toc44298211"/>
      <w:bookmarkStart w:id="719" w:name="_Toc44299428"/>
      <w:bookmarkStart w:id="720" w:name="_Toc45684873"/>
      <w:bookmarkStart w:id="721" w:name="_Toc51726304"/>
      <w:bookmarkStart w:id="722" w:name="_Toc64108555"/>
      <w:bookmarkStart w:id="723" w:name="_Toc139259096"/>
      <w:bookmarkStart w:id="724" w:name="_Toc310280544"/>
      <w:r>
        <w:t>Acknowledgment of application</w:t>
      </w:r>
      <w:bookmarkEnd w:id="713"/>
      <w:bookmarkEnd w:id="714"/>
      <w:bookmarkEnd w:id="715"/>
      <w:bookmarkEnd w:id="716"/>
      <w:bookmarkEnd w:id="717"/>
      <w:bookmarkEnd w:id="718"/>
      <w:bookmarkEnd w:id="719"/>
      <w:bookmarkEnd w:id="720"/>
      <w:bookmarkEnd w:id="721"/>
      <w:bookmarkEnd w:id="722"/>
      <w:bookmarkEnd w:id="723"/>
      <w:bookmarkEnd w:id="724"/>
    </w:p>
    <w:p w:rsidR="0037564C" w:rsidRDefault="00F847D0" w:rsidP="00F847D0">
      <w:r>
        <w:t>You will be sent an acknowledgment by the Business Management Unit (BMU) in response to all submissions for changes which require either notification or prior approval. For changes requiring notification, you need not wait until you receive the acknowledgment of your notification before implementing the change.</w:t>
      </w:r>
    </w:p>
    <w:p w:rsidR="0037564C" w:rsidRDefault="00F847D0" w:rsidP="00F847D0">
      <w:r>
        <w:t>For changes that require prior approval, a letter of approval, signed by the delegate of the Secretary, is sent. It is important that you do not proceed with this type of change until you receive the approval letter. Should your application be refused, a rejection letter containing details of procedures for review of the decision will be sent.</w:t>
      </w:r>
    </w:p>
    <w:p w:rsidR="00F847D0" w:rsidRPr="000029DC" w:rsidRDefault="00F847D0" w:rsidP="00F847D0">
      <w:pPr>
        <w:pStyle w:val="Heading2"/>
        <w:rPr>
          <w:sz w:val="22"/>
        </w:rPr>
      </w:pPr>
      <w:bookmarkStart w:id="725" w:name="Groupsorder"/>
      <w:bookmarkStart w:id="726" w:name="_Toc40505244"/>
      <w:bookmarkStart w:id="727" w:name="_Toc40505468"/>
      <w:bookmarkStart w:id="728" w:name="_Toc40771752"/>
      <w:bookmarkStart w:id="729" w:name="_Toc41208752"/>
      <w:bookmarkStart w:id="730" w:name="_Toc43884037"/>
      <w:bookmarkStart w:id="731" w:name="_Toc44298212"/>
      <w:bookmarkStart w:id="732" w:name="_Toc44299429"/>
      <w:bookmarkStart w:id="733" w:name="_Toc45684874"/>
      <w:bookmarkStart w:id="734" w:name="_Toc51726305"/>
      <w:bookmarkStart w:id="735" w:name="_Toc64108556"/>
      <w:bookmarkStart w:id="736" w:name="_Toc139259097"/>
      <w:bookmarkStart w:id="737" w:name="_Toc310280545"/>
      <w:bookmarkEnd w:id="725"/>
      <w:r>
        <w:rPr>
          <w:i/>
        </w:rPr>
        <w:t>Groups Order</w:t>
      </w:r>
      <w:r>
        <w:t xml:space="preserve"> – summary</w:t>
      </w:r>
      <w:bookmarkEnd w:id="726"/>
      <w:bookmarkEnd w:id="727"/>
      <w:bookmarkEnd w:id="728"/>
      <w:bookmarkEnd w:id="729"/>
      <w:bookmarkEnd w:id="730"/>
      <w:bookmarkEnd w:id="731"/>
      <w:bookmarkEnd w:id="732"/>
      <w:bookmarkEnd w:id="733"/>
      <w:bookmarkEnd w:id="734"/>
      <w:bookmarkEnd w:id="735"/>
      <w:bookmarkEnd w:id="736"/>
      <w:bookmarkEnd w:id="737"/>
    </w:p>
    <w:p w:rsidR="0037564C" w:rsidRDefault="00F847D0" w:rsidP="00F847D0">
      <w:r>
        <w:t>The ‘</w:t>
      </w:r>
      <w:r>
        <w:rPr>
          <w:i/>
        </w:rPr>
        <w:t>Groups Order</w:t>
      </w:r>
      <w:r>
        <w:t>’ specifies the circumstances in which ‘separate and distinct’ therapeutic goods can be ‘grouped’ in the same ARTG entry (ie. under the same AUST R number).</w:t>
      </w:r>
    </w:p>
    <w:p w:rsidR="0037564C" w:rsidRDefault="00F847D0" w:rsidP="00F847D0">
      <w:r>
        <w:t xml:space="preserve">Section 16 of the </w:t>
      </w:r>
      <w:r>
        <w:rPr>
          <w:i/>
        </w:rPr>
        <w:t>Therapeutic Goods Act 1989</w:t>
      </w:r>
      <w:r>
        <w:t xml:space="preserve"> sets out the criteria which make goods ‘separate and distinct’. These are:</w:t>
      </w:r>
    </w:p>
    <w:p w:rsidR="00F847D0" w:rsidRDefault="00F847D0" w:rsidP="00F847D0">
      <w:pPr>
        <w:pStyle w:val="ListBullet"/>
      </w:pPr>
      <w:r>
        <w:t>a different name; or</w:t>
      </w:r>
    </w:p>
    <w:p w:rsidR="00F847D0" w:rsidRDefault="00F847D0" w:rsidP="00F847D0">
      <w:pPr>
        <w:pStyle w:val="ListBullet"/>
      </w:pPr>
      <w:r>
        <w:t>different indications; or</w:t>
      </w:r>
    </w:p>
    <w:p w:rsidR="00F847D0" w:rsidRDefault="00F847D0" w:rsidP="00F847D0">
      <w:pPr>
        <w:pStyle w:val="ListBullet"/>
      </w:pPr>
      <w:r>
        <w:t>different directions for use; or</w:t>
      </w:r>
    </w:p>
    <w:p w:rsidR="00F847D0" w:rsidRDefault="00F847D0" w:rsidP="00F847D0">
      <w:pPr>
        <w:pStyle w:val="ListBullet"/>
      </w:pPr>
      <w:r>
        <w:t>a different type of container; or</w:t>
      </w:r>
    </w:p>
    <w:p w:rsidR="00F847D0" w:rsidRDefault="00F847D0" w:rsidP="00F847D0">
      <w:pPr>
        <w:pStyle w:val="ListBullet"/>
      </w:pPr>
      <w:r>
        <w:t>a different dosage form; or</w:t>
      </w:r>
    </w:p>
    <w:p w:rsidR="0037564C" w:rsidRDefault="00F847D0" w:rsidP="00F847D0">
      <w:pPr>
        <w:pStyle w:val="ListBullet"/>
      </w:pPr>
      <w:r>
        <w:t>a different formulation or composition.</w:t>
      </w:r>
    </w:p>
    <w:p w:rsidR="0037564C" w:rsidRDefault="00F847D0" w:rsidP="00F847D0">
      <w:r>
        <w:t xml:space="preserve">When the </w:t>
      </w:r>
      <w:r>
        <w:rPr>
          <w:i/>
        </w:rPr>
        <w:t>Groups Order</w:t>
      </w:r>
      <w:r>
        <w:t xml:space="preserve"> does not apply, the changed goods must have a separate ARTG entry and bear a separate AUST R number. If this is the case, you should apply for registration of the changed goods as if it were an entirely new product.</w:t>
      </w:r>
    </w:p>
    <w:p w:rsidR="0037564C" w:rsidRDefault="00F847D0" w:rsidP="00F847D0">
      <w:r>
        <w:t xml:space="preserve">The provisions of the </w:t>
      </w:r>
      <w:r>
        <w:rPr>
          <w:i/>
        </w:rPr>
        <w:t>Groups Order</w:t>
      </w:r>
      <w:r>
        <w:t xml:space="preserve"> (as applied to non-prescription drug products) may be summarised as follows:</w:t>
      </w:r>
    </w:p>
    <w:p w:rsidR="0037564C" w:rsidRDefault="00F847D0" w:rsidP="00F847D0">
      <w:pPr>
        <w:pStyle w:val="Heading3"/>
      </w:pPr>
      <w:bookmarkStart w:id="738" w:name="_Toc310280546"/>
      <w:r>
        <w:t>Name change</w:t>
      </w:r>
      <w:bookmarkEnd w:id="738"/>
    </w:p>
    <w:p w:rsidR="0037564C" w:rsidRDefault="00F847D0" w:rsidP="00F847D0">
      <w:r>
        <w:t>Goods may be grouped when the only difference between the new goods and the existing goods is the proprietary name and when the new goods are to replace the existing goods in use.</w:t>
      </w:r>
    </w:p>
    <w:p w:rsidR="0037564C" w:rsidRDefault="00F847D0" w:rsidP="00F847D0">
      <w:pPr>
        <w:pStyle w:val="Heading3"/>
      </w:pPr>
      <w:bookmarkStart w:id="739" w:name="_Toc310280547"/>
      <w:r>
        <w:t>Change in the amount of an excipient</w:t>
      </w:r>
      <w:bookmarkEnd w:id="739"/>
    </w:p>
    <w:p w:rsidR="0037564C" w:rsidRDefault="00F847D0" w:rsidP="00F847D0">
      <w:r>
        <w:t>Goods may be grouped when the formulation of the new goods is to be changed by increasing or decreasing the amount of an excipient (but not adding or deleting an excipient) and when the new goods are to replace the existing goods in use.</w:t>
      </w:r>
    </w:p>
    <w:p w:rsidR="0037564C" w:rsidRDefault="00F847D0" w:rsidP="00F847D0">
      <w:pPr>
        <w:pStyle w:val="Heading3"/>
      </w:pPr>
      <w:bookmarkStart w:id="740" w:name="_Toc310280548"/>
      <w:r>
        <w:lastRenderedPageBreak/>
        <w:t>Removal or addition of a fragrance, flavour, printing ink or colour</w:t>
      </w:r>
      <w:bookmarkEnd w:id="740"/>
    </w:p>
    <w:p w:rsidR="0037564C" w:rsidRDefault="00F847D0" w:rsidP="00F847D0">
      <w:r>
        <w:t>Goods may be grouped when the formulation is changed by the addition or removal of a fragrance, flavour, printing ink or colouring agent and when the new goods are to be registered in place of the existing goods.</w:t>
      </w:r>
    </w:p>
    <w:p w:rsidR="0037564C" w:rsidRDefault="00F847D0" w:rsidP="00F847D0">
      <w:pPr>
        <w:pStyle w:val="Heading3"/>
      </w:pPr>
      <w:bookmarkStart w:id="741" w:name="_Toc310280549"/>
      <w:r>
        <w:t>Revised indications and/or directions for use</w:t>
      </w:r>
      <w:bookmarkEnd w:id="741"/>
    </w:p>
    <w:p w:rsidR="0037564C" w:rsidRDefault="00F847D0" w:rsidP="00F847D0">
      <w:r>
        <w:t>Goods may be grouped when only the indications and/or directions for use are changed and the new goods are to be registered in place of the existing goods.</w:t>
      </w:r>
    </w:p>
    <w:p w:rsidR="00F847D0" w:rsidRPr="00EF13E1" w:rsidRDefault="00F847D0" w:rsidP="00F847D0">
      <w:pPr>
        <w:pStyle w:val="Heading2"/>
        <w:rPr>
          <w:sz w:val="22"/>
        </w:rPr>
      </w:pPr>
      <w:bookmarkStart w:id="742" w:name="_Hlt40863030"/>
      <w:bookmarkStart w:id="743" w:name="_Toc40505245"/>
      <w:bookmarkStart w:id="744" w:name="_Toc40505469"/>
      <w:bookmarkStart w:id="745" w:name="_Toc40771753"/>
      <w:bookmarkStart w:id="746" w:name="Changescodes"/>
      <w:bookmarkStart w:id="747" w:name="_Toc41208753"/>
      <w:bookmarkStart w:id="748" w:name="_Toc43884038"/>
      <w:bookmarkStart w:id="749" w:name="_Toc44298213"/>
      <w:bookmarkStart w:id="750" w:name="_Toc44299430"/>
      <w:bookmarkStart w:id="751" w:name="_Toc45684875"/>
      <w:bookmarkStart w:id="752" w:name="_Toc51726306"/>
      <w:bookmarkStart w:id="753" w:name="_Toc64108557"/>
      <w:bookmarkStart w:id="754" w:name="_Toc139259098"/>
      <w:bookmarkStart w:id="755" w:name="_Toc310280550"/>
      <w:bookmarkEnd w:id="742"/>
      <w:r>
        <w:rPr>
          <w:i/>
        </w:rPr>
        <w:t>Changes table</w:t>
      </w:r>
      <w:r>
        <w:t xml:space="preserve"> codes</w:t>
      </w:r>
      <w:bookmarkEnd w:id="743"/>
      <w:bookmarkEnd w:id="744"/>
      <w:bookmarkEnd w:id="745"/>
      <w:bookmarkEnd w:id="746"/>
      <w:bookmarkEnd w:id="747"/>
      <w:bookmarkEnd w:id="748"/>
      <w:bookmarkEnd w:id="749"/>
      <w:bookmarkEnd w:id="750"/>
      <w:bookmarkEnd w:id="751"/>
      <w:bookmarkEnd w:id="752"/>
      <w:bookmarkEnd w:id="753"/>
      <w:bookmarkEnd w:id="754"/>
      <w:bookmarkEnd w:id="755"/>
    </w:p>
    <w:p w:rsidR="0037564C" w:rsidRDefault="00F847D0" w:rsidP="00F847D0">
      <w:pPr>
        <w:rPr>
          <w:i/>
        </w:rPr>
      </w:pPr>
      <w:r>
        <w:t xml:space="preserve">The following codes should be read in conjunction with the </w:t>
      </w:r>
      <w:hyperlink w:anchor="Changestable" w:history="1">
        <w:r w:rsidRPr="00B169D5">
          <w:rPr>
            <w:rStyle w:val="Hyperlink"/>
          </w:rPr>
          <w:t>Cha</w:t>
        </w:r>
        <w:bookmarkStart w:id="756" w:name="_Hlt40763055"/>
        <w:r w:rsidRPr="00B169D5">
          <w:rPr>
            <w:rStyle w:val="Hyperlink"/>
          </w:rPr>
          <w:t>n</w:t>
        </w:r>
        <w:bookmarkStart w:id="757" w:name="_Hlt44305378"/>
        <w:bookmarkEnd w:id="756"/>
        <w:r w:rsidRPr="00B169D5">
          <w:rPr>
            <w:rStyle w:val="Hyperlink"/>
          </w:rPr>
          <w:t>g</w:t>
        </w:r>
        <w:bookmarkEnd w:id="757"/>
        <w:r w:rsidRPr="00B169D5">
          <w:rPr>
            <w:rStyle w:val="Hyperlink"/>
          </w:rPr>
          <w:t>es table</w:t>
        </w:r>
      </w:hyperlink>
      <w:r>
        <w:t xml:space="preserve"> (below)</w:t>
      </w:r>
      <w:r>
        <w:rPr>
          <w:i/>
        </w:rPr>
        <w:t xml:space="preserve">. </w:t>
      </w:r>
      <w:r>
        <w:t xml:space="preserve">Assurances should be made in writing, signed and dated by an authorised person, and should accompany the </w:t>
      </w:r>
      <w:r>
        <w:rPr>
          <w:i/>
        </w:rPr>
        <w:t>variation form</w:t>
      </w:r>
      <w:r>
        <w:t>. Note that the exact wording, as given here, should be used. Failure to make the relevant assurances that are required for notifiable changes may render the change approvable.</w:t>
      </w:r>
    </w:p>
    <w:p w:rsidR="0037564C" w:rsidRDefault="00F847D0" w:rsidP="00F847D0">
      <w:pPr>
        <w:pStyle w:val="Heading3"/>
      </w:pPr>
      <w:bookmarkStart w:id="758" w:name="_Toc310280551"/>
      <w:r>
        <w:t>Status codes</w:t>
      </w:r>
      <w:bookmarkEnd w:id="758"/>
    </w:p>
    <w:p w:rsidR="0037564C" w:rsidRDefault="00F847D0" w:rsidP="00F847D0">
      <w:r>
        <w:t>NEW</w:t>
      </w:r>
      <w:r>
        <w:tab/>
        <w:t>New application for registration required.</w:t>
      </w:r>
    </w:p>
    <w:p w:rsidR="0037564C" w:rsidRDefault="00F847D0" w:rsidP="00F847D0">
      <w:r>
        <w:t>A</w:t>
      </w:r>
      <w:r>
        <w:tab/>
        <w:t>Prior approval required before proceeding with the change.</w:t>
      </w:r>
    </w:p>
    <w:p w:rsidR="0037564C" w:rsidRDefault="00F847D0" w:rsidP="00F847D0">
      <w:pPr>
        <w:ind w:left="720" w:hanging="720"/>
      </w:pPr>
      <w:r>
        <w:t>N</w:t>
      </w:r>
      <w:r>
        <w:tab/>
        <w:t xml:space="preserve">Notification to the Non-Prescription Medicines Branch before proceeding with the change, </w:t>
      </w:r>
      <w:r>
        <w:rPr>
          <w:i/>
        </w:rPr>
        <w:t>provided that</w:t>
      </w:r>
      <w:r>
        <w:t xml:space="preserve"> the required supporting documentation has been supplied.</w:t>
      </w:r>
    </w:p>
    <w:p w:rsidR="0037564C" w:rsidRDefault="00F847D0" w:rsidP="00F847D0">
      <w:pPr>
        <w:ind w:left="720" w:hanging="720"/>
      </w:pPr>
      <w:r>
        <w:t>O</w:t>
      </w:r>
      <w:r>
        <w:tab/>
        <w:t>No prior approval or notification required. Changes with status ‘O’ have been included for completeness and do not imply that this information is required for evaluation of an equivalent new product.</w:t>
      </w:r>
    </w:p>
    <w:p w:rsidR="0037564C" w:rsidRDefault="00F847D0" w:rsidP="00F847D0">
      <w:r>
        <w:t>ASK</w:t>
      </w:r>
      <w:r>
        <w:tab/>
        <w:t xml:space="preserve">Contact OTC Medicines Section </w:t>
      </w:r>
    </w:p>
    <w:p w:rsidR="0037564C" w:rsidRDefault="00F847D0" w:rsidP="00F847D0">
      <w:pPr>
        <w:pStyle w:val="Heading3"/>
      </w:pPr>
      <w:bookmarkStart w:id="759" w:name="_Toc310280552"/>
      <w:r>
        <w:t>Documentation and assurance codes</w:t>
      </w:r>
      <w:bookmarkEnd w:id="759"/>
    </w:p>
    <w:p w:rsidR="0037564C" w:rsidRDefault="00F847D0" w:rsidP="00F847D0">
      <w:r>
        <w:t>E</w:t>
      </w:r>
      <w:r>
        <w:tab/>
        <w:t>Evidence to support the change where an ARTG entry is to be corrected.</w:t>
      </w:r>
    </w:p>
    <w:p w:rsidR="0037564C" w:rsidRDefault="00F847D0" w:rsidP="00F847D0">
      <w:r>
        <w:t>G</w:t>
      </w:r>
      <w:r>
        <w:tab/>
        <w:t>GMP pre-clearance certificate</w:t>
      </w:r>
    </w:p>
    <w:p w:rsidR="0037564C" w:rsidRDefault="00F847D0" w:rsidP="00F847D0">
      <w:pPr>
        <w:ind w:left="720" w:hanging="720"/>
      </w:pPr>
      <w:r>
        <w:t>L</w:t>
      </w:r>
      <w:r>
        <w:tab/>
        <w:t xml:space="preserve">A copy of the current label of the goods plus a draft copy of the new label, </w:t>
      </w:r>
      <w:r>
        <w:rPr>
          <w:i/>
        </w:rPr>
        <w:t>with the relevant changes highlighted</w:t>
      </w:r>
      <w:r>
        <w:t>, have been supplied.</w:t>
      </w:r>
    </w:p>
    <w:p w:rsidR="0037564C" w:rsidRDefault="00F847D0" w:rsidP="00F847D0">
      <w:pPr>
        <w:ind w:left="720" w:hanging="720"/>
      </w:pPr>
      <w:r>
        <w:t>T</w:t>
      </w:r>
      <w:r>
        <w:tab/>
        <w:t>The submission is accompanied by written requests to effect the change from both the existing and the proposed sponsors.</w:t>
      </w:r>
    </w:p>
    <w:p w:rsidR="0037564C" w:rsidRDefault="00F847D0" w:rsidP="00F847D0">
      <w:pPr>
        <w:ind w:left="720" w:hanging="720"/>
      </w:pPr>
      <w:r>
        <w:t>PI</w:t>
      </w:r>
      <w:r>
        <w:tab/>
        <w:t xml:space="preserve">A copy of the current Product Information (PI) of the goods plus a draft copy of the new PI, </w:t>
      </w:r>
      <w:r>
        <w:rPr>
          <w:i/>
        </w:rPr>
        <w:t>with the relevant changes highlighted</w:t>
      </w:r>
      <w:r>
        <w:t>, have been supplied.</w:t>
      </w:r>
    </w:p>
    <w:p w:rsidR="0037564C" w:rsidRDefault="00F847D0" w:rsidP="00F847D0">
      <w:pPr>
        <w:ind w:left="680" w:hanging="680"/>
      </w:pPr>
      <w:r>
        <w:t>P</w:t>
      </w:r>
      <w:r>
        <w:tab/>
        <w:t>The SUSDP schedule (or ‘N’ for unscheduled goods) for the new pack size(s) is/are stated in the application form.</w:t>
      </w:r>
    </w:p>
    <w:p w:rsidR="00F847D0" w:rsidRDefault="00F847D0" w:rsidP="00F847D0">
      <w:pPr>
        <w:pStyle w:val="ListBullet"/>
        <w:numPr>
          <w:ilvl w:val="0"/>
          <w:numId w:val="24"/>
        </w:numPr>
      </w:pPr>
      <w:r>
        <w:t>The ‘new’ goods are intended to replace the existing goods in use.</w:t>
      </w:r>
    </w:p>
    <w:p w:rsidR="00F847D0" w:rsidRDefault="00F847D0" w:rsidP="00F847D0">
      <w:pPr>
        <w:pStyle w:val="ListBullet"/>
        <w:numPr>
          <w:ilvl w:val="0"/>
          <w:numId w:val="24"/>
        </w:numPr>
      </w:pPr>
      <w:r>
        <w:t>The only difference between the ‘new’ goods and the existing goods is the name.</w:t>
      </w:r>
    </w:p>
    <w:p w:rsidR="00F847D0" w:rsidRDefault="00F847D0" w:rsidP="00F847D0">
      <w:pPr>
        <w:pStyle w:val="ListBullet"/>
        <w:numPr>
          <w:ilvl w:val="0"/>
          <w:numId w:val="24"/>
        </w:numPr>
      </w:pPr>
      <w:r>
        <w:t>The only differences between the ‘new’ goods and the existing goods are related to the indications for use and/or the directions for use.</w:t>
      </w:r>
    </w:p>
    <w:p w:rsidR="00F847D0" w:rsidRDefault="00F847D0" w:rsidP="00F847D0">
      <w:pPr>
        <w:pStyle w:val="ListBullet"/>
        <w:numPr>
          <w:ilvl w:val="0"/>
          <w:numId w:val="24"/>
        </w:numPr>
      </w:pPr>
      <w:r>
        <w:t>No additional indications have been introduced or directions for use altered (other than change to wording).</w:t>
      </w:r>
    </w:p>
    <w:p w:rsidR="00F847D0" w:rsidRDefault="00F847D0" w:rsidP="00F847D0">
      <w:pPr>
        <w:pStyle w:val="ListBullet"/>
        <w:numPr>
          <w:ilvl w:val="0"/>
          <w:numId w:val="24"/>
        </w:numPr>
      </w:pPr>
      <w:r>
        <w:lastRenderedPageBreak/>
        <w:t>No aspects of the labelling, PI, CMI, pharmaceutical data or other product details have been changed or are to be changed, other than changes nominated in this application and those made in conformity with the ‘Changes table’.</w:t>
      </w:r>
    </w:p>
    <w:p w:rsidR="00F847D0" w:rsidRDefault="00F847D0" w:rsidP="00F847D0">
      <w:pPr>
        <w:pStyle w:val="ListBullet"/>
        <w:numPr>
          <w:ilvl w:val="0"/>
          <w:numId w:val="24"/>
        </w:numPr>
      </w:pPr>
      <w:r>
        <w:t>The labelling for the new pack size is unchanged, other than to indicate the new pack size number/volume.</w:t>
      </w:r>
    </w:p>
    <w:p w:rsidR="00F847D0" w:rsidRDefault="00F847D0" w:rsidP="00F847D0">
      <w:pPr>
        <w:pStyle w:val="ListBullet"/>
        <w:numPr>
          <w:ilvl w:val="0"/>
          <w:numId w:val="24"/>
        </w:numPr>
      </w:pPr>
      <w:r>
        <w:t>The only changes made are those which bring the label into compliance with requirements of the Labelling Order</w:t>
      </w:r>
      <w:r w:rsidR="00613231" w:rsidRPr="00613231">
        <w:rPr>
          <w:rStyle w:val="FootnoteReference"/>
        </w:rPr>
        <w:footnoteReference w:id="40"/>
      </w:r>
      <w:r>
        <w:t xml:space="preserve">, or Schedule 2 to the </w:t>
      </w:r>
      <w:r>
        <w:rPr>
          <w:i/>
        </w:rPr>
        <w:t>Therapeutic Goods Regulations</w:t>
      </w:r>
      <w:r>
        <w:t>.</w:t>
      </w:r>
    </w:p>
    <w:p w:rsidR="00F847D0" w:rsidRDefault="00F847D0" w:rsidP="00F847D0">
      <w:pPr>
        <w:pStyle w:val="ListBullet"/>
        <w:numPr>
          <w:ilvl w:val="0"/>
          <w:numId w:val="24"/>
        </w:numPr>
      </w:pPr>
      <w:r>
        <w:t xml:space="preserve">The change is in compliance with a requirement introduced in the most recent version or amendment of the </w:t>
      </w:r>
      <w:r>
        <w:rPr>
          <w:i/>
        </w:rPr>
        <w:t>Standard for the Uniform Scheduling of Drugs and Poisons</w:t>
      </w:r>
      <w:r>
        <w:t>.</w:t>
      </w:r>
    </w:p>
    <w:p w:rsidR="00F847D0" w:rsidRDefault="00F847D0" w:rsidP="00F847D0">
      <w:pPr>
        <w:pStyle w:val="ListBullet"/>
        <w:numPr>
          <w:ilvl w:val="0"/>
          <w:numId w:val="24"/>
        </w:numPr>
      </w:pPr>
      <w:r>
        <w:t>The nominated manufacturer is licensed to manufacture goods of this type.</w:t>
      </w:r>
    </w:p>
    <w:p w:rsidR="00F847D0" w:rsidRDefault="00F847D0" w:rsidP="00F847D0">
      <w:pPr>
        <w:pStyle w:val="ListBullet"/>
        <w:numPr>
          <w:ilvl w:val="0"/>
          <w:numId w:val="24"/>
        </w:numPr>
      </w:pPr>
      <w:r>
        <w:t xml:space="preserve">The container type (as defined in </w:t>
      </w:r>
      <w:r>
        <w:rPr>
          <w:i/>
        </w:rPr>
        <w:t>TGA Approved Terminology for Drugs</w:t>
      </w:r>
      <w:r>
        <w:t>) is unchanged and container material is unchanged.</w:t>
      </w:r>
    </w:p>
    <w:p w:rsidR="00F847D0" w:rsidRDefault="00F847D0" w:rsidP="00F847D0">
      <w:pPr>
        <w:pStyle w:val="ListBullet"/>
        <w:numPr>
          <w:ilvl w:val="0"/>
          <w:numId w:val="24"/>
        </w:numPr>
      </w:pPr>
      <w:r>
        <w:t>A stability testing protocol has been approved for this product and a copy of the approval letter is attached.</w:t>
      </w:r>
    </w:p>
    <w:p w:rsidR="00F847D0" w:rsidRDefault="00F847D0" w:rsidP="00F847D0">
      <w:pPr>
        <w:pStyle w:val="ListBullet"/>
        <w:numPr>
          <w:ilvl w:val="0"/>
          <w:numId w:val="24"/>
        </w:numPr>
      </w:pPr>
      <w:r>
        <w:t xml:space="preserve"> a)</w:t>
      </w:r>
      <w:r>
        <w:tab/>
        <w:t>Neither the existing nor the new material is a modified starch; and</w:t>
      </w:r>
    </w:p>
    <w:p w:rsidR="00F847D0" w:rsidRDefault="00F847D0" w:rsidP="00F847D0">
      <w:pPr>
        <w:pStyle w:val="ListBullet2"/>
        <w:numPr>
          <w:ilvl w:val="0"/>
          <w:numId w:val="25"/>
        </w:numPr>
        <w:ind w:left="709" w:hanging="283"/>
      </w:pPr>
      <w:r>
        <w:t>The changeover has been validated; and</w:t>
      </w:r>
    </w:p>
    <w:p w:rsidR="00F847D0" w:rsidRDefault="00F847D0" w:rsidP="00F847D0">
      <w:pPr>
        <w:pStyle w:val="ListBullet2"/>
        <w:numPr>
          <w:ilvl w:val="0"/>
          <w:numId w:val="25"/>
        </w:numPr>
        <w:ind w:left="709" w:hanging="283"/>
      </w:pPr>
      <w:r>
        <w:t>At least 6 month’s stability data have been generated at the maximum recommended storage temperature on product manufactured using the new type of starch, or 3 month’s data at a temperature at least 10°C higher than the maximum recommended storage temperature; and</w:t>
      </w:r>
    </w:p>
    <w:p w:rsidR="0037564C" w:rsidRDefault="00F847D0" w:rsidP="00F847D0">
      <w:pPr>
        <w:pStyle w:val="ListBullet2"/>
        <w:numPr>
          <w:ilvl w:val="0"/>
          <w:numId w:val="25"/>
        </w:numPr>
        <w:ind w:left="709" w:hanging="283"/>
      </w:pPr>
      <w:r>
        <w:t>Stability testing will continue for the full term of the product's shelf life and any batches not meeting specifications will be withdrawn from the market immediately and the Non-Prescription Medicines Branch notified immediately.</w:t>
      </w:r>
    </w:p>
    <w:p w:rsidR="00F847D0" w:rsidRDefault="00F847D0" w:rsidP="00F847D0">
      <w:pPr>
        <w:pStyle w:val="ListBullet"/>
        <w:numPr>
          <w:ilvl w:val="0"/>
          <w:numId w:val="24"/>
        </w:numPr>
      </w:pPr>
      <w:r>
        <w:t xml:space="preserve">a) </w:t>
      </w:r>
      <w:r>
        <w:tab/>
        <w:t>The changeover has been validated and the sponsor is satisfied that the change will not adversely affect the stability of the product; and</w:t>
      </w:r>
    </w:p>
    <w:p w:rsidR="0037564C" w:rsidRDefault="00F847D0" w:rsidP="00F847D0">
      <w:pPr>
        <w:pStyle w:val="ListBullet2"/>
        <w:numPr>
          <w:ilvl w:val="0"/>
          <w:numId w:val="26"/>
        </w:numPr>
      </w:pPr>
      <w:r>
        <w:t>Stability testing will continue for the full term of the product’s shelf life and the TGA advised immediately of any batches not meeting specifications.</w:t>
      </w:r>
    </w:p>
    <w:p w:rsidR="00F847D0" w:rsidRDefault="00F847D0" w:rsidP="00F847D0">
      <w:pPr>
        <w:pStyle w:val="ListBullet"/>
        <w:numPr>
          <w:ilvl w:val="0"/>
          <w:numId w:val="24"/>
        </w:numPr>
      </w:pPr>
      <w:r>
        <w:t>No new text or graphics have been introduced.</w:t>
      </w:r>
    </w:p>
    <w:p w:rsidR="0037564C" w:rsidRDefault="00F847D0" w:rsidP="00F847D0">
      <w:pPr>
        <w:pStyle w:val="ListParagraph"/>
        <w:numPr>
          <w:ilvl w:val="0"/>
          <w:numId w:val="24"/>
        </w:numPr>
      </w:pPr>
      <w:r>
        <w:t>The change of material is one of the following:</w:t>
      </w:r>
    </w:p>
    <w:p w:rsidR="0037564C" w:rsidRDefault="00F847D0" w:rsidP="00F847D0">
      <w:pPr>
        <w:pStyle w:val="ListBullet2"/>
        <w:numPr>
          <w:ilvl w:val="0"/>
          <w:numId w:val="27"/>
        </w:numPr>
      </w:pPr>
      <w:r>
        <w:t>Polystyrene to PVC, polyethylene, polypropylene or glass;</w:t>
      </w:r>
    </w:p>
    <w:p w:rsidR="0037564C" w:rsidRDefault="00F847D0" w:rsidP="00F847D0">
      <w:pPr>
        <w:pStyle w:val="ListBullet2"/>
        <w:numPr>
          <w:ilvl w:val="0"/>
          <w:numId w:val="27"/>
        </w:numPr>
      </w:pPr>
      <w:r>
        <w:t>PVC to polyethylene, polypropylene or glass;</w:t>
      </w:r>
    </w:p>
    <w:p w:rsidR="0037564C" w:rsidRDefault="00F847D0" w:rsidP="00F847D0">
      <w:pPr>
        <w:pStyle w:val="ListBullet2"/>
        <w:numPr>
          <w:ilvl w:val="0"/>
          <w:numId w:val="27"/>
        </w:numPr>
      </w:pPr>
      <w:r>
        <w:t xml:space="preserve">Polyethylene to glass or polypropylene of density </w:t>
      </w:r>
      <w:r>
        <w:sym w:font="Symbol" w:char="F0B3"/>
      </w:r>
      <w:r>
        <w:t xml:space="preserve"> 0.89;</w:t>
      </w:r>
    </w:p>
    <w:p w:rsidR="0037564C" w:rsidRDefault="00F847D0" w:rsidP="00F847D0">
      <w:pPr>
        <w:pStyle w:val="ListBullet2"/>
        <w:numPr>
          <w:ilvl w:val="0"/>
          <w:numId w:val="27"/>
        </w:numPr>
      </w:pPr>
      <w:r>
        <w:t>From one density of polyethylene to a higher density; or</w:t>
      </w:r>
    </w:p>
    <w:p w:rsidR="0037564C" w:rsidRDefault="00F847D0" w:rsidP="00F847D0">
      <w:pPr>
        <w:pStyle w:val="ListBullet2"/>
        <w:numPr>
          <w:ilvl w:val="0"/>
          <w:numId w:val="27"/>
        </w:numPr>
      </w:pPr>
      <w:r>
        <w:t xml:space="preserve">Any change between glass, polyethylene of density </w:t>
      </w:r>
      <w:r>
        <w:sym w:font="Symbol" w:char="F0B3"/>
      </w:r>
      <w:r>
        <w:t xml:space="preserve"> 0.95, and polypropylene of density </w:t>
      </w:r>
      <w:r>
        <w:sym w:font="Symbol" w:char="F0B3"/>
      </w:r>
      <w:r>
        <w:t xml:space="preserve"> 0.89.</w:t>
      </w:r>
    </w:p>
    <w:p w:rsidR="0037564C" w:rsidRDefault="00F847D0" w:rsidP="00F847D0">
      <w:pPr>
        <w:pStyle w:val="BodytextARGOM"/>
        <w:numPr>
          <w:ilvl w:val="0"/>
          <w:numId w:val="24"/>
        </w:numPr>
        <w:rPr>
          <w:rFonts w:asciiTheme="minorHAnsi" w:hAnsiTheme="minorHAnsi"/>
          <w:sz w:val="20"/>
        </w:rPr>
      </w:pPr>
      <w:r w:rsidRPr="00D51644">
        <w:rPr>
          <w:rFonts w:asciiTheme="minorHAnsi" w:hAnsiTheme="minorHAnsi"/>
          <w:sz w:val="20"/>
        </w:rPr>
        <w:t xml:space="preserve">The new container/closure system has demonstrated equal or better moisture protection in the USP test for Containers </w:t>
      </w:r>
      <w:r w:rsidRPr="00D51644">
        <w:rPr>
          <w:rFonts w:asciiTheme="minorHAnsi" w:hAnsiTheme="minorHAnsi"/>
          <w:sz w:val="20"/>
        </w:rPr>
        <w:sym w:font="Symbol" w:char="F02D"/>
      </w:r>
      <w:r w:rsidRPr="00D51644">
        <w:rPr>
          <w:rFonts w:asciiTheme="minorHAnsi" w:hAnsiTheme="minorHAnsi"/>
          <w:sz w:val="20"/>
        </w:rPr>
        <w:t xml:space="preserve"> Permeation (water vapour transmission) to that of the existing container/closure system.</w:t>
      </w:r>
    </w:p>
    <w:p w:rsidR="0037564C" w:rsidRDefault="00F847D0" w:rsidP="00F847D0">
      <w:pPr>
        <w:pStyle w:val="BodytextARGOM"/>
        <w:numPr>
          <w:ilvl w:val="0"/>
          <w:numId w:val="24"/>
        </w:numPr>
        <w:rPr>
          <w:rFonts w:asciiTheme="minorHAnsi" w:hAnsiTheme="minorHAnsi"/>
          <w:sz w:val="20"/>
        </w:rPr>
      </w:pPr>
      <w:r w:rsidRPr="00D51644">
        <w:rPr>
          <w:rFonts w:asciiTheme="minorHAnsi" w:hAnsiTheme="minorHAnsi"/>
          <w:sz w:val="20"/>
        </w:rPr>
        <w:t>The information on the container label is not less than the information on the primary pack.</w:t>
      </w:r>
    </w:p>
    <w:p w:rsidR="0037564C" w:rsidRDefault="00F847D0" w:rsidP="00F847D0">
      <w:pPr>
        <w:pStyle w:val="BodytextARGOM"/>
        <w:numPr>
          <w:ilvl w:val="0"/>
          <w:numId w:val="24"/>
        </w:numPr>
        <w:rPr>
          <w:rFonts w:asciiTheme="minorHAnsi" w:hAnsiTheme="minorHAnsi"/>
          <w:sz w:val="20"/>
        </w:rPr>
      </w:pPr>
      <w:r w:rsidRPr="00D51644">
        <w:rPr>
          <w:rFonts w:asciiTheme="minorHAnsi" w:hAnsiTheme="minorHAnsi"/>
          <w:sz w:val="20"/>
        </w:rPr>
        <w:t>The change to the plastic component is one of the following:</w:t>
      </w:r>
    </w:p>
    <w:p w:rsidR="0037564C" w:rsidRDefault="00F847D0" w:rsidP="00F847D0">
      <w:pPr>
        <w:pStyle w:val="ListParagraph"/>
        <w:numPr>
          <w:ilvl w:val="0"/>
          <w:numId w:val="28"/>
        </w:numPr>
        <w:ind w:left="720"/>
      </w:pPr>
      <w:r>
        <w:t>PVC to PVC/PVDC or to PVC/PCTFE;</w:t>
      </w:r>
    </w:p>
    <w:p w:rsidR="0037564C" w:rsidRDefault="00F847D0" w:rsidP="00F847D0">
      <w:pPr>
        <w:pStyle w:val="ListParagraph"/>
        <w:numPr>
          <w:ilvl w:val="0"/>
          <w:numId w:val="28"/>
        </w:numPr>
        <w:ind w:left="720"/>
      </w:pPr>
      <w:r>
        <w:t>PVC/PVDC to PVC/PCTFE.</w:t>
      </w:r>
    </w:p>
    <w:p w:rsidR="0037564C" w:rsidRDefault="00F847D0" w:rsidP="00F847D0">
      <w:pPr>
        <w:ind w:left="360"/>
      </w:pPr>
      <w:r>
        <w:lastRenderedPageBreak/>
        <w:t>or the change to the plastic component is to a material with demonstrated lower or equivalent water permeability than the existing material (see for example USP monograph ‘</w:t>
      </w:r>
      <w:r>
        <w:rPr>
          <w:i/>
        </w:rPr>
        <w:sym w:font="Symbol" w:char="F03C"/>
      </w:r>
      <w:r>
        <w:rPr>
          <w:i/>
        </w:rPr>
        <w:t>671</w:t>
      </w:r>
      <w:r>
        <w:rPr>
          <w:i/>
        </w:rPr>
        <w:sym w:font="Symbol" w:char="F03E"/>
      </w:r>
      <w:r>
        <w:t xml:space="preserve"> </w:t>
      </w:r>
      <w:r>
        <w:rPr>
          <w:i/>
        </w:rPr>
        <w:t>Containers Permeation</w:t>
      </w:r>
      <w:r>
        <w:t>’)</w:t>
      </w:r>
      <w:r>
        <w:rPr>
          <w:i/>
        </w:rPr>
        <w:t>.</w:t>
      </w:r>
    </w:p>
    <w:p w:rsidR="00F847D0" w:rsidRDefault="00F847D0" w:rsidP="00F847D0">
      <w:pPr>
        <w:pStyle w:val="ListBullet"/>
        <w:numPr>
          <w:ilvl w:val="0"/>
          <w:numId w:val="24"/>
        </w:numPr>
      </w:pPr>
      <w:r>
        <w:t>Manufacturing method and specifications, other than visual identification, have not been changed.</w:t>
      </w:r>
    </w:p>
    <w:p w:rsidR="00F847D0" w:rsidRDefault="00F847D0" w:rsidP="00F847D0">
      <w:pPr>
        <w:pStyle w:val="ListBullet"/>
        <w:numPr>
          <w:ilvl w:val="0"/>
          <w:numId w:val="24"/>
        </w:numPr>
      </w:pPr>
      <w:r>
        <w:t>Two production batches have been tested according to the approved stability protocol and all results fall within the acceptance criteria, as specified in the approved stability protocol.</w:t>
      </w:r>
    </w:p>
    <w:p w:rsidR="00F847D0" w:rsidRDefault="00F847D0" w:rsidP="00F847D0">
      <w:pPr>
        <w:pStyle w:val="ListBullet"/>
        <w:numPr>
          <w:ilvl w:val="0"/>
          <w:numId w:val="24"/>
        </w:numPr>
      </w:pPr>
      <w:r>
        <w:t xml:space="preserve">The changes are in accordance with s.9D(1) of the </w:t>
      </w:r>
      <w:r w:rsidRPr="00D51644">
        <w:rPr>
          <w:i/>
        </w:rPr>
        <w:t>Therapeutic Goods Act 1989</w:t>
      </w:r>
      <w:r>
        <w:t>.</w:t>
      </w:r>
    </w:p>
    <w:p w:rsidR="00F847D0" w:rsidRDefault="00F847D0" w:rsidP="00F847D0">
      <w:pPr>
        <w:spacing w:after="200" w:line="0" w:lineRule="auto"/>
      </w:pPr>
      <w:r>
        <w:br w:type="page"/>
      </w:r>
    </w:p>
    <w:p w:rsidR="00F847D0" w:rsidRDefault="00F847D0" w:rsidP="00F847D0">
      <w:pPr>
        <w:pStyle w:val="Heading2"/>
      </w:pPr>
      <w:bookmarkStart w:id="760" w:name="_Toc40505246"/>
      <w:bookmarkStart w:id="761" w:name="_Toc40505470"/>
      <w:bookmarkStart w:id="762" w:name="_Toc40771754"/>
      <w:bookmarkStart w:id="763" w:name="_Toc41208754"/>
      <w:bookmarkStart w:id="764" w:name="_Toc43884039"/>
      <w:bookmarkStart w:id="765" w:name="_Toc44298214"/>
      <w:bookmarkStart w:id="766" w:name="_Toc44299431"/>
      <w:bookmarkStart w:id="767" w:name="_Toc45684876"/>
      <w:bookmarkStart w:id="768" w:name="_Toc51726307"/>
      <w:bookmarkStart w:id="769" w:name="_Toc64108558"/>
      <w:bookmarkStart w:id="770" w:name="_Toc139259099"/>
      <w:bookmarkStart w:id="771" w:name="_Toc310280553"/>
      <w:bookmarkStart w:id="772" w:name="Changestable"/>
      <w:r>
        <w:lastRenderedPageBreak/>
        <w:t>Changes Table</w:t>
      </w:r>
      <w:bookmarkEnd w:id="760"/>
      <w:bookmarkEnd w:id="761"/>
      <w:bookmarkEnd w:id="762"/>
      <w:bookmarkEnd w:id="763"/>
      <w:bookmarkEnd w:id="764"/>
      <w:bookmarkEnd w:id="765"/>
      <w:bookmarkEnd w:id="766"/>
      <w:bookmarkEnd w:id="767"/>
      <w:bookmarkEnd w:id="768"/>
      <w:bookmarkEnd w:id="769"/>
      <w:bookmarkEnd w:id="770"/>
      <w:bookmarkEnd w:id="771"/>
    </w:p>
    <w:p w:rsidR="00F847D0" w:rsidRPr="00F57AE6" w:rsidRDefault="00F847D0" w:rsidP="00F847D0"/>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bookmarkStart w:id="773" w:name="ChangesLabel"/>
            <w:r>
              <w:t>Label changes</w:t>
            </w:r>
            <w:bookmarkStart w:id="774" w:name="_Hlt43884616"/>
            <w:bookmarkEnd w:id="774"/>
            <w:r>
              <w:t xml:space="preserve"> </w:t>
            </w:r>
            <w:bookmarkEnd w:id="773"/>
            <w:r>
              <w:t>(including package insert)</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613231" w:rsidRPr="00613231">
              <w:rPr>
                <w:rStyle w:val="FootnoteReference"/>
                <w:rFonts w:ascii="Cambria" w:hAnsi="Cambria"/>
              </w:rPr>
              <w:footnoteReference w:customMarkFollows="1" w:id="41"/>
              <w:t>*</w:t>
            </w:r>
          </w:p>
        </w:tc>
      </w:tr>
      <w:tr w:rsidR="00F847D0" w:rsidTr="00E032B8">
        <w:tc>
          <w:tcPr>
            <w:tcW w:w="932" w:type="dxa"/>
          </w:tcPr>
          <w:p w:rsidR="00F847D0" w:rsidRDefault="00F847D0" w:rsidP="00E032B8">
            <w:r>
              <w:t>GPN</w:t>
            </w:r>
          </w:p>
        </w:tc>
        <w:tc>
          <w:tcPr>
            <w:tcW w:w="5846" w:type="dxa"/>
          </w:tcPr>
          <w:p w:rsidR="00F847D0" w:rsidRDefault="00F847D0" w:rsidP="00E032B8">
            <w:r>
              <w:t>Proprietary name (if grouping applies)</w:t>
            </w:r>
          </w:p>
        </w:tc>
        <w:tc>
          <w:tcPr>
            <w:tcW w:w="932" w:type="dxa"/>
          </w:tcPr>
          <w:p w:rsidR="00F847D0" w:rsidRDefault="00F847D0" w:rsidP="00E032B8">
            <w:r>
              <w:t>A</w:t>
            </w:r>
          </w:p>
        </w:tc>
        <w:tc>
          <w:tcPr>
            <w:tcW w:w="932" w:type="dxa"/>
          </w:tcPr>
          <w:p w:rsidR="00F847D0" w:rsidRDefault="00F847D0" w:rsidP="00E032B8">
            <w:r>
              <w:t>1, 2, L</w:t>
            </w:r>
          </w:p>
        </w:tc>
      </w:tr>
      <w:tr w:rsidR="00F847D0" w:rsidTr="00E032B8">
        <w:tc>
          <w:tcPr>
            <w:tcW w:w="932" w:type="dxa"/>
          </w:tcPr>
          <w:p w:rsidR="00F847D0" w:rsidRDefault="00F847D0" w:rsidP="00E032B8">
            <w:r>
              <w:t>PIN</w:t>
            </w:r>
          </w:p>
        </w:tc>
        <w:tc>
          <w:tcPr>
            <w:tcW w:w="5846" w:type="dxa"/>
          </w:tcPr>
          <w:p w:rsidR="00F847D0" w:rsidRDefault="00F847D0" w:rsidP="00E032B8">
            <w:r>
              <w:t>Proprietary name (if grouping doesn’t apply)</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GIN</w:t>
            </w:r>
          </w:p>
        </w:tc>
        <w:tc>
          <w:tcPr>
            <w:tcW w:w="5846" w:type="dxa"/>
          </w:tcPr>
          <w:p w:rsidR="00F847D0" w:rsidRDefault="00F847D0" w:rsidP="00E032B8">
            <w:r>
              <w:t>New therapeutic indications (if grouping applies)</w:t>
            </w:r>
          </w:p>
        </w:tc>
        <w:tc>
          <w:tcPr>
            <w:tcW w:w="932" w:type="dxa"/>
          </w:tcPr>
          <w:p w:rsidR="00F847D0" w:rsidRDefault="00F847D0" w:rsidP="00E032B8">
            <w:r>
              <w:t>A</w:t>
            </w:r>
          </w:p>
        </w:tc>
        <w:tc>
          <w:tcPr>
            <w:tcW w:w="932" w:type="dxa"/>
          </w:tcPr>
          <w:p w:rsidR="00F847D0" w:rsidRDefault="00F847D0" w:rsidP="00E032B8">
            <w:r>
              <w:t>1, 3, L</w:t>
            </w:r>
          </w:p>
        </w:tc>
      </w:tr>
      <w:tr w:rsidR="00F847D0" w:rsidTr="00E032B8">
        <w:tc>
          <w:tcPr>
            <w:tcW w:w="932" w:type="dxa"/>
          </w:tcPr>
          <w:p w:rsidR="00F847D0" w:rsidRDefault="00F847D0" w:rsidP="00E032B8">
            <w:r>
              <w:t>PTI</w:t>
            </w:r>
          </w:p>
        </w:tc>
        <w:tc>
          <w:tcPr>
            <w:tcW w:w="5846" w:type="dxa"/>
          </w:tcPr>
          <w:p w:rsidR="00F847D0" w:rsidRDefault="00F847D0" w:rsidP="00E032B8">
            <w:r>
              <w:t>New therapeutic indications (if grouping doesn’t apply)</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LIW</w:t>
            </w:r>
          </w:p>
        </w:tc>
        <w:tc>
          <w:tcPr>
            <w:tcW w:w="5846" w:type="dxa"/>
          </w:tcPr>
          <w:p w:rsidR="00F847D0" w:rsidRDefault="00F847D0" w:rsidP="00E032B8">
            <w:r>
              <w:t>Therapeutic indications or directions for use – change of wording without altering meaning</w:t>
            </w:r>
          </w:p>
        </w:tc>
        <w:tc>
          <w:tcPr>
            <w:tcW w:w="932" w:type="dxa"/>
          </w:tcPr>
          <w:p w:rsidR="00F847D0" w:rsidRDefault="00F847D0" w:rsidP="00E032B8">
            <w:r>
              <w:t>A</w:t>
            </w:r>
          </w:p>
        </w:tc>
        <w:tc>
          <w:tcPr>
            <w:tcW w:w="932" w:type="dxa"/>
          </w:tcPr>
          <w:p w:rsidR="00F847D0" w:rsidRDefault="00F847D0" w:rsidP="00E032B8">
            <w:r>
              <w:t>4, L</w:t>
            </w:r>
          </w:p>
        </w:tc>
      </w:tr>
      <w:tr w:rsidR="00F847D0" w:rsidTr="00E032B8">
        <w:tc>
          <w:tcPr>
            <w:tcW w:w="932" w:type="dxa"/>
          </w:tcPr>
          <w:p w:rsidR="00F847D0" w:rsidRDefault="00F847D0" w:rsidP="00E032B8">
            <w:r>
              <w:t>LIS</w:t>
            </w:r>
          </w:p>
        </w:tc>
        <w:tc>
          <w:tcPr>
            <w:tcW w:w="5846" w:type="dxa"/>
          </w:tcPr>
          <w:p w:rsidR="00F847D0" w:rsidRDefault="00F847D0" w:rsidP="00E032B8">
            <w:r>
              <w:t>Therapeutic indications – removal of sub-set of indications from label</w:t>
            </w:r>
          </w:p>
        </w:tc>
        <w:tc>
          <w:tcPr>
            <w:tcW w:w="932" w:type="dxa"/>
          </w:tcPr>
          <w:p w:rsidR="00F847D0" w:rsidRDefault="00F847D0" w:rsidP="00E032B8">
            <w:r>
              <w:t>N</w:t>
            </w:r>
          </w:p>
        </w:tc>
        <w:tc>
          <w:tcPr>
            <w:tcW w:w="932" w:type="dxa"/>
          </w:tcPr>
          <w:p w:rsidR="00F847D0" w:rsidRDefault="00F847D0" w:rsidP="00E032B8">
            <w:r>
              <w:t>5, L</w:t>
            </w:r>
          </w:p>
        </w:tc>
      </w:tr>
      <w:tr w:rsidR="00F847D0" w:rsidTr="00E032B8">
        <w:tc>
          <w:tcPr>
            <w:tcW w:w="932" w:type="dxa"/>
          </w:tcPr>
          <w:p w:rsidR="00F847D0" w:rsidRDefault="00F847D0" w:rsidP="00E032B8">
            <w:r>
              <w:t>LIR</w:t>
            </w:r>
          </w:p>
        </w:tc>
        <w:tc>
          <w:tcPr>
            <w:tcW w:w="5846" w:type="dxa"/>
          </w:tcPr>
          <w:p w:rsidR="00F847D0" w:rsidRDefault="00F847D0" w:rsidP="00E032B8">
            <w:r>
              <w:t>Therapeutic indications – addition of registered indications to label</w:t>
            </w:r>
          </w:p>
        </w:tc>
        <w:tc>
          <w:tcPr>
            <w:tcW w:w="932" w:type="dxa"/>
          </w:tcPr>
          <w:p w:rsidR="00F847D0" w:rsidRDefault="00F847D0" w:rsidP="00E032B8">
            <w:r>
              <w:t>A</w:t>
            </w:r>
          </w:p>
        </w:tc>
        <w:tc>
          <w:tcPr>
            <w:tcW w:w="932" w:type="dxa"/>
          </w:tcPr>
          <w:p w:rsidR="00F847D0" w:rsidRDefault="00F847D0" w:rsidP="00E032B8">
            <w:r>
              <w:t>5, L</w:t>
            </w:r>
          </w:p>
        </w:tc>
      </w:tr>
      <w:tr w:rsidR="00F847D0" w:rsidTr="00E032B8">
        <w:tc>
          <w:tcPr>
            <w:tcW w:w="932" w:type="dxa"/>
          </w:tcPr>
          <w:p w:rsidR="00F847D0" w:rsidRDefault="00F847D0" w:rsidP="00E032B8">
            <w:r>
              <w:t>GDU</w:t>
            </w:r>
          </w:p>
        </w:tc>
        <w:tc>
          <w:tcPr>
            <w:tcW w:w="5846" w:type="dxa"/>
          </w:tcPr>
          <w:p w:rsidR="00F847D0" w:rsidRDefault="00F847D0" w:rsidP="00E032B8">
            <w:r>
              <w:t>Directions for use – eg. dosage instructions (if grouping applies) (See also LIW)</w:t>
            </w:r>
          </w:p>
        </w:tc>
        <w:tc>
          <w:tcPr>
            <w:tcW w:w="932" w:type="dxa"/>
          </w:tcPr>
          <w:p w:rsidR="00F847D0" w:rsidRDefault="00F847D0" w:rsidP="00E032B8">
            <w:r>
              <w:t>A</w:t>
            </w:r>
          </w:p>
        </w:tc>
        <w:tc>
          <w:tcPr>
            <w:tcW w:w="932" w:type="dxa"/>
          </w:tcPr>
          <w:p w:rsidR="00F847D0" w:rsidRDefault="00F847D0" w:rsidP="00E032B8">
            <w:r>
              <w:t>1, 3, L</w:t>
            </w:r>
          </w:p>
        </w:tc>
      </w:tr>
      <w:tr w:rsidR="00F847D0" w:rsidTr="00E032B8">
        <w:tc>
          <w:tcPr>
            <w:tcW w:w="932" w:type="dxa"/>
          </w:tcPr>
          <w:p w:rsidR="00F847D0" w:rsidRDefault="00F847D0" w:rsidP="00E032B8">
            <w:r>
              <w:t>LDU</w:t>
            </w:r>
          </w:p>
        </w:tc>
        <w:tc>
          <w:tcPr>
            <w:tcW w:w="5846" w:type="dxa"/>
          </w:tcPr>
          <w:p w:rsidR="00F847D0" w:rsidRDefault="00F847D0" w:rsidP="00E032B8">
            <w:r>
              <w:t>Directions for use (if grouping doesn’t apply)</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PSC</w:t>
            </w:r>
          </w:p>
        </w:tc>
        <w:tc>
          <w:tcPr>
            <w:tcW w:w="5846" w:type="dxa"/>
          </w:tcPr>
          <w:p w:rsidR="00F847D0" w:rsidRDefault="00F847D0" w:rsidP="00E032B8">
            <w:r>
              <w:t>Recommended storage conditions – more restrictive</w:t>
            </w:r>
          </w:p>
        </w:tc>
        <w:tc>
          <w:tcPr>
            <w:tcW w:w="932" w:type="dxa"/>
          </w:tcPr>
          <w:p w:rsidR="00F847D0" w:rsidRDefault="00F847D0" w:rsidP="00E032B8">
            <w:r>
              <w:t>N</w:t>
            </w:r>
          </w:p>
        </w:tc>
        <w:tc>
          <w:tcPr>
            <w:tcW w:w="932" w:type="dxa"/>
          </w:tcPr>
          <w:p w:rsidR="00F847D0" w:rsidRDefault="00F847D0" w:rsidP="00E032B8">
            <w:r>
              <w:t>5</w:t>
            </w:r>
          </w:p>
        </w:tc>
      </w:tr>
      <w:tr w:rsidR="00F847D0" w:rsidTr="00E032B8">
        <w:tc>
          <w:tcPr>
            <w:tcW w:w="932" w:type="dxa"/>
          </w:tcPr>
          <w:p w:rsidR="00F847D0" w:rsidRDefault="00F847D0" w:rsidP="00E032B8">
            <w:r>
              <w:t>PST</w:t>
            </w:r>
          </w:p>
        </w:tc>
        <w:tc>
          <w:tcPr>
            <w:tcW w:w="5846" w:type="dxa"/>
          </w:tcPr>
          <w:p w:rsidR="00F847D0" w:rsidRDefault="00F847D0" w:rsidP="00E032B8">
            <w:r>
              <w:t>Recommended storage conditions – less restrictive</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LSR</w:t>
            </w:r>
          </w:p>
        </w:tc>
        <w:tc>
          <w:tcPr>
            <w:tcW w:w="5846" w:type="dxa"/>
          </w:tcPr>
          <w:p w:rsidR="00F847D0" w:rsidRDefault="00F847D0" w:rsidP="00E032B8">
            <w:r>
              <w:t>Addition of more restrictive safety-related statements</w:t>
            </w:r>
          </w:p>
        </w:tc>
        <w:tc>
          <w:tcPr>
            <w:tcW w:w="932" w:type="dxa"/>
          </w:tcPr>
          <w:p w:rsidR="00F847D0" w:rsidRDefault="00F847D0" w:rsidP="00E032B8">
            <w:r>
              <w:t>N</w:t>
            </w:r>
          </w:p>
        </w:tc>
        <w:tc>
          <w:tcPr>
            <w:tcW w:w="932" w:type="dxa"/>
          </w:tcPr>
          <w:p w:rsidR="00F847D0" w:rsidRDefault="00F847D0" w:rsidP="00E032B8">
            <w:r>
              <w:t>5, L</w:t>
            </w:r>
          </w:p>
        </w:tc>
      </w:tr>
      <w:tr w:rsidR="00F847D0" w:rsidTr="00E032B8">
        <w:tc>
          <w:tcPr>
            <w:tcW w:w="932" w:type="dxa"/>
          </w:tcPr>
          <w:p w:rsidR="00F847D0" w:rsidRDefault="00F847D0" w:rsidP="00E032B8">
            <w:r>
              <w:t>LSF</w:t>
            </w:r>
          </w:p>
        </w:tc>
        <w:tc>
          <w:tcPr>
            <w:tcW w:w="5846" w:type="dxa"/>
          </w:tcPr>
          <w:p w:rsidR="00F847D0" w:rsidRDefault="00F847D0" w:rsidP="00E032B8">
            <w:r>
              <w:t>Changes on label (signal headings, warning statements) in compliance with new SUSDP requirements, where the change in scheduling is from ‘Prescription Only Medicine’ (Schedule 4) to a lower schedule</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LSU</w:t>
            </w:r>
          </w:p>
        </w:tc>
        <w:tc>
          <w:tcPr>
            <w:tcW w:w="5846" w:type="dxa"/>
          </w:tcPr>
          <w:p w:rsidR="00F847D0" w:rsidRDefault="00F847D0" w:rsidP="00E032B8">
            <w:r>
              <w:t>Changes on label (signal headings, warning statements) in compliance with new SUSDP requirements, other than LSF</w:t>
            </w:r>
          </w:p>
        </w:tc>
        <w:tc>
          <w:tcPr>
            <w:tcW w:w="932" w:type="dxa"/>
          </w:tcPr>
          <w:p w:rsidR="00F847D0" w:rsidRDefault="00F847D0" w:rsidP="00E032B8">
            <w:r>
              <w:t>N</w:t>
            </w:r>
          </w:p>
        </w:tc>
        <w:tc>
          <w:tcPr>
            <w:tcW w:w="932" w:type="dxa"/>
          </w:tcPr>
          <w:p w:rsidR="00F847D0" w:rsidRDefault="00F847D0" w:rsidP="00E032B8">
            <w:r>
              <w:t>5, 8, L</w:t>
            </w:r>
          </w:p>
        </w:tc>
      </w:tr>
      <w:tr w:rsidR="00F847D0" w:rsidTr="00E032B8">
        <w:tc>
          <w:tcPr>
            <w:tcW w:w="932" w:type="dxa"/>
          </w:tcPr>
          <w:p w:rsidR="00F847D0" w:rsidRDefault="00F847D0" w:rsidP="00E032B8">
            <w:r>
              <w:t>LLO</w:t>
            </w:r>
          </w:p>
        </w:tc>
        <w:tc>
          <w:tcPr>
            <w:tcW w:w="5846" w:type="dxa"/>
          </w:tcPr>
          <w:p w:rsidR="00F847D0" w:rsidRDefault="00F847D0" w:rsidP="00E032B8">
            <w:r>
              <w:t>Changes to bring a label into compliance with the Labelling Order – other than changes to the proprietary name, indications or directions for use</w:t>
            </w:r>
          </w:p>
        </w:tc>
        <w:tc>
          <w:tcPr>
            <w:tcW w:w="932" w:type="dxa"/>
          </w:tcPr>
          <w:p w:rsidR="00F847D0" w:rsidRDefault="00F847D0" w:rsidP="00E032B8">
            <w:r>
              <w:t>N</w:t>
            </w:r>
          </w:p>
        </w:tc>
        <w:tc>
          <w:tcPr>
            <w:tcW w:w="932" w:type="dxa"/>
          </w:tcPr>
          <w:p w:rsidR="00F847D0" w:rsidRDefault="00F847D0" w:rsidP="00E032B8">
            <w:r>
              <w:t>5, 7, L</w:t>
            </w:r>
          </w:p>
        </w:tc>
      </w:tr>
      <w:tr w:rsidR="00F847D0" w:rsidTr="00E032B8">
        <w:tc>
          <w:tcPr>
            <w:tcW w:w="932" w:type="dxa"/>
          </w:tcPr>
          <w:p w:rsidR="00F847D0" w:rsidRDefault="00F847D0" w:rsidP="00E032B8">
            <w:r>
              <w:lastRenderedPageBreak/>
              <w:t>LLR</w:t>
            </w:r>
          </w:p>
        </w:tc>
        <w:tc>
          <w:tcPr>
            <w:tcW w:w="5846" w:type="dxa"/>
          </w:tcPr>
          <w:p w:rsidR="00F847D0" w:rsidRDefault="00F847D0" w:rsidP="00E032B8">
            <w:r>
              <w:t xml:space="preserve">Addition of a required representation to a label (Part 2 of Schedule 2 to the </w:t>
            </w:r>
            <w:r>
              <w:rPr>
                <w:i/>
              </w:rPr>
              <w:t>Therapeutic Goods Regulations</w:t>
            </w:r>
            <w:r>
              <w:t>)</w:t>
            </w:r>
          </w:p>
        </w:tc>
        <w:tc>
          <w:tcPr>
            <w:tcW w:w="932" w:type="dxa"/>
          </w:tcPr>
          <w:p w:rsidR="00F847D0" w:rsidRDefault="00F847D0" w:rsidP="00E032B8">
            <w:r>
              <w:t>N</w:t>
            </w:r>
          </w:p>
        </w:tc>
        <w:tc>
          <w:tcPr>
            <w:tcW w:w="932" w:type="dxa"/>
          </w:tcPr>
          <w:p w:rsidR="00F847D0" w:rsidRDefault="00F847D0" w:rsidP="00E032B8">
            <w:r>
              <w:t>5, 7, L</w:t>
            </w:r>
          </w:p>
        </w:tc>
      </w:tr>
      <w:tr w:rsidR="00F847D0" w:rsidTr="00E032B8">
        <w:tc>
          <w:tcPr>
            <w:tcW w:w="932" w:type="dxa"/>
          </w:tcPr>
          <w:p w:rsidR="00F847D0" w:rsidRDefault="00F847D0" w:rsidP="00E032B8">
            <w:r>
              <w:t>LCF</w:t>
            </w:r>
          </w:p>
        </w:tc>
        <w:tc>
          <w:tcPr>
            <w:tcW w:w="5846" w:type="dxa"/>
          </w:tcPr>
          <w:p w:rsidR="00F847D0" w:rsidRDefault="00F847D0" w:rsidP="00E032B8">
            <w:r>
              <w:t>Colour, font, type size only (no change in label copy)</w:t>
            </w:r>
          </w:p>
        </w:tc>
        <w:tc>
          <w:tcPr>
            <w:tcW w:w="932" w:type="dxa"/>
          </w:tcPr>
          <w:p w:rsidR="00F847D0" w:rsidRDefault="00F847D0" w:rsidP="00E032B8">
            <w:r>
              <w:t>N</w:t>
            </w:r>
          </w:p>
        </w:tc>
        <w:tc>
          <w:tcPr>
            <w:tcW w:w="932" w:type="dxa"/>
          </w:tcPr>
          <w:p w:rsidR="00F847D0" w:rsidRDefault="00F847D0" w:rsidP="00E032B8">
            <w:r>
              <w:t>5, L</w:t>
            </w:r>
          </w:p>
        </w:tc>
      </w:tr>
      <w:tr w:rsidR="00F847D0" w:rsidTr="00E032B8">
        <w:tc>
          <w:tcPr>
            <w:tcW w:w="932" w:type="dxa"/>
          </w:tcPr>
          <w:p w:rsidR="00F847D0" w:rsidRDefault="00F847D0" w:rsidP="00E032B8">
            <w:r>
              <w:t>LGR</w:t>
            </w:r>
          </w:p>
        </w:tc>
        <w:tc>
          <w:tcPr>
            <w:tcW w:w="5846" w:type="dxa"/>
          </w:tcPr>
          <w:p w:rsidR="00F847D0" w:rsidRDefault="00F847D0" w:rsidP="00E032B8">
            <w:r>
              <w:t>Introduction of new graphics/icons (other than as specified in change SSP)</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 xml:space="preserve">LFO </w:t>
            </w:r>
          </w:p>
        </w:tc>
        <w:tc>
          <w:tcPr>
            <w:tcW w:w="5846" w:type="dxa"/>
          </w:tcPr>
          <w:p w:rsidR="00F847D0" w:rsidRDefault="00F847D0" w:rsidP="00E032B8">
            <w:r>
              <w:t xml:space="preserve">Reformatting of pre-existing text (ie. moving of blocks of text and </w:t>
            </w:r>
            <w:r>
              <w:rPr>
                <w:u w:val="single"/>
              </w:rPr>
              <w:t>not</w:t>
            </w:r>
            <w:r>
              <w:t xml:space="preserve"> rewording – see LIW, LRT)</w:t>
            </w:r>
          </w:p>
        </w:tc>
        <w:tc>
          <w:tcPr>
            <w:tcW w:w="932" w:type="dxa"/>
          </w:tcPr>
          <w:p w:rsidR="00F847D0" w:rsidRDefault="00F847D0" w:rsidP="00E032B8">
            <w:r>
              <w:t>N</w:t>
            </w:r>
          </w:p>
        </w:tc>
        <w:tc>
          <w:tcPr>
            <w:tcW w:w="932" w:type="dxa"/>
          </w:tcPr>
          <w:p w:rsidR="00F847D0" w:rsidRDefault="00F847D0" w:rsidP="00E032B8">
            <w:r>
              <w:t>5, L</w:t>
            </w:r>
          </w:p>
        </w:tc>
      </w:tr>
      <w:tr w:rsidR="00F847D0" w:rsidTr="00E032B8">
        <w:tc>
          <w:tcPr>
            <w:tcW w:w="932" w:type="dxa"/>
          </w:tcPr>
          <w:p w:rsidR="00F847D0" w:rsidRDefault="00F847D0" w:rsidP="00E032B8">
            <w:r>
              <w:t>LRT</w:t>
            </w:r>
          </w:p>
        </w:tc>
        <w:tc>
          <w:tcPr>
            <w:tcW w:w="5846" w:type="dxa"/>
          </w:tcPr>
          <w:p w:rsidR="00F847D0" w:rsidRDefault="00F847D0" w:rsidP="00E032B8">
            <w:r>
              <w:t>Rewording of pre-existing text without altering meaning (other than indications or directions for use – see LIW)</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LDT</w:t>
            </w:r>
          </w:p>
        </w:tc>
        <w:tc>
          <w:tcPr>
            <w:tcW w:w="5846" w:type="dxa"/>
          </w:tcPr>
          <w:p w:rsidR="00F847D0" w:rsidRDefault="00F847D0" w:rsidP="00E032B8">
            <w:r>
              <w:t xml:space="preserve">Deletion or addition of text to the label (eg. addition or removal of claims such as </w:t>
            </w:r>
            <w:r>
              <w:rPr>
                <w:i/>
              </w:rPr>
              <w:t>clinically proven</w:t>
            </w:r>
            <w:r>
              <w:t xml:space="preserve">, </w:t>
            </w:r>
            <w:r>
              <w:rPr>
                <w:i/>
              </w:rPr>
              <w:t>fast/rapid action</w:t>
            </w:r>
            <w:r>
              <w:t>; general claims regarding the product, its nature, mechanism of action, qualifying statements, etc)</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LOC</w:t>
            </w:r>
          </w:p>
        </w:tc>
        <w:tc>
          <w:tcPr>
            <w:tcW w:w="5846" w:type="dxa"/>
          </w:tcPr>
          <w:p w:rsidR="00F847D0" w:rsidRDefault="00F847D0" w:rsidP="00E032B8">
            <w:pPr>
              <w:rPr>
                <w:i/>
              </w:rPr>
            </w:pPr>
            <w:r>
              <w:t>Other changes</w:t>
            </w:r>
          </w:p>
        </w:tc>
        <w:tc>
          <w:tcPr>
            <w:tcW w:w="932" w:type="dxa"/>
          </w:tcPr>
          <w:p w:rsidR="00F847D0" w:rsidRDefault="00F847D0" w:rsidP="00E032B8">
            <w:r>
              <w:t>Ask</w:t>
            </w:r>
          </w:p>
        </w:tc>
        <w:tc>
          <w:tcPr>
            <w:tcW w:w="932" w:type="dxa"/>
          </w:tcPr>
          <w:p w:rsidR="00F847D0" w:rsidRDefault="00F847D0" w:rsidP="00E032B8">
            <w:r>
              <w:t>-</w:t>
            </w:r>
          </w:p>
        </w:tc>
      </w:tr>
      <w:bookmarkEnd w:id="772"/>
    </w:tbl>
    <w:p w:rsidR="0037564C" w:rsidRDefault="0037564C" w:rsidP="00F847D0"/>
    <w:p w:rsidR="0037564C" w:rsidRDefault="0037564C" w:rsidP="00D1746F">
      <w:pPr>
        <w:pStyle w:val="ListBullet"/>
        <w:numPr>
          <w:ilvl w:val="0"/>
          <w:numId w:val="0"/>
        </w:numPr>
        <w:ind w:left="76"/>
      </w:pPr>
    </w:p>
    <w:p w:rsidR="00F847D0" w:rsidRDefault="00F847D0" w:rsidP="00D1746F">
      <w:pPr>
        <w:pStyle w:val="ListBullet"/>
        <w:numPr>
          <w:ilvl w:val="0"/>
          <w:numId w:val="0"/>
        </w:numPr>
        <w:ind w:left="76"/>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 xml:space="preserve">Sponsor changes    </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613231" w:rsidRPr="00613231">
              <w:rPr>
                <w:rStyle w:val="FootnoteReference"/>
                <w:rFonts w:ascii="Cambria" w:hAnsi="Cambria"/>
              </w:rPr>
              <w:footnoteReference w:customMarkFollows="1" w:id="42"/>
              <w:t>*</w:t>
            </w:r>
          </w:p>
        </w:tc>
      </w:tr>
      <w:tr w:rsidR="00F847D0" w:rsidTr="00E032B8">
        <w:tc>
          <w:tcPr>
            <w:tcW w:w="932" w:type="dxa"/>
          </w:tcPr>
          <w:p w:rsidR="00F847D0" w:rsidRDefault="00F847D0" w:rsidP="00E032B8">
            <w:r>
              <w:t>SSP</w:t>
            </w:r>
          </w:p>
        </w:tc>
        <w:tc>
          <w:tcPr>
            <w:tcW w:w="5846" w:type="dxa"/>
          </w:tcPr>
          <w:p w:rsidR="00F847D0" w:rsidRDefault="00F847D0" w:rsidP="00E032B8">
            <w:r>
              <w:t>Sponsor name/logo(same sponsor of goods) and/or change to manufacturer/supplier details on label</w:t>
            </w:r>
          </w:p>
        </w:tc>
        <w:tc>
          <w:tcPr>
            <w:tcW w:w="932" w:type="dxa"/>
          </w:tcPr>
          <w:p w:rsidR="00F847D0" w:rsidRDefault="00F847D0" w:rsidP="00E032B8">
            <w:r>
              <w:t>N</w:t>
            </w:r>
          </w:p>
        </w:tc>
        <w:tc>
          <w:tcPr>
            <w:tcW w:w="932" w:type="dxa"/>
          </w:tcPr>
          <w:p w:rsidR="00F847D0" w:rsidRDefault="00F847D0" w:rsidP="00E032B8">
            <w:r>
              <w:t>5, L</w:t>
            </w:r>
          </w:p>
        </w:tc>
      </w:tr>
      <w:tr w:rsidR="00F847D0" w:rsidTr="00E032B8">
        <w:tc>
          <w:tcPr>
            <w:tcW w:w="932" w:type="dxa"/>
          </w:tcPr>
          <w:p w:rsidR="00F847D0" w:rsidRDefault="00F847D0" w:rsidP="00E032B8">
            <w:r>
              <w:t>SAD</w:t>
            </w:r>
          </w:p>
        </w:tc>
        <w:tc>
          <w:tcPr>
            <w:tcW w:w="5846" w:type="dxa"/>
          </w:tcPr>
          <w:p w:rsidR="00F847D0" w:rsidRDefault="00F847D0" w:rsidP="00E032B8">
            <w:r>
              <w:t>Sponsor address</w:t>
            </w:r>
          </w:p>
        </w:tc>
        <w:tc>
          <w:tcPr>
            <w:tcW w:w="932" w:type="dxa"/>
          </w:tcPr>
          <w:p w:rsidR="00F847D0" w:rsidRDefault="00F847D0" w:rsidP="00E032B8">
            <w:r>
              <w:t>Write to OTC</w:t>
            </w:r>
          </w:p>
        </w:tc>
        <w:tc>
          <w:tcPr>
            <w:tcW w:w="932" w:type="dxa"/>
          </w:tcPr>
          <w:p w:rsidR="00F847D0" w:rsidRDefault="00F847D0" w:rsidP="00E032B8">
            <w:r>
              <w:t>-</w:t>
            </w:r>
          </w:p>
        </w:tc>
      </w:tr>
      <w:tr w:rsidR="00F847D0" w:rsidTr="00E032B8">
        <w:tc>
          <w:tcPr>
            <w:tcW w:w="932" w:type="dxa"/>
          </w:tcPr>
          <w:p w:rsidR="00F847D0" w:rsidRDefault="00F847D0" w:rsidP="00E032B8">
            <w:r>
              <w:t>STR</w:t>
            </w:r>
          </w:p>
        </w:tc>
        <w:tc>
          <w:tcPr>
            <w:tcW w:w="5846" w:type="dxa"/>
          </w:tcPr>
          <w:p w:rsidR="00F847D0" w:rsidRDefault="00F847D0" w:rsidP="00E032B8">
            <w:r>
              <w:t>Transfer goods to another sponsor</w:t>
            </w:r>
          </w:p>
        </w:tc>
        <w:tc>
          <w:tcPr>
            <w:tcW w:w="932" w:type="dxa"/>
          </w:tcPr>
          <w:p w:rsidR="00F847D0" w:rsidRDefault="00F847D0" w:rsidP="00E032B8">
            <w:r>
              <w:t>N</w:t>
            </w:r>
          </w:p>
        </w:tc>
        <w:tc>
          <w:tcPr>
            <w:tcW w:w="932" w:type="dxa"/>
          </w:tcPr>
          <w:p w:rsidR="00F847D0" w:rsidRDefault="00F847D0" w:rsidP="00E032B8">
            <w:r>
              <w:t>5, T, L</w:t>
            </w:r>
          </w:p>
        </w:tc>
      </w:tr>
    </w:tbl>
    <w:p w:rsidR="0037564C" w:rsidRDefault="0037564C"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Product detail changes</w:t>
            </w:r>
            <w:r>
              <w:tab/>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rPr>
                <w:vertAlign w:val="superscript"/>
              </w:rPr>
            </w:pPr>
            <w:r>
              <w:t>A/D</w:t>
            </w:r>
            <w:r w:rsidR="00613231" w:rsidRPr="00613231">
              <w:rPr>
                <w:rStyle w:val="FootnoteReference"/>
                <w:rFonts w:ascii="Cambria" w:hAnsi="Cambria"/>
              </w:rPr>
              <w:footnoteReference w:customMarkFollows="1" w:id="43"/>
              <w:t>*</w:t>
            </w:r>
          </w:p>
        </w:tc>
      </w:tr>
      <w:tr w:rsidR="00F847D0" w:rsidTr="00E032B8">
        <w:tc>
          <w:tcPr>
            <w:tcW w:w="932" w:type="dxa"/>
          </w:tcPr>
          <w:p w:rsidR="00F847D0" w:rsidRDefault="00F847D0" w:rsidP="00E032B8">
            <w:pPr>
              <w:spacing w:before="60" w:after="60"/>
            </w:pPr>
            <w:r>
              <w:t>GPN</w:t>
            </w:r>
          </w:p>
        </w:tc>
        <w:tc>
          <w:tcPr>
            <w:tcW w:w="5846" w:type="dxa"/>
          </w:tcPr>
          <w:p w:rsidR="00F847D0" w:rsidRDefault="00F847D0" w:rsidP="00E032B8">
            <w:pPr>
              <w:spacing w:before="60" w:after="60"/>
            </w:pPr>
            <w:r>
              <w:t>Proprietary name (if grouping applies)</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1, 2, L</w:t>
            </w:r>
          </w:p>
        </w:tc>
      </w:tr>
      <w:tr w:rsidR="00F847D0" w:rsidTr="00E032B8">
        <w:tc>
          <w:tcPr>
            <w:tcW w:w="932" w:type="dxa"/>
          </w:tcPr>
          <w:p w:rsidR="00F847D0" w:rsidRDefault="00F847D0" w:rsidP="00E032B8">
            <w:pPr>
              <w:spacing w:before="60" w:after="60"/>
            </w:pPr>
            <w:r>
              <w:lastRenderedPageBreak/>
              <w:t>PIN</w:t>
            </w:r>
          </w:p>
        </w:tc>
        <w:tc>
          <w:tcPr>
            <w:tcW w:w="5846" w:type="dxa"/>
          </w:tcPr>
          <w:p w:rsidR="00F847D0" w:rsidRDefault="00F847D0" w:rsidP="00E032B8">
            <w:pPr>
              <w:spacing w:before="60" w:after="60"/>
            </w:pPr>
            <w:r>
              <w:t>Proprietary name (if grouping doesn’t apply)</w:t>
            </w:r>
          </w:p>
        </w:tc>
        <w:tc>
          <w:tcPr>
            <w:tcW w:w="932" w:type="dxa"/>
          </w:tcPr>
          <w:p w:rsidR="00F847D0" w:rsidRDefault="00F847D0" w:rsidP="00E032B8">
            <w:pPr>
              <w:pStyle w:val="Style10ptCenteredBefore3ptAfter3pt"/>
            </w:pPr>
            <w:r>
              <w:t>NEW</w:t>
            </w:r>
          </w:p>
        </w:tc>
        <w:tc>
          <w:tcPr>
            <w:tcW w:w="932" w:type="dxa"/>
          </w:tcPr>
          <w:p w:rsidR="00F847D0" w:rsidRDefault="00F847D0" w:rsidP="00E032B8">
            <w:pPr>
              <w:spacing w:before="60" w:after="60"/>
            </w:pPr>
            <w:r>
              <w:t>-</w:t>
            </w:r>
          </w:p>
        </w:tc>
      </w:tr>
      <w:tr w:rsidR="00F847D0" w:rsidTr="00E032B8">
        <w:tc>
          <w:tcPr>
            <w:tcW w:w="932" w:type="dxa"/>
          </w:tcPr>
          <w:p w:rsidR="00F847D0" w:rsidRDefault="008453CD" w:rsidP="00E032B8">
            <w:pPr>
              <w:spacing w:before="60" w:after="60"/>
            </w:pPr>
            <w:r>
              <w:pict>
                <v:line id="_x0000_s1026" style="position:absolute;z-index:251660288;mso-position-horizontal-relative:text;mso-position-vertical-relative:text" from="512.55pt,55.7pt" to="519.75pt,55.7pt" o:allowincell="f">
                  <v:stroke endarrow="block"/>
                </v:line>
              </w:pict>
            </w:r>
            <w:r w:rsidR="00F847D0">
              <w:t>PSZ</w:t>
            </w:r>
          </w:p>
        </w:tc>
        <w:tc>
          <w:tcPr>
            <w:tcW w:w="5846" w:type="dxa"/>
          </w:tcPr>
          <w:p w:rsidR="00F847D0" w:rsidRDefault="00F847D0" w:rsidP="00E032B8">
            <w:pPr>
              <w:spacing w:before="60" w:after="60"/>
            </w:pPr>
            <w:r>
              <w:t>Pack size – other than liquids/semi-solids (see PLS) or metered dose aerosols (see PMZ) (see also KBT, KGL, KBL and KOT)</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 6, 10, L, P</w:t>
            </w:r>
          </w:p>
        </w:tc>
      </w:tr>
      <w:tr w:rsidR="00F847D0" w:rsidTr="00E032B8">
        <w:tc>
          <w:tcPr>
            <w:tcW w:w="932" w:type="dxa"/>
          </w:tcPr>
          <w:p w:rsidR="00F847D0" w:rsidRDefault="00F847D0" w:rsidP="00E032B8">
            <w:pPr>
              <w:spacing w:before="60" w:after="60"/>
            </w:pPr>
            <w:r>
              <w:t>PLS</w:t>
            </w:r>
          </w:p>
        </w:tc>
        <w:tc>
          <w:tcPr>
            <w:tcW w:w="5846" w:type="dxa"/>
          </w:tcPr>
          <w:p w:rsidR="00F847D0" w:rsidRDefault="00F847D0" w:rsidP="00E032B8">
            <w:pPr>
              <w:spacing w:before="60" w:after="60"/>
            </w:pPr>
            <w:r>
              <w:t>Pack size – liquids/semi-solids</w:t>
            </w:r>
          </w:p>
        </w:tc>
        <w:tc>
          <w:tcPr>
            <w:tcW w:w="932" w:type="dxa"/>
          </w:tcPr>
          <w:p w:rsidR="00F847D0" w:rsidRDefault="00F847D0" w:rsidP="00E032B8">
            <w:pPr>
              <w:pStyle w:val="Style10ptCenteredBefore3ptAfter3pt"/>
            </w:pPr>
            <w:r>
              <w:t>N</w:t>
            </w:r>
          </w:p>
        </w:tc>
        <w:tc>
          <w:tcPr>
            <w:tcW w:w="932" w:type="dxa"/>
          </w:tcPr>
          <w:p w:rsidR="00F847D0" w:rsidRDefault="00F847D0" w:rsidP="00E032B8">
            <w:pPr>
              <w:pStyle w:val="FootnoteText"/>
              <w:spacing w:before="60" w:after="60"/>
              <w:rPr>
                <w:snapToGrid/>
              </w:rPr>
            </w:pPr>
            <w:r>
              <w:rPr>
                <w:snapToGrid/>
              </w:rPr>
              <w:t>5, 6, 10, 13, L, P</w:t>
            </w:r>
          </w:p>
        </w:tc>
      </w:tr>
      <w:tr w:rsidR="00F847D0" w:rsidTr="00E032B8">
        <w:tc>
          <w:tcPr>
            <w:tcW w:w="932" w:type="dxa"/>
          </w:tcPr>
          <w:p w:rsidR="00F847D0" w:rsidRDefault="00F847D0" w:rsidP="00E032B8">
            <w:pPr>
              <w:spacing w:before="60" w:after="60"/>
            </w:pPr>
            <w:r>
              <w:t>PMZ</w:t>
            </w:r>
          </w:p>
        </w:tc>
        <w:tc>
          <w:tcPr>
            <w:tcW w:w="5846" w:type="dxa"/>
          </w:tcPr>
          <w:p w:rsidR="00F847D0" w:rsidRDefault="00F847D0" w:rsidP="00E032B8">
            <w:pPr>
              <w:spacing w:before="60" w:after="60"/>
            </w:pPr>
            <w:r>
              <w:t>Pack size – metered dose aerosols</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GIN</w:t>
            </w:r>
          </w:p>
        </w:tc>
        <w:tc>
          <w:tcPr>
            <w:tcW w:w="5846" w:type="dxa"/>
          </w:tcPr>
          <w:p w:rsidR="00F847D0" w:rsidRDefault="00F847D0" w:rsidP="00E032B8">
            <w:pPr>
              <w:spacing w:before="60" w:after="60"/>
            </w:pPr>
            <w:r>
              <w:t>New therapeutic indications (if grouping applies)</w:t>
            </w:r>
          </w:p>
        </w:tc>
        <w:tc>
          <w:tcPr>
            <w:tcW w:w="932" w:type="dxa"/>
          </w:tcPr>
          <w:p w:rsidR="00F847D0" w:rsidRDefault="00F847D0" w:rsidP="00E032B8">
            <w:pPr>
              <w:pStyle w:val="Style10ptCenteredBefore3ptAfter3pt"/>
            </w:pPr>
            <w:r>
              <w:t>A</w:t>
            </w:r>
          </w:p>
        </w:tc>
        <w:tc>
          <w:tcPr>
            <w:tcW w:w="932" w:type="dxa"/>
          </w:tcPr>
          <w:p w:rsidR="00F847D0" w:rsidRDefault="00F847D0" w:rsidP="00E032B8">
            <w:pPr>
              <w:pStyle w:val="FootnoteText"/>
              <w:spacing w:before="60" w:after="60"/>
              <w:rPr>
                <w:snapToGrid/>
              </w:rPr>
            </w:pPr>
            <w:r>
              <w:rPr>
                <w:snapToGrid/>
              </w:rPr>
              <w:t>1, 3, L</w:t>
            </w:r>
          </w:p>
        </w:tc>
      </w:tr>
      <w:tr w:rsidR="00F847D0" w:rsidTr="00E032B8">
        <w:tc>
          <w:tcPr>
            <w:tcW w:w="932" w:type="dxa"/>
          </w:tcPr>
          <w:p w:rsidR="00F847D0" w:rsidRDefault="00F847D0" w:rsidP="00E032B8">
            <w:pPr>
              <w:spacing w:before="60" w:after="60"/>
            </w:pPr>
            <w:r>
              <w:t>PTI</w:t>
            </w:r>
          </w:p>
        </w:tc>
        <w:tc>
          <w:tcPr>
            <w:tcW w:w="5846" w:type="dxa"/>
          </w:tcPr>
          <w:p w:rsidR="00F847D0" w:rsidRDefault="00F847D0" w:rsidP="00E032B8">
            <w:pPr>
              <w:pStyle w:val="FootnoteText"/>
              <w:spacing w:before="60" w:after="60"/>
            </w:pPr>
            <w:r>
              <w:t>New therapeutic indications (if grouping doesn’t apply)</w:t>
            </w:r>
          </w:p>
        </w:tc>
        <w:tc>
          <w:tcPr>
            <w:tcW w:w="932" w:type="dxa"/>
          </w:tcPr>
          <w:p w:rsidR="00F847D0" w:rsidRDefault="00F847D0" w:rsidP="00E032B8">
            <w:pPr>
              <w:pStyle w:val="Style10ptCenteredBefore3ptAfter3pt"/>
            </w:pPr>
            <w:r>
              <w:t>NEW</w:t>
            </w:r>
          </w:p>
        </w:tc>
        <w:tc>
          <w:tcPr>
            <w:tcW w:w="932" w:type="dxa"/>
          </w:tcPr>
          <w:p w:rsidR="00F847D0" w:rsidRDefault="00F847D0" w:rsidP="00E032B8">
            <w:pPr>
              <w:pStyle w:val="FootnoteText"/>
              <w:spacing w:before="60" w:after="60"/>
              <w:rPr>
                <w:snapToGrid/>
              </w:rPr>
            </w:pPr>
            <w:r>
              <w:rPr>
                <w:snapToGrid/>
              </w:rPr>
              <w:t>-</w:t>
            </w:r>
          </w:p>
        </w:tc>
      </w:tr>
      <w:tr w:rsidR="00F847D0" w:rsidTr="00E032B8">
        <w:tc>
          <w:tcPr>
            <w:tcW w:w="932" w:type="dxa"/>
          </w:tcPr>
          <w:p w:rsidR="00F847D0" w:rsidRDefault="00F847D0" w:rsidP="00E032B8">
            <w:pPr>
              <w:spacing w:before="60" w:after="60"/>
            </w:pPr>
            <w:r>
              <w:t>PDF</w:t>
            </w:r>
          </w:p>
        </w:tc>
        <w:tc>
          <w:tcPr>
            <w:tcW w:w="5846" w:type="dxa"/>
          </w:tcPr>
          <w:p w:rsidR="00F847D0" w:rsidRDefault="00F847D0" w:rsidP="00E032B8">
            <w:pPr>
              <w:spacing w:before="60" w:after="60"/>
            </w:pPr>
            <w:r>
              <w:t xml:space="preserve">Dosage form (as defined in </w:t>
            </w:r>
            <w:r>
              <w:rPr>
                <w:i/>
              </w:rPr>
              <w:t>TGA Standard Terminology</w:t>
            </w:r>
            <w:r w:rsidR="00613231" w:rsidRPr="00613231">
              <w:rPr>
                <w:rStyle w:val="FootnoteReference"/>
              </w:rPr>
              <w:footnoteReference w:id="44"/>
            </w:r>
            <w:r>
              <w:t>)</w:t>
            </w:r>
          </w:p>
        </w:tc>
        <w:tc>
          <w:tcPr>
            <w:tcW w:w="932" w:type="dxa"/>
          </w:tcPr>
          <w:p w:rsidR="00F847D0" w:rsidRDefault="00F847D0" w:rsidP="00E032B8">
            <w:pPr>
              <w:pStyle w:val="Style10ptCenteredBefore3ptAfter3pt"/>
            </w:pPr>
            <w:r>
              <w:t>NEW</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PVI</w:t>
            </w:r>
          </w:p>
        </w:tc>
        <w:tc>
          <w:tcPr>
            <w:tcW w:w="5846" w:type="dxa"/>
          </w:tcPr>
          <w:p w:rsidR="00F847D0" w:rsidRDefault="00F847D0" w:rsidP="00E032B8">
            <w:pPr>
              <w:spacing w:before="60" w:after="60"/>
            </w:pPr>
            <w:r>
              <w:t xml:space="preserve">Visual identification </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 xml:space="preserve">5, 13, 19 </w:t>
            </w:r>
          </w:p>
        </w:tc>
      </w:tr>
      <w:tr w:rsidR="00F847D0" w:rsidTr="00E032B8">
        <w:tc>
          <w:tcPr>
            <w:tcW w:w="932" w:type="dxa"/>
          </w:tcPr>
          <w:p w:rsidR="00F847D0" w:rsidRDefault="00F847D0" w:rsidP="00E032B8">
            <w:pPr>
              <w:pStyle w:val="FootnoteText"/>
              <w:spacing w:before="60" w:after="60"/>
              <w:rPr>
                <w:snapToGrid/>
              </w:rPr>
            </w:pPr>
            <w:r>
              <w:rPr>
                <w:snapToGrid/>
              </w:rPr>
              <w:t>PSL</w:t>
            </w:r>
          </w:p>
        </w:tc>
        <w:tc>
          <w:tcPr>
            <w:tcW w:w="5846" w:type="dxa"/>
          </w:tcPr>
          <w:p w:rsidR="00F847D0" w:rsidRDefault="00F847D0" w:rsidP="00E032B8">
            <w:pPr>
              <w:spacing w:before="60" w:after="60"/>
            </w:pPr>
            <w:r>
              <w:t>Shelf life – increase (other than in change PSP)</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PSR</w:t>
            </w:r>
          </w:p>
        </w:tc>
        <w:tc>
          <w:tcPr>
            <w:tcW w:w="5846" w:type="dxa"/>
          </w:tcPr>
          <w:p w:rsidR="00F847D0" w:rsidRDefault="00F847D0" w:rsidP="00E032B8">
            <w:pPr>
              <w:spacing w:before="60" w:after="60"/>
            </w:pPr>
            <w:r>
              <w:t>Shelf life – decrease</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w:t>
            </w:r>
          </w:p>
        </w:tc>
      </w:tr>
      <w:tr w:rsidR="00F847D0" w:rsidTr="00E032B8">
        <w:tc>
          <w:tcPr>
            <w:tcW w:w="932" w:type="dxa"/>
          </w:tcPr>
          <w:p w:rsidR="00F847D0" w:rsidRDefault="00F847D0" w:rsidP="00E032B8">
            <w:pPr>
              <w:spacing w:before="60" w:after="60"/>
            </w:pPr>
            <w:r>
              <w:t>PSP</w:t>
            </w:r>
          </w:p>
        </w:tc>
        <w:tc>
          <w:tcPr>
            <w:tcW w:w="5846" w:type="dxa"/>
          </w:tcPr>
          <w:p w:rsidR="00F847D0" w:rsidRDefault="00F847D0" w:rsidP="00E032B8">
            <w:pPr>
              <w:spacing w:before="60" w:after="60"/>
            </w:pPr>
            <w:r>
              <w:t>Shelf life – increase (in accordance with an approved stability testing protocol for that product)</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5, 11, 20</w:t>
            </w:r>
          </w:p>
        </w:tc>
      </w:tr>
      <w:tr w:rsidR="00F847D0" w:rsidTr="00E032B8">
        <w:tc>
          <w:tcPr>
            <w:tcW w:w="932" w:type="dxa"/>
          </w:tcPr>
          <w:p w:rsidR="00F847D0" w:rsidRDefault="00F847D0" w:rsidP="00E032B8">
            <w:pPr>
              <w:spacing w:before="60" w:after="60"/>
            </w:pPr>
            <w:r>
              <w:t>PPR</w:t>
            </w:r>
          </w:p>
        </w:tc>
        <w:tc>
          <w:tcPr>
            <w:tcW w:w="5846" w:type="dxa"/>
          </w:tcPr>
          <w:p w:rsidR="00F847D0" w:rsidRDefault="00F847D0" w:rsidP="00E032B8">
            <w:pPr>
              <w:spacing w:before="60" w:after="60"/>
            </w:pPr>
            <w:r>
              <w:t>Approval of a stability testing protocol for a specific product</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PSC</w:t>
            </w:r>
          </w:p>
        </w:tc>
        <w:tc>
          <w:tcPr>
            <w:tcW w:w="5846" w:type="dxa"/>
          </w:tcPr>
          <w:p w:rsidR="00F847D0" w:rsidRDefault="00F847D0" w:rsidP="00E032B8">
            <w:pPr>
              <w:spacing w:before="60" w:after="60"/>
            </w:pPr>
            <w:r>
              <w:t>Recommended storage conditions – more restrictive</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w:t>
            </w:r>
          </w:p>
        </w:tc>
      </w:tr>
      <w:tr w:rsidR="00F847D0" w:rsidTr="00E032B8">
        <w:tc>
          <w:tcPr>
            <w:tcW w:w="932" w:type="dxa"/>
          </w:tcPr>
          <w:p w:rsidR="00F847D0" w:rsidRDefault="00F847D0" w:rsidP="00E032B8">
            <w:pPr>
              <w:spacing w:before="60" w:after="60"/>
            </w:pPr>
            <w:r>
              <w:t>PST</w:t>
            </w:r>
          </w:p>
        </w:tc>
        <w:tc>
          <w:tcPr>
            <w:tcW w:w="5846" w:type="dxa"/>
          </w:tcPr>
          <w:p w:rsidR="00F847D0" w:rsidRDefault="00F847D0" w:rsidP="00E032B8">
            <w:pPr>
              <w:spacing w:before="60" w:after="60"/>
            </w:pPr>
            <w:r>
              <w:t>Recommended storage conditions – less restrictive</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pStyle w:val="FootnoteText"/>
              <w:spacing w:before="60" w:after="60"/>
              <w:rPr>
                <w:snapToGrid/>
              </w:rPr>
            </w:pPr>
            <w:r>
              <w:rPr>
                <w:snapToGrid/>
              </w:rPr>
              <w:t>PMI</w:t>
            </w:r>
          </w:p>
        </w:tc>
        <w:tc>
          <w:tcPr>
            <w:tcW w:w="5846" w:type="dxa"/>
          </w:tcPr>
          <w:p w:rsidR="00F847D0" w:rsidRDefault="00F847D0" w:rsidP="00E032B8">
            <w:pPr>
              <w:spacing w:before="60" w:after="60"/>
            </w:pPr>
            <w:r>
              <w:t>Sterility status/technique</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bl>
    <w:p w:rsidR="0037564C" w:rsidRDefault="0037564C" w:rsidP="00F847D0">
      <w:pPr>
        <w:rPr>
          <w:rFonts w:asciiTheme="minorHAnsi" w:eastAsiaTheme="majorEastAsia" w:hAnsiTheme="minorHAnsi" w:cstheme="majorBidi"/>
          <w:b/>
          <w:bCs/>
          <w:sz w:val="22"/>
        </w:rPr>
      </w:pPr>
    </w:p>
    <w:p w:rsidR="0037564C" w:rsidRDefault="0037564C"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Formulation changes - active ingredients</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613231" w:rsidRPr="00613231">
              <w:rPr>
                <w:rStyle w:val="FootnoteReference"/>
                <w:rFonts w:ascii="Cambria" w:hAnsi="Cambria"/>
              </w:rPr>
              <w:footnoteReference w:customMarkFollows="1" w:id="45"/>
              <w:t>*</w:t>
            </w:r>
          </w:p>
        </w:tc>
      </w:tr>
      <w:tr w:rsidR="00F847D0" w:rsidTr="00E032B8">
        <w:tc>
          <w:tcPr>
            <w:tcW w:w="932" w:type="dxa"/>
          </w:tcPr>
          <w:p w:rsidR="00F847D0" w:rsidRDefault="00F847D0" w:rsidP="00E032B8">
            <w:r>
              <w:t>AAI</w:t>
            </w:r>
          </w:p>
        </w:tc>
        <w:tc>
          <w:tcPr>
            <w:tcW w:w="5846" w:type="dxa"/>
          </w:tcPr>
          <w:p w:rsidR="00F847D0" w:rsidRDefault="00F847D0" w:rsidP="00E032B8">
            <w:r>
              <w:t>Addition of active ingredient</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lastRenderedPageBreak/>
              <w:t>AAD</w:t>
            </w:r>
          </w:p>
        </w:tc>
        <w:tc>
          <w:tcPr>
            <w:tcW w:w="5846" w:type="dxa"/>
          </w:tcPr>
          <w:p w:rsidR="00F847D0" w:rsidRDefault="00F847D0" w:rsidP="00E032B8">
            <w:r>
              <w:t>Deletion of active ingredient</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AAA</w:t>
            </w:r>
          </w:p>
        </w:tc>
        <w:tc>
          <w:tcPr>
            <w:tcW w:w="5846" w:type="dxa"/>
          </w:tcPr>
          <w:p w:rsidR="00F847D0" w:rsidRDefault="00F847D0" w:rsidP="00E032B8">
            <w:r>
              <w:t xml:space="preserve">Amount of an active ingredient (see also </w:t>
            </w:r>
            <w:hyperlink w:anchor="Qualactiveexcipvar" w:history="1">
              <w:r w:rsidRPr="00B169D5">
                <w:rPr>
                  <w:rStyle w:val="Hyperlink"/>
                </w:rPr>
                <w:t>Active</w:t>
              </w:r>
              <w:bookmarkStart w:id="779" w:name="_Hlt44294770"/>
              <w:r w:rsidRPr="00B169D5">
                <w:rPr>
                  <w:rStyle w:val="Hyperlink"/>
                </w:rPr>
                <w:t>s</w:t>
              </w:r>
              <w:bookmarkEnd w:id="779"/>
              <w:r w:rsidRPr="00B169D5">
                <w:rPr>
                  <w:rStyle w:val="Hyperlink"/>
                </w:rPr>
                <w:t>/</w:t>
              </w:r>
              <w:bookmarkStart w:id="780" w:name="_Hlt44305536"/>
              <w:r w:rsidRPr="00B169D5">
                <w:rPr>
                  <w:rStyle w:val="Hyperlink"/>
                </w:rPr>
                <w:t>e</w:t>
              </w:r>
              <w:bookmarkEnd w:id="780"/>
              <w:r w:rsidRPr="00B169D5">
                <w:rPr>
                  <w:rStyle w:val="Hyperlink"/>
                </w:rPr>
                <w:t>xcipients – variations in weight per batch</w:t>
              </w:r>
            </w:hyperlink>
            <w:r>
              <w:t xml:space="preserve"> in Chapter 4B, Formulation)</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AOV</w:t>
            </w:r>
          </w:p>
        </w:tc>
        <w:tc>
          <w:tcPr>
            <w:tcW w:w="5846" w:type="dxa"/>
          </w:tcPr>
          <w:p w:rsidR="00F847D0" w:rsidRDefault="00F847D0" w:rsidP="00E032B8">
            <w:r>
              <w:t>Overage – decrease</w:t>
            </w:r>
          </w:p>
        </w:tc>
        <w:tc>
          <w:tcPr>
            <w:tcW w:w="932" w:type="dxa"/>
          </w:tcPr>
          <w:p w:rsidR="00F847D0" w:rsidRDefault="00F847D0" w:rsidP="00E032B8">
            <w:r>
              <w:t>N</w:t>
            </w:r>
          </w:p>
        </w:tc>
        <w:tc>
          <w:tcPr>
            <w:tcW w:w="932" w:type="dxa"/>
          </w:tcPr>
          <w:p w:rsidR="00F847D0" w:rsidRDefault="00F847D0" w:rsidP="00E032B8">
            <w:r>
              <w:t>5</w:t>
            </w:r>
          </w:p>
        </w:tc>
      </w:tr>
      <w:tr w:rsidR="00F847D0" w:rsidTr="00E032B8">
        <w:tc>
          <w:tcPr>
            <w:tcW w:w="932" w:type="dxa"/>
          </w:tcPr>
          <w:p w:rsidR="00F847D0" w:rsidRDefault="00F847D0" w:rsidP="00E032B8">
            <w:r>
              <w:t>AOA</w:t>
            </w:r>
          </w:p>
        </w:tc>
        <w:tc>
          <w:tcPr>
            <w:tcW w:w="5846" w:type="dxa"/>
          </w:tcPr>
          <w:p w:rsidR="00F847D0" w:rsidRDefault="00F847D0" w:rsidP="00E032B8">
            <w:r>
              <w:t>Overage – increase</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GPA</w:t>
            </w:r>
          </w:p>
        </w:tc>
        <w:tc>
          <w:tcPr>
            <w:tcW w:w="5846" w:type="dxa"/>
          </w:tcPr>
          <w:p w:rsidR="00F847D0" w:rsidRDefault="00F847D0" w:rsidP="00E032B8">
            <w:r>
              <w:t>Change to amount of an excipient ingredient within a proprietary ingredient which contains an active substance (eg. a direct-compression paracetamol mix) (if grouping applies)</w:t>
            </w:r>
          </w:p>
        </w:tc>
        <w:tc>
          <w:tcPr>
            <w:tcW w:w="932" w:type="dxa"/>
          </w:tcPr>
          <w:p w:rsidR="00F847D0" w:rsidRDefault="00F847D0" w:rsidP="00E032B8">
            <w:r>
              <w:t>A</w:t>
            </w:r>
          </w:p>
        </w:tc>
        <w:tc>
          <w:tcPr>
            <w:tcW w:w="932" w:type="dxa"/>
          </w:tcPr>
          <w:p w:rsidR="00F847D0" w:rsidRDefault="00F847D0" w:rsidP="00E032B8">
            <w:r>
              <w:t>1</w:t>
            </w:r>
          </w:p>
        </w:tc>
      </w:tr>
      <w:tr w:rsidR="00F847D0" w:rsidTr="00E032B8">
        <w:tc>
          <w:tcPr>
            <w:tcW w:w="932" w:type="dxa"/>
          </w:tcPr>
          <w:p w:rsidR="00F847D0" w:rsidRDefault="00F847D0" w:rsidP="00E032B8">
            <w:r>
              <w:t>API</w:t>
            </w:r>
          </w:p>
        </w:tc>
        <w:tc>
          <w:tcPr>
            <w:tcW w:w="5846" w:type="dxa"/>
          </w:tcPr>
          <w:p w:rsidR="00F847D0" w:rsidRDefault="00F847D0" w:rsidP="00E032B8">
            <w:r>
              <w:t>Change to a proprietary ingredient which contains an active ingredient, other than as above in change GPA</w:t>
            </w:r>
          </w:p>
        </w:tc>
        <w:tc>
          <w:tcPr>
            <w:tcW w:w="932" w:type="dxa"/>
          </w:tcPr>
          <w:p w:rsidR="00F847D0" w:rsidRDefault="00F847D0" w:rsidP="00E032B8">
            <w:r>
              <w:t>NEW</w:t>
            </w:r>
          </w:p>
        </w:tc>
        <w:tc>
          <w:tcPr>
            <w:tcW w:w="932" w:type="dxa"/>
          </w:tcPr>
          <w:p w:rsidR="00F847D0" w:rsidRDefault="00F847D0" w:rsidP="00E032B8">
            <w:r>
              <w:t>-</w:t>
            </w:r>
          </w:p>
        </w:tc>
      </w:tr>
    </w:tbl>
    <w:p w:rsidR="00F847D0" w:rsidRDefault="00F847D0"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Formulation changes - excipient ingredients</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rPr>
                <w:vertAlign w:val="superscript"/>
              </w:rPr>
            </w:pPr>
            <w:r>
              <w:t>A/D</w:t>
            </w:r>
            <w:r w:rsidR="00613231" w:rsidRPr="00613231">
              <w:rPr>
                <w:rFonts w:ascii="Cambria" w:hAnsi="Cambria"/>
                <w:vertAlign w:val="superscript"/>
              </w:rPr>
              <w:t>*</w:t>
            </w:r>
          </w:p>
        </w:tc>
      </w:tr>
      <w:tr w:rsidR="00F847D0" w:rsidTr="00E032B8">
        <w:tc>
          <w:tcPr>
            <w:tcW w:w="932" w:type="dxa"/>
          </w:tcPr>
          <w:p w:rsidR="00F847D0" w:rsidRDefault="00F847D0" w:rsidP="00E032B8">
            <w:pPr>
              <w:spacing w:before="60" w:after="60"/>
            </w:pPr>
            <w:r>
              <w:t>GPI</w:t>
            </w:r>
          </w:p>
        </w:tc>
        <w:tc>
          <w:tcPr>
            <w:tcW w:w="5846" w:type="dxa"/>
          </w:tcPr>
          <w:p w:rsidR="00F847D0" w:rsidRDefault="00F847D0" w:rsidP="00E032B8">
            <w:pPr>
              <w:spacing w:before="60" w:after="60"/>
            </w:pPr>
            <w:r>
              <w:t>Removal and/or addition of a fragrance, flavour, printing ink or colouring agent (if grouping applies), other than change ERT</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1, 13</w:t>
            </w:r>
          </w:p>
        </w:tc>
      </w:tr>
      <w:tr w:rsidR="00F847D0" w:rsidTr="00E032B8">
        <w:tc>
          <w:tcPr>
            <w:tcW w:w="932" w:type="dxa"/>
          </w:tcPr>
          <w:p w:rsidR="00F847D0" w:rsidRDefault="00F847D0" w:rsidP="00E032B8">
            <w:pPr>
              <w:spacing w:before="60" w:after="60"/>
            </w:pPr>
            <w:r>
              <w:t>ERE</w:t>
            </w:r>
          </w:p>
        </w:tc>
        <w:tc>
          <w:tcPr>
            <w:tcW w:w="5846" w:type="dxa"/>
          </w:tcPr>
          <w:p w:rsidR="00F847D0" w:rsidRDefault="00F847D0" w:rsidP="00E032B8">
            <w:pPr>
              <w:spacing w:before="60" w:after="60"/>
            </w:pPr>
            <w:r>
              <w:t>Removal or addition of a fragrance, flavour, printing ink or colouring agent (if grouping doesn’t apply)</w:t>
            </w:r>
          </w:p>
        </w:tc>
        <w:tc>
          <w:tcPr>
            <w:tcW w:w="932" w:type="dxa"/>
          </w:tcPr>
          <w:p w:rsidR="00F847D0" w:rsidRDefault="00F847D0" w:rsidP="00E032B8">
            <w:pPr>
              <w:pStyle w:val="Style10ptCenteredBefore3ptAfter3pt"/>
            </w:pPr>
            <w:r>
              <w:t>NEW</w:t>
            </w:r>
          </w:p>
        </w:tc>
        <w:tc>
          <w:tcPr>
            <w:tcW w:w="932" w:type="dxa"/>
          </w:tcPr>
          <w:p w:rsidR="00F847D0" w:rsidRDefault="00F847D0" w:rsidP="00E032B8">
            <w:pPr>
              <w:pStyle w:val="FootnoteText"/>
              <w:spacing w:before="60" w:after="60"/>
              <w:rPr>
                <w:snapToGrid/>
              </w:rPr>
            </w:pPr>
            <w:r>
              <w:rPr>
                <w:snapToGrid/>
              </w:rPr>
              <w:t>-</w:t>
            </w:r>
          </w:p>
        </w:tc>
      </w:tr>
      <w:tr w:rsidR="00F847D0" w:rsidTr="00E032B8">
        <w:tc>
          <w:tcPr>
            <w:tcW w:w="932" w:type="dxa"/>
          </w:tcPr>
          <w:p w:rsidR="00F847D0" w:rsidRDefault="00F847D0" w:rsidP="00E032B8">
            <w:pPr>
              <w:spacing w:before="60" w:after="60"/>
            </w:pPr>
            <w:r>
              <w:t>ERT</w:t>
            </w:r>
          </w:p>
        </w:tc>
        <w:tc>
          <w:tcPr>
            <w:tcW w:w="5846" w:type="dxa"/>
          </w:tcPr>
          <w:p w:rsidR="00F847D0" w:rsidRDefault="00F847D0" w:rsidP="00E032B8">
            <w:pPr>
              <w:spacing w:before="60" w:after="60"/>
            </w:pPr>
            <w:r>
              <w:t>Removal of fragrance, flavour, printing ink and/or colouring agent(s) if the total agent(s) are present at not more than 2% w/w or w/v (if grouping applies)</w:t>
            </w:r>
          </w:p>
          <w:p w:rsidR="00F847D0" w:rsidRDefault="00F847D0" w:rsidP="00E032B8">
            <w:pPr>
              <w:pStyle w:val="FootnoteText"/>
              <w:spacing w:after="60"/>
              <w:rPr>
                <w:snapToGrid/>
              </w:rPr>
            </w:pPr>
            <w:r>
              <w:rPr>
                <w:snapToGrid/>
              </w:rPr>
              <w:t>Note:  This change may result in consequential changes (eg. deletion from the label of declared ingredients that are no longer relevant; change to visual identification and finished product specifications) which should also be addressed in accordance with the ‘Changes Table’.</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w:t>
            </w:r>
          </w:p>
        </w:tc>
      </w:tr>
      <w:tr w:rsidR="00F847D0" w:rsidTr="00E032B8">
        <w:tc>
          <w:tcPr>
            <w:tcW w:w="932" w:type="dxa"/>
          </w:tcPr>
          <w:p w:rsidR="00F847D0" w:rsidRDefault="00F847D0" w:rsidP="00E032B8">
            <w:pPr>
              <w:spacing w:before="60" w:after="60"/>
            </w:pPr>
            <w:r>
              <w:t>EAD</w:t>
            </w:r>
          </w:p>
        </w:tc>
        <w:tc>
          <w:tcPr>
            <w:tcW w:w="5846" w:type="dxa"/>
          </w:tcPr>
          <w:p w:rsidR="00F847D0" w:rsidRDefault="00F847D0" w:rsidP="00E032B8">
            <w:pPr>
              <w:spacing w:before="60" w:after="60"/>
            </w:pPr>
            <w:r>
              <w:t>Addition of excipient other than those above in change GPI</w:t>
            </w:r>
          </w:p>
        </w:tc>
        <w:tc>
          <w:tcPr>
            <w:tcW w:w="932" w:type="dxa"/>
          </w:tcPr>
          <w:p w:rsidR="00F847D0" w:rsidRDefault="00F847D0" w:rsidP="00E032B8">
            <w:pPr>
              <w:pStyle w:val="Style10ptCenteredBefore3ptAfter3pt"/>
            </w:pPr>
            <w:r>
              <w:t>NEW</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smartTag w:uri="urn:schemas-microsoft-com:office:smarttags" w:element="City">
              <w:smartTag w:uri="urn:schemas-microsoft-com:office:smarttags" w:element="place">
                <w:r>
                  <w:t>EDE</w:t>
                </w:r>
              </w:smartTag>
            </w:smartTag>
          </w:p>
        </w:tc>
        <w:tc>
          <w:tcPr>
            <w:tcW w:w="5846" w:type="dxa"/>
          </w:tcPr>
          <w:p w:rsidR="00F847D0" w:rsidRDefault="00F847D0" w:rsidP="00E032B8">
            <w:pPr>
              <w:spacing w:before="60" w:after="60"/>
            </w:pPr>
            <w:r>
              <w:t>Deletion of excipient other than those above in change GPI</w:t>
            </w:r>
          </w:p>
        </w:tc>
        <w:tc>
          <w:tcPr>
            <w:tcW w:w="932" w:type="dxa"/>
          </w:tcPr>
          <w:p w:rsidR="00F847D0" w:rsidRDefault="00F847D0" w:rsidP="00E032B8">
            <w:pPr>
              <w:pStyle w:val="Style10ptCenteredBefore3ptAfter3pt"/>
            </w:pPr>
            <w:r>
              <w:t>NEW</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GEX</w:t>
            </w:r>
          </w:p>
        </w:tc>
        <w:tc>
          <w:tcPr>
            <w:tcW w:w="5846" w:type="dxa"/>
          </w:tcPr>
          <w:p w:rsidR="00F847D0" w:rsidRDefault="00F847D0" w:rsidP="00E032B8">
            <w:pPr>
              <w:spacing w:before="60" w:after="60"/>
            </w:pPr>
            <w:r>
              <w:t>Amount of excipient (if grouping applies)</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1</w:t>
            </w:r>
          </w:p>
        </w:tc>
      </w:tr>
      <w:tr w:rsidR="00F847D0" w:rsidTr="00E032B8">
        <w:tc>
          <w:tcPr>
            <w:tcW w:w="932" w:type="dxa"/>
          </w:tcPr>
          <w:p w:rsidR="00F847D0" w:rsidRDefault="00F847D0" w:rsidP="00E032B8">
            <w:pPr>
              <w:spacing w:before="60" w:after="60"/>
            </w:pPr>
            <w:r>
              <w:t>EAM</w:t>
            </w:r>
          </w:p>
        </w:tc>
        <w:tc>
          <w:tcPr>
            <w:tcW w:w="5846" w:type="dxa"/>
          </w:tcPr>
          <w:p w:rsidR="00F847D0" w:rsidRDefault="00F847D0" w:rsidP="00E032B8">
            <w:pPr>
              <w:spacing w:before="60" w:after="60"/>
            </w:pPr>
            <w:r>
              <w:t xml:space="preserve">Amount of excipient (if grouping doesn’t apply – see also </w:t>
            </w:r>
            <w:hyperlink w:anchor="Qualactiveexcipvar" w:history="1">
              <w:r w:rsidRPr="00B169D5">
                <w:rPr>
                  <w:rStyle w:val="Hyperlink"/>
                </w:rPr>
                <w:t>Activ</w:t>
              </w:r>
              <w:bookmarkStart w:id="781" w:name="_Hlt43884390"/>
              <w:r w:rsidRPr="00B169D5">
                <w:rPr>
                  <w:rStyle w:val="Hyperlink"/>
                </w:rPr>
                <w:t>e</w:t>
              </w:r>
              <w:bookmarkEnd w:id="781"/>
              <w:r w:rsidRPr="00B169D5">
                <w:rPr>
                  <w:rStyle w:val="Hyperlink"/>
                </w:rPr>
                <w:t>s/ excipients – variations in weight</w:t>
              </w:r>
              <w:bookmarkStart w:id="782" w:name="_Hlt44305540"/>
              <w:r w:rsidRPr="00B169D5">
                <w:rPr>
                  <w:rStyle w:val="Hyperlink"/>
                </w:rPr>
                <w:t xml:space="preserve"> </w:t>
              </w:r>
              <w:bookmarkEnd w:id="782"/>
              <w:r w:rsidRPr="00B169D5">
                <w:rPr>
                  <w:rStyle w:val="Hyperlink"/>
                </w:rPr>
                <w:t>per batch</w:t>
              </w:r>
            </w:hyperlink>
            <w:r>
              <w:t xml:space="preserve"> in Chapter 4B, Formulation)</w:t>
            </w:r>
          </w:p>
        </w:tc>
        <w:tc>
          <w:tcPr>
            <w:tcW w:w="932" w:type="dxa"/>
          </w:tcPr>
          <w:p w:rsidR="00F847D0" w:rsidRDefault="00F847D0" w:rsidP="00E032B8">
            <w:pPr>
              <w:pStyle w:val="Style10ptCenteredBefore3ptAfter3pt"/>
            </w:pPr>
            <w:r>
              <w:t>NEW</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lastRenderedPageBreak/>
              <w:t>EST</w:t>
            </w:r>
          </w:p>
        </w:tc>
        <w:tc>
          <w:tcPr>
            <w:tcW w:w="5846" w:type="dxa"/>
          </w:tcPr>
          <w:p w:rsidR="00F847D0" w:rsidRDefault="00F847D0" w:rsidP="00E032B8">
            <w:pPr>
              <w:spacing w:before="60" w:after="60"/>
            </w:pPr>
            <w:r>
              <w:t>Type of starch</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5, 12</w:t>
            </w:r>
          </w:p>
        </w:tc>
      </w:tr>
      <w:tr w:rsidR="00F847D0" w:rsidTr="00E032B8">
        <w:tc>
          <w:tcPr>
            <w:tcW w:w="932" w:type="dxa"/>
          </w:tcPr>
          <w:p w:rsidR="00F847D0" w:rsidRDefault="00F847D0" w:rsidP="00E032B8">
            <w:pPr>
              <w:spacing w:before="60" w:after="60"/>
            </w:pPr>
            <w:r>
              <w:t>EWI</w:t>
            </w:r>
          </w:p>
        </w:tc>
        <w:tc>
          <w:tcPr>
            <w:tcW w:w="5846" w:type="dxa"/>
          </w:tcPr>
          <w:p w:rsidR="00F847D0" w:rsidRDefault="00F847D0" w:rsidP="00E032B8">
            <w:pPr>
              <w:spacing w:before="60" w:after="60"/>
            </w:pPr>
            <w:r>
              <w:t>Change to ingredients within a proprietary ingredient which is a flavour, fragrance, printing ink or colour (proprietary ingredient has same name)</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5, 13</w:t>
            </w:r>
          </w:p>
        </w:tc>
      </w:tr>
      <w:tr w:rsidR="00F847D0" w:rsidTr="00E032B8">
        <w:tc>
          <w:tcPr>
            <w:tcW w:w="932" w:type="dxa"/>
          </w:tcPr>
          <w:p w:rsidR="00F847D0" w:rsidRDefault="00F847D0" w:rsidP="00E032B8">
            <w:pPr>
              <w:spacing w:before="60" w:after="60"/>
            </w:pPr>
            <w:r>
              <w:t>EWA</w:t>
            </w:r>
          </w:p>
        </w:tc>
        <w:tc>
          <w:tcPr>
            <w:tcW w:w="5846" w:type="dxa"/>
          </w:tcPr>
          <w:p w:rsidR="00F847D0" w:rsidRDefault="00F847D0" w:rsidP="00E032B8">
            <w:pPr>
              <w:spacing w:before="60" w:after="60"/>
            </w:pPr>
            <w:r>
              <w:t>Change to ingredients within a proprietary ingredient which is an excipient (other than above in change EWI)</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bl>
    <w:p w:rsidR="00F847D0" w:rsidRDefault="00F847D0"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br w:type="page"/>
              <w:t>Quality control changes – finished product specifications</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A7364C">
              <w:t>*</w:t>
            </w:r>
            <w:r w:rsidR="00613231" w:rsidRPr="00613231">
              <w:rPr>
                <w:rStyle w:val="FootnoteReference"/>
                <w:rFonts w:ascii="Cambria" w:hAnsi="Cambria"/>
              </w:rPr>
              <w:footnoteReference w:customMarkFollows="1" w:id="46"/>
              <w:t>*</w:t>
            </w:r>
          </w:p>
        </w:tc>
      </w:tr>
      <w:tr w:rsidR="00F847D0" w:rsidTr="00E032B8">
        <w:tc>
          <w:tcPr>
            <w:tcW w:w="932" w:type="dxa"/>
          </w:tcPr>
          <w:p w:rsidR="00F847D0" w:rsidRDefault="00F847D0" w:rsidP="00E032B8">
            <w:pPr>
              <w:spacing w:before="60" w:after="60"/>
            </w:pPr>
            <w:r>
              <w:t>QFX</w:t>
            </w:r>
          </w:p>
        </w:tc>
        <w:tc>
          <w:tcPr>
            <w:tcW w:w="5846" w:type="dxa"/>
          </w:tcPr>
          <w:p w:rsidR="00F847D0" w:rsidRDefault="00F847D0" w:rsidP="00E032B8">
            <w:pPr>
              <w:spacing w:before="60" w:after="60"/>
            </w:pPr>
            <w:r>
              <w:t>Specification ranges – more restrictive</w:t>
            </w:r>
          </w:p>
        </w:tc>
        <w:tc>
          <w:tcPr>
            <w:tcW w:w="932" w:type="dxa"/>
          </w:tcPr>
          <w:p w:rsidR="00F847D0" w:rsidRDefault="00F847D0" w:rsidP="00E032B8">
            <w:pPr>
              <w:pStyle w:val="Style10ptCenteredBefore3ptAfter3pt"/>
            </w:pPr>
            <w:r>
              <w:t>O</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QFE</w:t>
            </w:r>
          </w:p>
        </w:tc>
        <w:tc>
          <w:tcPr>
            <w:tcW w:w="5846" w:type="dxa"/>
          </w:tcPr>
          <w:p w:rsidR="00F847D0" w:rsidRDefault="00F847D0" w:rsidP="00E032B8">
            <w:pPr>
              <w:spacing w:before="60" w:after="60"/>
            </w:pPr>
            <w:r>
              <w:t>Specification ranges – less restrictive</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QFT</w:t>
            </w:r>
          </w:p>
        </w:tc>
        <w:tc>
          <w:tcPr>
            <w:tcW w:w="5846" w:type="dxa"/>
          </w:tcPr>
          <w:p w:rsidR="00F847D0" w:rsidRDefault="00F847D0" w:rsidP="00E032B8">
            <w:pPr>
              <w:spacing w:before="60" w:after="60"/>
            </w:pPr>
            <w:r>
              <w:t xml:space="preserve">Addition of an extra test </w:t>
            </w:r>
          </w:p>
        </w:tc>
        <w:tc>
          <w:tcPr>
            <w:tcW w:w="932" w:type="dxa"/>
          </w:tcPr>
          <w:p w:rsidR="00F847D0" w:rsidRDefault="00F847D0" w:rsidP="00E032B8">
            <w:pPr>
              <w:pStyle w:val="Style10ptCenteredBefore3ptAfter3pt"/>
            </w:pPr>
            <w:r>
              <w:t>O</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QFU</w:t>
            </w:r>
          </w:p>
        </w:tc>
        <w:tc>
          <w:tcPr>
            <w:tcW w:w="5846" w:type="dxa"/>
          </w:tcPr>
          <w:p w:rsidR="00F847D0" w:rsidRDefault="00F847D0" w:rsidP="00E032B8">
            <w:pPr>
              <w:spacing w:before="60" w:after="60"/>
            </w:pPr>
            <w:r>
              <w:t xml:space="preserve">Deletion of an existing test </w:t>
            </w:r>
          </w:p>
        </w:tc>
        <w:tc>
          <w:tcPr>
            <w:tcW w:w="932" w:type="dxa"/>
          </w:tcPr>
          <w:p w:rsidR="00F847D0" w:rsidRDefault="00F847D0" w:rsidP="00E032B8">
            <w:pPr>
              <w:pStyle w:val="Style10ptCenteredBefore3ptAfter3pt"/>
            </w:pPr>
            <w:r>
              <w:t>A</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QFA</w:t>
            </w:r>
          </w:p>
        </w:tc>
        <w:tc>
          <w:tcPr>
            <w:tcW w:w="5846" w:type="dxa"/>
          </w:tcPr>
          <w:p w:rsidR="00F847D0" w:rsidRDefault="00F847D0" w:rsidP="00E032B8">
            <w:pPr>
              <w:spacing w:before="60" w:after="60"/>
            </w:pPr>
            <w:r>
              <w:t>Analytical method – to comply with amendments to a standard (eg. the BP or a Therapeutic Goods Order)</w:t>
            </w:r>
          </w:p>
        </w:tc>
        <w:tc>
          <w:tcPr>
            <w:tcW w:w="932" w:type="dxa"/>
          </w:tcPr>
          <w:p w:rsidR="00F847D0" w:rsidRDefault="00F847D0" w:rsidP="00E032B8">
            <w:pPr>
              <w:pStyle w:val="Style10ptCenteredBefore3ptAfter3pt"/>
            </w:pPr>
            <w:r>
              <w:t>O</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QFB</w:t>
            </w:r>
          </w:p>
        </w:tc>
        <w:tc>
          <w:tcPr>
            <w:tcW w:w="5846" w:type="dxa"/>
          </w:tcPr>
          <w:p w:rsidR="00F847D0" w:rsidRDefault="00F847D0" w:rsidP="00E032B8">
            <w:pPr>
              <w:pStyle w:val="FootnoteText"/>
              <w:spacing w:before="60" w:after="60"/>
            </w:pPr>
            <w:r>
              <w:t>Analytical method – which has been demonstrated to maintain or improve analytical performance (accuracy, precision and/or specificity)</w:t>
            </w:r>
          </w:p>
        </w:tc>
        <w:tc>
          <w:tcPr>
            <w:tcW w:w="932" w:type="dxa"/>
          </w:tcPr>
          <w:p w:rsidR="00F847D0" w:rsidRDefault="00F847D0" w:rsidP="00E032B8">
            <w:pPr>
              <w:pStyle w:val="Style10ptCenteredBefore3ptAfter3pt"/>
            </w:pPr>
            <w:r>
              <w:t>O</w:t>
            </w:r>
          </w:p>
        </w:tc>
        <w:tc>
          <w:tcPr>
            <w:tcW w:w="932" w:type="dxa"/>
          </w:tcPr>
          <w:p w:rsidR="00F847D0" w:rsidRDefault="00F847D0" w:rsidP="00E032B8">
            <w:pPr>
              <w:spacing w:before="60" w:after="60"/>
            </w:pPr>
            <w:r>
              <w:t>-</w:t>
            </w:r>
          </w:p>
        </w:tc>
      </w:tr>
      <w:tr w:rsidR="00F847D0" w:rsidTr="00E032B8">
        <w:tc>
          <w:tcPr>
            <w:tcW w:w="932" w:type="dxa"/>
          </w:tcPr>
          <w:p w:rsidR="00F847D0" w:rsidRDefault="00F847D0" w:rsidP="00E032B8">
            <w:pPr>
              <w:spacing w:before="60" w:after="60"/>
            </w:pPr>
            <w:r>
              <w:t>QFC</w:t>
            </w:r>
          </w:p>
        </w:tc>
        <w:tc>
          <w:tcPr>
            <w:tcW w:w="5846" w:type="dxa"/>
          </w:tcPr>
          <w:p w:rsidR="00F847D0" w:rsidRDefault="00F847D0" w:rsidP="00E032B8">
            <w:pPr>
              <w:spacing w:before="60" w:after="60"/>
            </w:pPr>
            <w:r>
              <w:t>Analytical method – other than as specified above in change QFB</w:t>
            </w:r>
          </w:p>
        </w:tc>
        <w:tc>
          <w:tcPr>
            <w:tcW w:w="932" w:type="dxa"/>
          </w:tcPr>
          <w:p w:rsidR="00F847D0" w:rsidRDefault="00F847D0" w:rsidP="00E032B8">
            <w:pPr>
              <w:pStyle w:val="Style10ptCenteredBefore3ptAfter3pt"/>
            </w:pPr>
            <w:r>
              <w:t>A</w:t>
            </w:r>
          </w:p>
        </w:tc>
        <w:tc>
          <w:tcPr>
            <w:tcW w:w="932" w:type="dxa"/>
          </w:tcPr>
          <w:p w:rsidR="00F847D0" w:rsidRDefault="00F847D0" w:rsidP="00E032B8">
            <w:pPr>
              <w:pStyle w:val="FootnoteText"/>
              <w:spacing w:before="60" w:after="60"/>
              <w:rPr>
                <w:snapToGrid/>
              </w:rPr>
            </w:pPr>
            <w:r>
              <w:rPr>
                <w:snapToGrid/>
              </w:rPr>
              <w:t>-</w:t>
            </w:r>
          </w:p>
        </w:tc>
      </w:tr>
      <w:tr w:rsidR="00F847D0" w:rsidTr="00E032B8">
        <w:tc>
          <w:tcPr>
            <w:tcW w:w="932" w:type="dxa"/>
          </w:tcPr>
          <w:p w:rsidR="00F847D0" w:rsidRDefault="00F847D0" w:rsidP="00E032B8">
            <w:pPr>
              <w:spacing w:before="60" w:after="60"/>
            </w:pPr>
            <w:r>
              <w:t>QFS</w:t>
            </w:r>
          </w:p>
        </w:tc>
        <w:tc>
          <w:tcPr>
            <w:tcW w:w="5846" w:type="dxa"/>
          </w:tcPr>
          <w:p w:rsidR="00F847D0" w:rsidRDefault="00F847D0" w:rsidP="00E032B8">
            <w:pPr>
              <w:spacing w:before="60" w:after="60"/>
              <w:rPr>
                <w:i/>
              </w:rPr>
            </w:pPr>
            <w:r>
              <w:t xml:space="preserve">Expiry specification ranges following changes to the BP or the </w:t>
            </w:r>
            <w:r>
              <w:rPr>
                <w:i/>
              </w:rPr>
              <w:t xml:space="preserve">General standard for tablets pills and capsules </w:t>
            </w:r>
            <w:r>
              <w:t>or changes to the USP where a USP monograph has been approved by the TGA in relation to the product</w:t>
            </w:r>
          </w:p>
        </w:tc>
        <w:tc>
          <w:tcPr>
            <w:tcW w:w="932" w:type="dxa"/>
          </w:tcPr>
          <w:p w:rsidR="00F847D0" w:rsidRDefault="00F847D0" w:rsidP="00E032B8">
            <w:pPr>
              <w:pStyle w:val="Heading5"/>
              <w:spacing w:before="60" w:after="60"/>
              <w:jc w:val="center"/>
              <w:outlineLvl w:val="4"/>
              <w:rPr>
                <w:rFonts w:ascii="Times New Roman" w:hAnsi="Times New Roman"/>
              </w:rPr>
            </w:pPr>
            <w:r>
              <w:rPr>
                <w:rFonts w:ascii="Times New Roman" w:hAnsi="Times New Roman"/>
              </w:rPr>
              <w:t>O</w:t>
            </w:r>
          </w:p>
        </w:tc>
        <w:tc>
          <w:tcPr>
            <w:tcW w:w="932" w:type="dxa"/>
          </w:tcPr>
          <w:p w:rsidR="00F847D0" w:rsidRDefault="00F847D0" w:rsidP="00E032B8">
            <w:pPr>
              <w:spacing w:before="60" w:after="60"/>
            </w:pPr>
            <w:r>
              <w:t>-</w:t>
            </w:r>
          </w:p>
        </w:tc>
      </w:tr>
    </w:tbl>
    <w:p w:rsidR="004A0170" w:rsidRDefault="004A0170" w:rsidP="00F847D0">
      <w:pPr>
        <w:rPr>
          <w:rFonts w:asciiTheme="minorHAnsi" w:eastAsiaTheme="majorEastAsia" w:hAnsiTheme="minorHAnsi" w:cstheme="majorBidi"/>
          <w:b/>
          <w:bCs/>
          <w:sz w:val="22"/>
        </w:rPr>
      </w:pPr>
    </w:p>
    <w:p w:rsidR="0037564C" w:rsidRDefault="004A0170" w:rsidP="004A0170">
      <w:pPr>
        <w:spacing w:after="200" w:line="0" w:lineRule="auto"/>
        <w:rPr>
          <w:rFonts w:asciiTheme="minorHAnsi" w:eastAsiaTheme="majorEastAsia" w:hAnsiTheme="minorHAnsi" w:cstheme="majorBidi"/>
          <w:b/>
          <w:bCs/>
          <w:sz w:val="22"/>
        </w:rPr>
      </w:pPr>
      <w:r>
        <w:rPr>
          <w:rFonts w:asciiTheme="minorHAnsi" w:eastAsiaTheme="majorEastAsia" w:hAnsiTheme="minorHAnsi" w:cstheme="majorBidi"/>
          <w:b/>
          <w:bCs/>
          <w:sz w:val="22"/>
        </w:rPr>
        <w:br w:type="page"/>
      </w:r>
    </w:p>
    <w:tbl>
      <w:tblPr>
        <w:tblStyle w:val="TableTGA1"/>
        <w:tblW w:w="8642" w:type="dxa"/>
        <w:tblLayout w:type="fixed"/>
        <w:tblLook w:val="04A0" w:firstRow="1" w:lastRow="0" w:firstColumn="1" w:lastColumn="0" w:noHBand="0" w:noVBand="1"/>
      </w:tblPr>
      <w:tblGrid>
        <w:gridCol w:w="932"/>
        <w:gridCol w:w="5846"/>
        <w:gridCol w:w="932"/>
        <w:gridCol w:w="932"/>
      </w:tblGrid>
      <w:tr w:rsidR="004A0170" w:rsidTr="00803CDA">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4A0170" w:rsidRPr="004A0170" w:rsidRDefault="004A0170" w:rsidP="004A0170">
            <w:pPr>
              <w:pStyle w:val="TableHeading"/>
            </w:pPr>
            <w:r w:rsidRPr="004A0170">
              <w:lastRenderedPageBreak/>
              <w:t>Quality control changes - starting material specifications</w:t>
            </w:r>
          </w:p>
        </w:tc>
        <w:tc>
          <w:tcPr>
            <w:tcW w:w="932" w:type="dxa"/>
          </w:tcPr>
          <w:p w:rsidR="004A0170" w:rsidRPr="004A0170" w:rsidRDefault="004A0170" w:rsidP="004A0170">
            <w:pPr>
              <w:pStyle w:val="TableHeading"/>
            </w:pPr>
            <w:r w:rsidRPr="004A0170">
              <w:t xml:space="preserve">Status </w:t>
            </w:r>
          </w:p>
        </w:tc>
        <w:tc>
          <w:tcPr>
            <w:tcW w:w="932" w:type="dxa"/>
          </w:tcPr>
          <w:p w:rsidR="004A0170" w:rsidRPr="004A0170" w:rsidRDefault="004A0170" w:rsidP="004A0170">
            <w:pPr>
              <w:pStyle w:val="TableHeading"/>
            </w:pPr>
            <w:r w:rsidRPr="004A0170">
              <w:t>A/D*</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QSX</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 xml:space="preserve">Range – more restrictive </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QSE</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Range – less restrictive</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QST</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 xml:space="preserve">Addition of an extra test </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QSU</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 xml:space="preserve">Deletion of an existing test </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QSA</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Analytical method – to comply with amendments to a standard (i.e. the BP, EP, USP or a Therapeutic Goods Order)</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QSB</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Analytical method – which has been demonstrated to maintain or improve analytical performance (accuracy, precision and/or specificity)</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QSC</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Analytical method – other than as specified above in change QSB</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A</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QSM</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Manufacturer of starting material (specifications unchanged)</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r w:rsidR="004A0170" w:rsidTr="00803CDA">
        <w:tc>
          <w:tcPr>
            <w:tcW w:w="932" w:type="dxa"/>
          </w:tcPr>
          <w:p w:rsidR="004A0170" w:rsidRPr="002D29F7" w:rsidRDefault="004A0170" w:rsidP="00803CDA">
            <w:pPr>
              <w:autoSpaceDE w:val="0"/>
              <w:autoSpaceDN w:val="0"/>
              <w:adjustRightInd w:val="0"/>
              <w:spacing w:after="0" w:line="240" w:lineRule="auto"/>
              <w:jc w:val="both"/>
              <w:rPr>
                <w:rFonts w:ascii="Times New Roman" w:hAnsi="Times New Roman" w:cs="Times New Roman"/>
                <w:color w:val="000000"/>
                <w:szCs w:val="20"/>
              </w:rPr>
            </w:pPr>
            <w:r w:rsidRPr="002D29F7">
              <w:rPr>
                <w:rFonts w:ascii="Times New Roman" w:hAnsi="Times New Roman" w:cs="Times New Roman"/>
                <w:color w:val="000000"/>
                <w:szCs w:val="20"/>
              </w:rPr>
              <w:t>QSS</w:t>
            </w:r>
          </w:p>
        </w:tc>
        <w:tc>
          <w:tcPr>
            <w:tcW w:w="5846"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Supplier of starting material</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O</w:t>
            </w:r>
          </w:p>
        </w:tc>
        <w:tc>
          <w:tcPr>
            <w:tcW w:w="932" w:type="dxa"/>
          </w:tcPr>
          <w:p w:rsidR="004A0170" w:rsidRPr="002D29F7" w:rsidRDefault="004A0170" w:rsidP="00803CDA">
            <w:pPr>
              <w:autoSpaceDE w:val="0"/>
              <w:autoSpaceDN w:val="0"/>
              <w:adjustRightInd w:val="0"/>
              <w:spacing w:after="0" w:line="240" w:lineRule="auto"/>
              <w:ind w:left="15"/>
              <w:jc w:val="both"/>
              <w:rPr>
                <w:rFonts w:ascii="Times New Roman" w:hAnsi="Times New Roman" w:cs="Times New Roman"/>
                <w:color w:val="000000"/>
                <w:szCs w:val="20"/>
              </w:rPr>
            </w:pPr>
            <w:r w:rsidRPr="002D29F7">
              <w:rPr>
                <w:rFonts w:ascii="Times New Roman" w:hAnsi="Times New Roman" w:cs="Times New Roman"/>
                <w:color w:val="000000"/>
                <w:szCs w:val="20"/>
              </w:rPr>
              <w:t>-</w:t>
            </w:r>
          </w:p>
        </w:tc>
      </w:tr>
    </w:tbl>
    <w:p w:rsidR="00F847D0" w:rsidRDefault="00F847D0" w:rsidP="00F847D0">
      <w:pPr>
        <w:rPr>
          <w:rFonts w:asciiTheme="minorHAnsi" w:eastAsiaTheme="majorEastAsia" w:hAnsiTheme="minorHAnsi" w:cstheme="majorBidi"/>
          <w:b/>
          <w:bCs/>
          <w:sz w:val="22"/>
        </w:rPr>
      </w:pPr>
    </w:p>
    <w:p w:rsidR="004A0170" w:rsidRDefault="004A017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Packaging changes</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613231" w:rsidRPr="00613231">
              <w:rPr>
                <w:rStyle w:val="FootnoteReference"/>
                <w:rFonts w:ascii="Cambria" w:hAnsi="Cambria"/>
              </w:rPr>
              <w:footnoteReference w:customMarkFollows="1" w:id="47"/>
              <w:t>*</w:t>
            </w:r>
          </w:p>
        </w:tc>
      </w:tr>
      <w:tr w:rsidR="00F847D0" w:rsidTr="00E032B8">
        <w:tc>
          <w:tcPr>
            <w:tcW w:w="932" w:type="dxa"/>
          </w:tcPr>
          <w:p w:rsidR="00F847D0" w:rsidRDefault="00F847D0" w:rsidP="00E032B8">
            <w:r>
              <w:t>KCT</w:t>
            </w:r>
          </w:p>
        </w:tc>
        <w:tc>
          <w:tcPr>
            <w:tcW w:w="5846" w:type="dxa"/>
          </w:tcPr>
          <w:p w:rsidR="00F847D0" w:rsidRDefault="00F847D0" w:rsidP="00E032B8">
            <w:r>
              <w:t xml:space="preserve">Container type (as defined in </w:t>
            </w:r>
            <w:r>
              <w:rPr>
                <w:i/>
              </w:rPr>
              <w:t>TGA Standard Terminology</w:t>
            </w:r>
            <w:r>
              <w:t xml:space="preserve"> </w:t>
            </w:r>
            <w:r w:rsidR="00613231" w:rsidRPr="00613231">
              <w:rPr>
                <w:rStyle w:val="FootnoteReference"/>
              </w:rPr>
              <w:footnoteReference w:id="48"/>
            </w:r>
            <w:r>
              <w:t>)</w:t>
            </w:r>
          </w:p>
        </w:tc>
        <w:tc>
          <w:tcPr>
            <w:tcW w:w="932" w:type="dxa"/>
          </w:tcPr>
          <w:p w:rsidR="00F847D0" w:rsidRDefault="00F847D0" w:rsidP="00E032B8">
            <w:r>
              <w:t>NEW</w:t>
            </w:r>
          </w:p>
        </w:tc>
        <w:tc>
          <w:tcPr>
            <w:tcW w:w="932" w:type="dxa"/>
          </w:tcPr>
          <w:p w:rsidR="00F847D0" w:rsidRDefault="00F847D0" w:rsidP="00E032B8">
            <w:r>
              <w:t>-</w:t>
            </w:r>
          </w:p>
        </w:tc>
      </w:tr>
      <w:tr w:rsidR="00F847D0" w:rsidTr="00E032B8">
        <w:tc>
          <w:tcPr>
            <w:tcW w:w="932" w:type="dxa"/>
          </w:tcPr>
          <w:p w:rsidR="00F847D0" w:rsidRDefault="00F847D0" w:rsidP="00E032B8">
            <w:r>
              <w:t>KBT</w:t>
            </w:r>
          </w:p>
        </w:tc>
        <w:tc>
          <w:tcPr>
            <w:tcW w:w="5846" w:type="dxa"/>
          </w:tcPr>
          <w:p w:rsidR="00F847D0" w:rsidRDefault="00F847D0" w:rsidP="00E032B8">
            <w:r>
              <w:t>Container material – if the container is a bottle, the goods are a solid dosage form (eg. tablet) and the change is of a type listed in assurance 15</w:t>
            </w:r>
          </w:p>
        </w:tc>
        <w:tc>
          <w:tcPr>
            <w:tcW w:w="932" w:type="dxa"/>
          </w:tcPr>
          <w:p w:rsidR="00F847D0" w:rsidRDefault="00F847D0" w:rsidP="00E032B8">
            <w:r>
              <w:t>N</w:t>
            </w:r>
          </w:p>
        </w:tc>
        <w:tc>
          <w:tcPr>
            <w:tcW w:w="932" w:type="dxa"/>
          </w:tcPr>
          <w:p w:rsidR="00F847D0" w:rsidRDefault="00F847D0" w:rsidP="00E032B8">
            <w:r>
              <w:t>5, 10, 13, 15 &amp; 16</w:t>
            </w:r>
          </w:p>
        </w:tc>
      </w:tr>
      <w:tr w:rsidR="00F847D0" w:rsidTr="00E032B8">
        <w:tc>
          <w:tcPr>
            <w:tcW w:w="932" w:type="dxa"/>
          </w:tcPr>
          <w:p w:rsidR="00F847D0" w:rsidRDefault="00F847D0" w:rsidP="00E032B8">
            <w:r>
              <w:t>KGL</w:t>
            </w:r>
          </w:p>
        </w:tc>
        <w:tc>
          <w:tcPr>
            <w:tcW w:w="5846" w:type="dxa"/>
          </w:tcPr>
          <w:p w:rsidR="00F847D0" w:rsidRDefault="00F847D0" w:rsidP="00E032B8">
            <w:r>
              <w:t>Container material – clear to coloured glass</w:t>
            </w:r>
          </w:p>
        </w:tc>
        <w:tc>
          <w:tcPr>
            <w:tcW w:w="932" w:type="dxa"/>
          </w:tcPr>
          <w:p w:rsidR="00F847D0" w:rsidRDefault="00F847D0" w:rsidP="00E032B8">
            <w:r>
              <w:t>O</w:t>
            </w:r>
          </w:p>
        </w:tc>
        <w:tc>
          <w:tcPr>
            <w:tcW w:w="932" w:type="dxa"/>
          </w:tcPr>
          <w:p w:rsidR="00F847D0" w:rsidRDefault="00F847D0" w:rsidP="00E032B8">
            <w:r>
              <w:t>-</w:t>
            </w:r>
          </w:p>
        </w:tc>
      </w:tr>
      <w:tr w:rsidR="00F847D0" w:rsidTr="00E032B8">
        <w:tc>
          <w:tcPr>
            <w:tcW w:w="932" w:type="dxa"/>
          </w:tcPr>
          <w:p w:rsidR="00F847D0" w:rsidRDefault="00F847D0" w:rsidP="00E032B8">
            <w:r>
              <w:t>KBL</w:t>
            </w:r>
          </w:p>
        </w:tc>
        <w:tc>
          <w:tcPr>
            <w:tcW w:w="5846" w:type="dxa"/>
          </w:tcPr>
          <w:p w:rsidR="00F847D0" w:rsidRDefault="00F847D0" w:rsidP="00E032B8">
            <w:r>
              <w:t>Container material – if the container is a blister pack, the goods are a solid dosage form (eg. tablet) and the change is of a type listed in assurance 18</w:t>
            </w:r>
          </w:p>
        </w:tc>
        <w:tc>
          <w:tcPr>
            <w:tcW w:w="932" w:type="dxa"/>
          </w:tcPr>
          <w:p w:rsidR="00F847D0" w:rsidRDefault="00F847D0" w:rsidP="00E032B8">
            <w:r>
              <w:t>N</w:t>
            </w:r>
          </w:p>
        </w:tc>
        <w:tc>
          <w:tcPr>
            <w:tcW w:w="932" w:type="dxa"/>
          </w:tcPr>
          <w:p w:rsidR="00F847D0" w:rsidRDefault="00F847D0" w:rsidP="00E032B8">
            <w:r>
              <w:t>5, 10, 13 &amp; 18</w:t>
            </w:r>
          </w:p>
        </w:tc>
      </w:tr>
      <w:tr w:rsidR="00F847D0" w:rsidTr="00E032B8">
        <w:tc>
          <w:tcPr>
            <w:tcW w:w="932" w:type="dxa"/>
          </w:tcPr>
          <w:p w:rsidR="00F847D0" w:rsidRDefault="00F847D0" w:rsidP="00E032B8">
            <w:r>
              <w:t>KOT</w:t>
            </w:r>
          </w:p>
        </w:tc>
        <w:tc>
          <w:tcPr>
            <w:tcW w:w="5846" w:type="dxa"/>
          </w:tcPr>
          <w:p w:rsidR="00F847D0" w:rsidRDefault="00F847D0" w:rsidP="00E032B8">
            <w:r>
              <w:t>Container material – other than in changes KBT, KGL or KBL</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KCL</w:t>
            </w:r>
          </w:p>
        </w:tc>
        <w:tc>
          <w:tcPr>
            <w:tcW w:w="5846" w:type="dxa"/>
          </w:tcPr>
          <w:p w:rsidR="00F847D0" w:rsidRDefault="00F847D0" w:rsidP="00E032B8">
            <w:r>
              <w:t xml:space="preserve">Closure </w:t>
            </w:r>
          </w:p>
        </w:tc>
        <w:tc>
          <w:tcPr>
            <w:tcW w:w="932" w:type="dxa"/>
          </w:tcPr>
          <w:p w:rsidR="00F847D0" w:rsidRDefault="00F847D0" w:rsidP="00E032B8">
            <w:r>
              <w:t>N</w:t>
            </w:r>
          </w:p>
        </w:tc>
        <w:tc>
          <w:tcPr>
            <w:tcW w:w="932" w:type="dxa"/>
          </w:tcPr>
          <w:p w:rsidR="00F847D0" w:rsidRDefault="00F847D0" w:rsidP="00E032B8">
            <w:r>
              <w:t>5, 13</w:t>
            </w:r>
          </w:p>
        </w:tc>
      </w:tr>
      <w:tr w:rsidR="00F847D0" w:rsidTr="00E032B8">
        <w:tc>
          <w:tcPr>
            <w:tcW w:w="932" w:type="dxa"/>
          </w:tcPr>
          <w:p w:rsidR="00F847D0" w:rsidRDefault="00F847D0" w:rsidP="00E032B8">
            <w:r>
              <w:t>KSL</w:t>
            </w:r>
          </w:p>
        </w:tc>
        <w:tc>
          <w:tcPr>
            <w:tcW w:w="5846" w:type="dxa"/>
          </w:tcPr>
          <w:p w:rsidR="00F847D0" w:rsidRDefault="00F847D0" w:rsidP="00E032B8">
            <w:r>
              <w:t>Tamper evident seal – addition (including label notice to alert consumers to presence of seal)</w:t>
            </w:r>
          </w:p>
        </w:tc>
        <w:tc>
          <w:tcPr>
            <w:tcW w:w="932" w:type="dxa"/>
          </w:tcPr>
          <w:p w:rsidR="00F847D0" w:rsidRDefault="00F847D0" w:rsidP="00E032B8">
            <w:r>
              <w:t>O</w:t>
            </w:r>
          </w:p>
        </w:tc>
        <w:tc>
          <w:tcPr>
            <w:tcW w:w="932" w:type="dxa"/>
          </w:tcPr>
          <w:p w:rsidR="00F847D0" w:rsidRDefault="00F847D0" w:rsidP="00E032B8">
            <w:r>
              <w:t>-</w:t>
            </w:r>
          </w:p>
        </w:tc>
      </w:tr>
      <w:tr w:rsidR="00F847D0" w:rsidTr="00E032B8">
        <w:tc>
          <w:tcPr>
            <w:tcW w:w="932" w:type="dxa"/>
          </w:tcPr>
          <w:p w:rsidR="00F847D0" w:rsidRDefault="00F847D0" w:rsidP="00E032B8">
            <w:r>
              <w:t>KSX</w:t>
            </w:r>
          </w:p>
        </w:tc>
        <w:tc>
          <w:tcPr>
            <w:tcW w:w="5846" w:type="dxa"/>
          </w:tcPr>
          <w:p w:rsidR="00F847D0" w:rsidRDefault="00F847D0" w:rsidP="00E032B8">
            <w:r>
              <w:t xml:space="preserve">Tamper evident seal – removal (including removal of label notice </w:t>
            </w:r>
            <w:r>
              <w:lastRenderedPageBreak/>
              <w:t>re seal)</w:t>
            </w:r>
          </w:p>
        </w:tc>
        <w:tc>
          <w:tcPr>
            <w:tcW w:w="932" w:type="dxa"/>
          </w:tcPr>
          <w:p w:rsidR="00F847D0" w:rsidRDefault="00F847D0" w:rsidP="00E032B8">
            <w:r>
              <w:lastRenderedPageBreak/>
              <w:t>O</w:t>
            </w:r>
          </w:p>
        </w:tc>
        <w:tc>
          <w:tcPr>
            <w:tcW w:w="932" w:type="dxa"/>
          </w:tcPr>
          <w:p w:rsidR="00F847D0" w:rsidRDefault="00F847D0" w:rsidP="00E032B8">
            <w:r>
              <w:t>-</w:t>
            </w:r>
          </w:p>
        </w:tc>
      </w:tr>
      <w:tr w:rsidR="00F847D0" w:rsidTr="00E032B8">
        <w:tc>
          <w:tcPr>
            <w:tcW w:w="932" w:type="dxa"/>
          </w:tcPr>
          <w:p w:rsidR="00F847D0" w:rsidRDefault="00F847D0" w:rsidP="00E032B8">
            <w:r>
              <w:lastRenderedPageBreak/>
              <w:t>KWA</w:t>
            </w:r>
          </w:p>
        </w:tc>
        <w:tc>
          <w:tcPr>
            <w:tcW w:w="5846" w:type="dxa"/>
          </w:tcPr>
          <w:p w:rsidR="00F847D0" w:rsidRDefault="00F847D0" w:rsidP="00E032B8">
            <w:r>
              <w:t>Inert wadding material – addition, substitution or removal where stability is not affected by the action</w:t>
            </w:r>
          </w:p>
        </w:tc>
        <w:tc>
          <w:tcPr>
            <w:tcW w:w="932" w:type="dxa"/>
          </w:tcPr>
          <w:p w:rsidR="00F847D0" w:rsidRDefault="00F847D0" w:rsidP="00E032B8">
            <w:r>
              <w:t>O</w:t>
            </w:r>
          </w:p>
        </w:tc>
        <w:tc>
          <w:tcPr>
            <w:tcW w:w="932" w:type="dxa"/>
          </w:tcPr>
          <w:p w:rsidR="00F847D0" w:rsidRDefault="00F847D0" w:rsidP="00E032B8">
            <w:r>
              <w:t>-</w:t>
            </w:r>
          </w:p>
        </w:tc>
      </w:tr>
      <w:tr w:rsidR="00F847D0" w:rsidTr="00E032B8">
        <w:tc>
          <w:tcPr>
            <w:tcW w:w="932" w:type="dxa"/>
          </w:tcPr>
          <w:p w:rsidR="00F847D0" w:rsidRDefault="00F847D0" w:rsidP="00E032B8">
            <w:r>
              <w:t>KDA</w:t>
            </w:r>
          </w:p>
        </w:tc>
        <w:tc>
          <w:tcPr>
            <w:tcW w:w="5846" w:type="dxa"/>
          </w:tcPr>
          <w:p w:rsidR="00F847D0" w:rsidRDefault="00F847D0" w:rsidP="00E032B8">
            <w:r>
              <w:t>Desiccant – inclusion in container</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KDX</w:t>
            </w:r>
          </w:p>
        </w:tc>
        <w:tc>
          <w:tcPr>
            <w:tcW w:w="5846" w:type="dxa"/>
          </w:tcPr>
          <w:p w:rsidR="00F847D0" w:rsidRDefault="00F847D0" w:rsidP="00E032B8">
            <w:r>
              <w:t>Desiccant – removal from container</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KPP</w:t>
            </w:r>
          </w:p>
        </w:tc>
        <w:tc>
          <w:tcPr>
            <w:tcW w:w="5846" w:type="dxa"/>
          </w:tcPr>
          <w:p w:rsidR="00F847D0" w:rsidRDefault="00F847D0" w:rsidP="00E032B8">
            <w:r>
              <w:t>Specifications of primary pack (other than labelling)</w:t>
            </w:r>
          </w:p>
        </w:tc>
        <w:tc>
          <w:tcPr>
            <w:tcW w:w="932" w:type="dxa"/>
          </w:tcPr>
          <w:p w:rsidR="00F847D0" w:rsidRDefault="00F847D0" w:rsidP="00E032B8">
            <w:r>
              <w:t>O</w:t>
            </w:r>
          </w:p>
        </w:tc>
        <w:tc>
          <w:tcPr>
            <w:tcW w:w="932" w:type="dxa"/>
          </w:tcPr>
          <w:p w:rsidR="00F847D0" w:rsidRDefault="00F847D0" w:rsidP="00E032B8">
            <w:r>
              <w:t>-</w:t>
            </w:r>
          </w:p>
        </w:tc>
      </w:tr>
      <w:tr w:rsidR="00F847D0" w:rsidTr="00E032B8">
        <w:tc>
          <w:tcPr>
            <w:tcW w:w="932" w:type="dxa"/>
          </w:tcPr>
          <w:p w:rsidR="00F847D0" w:rsidRDefault="00F847D0" w:rsidP="00E032B8">
            <w:r>
              <w:t>KSP</w:t>
            </w:r>
          </w:p>
        </w:tc>
        <w:tc>
          <w:tcPr>
            <w:tcW w:w="5846" w:type="dxa"/>
          </w:tcPr>
          <w:p w:rsidR="00F847D0" w:rsidRDefault="00F847D0" w:rsidP="00E032B8">
            <w:r>
              <w:t>Introduction of a measuring device (eg. spoon, cylinder) or applicator (eg. finger cot)</w:t>
            </w:r>
          </w:p>
        </w:tc>
        <w:tc>
          <w:tcPr>
            <w:tcW w:w="932" w:type="dxa"/>
          </w:tcPr>
          <w:p w:rsidR="00F847D0" w:rsidRDefault="00F847D0" w:rsidP="00E032B8">
            <w:r>
              <w:t>N</w:t>
            </w:r>
          </w:p>
        </w:tc>
        <w:tc>
          <w:tcPr>
            <w:tcW w:w="932" w:type="dxa"/>
          </w:tcPr>
          <w:p w:rsidR="00F847D0" w:rsidRDefault="00F847D0" w:rsidP="00E032B8">
            <w:r>
              <w:t>5</w:t>
            </w:r>
          </w:p>
        </w:tc>
      </w:tr>
      <w:tr w:rsidR="00F847D0" w:rsidTr="00E032B8">
        <w:tc>
          <w:tcPr>
            <w:tcW w:w="932" w:type="dxa"/>
          </w:tcPr>
          <w:p w:rsidR="00F847D0" w:rsidRDefault="00F847D0" w:rsidP="00E032B8">
            <w:r>
              <w:t>KMD</w:t>
            </w:r>
          </w:p>
        </w:tc>
        <w:tc>
          <w:tcPr>
            <w:tcW w:w="5846" w:type="dxa"/>
          </w:tcPr>
          <w:p w:rsidR="00F847D0" w:rsidRDefault="00F847D0" w:rsidP="00E032B8">
            <w:r>
              <w:t>Changes to existing measuring device (eg. spoon, cylinder) or applicator supplied with the goods or removal of a measuring device or applicator, where other means of accurately measuring or applying the dose are readily available</w:t>
            </w:r>
          </w:p>
        </w:tc>
        <w:tc>
          <w:tcPr>
            <w:tcW w:w="932" w:type="dxa"/>
          </w:tcPr>
          <w:p w:rsidR="00F847D0" w:rsidRDefault="00F847D0" w:rsidP="00E032B8">
            <w:r>
              <w:t>N</w:t>
            </w:r>
          </w:p>
        </w:tc>
        <w:tc>
          <w:tcPr>
            <w:tcW w:w="932" w:type="dxa"/>
          </w:tcPr>
          <w:p w:rsidR="00F847D0" w:rsidRDefault="00F847D0" w:rsidP="00E032B8">
            <w:r>
              <w:t>5</w:t>
            </w:r>
          </w:p>
        </w:tc>
      </w:tr>
      <w:tr w:rsidR="00F847D0" w:rsidTr="00E032B8">
        <w:tc>
          <w:tcPr>
            <w:tcW w:w="932" w:type="dxa"/>
          </w:tcPr>
          <w:p w:rsidR="00F847D0" w:rsidRDefault="00F847D0" w:rsidP="00E032B8">
            <w:r>
              <w:t>KPA</w:t>
            </w:r>
          </w:p>
        </w:tc>
        <w:tc>
          <w:tcPr>
            <w:tcW w:w="5846" w:type="dxa"/>
          </w:tcPr>
          <w:p w:rsidR="00F847D0" w:rsidRDefault="00F847D0" w:rsidP="00E032B8">
            <w:r>
              <w:t>Introduction of a primary pack (no new text or graphics)</w:t>
            </w:r>
          </w:p>
        </w:tc>
        <w:tc>
          <w:tcPr>
            <w:tcW w:w="932" w:type="dxa"/>
          </w:tcPr>
          <w:p w:rsidR="00F847D0" w:rsidRDefault="00F847D0" w:rsidP="00E032B8">
            <w:r>
              <w:t>N</w:t>
            </w:r>
          </w:p>
        </w:tc>
        <w:tc>
          <w:tcPr>
            <w:tcW w:w="932" w:type="dxa"/>
          </w:tcPr>
          <w:p w:rsidR="00F847D0" w:rsidRDefault="00F847D0" w:rsidP="00E032B8">
            <w:r>
              <w:t>5, 14</w:t>
            </w:r>
          </w:p>
        </w:tc>
      </w:tr>
      <w:tr w:rsidR="00F847D0" w:rsidTr="00E032B8">
        <w:tc>
          <w:tcPr>
            <w:tcW w:w="932" w:type="dxa"/>
          </w:tcPr>
          <w:p w:rsidR="00F847D0" w:rsidRDefault="00F847D0" w:rsidP="00E032B8">
            <w:r>
              <w:t>KPI</w:t>
            </w:r>
          </w:p>
        </w:tc>
        <w:tc>
          <w:tcPr>
            <w:tcW w:w="5846" w:type="dxa"/>
          </w:tcPr>
          <w:p w:rsidR="00F847D0" w:rsidRDefault="00F847D0" w:rsidP="00E032B8">
            <w:r>
              <w:t>Introduction of a package insert</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KRI</w:t>
            </w:r>
          </w:p>
        </w:tc>
        <w:tc>
          <w:tcPr>
            <w:tcW w:w="5846" w:type="dxa"/>
          </w:tcPr>
          <w:p w:rsidR="00F847D0" w:rsidRDefault="00F847D0" w:rsidP="00E032B8">
            <w:r>
              <w:t>Removal of a package insert</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tc>
        <w:tc>
          <w:tcPr>
            <w:tcW w:w="5846" w:type="dxa"/>
          </w:tcPr>
          <w:p w:rsidR="00F847D0" w:rsidRDefault="00F847D0" w:rsidP="00E032B8">
            <w:r>
              <w:t>Changes to package insert (see ‘</w:t>
            </w:r>
            <w:hyperlink w:anchor="ChangesLabel" w:history="1">
              <w:r w:rsidRPr="00B169D5">
                <w:rPr>
                  <w:rStyle w:val="Hyperlink"/>
                </w:rPr>
                <w:t>Lab</w:t>
              </w:r>
              <w:bookmarkStart w:id="785" w:name="_Hlt44305554"/>
              <w:r w:rsidRPr="00B169D5">
                <w:rPr>
                  <w:rStyle w:val="Hyperlink"/>
                </w:rPr>
                <w:t>e</w:t>
              </w:r>
              <w:bookmarkEnd w:id="785"/>
              <w:r w:rsidRPr="00B169D5">
                <w:rPr>
                  <w:rStyle w:val="Hyperlink"/>
                </w:rPr>
                <w:t xml:space="preserve">l </w:t>
              </w:r>
              <w:bookmarkStart w:id="786" w:name="_Hlt43884611"/>
              <w:r w:rsidRPr="00B169D5">
                <w:rPr>
                  <w:rStyle w:val="Hyperlink"/>
                </w:rPr>
                <w:t>c</w:t>
              </w:r>
              <w:bookmarkStart w:id="787" w:name="_Hlt43884583"/>
              <w:bookmarkEnd w:id="786"/>
              <w:r w:rsidRPr="00B169D5">
                <w:rPr>
                  <w:rStyle w:val="Hyperlink"/>
                </w:rPr>
                <w:t>h</w:t>
              </w:r>
              <w:bookmarkEnd w:id="787"/>
              <w:r w:rsidRPr="00B169D5">
                <w:rPr>
                  <w:rStyle w:val="Hyperlink"/>
                </w:rPr>
                <w:t>anges</w:t>
              </w:r>
            </w:hyperlink>
            <w:r>
              <w:t>’ section)</w:t>
            </w:r>
          </w:p>
        </w:tc>
        <w:tc>
          <w:tcPr>
            <w:tcW w:w="932" w:type="dxa"/>
          </w:tcPr>
          <w:p w:rsidR="00F847D0" w:rsidRDefault="00F847D0" w:rsidP="00E032B8"/>
        </w:tc>
        <w:tc>
          <w:tcPr>
            <w:tcW w:w="932" w:type="dxa"/>
          </w:tcPr>
          <w:p w:rsidR="00F847D0" w:rsidRDefault="00F847D0" w:rsidP="00E032B8"/>
        </w:tc>
      </w:tr>
      <w:tr w:rsidR="00F847D0" w:rsidTr="00E032B8">
        <w:tc>
          <w:tcPr>
            <w:tcW w:w="932" w:type="dxa"/>
          </w:tcPr>
          <w:p w:rsidR="00F847D0" w:rsidRDefault="00F847D0" w:rsidP="00E032B8">
            <w:r>
              <w:t>KPX</w:t>
            </w:r>
          </w:p>
        </w:tc>
        <w:tc>
          <w:tcPr>
            <w:tcW w:w="5846" w:type="dxa"/>
          </w:tcPr>
          <w:p w:rsidR="00F847D0" w:rsidRDefault="00F847D0" w:rsidP="00E032B8">
            <w:r>
              <w:t>Removal of a primary pack</w:t>
            </w:r>
          </w:p>
        </w:tc>
        <w:tc>
          <w:tcPr>
            <w:tcW w:w="932" w:type="dxa"/>
          </w:tcPr>
          <w:p w:rsidR="00F847D0" w:rsidRDefault="00F847D0" w:rsidP="00E032B8">
            <w:r>
              <w:t>N</w:t>
            </w:r>
          </w:p>
        </w:tc>
        <w:tc>
          <w:tcPr>
            <w:tcW w:w="932" w:type="dxa"/>
          </w:tcPr>
          <w:p w:rsidR="00F847D0" w:rsidRDefault="00F847D0" w:rsidP="00E032B8">
            <w:r>
              <w:t>5, 17</w:t>
            </w:r>
          </w:p>
        </w:tc>
      </w:tr>
      <w:tr w:rsidR="00F847D0" w:rsidTr="00E032B8">
        <w:tc>
          <w:tcPr>
            <w:tcW w:w="932" w:type="dxa"/>
          </w:tcPr>
          <w:p w:rsidR="00F847D0" w:rsidRDefault="00F847D0" w:rsidP="00E032B8">
            <w:bookmarkStart w:id="788" w:name="_Toc40505252"/>
            <w:bookmarkStart w:id="789" w:name="_Toc40505476"/>
            <w:r>
              <w:t>KRP</w:t>
            </w:r>
            <w:bookmarkEnd w:id="788"/>
            <w:bookmarkEnd w:id="789"/>
          </w:p>
        </w:tc>
        <w:tc>
          <w:tcPr>
            <w:tcW w:w="5846" w:type="dxa"/>
          </w:tcPr>
          <w:p w:rsidR="00F847D0" w:rsidRDefault="00F847D0" w:rsidP="00E032B8">
            <w:r>
              <w:t>Introduction of a refill pack</w:t>
            </w:r>
          </w:p>
        </w:tc>
        <w:tc>
          <w:tcPr>
            <w:tcW w:w="932" w:type="dxa"/>
          </w:tcPr>
          <w:p w:rsidR="00F847D0" w:rsidRDefault="00F847D0" w:rsidP="00E032B8">
            <w:pPr>
              <w:rPr>
                <w:rFonts w:ascii="Times New Roman" w:hAnsi="Times New Roman"/>
              </w:rPr>
            </w:pPr>
            <w:r>
              <w:rPr>
                <w:rFonts w:ascii="Times New Roman" w:hAnsi="Times New Roman"/>
              </w:rPr>
              <w:t>A</w:t>
            </w:r>
          </w:p>
        </w:tc>
        <w:tc>
          <w:tcPr>
            <w:tcW w:w="932" w:type="dxa"/>
          </w:tcPr>
          <w:p w:rsidR="00F847D0" w:rsidRDefault="00F847D0" w:rsidP="00E032B8">
            <w:r>
              <w:t>-</w:t>
            </w:r>
          </w:p>
        </w:tc>
      </w:tr>
      <w:tr w:rsidR="00F847D0" w:rsidTr="00E032B8">
        <w:tc>
          <w:tcPr>
            <w:tcW w:w="932" w:type="dxa"/>
          </w:tcPr>
          <w:p w:rsidR="00F847D0" w:rsidRDefault="00F847D0" w:rsidP="00E032B8">
            <w:bookmarkStart w:id="790" w:name="_Toc40505253"/>
            <w:bookmarkStart w:id="791" w:name="_Toc40505477"/>
            <w:r>
              <w:t>KRR</w:t>
            </w:r>
            <w:bookmarkEnd w:id="790"/>
            <w:bookmarkEnd w:id="791"/>
          </w:p>
        </w:tc>
        <w:tc>
          <w:tcPr>
            <w:tcW w:w="5846" w:type="dxa"/>
          </w:tcPr>
          <w:p w:rsidR="00F847D0" w:rsidRDefault="00F847D0" w:rsidP="00E032B8">
            <w:r>
              <w:t>Removal of refill pack</w:t>
            </w:r>
          </w:p>
        </w:tc>
        <w:tc>
          <w:tcPr>
            <w:tcW w:w="932" w:type="dxa"/>
          </w:tcPr>
          <w:p w:rsidR="00F847D0" w:rsidRDefault="00F847D0" w:rsidP="00E032B8">
            <w:pPr>
              <w:rPr>
                <w:rFonts w:ascii="Times New Roman" w:hAnsi="Times New Roman"/>
              </w:rPr>
            </w:pPr>
            <w:r>
              <w:rPr>
                <w:rFonts w:ascii="Times New Roman" w:hAnsi="Times New Roman"/>
              </w:rPr>
              <w:t>N</w:t>
            </w:r>
          </w:p>
        </w:tc>
        <w:tc>
          <w:tcPr>
            <w:tcW w:w="932" w:type="dxa"/>
          </w:tcPr>
          <w:p w:rsidR="00F847D0" w:rsidRDefault="00F847D0" w:rsidP="00E032B8">
            <w:r>
              <w:t>-</w:t>
            </w:r>
          </w:p>
        </w:tc>
      </w:tr>
    </w:tbl>
    <w:p w:rsidR="0037564C" w:rsidRDefault="0037564C" w:rsidP="00F847D0">
      <w:pPr>
        <w:rPr>
          <w:rFonts w:asciiTheme="minorHAnsi" w:eastAsiaTheme="majorEastAsia" w:hAnsiTheme="minorHAnsi" w:cstheme="majorBidi"/>
          <w:b/>
          <w:bCs/>
          <w:sz w:val="22"/>
        </w:rPr>
      </w:pPr>
    </w:p>
    <w:p w:rsidR="00F847D0" w:rsidRDefault="004A0170" w:rsidP="004A0170">
      <w:pPr>
        <w:spacing w:after="200" w:line="0" w:lineRule="auto"/>
        <w:rPr>
          <w:rFonts w:asciiTheme="minorHAnsi" w:eastAsiaTheme="majorEastAsia" w:hAnsiTheme="minorHAnsi" w:cstheme="majorBidi"/>
          <w:b/>
          <w:bCs/>
          <w:sz w:val="22"/>
        </w:rPr>
      </w:pPr>
      <w:r>
        <w:rPr>
          <w:rFonts w:asciiTheme="minorHAnsi" w:eastAsiaTheme="majorEastAsia" w:hAnsiTheme="minorHAnsi" w:cstheme="majorBidi"/>
          <w:b/>
          <w:bCs/>
          <w:sz w:val="22"/>
        </w:rPr>
        <w:br w:type="page"/>
      </w: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lastRenderedPageBreak/>
              <w:t>Manufacturing changes – finished product</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pPr>
            <w:r>
              <w:t>A/D</w:t>
            </w:r>
            <w:r w:rsidR="00613231" w:rsidRPr="00613231">
              <w:rPr>
                <w:rStyle w:val="FootnoteReference"/>
                <w:rFonts w:ascii="Cambria" w:hAnsi="Cambria"/>
              </w:rPr>
              <w:footnoteReference w:customMarkFollows="1" w:id="49"/>
              <w:t>*</w:t>
            </w:r>
          </w:p>
        </w:tc>
      </w:tr>
      <w:tr w:rsidR="00F847D0" w:rsidTr="00E032B8">
        <w:tc>
          <w:tcPr>
            <w:tcW w:w="932" w:type="dxa"/>
          </w:tcPr>
          <w:p w:rsidR="00F847D0" w:rsidRDefault="00F847D0" w:rsidP="00E032B8">
            <w:r>
              <w:t>MMA</w:t>
            </w:r>
          </w:p>
        </w:tc>
        <w:tc>
          <w:tcPr>
            <w:tcW w:w="5846" w:type="dxa"/>
          </w:tcPr>
          <w:p w:rsidR="00F847D0" w:rsidRDefault="00F847D0" w:rsidP="00E032B8">
            <w:r>
              <w:t>TGA licensed Australian manufacturer (includes site of manufacture)</w:t>
            </w:r>
          </w:p>
        </w:tc>
        <w:tc>
          <w:tcPr>
            <w:tcW w:w="932" w:type="dxa"/>
          </w:tcPr>
          <w:p w:rsidR="00F847D0" w:rsidRDefault="00F847D0" w:rsidP="00E032B8">
            <w:r>
              <w:t>N</w:t>
            </w:r>
          </w:p>
        </w:tc>
        <w:tc>
          <w:tcPr>
            <w:tcW w:w="932" w:type="dxa"/>
          </w:tcPr>
          <w:p w:rsidR="00F847D0" w:rsidRDefault="00F847D0" w:rsidP="00E032B8">
            <w:r>
              <w:t>5, 9</w:t>
            </w:r>
          </w:p>
        </w:tc>
      </w:tr>
      <w:tr w:rsidR="00F847D0" w:rsidTr="00E032B8">
        <w:tc>
          <w:tcPr>
            <w:tcW w:w="932" w:type="dxa"/>
          </w:tcPr>
          <w:p w:rsidR="00F847D0" w:rsidRDefault="00F847D0" w:rsidP="00E032B8">
            <w:r>
              <w:t>MOS</w:t>
            </w:r>
          </w:p>
        </w:tc>
        <w:tc>
          <w:tcPr>
            <w:tcW w:w="5846" w:type="dxa"/>
          </w:tcPr>
          <w:p w:rsidR="00F847D0" w:rsidRDefault="00F847D0" w:rsidP="00E032B8">
            <w:r>
              <w:t>Overseas manufacturer (includes site of manufacture), if GMP pre-clearance certificate provided</w:t>
            </w:r>
          </w:p>
        </w:tc>
        <w:tc>
          <w:tcPr>
            <w:tcW w:w="932" w:type="dxa"/>
          </w:tcPr>
          <w:p w:rsidR="00F847D0" w:rsidRDefault="00F847D0" w:rsidP="00E032B8">
            <w:r>
              <w:t>N</w:t>
            </w:r>
          </w:p>
        </w:tc>
        <w:tc>
          <w:tcPr>
            <w:tcW w:w="932" w:type="dxa"/>
          </w:tcPr>
          <w:p w:rsidR="00F847D0" w:rsidRDefault="00F847D0" w:rsidP="00E032B8">
            <w:r>
              <w:t>5, G</w:t>
            </w:r>
          </w:p>
        </w:tc>
      </w:tr>
      <w:tr w:rsidR="00F847D0" w:rsidTr="00E032B8">
        <w:tc>
          <w:tcPr>
            <w:tcW w:w="932" w:type="dxa"/>
          </w:tcPr>
          <w:p w:rsidR="00F847D0" w:rsidRDefault="00F847D0" w:rsidP="00E032B8">
            <w:r>
              <w:t>MOP</w:t>
            </w:r>
          </w:p>
        </w:tc>
        <w:tc>
          <w:tcPr>
            <w:tcW w:w="5846" w:type="dxa"/>
          </w:tcPr>
          <w:p w:rsidR="00F847D0" w:rsidRDefault="00F847D0" w:rsidP="00E032B8">
            <w:r>
              <w:t>Overseas manufacturer (includes site of manufacture), if GMP pre-clearance not provided</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8453CD" w:rsidP="00E032B8">
            <w:r>
              <w:pict>
                <v:line id="_x0000_s1027" style="position:absolute;flip:x y;z-index:251661312;mso-position-horizontal-relative:text;mso-position-vertical-relative:text" from="562.95pt,-21.05pt" to="598.95pt,.55pt" o:allowincell="f">
                  <v:stroke endarrow="block"/>
                </v:line>
              </w:pict>
            </w:r>
            <w:r w:rsidR="00F847D0">
              <w:t>MPR</w:t>
            </w:r>
          </w:p>
        </w:tc>
        <w:tc>
          <w:tcPr>
            <w:tcW w:w="5846" w:type="dxa"/>
          </w:tcPr>
          <w:p w:rsidR="00F847D0" w:rsidRDefault="00F847D0" w:rsidP="00E032B8">
            <w:r>
              <w:t>Manufacturing process (other than MBS)</w:t>
            </w:r>
          </w:p>
        </w:tc>
        <w:tc>
          <w:tcPr>
            <w:tcW w:w="932" w:type="dxa"/>
          </w:tcPr>
          <w:p w:rsidR="00F847D0" w:rsidRDefault="00F847D0" w:rsidP="00E032B8">
            <w:r>
              <w:t>N</w:t>
            </w:r>
          </w:p>
        </w:tc>
        <w:tc>
          <w:tcPr>
            <w:tcW w:w="932" w:type="dxa"/>
          </w:tcPr>
          <w:p w:rsidR="00F847D0" w:rsidRDefault="00F847D0" w:rsidP="00E032B8">
            <w:r>
              <w:t>13</w:t>
            </w:r>
          </w:p>
        </w:tc>
      </w:tr>
      <w:tr w:rsidR="00F847D0" w:rsidTr="00E032B8">
        <w:tc>
          <w:tcPr>
            <w:tcW w:w="932" w:type="dxa"/>
          </w:tcPr>
          <w:p w:rsidR="00F847D0" w:rsidRDefault="00F847D0" w:rsidP="00E032B8">
            <w:r>
              <w:t>MBS</w:t>
            </w:r>
          </w:p>
        </w:tc>
        <w:tc>
          <w:tcPr>
            <w:tcW w:w="5846" w:type="dxa"/>
          </w:tcPr>
          <w:p w:rsidR="00F847D0" w:rsidRDefault="00F847D0" w:rsidP="00E032B8">
            <w:r>
              <w:t>Batch size for pressurised inhalation (nasal and oral respiratory) products</w:t>
            </w:r>
          </w:p>
        </w:tc>
        <w:tc>
          <w:tcPr>
            <w:tcW w:w="932" w:type="dxa"/>
          </w:tcPr>
          <w:p w:rsidR="00F847D0" w:rsidRDefault="00F847D0" w:rsidP="00E032B8">
            <w:r>
              <w:t>A</w:t>
            </w:r>
          </w:p>
        </w:tc>
        <w:tc>
          <w:tcPr>
            <w:tcW w:w="932" w:type="dxa"/>
          </w:tcPr>
          <w:p w:rsidR="00F847D0" w:rsidRDefault="00F847D0" w:rsidP="00E032B8">
            <w:r>
              <w:t>-</w:t>
            </w:r>
          </w:p>
        </w:tc>
      </w:tr>
    </w:tbl>
    <w:p w:rsidR="0037564C" w:rsidRDefault="0037564C"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Consumer Medicine Information CMI</w:t>
            </w:r>
          </w:p>
        </w:tc>
        <w:tc>
          <w:tcPr>
            <w:tcW w:w="932" w:type="dxa"/>
          </w:tcPr>
          <w:p w:rsidR="00F847D0" w:rsidRDefault="00F847D0" w:rsidP="00E032B8">
            <w:pPr>
              <w:pStyle w:val="TableHeading"/>
            </w:pPr>
            <w:r>
              <w:t>Status</w:t>
            </w:r>
          </w:p>
        </w:tc>
        <w:tc>
          <w:tcPr>
            <w:tcW w:w="932" w:type="dxa"/>
          </w:tcPr>
          <w:p w:rsidR="00F847D0" w:rsidRDefault="00F847D0" w:rsidP="004A0170">
            <w:pPr>
              <w:pStyle w:val="TableHeading"/>
              <w:rPr>
                <w:vertAlign w:val="superscript"/>
              </w:rPr>
            </w:pPr>
            <w:r>
              <w:t>A/D</w:t>
            </w:r>
          </w:p>
        </w:tc>
      </w:tr>
      <w:tr w:rsidR="00F847D0" w:rsidTr="00E032B8">
        <w:tc>
          <w:tcPr>
            <w:tcW w:w="932" w:type="dxa"/>
          </w:tcPr>
          <w:p w:rsidR="00F847D0" w:rsidRDefault="00F847D0" w:rsidP="00E032B8">
            <w:r>
              <w:t>CPI</w:t>
            </w:r>
          </w:p>
        </w:tc>
        <w:tc>
          <w:tcPr>
            <w:tcW w:w="5846" w:type="dxa"/>
          </w:tcPr>
          <w:p w:rsidR="00F847D0" w:rsidRDefault="00F847D0" w:rsidP="00E032B8">
            <w:r>
              <w:t xml:space="preserve">Introduction of a CMI for a ‘Pharmacist Only Medicine’ (Schedule 3) product registered after 4 July 1995 where the CMI complies with Schedule 13 to the </w:t>
            </w:r>
            <w:r>
              <w:rPr>
                <w:i/>
              </w:rPr>
              <w:t>Therapeutic Goods Regulations</w:t>
            </w:r>
            <w:r>
              <w:t xml:space="preserve"> and is not to be included as a package insert.</w:t>
            </w:r>
          </w:p>
          <w:p w:rsidR="00F847D0" w:rsidRDefault="00F847D0" w:rsidP="00E032B8">
            <w:r>
              <w:t>Note: Change KPI applies where the CMI is to be included as a package insert.</w:t>
            </w:r>
          </w:p>
        </w:tc>
        <w:tc>
          <w:tcPr>
            <w:tcW w:w="932" w:type="dxa"/>
          </w:tcPr>
          <w:p w:rsidR="00F847D0" w:rsidRDefault="00F847D0" w:rsidP="00E032B8">
            <w:r>
              <w:t>O</w:t>
            </w:r>
          </w:p>
        </w:tc>
        <w:tc>
          <w:tcPr>
            <w:tcW w:w="932" w:type="dxa"/>
          </w:tcPr>
          <w:p w:rsidR="00F847D0" w:rsidRDefault="00F847D0" w:rsidP="00E032B8">
            <w:r>
              <w:t>-</w:t>
            </w:r>
          </w:p>
        </w:tc>
      </w:tr>
      <w:tr w:rsidR="00F847D0" w:rsidTr="00E032B8">
        <w:tc>
          <w:tcPr>
            <w:tcW w:w="932" w:type="dxa"/>
          </w:tcPr>
          <w:p w:rsidR="00F847D0" w:rsidRDefault="00F847D0" w:rsidP="00E032B8">
            <w:r>
              <w:t>CPO</w:t>
            </w:r>
          </w:p>
        </w:tc>
        <w:tc>
          <w:tcPr>
            <w:tcW w:w="5846" w:type="dxa"/>
          </w:tcPr>
          <w:p w:rsidR="00F847D0" w:rsidRDefault="00F847D0" w:rsidP="00E032B8">
            <w:r>
              <w:t>Changes to an existing CMI, where the changes are consistent with all previously approved product details and the CMI is not to be included as a package insert.</w:t>
            </w:r>
          </w:p>
          <w:p w:rsidR="00F847D0" w:rsidRDefault="00F847D0" w:rsidP="00E032B8">
            <w:r>
              <w:t>Note: Refer to the ‘</w:t>
            </w:r>
            <w:hyperlink w:anchor="ChangesLabel" w:history="1">
              <w:r w:rsidRPr="00B169D5">
                <w:rPr>
                  <w:rStyle w:val="Hyperlink"/>
                </w:rPr>
                <w:t xml:space="preserve">Label </w:t>
              </w:r>
              <w:bookmarkStart w:id="793" w:name="_Hlt43884659"/>
              <w:r w:rsidRPr="00B169D5">
                <w:rPr>
                  <w:rStyle w:val="Hyperlink"/>
                </w:rPr>
                <w:t>c</w:t>
              </w:r>
              <w:bookmarkEnd w:id="793"/>
              <w:r w:rsidRPr="00B169D5">
                <w:rPr>
                  <w:rStyle w:val="Hyperlink"/>
                </w:rPr>
                <w:t>h</w:t>
              </w:r>
              <w:bookmarkStart w:id="794" w:name="_Hlt44305569"/>
              <w:r w:rsidRPr="00B169D5">
                <w:rPr>
                  <w:rStyle w:val="Hyperlink"/>
                </w:rPr>
                <w:t>a</w:t>
              </w:r>
              <w:bookmarkEnd w:id="794"/>
              <w:r w:rsidRPr="00B169D5">
                <w:rPr>
                  <w:rStyle w:val="Hyperlink"/>
                </w:rPr>
                <w:t>nges</w:t>
              </w:r>
            </w:hyperlink>
            <w:r>
              <w:t>’ section for guidance on changes to a CMI where the CMI is to be included as a package insert (package inserts are treated as part of the label).</w:t>
            </w:r>
          </w:p>
        </w:tc>
        <w:tc>
          <w:tcPr>
            <w:tcW w:w="932" w:type="dxa"/>
          </w:tcPr>
          <w:p w:rsidR="00F847D0" w:rsidRDefault="00F847D0" w:rsidP="00E032B8">
            <w:r>
              <w:t>O</w:t>
            </w:r>
          </w:p>
        </w:tc>
        <w:tc>
          <w:tcPr>
            <w:tcW w:w="932" w:type="dxa"/>
          </w:tcPr>
          <w:p w:rsidR="00F847D0" w:rsidRDefault="00F847D0" w:rsidP="00E032B8">
            <w:r>
              <w:t>-</w:t>
            </w:r>
          </w:p>
        </w:tc>
      </w:tr>
    </w:tbl>
    <w:p w:rsidR="00F847D0" w:rsidRDefault="00F847D0" w:rsidP="00F847D0">
      <w:pPr>
        <w:rPr>
          <w:rFonts w:asciiTheme="minorHAnsi" w:eastAsiaTheme="majorEastAsia" w:hAnsiTheme="minorHAnsi" w:cstheme="majorBidi"/>
          <w:b/>
          <w:bCs/>
          <w:sz w:val="22"/>
        </w:rPr>
      </w:pPr>
    </w:p>
    <w:p w:rsidR="00F847D0" w:rsidRDefault="004A0170" w:rsidP="004A0170">
      <w:pPr>
        <w:spacing w:after="200" w:line="0" w:lineRule="auto"/>
        <w:rPr>
          <w:rFonts w:asciiTheme="minorHAnsi" w:eastAsiaTheme="majorEastAsia" w:hAnsiTheme="minorHAnsi" w:cstheme="majorBidi"/>
          <w:b/>
          <w:bCs/>
          <w:sz w:val="22"/>
        </w:rPr>
      </w:pPr>
      <w:r>
        <w:rPr>
          <w:rFonts w:asciiTheme="minorHAnsi" w:eastAsiaTheme="majorEastAsia" w:hAnsiTheme="minorHAnsi" w:cstheme="majorBidi"/>
          <w:b/>
          <w:bCs/>
          <w:sz w:val="22"/>
        </w:rPr>
        <w:br w:type="page"/>
      </w: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lastRenderedPageBreak/>
              <w:t>Product Information (PI)</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rPr>
                <w:vertAlign w:val="superscript"/>
              </w:rPr>
            </w:pPr>
            <w:r>
              <w:t>A/D</w:t>
            </w:r>
            <w:r w:rsidR="004A0170" w:rsidRPr="00613231">
              <w:rPr>
                <w:rStyle w:val="FootnoteReference"/>
                <w:rFonts w:ascii="Cambria" w:hAnsi="Cambria"/>
              </w:rPr>
              <w:footnoteReference w:customMarkFollows="1" w:id="50"/>
              <w:t>*</w:t>
            </w:r>
          </w:p>
        </w:tc>
      </w:tr>
      <w:tr w:rsidR="00F847D0" w:rsidTr="00E032B8">
        <w:tc>
          <w:tcPr>
            <w:tcW w:w="932" w:type="dxa"/>
          </w:tcPr>
          <w:p w:rsidR="00F847D0" w:rsidRDefault="00F847D0" w:rsidP="00E032B8">
            <w:r>
              <w:t>DPI</w:t>
            </w:r>
          </w:p>
        </w:tc>
        <w:tc>
          <w:tcPr>
            <w:tcW w:w="5846" w:type="dxa"/>
          </w:tcPr>
          <w:p w:rsidR="00F847D0" w:rsidRDefault="00F847D0" w:rsidP="00E032B8">
            <w:r>
              <w:t>Introduction of a PI for an existing product</w:t>
            </w:r>
          </w:p>
        </w:tc>
        <w:tc>
          <w:tcPr>
            <w:tcW w:w="932" w:type="dxa"/>
          </w:tcPr>
          <w:p w:rsidR="00F847D0" w:rsidRDefault="00F847D0" w:rsidP="00E032B8">
            <w:r>
              <w:t>A</w:t>
            </w:r>
          </w:p>
        </w:tc>
        <w:tc>
          <w:tcPr>
            <w:tcW w:w="932" w:type="dxa"/>
          </w:tcPr>
          <w:p w:rsidR="00F847D0" w:rsidRDefault="00F847D0" w:rsidP="00E032B8">
            <w:r>
              <w:t>-</w:t>
            </w:r>
          </w:p>
        </w:tc>
      </w:tr>
      <w:tr w:rsidR="00F847D0" w:rsidTr="00E032B8">
        <w:tc>
          <w:tcPr>
            <w:tcW w:w="932" w:type="dxa"/>
          </w:tcPr>
          <w:p w:rsidR="00F847D0" w:rsidRDefault="00F847D0" w:rsidP="00E032B8">
            <w:r>
              <w:t>DRS</w:t>
            </w:r>
          </w:p>
        </w:tc>
        <w:tc>
          <w:tcPr>
            <w:tcW w:w="5846" w:type="dxa"/>
          </w:tcPr>
          <w:p w:rsidR="00F847D0" w:rsidRDefault="00F847D0" w:rsidP="00E032B8">
            <w:r>
              <w:t>Addition of more restrictive safety-related statements</w:t>
            </w:r>
          </w:p>
        </w:tc>
        <w:tc>
          <w:tcPr>
            <w:tcW w:w="932" w:type="dxa"/>
          </w:tcPr>
          <w:p w:rsidR="00F847D0" w:rsidRDefault="00F847D0" w:rsidP="00E032B8">
            <w:r>
              <w:t>N</w:t>
            </w:r>
          </w:p>
        </w:tc>
        <w:tc>
          <w:tcPr>
            <w:tcW w:w="932" w:type="dxa"/>
          </w:tcPr>
          <w:p w:rsidR="00F847D0" w:rsidRDefault="00F847D0" w:rsidP="00E032B8">
            <w:r>
              <w:t>5, PI</w:t>
            </w:r>
          </w:p>
        </w:tc>
      </w:tr>
      <w:tr w:rsidR="00F847D0" w:rsidTr="00E032B8">
        <w:tc>
          <w:tcPr>
            <w:tcW w:w="932" w:type="dxa"/>
          </w:tcPr>
          <w:p w:rsidR="00F847D0" w:rsidRDefault="00F847D0" w:rsidP="00E032B8">
            <w:r>
              <w:t>DOT</w:t>
            </w:r>
          </w:p>
        </w:tc>
        <w:tc>
          <w:tcPr>
            <w:tcW w:w="5846" w:type="dxa"/>
          </w:tcPr>
          <w:p w:rsidR="00F847D0" w:rsidRDefault="00F847D0" w:rsidP="00E032B8">
            <w:r>
              <w:t>Changes other than the addition of more restrictive safety-related statements</w:t>
            </w:r>
          </w:p>
        </w:tc>
        <w:tc>
          <w:tcPr>
            <w:tcW w:w="932" w:type="dxa"/>
          </w:tcPr>
          <w:p w:rsidR="00F847D0" w:rsidRDefault="00F847D0" w:rsidP="00E032B8">
            <w:r>
              <w:t>A</w:t>
            </w:r>
          </w:p>
        </w:tc>
        <w:tc>
          <w:tcPr>
            <w:tcW w:w="932" w:type="dxa"/>
          </w:tcPr>
          <w:p w:rsidR="00F847D0" w:rsidRDefault="00F847D0" w:rsidP="00E032B8">
            <w:r>
              <w:t>-</w:t>
            </w:r>
          </w:p>
        </w:tc>
      </w:tr>
    </w:tbl>
    <w:p w:rsidR="00F847D0" w:rsidRDefault="00F847D0" w:rsidP="00F847D0">
      <w:pPr>
        <w:rPr>
          <w:rFonts w:asciiTheme="minorHAnsi" w:eastAsiaTheme="majorEastAsia" w:hAnsiTheme="minorHAnsi" w:cstheme="majorBidi"/>
          <w:b/>
          <w:bCs/>
          <w:sz w:val="22"/>
        </w:rPr>
      </w:pPr>
    </w:p>
    <w:p w:rsidR="00F847D0" w:rsidRDefault="00F847D0" w:rsidP="00F847D0">
      <w:pPr>
        <w:rPr>
          <w:rFonts w:asciiTheme="minorHAnsi" w:eastAsiaTheme="majorEastAsia" w:hAnsiTheme="minorHAnsi" w:cstheme="majorBidi"/>
          <w:b/>
          <w:bCs/>
          <w:sz w:val="22"/>
        </w:rPr>
      </w:pPr>
    </w:p>
    <w:tbl>
      <w:tblPr>
        <w:tblStyle w:val="TableTGA1"/>
        <w:tblW w:w="8642" w:type="dxa"/>
        <w:tblLayout w:type="fixed"/>
        <w:tblLook w:val="04A0" w:firstRow="1" w:lastRow="0" w:firstColumn="1" w:lastColumn="0" w:noHBand="0" w:noVBand="1"/>
      </w:tblPr>
      <w:tblGrid>
        <w:gridCol w:w="932"/>
        <w:gridCol w:w="5846"/>
        <w:gridCol w:w="932"/>
        <w:gridCol w:w="932"/>
      </w:tblGrid>
      <w:tr w:rsidR="00F847D0" w:rsidTr="00E032B8">
        <w:trPr>
          <w:cnfStyle w:val="100000000000" w:firstRow="1" w:lastRow="0" w:firstColumn="0" w:lastColumn="0" w:oddVBand="0" w:evenVBand="0" w:oddHBand="0" w:evenHBand="0" w:firstRowFirstColumn="0" w:firstRowLastColumn="0" w:lastRowFirstColumn="0" w:lastRowLastColumn="0"/>
        </w:trPr>
        <w:tc>
          <w:tcPr>
            <w:tcW w:w="6778" w:type="dxa"/>
            <w:gridSpan w:val="2"/>
          </w:tcPr>
          <w:p w:rsidR="00F847D0" w:rsidRDefault="00F847D0" w:rsidP="00E032B8">
            <w:pPr>
              <w:pStyle w:val="TableHeading"/>
            </w:pPr>
            <w:r>
              <w:t>Other</w:t>
            </w:r>
          </w:p>
        </w:tc>
        <w:tc>
          <w:tcPr>
            <w:tcW w:w="932" w:type="dxa"/>
          </w:tcPr>
          <w:p w:rsidR="00F847D0" w:rsidRDefault="00F847D0" w:rsidP="00E032B8">
            <w:pPr>
              <w:pStyle w:val="TableHeading"/>
            </w:pPr>
            <w:r>
              <w:t>Status</w:t>
            </w:r>
          </w:p>
        </w:tc>
        <w:tc>
          <w:tcPr>
            <w:tcW w:w="932" w:type="dxa"/>
          </w:tcPr>
          <w:p w:rsidR="00F847D0" w:rsidRDefault="00F847D0" w:rsidP="00E032B8">
            <w:pPr>
              <w:pStyle w:val="TableHeading"/>
              <w:rPr>
                <w:vertAlign w:val="superscript"/>
              </w:rPr>
            </w:pPr>
            <w:r>
              <w:t>A/D</w:t>
            </w:r>
            <w:r w:rsidR="00613231" w:rsidRPr="00613231">
              <w:rPr>
                <w:rFonts w:ascii="Cambria" w:hAnsi="Cambria"/>
                <w:vertAlign w:val="superscript"/>
              </w:rPr>
              <w:t>*</w:t>
            </w:r>
          </w:p>
        </w:tc>
      </w:tr>
      <w:tr w:rsidR="00F847D0" w:rsidTr="00E032B8">
        <w:tc>
          <w:tcPr>
            <w:tcW w:w="932" w:type="dxa"/>
          </w:tcPr>
          <w:p w:rsidR="00F847D0" w:rsidRDefault="00F847D0" w:rsidP="00E032B8">
            <w:pPr>
              <w:spacing w:before="60" w:after="60"/>
            </w:pPr>
            <w:r>
              <w:t xml:space="preserve">CTA </w:t>
            </w:r>
            <w:r w:rsidR="008453CD">
              <w:pict>
                <v:line id="_x0000_s1028" style="position:absolute;flip:x;z-index:251662336;mso-position-horizontal-relative:text;mso-position-vertical-relative:text" from="620.55pt,63.5pt" to="642.15pt,63.5pt" o:allowincell="f">
                  <v:stroke endarrow="block"/>
                </v:line>
              </w:pict>
            </w:r>
            <w:r w:rsidR="008453CD">
              <w:pict>
                <v:shapetype id="_x0000_t202" coordsize="21600,21600" o:spt="202" path="m,l,21600r21600,l21600,xe">
                  <v:stroke joinstyle="miter"/>
                  <v:path gradientshapeok="t" o:connecttype="rect"/>
                </v:shapetype>
                <v:shape id="_x0000_s1029" type="#_x0000_t202" style="position:absolute;margin-left:642.15pt;margin-top:49.1pt;width:86.4pt;height:21.6pt;z-index:251663360;mso-position-horizontal-relative:text;mso-position-vertical-relative:text" o:allowincell="f">
                  <v:textbox style="mso-next-textbox:#_x0000_s1029">
                    <w:txbxContent>
                      <w:p w:rsidR="00A10C7E" w:rsidRDefault="00A10C7E" w:rsidP="00F847D0">
                        <w:pPr>
                          <w:rPr>
                            <w:b/>
                            <w:sz w:val="18"/>
                          </w:rPr>
                        </w:pPr>
                        <w:r>
                          <w:rPr>
                            <w:b/>
                            <w:sz w:val="18"/>
                          </w:rPr>
                          <w:t>Agreed</w:t>
                        </w:r>
                      </w:p>
                    </w:txbxContent>
                  </v:textbox>
                </v:shape>
              </w:pict>
            </w:r>
          </w:p>
        </w:tc>
        <w:tc>
          <w:tcPr>
            <w:tcW w:w="5846" w:type="dxa"/>
          </w:tcPr>
          <w:p w:rsidR="00F847D0" w:rsidRDefault="00F847D0" w:rsidP="00E032B8">
            <w:pPr>
              <w:spacing w:before="60" w:after="60"/>
            </w:pPr>
            <w:r>
              <w:t>Correction of ARTG record in accordance with section 9D(1) of the Therapeutic Goods Act 1989</w:t>
            </w:r>
          </w:p>
        </w:tc>
        <w:tc>
          <w:tcPr>
            <w:tcW w:w="932" w:type="dxa"/>
          </w:tcPr>
          <w:p w:rsidR="00F847D0" w:rsidRDefault="00F847D0" w:rsidP="00E032B8">
            <w:pPr>
              <w:pStyle w:val="Style10ptCenteredBefore3ptAfter3pt"/>
            </w:pPr>
            <w:r>
              <w:t>N</w:t>
            </w:r>
          </w:p>
        </w:tc>
        <w:tc>
          <w:tcPr>
            <w:tcW w:w="932" w:type="dxa"/>
          </w:tcPr>
          <w:p w:rsidR="00F847D0" w:rsidRDefault="00F847D0" w:rsidP="00E032B8">
            <w:pPr>
              <w:spacing w:before="60" w:after="60"/>
            </w:pPr>
            <w:r>
              <w:t xml:space="preserve">E, 5, 21 </w:t>
            </w:r>
          </w:p>
        </w:tc>
      </w:tr>
    </w:tbl>
    <w:p w:rsidR="00297FDD" w:rsidRDefault="00297FDD" w:rsidP="00297FDD">
      <w:pPr>
        <w:rPr>
          <w:rFonts w:asciiTheme="minorHAnsi" w:eastAsiaTheme="majorEastAsia" w:hAnsiTheme="minorHAnsi" w:cstheme="majorBidi"/>
          <w:b/>
          <w:bCs/>
          <w:sz w:val="22"/>
        </w:rPr>
      </w:pPr>
    </w:p>
    <w:p w:rsidR="006D03E5" w:rsidRPr="00A7364C" w:rsidRDefault="00297FDD" w:rsidP="00A7364C">
      <w:pPr>
        <w:spacing w:after="200" w:line="0" w:lineRule="auto"/>
        <w:rPr>
          <w:rFonts w:asciiTheme="minorHAnsi" w:eastAsiaTheme="majorEastAsia" w:hAnsiTheme="minorHAnsi" w:cstheme="majorBidi"/>
          <w:b/>
          <w:bCs/>
          <w:sz w:val="22"/>
        </w:rPr>
        <w:sectPr w:rsidR="006D03E5" w:rsidRPr="00A7364C" w:rsidSect="00E7356B">
          <w:headerReference w:type="even" r:id="rId93"/>
          <w:headerReference w:type="default" r:id="rId94"/>
          <w:footerReference w:type="default" r:id="rId95"/>
          <w:headerReference w:type="first" r:id="rId96"/>
          <w:footnotePr>
            <w:numRestart w:val="eachSect"/>
          </w:footnotePr>
          <w:type w:val="continuous"/>
          <w:pgSz w:w="11906" w:h="16838" w:code="9"/>
          <w:pgMar w:top="2211" w:right="1701" w:bottom="1701" w:left="1701" w:header="907" w:footer="142" w:gutter="0"/>
          <w:cols w:space="708"/>
          <w:docGrid w:linePitch="360"/>
        </w:sectPr>
      </w:pPr>
      <w:r>
        <w:rPr>
          <w:i/>
        </w:rPr>
        <w:br w:type="page"/>
      </w:r>
    </w:p>
    <w:p w:rsidR="0037564C" w:rsidRDefault="0037564C" w:rsidP="00585322"/>
    <w:p w:rsidR="006E08B3" w:rsidRPr="006E08B3" w:rsidRDefault="006E08B3" w:rsidP="00AE65EB"/>
    <w:sectPr w:rsidR="006E08B3" w:rsidRPr="006E08B3" w:rsidSect="00A36FA7">
      <w:headerReference w:type="even" r:id="rId97"/>
      <w:headerReference w:type="default" r:id="rId98"/>
      <w:footerReference w:type="default" r:id="rId99"/>
      <w:headerReference w:type="first" r:id="rId100"/>
      <w:footerReference w:type="first" r:id="rId101"/>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C7E" w:rsidRDefault="00A10C7E" w:rsidP="00C40A36">
      <w:pPr>
        <w:spacing w:after="0"/>
      </w:pPr>
      <w:r>
        <w:separator/>
      </w:r>
    </w:p>
  </w:endnote>
  <w:endnote w:type="continuationSeparator" w:id="0">
    <w:p w:rsidR="00A10C7E" w:rsidRDefault="00A10C7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DF17E04A-A9AA-4628-A304-40233A48090F}"/>
    <w:embedBold r:id="rId2" w:fontKey="{67D81C82-EB16-4F18-8969-58BE37AB4946}"/>
    <w:embedItalic r:id="rId3" w:fontKey="{B660141E-B620-4EB2-AEAB-5380524EBEA4}"/>
    <w:embedBoldItalic r:id="rId4" w:fontKey="{02FE89E5-723C-4F1B-9462-1199C20D77FE}"/>
  </w:font>
  <w:font w:name="Tahoma">
    <w:panose1 w:val="020B0604030504040204"/>
    <w:charset w:val="00"/>
    <w:family w:val="swiss"/>
    <w:pitch w:val="variable"/>
    <w:sig w:usb0="E1002EFF" w:usb1="C000605B" w:usb2="00000029" w:usb3="00000000" w:csb0="000101FF" w:csb1="00000000"/>
    <w:embedRegular r:id="rId5" w:fontKey="{E46DE4DD-EFF4-4BC7-9A86-462F7AA96EAA}"/>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A39" w:rsidRDefault="00887A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4E – Stability testing</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26</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4F – Microbiological testing</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26</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5 – Presentation</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20</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5B – Product Name</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29</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5D – Consumer Medicine Information (CMI)</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27</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5E – Changes to scheduling</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27</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6B – New Substances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21</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7 – Review of decisions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22</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8 – Post marketing surveillance</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23</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9 – MEC guidelines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24</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A10C7E" w:rsidTr="00B33863">
      <w:trPr>
        <w:trHeight w:hRule="exact" w:val="1420"/>
      </w:trPr>
      <w:tc>
        <w:tcPr>
          <w:tcW w:w="8505" w:type="dxa"/>
          <w:gridSpan w:val="2"/>
          <w:tcBorders>
            <w:bottom w:val="single" w:sz="4" w:space="0" w:color="auto"/>
          </w:tcBorders>
          <w:tcMar>
            <w:right w:w="284" w:type="dxa"/>
          </w:tcMar>
        </w:tcPr>
        <w:p w:rsidR="00A10C7E" w:rsidRPr="00DF1D7F" w:rsidRDefault="00A10C7E" w:rsidP="00B33863">
          <w:pPr>
            <w:pStyle w:val="LegalSubheading"/>
          </w:pPr>
          <w:r w:rsidRPr="00DF1D7F">
            <w:t>Copyright</w:t>
          </w:r>
        </w:p>
        <w:p w:rsidR="00A10C7E" w:rsidRDefault="00A10C7E" w:rsidP="00B33863">
          <w:pPr>
            <w:pStyle w:val="LegalCopy"/>
          </w:pPr>
          <w:r>
            <w:rPr>
              <w:rFonts w:cs="Arial"/>
            </w:rPr>
            <w:t>©</w:t>
          </w:r>
          <w:r>
            <w:t xml:space="preserve"> Commonwealth of Australia 2003</w:t>
          </w:r>
        </w:p>
        <w:p w:rsidR="00A10C7E" w:rsidRDefault="00A10C7E" w:rsidP="00B33863">
          <w:pPr>
            <w:pStyle w:val="LegalCopy"/>
          </w:pPr>
        </w:p>
        <w:p w:rsidR="00A10C7E" w:rsidRDefault="00A10C7E"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A10C7E" w:rsidTr="00B33863">
      <w:trPr>
        <w:trHeight w:hRule="exact" w:val="567"/>
      </w:trPr>
      <w:tc>
        <w:tcPr>
          <w:tcW w:w="4519" w:type="dxa"/>
          <w:tcBorders>
            <w:top w:val="single" w:sz="4" w:space="0" w:color="auto"/>
          </w:tcBorders>
          <w:tcMar>
            <w:top w:w="142" w:type="dxa"/>
            <w:bottom w:w="0" w:type="dxa"/>
          </w:tcMar>
        </w:tcPr>
        <w:p w:rsidR="00A10C7E" w:rsidRPr="009B706B" w:rsidRDefault="00A10C7E" w:rsidP="002A596D">
          <w:pPr>
            <w:pStyle w:val="Footer"/>
          </w:pPr>
          <w:r>
            <w:t>Australian regulatory guidelines for OTC medicines</w:t>
          </w:r>
          <w:r w:rsidRPr="009B706B">
            <w:t xml:space="preserve"> </w:t>
          </w:r>
        </w:p>
        <w:p w:rsidR="00A10C7E" w:rsidRDefault="00A10C7E" w:rsidP="002A596D">
          <w:pPr>
            <w:pStyle w:val="Footer"/>
          </w:pPr>
          <w:r>
            <w:t>July 2003</w:t>
          </w:r>
        </w:p>
      </w:tc>
      <w:tc>
        <w:tcPr>
          <w:tcW w:w="3986" w:type="dxa"/>
          <w:tcBorders>
            <w:top w:val="single" w:sz="4" w:space="0" w:color="auto"/>
          </w:tcBorders>
          <w:tcMar>
            <w:top w:w="142" w:type="dxa"/>
            <w:bottom w:w="0" w:type="dxa"/>
          </w:tcMar>
        </w:tcPr>
        <w:p w:rsidR="00A10C7E" w:rsidRDefault="00A10C7E" w:rsidP="00B33863">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2</w:t>
          </w:r>
          <w:r w:rsidR="008453CD">
            <w:rPr>
              <w:noProof/>
            </w:rPr>
            <w:fldChar w:fldCharType="end"/>
          </w:r>
          <w:r>
            <w:t xml:space="preserve"> of </w:t>
          </w:r>
          <w:r w:rsidR="008453CD">
            <w:fldChar w:fldCharType="begin"/>
          </w:r>
          <w:r w:rsidR="008453CD">
            <w:instrText xml:space="preserve"> NUMPAGES  </w:instrText>
          </w:r>
          <w:r w:rsidR="008453CD">
            <w:fldChar w:fldCharType="separate"/>
          </w:r>
          <w:r w:rsidR="008453CD">
            <w:rPr>
              <w:noProof/>
            </w:rPr>
            <w:t>53</w:t>
          </w:r>
          <w:r w:rsidR="008453CD">
            <w:rPr>
              <w:noProof/>
            </w:rPr>
            <w:fldChar w:fldCharType="end"/>
          </w:r>
          <w:r>
            <w:t xml:space="preserve">  </w:t>
          </w:r>
        </w:p>
      </w:tc>
    </w:tr>
  </w:tbl>
  <w:p w:rsidR="00A10C7E" w:rsidRDefault="00A10C7E" w:rsidP="0005559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10 – Sunscreens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37</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11 – Changes to OTC medicines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52</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A10C7E"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A10C7E" w:rsidTr="00A36FA7">
      <w:trPr>
        <w:trHeight w:hRule="exact" w:val="454"/>
      </w:trPr>
      <w:tc>
        <w:tcPr>
          <w:tcW w:w="9145" w:type="dxa"/>
        </w:tcPr>
        <w:p w:rsidR="00A10C7E" w:rsidRPr="00CC727F" w:rsidRDefault="00A10C7E" w:rsidP="00576378">
          <w:pPr>
            <w:pStyle w:val="TGASignoff"/>
          </w:pPr>
          <w:r>
            <w:t>Therapeutic Goods Administration</w:t>
          </w:r>
        </w:p>
      </w:tc>
    </w:tr>
    <w:tr w:rsidR="00A10C7E" w:rsidTr="00A36FA7">
      <w:trPr>
        <w:trHeight w:val="1284"/>
      </w:trPr>
      <w:tc>
        <w:tcPr>
          <w:tcW w:w="9145" w:type="dxa"/>
          <w:tcMar>
            <w:top w:w="28" w:type="dxa"/>
          </w:tcMar>
        </w:tcPr>
        <w:p w:rsidR="00A10C7E" w:rsidRDefault="00A10C7E" w:rsidP="00576378">
          <w:pPr>
            <w:pStyle w:val="Address"/>
          </w:pPr>
          <w:r>
            <w:t>PO Box 100 Woden ACT 2606 Australia</w:t>
          </w:r>
        </w:p>
        <w:p w:rsidR="00A10C7E" w:rsidRDefault="00A10C7E" w:rsidP="00576378">
          <w:pPr>
            <w:pStyle w:val="Address"/>
          </w:pPr>
          <w:r>
            <w:t xml:space="preserve">Email: </w:t>
          </w:r>
          <w:r w:rsidRPr="00CC727F">
            <w:t>info@tga.gov.au</w:t>
          </w:r>
          <w:r>
            <w:t xml:space="preserve">  Phone: 02 6232 8444  Fax: 02 6232 8605</w:t>
          </w:r>
        </w:p>
        <w:p w:rsidR="00A10C7E" w:rsidRPr="000D4FC7" w:rsidRDefault="00A10C7E" w:rsidP="00A36FA7">
          <w:pPr>
            <w:pStyle w:val="Address"/>
            <w:spacing w:line="260" w:lineRule="atLeast"/>
            <w:rPr>
              <w:b/>
            </w:rPr>
          </w:pPr>
          <w:r w:rsidRPr="000D4FC7">
            <w:rPr>
              <w:b/>
            </w:rPr>
            <w:t>www.tga.gov.au</w:t>
          </w:r>
        </w:p>
        <w:p w:rsidR="00A10C7E" w:rsidRDefault="00A10C7E" w:rsidP="00E642E4">
          <w:pPr>
            <w:pStyle w:val="Reference"/>
            <w:tabs>
              <w:tab w:val="center" w:pos="4572"/>
              <w:tab w:val="left" w:pos="5355"/>
            </w:tabs>
            <w:jc w:val="left"/>
          </w:pPr>
        </w:p>
      </w:tc>
    </w:tr>
  </w:tbl>
  <w:p w:rsidR="00A10C7E" w:rsidRDefault="00A10C7E" w:rsidP="0005559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10C7E" w:rsidTr="0010601F">
      <w:trPr>
        <w:trHeight w:val="108"/>
      </w:trPr>
      <w:tc>
        <w:tcPr>
          <w:tcW w:w="8875" w:type="dxa"/>
          <w:gridSpan w:val="2"/>
          <w:tcBorders>
            <w:bottom w:val="single" w:sz="4" w:space="0" w:color="auto"/>
          </w:tcBorders>
          <w:tcMar>
            <w:right w:w="284" w:type="dxa"/>
          </w:tcMar>
        </w:tcPr>
        <w:p w:rsidR="00A10C7E" w:rsidRDefault="00A10C7E" w:rsidP="006E08B3">
          <w:pPr>
            <w:pStyle w:val="Heading3"/>
            <w:spacing w:after="0"/>
            <w:outlineLvl w:val="2"/>
          </w:pPr>
          <w:r>
            <w:t>Copyright</w:t>
          </w:r>
        </w:p>
        <w:p w:rsidR="00A10C7E" w:rsidRDefault="00A10C7E" w:rsidP="006E08B3">
          <w:pPr>
            <w:pStyle w:val="Footer"/>
          </w:pPr>
          <w:r>
            <w:rPr>
              <w:rFonts w:cs="Arial"/>
            </w:rPr>
            <w:t>©</w:t>
          </w:r>
          <w:r>
            <w:t xml:space="preserve"> Commonwealth of Australia [add year]</w:t>
          </w:r>
        </w:p>
        <w:p w:rsidR="00A10C7E" w:rsidRDefault="00A10C7E" w:rsidP="006E08B3">
          <w:pPr>
            <w:pStyle w:val="Footer"/>
          </w:pPr>
        </w:p>
        <w:p w:rsidR="00A10C7E" w:rsidRDefault="00A10C7E"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10C7E" w:rsidRDefault="00A10C7E" w:rsidP="006E08B3">
          <w:pPr>
            <w:pStyle w:val="Footer"/>
          </w:pPr>
        </w:p>
        <w:p w:rsidR="00A10C7E" w:rsidRDefault="00A10C7E" w:rsidP="006E08B3">
          <w:pPr>
            <w:pStyle w:val="Heading3"/>
            <w:spacing w:after="0"/>
            <w:outlineLvl w:val="2"/>
          </w:pPr>
          <w:r>
            <w:t>Confidentiality</w:t>
          </w:r>
        </w:p>
        <w:p w:rsidR="00A10C7E" w:rsidRDefault="00A10C7E"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10C7E" w:rsidRDefault="00A10C7E" w:rsidP="006E08B3">
          <w:pPr>
            <w:pStyle w:val="Footer"/>
          </w:pPr>
        </w:p>
        <w:p w:rsidR="00A10C7E" w:rsidRDefault="00A10C7E" w:rsidP="006E08B3">
          <w:pPr>
            <w:pStyle w:val="Footer"/>
          </w:pPr>
          <w:r>
            <w:t>For submission made by individuals, all personal details, other than your name, will be removed from your submission before it is published on the TGA’s Internet site.</w:t>
          </w:r>
        </w:p>
        <w:p w:rsidR="00A10C7E" w:rsidRDefault="00A10C7E" w:rsidP="006E08B3">
          <w:pPr>
            <w:pStyle w:val="Footer"/>
          </w:pPr>
        </w:p>
        <w:p w:rsidR="00A10C7E" w:rsidRDefault="00A10C7E"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A10C7E" w:rsidTr="0010601F">
      <w:trPr>
        <w:trHeight w:val="417"/>
      </w:trPr>
      <w:tc>
        <w:tcPr>
          <w:tcW w:w="4519" w:type="dxa"/>
          <w:tcBorders>
            <w:top w:val="single" w:sz="4" w:space="0" w:color="auto"/>
          </w:tcBorders>
          <w:tcMar>
            <w:top w:w="142" w:type="dxa"/>
            <w:bottom w:w="0" w:type="dxa"/>
          </w:tcMar>
        </w:tcPr>
        <w:p w:rsidR="00A10C7E" w:rsidRDefault="00A10C7E" w:rsidP="006E08B3">
          <w:pPr>
            <w:pStyle w:val="Footer"/>
          </w:pPr>
          <w:r>
            <w:t>Document title, Part #, Section # - Section title</w:t>
          </w:r>
        </w:p>
        <w:p w:rsidR="00A10C7E" w:rsidRDefault="00A10C7E" w:rsidP="006E08B3">
          <w:pPr>
            <w:pStyle w:val="Footer"/>
          </w:pPr>
          <w:r>
            <w:t>V1.0 October 2010</w:t>
          </w:r>
        </w:p>
      </w:tc>
      <w:tc>
        <w:tcPr>
          <w:tcW w:w="4356" w:type="dxa"/>
          <w:tcBorders>
            <w:top w:val="single" w:sz="4" w:space="0" w:color="auto"/>
          </w:tcBorders>
          <w:tcMar>
            <w:top w:w="142" w:type="dxa"/>
            <w:bottom w:w="0" w:type="dxa"/>
          </w:tcMar>
        </w:tcPr>
        <w:p w:rsidR="00A10C7E" w:rsidRDefault="00A10C7E" w:rsidP="006E08B3">
          <w:pPr>
            <w:pStyle w:val="Footer"/>
            <w:jc w:val="right"/>
          </w:pPr>
          <w:r>
            <w:t xml:space="preserve">Page </w:t>
          </w:r>
          <w:r w:rsidR="008453CD">
            <w:fldChar w:fldCharType="begin"/>
          </w:r>
          <w:r w:rsidR="008453CD">
            <w:instrText xml:space="preserve"> PAGE   \* MERGEFORMAT </w:instrText>
          </w:r>
          <w:r w:rsidR="008453CD">
            <w:fldChar w:fldCharType="separate"/>
          </w:r>
          <w:r>
            <w:rPr>
              <w:noProof/>
            </w:rPr>
            <w:t>11</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r>
            <w:t xml:space="preserve">  </w:t>
          </w:r>
        </w:p>
      </w:tc>
    </w:tr>
  </w:tbl>
  <w:p w:rsidR="00A10C7E" w:rsidRDefault="00A10C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A10C7E"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A10C7E" w:rsidRPr="00DE02AE" w:rsidTr="006C642F">
      <w:trPr>
        <w:trHeight w:hRule="exact" w:val="7842"/>
      </w:trPr>
      <w:sdt>
        <w:sdtPr>
          <w:id w:val="16592143"/>
          <w:picture/>
        </w:sdtPr>
        <w:sdtEndPr/>
        <w:sdtContent>
          <w:tc>
            <w:tcPr>
              <w:tcW w:w="11907" w:type="dxa"/>
            </w:tcPr>
            <w:p w:rsidR="00A10C7E" w:rsidRPr="00DE02AE" w:rsidRDefault="00A10C7E" w:rsidP="006C642F">
              <w:pPr>
                <w:pStyle w:val="Date"/>
              </w:pPr>
              <w:r>
                <w:rPr>
                  <w:noProof/>
                  <w:lang w:eastAsia="en-AU"/>
                </w:rPr>
                <w:drawing>
                  <wp:inline distT="0" distB="0" distL="0" distR="0">
                    <wp:extent cx="7533442" cy="5010470"/>
                    <wp:effectExtent l="19050" t="0" r="0"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33442" cy="5010470"/>
                            </a:xfrm>
                            <a:prstGeom prst="rect">
                              <a:avLst/>
                            </a:prstGeom>
                            <a:noFill/>
                            <a:ln w="9525">
                              <a:noFill/>
                              <a:miter lim="800000"/>
                              <a:headEnd/>
                              <a:tailEnd/>
                            </a:ln>
                          </pic:spPr>
                        </pic:pic>
                      </a:graphicData>
                    </a:graphic>
                  </wp:inline>
                </w:drawing>
              </w:r>
            </w:p>
          </w:tc>
        </w:sdtContent>
      </w:sdt>
    </w:tr>
  </w:tbl>
  <w:p w:rsidR="00A10C7E" w:rsidRDefault="00A10C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5</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FE1DEE">
          <w:pPr>
            <w:pStyle w:val="Footer"/>
          </w:pPr>
          <w:r>
            <w:t>Document title, Part #, Section # - Section title</w:t>
          </w:r>
        </w:p>
        <w:p w:rsidR="00A10C7E" w:rsidRDefault="00A10C7E" w:rsidP="00FE1DEE">
          <w:pPr>
            <w:pStyle w:val="Footer"/>
          </w:pPr>
          <w:r>
            <w:t>V1.0 October 2010</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3</w:t>
          </w:r>
          <w:r w:rsidR="008453CD">
            <w:rPr>
              <w:noProof/>
            </w:rPr>
            <w:fldChar w:fldCharType="end"/>
          </w:r>
          <w:r>
            <w:t xml:space="preserve"> of </w:t>
          </w:r>
          <w:r w:rsidR="008453CD">
            <w:fldChar w:fldCharType="begin"/>
          </w:r>
          <w:r w:rsidR="008453CD">
            <w:instrText xml:space="preserve"> NUMPAGES  </w:instrText>
          </w:r>
          <w:r w:rsidR="008453CD">
            <w:fldChar w:fldCharType="separate"/>
          </w:r>
          <w:r>
            <w:rPr>
              <w:noProof/>
            </w:rPr>
            <w:t>53</w:t>
          </w:r>
          <w:r w:rsidR="008453CD">
            <w:rPr>
              <w:noProof/>
            </w:rPr>
            <w:fldChar w:fldCharType="end"/>
          </w:r>
        </w:p>
      </w:tc>
    </w:tr>
  </w:tbl>
  <w:p w:rsidR="00A10C7E" w:rsidRDefault="00A10C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1 - Introduction</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9</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2 - Overview</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13</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4C – Starting material specifications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sidR="008453CD">
            <w:rPr>
              <w:noProof/>
            </w:rPr>
            <w:t>19</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sidR="008453CD">
            <w:rPr>
              <w:noProof/>
            </w:rPr>
            <w:t>53</w:t>
          </w:r>
          <w:r w:rsidR="008453CD">
            <w:rPr>
              <w:noProof/>
            </w:rPr>
            <w:fldChar w:fldCharType="end"/>
          </w:r>
        </w:p>
      </w:tc>
    </w:tr>
  </w:tbl>
  <w:p w:rsidR="00A10C7E" w:rsidRDefault="00A10C7E" w:rsidP="0005559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0C7E" w:rsidTr="0010601F">
      <w:trPr>
        <w:trHeight w:val="269"/>
      </w:trPr>
      <w:tc>
        <w:tcPr>
          <w:tcW w:w="4519" w:type="dxa"/>
          <w:tcBorders>
            <w:top w:val="single" w:sz="4" w:space="0" w:color="auto"/>
          </w:tcBorders>
          <w:tcMar>
            <w:top w:w="142" w:type="dxa"/>
            <w:bottom w:w="0" w:type="dxa"/>
          </w:tcMar>
        </w:tcPr>
        <w:p w:rsidR="00A10C7E" w:rsidRDefault="00A10C7E" w:rsidP="00C058FF">
          <w:pPr>
            <w:pStyle w:val="Footer"/>
          </w:pPr>
          <w:r>
            <w:t xml:space="preserve">Australian regulatory guidelines for OTC medicines, </w:t>
          </w:r>
        </w:p>
        <w:p w:rsidR="00A10C7E" w:rsidRDefault="00A10C7E" w:rsidP="00C058FF">
          <w:pPr>
            <w:pStyle w:val="Footer"/>
          </w:pPr>
          <w:r>
            <w:t>Section 4D – Finished product specifications</w:t>
          </w:r>
        </w:p>
        <w:p w:rsidR="00A10C7E" w:rsidRDefault="00A10C7E" w:rsidP="00C058FF">
          <w:pPr>
            <w:pStyle w:val="Footer"/>
          </w:pPr>
          <w:r>
            <w:t>July 2003</w:t>
          </w:r>
        </w:p>
      </w:tc>
      <w:tc>
        <w:tcPr>
          <w:tcW w:w="4342" w:type="dxa"/>
          <w:tcBorders>
            <w:top w:val="single" w:sz="4" w:space="0" w:color="auto"/>
          </w:tcBorders>
          <w:tcMar>
            <w:top w:w="142" w:type="dxa"/>
            <w:bottom w:w="0" w:type="dxa"/>
          </w:tcMar>
        </w:tcPr>
        <w:p w:rsidR="00A10C7E" w:rsidRDefault="00A10C7E" w:rsidP="000B3532">
          <w:pPr>
            <w:pStyle w:val="Footer"/>
            <w:jc w:val="right"/>
          </w:pPr>
          <w:r>
            <w:t xml:space="preserve">Page </w:t>
          </w:r>
          <w:r w:rsidR="008453CD">
            <w:fldChar w:fldCharType="begin"/>
          </w:r>
          <w:r w:rsidR="008453CD">
            <w:instrText xml:space="preserve"> PAGE   \* MERGEFORMAT </w:instrText>
          </w:r>
          <w:r w:rsidR="008453CD">
            <w:fldChar w:fldCharType="separate"/>
          </w:r>
          <w:r>
            <w:rPr>
              <w:noProof/>
            </w:rPr>
            <w:t>26</w:t>
          </w:r>
          <w:r w:rsidR="008453CD">
            <w:rPr>
              <w:noProof/>
            </w:rPr>
            <w:fldChar w:fldCharType="end"/>
          </w:r>
          <w:r>
            <w:t xml:space="preserve"> of </w:t>
          </w:r>
          <w:r w:rsidR="008453CD">
            <w:fldChar w:fldCharType="begin"/>
          </w:r>
          <w:r w:rsidR="008453CD">
            <w:instrText xml:space="preserve"> NUMPAGES  \* Arabic </w:instrText>
          </w:r>
          <w:r w:rsidR="008453CD">
            <w:fldChar w:fldCharType="separate"/>
          </w:r>
          <w:r>
            <w:rPr>
              <w:noProof/>
            </w:rPr>
            <w:t>53</w:t>
          </w:r>
          <w:r w:rsidR="008453CD">
            <w:rPr>
              <w:noProof/>
            </w:rPr>
            <w:fldChar w:fldCharType="end"/>
          </w:r>
        </w:p>
      </w:tc>
    </w:tr>
  </w:tbl>
  <w:p w:rsidR="00A10C7E" w:rsidRDefault="00A10C7E" w:rsidP="00055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C7E" w:rsidRDefault="00A10C7E" w:rsidP="00C40A36">
      <w:pPr>
        <w:spacing w:after="0"/>
      </w:pPr>
      <w:r>
        <w:separator/>
      </w:r>
    </w:p>
  </w:footnote>
  <w:footnote w:type="continuationSeparator" w:id="0">
    <w:p w:rsidR="00A10C7E" w:rsidRDefault="00A10C7E" w:rsidP="00C40A36">
      <w:pPr>
        <w:spacing w:after="0"/>
      </w:pPr>
      <w:r>
        <w:continuationSeparator/>
      </w:r>
    </w:p>
  </w:footnote>
  <w:footnote w:id="1">
    <w:p w:rsidR="00A10C7E" w:rsidRPr="00A82FAF" w:rsidRDefault="00A10C7E" w:rsidP="000B103F">
      <w:pPr>
        <w:pStyle w:val="Notes"/>
      </w:pPr>
      <w:r w:rsidRPr="00A82FAF">
        <w:footnoteRef/>
      </w:r>
      <w:r w:rsidRPr="00A82FAF">
        <w:t xml:space="preserve"> </w:t>
      </w:r>
      <w:hyperlink r:id="rId1" w:history="1">
        <w:r w:rsidRPr="006D759B">
          <w:rPr>
            <w:rStyle w:val="Hyperlink"/>
            <w:rFonts w:asciiTheme="minorHAnsi" w:hAnsiTheme="minorHAnsi"/>
            <w:szCs w:val="20"/>
          </w:rPr>
          <w:t>http://www.tga.gov.au/industry/legislation.htm</w:t>
        </w:r>
      </w:hyperlink>
      <w:r w:rsidRPr="006D759B">
        <w:rPr>
          <w:rFonts w:asciiTheme="minorHAnsi" w:hAnsiTheme="minorHAnsi"/>
          <w:sz w:val="20"/>
          <w:szCs w:val="20"/>
        </w:rPr>
        <w:t xml:space="preserve"> </w:t>
      </w:r>
    </w:p>
  </w:footnote>
  <w:footnote w:id="2">
    <w:p w:rsidR="00A10C7E" w:rsidRDefault="00A10C7E" w:rsidP="00130EF7">
      <w:pPr>
        <w:pStyle w:val="Notes"/>
      </w:pPr>
      <w:r w:rsidRPr="00B169D5">
        <w:rPr>
          <w:rStyle w:val="FootnoteReference"/>
          <w:rFonts w:ascii="Cambria" w:hAnsi="Cambria"/>
          <w:sz w:val="20"/>
        </w:rPr>
        <w:footnoteRef/>
      </w:r>
      <w:r>
        <w:t xml:space="preserve"> </w:t>
      </w:r>
      <w:hyperlink r:id="rId2" w:history="1">
        <w:r w:rsidRPr="006D759B">
          <w:rPr>
            <w:rStyle w:val="Hyperlink"/>
            <w:rFonts w:asciiTheme="minorHAnsi" w:hAnsiTheme="minorHAnsi"/>
            <w:szCs w:val="20"/>
          </w:rPr>
          <w:t>http://www.tga.gov.au/archive/medicines-information-kit-1999.htm</w:t>
        </w:r>
      </w:hyperlink>
    </w:p>
  </w:footnote>
  <w:footnote w:id="3">
    <w:p w:rsidR="00A10C7E" w:rsidRDefault="00A10C7E" w:rsidP="001231FA">
      <w:pPr>
        <w:pStyle w:val="Notes"/>
      </w:pPr>
      <w:r w:rsidRPr="00B169D5">
        <w:rPr>
          <w:rStyle w:val="FootnoteReference"/>
          <w:rFonts w:ascii="Cambria" w:hAnsi="Cambria"/>
          <w:sz w:val="20"/>
        </w:rPr>
        <w:footnoteRef/>
      </w:r>
      <w:r>
        <w:t xml:space="preserve"> </w:t>
      </w:r>
      <w:r w:rsidRPr="006D759B">
        <w:rPr>
          <w:rFonts w:asciiTheme="minorHAnsi" w:hAnsiTheme="minorHAnsi"/>
          <w:sz w:val="20"/>
          <w:szCs w:val="20"/>
        </w:rPr>
        <w:t>http://</w:t>
      </w:r>
      <w:r w:rsidRPr="006D759B">
        <w:rPr>
          <w:rFonts w:ascii="Cambria" w:hAnsi="Cambria"/>
          <w:sz w:val="20"/>
        </w:rPr>
        <w:t>www.tga.gov</w:t>
      </w:r>
      <w:bookmarkStart w:id="49" w:name="_Hlt44303417"/>
      <w:r w:rsidRPr="006D759B">
        <w:rPr>
          <w:rFonts w:ascii="Cambria" w:hAnsi="Cambria"/>
          <w:sz w:val="20"/>
        </w:rPr>
        <w:t>.</w:t>
      </w:r>
      <w:bookmarkEnd w:id="49"/>
      <w:r w:rsidRPr="006D759B">
        <w:rPr>
          <w:rFonts w:ascii="Cambria" w:hAnsi="Cambria"/>
          <w:sz w:val="20"/>
        </w:rPr>
        <w:t>au</w:t>
      </w:r>
      <w:bookmarkStart w:id="50" w:name="_Hlt43873599"/>
      <w:r w:rsidRPr="006D759B">
        <w:rPr>
          <w:rFonts w:ascii="Cambria" w:hAnsi="Cambria"/>
          <w:sz w:val="20"/>
        </w:rPr>
        <w:t>/</w:t>
      </w:r>
      <w:bookmarkEnd w:id="50"/>
      <w:r w:rsidRPr="006D759B">
        <w:rPr>
          <w:rFonts w:ascii="Cambria" w:hAnsi="Cambria"/>
          <w:sz w:val="20"/>
        </w:rPr>
        <w:t>ndpsc/ndpscg.htm</w:t>
      </w:r>
      <w:r>
        <w:t xml:space="preserve"> </w:t>
      </w:r>
    </w:p>
  </w:footnote>
  <w:footnote w:id="4">
    <w:p w:rsidR="00A10C7E" w:rsidRDefault="00A10C7E" w:rsidP="001231FA">
      <w:pPr>
        <w:pStyle w:val="Notes"/>
      </w:pPr>
      <w:r w:rsidRPr="00B169D5">
        <w:rPr>
          <w:rStyle w:val="FootnoteReference"/>
          <w:rFonts w:ascii="Cambria" w:hAnsi="Cambria"/>
          <w:sz w:val="20"/>
        </w:rPr>
        <w:footnoteRef/>
      </w:r>
      <w:r>
        <w:t xml:space="preserve"> </w:t>
      </w:r>
      <w:hyperlink r:id="rId3" w:history="1">
        <w:r w:rsidRPr="006D759B">
          <w:rPr>
            <w:rStyle w:val="Hyperlink"/>
            <w:rFonts w:asciiTheme="minorHAnsi" w:hAnsiTheme="minorHAnsi"/>
            <w:szCs w:val="20"/>
          </w:rPr>
          <w:t>http://www.tga.gov.au/industry/medicines-forms-justification-evaluation.htm</w:t>
        </w:r>
      </w:hyperlink>
      <w:r>
        <w:t xml:space="preserve"> </w:t>
      </w:r>
    </w:p>
  </w:footnote>
  <w:footnote w:id="5">
    <w:p w:rsidR="00A10C7E" w:rsidRDefault="00A10C7E" w:rsidP="001231FA">
      <w:pPr>
        <w:pStyle w:val="Notes"/>
      </w:pPr>
      <w:r w:rsidRPr="00B169D5">
        <w:rPr>
          <w:rStyle w:val="FootnoteReference"/>
          <w:rFonts w:ascii="Cambria" w:hAnsi="Cambria"/>
          <w:sz w:val="20"/>
        </w:rPr>
        <w:footnoteRef/>
      </w:r>
      <w:r>
        <w:t xml:space="preserve"> </w:t>
      </w:r>
      <w:hyperlink r:id="rId4" w:history="1">
        <w:r w:rsidRPr="003127D2">
          <w:rPr>
            <w:rStyle w:val="Hyperlink"/>
          </w:rPr>
          <w:t>http://www.tga.gov.au/industry/otc-forms.htm</w:t>
        </w:r>
      </w:hyperlink>
    </w:p>
  </w:footnote>
  <w:footnote w:id="6">
    <w:p w:rsidR="00A10C7E" w:rsidRDefault="00A10C7E" w:rsidP="001231FA">
      <w:pPr>
        <w:pStyle w:val="Notes"/>
      </w:pPr>
      <w:r w:rsidRPr="00B169D5">
        <w:rPr>
          <w:rStyle w:val="FootnoteReference"/>
          <w:rFonts w:ascii="Cambria" w:hAnsi="Cambria"/>
          <w:sz w:val="20"/>
        </w:rPr>
        <w:footnoteRef/>
      </w:r>
      <w:r>
        <w:t xml:space="preserve"> </w:t>
      </w:r>
      <w:hyperlink r:id="rId5" w:history="1">
        <w:r w:rsidRPr="003127D2">
          <w:rPr>
            <w:rStyle w:val="Hyperlink"/>
            <w:rFonts w:asciiTheme="minorHAnsi" w:hAnsiTheme="minorHAnsi"/>
            <w:szCs w:val="20"/>
          </w:rPr>
          <w:t>http://www.tga.gov.au/about/fees.htm</w:t>
        </w:r>
      </w:hyperlink>
    </w:p>
  </w:footnote>
  <w:footnote w:id="7">
    <w:p w:rsidR="00A10C7E" w:rsidRDefault="00A10C7E" w:rsidP="004D24E5">
      <w:pPr>
        <w:pStyle w:val="Notes"/>
      </w:pPr>
      <w:r w:rsidRPr="00B169D5">
        <w:rPr>
          <w:rStyle w:val="FootnoteReference"/>
          <w:rFonts w:ascii="Cambria" w:hAnsi="Cambria"/>
          <w:sz w:val="20"/>
        </w:rPr>
        <w:footnoteRef/>
      </w:r>
      <w:r>
        <w:t xml:space="preserve"> </w:t>
      </w:r>
      <w:hyperlink r:id="rId6" w:history="1">
        <w:r w:rsidRPr="003127D2">
          <w:rPr>
            <w:rStyle w:val="Hyperlink"/>
            <w:rFonts w:asciiTheme="minorHAnsi" w:hAnsiTheme="minorHAnsi"/>
            <w:szCs w:val="20"/>
          </w:rPr>
          <w:t>http://www.tga.gov.au/archive/committees-mec.htm</w:t>
        </w:r>
      </w:hyperlink>
    </w:p>
  </w:footnote>
  <w:footnote w:id="8">
    <w:p w:rsidR="00A10C7E" w:rsidRDefault="00A10C7E" w:rsidP="001231FA">
      <w:pPr>
        <w:pStyle w:val="Notes"/>
      </w:pPr>
      <w:r w:rsidRPr="00B169D5">
        <w:rPr>
          <w:rStyle w:val="FootnoteReference"/>
          <w:rFonts w:ascii="Cambria" w:hAnsi="Cambria"/>
          <w:sz w:val="20"/>
        </w:rPr>
        <w:footnoteRef/>
      </w:r>
      <w:r>
        <w:t xml:space="preserve"> </w:t>
      </w:r>
      <w:hyperlink r:id="rId7" w:history="1">
        <w:r w:rsidRPr="003127D2">
          <w:rPr>
            <w:rStyle w:val="Hyperlink"/>
            <w:rFonts w:asciiTheme="minorHAnsi" w:hAnsiTheme="minorHAnsi"/>
            <w:szCs w:val="20"/>
          </w:rPr>
          <w:t>http://www.tga.gov.au/industry/basics-regulatory-affairs-consultants.htm</w:t>
        </w:r>
      </w:hyperlink>
    </w:p>
  </w:footnote>
  <w:footnote w:id="9">
    <w:p w:rsidR="00A10C7E" w:rsidRDefault="00A10C7E" w:rsidP="00F91044">
      <w:pPr>
        <w:pStyle w:val="Notes"/>
      </w:pPr>
      <w:r w:rsidRPr="00B169D5">
        <w:rPr>
          <w:rStyle w:val="FootnoteReference"/>
          <w:rFonts w:ascii="Cambria" w:hAnsi="Cambria"/>
          <w:sz w:val="20"/>
        </w:rPr>
        <w:footnoteRef/>
      </w:r>
      <w:r>
        <w:t xml:space="preserve"> </w:t>
      </w:r>
      <w:hyperlink r:id="rId8" w:history="1">
        <w:r>
          <w:rPr>
            <w:rStyle w:val="Hyperlink"/>
          </w:rPr>
          <w:t>http://www.tga.gov.au/industry/manuf-medicines-cgmp.htm</w:t>
        </w:r>
      </w:hyperlink>
    </w:p>
  </w:footnote>
  <w:footnote w:id="10">
    <w:p w:rsidR="00A10C7E" w:rsidRDefault="00A10C7E" w:rsidP="00F91044">
      <w:pPr>
        <w:pStyle w:val="Notes"/>
      </w:pPr>
      <w:r w:rsidRPr="00B169D5">
        <w:rPr>
          <w:rStyle w:val="FootnoteReference"/>
          <w:rFonts w:ascii="Cambria" w:hAnsi="Cambria"/>
          <w:sz w:val="20"/>
        </w:rPr>
        <w:footnoteRef/>
      </w:r>
      <w:r>
        <w:t xml:space="preserve"> </w:t>
      </w:r>
      <w:hyperlink r:id="rId9" w:history="1">
        <w:r>
          <w:rPr>
            <w:rStyle w:val="Hyperlink"/>
          </w:rPr>
          <w:t>http://www.tga.gov.au/safety/problem.htm</w:t>
        </w:r>
      </w:hyperlink>
      <w:r>
        <w:t xml:space="preserve"> </w:t>
      </w:r>
    </w:p>
  </w:footnote>
  <w:footnote w:id="11">
    <w:p w:rsidR="00A10C7E" w:rsidRPr="00BF4A32" w:rsidRDefault="00A10C7E" w:rsidP="00297FDD">
      <w:pPr>
        <w:pStyle w:val="Notes"/>
        <w:rPr>
          <w:rFonts w:ascii="Cambria" w:hAnsi="Cambria"/>
          <w:sz w:val="20"/>
        </w:rPr>
      </w:pPr>
      <w:r w:rsidRPr="00BF4A32">
        <w:rPr>
          <w:rStyle w:val="FootnoteReference"/>
          <w:rFonts w:ascii="Cambria" w:hAnsi="Cambria"/>
          <w:sz w:val="20"/>
        </w:rPr>
        <w:footnoteRef/>
      </w:r>
      <w:r w:rsidRPr="00BF4A32">
        <w:rPr>
          <w:rFonts w:ascii="Cambria" w:hAnsi="Cambria"/>
          <w:sz w:val="20"/>
        </w:rPr>
        <w:t xml:space="preserve"> Marks R (2002) The changing incidence and mortality of melanoma in Australia. Recent Results Cancer Res. 160: 113-121, 2002</w:t>
      </w:r>
    </w:p>
  </w:footnote>
  <w:footnote w:id="12">
    <w:p w:rsidR="00A10C7E" w:rsidRDefault="00A10C7E" w:rsidP="00297FDD">
      <w:pPr>
        <w:pStyle w:val="Notes"/>
      </w:pPr>
      <w:r w:rsidRPr="00B169D5">
        <w:rPr>
          <w:rStyle w:val="FootnoteReference"/>
          <w:rFonts w:ascii="Cambria" w:hAnsi="Cambria"/>
          <w:sz w:val="20"/>
        </w:rPr>
        <w:footnoteRef/>
      </w:r>
      <w:r>
        <w:t xml:space="preserve"> </w:t>
      </w:r>
      <w:r>
        <w:rPr>
          <w:rFonts w:ascii="Cambria" w:hAnsi="Cambria"/>
          <w:sz w:val="20"/>
        </w:rPr>
        <w:t>http://</w:t>
      </w:r>
      <w:r w:rsidRPr="00344EA2">
        <w:rPr>
          <w:rFonts w:ascii="Cambria" w:hAnsi="Cambria"/>
          <w:sz w:val="20"/>
        </w:rPr>
        <w:t>ww.tga.gov.</w:t>
      </w:r>
      <w:bookmarkStart w:id="517" w:name="_Hlt45677517"/>
      <w:r w:rsidRPr="00344EA2">
        <w:rPr>
          <w:rFonts w:ascii="Cambria" w:hAnsi="Cambria"/>
          <w:sz w:val="20"/>
        </w:rPr>
        <w:t>a</w:t>
      </w:r>
      <w:bookmarkEnd w:id="517"/>
      <w:r w:rsidRPr="00344EA2">
        <w:rPr>
          <w:rFonts w:ascii="Cambria" w:hAnsi="Cambria"/>
          <w:sz w:val="20"/>
        </w:rPr>
        <w:t>u/docs/html/listguid.htm</w:t>
      </w:r>
      <w:r>
        <w:t xml:space="preserve"> </w:t>
      </w:r>
    </w:p>
  </w:footnote>
  <w:footnote w:id="13">
    <w:p w:rsidR="00A10C7E" w:rsidRDefault="00A10C7E" w:rsidP="00297FDD">
      <w:pPr>
        <w:pStyle w:val="Notes"/>
      </w:pPr>
      <w:r w:rsidRPr="00B169D5">
        <w:rPr>
          <w:rStyle w:val="FootnoteReference"/>
          <w:rFonts w:ascii="Cambria" w:hAnsi="Cambria"/>
          <w:sz w:val="20"/>
        </w:rPr>
        <w:footnoteRef/>
      </w:r>
      <w:r>
        <w:t xml:space="preserve"> </w:t>
      </w:r>
      <w:hyperlink r:id="rId10" w:history="1">
        <w:r>
          <w:rPr>
            <w:rStyle w:val="Hyperlink"/>
          </w:rPr>
          <w:t>http://www.accc.gov.au</w:t>
        </w:r>
      </w:hyperlink>
      <w:r>
        <w:t xml:space="preserve"> </w:t>
      </w:r>
    </w:p>
  </w:footnote>
  <w:footnote w:id="14">
    <w:p w:rsidR="00A10C7E" w:rsidRDefault="00A10C7E" w:rsidP="00297FDD">
      <w:pPr>
        <w:pStyle w:val="Notes"/>
      </w:pPr>
      <w:r w:rsidRPr="00B169D5">
        <w:rPr>
          <w:rStyle w:val="FootnoteReference"/>
          <w:rFonts w:ascii="Cambria" w:hAnsi="Cambria"/>
          <w:sz w:val="20"/>
        </w:rPr>
        <w:footnoteRef/>
      </w:r>
      <w:r>
        <w:t xml:space="preserve"> </w:t>
      </w:r>
      <w:r>
        <w:rPr>
          <w:rFonts w:ascii="Cambria" w:hAnsi="Cambria"/>
          <w:sz w:val="20"/>
        </w:rPr>
        <w:t>http://</w:t>
      </w:r>
      <w:r w:rsidRPr="00344EA2">
        <w:rPr>
          <w:rFonts w:ascii="Cambria" w:hAnsi="Cambria"/>
          <w:sz w:val="20"/>
        </w:rPr>
        <w:t>ww.tga.gov</w:t>
      </w:r>
      <w:bookmarkStart w:id="525" w:name="_Hlt75856408"/>
      <w:r w:rsidRPr="00344EA2">
        <w:rPr>
          <w:rFonts w:ascii="Cambria" w:hAnsi="Cambria"/>
          <w:sz w:val="20"/>
        </w:rPr>
        <w:t>.</w:t>
      </w:r>
      <w:bookmarkEnd w:id="525"/>
      <w:r w:rsidRPr="00344EA2">
        <w:rPr>
          <w:rFonts w:ascii="Cambria" w:hAnsi="Cambria"/>
          <w:sz w:val="20"/>
        </w:rPr>
        <w:t>au/chemicals/index.htm</w:t>
      </w:r>
      <w:r>
        <w:t xml:space="preserve"> </w:t>
      </w:r>
    </w:p>
  </w:footnote>
  <w:footnote w:id="15">
    <w:p w:rsidR="00A10C7E" w:rsidRDefault="00A10C7E" w:rsidP="00297FDD">
      <w:pPr>
        <w:pStyle w:val="Notes"/>
      </w:pPr>
      <w:r w:rsidRPr="00B169D5">
        <w:rPr>
          <w:rStyle w:val="FootnoteReference"/>
          <w:rFonts w:ascii="Cambria" w:hAnsi="Cambria"/>
          <w:sz w:val="20"/>
        </w:rPr>
        <w:footnoteRef/>
      </w:r>
      <w:r>
        <w:t xml:space="preserve"> </w:t>
      </w:r>
      <w:hyperlink r:id="rId11" w:history="1">
        <w:r>
          <w:rPr>
            <w:rStyle w:val="Hyperlink"/>
          </w:rPr>
          <w:t>http://www.tga.gov.au/archive/medicines-information-kit-1999.htm</w:t>
        </w:r>
      </w:hyperlink>
      <w:r>
        <w:t xml:space="preserve"> </w:t>
      </w:r>
    </w:p>
  </w:footnote>
  <w:footnote w:id="16">
    <w:p w:rsidR="00A10C7E" w:rsidRDefault="00A10C7E" w:rsidP="00297FDD">
      <w:pPr>
        <w:pStyle w:val="Notes"/>
      </w:pPr>
      <w:r w:rsidRPr="00B169D5">
        <w:rPr>
          <w:rStyle w:val="FootnoteReference"/>
          <w:rFonts w:ascii="Cambria" w:hAnsi="Cambria"/>
          <w:sz w:val="20"/>
        </w:rPr>
        <w:footnoteRef/>
      </w:r>
      <w:r>
        <w:t xml:space="preserve"> </w:t>
      </w:r>
      <w:hyperlink r:id="rId12" w:history="1">
        <w:r>
          <w:rPr>
            <w:rStyle w:val="Hyperlink"/>
          </w:rPr>
          <w:t>www.tga.gov.au/docs/html/tgo/tgo69.htm</w:t>
        </w:r>
      </w:hyperlink>
      <w:r>
        <w:t xml:space="preserve"> </w:t>
      </w:r>
    </w:p>
  </w:footnote>
  <w:footnote w:id="17">
    <w:p w:rsidR="00A10C7E" w:rsidRDefault="00A10C7E" w:rsidP="00297FDD">
      <w:pPr>
        <w:pStyle w:val="Notes"/>
      </w:pPr>
      <w:r w:rsidRPr="00B169D5">
        <w:rPr>
          <w:rStyle w:val="FootnoteReference"/>
          <w:rFonts w:ascii="Cambria" w:hAnsi="Cambria"/>
          <w:sz w:val="20"/>
        </w:rPr>
        <w:footnoteRef/>
      </w:r>
      <w:r>
        <w:t xml:space="preserve"> </w:t>
      </w:r>
      <w:hyperlink r:id="rId13" w:history="1">
        <w:r>
          <w:rPr>
            <w:rStyle w:val="Hyperlink"/>
          </w:rPr>
          <w:t>http://www.tgacc.com.au</w:t>
        </w:r>
      </w:hyperlink>
      <w:r>
        <w:t xml:space="preserve"> </w:t>
      </w:r>
    </w:p>
  </w:footnote>
  <w:footnote w:id="18">
    <w:p w:rsidR="00A10C7E" w:rsidRDefault="00A10C7E" w:rsidP="00297FDD">
      <w:pPr>
        <w:pStyle w:val="Notes"/>
      </w:pPr>
      <w:r w:rsidRPr="00B169D5">
        <w:rPr>
          <w:rStyle w:val="FootnoteReference"/>
          <w:rFonts w:ascii="Cambria" w:hAnsi="Cambria"/>
          <w:sz w:val="20"/>
        </w:rPr>
        <w:footnoteRef/>
      </w:r>
      <w:r>
        <w:t xml:space="preserve"> </w:t>
      </w:r>
      <w:r w:rsidRPr="00BF4A32">
        <w:rPr>
          <w:rFonts w:ascii="Cambria" w:hAnsi="Cambria"/>
          <w:sz w:val="20"/>
        </w:rPr>
        <w:t>Australia/New Zealand Standard: Sunscreen products – evaluation and classification (available from Standards Australia</w:t>
      </w:r>
      <w:r>
        <w:t xml:space="preserve"> </w:t>
      </w:r>
      <w:hyperlink r:id="rId14" w:history="1">
        <w:r>
          <w:rPr>
            <w:rStyle w:val="Hyperlink"/>
          </w:rPr>
          <w:t>http://www.standards.com.au</w:t>
        </w:r>
      </w:hyperlink>
      <w:r>
        <w:t>)</w:t>
      </w:r>
    </w:p>
  </w:footnote>
  <w:footnote w:id="19">
    <w:p w:rsidR="00A10C7E" w:rsidRDefault="00A10C7E" w:rsidP="00297FDD">
      <w:pPr>
        <w:pStyle w:val="Notes"/>
      </w:pPr>
      <w:r w:rsidRPr="00B169D5">
        <w:rPr>
          <w:rStyle w:val="FootnoteReference"/>
          <w:rFonts w:ascii="Cambria" w:hAnsi="Cambria"/>
          <w:sz w:val="20"/>
        </w:rPr>
        <w:footnoteRef/>
      </w:r>
      <w:r>
        <w:t xml:space="preserve"> </w:t>
      </w:r>
      <w:hyperlink r:id="rId15" w:history="1">
        <w:r>
          <w:rPr>
            <w:rStyle w:val="Hyperlink"/>
          </w:rPr>
          <w:t>http://www.tgacc.com.au</w:t>
        </w:r>
      </w:hyperlink>
      <w:r>
        <w:t xml:space="preserve"> </w:t>
      </w:r>
    </w:p>
  </w:footnote>
  <w:footnote w:id="20">
    <w:p w:rsidR="00A10C7E" w:rsidRDefault="00A10C7E" w:rsidP="00297FDD">
      <w:pPr>
        <w:pStyle w:val="Notes"/>
      </w:pPr>
      <w:r w:rsidRPr="00B169D5">
        <w:rPr>
          <w:rStyle w:val="FootnoteReference"/>
          <w:rFonts w:ascii="Cambria" w:hAnsi="Cambria"/>
          <w:sz w:val="20"/>
        </w:rPr>
        <w:footnoteRef/>
      </w:r>
      <w:r>
        <w:t xml:space="preserve"> </w:t>
      </w:r>
      <w:hyperlink r:id="rId16" w:history="1">
        <w:r>
          <w:rPr>
            <w:rStyle w:val="Hyperlink"/>
          </w:rPr>
          <w:t>http://www.tga.gov.au/archive/medicines-information-kit-1999.htm</w:t>
        </w:r>
      </w:hyperlink>
      <w:r>
        <w:t xml:space="preserve"> </w:t>
      </w:r>
    </w:p>
  </w:footnote>
  <w:footnote w:id="21">
    <w:p w:rsidR="00A10C7E" w:rsidRDefault="00A10C7E" w:rsidP="00297FDD">
      <w:pPr>
        <w:pStyle w:val="Notes"/>
      </w:pPr>
      <w:r w:rsidRPr="00B169D5">
        <w:rPr>
          <w:rStyle w:val="FootnoteReference"/>
          <w:rFonts w:ascii="Cambria" w:hAnsi="Cambria"/>
          <w:sz w:val="20"/>
        </w:rPr>
        <w:footnoteRef/>
      </w:r>
      <w:r>
        <w:t xml:space="preserve"> </w:t>
      </w:r>
      <w:hyperlink r:id="rId17" w:history="1">
        <w:r>
          <w:rPr>
            <w:rStyle w:val="Hyperlink"/>
          </w:rPr>
          <w:t>http://www.comlaw.gov.au/Details/F2009C00264</w:t>
        </w:r>
      </w:hyperlink>
      <w:r>
        <w:t xml:space="preserve"> </w:t>
      </w:r>
    </w:p>
  </w:footnote>
  <w:footnote w:id="22">
    <w:p w:rsidR="00A10C7E" w:rsidRDefault="00A10C7E" w:rsidP="00297FDD">
      <w:pPr>
        <w:pStyle w:val="Notes"/>
      </w:pPr>
      <w:r w:rsidRPr="00B169D5">
        <w:rPr>
          <w:rStyle w:val="FootnoteReference"/>
          <w:rFonts w:ascii="Cambria" w:hAnsi="Cambria"/>
          <w:sz w:val="20"/>
        </w:rPr>
        <w:footnoteRef/>
      </w:r>
      <w:r>
        <w:t xml:space="preserve"> </w:t>
      </w:r>
      <w:hyperlink r:id="rId18" w:history="1">
        <w:r>
          <w:rPr>
            <w:rStyle w:val="Hyperlink"/>
          </w:rPr>
          <w:t>http://www.tgacc.com.au</w:t>
        </w:r>
      </w:hyperlink>
      <w:r>
        <w:t xml:space="preserve"> </w:t>
      </w:r>
    </w:p>
  </w:footnote>
  <w:footnote w:id="23">
    <w:p w:rsidR="00A10C7E" w:rsidRDefault="00A10C7E" w:rsidP="00297FDD">
      <w:pPr>
        <w:pStyle w:val="Notes"/>
      </w:pPr>
      <w:r w:rsidRPr="00B169D5">
        <w:rPr>
          <w:rStyle w:val="FootnoteReference"/>
          <w:rFonts w:ascii="Cambria" w:hAnsi="Cambria"/>
          <w:sz w:val="20"/>
        </w:rPr>
        <w:footnoteRef/>
      </w:r>
      <w:r>
        <w:t xml:space="preserve"> </w:t>
      </w:r>
      <w:r w:rsidRPr="00BF4A32">
        <w:rPr>
          <w:rFonts w:ascii="Cambria" w:hAnsi="Cambria"/>
          <w:sz w:val="20"/>
        </w:rPr>
        <w:t>Australia/New Zealand Standard: Sunscreen products – evaluation and classification (available from Standards Australia</w:t>
      </w:r>
      <w:r>
        <w:t xml:space="preserve"> </w:t>
      </w:r>
      <w:hyperlink r:id="rId19" w:history="1">
        <w:r>
          <w:rPr>
            <w:rStyle w:val="Hyperlink"/>
          </w:rPr>
          <w:t>http://www.standards.com.au</w:t>
        </w:r>
      </w:hyperlink>
      <w:r>
        <w:t xml:space="preserve">) </w:t>
      </w:r>
    </w:p>
  </w:footnote>
  <w:footnote w:id="24">
    <w:p w:rsidR="00A10C7E" w:rsidRDefault="00A10C7E" w:rsidP="00297FDD">
      <w:pPr>
        <w:pStyle w:val="Notes"/>
      </w:pPr>
      <w:r w:rsidRPr="00B169D5">
        <w:rPr>
          <w:rStyle w:val="FootnoteReference"/>
          <w:rFonts w:ascii="Cambria" w:hAnsi="Cambria"/>
          <w:sz w:val="20"/>
        </w:rPr>
        <w:footnoteRef/>
      </w:r>
      <w:r>
        <w:t xml:space="preserve"> </w:t>
      </w:r>
      <w:r w:rsidRPr="00344EA2">
        <w:rPr>
          <w:rFonts w:ascii="Cambria" w:hAnsi="Cambria"/>
          <w:sz w:val="20"/>
        </w:rPr>
        <w:t>http://ww.tga.gov.au/d</w:t>
      </w:r>
      <w:bookmarkStart w:id="540" w:name="_Hlt45680535"/>
      <w:r w:rsidRPr="00344EA2">
        <w:rPr>
          <w:rFonts w:ascii="Cambria" w:hAnsi="Cambria"/>
          <w:sz w:val="20"/>
        </w:rPr>
        <w:t>o</w:t>
      </w:r>
      <w:bookmarkEnd w:id="540"/>
      <w:r w:rsidRPr="00344EA2">
        <w:rPr>
          <w:rFonts w:ascii="Cambria" w:hAnsi="Cambria"/>
          <w:sz w:val="20"/>
        </w:rPr>
        <w:t>cs/html/reg7csun.htm</w:t>
      </w:r>
      <w:r>
        <w:t xml:space="preserve"> </w:t>
      </w:r>
    </w:p>
  </w:footnote>
  <w:footnote w:id="25">
    <w:p w:rsidR="00A10C7E" w:rsidRDefault="00A10C7E" w:rsidP="00297FDD">
      <w:pPr>
        <w:pStyle w:val="Notes"/>
      </w:pPr>
      <w:r w:rsidRPr="00B169D5">
        <w:rPr>
          <w:rStyle w:val="FootnoteReference"/>
          <w:rFonts w:ascii="Cambria" w:hAnsi="Cambria"/>
          <w:sz w:val="20"/>
        </w:rPr>
        <w:footnoteRef/>
      </w:r>
      <w:r w:rsidRPr="00E11D49">
        <w:rPr>
          <w:rStyle w:val="Hyperlink"/>
        </w:rPr>
        <w:t xml:space="preserve"> </w:t>
      </w:r>
      <w:hyperlink r:id="rId20" w:history="1">
        <w:r>
          <w:rPr>
            <w:rStyle w:val="Hyperlink"/>
          </w:rPr>
          <w:t>http://www.asmi.com.au/Stability%20G%20for%20Sunscreen.pdf</w:t>
        </w:r>
      </w:hyperlink>
    </w:p>
  </w:footnote>
  <w:footnote w:id="26">
    <w:p w:rsidR="00A10C7E" w:rsidRDefault="00A10C7E" w:rsidP="00297FDD">
      <w:pPr>
        <w:pStyle w:val="Notes"/>
      </w:pPr>
      <w:r w:rsidRPr="00B169D5">
        <w:rPr>
          <w:rStyle w:val="FootnoteReference"/>
          <w:rFonts w:ascii="Cambria" w:hAnsi="Cambria"/>
          <w:sz w:val="20"/>
        </w:rPr>
        <w:footnoteRef/>
      </w:r>
      <w:r>
        <w:t xml:space="preserve"> </w:t>
      </w:r>
      <w:hyperlink r:id="rId21" w:history="1">
        <w:r>
          <w:rPr>
            <w:rStyle w:val="Hyperlink"/>
          </w:rPr>
          <w:t>http://www.tga.gov.au/industry/manuf.htm</w:t>
        </w:r>
      </w:hyperlink>
      <w:r>
        <w:t xml:space="preserve"> </w:t>
      </w:r>
    </w:p>
  </w:footnote>
  <w:footnote w:id="27">
    <w:p w:rsidR="00A10C7E" w:rsidRDefault="00A10C7E" w:rsidP="00297FDD">
      <w:pPr>
        <w:pStyle w:val="Notes"/>
      </w:pPr>
      <w:r w:rsidRPr="00B169D5">
        <w:rPr>
          <w:rStyle w:val="FootnoteReference"/>
          <w:rFonts w:ascii="Cambria" w:hAnsi="Cambria"/>
          <w:sz w:val="20"/>
        </w:rPr>
        <w:footnoteRef/>
      </w:r>
      <w:r>
        <w:t xml:space="preserve"> </w:t>
      </w:r>
      <w:hyperlink r:id="rId22" w:history="1">
        <w:r>
          <w:rPr>
            <w:rStyle w:val="Hyperlink"/>
          </w:rPr>
          <w:t>http://www.tga.gov.au/industry/manuf-sunscreens-cgmp.htm</w:t>
        </w:r>
      </w:hyperlink>
      <w:r>
        <w:t xml:space="preserve"> </w:t>
      </w:r>
    </w:p>
  </w:footnote>
  <w:footnote w:id="28">
    <w:p w:rsidR="00A10C7E" w:rsidRDefault="00A10C7E" w:rsidP="00297FDD">
      <w:pPr>
        <w:pStyle w:val="Notes"/>
      </w:pPr>
      <w:r w:rsidRPr="00B169D5">
        <w:rPr>
          <w:rStyle w:val="FootnoteReference"/>
          <w:rFonts w:ascii="Cambria" w:hAnsi="Cambria"/>
          <w:sz w:val="20"/>
        </w:rPr>
        <w:footnoteRef/>
      </w:r>
      <w:r>
        <w:t xml:space="preserve"> </w:t>
      </w:r>
      <w:r>
        <w:rPr>
          <w:rFonts w:ascii="Cambria" w:hAnsi="Cambria"/>
          <w:sz w:val="20"/>
        </w:rPr>
        <w:t>http://</w:t>
      </w:r>
      <w:r w:rsidRPr="00344EA2">
        <w:rPr>
          <w:rFonts w:ascii="Cambria" w:hAnsi="Cambria"/>
          <w:sz w:val="20"/>
        </w:rPr>
        <w:t>ww.tga.gov.au/docs/html/listguid.htm</w:t>
      </w:r>
      <w:r>
        <w:t xml:space="preserve"> </w:t>
      </w:r>
    </w:p>
  </w:footnote>
  <w:footnote w:id="29">
    <w:p w:rsidR="00A10C7E" w:rsidRDefault="00A10C7E" w:rsidP="00297FDD">
      <w:pPr>
        <w:pStyle w:val="Notes"/>
      </w:pPr>
      <w:r w:rsidRPr="00B169D5">
        <w:rPr>
          <w:rStyle w:val="FootnoteReference"/>
          <w:rFonts w:ascii="Cambria" w:hAnsi="Cambria"/>
          <w:sz w:val="20"/>
        </w:rPr>
        <w:footnoteRef/>
      </w:r>
      <w:r>
        <w:t xml:space="preserve"> Reference: </w:t>
      </w:r>
      <w:r>
        <w:rPr>
          <w:i/>
        </w:rPr>
        <w:t>Novel systems for the study of human diseases</w:t>
      </w:r>
      <w:r>
        <w:t>; OECD Proceedings; OECD Online Bookshop Code 931998021P1 (Page 400)</w:t>
      </w:r>
    </w:p>
  </w:footnote>
  <w:footnote w:id="30">
    <w:p w:rsidR="00A10C7E" w:rsidRDefault="00A10C7E" w:rsidP="00297FDD">
      <w:pPr>
        <w:pStyle w:val="Notes"/>
      </w:pPr>
      <w:r w:rsidRPr="00B169D5">
        <w:rPr>
          <w:rStyle w:val="FootnoteReference"/>
          <w:rFonts w:ascii="Cambria" w:hAnsi="Cambria"/>
          <w:sz w:val="20"/>
        </w:rPr>
        <w:footnoteRef/>
      </w:r>
      <w:r>
        <w:t xml:space="preserve"> Methodology for these studies can be obtained from the scientific literature</w:t>
      </w:r>
    </w:p>
  </w:footnote>
  <w:footnote w:id="31">
    <w:p w:rsidR="00A10C7E" w:rsidRDefault="00A10C7E" w:rsidP="00297FDD">
      <w:pPr>
        <w:pStyle w:val="Notes"/>
      </w:pPr>
      <w:r w:rsidRPr="00B169D5">
        <w:rPr>
          <w:rStyle w:val="FootnoteReference"/>
          <w:rFonts w:ascii="Cambria" w:hAnsi="Cambria"/>
          <w:sz w:val="20"/>
        </w:rPr>
        <w:footnoteRef/>
      </w:r>
      <w:r>
        <w:t xml:space="preserve"> </w:t>
      </w:r>
      <w:r w:rsidRPr="00FA2C29">
        <w:rPr>
          <w:rFonts w:ascii="Cambria" w:hAnsi="Cambria"/>
          <w:sz w:val="20"/>
        </w:rPr>
        <w:t>http://ww.tga.gov.a</w:t>
      </w:r>
      <w:bookmarkStart w:id="570" w:name="_Hlt40762211"/>
      <w:r w:rsidRPr="00FA2C29">
        <w:rPr>
          <w:rFonts w:ascii="Cambria" w:hAnsi="Cambria"/>
          <w:sz w:val="20"/>
        </w:rPr>
        <w:t>u</w:t>
      </w:r>
      <w:bookmarkEnd w:id="570"/>
      <w:r w:rsidRPr="00FA2C29">
        <w:rPr>
          <w:rFonts w:ascii="Cambria" w:hAnsi="Cambria"/>
          <w:sz w:val="20"/>
        </w:rPr>
        <w:t>/docs/h</w:t>
      </w:r>
      <w:bookmarkStart w:id="571" w:name="_Hlt45697665"/>
      <w:r w:rsidRPr="00FA2C29">
        <w:rPr>
          <w:rFonts w:ascii="Cambria" w:hAnsi="Cambria"/>
          <w:sz w:val="20"/>
        </w:rPr>
        <w:t>t</w:t>
      </w:r>
      <w:bookmarkEnd w:id="571"/>
      <w:r w:rsidRPr="00FA2C29">
        <w:rPr>
          <w:rFonts w:ascii="Cambria" w:hAnsi="Cambria"/>
          <w:sz w:val="20"/>
        </w:rPr>
        <w:t>ml/substanc.htm</w:t>
      </w:r>
      <w:r>
        <w:t xml:space="preserve"> </w:t>
      </w:r>
    </w:p>
  </w:footnote>
  <w:footnote w:id="32">
    <w:p w:rsidR="00A10C7E" w:rsidRDefault="00A10C7E" w:rsidP="00297FDD">
      <w:pPr>
        <w:pStyle w:val="Notes"/>
      </w:pPr>
      <w:r w:rsidRPr="00B169D5">
        <w:rPr>
          <w:rStyle w:val="FootnoteReference"/>
          <w:rFonts w:ascii="Cambria" w:hAnsi="Cambria"/>
          <w:sz w:val="20"/>
        </w:rPr>
        <w:footnoteRef/>
      </w:r>
      <w:r>
        <w:t xml:space="preserve"> </w:t>
      </w:r>
      <w:hyperlink r:id="rId23" w:history="1">
        <w:r>
          <w:rPr>
            <w:rStyle w:val="Hyperlink"/>
          </w:rPr>
          <w:t>http://www.cir-safety.org</w:t>
        </w:r>
      </w:hyperlink>
    </w:p>
  </w:footnote>
  <w:footnote w:id="33">
    <w:p w:rsidR="00A10C7E" w:rsidRDefault="00A10C7E" w:rsidP="00297FDD">
      <w:pPr>
        <w:pStyle w:val="Notes"/>
      </w:pPr>
      <w:r w:rsidRPr="00B169D5">
        <w:rPr>
          <w:rStyle w:val="FootnoteReference"/>
          <w:rFonts w:ascii="Cambria" w:hAnsi="Cambria"/>
          <w:sz w:val="20"/>
        </w:rPr>
        <w:footnoteRef/>
      </w:r>
      <w:r>
        <w:t xml:space="preserve"> </w:t>
      </w:r>
      <w:hyperlink r:id="rId24" w:history="1">
        <w:r>
          <w:rPr>
            <w:rStyle w:val="Hyperlink"/>
          </w:rPr>
          <w:t>http://www.tga.gov.au/about/fees.htm</w:t>
        </w:r>
      </w:hyperlink>
      <w:r>
        <w:t xml:space="preserve"> </w:t>
      </w:r>
    </w:p>
  </w:footnote>
  <w:footnote w:id="34">
    <w:p w:rsidR="00A10C7E" w:rsidRDefault="00A10C7E" w:rsidP="00297FDD">
      <w:pPr>
        <w:pStyle w:val="Notes"/>
      </w:pPr>
      <w:r w:rsidRPr="00B169D5">
        <w:rPr>
          <w:rStyle w:val="FootnoteReference"/>
          <w:rFonts w:ascii="Cambria" w:hAnsi="Cambria"/>
          <w:sz w:val="20"/>
        </w:rPr>
        <w:footnoteRef/>
      </w:r>
      <w:r>
        <w:t xml:space="preserve"> </w:t>
      </w:r>
      <w:r w:rsidRPr="00FA2C29">
        <w:rPr>
          <w:rFonts w:ascii="Cambria" w:hAnsi="Cambria"/>
          <w:sz w:val="20"/>
        </w:rPr>
        <w:t>http://ww.tga.gov.au/d</w:t>
      </w:r>
      <w:bookmarkStart w:id="578" w:name="_Hlt52247406"/>
      <w:r w:rsidRPr="00FA2C29">
        <w:rPr>
          <w:rFonts w:ascii="Cambria" w:hAnsi="Cambria"/>
          <w:sz w:val="20"/>
        </w:rPr>
        <w:t>o</w:t>
      </w:r>
      <w:bookmarkEnd w:id="578"/>
      <w:r w:rsidRPr="00FA2C29">
        <w:rPr>
          <w:rFonts w:ascii="Cambria" w:hAnsi="Cambria"/>
          <w:sz w:val="20"/>
        </w:rPr>
        <w:t>cs/html/tgeg9801.htm</w:t>
      </w:r>
      <w:r>
        <w:t xml:space="preserve"> </w:t>
      </w:r>
    </w:p>
  </w:footnote>
  <w:footnote w:id="35">
    <w:p w:rsidR="00A10C7E" w:rsidRDefault="00A10C7E" w:rsidP="00297FDD">
      <w:pPr>
        <w:pStyle w:val="Notes"/>
      </w:pPr>
      <w:r w:rsidRPr="00B169D5">
        <w:rPr>
          <w:rStyle w:val="FootnoteReference"/>
          <w:rFonts w:ascii="Cambria" w:hAnsi="Cambria"/>
          <w:sz w:val="20"/>
        </w:rPr>
        <w:footnoteRef/>
      </w:r>
      <w:r>
        <w:t xml:space="preserve"> </w:t>
      </w:r>
      <w:r w:rsidRPr="00FA2C29">
        <w:rPr>
          <w:rFonts w:ascii="Cambria" w:hAnsi="Cambria"/>
          <w:sz w:val="20"/>
        </w:rPr>
        <w:t>http://ww.tga.gov.</w:t>
      </w:r>
      <w:bookmarkStart w:id="579" w:name="_Hlt52247445"/>
      <w:r w:rsidRPr="00FA2C29">
        <w:rPr>
          <w:rFonts w:ascii="Cambria" w:hAnsi="Cambria"/>
          <w:sz w:val="20"/>
        </w:rPr>
        <w:t>a</w:t>
      </w:r>
      <w:bookmarkEnd w:id="579"/>
      <w:r w:rsidRPr="00FA2C29">
        <w:rPr>
          <w:rFonts w:ascii="Cambria" w:hAnsi="Cambria"/>
          <w:sz w:val="20"/>
        </w:rPr>
        <w:t>u/docs/html/tgeg9802.htm</w:t>
      </w:r>
      <w:r>
        <w:t xml:space="preserve"> </w:t>
      </w:r>
    </w:p>
  </w:footnote>
  <w:footnote w:id="36">
    <w:p w:rsidR="00A10C7E" w:rsidRDefault="00A10C7E" w:rsidP="00F847D0">
      <w:pPr>
        <w:pStyle w:val="Notes"/>
      </w:pPr>
      <w:r w:rsidRPr="00B169D5">
        <w:rPr>
          <w:rStyle w:val="FootnoteReference"/>
          <w:rFonts w:ascii="Cambria" w:hAnsi="Cambria"/>
          <w:sz w:val="20"/>
        </w:rPr>
        <w:footnoteRef/>
      </w:r>
      <w:r>
        <w:t xml:space="preserve"> </w:t>
      </w:r>
      <w:r w:rsidRPr="00FA2C29">
        <w:rPr>
          <w:rFonts w:ascii="Cambria" w:hAnsi="Cambria"/>
          <w:sz w:val="20"/>
        </w:rPr>
        <w:t>http://www.tga.gov.au/docs/h</w:t>
      </w:r>
      <w:bookmarkStart w:id="635" w:name="_Hlt44305232"/>
      <w:r w:rsidRPr="00FA2C29">
        <w:rPr>
          <w:rFonts w:ascii="Cambria" w:hAnsi="Cambria"/>
          <w:sz w:val="20"/>
        </w:rPr>
        <w:t>t</w:t>
      </w:r>
      <w:bookmarkEnd w:id="635"/>
      <w:r w:rsidRPr="00FA2C29">
        <w:rPr>
          <w:rFonts w:ascii="Cambria" w:hAnsi="Cambria"/>
          <w:sz w:val="20"/>
        </w:rPr>
        <w:t>ml/regmedfm.htm</w:t>
      </w:r>
      <w:r>
        <w:t xml:space="preserve"> </w:t>
      </w:r>
    </w:p>
  </w:footnote>
  <w:footnote w:id="37">
    <w:p w:rsidR="00A10C7E" w:rsidRDefault="00A10C7E" w:rsidP="00F847D0">
      <w:pPr>
        <w:pStyle w:val="Notes"/>
      </w:pPr>
      <w:r w:rsidRPr="00B169D5">
        <w:rPr>
          <w:rStyle w:val="FootnoteReference"/>
          <w:rFonts w:ascii="Cambria" w:hAnsi="Cambria"/>
          <w:sz w:val="20"/>
        </w:rPr>
        <w:footnoteRef/>
      </w:r>
      <w:r>
        <w:t xml:space="preserve"> </w:t>
      </w:r>
      <w:r w:rsidRPr="00FA2C29">
        <w:rPr>
          <w:rFonts w:ascii="Cambria" w:hAnsi="Cambria"/>
          <w:sz w:val="20"/>
        </w:rPr>
        <w:t>http://www.tga.go</w:t>
      </w:r>
      <w:bookmarkStart w:id="636" w:name="_Hlt44305235"/>
      <w:r w:rsidRPr="00FA2C29">
        <w:rPr>
          <w:rFonts w:ascii="Cambria" w:hAnsi="Cambria"/>
          <w:sz w:val="20"/>
        </w:rPr>
        <w:t>v</w:t>
      </w:r>
      <w:bookmarkEnd w:id="636"/>
      <w:r w:rsidRPr="00FA2C29">
        <w:rPr>
          <w:rFonts w:ascii="Cambria" w:hAnsi="Cambria"/>
          <w:sz w:val="20"/>
        </w:rPr>
        <w:t>.au/docs/html/regist.htm</w:t>
      </w:r>
      <w:r>
        <w:t xml:space="preserve"> </w:t>
      </w:r>
    </w:p>
  </w:footnote>
  <w:footnote w:id="38">
    <w:p w:rsidR="00A10C7E" w:rsidRDefault="00A10C7E" w:rsidP="00F847D0">
      <w:pPr>
        <w:pStyle w:val="Notes"/>
      </w:pPr>
      <w:r w:rsidRPr="00B169D5">
        <w:rPr>
          <w:rStyle w:val="FootnoteReference"/>
          <w:rFonts w:ascii="Cambria" w:hAnsi="Cambria"/>
          <w:sz w:val="20"/>
        </w:rPr>
        <w:footnoteRef/>
      </w:r>
      <w:r>
        <w:t xml:space="preserve"> </w:t>
      </w:r>
      <w:hyperlink r:id="rId25" w:history="1">
        <w:r>
          <w:rPr>
            <w:rStyle w:val="Hyperlink"/>
          </w:rPr>
          <w:t>http://www.tga.gov.au/industry/otc.htm</w:t>
        </w:r>
      </w:hyperlink>
      <w:r>
        <w:t xml:space="preserve"> </w:t>
      </w:r>
    </w:p>
  </w:footnote>
  <w:footnote w:id="39">
    <w:p w:rsidR="00A10C7E" w:rsidRDefault="00A10C7E" w:rsidP="00F847D0">
      <w:pPr>
        <w:pStyle w:val="FootnoteText"/>
      </w:pPr>
      <w:r w:rsidRPr="00B169D5">
        <w:rPr>
          <w:rStyle w:val="FootnoteReference"/>
          <w:rFonts w:ascii="Cambria" w:hAnsi="Cambria"/>
        </w:rPr>
        <w:footnoteRef/>
      </w:r>
      <w:r>
        <w:t xml:space="preserve"> </w:t>
      </w:r>
      <w:hyperlink r:id="rId26" w:history="1">
        <w:r>
          <w:rPr>
            <w:rStyle w:val="Hyperlink"/>
          </w:rPr>
          <w:t>http://www.tga.gov.au/about/fees.htm</w:t>
        </w:r>
      </w:hyperlink>
      <w:r>
        <w:t xml:space="preserve"> </w:t>
      </w:r>
    </w:p>
  </w:footnote>
  <w:footnote w:id="40">
    <w:p w:rsidR="00A10C7E" w:rsidRDefault="00A10C7E" w:rsidP="00D1746F">
      <w:pPr>
        <w:pStyle w:val="Notes"/>
      </w:pPr>
      <w:r w:rsidRPr="00B169D5">
        <w:rPr>
          <w:rStyle w:val="FootnoteReference"/>
          <w:rFonts w:ascii="Cambria" w:hAnsi="Cambria"/>
          <w:sz w:val="20"/>
        </w:rPr>
        <w:footnoteRef/>
      </w:r>
      <w:r>
        <w:t xml:space="preserve"> </w:t>
      </w:r>
      <w:hyperlink r:id="rId27" w:history="1">
        <w:r>
          <w:rPr>
            <w:rStyle w:val="Hyperlink"/>
          </w:rPr>
          <w:t>http://www.comlaw.gov.au/Details/F2009C00264</w:t>
        </w:r>
      </w:hyperlink>
    </w:p>
  </w:footnote>
  <w:footnote w:id="41">
    <w:p w:rsidR="00A10C7E" w:rsidRDefault="00A10C7E" w:rsidP="00F847D0">
      <w:pPr>
        <w:pStyle w:val="Notes"/>
      </w:pPr>
      <w:r w:rsidRPr="00B169D5">
        <w:rPr>
          <w:rStyle w:val="FootnoteReference"/>
          <w:rFonts w:ascii="Cambria" w:hAnsi="Cambria"/>
          <w:sz w:val="20"/>
        </w:rPr>
        <w:t>*</w:t>
      </w:r>
      <w:r>
        <w:t xml:space="preserve"> * A/D = assurances to be given and supporting documentation required for the given status to apply. Refer to </w:t>
      </w:r>
      <w:hyperlink w:anchor="Changescodes" w:history="1">
        <w:r w:rsidRPr="00B169D5">
          <w:rPr>
            <w:rStyle w:val="Hyperlink"/>
          </w:rPr>
          <w:t>Chang</w:t>
        </w:r>
        <w:bookmarkStart w:id="775" w:name="_Hlt40863029"/>
        <w:r w:rsidRPr="00B169D5">
          <w:rPr>
            <w:rStyle w:val="Hyperlink"/>
          </w:rPr>
          <w:t>e</w:t>
        </w:r>
        <w:bookmarkEnd w:id="775"/>
        <w:r w:rsidRPr="00B169D5">
          <w:rPr>
            <w:rStyle w:val="Hyperlink"/>
          </w:rPr>
          <w:t>s ta</w:t>
        </w:r>
        <w:bookmarkStart w:id="776" w:name="_Hlt44305473"/>
        <w:r w:rsidRPr="00B169D5">
          <w:rPr>
            <w:rStyle w:val="Hyperlink"/>
          </w:rPr>
          <w:t>b</w:t>
        </w:r>
        <w:bookmarkEnd w:id="776"/>
        <w:r w:rsidRPr="00B169D5">
          <w:rPr>
            <w:rStyle w:val="Hyperlink"/>
          </w:rPr>
          <w:t>le codes</w:t>
        </w:r>
      </w:hyperlink>
      <w:r>
        <w:t xml:space="preserve"> for an explanation of all codes used. </w:t>
      </w:r>
    </w:p>
  </w:footnote>
  <w:footnote w:id="42">
    <w:p w:rsidR="00A10C7E" w:rsidRDefault="00A10C7E" w:rsidP="00F847D0">
      <w:pPr>
        <w:pStyle w:val="Notes"/>
      </w:pPr>
      <w:r>
        <w:t>*</w:t>
      </w:r>
      <w:r w:rsidRPr="00B169D5">
        <w:rPr>
          <w:rStyle w:val="FootnoteReference"/>
          <w:rFonts w:ascii="Cambria" w:hAnsi="Cambria"/>
          <w:sz w:val="20"/>
        </w:rPr>
        <w:t>*</w:t>
      </w:r>
      <w:r>
        <w:t xml:space="preserve"> A/D = assurances to be given and supporting documentation required for the given status to apply. Refer to </w:t>
      </w:r>
      <w:hyperlink w:anchor="Changescodes" w:history="1">
        <w:r w:rsidRPr="00B169D5">
          <w:rPr>
            <w:rStyle w:val="Hyperlink"/>
          </w:rPr>
          <w:t>Changes t</w:t>
        </w:r>
        <w:bookmarkStart w:id="777" w:name="_Hlt44305526"/>
        <w:r w:rsidRPr="00B169D5">
          <w:rPr>
            <w:rStyle w:val="Hyperlink"/>
          </w:rPr>
          <w:t>a</w:t>
        </w:r>
        <w:bookmarkEnd w:id="777"/>
        <w:r w:rsidRPr="00B169D5">
          <w:rPr>
            <w:rStyle w:val="Hyperlink"/>
          </w:rPr>
          <w:t>ble codes</w:t>
        </w:r>
      </w:hyperlink>
      <w:r>
        <w:t xml:space="preserve"> for an explanation of all codes used. </w:t>
      </w:r>
    </w:p>
  </w:footnote>
  <w:footnote w:id="43">
    <w:p w:rsidR="00A10C7E" w:rsidRDefault="00A10C7E" w:rsidP="00A7364C">
      <w:pPr>
        <w:pStyle w:val="Notes"/>
      </w:pPr>
      <w:r>
        <w:t>*</w:t>
      </w:r>
      <w:r w:rsidRPr="00B169D5">
        <w:rPr>
          <w:rStyle w:val="FootnoteReference"/>
          <w:rFonts w:ascii="Cambria" w:hAnsi="Cambria"/>
          <w:sz w:val="20"/>
        </w:rPr>
        <w:t>*</w:t>
      </w:r>
      <w:r>
        <w:t xml:space="preserve"> A/D = assurances to be given and supporting documentation required for the given status to apply. Refer to </w:t>
      </w:r>
      <w:hyperlink w:anchor="Changescodes" w:history="1">
        <w:r w:rsidRPr="00B169D5">
          <w:rPr>
            <w:rStyle w:val="Hyperlink"/>
          </w:rPr>
          <w:t>Changes table codes</w:t>
        </w:r>
      </w:hyperlink>
      <w:r>
        <w:t xml:space="preserve"> for an explanation of all codes used. </w:t>
      </w:r>
    </w:p>
  </w:footnote>
  <w:footnote w:id="44">
    <w:p w:rsidR="00A10C7E" w:rsidRDefault="00A10C7E" w:rsidP="00F847D0">
      <w:pPr>
        <w:pStyle w:val="Notes"/>
      </w:pPr>
      <w:r w:rsidRPr="00B169D5">
        <w:rPr>
          <w:rStyle w:val="FootnoteReference"/>
          <w:rFonts w:ascii="Cambria" w:hAnsi="Cambria"/>
          <w:sz w:val="20"/>
        </w:rPr>
        <w:footnoteRef/>
      </w:r>
      <w:r>
        <w:t xml:space="preserve"> </w:t>
      </w:r>
      <w:hyperlink r:id="rId28" w:history="1">
        <w:r>
          <w:rPr>
            <w:rStyle w:val="Hyperlink"/>
          </w:rPr>
          <w:t>http://www.tga.gov.au/medicines-approved-terminology.htm</w:t>
        </w:r>
      </w:hyperlink>
      <w:r>
        <w:t xml:space="preserve"> </w:t>
      </w:r>
    </w:p>
  </w:footnote>
  <w:footnote w:id="45">
    <w:p w:rsidR="00A10C7E" w:rsidRPr="00645610" w:rsidRDefault="00A10C7E" w:rsidP="00F847D0">
      <w:pPr>
        <w:pStyle w:val="Notes"/>
        <w:rPr>
          <w:rFonts w:ascii="Cambria" w:hAnsi="Cambria"/>
          <w:sz w:val="20"/>
        </w:rPr>
      </w:pPr>
      <w:r w:rsidRPr="00645610">
        <w:rPr>
          <w:rFonts w:ascii="Cambria" w:hAnsi="Cambria"/>
          <w:sz w:val="20"/>
        </w:rPr>
        <w:t>*</w:t>
      </w:r>
      <w:r w:rsidRPr="00645610">
        <w:rPr>
          <w:rStyle w:val="FootnoteReference"/>
          <w:rFonts w:ascii="Cambria" w:hAnsi="Cambria"/>
          <w:sz w:val="20"/>
        </w:rPr>
        <w:t>*</w:t>
      </w:r>
      <w:r w:rsidRPr="00645610">
        <w:rPr>
          <w:rFonts w:ascii="Cambria" w:hAnsi="Cambria"/>
          <w:sz w:val="20"/>
        </w:rPr>
        <w:t xml:space="preserve"> A/D = assurances to be given and supporting documentation required for the given status to apply. Refer to </w:t>
      </w:r>
      <w:hyperlink w:anchor="Changescodes" w:history="1">
        <w:r w:rsidRPr="00645610">
          <w:rPr>
            <w:rStyle w:val="Hyperlink"/>
          </w:rPr>
          <w:t>Changes ta</w:t>
        </w:r>
        <w:bookmarkStart w:id="778" w:name="_Hlt44305544"/>
        <w:r w:rsidRPr="00645610">
          <w:rPr>
            <w:rStyle w:val="Hyperlink"/>
          </w:rPr>
          <w:t>b</w:t>
        </w:r>
        <w:bookmarkEnd w:id="778"/>
        <w:r w:rsidRPr="00645610">
          <w:rPr>
            <w:rStyle w:val="Hyperlink"/>
          </w:rPr>
          <w:t>le codes</w:t>
        </w:r>
      </w:hyperlink>
      <w:r w:rsidRPr="00645610">
        <w:rPr>
          <w:rFonts w:ascii="Cambria" w:hAnsi="Cambria"/>
          <w:sz w:val="20"/>
        </w:rPr>
        <w:t xml:space="preserve"> for an explanation of all codes used. </w:t>
      </w:r>
    </w:p>
  </w:footnote>
  <w:footnote w:id="46">
    <w:p w:rsidR="00A10C7E" w:rsidRPr="00645610" w:rsidRDefault="00A10C7E" w:rsidP="00F847D0">
      <w:pPr>
        <w:pStyle w:val="Notes"/>
        <w:rPr>
          <w:rFonts w:ascii="Cambria" w:hAnsi="Cambria"/>
          <w:sz w:val="20"/>
        </w:rPr>
      </w:pPr>
      <w:r w:rsidRPr="00645610">
        <w:rPr>
          <w:rFonts w:ascii="Cambria" w:hAnsi="Cambria"/>
          <w:sz w:val="20"/>
        </w:rPr>
        <w:t>*</w:t>
      </w:r>
      <w:r w:rsidRPr="00645610">
        <w:rPr>
          <w:rStyle w:val="FootnoteReference"/>
          <w:rFonts w:ascii="Cambria" w:hAnsi="Cambria"/>
          <w:sz w:val="20"/>
        </w:rPr>
        <w:t>*</w:t>
      </w:r>
      <w:r w:rsidRPr="00645610">
        <w:rPr>
          <w:rFonts w:ascii="Cambria" w:hAnsi="Cambria"/>
          <w:sz w:val="20"/>
        </w:rPr>
        <w:t xml:space="preserve"> A/D = assurances to be given and supporting documentation required for the given status to apply. Refer to </w:t>
      </w:r>
      <w:hyperlink w:anchor="Changescodes" w:history="1">
        <w:r w:rsidRPr="00645610">
          <w:rPr>
            <w:rStyle w:val="Hyperlink"/>
          </w:rPr>
          <w:t>Changes table</w:t>
        </w:r>
        <w:bookmarkStart w:id="783" w:name="_Hlt44305549"/>
        <w:r w:rsidRPr="00645610">
          <w:rPr>
            <w:rStyle w:val="Hyperlink"/>
          </w:rPr>
          <w:t xml:space="preserve"> </w:t>
        </w:r>
        <w:bookmarkEnd w:id="783"/>
        <w:r w:rsidRPr="00645610">
          <w:rPr>
            <w:rStyle w:val="Hyperlink"/>
          </w:rPr>
          <w:t>codes</w:t>
        </w:r>
      </w:hyperlink>
      <w:r w:rsidRPr="00645610">
        <w:rPr>
          <w:rFonts w:ascii="Cambria" w:hAnsi="Cambria"/>
          <w:sz w:val="20"/>
        </w:rPr>
        <w:t xml:space="preserve"> for an explanation of all codes used. </w:t>
      </w:r>
    </w:p>
  </w:footnote>
  <w:footnote w:id="47">
    <w:p w:rsidR="00A10C7E" w:rsidRDefault="00A10C7E" w:rsidP="00F847D0">
      <w:pPr>
        <w:pStyle w:val="Notes"/>
      </w:pPr>
      <w:r w:rsidRPr="00645610">
        <w:rPr>
          <w:rFonts w:ascii="Cambria" w:hAnsi="Cambria"/>
          <w:sz w:val="20"/>
        </w:rPr>
        <w:t>*</w:t>
      </w:r>
      <w:r w:rsidRPr="00645610">
        <w:rPr>
          <w:rStyle w:val="FootnoteReference"/>
          <w:rFonts w:ascii="Cambria" w:hAnsi="Cambria"/>
          <w:sz w:val="20"/>
        </w:rPr>
        <w:t>*</w:t>
      </w:r>
      <w:r w:rsidRPr="00645610">
        <w:rPr>
          <w:rFonts w:ascii="Cambria" w:hAnsi="Cambria"/>
          <w:sz w:val="20"/>
        </w:rPr>
        <w:t xml:space="preserve"> A/D = assurances to be given and supporting documentation required for the given status to apply. Refer to </w:t>
      </w:r>
      <w:hyperlink w:anchor="Changescodes" w:history="1">
        <w:r w:rsidRPr="00645610">
          <w:rPr>
            <w:rStyle w:val="Hyperlink"/>
          </w:rPr>
          <w:t>Changes ta</w:t>
        </w:r>
        <w:bookmarkStart w:id="784" w:name="_Hlt44305557"/>
        <w:r w:rsidRPr="00645610">
          <w:rPr>
            <w:rStyle w:val="Hyperlink"/>
          </w:rPr>
          <w:t>b</w:t>
        </w:r>
        <w:bookmarkEnd w:id="784"/>
        <w:r w:rsidRPr="00645610">
          <w:rPr>
            <w:rStyle w:val="Hyperlink"/>
          </w:rPr>
          <w:t>le codes</w:t>
        </w:r>
      </w:hyperlink>
      <w:r w:rsidRPr="00645610">
        <w:rPr>
          <w:rFonts w:ascii="Cambria" w:hAnsi="Cambria"/>
          <w:sz w:val="20"/>
        </w:rPr>
        <w:t xml:space="preserve"> for an explanation of all codes used.</w:t>
      </w:r>
      <w:r>
        <w:t xml:space="preserve"> </w:t>
      </w:r>
    </w:p>
  </w:footnote>
  <w:footnote w:id="48">
    <w:p w:rsidR="00A10C7E" w:rsidRDefault="00A10C7E" w:rsidP="00F847D0">
      <w:pPr>
        <w:pStyle w:val="Notes"/>
      </w:pPr>
      <w:r w:rsidRPr="00B169D5">
        <w:rPr>
          <w:rStyle w:val="FootnoteReference"/>
          <w:rFonts w:ascii="Cambria" w:hAnsi="Cambria"/>
          <w:sz w:val="20"/>
        </w:rPr>
        <w:footnoteRef/>
      </w:r>
      <w:r>
        <w:t xml:space="preserve"> </w:t>
      </w:r>
      <w:hyperlink r:id="rId29" w:history="1">
        <w:r>
          <w:rPr>
            <w:rStyle w:val="Hyperlink"/>
          </w:rPr>
          <w:t>http://www.tga.gov.au/medicines-approved-terminology.htm</w:t>
        </w:r>
      </w:hyperlink>
      <w:r>
        <w:t xml:space="preserve"> </w:t>
      </w:r>
    </w:p>
  </w:footnote>
  <w:footnote w:id="49">
    <w:p w:rsidR="00A10C7E" w:rsidRPr="00645610" w:rsidRDefault="00A10C7E" w:rsidP="00F847D0">
      <w:pPr>
        <w:pStyle w:val="Notes"/>
        <w:rPr>
          <w:rFonts w:ascii="Cambria" w:hAnsi="Cambria"/>
          <w:sz w:val="20"/>
        </w:rPr>
      </w:pPr>
      <w:r w:rsidRPr="00645610">
        <w:rPr>
          <w:rStyle w:val="FootnoteReference"/>
          <w:rFonts w:ascii="Cambria" w:hAnsi="Cambria"/>
          <w:sz w:val="20"/>
        </w:rPr>
        <w:t>*</w:t>
      </w:r>
      <w:r w:rsidRPr="00645610">
        <w:rPr>
          <w:rFonts w:ascii="Cambria" w:hAnsi="Cambria"/>
          <w:sz w:val="20"/>
        </w:rPr>
        <w:t xml:space="preserve">* A/D = assurances to be given and supporting documentation required for the given status to apply. Refer to </w:t>
      </w:r>
      <w:hyperlink w:anchor="Changescodes" w:history="1">
        <w:r w:rsidRPr="00645610">
          <w:rPr>
            <w:rStyle w:val="Hyperlink"/>
          </w:rPr>
          <w:t>Changes table c</w:t>
        </w:r>
        <w:bookmarkStart w:id="792" w:name="_Hlt44305572"/>
        <w:r w:rsidRPr="00645610">
          <w:rPr>
            <w:rStyle w:val="Hyperlink"/>
          </w:rPr>
          <w:t>o</w:t>
        </w:r>
        <w:bookmarkEnd w:id="792"/>
        <w:r w:rsidRPr="00645610">
          <w:rPr>
            <w:rStyle w:val="Hyperlink"/>
          </w:rPr>
          <w:t>des</w:t>
        </w:r>
      </w:hyperlink>
      <w:r w:rsidRPr="00645610">
        <w:rPr>
          <w:rFonts w:ascii="Cambria" w:hAnsi="Cambria"/>
          <w:sz w:val="20"/>
        </w:rPr>
        <w:t xml:space="preserve"> for an explanation of all codes used. </w:t>
      </w:r>
    </w:p>
  </w:footnote>
  <w:footnote w:id="50">
    <w:p w:rsidR="00A10C7E" w:rsidRPr="00645610" w:rsidRDefault="00A10C7E" w:rsidP="004A0170">
      <w:pPr>
        <w:pStyle w:val="Notes"/>
        <w:rPr>
          <w:rFonts w:ascii="Cambria" w:hAnsi="Cambria"/>
          <w:sz w:val="20"/>
        </w:rPr>
      </w:pPr>
      <w:r w:rsidRPr="00645610">
        <w:rPr>
          <w:rStyle w:val="FootnoteReference"/>
          <w:rFonts w:ascii="Cambria" w:hAnsi="Cambria"/>
          <w:sz w:val="20"/>
        </w:rPr>
        <w:t>*</w:t>
      </w:r>
      <w:r w:rsidRPr="00645610">
        <w:rPr>
          <w:rFonts w:ascii="Cambria" w:hAnsi="Cambria"/>
          <w:sz w:val="20"/>
        </w:rPr>
        <w:t xml:space="preserve">* A/D = assurances to be given and supporting documentation required for the given status to apply. Refer to </w:t>
      </w:r>
      <w:hyperlink w:anchor="Changescodes" w:history="1">
        <w:r w:rsidRPr="00645610">
          <w:rPr>
            <w:rStyle w:val="Hyperlink"/>
          </w:rPr>
          <w:t>Changes table codes</w:t>
        </w:r>
      </w:hyperlink>
      <w:r w:rsidRPr="00645610">
        <w:rPr>
          <w:rFonts w:ascii="Cambria" w:hAnsi="Cambria"/>
          <w:sz w:val="20"/>
        </w:rPr>
        <w:t xml:space="preserve"> for an explanation of all codes used.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A39"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69" o:spid="_x0000_s18435" type="#_x0000_t136" style="position:absolute;left:0;text-align:left;margin-left:0;margin-top:0;width:550.8pt;height:48.6pt;rotation:315;z-index:-25165312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8" o:spid="_x0000_s18444" type="#_x0000_t136" style="position:absolute;left:0;text-align:left;margin-left:0;margin-top:0;width:550.8pt;height:48.6pt;rotation:315;z-index:-25163468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9" o:spid="_x0000_s18445" type="#_x0000_t136" style="position:absolute;left:0;text-align:left;margin-left:0;margin-top:0;width:550.8pt;height:48.6pt;rotation:315;z-index:-25163264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7" o:spid="_x0000_s18443" type="#_x0000_t136" style="position:absolute;left:0;text-align:left;margin-left:0;margin-top:0;width:550.8pt;height:48.6pt;rotation:315;z-index:-25163673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1" o:spid="_x0000_s18447" type="#_x0000_t136" style="position:absolute;left:0;text-align:left;margin-left:0;margin-top:0;width:550.8pt;height:48.6pt;rotation:315;z-index:-25162854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2" o:spid="_x0000_s18448" type="#_x0000_t136" style="position:absolute;left:0;text-align:left;margin-left:0;margin-top:0;width:550.8pt;height:48.6pt;rotation:315;z-index:-25162649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0" o:spid="_x0000_s18446" type="#_x0000_t136" style="position:absolute;left:0;text-align:left;margin-left:0;margin-top:0;width:550.8pt;height:48.6pt;rotation:315;z-index:-25163059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4" o:spid="_x0000_s18450" type="#_x0000_t136" style="position:absolute;left:0;text-align:left;margin-left:0;margin-top:0;width:550.8pt;height:48.6pt;rotation:315;z-index:-25162240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5" o:spid="_x0000_s18451" type="#_x0000_t136" style="position:absolute;left:0;text-align:left;margin-left:0;margin-top:0;width:550.8pt;height:48.6pt;rotation:315;z-index:-25162035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3" o:spid="_x0000_s18449" type="#_x0000_t136" style="position:absolute;left:0;text-align:left;margin-left:0;margin-top:0;width:550.8pt;height:48.6pt;rotation:315;z-index:-25162444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7" o:spid="_x0000_s18453" type="#_x0000_t136" style="position:absolute;left:0;text-align:left;margin-left:0;margin-top:0;width:550.8pt;height:48.6pt;rotation:315;z-index:-25161625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0" o:spid="_x0000_s18436" type="#_x0000_t136" style="position:absolute;left:0;text-align:left;margin-left:0;margin-top:0;width:550.8pt;height:48.6pt;rotation:315;z-index:-25165107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r w:rsidR="00A10C7E">
      <w:t>Therapeutic Goods Administration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8" o:spid="_x0000_s18454" type="#_x0000_t136" style="position:absolute;left:0;text-align:left;margin-left:0;margin-top:0;width:550.8pt;height:48.6pt;rotation:315;z-index:-25161420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6" o:spid="_x0000_s18452" type="#_x0000_t136" style="position:absolute;left:0;text-align:left;margin-left:0;margin-top:0;width:550.8pt;height:48.6pt;rotation:315;z-index:-25161830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0" o:spid="_x0000_s18456" type="#_x0000_t136" style="position:absolute;left:0;text-align:left;margin-left:0;margin-top:0;width:550.8pt;height:48.6pt;rotation:315;z-index:-25161011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1" o:spid="_x0000_s18457" type="#_x0000_t136" style="position:absolute;left:0;text-align:left;margin-left:0;margin-top:0;width:550.8pt;height:48.6pt;rotation:315;z-index:-25160806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89" o:spid="_x0000_s18455" type="#_x0000_t136" style="position:absolute;left:0;text-align:left;margin-left:0;margin-top:0;width:550.8pt;height:48.6pt;rotation:315;z-index:-25161216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3" o:spid="_x0000_s18459" type="#_x0000_t136" style="position:absolute;left:0;text-align:left;margin-left:0;margin-top:0;width:550.8pt;height:48.6pt;rotation:315;z-index:-25160396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4" o:spid="_x0000_s18460" type="#_x0000_t136" style="position:absolute;left:0;text-align:left;margin-left:0;margin-top:0;width:550.8pt;height:48.6pt;rotation:315;z-index:-25160192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2" o:spid="_x0000_s18458" type="#_x0000_t136" style="position:absolute;left:0;text-align:left;margin-left:0;margin-top:0;width:550.8pt;height:48.6pt;rotation:315;z-index:-25160601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6" o:spid="_x0000_s18462" type="#_x0000_t136" style="position:absolute;left:0;text-align:left;margin-left:0;margin-top:0;width:550.8pt;height:48.6pt;rotation:315;z-index:-25159782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7" o:spid="_x0000_s18463" type="#_x0000_t136" style="position:absolute;left:0;text-align:left;margin-left:0;margin-top:0;width:550.8pt;height:48.6pt;rotation:315;z-index:-25159577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A10C7E" w:rsidTr="00FA5B82">
      <w:trPr>
        <w:trHeight w:hRule="exact" w:val="193"/>
      </w:trPr>
      <w:tc>
        <w:tcPr>
          <w:tcW w:w="9057" w:type="dxa"/>
        </w:tcPr>
        <w:p w:rsidR="00A10C7E" w:rsidRDefault="008453CD"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68" o:spid="_x0000_s18434" type="#_x0000_t136" style="position:absolute;margin-left:0;margin-top:0;width:550.8pt;height:48.6pt;rotation:315;z-index:-25165516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tc>
    </w:tr>
    <w:tr w:rsidR="00A10C7E" w:rsidTr="00FA5B82">
      <w:trPr>
        <w:trHeight w:hRule="exact" w:val="2693"/>
      </w:trPr>
      <w:tc>
        <w:tcPr>
          <w:tcW w:w="9057" w:type="dxa"/>
        </w:tcPr>
        <w:p w:rsidR="00A10C7E" w:rsidRPr="00DE02AE" w:rsidRDefault="00A10C7E" w:rsidP="00E02FB4">
          <w:pPr>
            <w:pStyle w:val="HeaderNoLine"/>
          </w:pPr>
          <w:r w:rsidRPr="00DE02AE">
            <w:rPr>
              <w:noProof/>
              <w:lang w:eastAsia="en-AU"/>
            </w:rPr>
            <w:drawing>
              <wp:inline distT="0" distB="0" distL="0" distR="0" wp14:anchorId="28B9A54A" wp14:editId="7506D6DB">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A10C7E" w:rsidRDefault="00A10C7E" w:rsidP="00593AD1">
    <w:pPr>
      <w:pStyle w:val="HeaderNoLine"/>
    </w:pPr>
    <w:r>
      <w:rPr>
        <w:noProof/>
        <w:lang w:eastAsia="en-AU"/>
      </w:rPr>
      <w:drawing>
        <wp:anchor distT="0" distB="0" distL="114300" distR="114300" simplePos="0" relativeHeight="251659264" behindDoc="0" locked="0" layoutInCell="1" allowOverlap="1" wp14:anchorId="226D7AA2" wp14:editId="5D06620E">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8453CD">
      <w:rPr>
        <w:noProof/>
        <w:lang w:eastAsia="en-AU"/>
      </w:rPr>
      <w:pict>
        <v:rect id="_x0000_s18433" style="position:absolute;margin-left:-85.05pt;margin-top:244.1pt;width:355.65pt;height:39pt;z-index:251658239;mso-position-horizontal-relative:text;mso-position-vertical-relative:text" stroked="f"/>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5" o:spid="_x0000_s18461" type="#_x0000_t136" style="position:absolute;left:0;text-align:left;margin-left:0;margin-top:0;width:550.8pt;height:48.6pt;rotation:315;z-index:-25159987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9" o:spid="_x0000_s18465" type="#_x0000_t136" style="position:absolute;left:0;text-align:left;margin-left:0;margin-top:0;width:550.8pt;height:48.6pt;rotation:315;z-index:-25159168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0" o:spid="_x0000_s18466" type="#_x0000_t136" style="position:absolute;left:0;text-align:left;margin-left:0;margin-top:0;width:550.8pt;height:48.6pt;rotation:315;z-index:-25158963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98" o:spid="_x0000_s18464" type="#_x0000_t136" style="position:absolute;left:0;text-align:left;margin-left:0;margin-top:0;width:550.8pt;height:48.6pt;rotation:315;z-index:-25159372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2" o:spid="_x0000_s18468" type="#_x0000_t136" style="position:absolute;left:0;text-align:left;margin-left:0;margin-top:0;width:550.8pt;height:48.6pt;rotation:315;z-index:-25158553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3" o:spid="_x0000_s18469" type="#_x0000_t136" style="position:absolute;left:0;text-align:left;margin-left:0;margin-top:0;width:550.8pt;height:48.6pt;rotation:315;z-index:-25158348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1" o:spid="_x0000_s18467" type="#_x0000_t136" style="position:absolute;left:0;text-align:left;margin-left:0;margin-top:0;width:550.8pt;height:48.6pt;rotation:315;z-index:-25158758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5" o:spid="_x0000_s18471" type="#_x0000_t136" style="position:absolute;left:0;text-align:left;margin-left:0;margin-top:0;width:550.8pt;height:48.6pt;rotation:315;z-index:-25157939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6" o:spid="_x0000_s18472" type="#_x0000_t136" style="position:absolute;left:0;text-align:left;margin-left:0;margin-top:0;width:550.8pt;height:48.6pt;rotation:315;z-index:-25157734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4" o:spid="_x0000_s18470" type="#_x0000_t136" style="position:absolute;left:0;text-align:left;margin-left:0;margin-top:0;width:550.8pt;height:48.6pt;rotation:315;z-index:-25158144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2" o:spid="_x0000_s18438" type="#_x0000_t136" style="position:absolute;left:0;text-align:left;margin-left:0;margin-top:0;width:550.8pt;height:48.6pt;rotation:315;z-index:-25164697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8" o:spid="_x0000_s18474" type="#_x0000_t136" style="position:absolute;left:0;text-align:left;margin-left:0;margin-top:0;width:550.8pt;height:48.6pt;rotation:315;z-index:-25157324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9" o:spid="_x0000_s18475" type="#_x0000_t136" style="position:absolute;left:0;text-align:left;margin-left:0;margin-top:0;width:550.8pt;height:48.6pt;rotation:315;z-index:-25157120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07" o:spid="_x0000_s18473" type="#_x0000_t136" style="position:absolute;left:0;text-align:left;margin-left:0;margin-top:0;width:550.8pt;height:48.6pt;rotation:315;z-index:-25157529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1" o:spid="_x0000_s18477" type="#_x0000_t136" style="position:absolute;left:0;text-align:left;margin-left:0;margin-top:0;width:550.8pt;height:48.6pt;rotation:315;z-index:-25156710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2" o:spid="_x0000_s18478" type="#_x0000_t136" style="position:absolute;left:0;text-align:left;margin-left:0;margin-top:0;width:550.8pt;height:48.6pt;rotation:315;z-index:-25156505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0" o:spid="_x0000_s18476" type="#_x0000_t136" style="position:absolute;left:0;text-align:left;margin-left:0;margin-top:0;width:550.8pt;height:48.6pt;rotation:315;z-index:-25156915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4" o:spid="_x0000_s18480" type="#_x0000_t136" style="position:absolute;left:0;text-align:left;margin-left:0;margin-top:0;width:550.8pt;height:48.6pt;rotation:315;z-index:-25156096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5" o:spid="_x0000_s18481" type="#_x0000_t136" style="position:absolute;left:0;text-align:left;margin-left:0;margin-top:0;width:550.8pt;height:48.6pt;rotation:315;z-index:-25155891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3" o:spid="_x0000_s18479" type="#_x0000_t136" style="position:absolute;left:0;text-align:left;margin-left:0;margin-top:0;width:550.8pt;height:48.6pt;rotation:315;z-index:-25156300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7" o:spid="_x0000_s18483" type="#_x0000_t136" style="position:absolute;left:0;text-align:left;margin-left:0;margin-top:0;width:550.8pt;height:48.6pt;rotation:315;z-index:-25155481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3" o:spid="_x0000_s18439" type="#_x0000_t136" style="position:absolute;left:0;text-align:left;margin-left:0;margin-top:0;width:550.8pt;height:48.6pt;rotation:315;z-index:-25164492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r w:rsidR="00A10C7E">
      <w:t>Therapeutic Goods Administration</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8" o:spid="_x0000_s18484" type="#_x0000_t136" style="position:absolute;left:0;text-align:left;margin-left:0;margin-top:0;width:550.8pt;height:48.6pt;rotation:315;z-index:-25155276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6" o:spid="_x0000_s18482" type="#_x0000_t136" style="position:absolute;left:0;text-align:left;margin-left:0;margin-top:0;width:550.8pt;height:48.6pt;rotation:315;z-index:-25155686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20" o:spid="_x0000_s18486" type="#_x0000_t136" style="position:absolute;left:0;text-align:left;margin-left:0;margin-top:0;width:550.8pt;height:48.6pt;rotation:315;z-index:-25154867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21" o:spid="_x0000_s18487" type="#_x0000_t136" style="position:absolute;left:0;text-align:left;margin-left:0;margin-top:0;width:550.8pt;height:48.6pt;rotation:315;z-index:-25154662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19" o:spid="_x0000_s18485" type="#_x0000_t136" style="position:absolute;left:0;text-align:left;margin-left:0;margin-top:0;width:550.8pt;height:48.6pt;rotation:315;z-index:-25155072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23" o:spid="_x0000_s18489" type="#_x0000_t136" style="position:absolute;left:0;text-align:left;margin-left:0;margin-top:0;width:550.8pt;height:48.6pt;rotation:315;z-index:-251542528;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24" o:spid="_x0000_s18490" type="#_x0000_t136" style="position:absolute;margin-left:0;margin-top:0;width:550.8pt;height:48.6pt;rotation:315;z-index:-25154048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322" o:spid="_x0000_s18488" type="#_x0000_t136" style="position:absolute;left:0;text-align:left;margin-left:0;margin-top:0;width:550.8pt;height:48.6pt;rotation:315;z-index:-251544576;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r w:rsidR="00A10C7E">
      <w:t>Therapeutic Goods Administration</w:t>
    </w:r>
  </w:p>
  <w:p w:rsidR="00A10C7E" w:rsidRDefault="00A10C7E" w:rsidP="006D03E5">
    <w:pPr>
      <w:pStyle w:val="HeaderNoLi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C7E"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1" o:spid="_x0000_s18437" type="#_x0000_t136" style="position:absolute;left:0;text-align:left;margin-left:0;margin-top:0;width:550.8pt;height:48.6pt;rotation:315;z-index:-25164902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r w:rsidR="00A10C7E">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5" o:spid="_x0000_s18441" type="#_x0000_t136" style="position:absolute;left:0;text-align:left;margin-left:0;margin-top:0;width:550.8pt;height:48.6pt;rotation:315;z-index:-251640832;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6" o:spid="_x0000_s18442" type="#_x0000_t136" style="position:absolute;left:0;text-align:left;margin-left:0;margin-top:0;width:550.8pt;height:48.6pt;rotation:315;z-index:-251638784;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3CD" w:rsidRDefault="008453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8274" o:spid="_x0000_s18440" type="#_x0000_t136" style="position:absolute;left:0;text-align:left;margin-left:0;margin-top:0;width:550.8pt;height:48.6pt;rotation:315;z-index:-251642880;mso-position-horizontal:center;mso-position-horizontal-relative:margin;mso-position-vertical:center;mso-position-vertical-relative:margin" o:allowincell="f" fillcolor="#436061" stroked="f">
          <v:fill opacity=".5"/>
          <v:textpath style="font-family:&quot;Arial Black&quot;;font-size:1pt" string="Historical consultation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1C4C82"/>
    <w:lvl w:ilvl="0">
      <w:start w:val="1"/>
      <w:numFmt w:val="decimal"/>
      <w:lvlText w:val="%1."/>
      <w:lvlJc w:val="left"/>
      <w:pPr>
        <w:tabs>
          <w:tab w:val="num" w:pos="1492"/>
        </w:tabs>
        <w:ind w:left="1492" w:hanging="360"/>
      </w:pPr>
    </w:lvl>
  </w:abstractNum>
  <w:abstractNum w:abstractNumId="1">
    <w:nsid w:val="FFFFFF7D"/>
    <w:multiLevelType w:val="singleLevel"/>
    <w:tmpl w:val="AEE4FDE4"/>
    <w:lvl w:ilvl="0">
      <w:start w:val="1"/>
      <w:numFmt w:val="decimal"/>
      <w:lvlText w:val="%1."/>
      <w:lvlJc w:val="left"/>
      <w:pPr>
        <w:tabs>
          <w:tab w:val="num" w:pos="1209"/>
        </w:tabs>
        <w:ind w:left="1209" w:hanging="360"/>
      </w:pPr>
    </w:lvl>
  </w:abstractNum>
  <w:abstractNum w:abstractNumId="2">
    <w:nsid w:val="FFFFFF7E"/>
    <w:multiLevelType w:val="singleLevel"/>
    <w:tmpl w:val="F8F6BB8E"/>
    <w:lvl w:ilvl="0">
      <w:start w:val="1"/>
      <w:numFmt w:val="decimal"/>
      <w:lvlText w:val="%1."/>
      <w:lvlJc w:val="left"/>
      <w:pPr>
        <w:tabs>
          <w:tab w:val="num" w:pos="926"/>
        </w:tabs>
        <w:ind w:left="926" w:hanging="360"/>
      </w:pPr>
    </w:lvl>
  </w:abstractNum>
  <w:abstractNum w:abstractNumId="3">
    <w:nsid w:val="FFFFFF7F"/>
    <w:multiLevelType w:val="singleLevel"/>
    <w:tmpl w:val="914C9D8E"/>
    <w:lvl w:ilvl="0">
      <w:start w:val="1"/>
      <w:numFmt w:val="decimal"/>
      <w:lvlText w:val="%1."/>
      <w:lvlJc w:val="left"/>
      <w:pPr>
        <w:tabs>
          <w:tab w:val="num" w:pos="643"/>
        </w:tabs>
        <w:ind w:left="643" w:hanging="360"/>
      </w:pPr>
    </w:lvl>
  </w:abstractNum>
  <w:abstractNum w:abstractNumId="4">
    <w:nsid w:val="FFFFFF80"/>
    <w:multiLevelType w:val="singleLevel"/>
    <w:tmpl w:val="60AE64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CAFE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640B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8">
    <w:nsid w:val="FFFFFF88"/>
    <w:multiLevelType w:val="singleLevel"/>
    <w:tmpl w:val="51ACAF0A"/>
    <w:lvl w:ilvl="0">
      <w:start w:val="1"/>
      <w:numFmt w:val="decimal"/>
      <w:lvlText w:val="%1."/>
      <w:lvlJc w:val="left"/>
      <w:pPr>
        <w:tabs>
          <w:tab w:val="num" w:pos="360"/>
        </w:tabs>
        <w:ind w:left="360" w:hanging="360"/>
      </w:pPr>
    </w:lvl>
  </w:abstractNum>
  <w:abstractNum w:abstractNumId="9">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5C63683"/>
    <w:multiLevelType w:val="hybridMultilevel"/>
    <w:tmpl w:val="E5B85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70E52ED"/>
    <w:multiLevelType w:val="hybridMultilevel"/>
    <w:tmpl w:val="3CB2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53050B"/>
    <w:multiLevelType w:val="hybridMultilevel"/>
    <w:tmpl w:val="43FC6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B062F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nsid w:val="1AE56F53"/>
    <w:multiLevelType w:val="hybridMultilevel"/>
    <w:tmpl w:val="1B2E0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2D56DE5"/>
    <w:multiLevelType w:val="hybridMultilevel"/>
    <w:tmpl w:val="5D82B3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3121DD0"/>
    <w:multiLevelType w:val="hybridMultilevel"/>
    <w:tmpl w:val="CE264038"/>
    <w:lvl w:ilvl="0" w:tplc="7A8CAB3C">
      <w:start w:val="1"/>
      <w:numFmt w:val="decimal"/>
      <w:lvlText w:val="%1."/>
      <w:lvlJc w:val="left"/>
      <w:pPr>
        <w:ind w:left="360" w:hanging="360"/>
      </w:pPr>
      <w:rPr>
        <w:rFonts w:hint="default"/>
        <w:b w:val="0"/>
        <w:i w:val="0"/>
        <w:sz w:val="20"/>
        <w:szCs w:val="20"/>
      </w:rPr>
    </w:lvl>
    <w:lvl w:ilvl="1" w:tplc="0C090019">
      <w:start w:val="1"/>
      <w:numFmt w:val="lowerLetter"/>
      <w:lvlText w:val="%2."/>
      <w:lvlJc w:val="left"/>
      <w:pPr>
        <w:ind w:left="1080" w:hanging="360"/>
      </w:pPr>
    </w:lvl>
    <w:lvl w:ilvl="2" w:tplc="984C1D72">
      <w:start w:val="1"/>
      <w:numFmt w:val="lowerLetter"/>
      <w:lvlText w:val="(%3)"/>
      <w:lvlJc w:val="left"/>
      <w:pPr>
        <w:ind w:left="2385" w:hanging="765"/>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42005B1"/>
    <w:multiLevelType w:val="hybridMultilevel"/>
    <w:tmpl w:val="1F8C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1E1E96"/>
    <w:multiLevelType w:val="hybridMultilevel"/>
    <w:tmpl w:val="35CC390E"/>
    <w:lvl w:ilvl="0" w:tplc="C41E5A4A">
      <w:start w:val="2"/>
      <w:numFmt w:val="lowerLetter"/>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8904741"/>
    <w:multiLevelType w:val="singleLevel"/>
    <w:tmpl w:val="6A8E5856"/>
    <w:lvl w:ilvl="0">
      <w:start w:val="1"/>
      <w:numFmt w:val="bullet"/>
      <w:lvlText w:val=""/>
      <w:lvlJc w:val="left"/>
      <w:pPr>
        <w:tabs>
          <w:tab w:val="num" w:pos="360"/>
        </w:tabs>
        <w:ind w:left="360" w:hanging="360"/>
      </w:pPr>
      <w:rPr>
        <w:rFonts w:ascii="Symbol" w:hAnsi="Symbol" w:hint="default"/>
      </w:rPr>
    </w:lvl>
  </w:abstractNum>
  <w:abstractNum w:abstractNumId="21">
    <w:nsid w:val="29C51E9F"/>
    <w:multiLevelType w:val="hybridMultilevel"/>
    <w:tmpl w:val="6E0AE4CA"/>
    <w:lvl w:ilvl="0" w:tplc="CA9EB1FA">
      <w:start w:val="2"/>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2E9D771F"/>
    <w:multiLevelType w:val="hybridMultilevel"/>
    <w:tmpl w:val="30E2BD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1622F35"/>
    <w:multiLevelType w:val="hybridMultilevel"/>
    <w:tmpl w:val="7D62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627D81"/>
    <w:multiLevelType w:val="singleLevel"/>
    <w:tmpl w:val="97087660"/>
    <w:lvl w:ilvl="0">
      <w:numFmt w:val="bullet"/>
      <w:lvlText w:val="-"/>
      <w:lvlJc w:val="left"/>
      <w:pPr>
        <w:tabs>
          <w:tab w:val="num" w:pos="360"/>
        </w:tabs>
        <w:ind w:left="360" w:hanging="360"/>
      </w:pPr>
      <w:rPr>
        <w:rFonts w:hint="default"/>
      </w:rPr>
    </w:lvl>
  </w:abstractNum>
  <w:abstractNum w:abstractNumId="25">
    <w:nsid w:val="3AEB1864"/>
    <w:multiLevelType w:val="singleLevel"/>
    <w:tmpl w:val="6A8E5856"/>
    <w:lvl w:ilvl="0">
      <w:start w:val="1"/>
      <w:numFmt w:val="bullet"/>
      <w:lvlText w:val=""/>
      <w:lvlJc w:val="left"/>
      <w:pPr>
        <w:tabs>
          <w:tab w:val="num" w:pos="360"/>
        </w:tabs>
        <w:ind w:left="360" w:hanging="360"/>
      </w:pPr>
      <w:rPr>
        <w:rFonts w:ascii="Symbol" w:hAnsi="Symbol" w:hint="default"/>
      </w:rPr>
    </w:lvl>
  </w:abstractNum>
  <w:abstractNum w:abstractNumId="26">
    <w:nsid w:val="43F84C64"/>
    <w:multiLevelType w:val="hybridMultilevel"/>
    <w:tmpl w:val="88E408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46E6B5E"/>
    <w:multiLevelType w:val="hybridMultilevel"/>
    <w:tmpl w:val="A86CC7C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6697703"/>
    <w:multiLevelType w:val="hybridMultilevel"/>
    <w:tmpl w:val="09AEAD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DC42909"/>
    <w:multiLevelType w:val="hybridMultilevel"/>
    <w:tmpl w:val="C50AA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F36026F"/>
    <w:multiLevelType w:val="hybridMultilevel"/>
    <w:tmpl w:val="0E40EE0E"/>
    <w:lvl w:ilvl="0" w:tplc="0C090017">
      <w:start w:val="1"/>
      <w:numFmt w:val="lowerLetter"/>
      <w:lvlText w:val="%1)"/>
      <w:lvlJc w:val="left"/>
      <w:pPr>
        <w:ind w:left="360" w:hanging="360"/>
      </w:pPr>
      <w:rPr>
        <w:rFonts w:hint="default"/>
        <w:b w:val="0"/>
        <w:i w:val="0"/>
        <w:sz w:val="20"/>
        <w:szCs w:val="20"/>
      </w:rPr>
    </w:lvl>
    <w:lvl w:ilvl="1" w:tplc="0C090019">
      <w:start w:val="1"/>
      <w:numFmt w:val="lowerLetter"/>
      <w:lvlText w:val="%2."/>
      <w:lvlJc w:val="left"/>
      <w:pPr>
        <w:ind w:left="1080" w:hanging="360"/>
      </w:pPr>
    </w:lvl>
    <w:lvl w:ilvl="2" w:tplc="984C1D72">
      <w:start w:val="1"/>
      <w:numFmt w:val="lowerLetter"/>
      <w:lvlText w:val="(%3)"/>
      <w:lvlJc w:val="left"/>
      <w:pPr>
        <w:ind w:left="2385" w:hanging="765"/>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28C18B7"/>
    <w:multiLevelType w:val="hybridMultilevel"/>
    <w:tmpl w:val="BF6081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4A162C4"/>
    <w:multiLevelType w:val="hybridMultilevel"/>
    <w:tmpl w:val="863A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8755D9"/>
    <w:multiLevelType w:val="singleLevel"/>
    <w:tmpl w:val="6A8E5856"/>
    <w:lvl w:ilvl="0">
      <w:start w:val="1"/>
      <w:numFmt w:val="bullet"/>
      <w:lvlText w:val=""/>
      <w:lvlJc w:val="left"/>
      <w:pPr>
        <w:tabs>
          <w:tab w:val="num" w:pos="360"/>
        </w:tabs>
        <w:ind w:left="360" w:hanging="360"/>
      </w:pPr>
      <w:rPr>
        <w:rFonts w:ascii="Symbol" w:hAnsi="Symbol" w:hint="default"/>
      </w:rPr>
    </w:lvl>
  </w:abstractNum>
  <w:abstractNum w:abstractNumId="34">
    <w:nsid w:val="6A116B84"/>
    <w:multiLevelType w:val="hybridMultilevel"/>
    <w:tmpl w:val="E7182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D77EC3"/>
    <w:multiLevelType w:val="hybridMultilevel"/>
    <w:tmpl w:val="AFF028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5256775"/>
    <w:multiLevelType w:val="singleLevel"/>
    <w:tmpl w:val="0C090017"/>
    <w:lvl w:ilvl="0">
      <w:start w:val="1"/>
      <w:numFmt w:val="lowerLetter"/>
      <w:lvlText w:val="%1)"/>
      <w:lvlJc w:val="left"/>
      <w:pPr>
        <w:ind w:left="720" w:hanging="360"/>
      </w:pPr>
    </w:lvl>
  </w:abstractNum>
  <w:abstractNum w:abstractNumId="37">
    <w:nsid w:val="76A85983"/>
    <w:multiLevelType w:val="hybridMultilevel"/>
    <w:tmpl w:val="5BB82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9"/>
  </w:num>
  <w:num w:numId="5">
    <w:abstractNumId w:val="22"/>
  </w:num>
  <w:num w:numId="6">
    <w:abstractNumId w:val="36"/>
  </w:num>
  <w:num w:numId="7">
    <w:abstractNumId w:val="26"/>
  </w:num>
  <w:num w:numId="8">
    <w:abstractNumId w:val="18"/>
  </w:num>
  <w:num w:numId="9">
    <w:abstractNumId w:val="12"/>
  </w:num>
  <w:num w:numId="10">
    <w:abstractNumId w:val="34"/>
  </w:num>
  <w:num w:numId="11">
    <w:abstractNumId w:val="23"/>
  </w:num>
  <w:num w:numId="12">
    <w:abstractNumId w:val="37"/>
  </w:num>
  <w:num w:numId="13">
    <w:abstractNumId w:val="24"/>
  </w:num>
  <w:num w:numId="14">
    <w:abstractNumId w:val="13"/>
  </w:num>
  <w:num w:numId="15">
    <w:abstractNumId w:val="32"/>
  </w:num>
  <w:num w:numId="16">
    <w:abstractNumId w:val="33"/>
  </w:num>
  <w:num w:numId="17">
    <w:abstractNumId w:val="20"/>
  </w:num>
  <w:num w:numId="18">
    <w:abstractNumId w:val="25"/>
  </w:num>
  <w:num w:numId="19">
    <w:abstractNumId w:val="16"/>
  </w:num>
  <w:num w:numId="20">
    <w:abstractNumId w:val="28"/>
  </w:num>
  <w:num w:numId="21">
    <w:abstractNumId w:val="35"/>
  </w:num>
  <w:num w:numId="22">
    <w:abstractNumId w:val="31"/>
  </w:num>
  <w:num w:numId="23">
    <w:abstractNumId w:val="14"/>
  </w:num>
  <w:num w:numId="24">
    <w:abstractNumId w:val="17"/>
  </w:num>
  <w:num w:numId="25">
    <w:abstractNumId w:val="19"/>
  </w:num>
  <w:num w:numId="26">
    <w:abstractNumId w:val="21"/>
  </w:num>
  <w:num w:numId="27">
    <w:abstractNumId w:val="27"/>
  </w:num>
  <w:num w:numId="28">
    <w:abstractNumId w:val="30"/>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491"/>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1231FA"/>
    <w:rsid w:val="00002031"/>
    <w:rsid w:val="00004734"/>
    <w:rsid w:val="00006B22"/>
    <w:rsid w:val="00020AB3"/>
    <w:rsid w:val="000246AE"/>
    <w:rsid w:val="00025C67"/>
    <w:rsid w:val="00030F83"/>
    <w:rsid w:val="000404DC"/>
    <w:rsid w:val="0005559E"/>
    <w:rsid w:val="00055D13"/>
    <w:rsid w:val="000578A3"/>
    <w:rsid w:val="000B103F"/>
    <w:rsid w:val="000B3532"/>
    <w:rsid w:val="000D391B"/>
    <w:rsid w:val="000D3D6D"/>
    <w:rsid w:val="000D41D7"/>
    <w:rsid w:val="000D4FC7"/>
    <w:rsid w:val="000D6A50"/>
    <w:rsid w:val="000F4869"/>
    <w:rsid w:val="000F6E6F"/>
    <w:rsid w:val="00105141"/>
    <w:rsid w:val="0010601F"/>
    <w:rsid w:val="00110EA5"/>
    <w:rsid w:val="00117D81"/>
    <w:rsid w:val="001231FA"/>
    <w:rsid w:val="001305A2"/>
    <w:rsid w:val="00130EF7"/>
    <w:rsid w:val="001407B9"/>
    <w:rsid w:val="0014197B"/>
    <w:rsid w:val="001447CD"/>
    <w:rsid w:val="001516B1"/>
    <w:rsid w:val="00156316"/>
    <w:rsid w:val="00165389"/>
    <w:rsid w:val="0017693F"/>
    <w:rsid w:val="0018110E"/>
    <w:rsid w:val="00181684"/>
    <w:rsid w:val="001843C6"/>
    <w:rsid w:val="001A450E"/>
    <w:rsid w:val="001B09F9"/>
    <w:rsid w:val="001B6448"/>
    <w:rsid w:val="001D2CEF"/>
    <w:rsid w:val="001D645A"/>
    <w:rsid w:val="001D794A"/>
    <w:rsid w:val="001E59F1"/>
    <w:rsid w:val="001F49EB"/>
    <w:rsid w:val="00201D4E"/>
    <w:rsid w:val="0021663B"/>
    <w:rsid w:val="002257F3"/>
    <w:rsid w:val="00233456"/>
    <w:rsid w:val="002339A5"/>
    <w:rsid w:val="002339D9"/>
    <w:rsid w:val="00262B9C"/>
    <w:rsid w:val="00286C59"/>
    <w:rsid w:val="002942D1"/>
    <w:rsid w:val="002975DB"/>
    <w:rsid w:val="00297FDD"/>
    <w:rsid w:val="002A596D"/>
    <w:rsid w:val="002B1638"/>
    <w:rsid w:val="002B291C"/>
    <w:rsid w:val="002C3857"/>
    <w:rsid w:val="002E4C9A"/>
    <w:rsid w:val="002F3F56"/>
    <w:rsid w:val="002F44B5"/>
    <w:rsid w:val="00304E05"/>
    <w:rsid w:val="00305DA4"/>
    <w:rsid w:val="00311AC0"/>
    <w:rsid w:val="003127D2"/>
    <w:rsid w:val="00317CD4"/>
    <w:rsid w:val="00325866"/>
    <w:rsid w:val="003322F3"/>
    <w:rsid w:val="00344EA2"/>
    <w:rsid w:val="00351029"/>
    <w:rsid w:val="003521E8"/>
    <w:rsid w:val="00360EE9"/>
    <w:rsid w:val="003728F3"/>
    <w:rsid w:val="0037564C"/>
    <w:rsid w:val="003952A3"/>
    <w:rsid w:val="003B7E39"/>
    <w:rsid w:val="003C58DC"/>
    <w:rsid w:val="003E1A2A"/>
    <w:rsid w:val="003F0B04"/>
    <w:rsid w:val="0040134E"/>
    <w:rsid w:val="00423E94"/>
    <w:rsid w:val="00440A2D"/>
    <w:rsid w:val="004564A7"/>
    <w:rsid w:val="0048779A"/>
    <w:rsid w:val="00494E60"/>
    <w:rsid w:val="004A0170"/>
    <w:rsid w:val="004A51BC"/>
    <w:rsid w:val="004B7222"/>
    <w:rsid w:val="004D159D"/>
    <w:rsid w:val="004D24E5"/>
    <w:rsid w:val="004F019C"/>
    <w:rsid w:val="004F0F38"/>
    <w:rsid w:val="00501921"/>
    <w:rsid w:val="00503F19"/>
    <w:rsid w:val="0051362D"/>
    <w:rsid w:val="00517374"/>
    <w:rsid w:val="005434C6"/>
    <w:rsid w:val="00550096"/>
    <w:rsid w:val="00562361"/>
    <w:rsid w:val="00576378"/>
    <w:rsid w:val="00585322"/>
    <w:rsid w:val="00593AD1"/>
    <w:rsid w:val="00593F45"/>
    <w:rsid w:val="005C2C54"/>
    <w:rsid w:val="005C5570"/>
    <w:rsid w:val="005C7213"/>
    <w:rsid w:val="005C79A4"/>
    <w:rsid w:val="005D5442"/>
    <w:rsid w:val="005D6F5F"/>
    <w:rsid w:val="005D7668"/>
    <w:rsid w:val="005E48CF"/>
    <w:rsid w:val="005E4D1A"/>
    <w:rsid w:val="00613231"/>
    <w:rsid w:val="00625ADE"/>
    <w:rsid w:val="00640FC3"/>
    <w:rsid w:val="00645610"/>
    <w:rsid w:val="0065419D"/>
    <w:rsid w:val="00664A5B"/>
    <w:rsid w:val="00672862"/>
    <w:rsid w:val="006931B1"/>
    <w:rsid w:val="0069328E"/>
    <w:rsid w:val="006977FB"/>
    <w:rsid w:val="006A15C0"/>
    <w:rsid w:val="006C642F"/>
    <w:rsid w:val="006D03E5"/>
    <w:rsid w:val="006D1510"/>
    <w:rsid w:val="006D5D3E"/>
    <w:rsid w:val="006D759B"/>
    <w:rsid w:val="006E08B3"/>
    <w:rsid w:val="006F572E"/>
    <w:rsid w:val="006F7617"/>
    <w:rsid w:val="007046D6"/>
    <w:rsid w:val="00710F09"/>
    <w:rsid w:val="00727068"/>
    <w:rsid w:val="0073266C"/>
    <w:rsid w:val="0074253D"/>
    <w:rsid w:val="0074429B"/>
    <w:rsid w:val="007615BC"/>
    <w:rsid w:val="00762F05"/>
    <w:rsid w:val="007652FF"/>
    <w:rsid w:val="00773EF7"/>
    <w:rsid w:val="00781286"/>
    <w:rsid w:val="00785825"/>
    <w:rsid w:val="00793A59"/>
    <w:rsid w:val="007A299A"/>
    <w:rsid w:val="007A57AF"/>
    <w:rsid w:val="007B1D00"/>
    <w:rsid w:val="007D7118"/>
    <w:rsid w:val="007D72DA"/>
    <w:rsid w:val="007E7F42"/>
    <w:rsid w:val="00803CDA"/>
    <w:rsid w:val="00821776"/>
    <w:rsid w:val="00825787"/>
    <w:rsid w:val="008321F5"/>
    <w:rsid w:val="00832369"/>
    <w:rsid w:val="00834660"/>
    <w:rsid w:val="00836BC2"/>
    <w:rsid w:val="008453CD"/>
    <w:rsid w:val="008456D9"/>
    <w:rsid w:val="00845960"/>
    <w:rsid w:val="00852410"/>
    <w:rsid w:val="0085641B"/>
    <w:rsid w:val="00883CB6"/>
    <w:rsid w:val="008865E9"/>
    <w:rsid w:val="00887A39"/>
    <w:rsid w:val="008A2B9D"/>
    <w:rsid w:val="008B4B03"/>
    <w:rsid w:val="008C159F"/>
    <w:rsid w:val="008C1623"/>
    <w:rsid w:val="008C70D4"/>
    <w:rsid w:val="008D2034"/>
    <w:rsid w:val="008D75BA"/>
    <w:rsid w:val="008E0B50"/>
    <w:rsid w:val="008E157D"/>
    <w:rsid w:val="008F1CCC"/>
    <w:rsid w:val="008F2967"/>
    <w:rsid w:val="00920330"/>
    <w:rsid w:val="009219D7"/>
    <w:rsid w:val="00922D53"/>
    <w:rsid w:val="00923B70"/>
    <w:rsid w:val="00930237"/>
    <w:rsid w:val="009341B3"/>
    <w:rsid w:val="00960F9E"/>
    <w:rsid w:val="00963C08"/>
    <w:rsid w:val="009A18BB"/>
    <w:rsid w:val="009A34F1"/>
    <w:rsid w:val="009A3BFA"/>
    <w:rsid w:val="009A4CED"/>
    <w:rsid w:val="009B1D12"/>
    <w:rsid w:val="009B416B"/>
    <w:rsid w:val="009B6B5E"/>
    <w:rsid w:val="009C3B21"/>
    <w:rsid w:val="009C4BD5"/>
    <w:rsid w:val="009E3FBB"/>
    <w:rsid w:val="00A10C4C"/>
    <w:rsid w:val="00A10C7E"/>
    <w:rsid w:val="00A14DF7"/>
    <w:rsid w:val="00A212A4"/>
    <w:rsid w:val="00A30150"/>
    <w:rsid w:val="00A3246D"/>
    <w:rsid w:val="00A36356"/>
    <w:rsid w:val="00A36FA7"/>
    <w:rsid w:val="00A43C06"/>
    <w:rsid w:val="00A44E99"/>
    <w:rsid w:val="00A452D4"/>
    <w:rsid w:val="00A47AF7"/>
    <w:rsid w:val="00A47C3E"/>
    <w:rsid w:val="00A50226"/>
    <w:rsid w:val="00A60775"/>
    <w:rsid w:val="00A7364C"/>
    <w:rsid w:val="00A772C0"/>
    <w:rsid w:val="00A77CFE"/>
    <w:rsid w:val="00A86196"/>
    <w:rsid w:val="00A869F7"/>
    <w:rsid w:val="00AA351C"/>
    <w:rsid w:val="00AC2B40"/>
    <w:rsid w:val="00AC2BB2"/>
    <w:rsid w:val="00AC6DD7"/>
    <w:rsid w:val="00AE65EB"/>
    <w:rsid w:val="00AF1D94"/>
    <w:rsid w:val="00AF53B4"/>
    <w:rsid w:val="00B009C6"/>
    <w:rsid w:val="00B01548"/>
    <w:rsid w:val="00B061DD"/>
    <w:rsid w:val="00B169D5"/>
    <w:rsid w:val="00B25034"/>
    <w:rsid w:val="00B33863"/>
    <w:rsid w:val="00B40E2A"/>
    <w:rsid w:val="00B4175E"/>
    <w:rsid w:val="00B54C25"/>
    <w:rsid w:val="00B575AB"/>
    <w:rsid w:val="00B65AB2"/>
    <w:rsid w:val="00B750AE"/>
    <w:rsid w:val="00B76B91"/>
    <w:rsid w:val="00BA067E"/>
    <w:rsid w:val="00BA66BE"/>
    <w:rsid w:val="00BB554C"/>
    <w:rsid w:val="00BC622A"/>
    <w:rsid w:val="00BD1D06"/>
    <w:rsid w:val="00BD239E"/>
    <w:rsid w:val="00BE074C"/>
    <w:rsid w:val="00BE0A78"/>
    <w:rsid w:val="00BE0C30"/>
    <w:rsid w:val="00BE79F0"/>
    <w:rsid w:val="00BF046D"/>
    <w:rsid w:val="00BF0708"/>
    <w:rsid w:val="00BF3D61"/>
    <w:rsid w:val="00BF4A32"/>
    <w:rsid w:val="00BF67F1"/>
    <w:rsid w:val="00C02A62"/>
    <w:rsid w:val="00C058FF"/>
    <w:rsid w:val="00C12460"/>
    <w:rsid w:val="00C17023"/>
    <w:rsid w:val="00C17EBA"/>
    <w:rsid w:val="00C20170"/>
    <w:rsid w:val="00C404A6"/>
    <w:rsid w:val="00C40A36"/>
    <w:rsid w:val="00C45E7B"/>
    <w:rsid w:val="00C6316B"/>
    <w:rsid w:val="00C632CB"/>
    <w:rsid w:val="00C634A9"/>
    <w:rsid w:val="00C766AB"/>
    <w:rsid w:val="00C772FF"/>
    <w:rsid w:val="00C801AF"/>
    <w:rsid w:val="00C81024"/>
    <w:rsid w:val="00CA1320"/>
    <w:rsid w:val="00CB6BC0"/>
    <w:rsid w:val="00CC29AC"/>
    <w:rsid w:val="00CC2B11"/>
    <w:rsid w:val="00CC727F"/>
    <w:rsid w:val="00CF15C3"/>
    <w:rsid w:val="00CF2B6F"/>
    <w:rsid w:val="00D017ED"/>
    <w:rsid w:val="00D10529"/>
    <w:rsid w:val="00D1746F"/>
    <w:rsid w:val="00D224FE"/>
    <w:rsid w:val="00D6493E"/>
    <w:rsid w:val="00D6630F"/>
    <w:rsid w:val="00D67947"/>
    <w:rsid w:val="00D70946"/>
    <w:rsid w:val="00D83B78"/>
    <w:rsid w:val="00D86060"/>
    <w:rsid w:val="00D9012C"/>
    <w:rsid w:val="00DA1124"/>
    <w:rsid w:val="00DE02AE"/>
    <w:rsid w:val="00DF1D7F"/>
    <w:rsid w:val="00DF4E74"/>
    <w:rsid w:val="00E02FB4"/>
    <w:rsid w:val="00E032B8"/>
    <w:rsid w:val="00E11D49"/>
    <w:rsid w:val="00E20571"/>
    <w:rsid w:val="00E239D4"/>
    <w:rsid w:val="00E240C7"/>
    <w:rsid w:val="00E34878"/>
    <w:rsid w:val="00E367BA"/>
    <w:rsid w:val="00E40B22"/>
    <w:rsid w:val="00E4588F"/>
    <w:rsid w:val="00E46EC6"/>
    <w:rsid w:val="00E55427"/>
    <w:rsid w:val="00E565FB"/>
    <w:rsid w:val="00E642E4"/>
    <w:rsid w:val="00E7356B"/>
    <w:rsid w:val="00E84149"/>
    <w:rsid w:val="00E96512"/>
    <w:rsid w:val="00EA6684"/>
    <w:rsid w:val="00EB0798"/>
    <w:rsid w:val="00EB2529"/>
    <w:rsid w:val="00EB586E"/>
    <w:rsid w:val="00EC73F4"/>
    <w:rsid w:val="00F04F68"/>
    <w:rsid w:val="00F078B3"/>
    <w:rsid w:val="00F1194C"/>
    <w:rsid w:val="00F12670"/>
    <w:rsid w:val="00F14B27"/>
    <w:rsid w:val="00F35298"/>
    <w:rsid w:val="00F4674C"/>
    <w:rsid w:val="00F47346"/>
    <w:rsid w:val="00F47E37"/>
    <w:rsid w:val="00F5380B"/>
    <w:rsid w:val="00F80E40"/>
    <w:rsid w:val="00F847D0"/>
    <w:rsid w:val="00F91044"/>
    <w:rsid w:val="00FA2C29"/>
    <w:rsid w:val="00FA5B82"/>
    <w:rsid w:val="00FA639E"/>
    <w:rsid w:val="00FB1A79"/>
    <w:rsid w:val="00FB7260"/>
    <w:rsid w:val="00FC25E4"/>
    <w:rsid w:val="00FC4EF7"/>
    <w:rsid w:val="00FD79C5"/>
    <w:rsid w:val="00FE1DEE"/>
    <w:rsid w:val="00FE21EF"/>
    <w:rsid w:val="00FF212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84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35" w:unhideWhenUsed="0"/>
    <w:lsdException w:name="footnote reference" w:uiPriority="0"/>
    <w:lsdException w:name="page number"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Body Text 3" w:uiPriority="0"/>
    <w:lsdException w:name="FollowedHyperlink" w:uiPriority="0"/>
    <w:lsdException w:name="Strong" w:semiHidden="0" w:uiPriority="22"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qFormat/>
    <w:rsid w:val="00FA639E"/>
    <w:pPr>
      <w:keepNext/>
      <w:keepLines/>
      <w:outlineLvl w:val="4"/>
    </w:pPr>
    <w:rPr>
      <w:rFonts w:eastAsiaTheme="majorEastAsia" w:cstheme="majorBidi"/>
      <w:b/>
      <w:color w:val="001523" w:themeColor="accent1" w:themeShade="7F"/>
    </w:rPr>
  </w:style>
  <w:style w:type="paragraph" w:styleId="Heading6">
    <w:name w:val="heading 6"/>
    <w:basedOn w:val="Normal"/>
    <w:next w:val="Normal"/>
    <w:link w:val="Heading6Char"/>
    <w:qFormat/>
    <w:rsid w:val="00710F09"/>
    <w:pPr>
      <w:keepNext/>
      <w:spacing w:after="0" w:line="240" w:lineRule="auto"/>
      <w:outlineLvl w:val="5"/>
    </w:pPr>
    <w:rPr>
      <w:rFonts w:ascii="Times New Roman" w:eastAsia="Times New Roman" w:hAnsi="Times New Roman" w:cs="Times New Roman"/>
      <w:sz w:val="24"/>
      <w:szCs w:val="20"/>
      <w:u w:val="single"/>
      <w:lang w:eastAsia="en-AU"/>
    </w:rPr>
  </w:style>
  <w:style w:type="paragraph" w:styleId="Heading8">
    <w:name w:val="heading 8"/>
    <w:basedOn w:val="Normal"/>
    <w:next w:val="Normal"/>
    <w:link w:val="Heading8Char"/>
    <w:uiPriority w:val="9"/>
    <w:semiHidden/>
    <w:unhideWhenUsed/>
    <w:qFormat/>
    <w:rsid w:val="00710F09"/>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uiPriority w:val="99"/>
    <w:rsid w:val="00613231"/>
    <w:rPr>
      <w:rFonts w:ascii="Cambria" w:hAnsi="Cambria"/>
      <w:color w:val="0000FF"/>
      <w:sz w:val="20"/>
      <w:u w:val="single"/>
    </w:rPr>
  </w:style>
  <w:style w:type="character" w:styleId="FootnoteReference">
    <w:name w:val="footnote reference"/>
    <w:semiHidden/>
    <w:rsid w:val="000B103F"/>
    <w:rPr>
      <w:vertAlign w:val="superscript"/>
    </w:rPr>
  </w:style>
  <w:style w:type="paragraph" w:customStyle="1" w:styleId="BodytextARGOM">
    <w:name w:val="Body text ARGOM"/>
    <w:basedOn w:val="Normal"/>
    <w:link w:val="BodytextARGOMChar"/>
    <w:rsid w:val="001231FA"/>
    <w:pPr>
      <w:spacing w:after="0" w:line="240" w:lineRule="auto"/>
      <w:jc w:val="both"/>
    </w:pPr>
    <w:rPr>
      <w:rFonts w:ascii="Times New Roman" w:eastAsia="Times New Roman" w:hAnsi="Times New Roman" w:cs="Times New Roman"/>
      <w:sz w:val="24"/>
      <w:szCs w:val="20"/>
      <w:lang w:eastAsia="en-AU"/>
    </w:rPr>
  </w:style>
  <w:style w:type="character" w:customStyle="1" w:styleId="BodytextARGOMChar">
    <w:name w:val="Body text ARGOM Char"/>
    <w:basedOn w:val="DefaultParagraphFont"/>
    <w:link w:val="BodytextARGOM"/>
    <w:rsid w:val="001231FA"/>
    <w:rPr>
      <w:rFonts w:ascii="Times New Roman" w:eastAsia="Times New Roman" w:hAnsi="Times New Roman" w:cs="Times New Roman"/>
      <w:sz w:val="24"/>
      <w:szCs w:val="20"/>
      <w:lang w:eastAsia="en-AU"/>
    </w:rPr>
  </w:style>
  <w:style w:type="paragraph" w:styleId="FootnoteText">
    <w:name w:val="footnote text"/>
    <w:basedOn w:val="Normal"/>
    <w:link w:val="FootnoteTextChar"/>
    <w:semiHidden/>
    <w:rsid w:val="001231FA"/>
    <w:pPr>
      <w:spacing w:after="0" w:line="240" w:lineRule="auto"/>
    </w:pPr>
    <w:rPr>
      <w:rFonts w:ascii="Times New Roman" w:eastAsia="Times New Roman" w:hAnsi="Times New Roman" w:cs="Times New Roman"/>
      <w:snapToGrid w:val="0"/>
      <w:szCs w:val="20"/>
      <w:lang w:eastAsia="en-AU"/>
    </w:rPr>
  </w:style>
  <w:style w:type="character" w:customStyle="1" w:styleId="FootnoteTextChar">
    <w:name w:val="Footnote Text Char"/>
    <w:basedOn w:val="DefaultParagraphFont"/>
    <w:link w:val="FootnoteText"/>
    <w:semiHidden/>
    <w:rsid w:val="001231FA"/>
    <w:rPr>
      <w:rFonts w:ascii="Times New Roman" w:eastAsia="Times New Roman" w:hAnsi="Times New Roman" w:cs="Times New Roman"/>
      <w:snapToGrid w:val="0"/>
      <w:sz w:val="20"/>
      <w:szCs w:val="20"/>
      <w:lang w:eastAsia="en-AU"/>
    </w:rPr>
  </w:style>
  <w:style w:type="paragraph" w:styleId="ListParagraph">
    <w:name w:val="List Paragraph"/>
    <w:basedOn w:val="Normal"/>
    <w:uiPriority w:val="34"/>
    <w:rsid w:val="00E55427"/>
    <w:pPr>
      <w:ind w:left="720"/>
      <w:contextualSpacing/>
    </w:pPr>
  </w:style>
  <w:style w:type="paragraph" w:styleId="EndnoteText">
    <w:name w:val="endnote text"/>
    <w:basedOn w:val="Normal"/>
    <w:link w:val="EndnoteTextChar"/>
    <w:uiPriority w:val="99"/>
    <w:semiHidden/>
    <w:unhideWhenUsed/>
    <w:rsid w:val="00781286"/>
    <w:pPr>
      <w:spacing w:after="0" w:line="240" w:lineRule="auto"/>
    </w:pPr>
    <w:rPr>
      <w:szCs w:val="20"/>
    </w:rPr>
  </w:style>
  <w:style w:type="character" w:customStyle="1" w:styleId="EndnoteTextChar">
    <w:name w:val="Endnote Text Char"/>
    <w:basedOn w:val="DefaultParagraphFont"/>
    <w:link w:val="EndnoteText"/>
    <w:uiPriority w:val="99"/>
    <w:semiHidden/>
    <w:rsid w:val="00781286"/>
    <w:rPr>
      <w:rFonts w:ascii="Cambria" w:hAnsi="Cambria"/>
      <w:sz w:val="20"/>
      <w:szCs w:val="20"/>
    </w:rPr>
  </w:style>
  <w:style w:type="character" w:styleId="EndnoteReference">
    <w:name w:val="endnote reference"/>
    <w:basedOn w:val="DefaultParagraphFont"/>
    <w:uiPriority w:val="99"/>
    <w:semiHidden/>
    <w:unhideWhenUsed/>
    <w:rsid w:val="00781286"/>
    <w:rPr>
      <w:vertAlign w:val="superscript"/>
    </w:rPr>
  </w:style>
  <w:style w:type="character" w:styleId="FollowedHyperlink">
    <w:name w:val="FollowedHyperlink"/>
    <w:basedOn w:val="DefaultParagraphFont"/>
    <w:unhideWhenUsed/>
    <w:rsid w:val="00781286"/>
    <w:rPr>
      <w:color w:val="365171" w:themeColor="followedHyperlink"/>
      <w:u w:val="single"/>
    </w:rPr>
  </w:style>
  <w:style w:type="character" w:customStyle="1" w:styleId="Heading6Char">
    <w:name w:val="Heading 6 Char"/>
    <w:basedOn w:val="DefaultParagraphFont"/>
    <w:link w:val="Heading6"/>
    <w:rsid w:val="00710F09"/>
    <w:rPr>
      <w:rFonts w:ascii="Times New Roman" w:eastAsia="Times New Roman" w:hAnsi="Times New Roman" w:cs="Times New Roman"/>
      <w:sz w:val="24"/>
      <w:szCs w:val="20"/>
      <w:u w:val="single"/>
      <w:lang w:eastAsia="en-AU"/>
    </w:rPr>
  </w:style>
  <w:style w:type="character" w:customStyle="1" w:styleId="Heading8Char">
    <w:name w:val="Heading 8 Char"/>
    <w:basedOn w:val="DefaultParagraphFont"/>
    <w:link w:val="Heading8"/>
    <w:uiPriority w:val="9"/>
    <w:semiHidden/>
    <w:rsid w:val="00710F09"/>
    <w:rPr>
      <w:rFonts w:asciiTheme="majorHAnsi" w:eastAsiaTheme="majorEastAsia" w:hAnsiTheme="majorHAnsi" w:cstheme="majorBidi"/>
      <w:color w:val="404040" w:themeColor="text1" w:themeTint="BF"/>
      <w:sz w:val="20"/>
      <w:szCs w:val="20"/>
    </w:rPr>
  </w:style>
  <w:style w:type="paragraph" w:styleId="DocumentMap">
    <w:name w:val="Document Map"/>
    <w:basedOn w:val="Normal"/>
    <w:link w:val="DocumentMapChar"/>
    <w:semiHidden/>
    <w:rsid w:val="00710F09"/>
    <w:pPr>
      <w:shd w:val="clear" w:color="auto" w:fill="000080"/>
      <w:spacing w:after="0" w:line="240" w:lineRule="auto"/>
    </w:pPr>
    <w:rPr>
      <w:rFonts w:ascii="Tahoma" w:eastAsia="Times New Roman" w:hAnsi="Tahoma" w:cs="Tahoma"/>
      <w:szCs w:val="20"/>
      <w:lang w:eastAsia="en-AU"/>
    </w:rPr>
  </w:style>
  <w:style w:type="character" w:customStyle="1" w:styleId="DocumentMapChar">
    <w:name w:val="Document Map Char"/>
    <w:basedOn w:val="DefaultParagraphFont"/>
    <w:link w:val="DocumentMap"/>
    <w:semiHidden/>
    <w:rsid w:val="00710F09"/>
    <w:rPr>
      <w:rFonts w:ascii="Tahoma" w:eastAsia="Times New Roman" w:hAnsi="Tahoma" w:cs="Tahoma"/>
      <w:sz w:val="20"/>
      <w:szCs w:val="20"/>
      <w:shd w:val="clear" w:color="auto" w:fill="000080"/>
      <w:lang w:eastAsia="en-AU"/>
    </w:rPr>
  </w:style>
  <w:style w:type="character" w:styleId="PageNumber">
    <w:name w:val="page number"/>
    <w:basedOn w:val="DefaultParagraphFont"/>
    <w:rsid w:val="00710F09"/>
  </w:style>
  <w:style w:type="paragraph" w:styleId="BodyText3">
    <w:name w:val="Body Text 3"/>
    <w:basedOn w:val="Normal"/>
    <w:link w:val="BodyText3Char"/>
    <w:rsid w:val="00710F09"/>
    <w:pPr>
      <w:spacing w:after="0" w:line="240" w:lineRule="auto"/>
    </w:pPr>
    <w:rPr>
      <w:rFonts w:ascii="Times New Roman" w:eastAsia="Times New Roman" w:hAnsi="Times New Roman" w:cs="Times New Roman"/>
      <w:color w:val="000000"/>
      <w:sz w:val="24"/>
      <w:szCs w:val="20"/>
      <w:lang w:eastAsia="en-AU"/>
    </w:rPr>
  </w:style>
  <w:style w:type="character" w:customStyle="1" w:styleId="BodyText3Char">
    <w:name w:val="Body Text 3 Char"/>
    <w:basedOn w:val="DefaultParagraphFont"/>
    <w:link w:val="BodyText3"/>
    <w:rsid w:val="00710F09"/>
    <w:rPr>
      <w:rFonts w:ascii="Times New Roman" w:eastAsia="Times New Roman" w:hAnsi="Times New Roman" w:cs="Times New Roman"/>
      <w:color w:val="000000"/>
      <w:sz w:val="24"/>
      <w:szCs w:val="20"/>
      <w:lang w:eastAsia="en-AU"/>
    </w:rPr>
  </w:style>
  <w:style w:type="paragraph" w:customStyle="1" w:styleId="a">
    <w:name w:val="_"/>
    <w:basedOn w:val="Normal"/>
    <w:rsid w:val="00710F09"/>
    <w:pPr>
      <w:widowControl w:val="0"/>
      <w:spacing w:after="0" w:line="240" w:lineRule="auto"/>
      <w:ind w:left="720" w:hanging="720"/>
    </w:pPr>
    <w:rPr>
      <w:rFonts w:ascii="Times New Roman" w:eastAsia="Times New Roman" w:hAnsi="Times New Roman" w:cs="Times New Roman"/>
      <w:snapToGrid w:val="0"/>
      <w:sz w:val="24"/>
      <w:szCs w:val="20"/>
      <w:lang w:val="en-US" w:eastAsia="en-AU"/>
    </w:rPr>
  </w:style>
  <w:style w:type="paragraph" w:customStyle="1" w:styleId="DefinitionList">
    <w:name w:val="Definition List"/>
    <w:basedOn w:val="Normal"/>
    <w:next w:val="Normal"/>
    <w:rsid w:val="00710F09"/>
    <w:pPr>
      <w:spacing w:after="0" w:line="240" w:lineRule="auto"/>
      <w:ind w:left="360"/>
    </w:pPr>
    <w:rPr>
      <w:rFonts w:ascii="Times New Roman" w:eastAsia="Times New Roman" w:hAnsi="Times New Roman" w:cs="Times New Roman"/>
      <w:snapToGrid w:val="0"/>
      <w:sz w:val="24"/>
      <w:szCs w:val="20"/>
    </w:rPr>
  </w:style>
  <w:style w:type="paragraph" w:customStyle="1" w:styleId="Style10ptCenteredBefore3ptAfter3pt">
    <w:name w:val="Style 10 pt Centered Before:  3 pt After:  3 pt"/>
    <w:basedOn w:val="Normal"/>
    <w:rsid w:val="00710F09"/>
    <w:pPr>
      <w:spacing w:before="60" w:after="60" w:line="240" w:lineRule="auto"/>
      <w:jc w:val="center"/>
    </w:pPr>
    <w:rPr>
      <w:rFonts w:ascii="Times New Roman" w:eastAsia="Times New Roman" w:hAnsi="Times New Roman" w:cs="Times New Roman"/>
      <w:szCs w:val="20"/>
      <w:lang w:eastAsia="en-AU"/>
    </w:rPr>
  </w:style>
  <w:style w:type="paragraph" w:styleId="Index8">
    <w:name w:val="index 8"/>
    <w:basedOn w:val="Normal"/>
    <w:next w:val="Normal"/>
    <w:autoRedefine/>
    <w:semiHidden/>
    <w:rsid w:val="00710F09"/>
    <w:pPr>
      <w:spacing w:after="0" w:line="240" w:lineRule="auto"/>
      <w:ind w:left="1920" w:hanging="240"/>
    </w:pPr>
    <w:rPr>
      <w:rFonts w:ascii="Times New Roman" w:eastAsia="Times New Roman" w:hAnsi="Times New Roman" w:cs="Times New Roman"/>
      <w:sz w:val="24"/>
      <w:szCs w:val="20"/>
      <w:lang w:eastAsia="en-AU"/>
    </w:rPr>
  </w:style>
  <w:style w:type="paragraph" w:styleId="TOC4">
    <w:name w:val="toc 4"/>
    <w:basedOn w:val="Normal"/>
    <w:next w:val="Normal"/>
    <w:autoRedefine/>
    <w:uiPriority w:val="39"/>
    <w:unhideWhenUsed/>
    <w:rsid w:val="00710F09"/>
    <w:pPr>
      <w:spacing w:after="100" w:line="276"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710F09"/>
    <w:pPr>
      <w:spacing w:after="100" w:line="276"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710F09"/>
    <w:pPr>
      <w:spacing w:after="100" w:line="276"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710F09"/>
    <w:pPr>
      <w:spacing w:after="100" w:line="276"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710F09"/>
    <w:pPr>
      <w:spacing w:after="100" w:line="276"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710F09"/>
    <w:pPr>
      <w:spacing w:after="100" w:line="276" w:lineRule="auto"/>
      <w:ind w:left="1760"/>
    </w:pPr>
    <w:rPr>
      <w:rFonts w:asciiTheme="minorHAnsi" w:eastAsiaTheme="minorEastAsia" w:hAnsiTheme="minorHAnsi"/>
      <w:sz w:val="22"/>
      <w:lang w:eastAsia="en-AU"/>
    </w:rPr>
  </w:style>
  <w:style w:type="character" w:customStyle="1" w:styleId="htmlval1">
    <w:name w:val="html_val1"/>
    <w:basedOn w:val="DefaultParagraphFont"/>
    <w:rsid w:val="001A450E"/>
    <w:rPr>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eader" Target="header23.xml"/><Relationship Id="rId47" Type="http://schemas.openxmlformats.org/officeDocument/2006/relationships/footer" Target="footer12.xml"/><Relationship Id="rId63" Type="http://schemas.openxmlformats.org/officeDocument/2006/relationships/footer" Target="footer16.xml"/><Relationship Id="rId68" Type="http://schemas.openxmlformats.org/officeDocument/2006/relationships/header" Target="header42.xml"/><Relationship Id="rId84" Type="http://schemas.openxmlformats.org/officeDocument/2006/relationships/hyperlink" Target="http://www.tga.gov.au/pdf/euguide/swp104299en.pdf" TargetMode="External"/><Relationship Id="rId89"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footer" Target="footer18.xml"/><Relationship Id="rId92" Type="http://schemas.openxmlformats.org/officeDocument/2006/relationships/header" Target="header5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header" Target="header47.xml"/><Relationship Id="rId79" Type="http://schemas.openxmlformats.org/officeDocument/2006/relationships/hyperlink" Target="http://www.tga.gov.au/pdf/euguide/swp214500en.pdf" TargetMode="External"/><Relationship Id="rId87" Type="http://schemas.openxmlformats.org/officeDocument/2006/relationships/hyperlink" Target="http://www.tga.gov.au/pdf/euguide/ich017495en.pdf"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37.xml"/><Relationship Id="rId82" Type="http://schemas.openxmlformats.org/officeDocument/2006/relationships/hyperlink" Target="http://www.tga.gov.au/pdf/euguide/vol3bs10aen.pdf" TargetMode="External"/><Relationship Id="rId90" Type="http://schemas.openxmlformats.org/officeDocument/2006/relationships/header" Target="header50.xml"/><Relationship Id="rId95" Type="http://schemas.openxmlformats.org/officeDocument/2006/relationships/footer" Target="footer2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4.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eader" Target="header39.xml"/><Relationship Id="rId69" Type="http://schemas.openxmlformats.org/officeDocument/2006/relationships/header" Target="header43.xml"/><Relationship Id="rId77" Type="http://schemas.openxmlformats.org/officeDocument/2006/relationships/hyperlink" Target="http://www.tga.gov.au/pdf/euguide/vol3aq18aen.pdf" TargetMode="External"/><Relationship Id="rId100" Type="http://schemas.openxmlformats.org/officeDocument/2006/relationships/header" Target="header57.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45.xml"/><Relationship Id="rId80" Type="http://schemas.openxmlformats.org/officeDocument/2006/relationships/hyperlink" Target="http://www.tga.gov.au/pdf/euguide/swp214500en.pdf" TargetMode="External"/><Relationship Id="rId85" Type="http://schemas.openxmlformats.org/officeDocument/2006/relationships/hyperlink" Target="http://www.tga.gov.au/pdf/euguide/vol3bs5aen.pdf" TargetMode="External"/><Relationship Id="rId93" Type="http://schemas.openxmlformats.org/officeDocument/2006/relationships/header" Target="header52.xml"/><Relationship Id="rId98" Type="http://schemas.openxmlformats.org/officeDocument/2006/relationships/header" Target="header5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footer" Target="footer15.xml"/><Relationship Id="rId67" Type="http://schemas.openxmlformats.org/officeDocument/2006/relationships/footer" Target="footer17.xml"/><Relationship Id="rId10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22.xml"/><Relationship Id="rId54" Type="http://schemas.openxmlformats.org/officeDocument/2006/relationships/header" Target="header32.xml"/><Relationship Id="rId62" Type="http://schemas.openxmlformats.org/officeDocument/2006/relationships/header" Target="header38.xml"/><Relationship Id="rId70" Type="http://schemas.openxmlformats.org/officeDocument/2006/relationships/header" Target="header44.xml"/><Relationship Id="rId75" Type="http://schemas.openxmlformats.org/officeDocument/2006/relationships/footer" Target="footer19.xml"/><Relationship Id="rId83" Type="http://schemas.openxmlformats.org/officeDocument/2006/relationships/hyperlink" Target="http://www.tga.gov.au/pdf/euguide/vol3bs11aen.pdf" TargetMode="External"/><Relationship Id="rId88" Type="http://schemas.openxmlformats.org/officeDocument/2006/relationships/hyperlink" Target="http://www.tga.gov.au/pdf/euguide/vol3bs4aen.pdf" TargetMode="External"/><Relationship Id="rId91" Type="http://schemas.openxmlformats.org/officeDocument/2006/relationships/footer" Target="footer20.xml"/><Relationship Id="rId9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4.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header" Target="header40.xml"/><Relationship Id="rId73" Type="http://schemas.openxmlformats.org/officeDocument/2006/relationships/header" Target="header46.xml"/><Relationship Id="rId78" Type="http://schemas.openxmlformats.org/officeDocument/2006/relationships/hyperlink" Target="http://www.tga.gov.au/pdf/euguide/vol3bs1aen.pdf" TargetMode="External"/><Relationship Id="rId81" Type="http://schemas.openxmlformats.org/officeDocument/2006/relationships/hyperlink" Target="http://www.tga.gov.au/pdf/euguide/vol3bs3aen.pdf" TargetMode="External"/><Relationship Id="rId86" Type="http://schemas.openxmlformats.org/officeDocument/2006/relationships/hyperlink" Target="http://www.tga.gov.au/pdf/euguide/vol3bs6aen.pdf" TargetMode="External"/><Relationship Id="rId94" Type="http://schemas.openxmlformats.org/officeDocument/2006/relationships/header" Target="header53.xml"/><Relationship Id="rId99" Type="http://schemas.openxmlformats.org/officeDocument/2006/relationships/footer" Target="footer22.xml"/><Relationship Id="rId101"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footer" Target="footer14.xml"/><Relationship Id="rId76" Type="http://schemas.openxmlformats.org/officeDocument/2006/relationships/header" Target="header48.xml"/><Relationship Id="rId97" Type="http://schemas.openxmlformats.org/officeDocument/2006/relationships/header" Target="header5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tga.gov.au/industry/manuf-medicines-cgmp.htm" TargetMode="External"/><Relationship Id="rId13" Type="http://schemas.openxmlformats.org/officeDocument/2006/relationships/hyperlink" Target="http://www.tgacc.com.au/" TargetMode="External"/><Relationship Id="rId18" Type="http://schemas.openxmlformats.org/officeDocument/2006/relationships/hyperlink" Target="http://www.tgacc.com.au/" TargetMode="External"/><Relationship Id="rId26" Type="http://schemas.openxmlformats.org/officeDocument/2006/relationships/hyperlink" Target="http://www.tga.gov.au/about/fees.htm" TargetMode="External"/><Relationship Id="rId3" Type="http://schemas.openxmlformats.org/officeDocument/2006/relationships/hyperlink" Target="http://www.tga.gov.au/industry/medicines-forms-justification-evaluation.htm" TargetMode="External"/><Relationship Id="rId21" Type="http://schemas.openxmlformats.org/officeDocument/2006/relationships/hyperlink" Target="http://www.tga.gov.au/industry/manuf.htm" TargetMode="External"/><Relationship Id="rId7" Type="http://schemas.openxmlformats.org/officeDocument/2006/relationships/hyperlink" Target="http://www.tga.gov.au/industry/basics-regulatory-affairs-consultants.htm" TargetMode="External"/><Relationship Id="rId12" Type="http://schemas.openxmlformats.org/officeDocument/2006/relationships/hyperlink" Target="http://www.health.gov.au/tga/docs/html/tgo/tgo69.htm" TargetMode="External"/><Relationship Id="rId17" Type="http://schemas.openxmlformats.org/officeDocument/2006/relationships/hyperlink" Target="http://www.comlaw.gov.au/Details/F2009C00264" TargetMode="External"/><Relationship Id="rId25" Type="http://schemas.openxmlformats.org/officeDocument/2006/relationships/hyperlink" Target="http://www.tga.gov.au/industry/otc.htm" TargetMode="External"/><Relationship Id="rId2" Type="http://schemas.openxmlformats.org/officeDocument/2006/relationships/hyperlink" Target="http://www.tga.gov.au/archive/medicines-information-kit-1999.htm" TargetMode="External"/><Relationship Id="rId16" Type="http://schemas.openxmlformats.org/officeDocument/2006/relationships/hyperlink" Target="http://www.tga.gov.au/archive/medicines-information-kit-1999.htm" TargetMode="External"/><Relationship Id="rId20" Type="http://schemas.openxmlformats.org/officeDocument/2006/relationships/hyperlink" Target="http://www.asmi.com.au/Stability%20G%20for%20Sunscreen.pdf" TargetMode="External"/><Relationship Id="rId29" Type="http://schemas.openxmlformats.org/officeDocument/2006/relationships/hyperlink" Target="http://www.tga.gov.au/medicines-approved-terminology.htm" TargetMode="External"/><Relationship Id="rId1" Type="http://schemas.openxmlformats.org/officeDocument/2006/relationships/hyperlink" Target="http://www.tga.gov.au/industry/legislation.htm" TargetMode="External"/><Relationship Id="rId6" Type="http://schemas.openxmlformats.org/officeDocument/2006/relationships/hyperlink" Target="http://www.tga.gov.au/archive/committees-mec.htm" TargetMode="External"/><Relationship Id="rId11" Type="http://schemas.openxmlformats.org/officeDocument/2006/relationships/hyperlink" Target="http://www.tga.gov.au/archive/medicines-information-kit-1999.htm" TargetMode="External"/><Relationship Id="rId24" Type="http://schemas.openxmlformats.org/officeDocument/2006/relationships/hyperlink" Target="http://www.tga.gov.au/about/fees.htm" TargetMode="External"/><Relationship Id="rId5" Type="http://schemas.openxmlformats.org/officeDocument/2006/relationships/hyperlink" Target="http://www.tga.gov.au/about/fees.htm" TargetMode="External"/><Relationship Id="rId15" Type="http://schemas.openxmlformats.org/officeDocument/2006/relationships/hyperlink" Target="http://www.tgacc.com.au/" TargetMode="External"/><Relationship Id="rId23" Type="http://schemas.openxmlformats.org/officeDocument/2006/relationships/hyperlink" Target="http://www.cir-safety.org/" TargetMode="External"/><Relationship Id="rId28" Type="http://schemas.openxmlformats.org/officeDocument/2006/relationships/hyperlink" Target="http://www.tga.gov.au/medicines-approved-terminology.htm" TargetMode="External"/><Relationship Id="rId10" Type="http://schemas.openxmlformats.org/officeDocument/2006/relationships/hyperlink" Target="http://www.accc.gov.au/" TargetMode="External"/><Relationship Id="rId19" Type="http://schemas.openxmlformats.org/officeDocument/2006/relationships/hyperlink" Target="http://www.standards.com.au/" TargetMode="External"/><Relationship Id="rId4" Type="http://schemas.openxmlformats.org/officeDocument/2006/relationships/hyperlink" Target="http://www.tga.gov.au/industry/otc-forms.htm" TargetMode="External"/><Relationship Id="rId9" Type="http://schemas.openxmlformats.org/officeDocument/2006/relationships/hyperlink" Target="http://www.tga.gov.au/safety/problem.htm" TargetMode="External"/><Relationship Id="rId14" Type="http://schemas.openxmlformats.org/officeDocument/2006/relationships/hyperlink" Target="http://www.standards.com.au/" TargetMode="External"/><Relationship Id="rId22" Type="http://schemas.openxmlformats.org/officeDocument/2006/relationships/hyperlink" Target="http://www.tga.gov.au/industry/manuf-sunscreens-cgmp.htm" TargetMode="External"/><Relationship Id="rId27" Type="http://schemas.openxmlformats.org/officeDocument/2006/relationships/hyperlink" Target="http://www.comlaw.gov.au/Details/F2009C0026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3D355-FE2C-466B-AFB1-02BB8DCC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186</TotalTime>
  <Pages>53</Pages>
  <Words>14196</Words>
  <Characters>80923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Australian regulatory guidelines for OTC medicines</vt:lpstr>
    </vt:vector>
  </TitlesOfParts>
  <Company>Department of Health and Ageing Therapeutic Goods Administration</Company>
  <LinksUpToDate>false</LinksUpToDate>
  <CharactersWithSpaces>94930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OTC medicines (ARGOM)</dc:title>
  <dc:subject>otc medicine regulation</dc:subject>
  <dc:creator>Therapeutic Goods Administration</dc:creator>
  <cp:keywords>otc, over the counter, over-the-counter, medicine, regulation, australia</cp:keywords>
  <cp:lastModifiedBy>Gail Bird</cp:lastModifiedBy>
  <cp:revision>8</cp:revision>
  <cp:lastPrinted>2011-11-03T03:22:00Z</cp:lastPrinted>
  <dcterms:created xsi:type="dcterms:W3CDTF">2011-11-01T03:40:00Z</dcterms:created>
  <dcterms:modified xsi:type="dcterms:W3CDTF">2014-09-22T02:04:00Z</dcterms:modified>
  <cp:category>External Guidelines</cp:category>
</cp:coreProperties>
</file>