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Tr="002B29B2">
        <w:tc>
          <w:tcPr>
            <w:tcW w:w="8720" w:type="dxa"/>
          </w:tcPr>
          <w:p w:rsidR="002B29B2" w:rsidRPr="00CB73C5" w:rsidRDefault="006D7EBE" w:rsidP="002B29B2">
            <w:pPr>
              <w:pStyle w:val="Title"/>
            </w:pPr>
            <w:bookmarkStart w:id="0" w:name="_GoBack"/>
            <w:bookmarkEnd w:id="0"/>
            <w:r w:rsidRPr="006D7EBE">
              <w:t>Comparison between the 2009 and 2013 editions of the PIC/S Guide to GMP</w:t>
            </w:r>
          </w:p>
        </w:tc>
      </w:tr>
      <w:tr w:rsidR="002B29B2" w:rsidTr="002B29B2">
        <w:trPr>
          <w:trHeight w:val="1916"/>
        </w:trPr>
        <w:tc>
          <w:tcPr>
            <w:tcW w:w="8720" w:type="dxa"/>
          </w:tcPr>
          <w:p w:rsidR="002B29B2" w:rsidRPr="00B24FF5" w:rsidRDefault="002B29B2" w:rsidP="002B29B2">
            <w:pPr>
              <w:pStyle w:val="Subtitle"/>
              <w:ind w:left="0"/>
            </w:pPr>
          </w:p>
        </w:tc>
      </w:tr>
      <w:tr w:rsidR="002B29B2" w:rsidTr="002B29B2">
        <w:tc>
          <w:tcPr>
            <w:tcW w:w="8720" w:type="dxa"/>
          </w:tcPr>
          <w:p w:rsidR="002B29B2" w:rsidRPr="00816164" w:rsidRDefault="002B29B2" w:rsidP="006D7EBE">
            <w:pPr>
              <w:pStyle w:val="Date"/>
            </w:pPr>
            <w:r w:rsidRPr="006F6284">
              <w:t xml:space="preserve">Version 1.0, </w:t>
            </w:r>
            <w:r w:rsidR="006D7EBE">
              <w:t xml:space="preserve">May </w:t>
            </w:r>
            <w:r w:rsidRPr="006F6284">
              <w:t>201</w:t>
            </w:r>
            <w:r w:rsidR="00B946A9">
              <w:t>3</w:t>
            </w:r>
          </w:p>
        </w:tc>
      </w:tr>
    </w:tbl>
    <w:p w:rsidR="00B24FF5" w:rsidRDefault="00B24FF5" w:rsidP="00B24FF5">
      <w:pPr>
        <w:pStyle w:val="ListBullet"/>
        <w:numPr>
          <w:ilvl w:val="0"/>
          <w:numId w:val="0"/>
        </w:numPr>
      </w:pPr>
    </w:p>
    <w:p w:rsidR="00B24FF5" w:rsidRDefault="00B24FF5" w:rsidP="00B24FF5">
      <w:pPr>
        <w:pStyle w:val="ListBullet"/>
        <w:numPr>
          <w:ilvl w:val="0"/>
          <w:numId w:val="0"/>
        </w:numPr>
        <w:sectPr w:rsidR="00B24FF5" w:rsidSect="00F71E1E">
          <w:headerReference w:type="even" r:id="rId9"/>
          <w:headerReference w:type="default" r:id="rId10"/>
          <w:footerReference w:type="default" r:id="rId11"/>
          <w:headerReference w:type="first" r:id="rId12"/>
          <w:footerReference w:type="first" r:id="rId13"/>
          <w:type w:val="continuous"/>
          <w:pgSz w:w="11906" w:h="16838" w:code="9"/>
          <w:pgMar w:top="6484" w:right="1701" w:bottom="0" w:left="1701" w:header="992" w:footer="333" w:gutter="0"/>
          <w:cols w:space="708"/>
          <w:titlePg/>
          <w:docGrid w:linePitch="360"/>
        </w:sectPr>
      </w:pPr>
    </w:p>
    <w:p w:rsidR="00B21FC5" w:rsidRPr="00F3529E" w:rsidRDefault="00B21FC5" w:rsidP="0014247A">
      <w:pPr>
        <w:pStyle w:val="NonTOCHeading2"/>
      </w:pPr>
      <w:r w:rsidRPr="00B21FC5">
        <w:lastRenderedPageBreak/>
        <w:t>About the Therapeutic Goods Administration (TGA)</w:t>
      </w:r>
    </w:p>
    <w:p w:rsidR="00B21FC5" w:rsidRPr="00B21FC5" w:rsidRDefault="00494CA4" w:rsidP="00B21FC5">
      <w:pPr>
        <w:pStyle w:val="ListBullet"/>
      </w:pPr>
      <w:r>
        <w:t xml:space="preserve">The Therapeutic Goods Administration (TGA) </w:t>
      </w:r>
      <w:r w:rsidR="00B21FC5" w:rsidRPr="00B21FC5">
        <w:t xml:space="preserve">is </w:t>
      </w:r>
      <w:r>
        <w:t xml:space="preserve">part </w:t>
      </w:r>
      <w:r w:rsidR="00B21FC5" w:rsidRPr="00B21FC5">
        <w:t>of the Australian Government Department of Health and Ageing, and is</w:t>
      </w:r>
      <w:r w:rsidR="00B21FC5">
        <w:t xml:space="preserve"> </w:t>
      </w:r>
      <w:r w:rsidR="00B21FC5" w:rsidRPr="00B21FC5">
        <w:t>responsible for regulating medicines and medical devices.</w:t>
      </w:r>
    </w:p>
    <w:p w:rsidR="00B21FC5" w:rsidRPr="00B21FC5" w:rsidRDefault="00690BBF" w:rsidP="00B21FC5">
      <w:pPr>
        <w:pStyle w:val="ListBullet"/>
      </w:pPr>
      <w:r>
        <w:t>The</w:t>
      </w:r>
      <w:r w:rsidR="00B21FC5" w:rsidRPr="00B21FC5">
        <w:t xml:space="preserve"> TGA administers the </w:t>
      </w:r>
      <w:r w:rsidR="00B21FC5" w:rsidRPr="00B21FC5">
        <w:rPr>
          <w:i/>
          <w:iCs/>
        </w:rPr>
        <w:t xml:space="preserve">Therapeutic Goods Act </w:t>
      </w:r>
      <w:r w:rsidR="00B21FC5" w:rsidRPr="00690BBF">
        <w:rPr>
          <w:i/>
        </w:rPr>
        <w:t>1989</w:t>
      </w:r>
      <w:r w:rsidR="00B21FC5" w:rsidRPr="00B21FC5">
        <w:t xml:space="preserve"> (the Act), applying a risk management</w:t>
      </w:r>
      <w:r w:rsidR="00B21FC5">
        <w:t xml:space="preserve"> </w:t>
      </w:r>
      <w:r w:rsidR="00B21FC5" w:rsidRPr="00B21FC5">
        <w:t>approach designed to ensure therapeutic goods supplied in Australia meet acceptable standards</w:t>
      </w:r>
      <w:r w:rsidR="00B21FC5">
        <w:t xml:space="preserve"> </w:t>
      </w:r>
      <w:r w:rsidR="00B21FC5"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5D1689" w:rsidRDefault="00B21FC5" w:rsidP="00DD76DE">
      <w:pPr>
        <w:pStyle w:val="ListBullet"/>
      </w:pPr>
      <w:r w:rsidRPr="00B21FC5">
        <w:t>To report a problem with a medicine or medical device, please see the information on the TGA</w:t>
      </w:r>
      <w:r>
        <w:t xml:space="preserve"> w</w:t>
      </w:r>
      <w:r w:rsidRPr="00B21FC5">
        <w:t>ebsite</w:t>
      </w:r>
      <w:r w:rsidR="00753A56">
        <w:t xml:space="preserve"> </w:t>
      </w:r>
      <w:r w:rsidR="00753A56">
        <w:rPr>
          <w:rFonts w:cs="Arial"/>
          <w:lang w:val="en-GB"/>
        </w:rPr>
        <w:t>&lt;</w:t>
      </w:r>
      <w:hyperlink r:id="rId14" w:history="1">
        <w:r w:rsidR="00690BBF" w:rsidRPr="00AD5D3E">
          <w:rPr>
            <w:rStyle w:val="Hyperlink"/>
          </w:rPr>
          <w:t>http://ww.tga.gov.au</w:t>
        </w:r>
      </w:hyperlink>
      <w:r w:rsidR="00753A56">
        <w:rPr>
          <w:rFonts w:cs="Arial"/>
          <w:lang w:val="en-GB"/>
        </w:rPr>
        <w:t>&gt;.</w:t>
      </w:r>
    </w:p>
    <w:p w:rsidR="005D1689" w:rsidRPr="00DF1D7F" w:rsidRDefault="005D1689" w:rsidP="00D800FC">
      <w:pPr>
        <w:pStyle w:val="LegalSubheading"/>
        <w:spacing w:before="6600"/>
      </w:pPr>
      <w:r w:rsidRPr="00DF1D7F">
        <w:t>Copyright</w:t>
      </w:r>
    </w:p>
    <w:p w:rsidR="00E177F4" w:rsidRDefault="005D1689" w:rsidP="00E177F4">
      <w:pPr>
        <w:pStyle w:val="LegalCopy"/>
        <w:rPr>
          <w:rFonts w:cs="Arial"/>
        </w:rPr>
      </w:pPr>
      <w:r w:rsidRPr="00191B3B">
        <w:rPr>
          <w:rFonts w:cs="Arial"/>
          <w:lang w:val="en-GB"/>
        </w:rPr>
        <w:t>© Comm</w:t>
      </w:r>
      <w:r>
        <w:rPr>
          <w:rFonts w:cs="Arial"/>
          <w:lang w:val="en-GB"/>
        </w:rPr>
        <w:t>onwealth of Australia 201</w:t>
      </w:r>
      <w:r w:rsidR="00B946A9">
        <w:rPr>
          <w:rFonts w:cs="Arial"/>
          <w:lang w:val="en-GB"/>
        </w:rPr>
        <w:t>3</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5" w:history="1">
        <w:r w:rsidRPr="00191B3B">
          <w:rPr>
            <w:rStyle w:val="Hyperlink"/>
            <w:rFonts w:cs="Arial"/>
            <w:lang w:val="en-GB"/>
          </w:rPr>
          <w:t>tga.copyright@tga.gov.au</w:t>
        </w:r>
      </w:hyperlink>
      <w:r w:rsidRPr="00191B3B">
        <w:rPr>
          <w:rFonts w:cs="Arial"/>
        </w:rPr>
        <w:t>&gt;.</w:t>
      </w:r>
    </w:p>
    <w:p w:rsidR="000B30E5" w:rsidRDefault="000B30E5" w:rsidP="00E177F4">
      <w:pPr>
        <w:pStyle w:val="NonTOCHeading2"/>
      </w:pPr>
      <w:r>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0B30E5" w:rsidTr="00CB73C5">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76" w:type="dxa"/>
          </w:tcPr>
          <w:p w:rsidR="000B30E5" w:rsidRDefault="000B30E5" w:rsidP="00301FA3">
            <w:r>
              <w:t>Version</w:t>
            </w:r>
          </w:p>
        </w:tc>
        <w:tc>
          <w:tcPr>
            <w:tcW w:w="3242" w:type="dxa"/>
          </w:tcPr>
          <w:p w:rsidR="000B30E5" w:rsidRDefault="000B30E5" w:rsidP="00301FA3">
            <w:pPr>
              <w:cnfStyle w:val="100000000000" w:firstRow="1" w:lastRow="0" w:firstColumn="0" w:lastColumn="0" w:oddVBand="0" w:evenVBand="0" w:oddHBand="0" w:evenHBand="0" w:firstRowFirstColumn="0" w:firstRowLastColumn="0" w:lastRowFirstColumn="0" w:lastRowLastColumn="0"/>
            </w:pPr>
            <w:r>
              <w:t>Description of change</w:t>
            </w:r>
          </w:p>
        </w:tc>
        <w:tc>
          <w:tcPr>
            <w:tcW w:w="2712" w:type="dxa"/>
          </w:tcPr>
          <w:p w:rsidR="000B30E5" w:rsidRDefault="000B30E5" w:rsidP="00301FA3">
            <w:pPr>
              <w:cnfStyle w:val="100000000000" w:firstRow="1" w:lastRow="0" w:firstColumn="0" w:lastColumn="0" w:oddVBand="0" w:evenVBand="0" w:oddHBand="0" w:evenHBand="0" w:firstRowFirstColumn="0" w:firstRowLastColumn="0" w:lastRowFirstColumn="0" w:lastRowLastColumn="0"/>
            </w:pPr>
            <w:r>
              <w:t>Author</w:t>
            </w:r>
          </w:p>
        </w:tc>
        <w:tc>
          <w:tcPr>
            <w:tcW w:w="1808" w:type="dxa"/>
          </w:tcPr>
          <w:p w:rsidR="000B30E5" w:rsidRDefault="000B30E5" w:rsidP="00301FA3">
            <w:pPr>
              <w:cnfStyle w:val="100000000000" w:firstRow="1" w:lastRow="0" w:firstColumn="0" w:lastColumn="0" w:oddVBand="0" w:evenVBand="0" w:oddHBand="0" w:evenHBand="0" w:firstRowFirstColumn="0" w:firstRowLastColumn="0" w:lastRowFirstColumn="0" w:lastRowLastColumn="0"/>
            </w:pPr>
            <w:r>
              <w:t>Effective date</w:t>
            </w:r>
          </w:p>
        </w:tc>
      </w:tr>
      <w:tr w:rsidR="000B30E5" w:rsidTr="00D85417">
        <w:trPr>
          <w:trHeight w:val="1418"/>
        </w:trPr>
        <w:tc>
          <w:tcPr>
            <w:tcW w:w="1276" w:type="dxa"/>
          </w:tcPr>
          <w:p w:rsidR="000B30E5" w:rsidRDefault="000B30E5" w:rsidP="00301FA3">
            <w:r>
              <w:t>V1.0</w:t>
            </w:r>
          </w:p>
        </w:tc>
        <w:tc>
          <w:tcPr>
            <w:tcW w:w="3242" w:type="dxa"/>
          </w:tcPr>
          <w:p w:rsidR="000B30E5" w:rsidRDefault="00E47660" w:rsidP="00D800FC">
            <w:r>
              <w:t xml:space="preserve">Original </w:t>
            </w:r>
            <w:r w:rsidR="00D800FC">
              <w:t>p</w:t>
            </w:r>
            <w:r>
              <w:t>ublication</w:t>
            </w:r>
          </w:p>
        </w:tc>
        <w:tc>
          <w:tcPr>
            <w:tcW w:w="2712" w:type="dxa"/>
          </w:tcPr>
          <w:p w:rsidR="000B30E5" w:rsidRDefault="00D800FC" w:rsidP="00301FA3">
            <w:r>
              <w:t>MCG/OMQ</w:t>
            </w:r>
          </w:p>
        </w:tc>
        <w:tc>
          <w:tcPr>
            <w:tcW w:w="1808" w:type="dxa"/>
          </w:tcPr>
          <w:p w:rsidR="000B30E5" w:rsidRDefault="00D800FC" w:rsidP="00D800FC">
            <w:r>
              <w:t>27</w:t>
            </w:r>
            <w:r w:rsidR="000B30E5">
              <w:t>/</w:t>
            </w:r>
            <w:r>
              <w:t>05</w:t>
            </w:r>
            <w:r w:rsidR="000B30E5">
              <w:t>/</w:t>
            </w:r>
            <w:r>
              <w:t>2013</w:t>
            </w:r>
          </w:p>
        </w:tc>
      </w:tr>
    </w:tbl>
    <w:p w:rsidR="00F427F0" w:rsidRDefault="00F427F0" w:rsidP="00F427F0"/>
    <w:p w:rsidR="000D0851" w:rsidRDefault="000D0851" w:rsidP="00F427F0">
      <w:pPr>
        <w:spacing w:before="0" w:after="0" w:line="240" w:lineRule="auto"/>
      </w:pPr>
      <w:r>
        <w:br w:type="page"/>
      </w:r>
    </w:p>
    <w:sdt>
      <w:sdtPr>
        <w:rPr>
          <w:rFonts w:ascii="Cambria" w:hAnsi="Cambria"/>
          <w:b w:val="0"/>
          <w:sz w:val="22"/>
        </w:rPr>
        <w:id w:val="5618017"/>
        <w:docPartObj>
          <w:docPartGallery w:val="Table of Contents"/>
          <w:docPartUnique/>
        </w:docPartObj>
      </w:sdtPr>
      <w:sdtEndPr>
        <w:rPr>
          <w:sz w:val="21"/>
        </w:rPr>
      </w:sdtEndPr>
      <w:sdtContent>
        <w:p w:rsidR="00FE206C" w:rsidRPr="005D1689" w:rsidRDefault="00FE206C" w:rsidP="005D1689">
          <w:pPr>
            <w:pStyle w:val="Contents"/>
          </w:pPr>
          <w:r w:rsidRPr="005D1689">
            <w:t>Contents</w:t>
          </w:r>
        </w:p>
        <w:p w:rsidR="00587239" w:rsidRDefault="00A02A3E">
          <w:pPr>
            <w:pStyle w:val="TOC1"/>
            <w:rPr>
              <w:rFonts w:asciiTheme="minorHAnsi" w:eastAsiaTheme="minorEastAsia" w:hAnsiTheme="minorHAnsi" w:cstheme="minorBidi"/>
              <w:b w:val="0"/>
              <w:noProof/>
              <w:sz w:val="22"/>
              <w:lang w:eastAsia="en-AU"/>
            </w:rPr>
          </w:pPr>
          <w:r>
            <w:rPr>
              <w:b w:val="0"/>
            </w:rPr>
            <w:fldChar w:fldCharType="begin"/>
          </w:r>
          <w:r w:rsidR="002E193A">
            <w:rPr>
              <w:b w:val="0"/>
            </w:rPr>
            <w:instrText xml:space="preserve"> TOC \h \z \u \t "Heading 2,1,Heading 3,2,Heading 4,3" </w:instrText>
          </w:r>
          <w:r>
            <w:rPr>
              <w:b w:val="0"/>
            </w:rPr>
            <w:fldChar w:fldCharType="separate"/>
          </w:r>
          <w:hyperlink w:anchor="_Toc357412242" w:history="1">
            <w:r w:rsidR="00587239" w:rsidRPr="006007D0">
              <w:rPr>
                <w:rStyle w:val="Hyperlink"/>
                <w:noProof/>
              </w:rPr>
              <w:t>Purpose</w:t>
            </w:r>
            <w:r w:rsidR="00587239">
              <w:rPr>
                <w:noProof/>
                <w:webHidden/>
              </w:rPr>
              <w:tab/>
            </w:r>
            <w:r>
              <w:rPr>
                <w:noProof/>
                <w:webHidden/>
              </w:rPr>
              <w:fldChar w:fldCharType="begin"/>
            </w:r>
            <w:r w:rsidR="00587239">
              <w:rPr>
                <w:noProof/>
                <w:webHidden/>
              </w:rPr>
              <w:instrText xml:space="preserve"> PAGEREF _Toc357412242 \h </w:instrText>
            </w:r>
            <w:r>
              <w:rPr>
                <w:noProof/>
                <w:webHidden/>
              </w:rPr>
            </w:r>
            <w:r>
              <w:rPr>
                <w:noProof/>
                <w:webHidden/>
              </w:rPr>
              <w:fldChar w:fldCharType="separate"/>
            </w:r>
            <w:r w:rsidR="00065656">
              <w:rPr>
                <w:noProof/>
                <w:webHidden/>
              </w:rPr>
              <w:t>5</w:t>
            </w:r>
            <w:r>
              <w:rPr>
                <w:noProof/>
                <w:webHidden/>
              </w:rPr>
              <w:fldChar w:fldCharType="end"/>
            </w:r>
          </w:hyperlink>
        </w:p>
        <w:p w:rsidR="00587239" w:rsidRDefault="005B2AAC">
          <w:pPr>
            <w:pStyle w:val="TOC1"/>
            <w:rPr>
              <w:rFonts w:asciiTheme="minorHAnsi" w:eastAsiaTheme="minorEastAsia" w:hAnsiTheme="minorHAnsi" w:cstheme="minorBidi"/>
              <w:b w:val="0"/>
              <w:noProof/>
              <w:sz w:val="22"/>
              <w:lang w:eastAsia="en-AU"/>
            </w:rPr>
          </w:pPr>
          <w:hyperlink w:anchor="_Toc357412243" w:history="1">
            <w:r w:rsidR="00587239" w:rsidRPr="006007D0">
              <w:rPr>
                <w:rStyle w:val="Hyperlink"/>
                <w:noProof/>
              </w:rPr>
              <w:t>Version history of the PIC/S Guide to GMP</w:t>
            </w:r>
            <w:r w:rsidR="00587239">
              <w:rPr>
                <w:noProof/>
                <w:webHidden/>
              </w:rPr>
              <w:tab/>
            </w:r>
            <w:r w:rsidR="00A02A3E">
              <w:rPr>
                <w:noProof/>
                <w:webHidden/>
              </w:rPr>
              <w:fldChar w:fldCharType="begin"/>
            </w:r>
            <w:r w:rsidR="00587239">
              <w:rPr>
                <w:noProof/>
                <w:webHidden/>
              </w:rPr>
              <w:instrText xml:space="preserve"> PAGEREF _Toc357412243 \h </w:instrText>
            </w:r>
            <w:r w:rsidR="00A02A3E">
              <w:rPr>
                <w:noProof/>
                <w:webHidden/>
              </w:rPr>
            </w:r>
            <w:r w:rsidR="00A02A3E">
              <w:rPr>
                <w:noProof/>
                <w:webHidden/>
              </w:rPr>
              <w:fldChar w:fldCharType="separate"/>
            </w:r>
            <w:r w:rsidR="00065656">
              <w:rPr>
                <w:noProof/>
                <w:webHidden/>
              </w:rPr>
              <w:t>5</w:t>
            </w:r>
            <w:r w:rsidR="00A02A3E">
              <w:rPr>
                <w:noProof/>
                <w:webHidden/>
              </w:rPr>
              <w:fldChar w:fldCharType="end"/>
            </w:r>
          </w:hyperlink>
        </w:p>
        <w:p w:rsidR="00587239" w:rsidRDefault="005B2AAC">
          <w:pPr>
            <w:pStyle w:val="TOC1"/>
            <w:rPr>
              <w:rFonts w:asciiTheme="minorHAnsi" w:eastAsiaTheme="minorEastAsia" w:hAnsiTheme="minorHAnsi" w:cstheme="minorBidi"/>
              <w:b w:val="0"/>
              <w:noProof/>
              <w:sz w:val="22"/>
              <w:lang w:eastAsia="en-AU"/>
            </w:rPr>
          </w:pPr>
          <w:hyperlink w:anchor="_Toc357412244" w:history="1">
            <w:r w:rsidR="00587239" w:rsidRPr="006007D0">
              <w:rPr>
                <w:rStyle w:val="Hyperlink"/>
                <w:noProof/>
              </w:rPr>
              <w:t>Summary of changes PE 009-10 vs PE 009-8</w:t>
            </w:r>
            <w:r w:rsidR="00587239">
              <w:rPr>
                <w:noProof/>
                <w:webHidden/>
              </w:rPr>
              <w:tab/>
            </w:r>
            <w:r w:rsidR="00A02A3E">
              <w:rPr>
                <w:noProof/>
                <w:webHidden/>
              </w:rPr>
              <w:fldChar w:fldCharType="begin"/>
            </w:r>
            <w:r w:rsidR="00587239">
              <w:rPr>
                <w:noProof/>
                <w:webHidden/>
              </w:rPr>
              <w:instrText xml:space="preserve"> PAGEREF _Toc357412244 \h </w:instrText>
            </w:r>
            <w:r w:rsidR="00A02A3E">
              <w:rPr>
                <w:noProof/>
                <w:webHidden/>
              </w:rPr>
            </w:r>
            <w:r w:rsidR="00A02A3E">
              <w:rPr>
                <w:noProof/>
                <w:webHidden/>
              </w:rPr>
              <w:fldChar w:fldCharType="separate"/>
            </w:r>
            <w:r w:rsidR="00065656">
              <w:rPr>
                <w:noProof/>
                <w:webHidden/>
              </w:rPr>
              <w:t>5</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45" w:history="1">
            <w:r w:rsidR="00587239" w:rsidRPr="006007D0">
              <w:rPr>
                <w:rStyle w:val="Hyperlink"/>
                <w:noProof/>
              </w:rPr>
              <w:t>Part I Chapter 4 on Documentation:</w:t>
            </w:r>
            <w:r w:rsidR="00587239">
              <w:rPr>
                <w:noProof/>
                <w:webHidden/>
              </w:rPr>
              <w:tab/>
            </w:r>
            <w:r w:rsidR="00A02A3E">
              <w:rPr>
                <w:noProof/>
                <w:webHidden/>
              </w:rPr>
              <w:fldChar w:fldCharType="begin"/>
            </w:r>
            <w:r w:rsidR="00587239">
              <w:rPr>
                <w:noProof/>
                <w:webHidden/>
              </w:rPr>
              <w:instrText xml:space="preserve"> PAGEREF _Toc357412245 \h </w:instrText>
            </w:r>
            <w:r w:rsidR="00A02A3E">
              <w:rPr>
                <w:noProof/>
                <w:webHidden/>
              </w:rPr>
            </w:r>
            <w:r w:rsidR="00A02A3E">
              <w:rPr>
                <w:noProof/>
                <w:webHidden/>
              </w:rPr>
              <w:fldChar w:fldCharType="separate"/>
            </w:r>
            <w:r w:rsidR="00065656">
              <w:rPr>
                <w:noProof/>
                <w:webHidden/>
              </w:rPr>
              <w:t>5</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46" w:history="1">
            <w:r w:rsidR="00587239" w:rsidRPr="006007D0">
              <w:rPr>
                <w:rStyle w:val="Hyperlink"/>
                <w:noProof/>
              </w:rPr>
              <w:t>Annex 3 on Radiopharmaceuticals:</w:t>
            </w:r>
            <w:r w:rsidR="00587239">
              <w:rPr>
                <w:noProof/>
                <w:webHidden/>
              </w:rPr>
              <w:tab/>
            </w:r>
            <w:r w:rsidR="00A02A3E">
              <w:rPr>
                <w:noProof/>
                <w:webHidden/>
              </w:rPr>
              <w:fldChar w:fldCharType="begin"/>
            </w:r>
            <w:r w:rsidR="00587239">
              <w:rPr>
                <w:noProof/>
                <w:webHidden/>
              </w:rPr>
              <w:instrText xml:space="preserve"> PAGEREF _Toc357412246 \h </w:instrText>
            </w:r>
            <w:r w:rsidR="00A02A3E">
              <w:rPr>
                <w:noProof/>
                <w:webHidden/>
              </w:rPr>
            </w:r>
            <w:r w:rsidR="00A02A3E">
              <w:rPr>
                <w:noProof/>
                <w:webHidden/>
              </w:rPr>
              <w:fldChar w:fldCharType="separate"/>
            </w:r>
            <w:r w:rsidR="00065656">
              <w:rPr>
                <w:noProof/>
                <w:webHidden/>
              </w:rPr>
              <w:t>6</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47" w:history="1">
            <w:r w:rsidR="00587239" w:rsidRPr="006007D0">
              <w:rPr>
                <w:rStyle w:val="Hyperlink"/>
                <w:noProof/>
              </w:rPr>
              <w:t>Annex 6 on Medicinal gases:</w:t>
            </w:r>
            <w:r w:rsidR="00587239">
              <w:rPr>
                <w:noProof/>
                <w:webHidden/>
              </w:rPr>
              <w:tab/>
            </w:r>
            <w:r w:rsidR="00A02A3E">
              <w:rPr>
                <w:noProof/>
                <w:webHidden/>
              </w:rPr>
              <w:fldChar w:fldCharType="begin"/>
            </w:r>
            <w:r w:rsidR="00587239">
              <w:rPr>
                <w:noProof/>
                <w:webHidden/>
              </w:rPr>
              <w:instrText xml:space="preserve"> PAGEREF _Toc357412247 \h </w:instrText>
            </w:r>
            <w:r w:rsidR="00A02A3E">
              <w:rPr>
                <w:noProof/>
                <w:webHidden/>
              </w:rPr>
            </w:r>
            <w:r w:rsidR="00A02A3E">
              <w:rPr>
                <w:noProof/>
                <w:webHidden/>
              </w:rPr>
              <w:fldChar w:fldCharType="separate"/>
            </w:r>
            <w:r w:rsidR="00065656">
              <w:rPr>
                <w:noProof/>
                <w:webHidden/>
              </w:rPr>
              <w:t>6</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48" w:history="1">
            <w:r w:rsidR="00587239" w:rsidRPr="006007D0">
              <w:rPr>
                <w:rStyle w:val="Hyperlink"/>
                <w:noProof/>
              </w:rPr>
              <w:t>Annex 7 on Herbal medicinal products:</w:t>
            </w:r>
            <w:r w:rsidR="00587239">
              <w:rPr>
                <w:noProof/>
                <w:webHidden/>
              </w:rPr>
              <w:tab/>
            </w:r>
            <w:r w:rsidR="00A02A3E">
              <w:rPr>
                <w:noProof/>
                <w:webHidden/>
              </w:rPr>
              <w:fldChar w:fldCharType="begin"/>
            </w:r>
            <w:r w:rsidR="00587239">
              <w:rPr>
                <w:noProof/>
                <w:webHidden/>
              </w:rPr>
              <w:instrText xml:space="preserve"> PAGEREF _Toc357412248 \h </w:instrText>
            </w:r>
            <w:r w:rsidR="00A02A3E">
              <w:rPr>
                <w:noProof/>
                <w:webHidden/>
              </w:rPr>
            </w:r>
            <w:r w:rsidR="00A02A3E">
              <w:rPr>
                <w:noProof/>
                <w:webHidden/>
              </w:rPr>
              <w:fldChar w:fldCharType="separate"/>
            </w:r>
            <w:r w:rsidR="00065656">
              <w:rPr>
                <w:noProof/>
                <w:webHidden/>
              </w:rPr>
              <w:t>6</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49" w:history="1">
            <w:r w:rsidR="00587239" w:rsidRPr="006007D0">
              <w:rPr>
                <w:rStyle w:val="Hyperlink"/>
                <w:noProof/>
              </w:rPr>
              <w:t>Annex 11 on Computerised systems:</w:t>
            </w:r>
            <w:r w:rsidR="00587239">
              <w:rPr>
                <w:noProof/>
                <w:webHidden/>
              </w:rPr>
              <w:tab/>
            </w:r>
            <w:r w:rsidR="00A02A3E">
              <w:rPr>
                <w:noProof/>
                <w:webHidden/>
              </w:rPr>
              <w:fldChar w:fldCharType="begin"/>
            </w:r>
            <w:r w:rsidR="00587239">
              <w:rPr>
                <w:noProof/>
                <w:webHidden/>
              </w:rPr>
              <w:instrText xml:space="preserve"> PAGEREF _Toc357412249 \h </w:instrText>
            </w:r>
            <w:r w:rsidR="00A02A3E">
              <w:rPr>
                <w:noProof/>
                <w:webHidden/>
              </w:rPr>
            </w:r>
            <w:r w:rsidR="00A02A3E">
              <w:rPr>
                <w:noProof/>
                <w:webHidden/>
              </w:rPr>
              <w:fldChar w:fldCharType="separate"/>
            </w:r>
            <w:r w:rsidR="00065656">
              <w:rPr>
                <w:noProof/>
                <w:webHidden/>
              </w:rPr>
              <w:t>7</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50" w:history="1">
            <w:r w:rsidR="00587239" w:rsidRPr="006007D0">
              <w:rPr>
                <w:rStyle w:val="Hyperlink"/>
                <w:noProof/>
              </w:rPr>
              <w:t>Annex 13 on Investigational medicinal products:</w:t>
            </w:r>
            <w:r w:rsidR="00587239">
              <w:rPr>
                <w:noProof/>
                <w:webHidden/>
              </w:rPr>
              <w:tab/>
            </w:r>
            <w:r w:rsidR="00A02A3E">
              <w:rPr>
                <w:noProof/>
                <w:webHidden/>
              </w:rPr>
              <w:fldChar w:fldCharType="begin"/>
            </w:r>
            <w:r w:rsidR="00587239">
              <w:rPr>
                <w:noProof/>
                <w:webHidden/>
              </w:rPr>
              <w:instrText xml:space="preserve"> PAGEREF _Toc357412250 \h </w:instrText>
            </w:r>
            <w:r w:rsidR="00A02A3E">
              <w:rPr>
                <w:noProof/>
                <w:webHidden/>
              </w:rPr>
            </w:r>
            <w:r w:rsidR="00A02A3E">
              <w:rPr>
                <w:noProof/>
                <w:webHidden/>
              </w:rPr>
              <w:fldChar w:fldCharType="separate"/>
            </w:r>
            <w:r w:rsidR="00065656">
              <w:rPr>
                <w:noProof/>
                <w:webHidden/>
              </w:rPr>
              <w:t>7</w:t>
            </w:r>
            <w:r w:rsidR="00A02A3E">
              <w:rPr>
                <w:noProof/>
                <w:webHidden/>
              </w:rPr>
              <w:fldChar w:fldCharType="end"/>
            </w:r>
          </w:hyperlink>
        </w:p>
        <w:p w:rsidR="00587239" w:rsidRDefault="005B2AAC">
          <w:pPr>
            <w:pStyle w:val="TOC1"/>
            <w:rPr>
              <w:rFonts w:asciiTheme="minorHAnsi" w:eastAsiaTheme="minorEastAsia" w:hAnsiTheme="minorHAnsi" w:cstheme="minorBidi"/>
              <w:b w:val="0"/>
              <w:noProof/>
              <w:sz w:val="22"/>
              <w:lang w:eastAsia="en-AU"/>
            </w:rPr>
          </w:pPr>
          <w:hyperlink w:anchor="_Toc357412251" w:history="1">
            <w:r w:rsidR="00587239" w:rsidRPr="006007D0">
              <w:rPr>
                <w:rStyle w:val="Hyperlink"/>
                <w:noProof/>
              </w:rPr>
              <w:t>Complete overview of differences between PE 009-8 and PE 009-10</w:t>
            </w:r>
            <w:r w:rsidR="00587239">
              <w:rPr>
                <w:noProof/>
                <w:webHidden/>
              </w:rPr>
              <w:tab/>
            </w:r>
            <w:r w:rsidR="00A02A3E">
              <w:rPr>
                <w:noProof/>
                <w:webHidden/>
              </w:rPr>
              <w:fldChar w:fldCharType="begin"/>
            </w:r>
            <w:r w:rsidR="00587239">
              <w:rPr>
                <w:noProof/>
                <w:webHidden/>
              </w:rPr>
              <w:instrText xml:space="preserve"> PAGEREF _Toc357412251 \h </w:instrText>
            </w:r>
            <w:r w:rsidR="00A02A3E">
              <w:rPr>
                <w:noProof/>
                <w:webHidden/>
              </w:rPr>
            </w:r>
            <w:r w:rsidR="00A02A3E">
              <w:rPr>
                <w:noProof/>
                <w:webHidden/>
              </w:rPr>
              <w:fldChar w:fldCharType="separate"/>
            </w:r>
            <w:r w:rsidR="00065656">
              <w:rPr>
                <w:noProof/>
                <w:webHidden/>
              </w:rPr>
              <w:t>8</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52" w:history="1">
            <w:r w:rsidR="00587239" w:rsidRPr="006007D0">
              <w:rPr>
                <w:rStyle w:val="Hyperlink"/>
                <w:noProof/>
              </w:rPr>
              <w:t>Part I Chapter 4 – Documentation</w:t>
            </w:r>
            <w:r w:rsidR="00587239">
              <w:rPr>
                <w:noProof/>
                <w:webHidden/>
              </w:rPr>
              <w:tab/>
            </w:r>
            <w:r w:rsidR="00A02A3E">
              <w:rPr>
                <w:noProof/>
                <w:webHidden/>
              </w:rPr>
              <w:fldChar w:fldCharType="begin"/>
            </w:r>
            <w:r w:rsidR="00587239">
              <w:rPr>
                <w:noProof/>
                <w:webHidden/>
              </w:rPr>
              <w:instrText xml:space="preserve"> PAGEREF _Toc357412252 \h </w:instrText>
            </w:r>
            <w:r w:rsidR="00A02A3E">
              <w:rPr>
                <w:noProof/>
                <w:webHidden/>
              </w:rPr>
            </w:r>
            <w:r w:rsidR="00A02A3E">
              <w:rPr>
                <w:noProof/>
                <w:webHidden/>
              </w:rPr>
              <w:fldChar w:fldCharType="separate"/>
            </w:r>
            <w:r w:rsidR="00065656">
              <w:rPr>
                <w:noProof/>
                <w:webHidden/>
              </w:rPr>
              <w:t>8</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53" w:history="1">
            <w:r w:rsidR="00587239" w:rsidRPr="006007D0">
              <w:rPr>
                <w:rStyle w:val="Hyperlink"/>
                <w:noProof/>
              </w:rPr>
              <w:t>Annex 3 - Radiopharmaceuticals</w:t>
            </w:r>
            <w:r w:rsidR="00587239">
              <w:rPr>
                <w:noProof/>
                <w:webHidden/>
              </w:rPr>
              <w:tab/>
            </w:r>
            <w:r w:rsidR="00A02A3E">
              <w:rPr>
                <w:noProof/>
                <w:webHidden/>
              </w:rPr>
              <w:fldChar w:fldCharType="begin"/>
            </w:r>
            <w:r w:rsidR="00587239">
              <w:rPr>
                <w:noProof/>
                <w:webHidden/>
              </w:rPr>
              <w:instrText xml:space="preserve"> PAGEREF _Toc357412253 \h </w:instrText>
            </w:r>
            <w:r w:rsidR="00A02A3E">
              <w:rPr>
                <w:noProof/>
                <w:webHidden/>
              </w:rPr>
            </w:r>
            <w:r w:rsidR="00A02A3E">
              <w:rPr>
                <w:noProof/>
                <w:webHidden/>
              </w:rPr>
              <w:fldChar w:fldCharType="separate"/>
            </w:r>
            <w:r w:rsidR="00065656">
              <w:rPr>
                <w:noProof/>
                <w:webHidden/>
              </w:rPr>
              <w:t>29</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54" w:history="1">
            <w:r w:rsidR="00587239" w:rsidRPr="006007D0">
              <w:rPr>
                <w:rStyle w:val="Hyperlink"/>
                <w:noProof/>
              </w:rPr>
              <w:t>Annex 6 – Medicinal gases</w:t>
            </w:r>
            <w:r w:rsidR="00587239">
              <w:rPr>
                <w:noProof/>
                <w:webHidden/>
              </w:rPr>
              <w:tab/>
            </w:r>
            <w:r w:rsidR="00A02A3E">
              <w:rPr>
                <w:noProof/>
                <w:webHidden/>
              </w:rPr>
              <w:fldChar w:fldCharType="begin"/>
            </w:r>
            <w:r w:rsidR="00587239">
              <w:rPr>
                <w:noProof/>
                <w:webHidden/>
              </w:rPr>
              <w:instrText xml:space="preserve"> PAGEREF _Toc357412254 \h </w:instrText>
            </w:r>
            <w:r w:rsidR="00A02A3E">
              <w:rPr>
                <w:noProof/>
                <w:webHidden/>
              </w:rPr>
            </w:r>
            <w:r w:rsidR="00A02A3E">
              <w:rPr>
                <w:noProof/>
                <w:webHidden/>
              </w:rPr>
              <w:fldChar w:fldCharType="separate"/>
            </w:r>
            <w:r w:rsidR="00065656">
              <w:rPr>
                <w:noProof/>
                <w:webHidden/>
              </w:rPr>
              <w:t>52</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55" w:history="1">
            <w:r w:rsidR="00587239" w:rsidRPr="006007D0">
              <w:rPr>
                <w:rStyle w:val="Hyperlink"/>
                <w:noProof/>
              </w:rPr>
              <w:t>Annex 7: Herbal medicinal products</w:t>
            </w:r>
            <w:r w:rsidR="00587239">
              <w:rPr>
                <w:noProof/>
                <w:webHidden/>
              </w:rPr>
              <w:tab/>
            </w:r>
            <w:r w:rsidR="00A02A3E">
              <w:rPr>
                <w:noProof/>
                <w:webHidden/>
              </w:rPr>
              <w:fldChar w:fldCharType="begin"/>
            </w:r>
            <w:r w:rsidR="00587239">
              <w:rPr>
                <w:noProof/>
                <w:webHidden/>
              </w:rPr>
              <w:instrText xml:space="preserve"> PAGEREF _Toc357412255 \h </w:instrText>
            </w:r>
            <w:r w:rsidR="00A02A3E">
              <w:rPr>
                <w:noProof/>
                <w:webHidden/>
              </w:rPr>
            </w:r>
            <w:r w:rsidR="00A02A3E">
              <w:rPr>
                <w:noProof/>
                <w:webHidden/>
              </w:rPr>
              <w:fldChar w:fldCharType="separate"/>
            </w:r>
            <w:r w:rsidR="00065656">
              <w:rPr>
                <w:noProof/>
                <w:webHidden/>
              </w:rPr>
              <w:t>72</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56" w:history="1">
            <w:r w:rsidR="00587239" w:rsidRPr="006007D0">
              <w:rPr>
                <w:rStyle w:val="Hyperlink"/>
                <w:noProof/>
              </w:rPr>
              <w:t>Annex 11 – Computerised systems</w:t>
            </w:r>
            <w:r w:rsidR="00587239">
              <w:rPr>
                <w:noProof/>
                <w:webHidden/>
              </w:rPr>
              <w:tab/>
            </w:r>
            <w:r w:rsidR="00A02A3E">
              <w:rPr>
                <w:noProof/>
                <w:webHidden/>
              </w:rPr>
              <w:fldChar w:fldCharType="begin"/>
            </w:r>
            <w:r w:rsidR="00587239">
              <w:rPr>
                <w:noProof/>
                <w:webHidden/>
              </w:rPr>
              <w:instrText xml:space="preserve"> PAGEREF _Toc357412256 \h </w:instrText>
            </w:r>
            <w:r w:rsidR="00A02A3E">
              <w:rPr>
                <w:noProof/>
                <w:webHidden/>
              </w:rPr>
            </w:r>
            <w:r w:rsidR="00A02A3E">
              <w:rPr>
                <w:noProof/>
                <w:webHidden/>
              </w:rPr>
              <w:fldChar w:fldCharType="separate"/>
            </w:r>
            <w:r w:rsidR="00065656">
              <w:rPr>
                <w:noProof/>
                <w:webHidden/>
              </w:rPr>
              <w:t>81</w:t>
            </w:r>
            <w:r w:rsidR="00A02A3E">
              <w:rPr>
                <w:noProof/>
                <w:webHidden/>
              </w:rPr>
              <w:fldChar w:fldCharType="end"/>
            </w:r>
          </w:hyperlink>
        </w:p>
        <w:p w:rsidR="00587239" w:rsidRDefault="005B2AAC">
          <w:pPr>
            <w:pStyle w:val="TOC2"/>
            <w:rPr>
              <w:rFonts w:asciiTheme="minorHAnsi" w:eastAsiaTheme="minorEastAsia" w:hAnsiTheme="minorHAnsi" w:cstheme="minorBidi"/>
              <w:b w:val="0"/>
              <w:noProof/>
              <w:sz w:val="22"/>
              <w:lang w:eastAsia="en-AU"/>
            </w:rPr>
          </w:pPr>
          <w:hyperlink w:anchor="_Toc357412257" w:history="1">
            <w:r w:rsidR="00587239" w:rsidRPr="006007D0">
              <w:rPr>
                <w:rStyle w:val="Hyperlink"/>
                <w:noProof/>
              </w:rPr>
              <w:t>Annex 13 – Investigational medicinal products</w:t>
            </w:r>
            <w:r w:rsidR="00587239">
              <w:rPr>
                <w:noProof/>
                <w:webHidden/>
              </w:rPr>
              <w:tab/>
            </w:r>
            <w:r w:rsidR="00A02A3E">
              <w:rPr>
                <w:noProof/>
                <w:webHidden/>
              </w:rPr>
              <w:fldChar w:fldCharType="begin"/>
            </w:r>
            <w:r w:rsidR="00587239">
              <w:rPr>
                <w:noProof/>
                <w:webHidden/>
              </w:rPr>
              <w:instrText xml:space="preserve"> PAGEREF _Toc357412257 \h </w:instrText>
            </w:r>
            <w:r w:rsidR="00A02A3E">
              <w:rPr>
                <w:noProof/>
                <w:webHidden/>
              </w:rPr>
            </w:r>
            <w:r w:rsidR="00A02A3E">
              <w:rPr>
                <w:noProof/>
                <w:webHidden/>
              </w:rPr>
              <w:fldChar w:fldCharType="separate"/>
            </w:r>
            <w:r w:rsidR="00065656">
              <w:rPr>
                <w:noProof/>
                <w:webHidden/>
              </w:rPr>
              <w:t>91</w:t>
            </w:r>
            <w:r w:rsidR="00A02A3E">
              <w:rPr>
                <w:noProof/>
                <w:webHidden/>
              </w:rPr>
              <w:fldChar w:fldCharType="end"/>
            </w:r>
          </w:hyperlink>
        </w:p>
        <w:p w:rsidR="00FE206C" w:rsidRDefault="00A02A3E" w:rsidP="003D3B63">
          <w:pPr>
            <w:pStyle w:val="TOC3"/>
          </w:pPr>
          <w:r>
            <w:rPr>
              <w:rFonts w:ascii="Arial" w:hAnsi="Arial"/>
              <w:b/>
              <w:sz w:val="32"/>
            </w:rPr>
            <w:fldChar w:fldCharType="end"/>
          </w:r>
        </w:p>
      </w:sdtContent>
    </w:sdt>
    <w:p w:rsidR="00406DB9" w:rsidRDefault="00406DB9" w:rsidP="00AA3EB9">
      <w:pPr>
        <w:spacing w:before="0" w:after="0" w:line="240" w:lineRule="auto"/>
      </w:pPr>
    </w:p>
    <w:p w:rsidR="00AA3EB9" w:rsidRDefault="001525B4" w:rsidP="00AA3EB9">
      <w:pPr>
        <w:spacing w:before="0" w:after="0" w:line="240" w:lineRule="auto"/>
      </w:pPr>
      <w:r>
        <w:br w:type="page"/>
      </w:r>
    </w:p>
    <w:p w:rsidR="00D800FC" w:rsidRDefault="00D800FC" w:rsidP="00CB73C5">
      <w:pPr>
        <w:pStyle w:val="Heading2"/>
      </w:pPr>
      <w:bookmarkStart w:id="1" w:name="_Toc357412242"/>
      <w:r>
        <w:lastRenderedPageBreak/>
        <w:t>Purpose</w:t>
      </w:r>
      <w:bookmarkEnd w:id="1"/>
    </w:p>
    <w:p w:rsidR="00D800FC" w:rsidRPr="00D800FC" w:rsidRDefault="00D800FC" w:rsidP="00D800FC">
      <w:r w:rsidRPr="00D800FC">
        <w:t>This document provides a short summary of main changes, and subsequently a table that provides a full overview of all differences between PE 009-10 (the current version adopted by PIC/S as per 1 January 2013) and PE 009-8 (15 January 2009</w:t>
      </w:r>
      <w:r w:rsidR="00587239">
        <w:t>—</w:t>
      </w:r>
      <w:r w:rsidRPr="00D800FC">
        <w:t>currently adopted in the Manufacturing Principles).</w:t>
      </w:r>
    </w:p>
    <w:p w:rsidR="001525B4" w:rsidRDefault="00D800FC" w:rsidP="00CB73C5">
      <w:pPr>
        <w:pStyle w:val="Heading2"/>
      </w:pPr>
      <w:bookmarkStart w:id="2" w:name="_Toc357412243"/>
      <w:r w:rsidRPr="00D800FC">
        <w:t>Version history of the PIC/S Guide to GMP</w:t>
      </w:r>
      <w:bookmarkEnd w:id="2"/>
    </w:p>
    <w:p w:rsidR="00D800FC" w:rsidRDefault="00D800FC" w:rsidP="00D800FC">
      <w:r w:rsidRPr="00D800FC">
        <w:t xml:space="preserve">The recent </w:t>
      </w:r>
      <w:r>
        <w:t>v</w:t>
      </w:r>
      <w:r w:rsidRPr="00D800FC">
        <w:t>ersion history of the PIC/S Guide to GMP is:</w:t>
      </w:r>
    </w:p>
    <w:tbl>
      <w:tblPr>
        <w:tblStyle w:val="TableTGAblue"/>
        <w:tblW w:w="0" w:type="auto"/>
        <w:tblLook w:val="04A0" w:firstRow="1" w:lastRow="0" w:firstColumn="1" w:lastColumn="0" w:noHBand="0" w:noVBand="1"/>
      </w:tblPr>
      <w:tblGrid>
        <w:gridCol w:w="2093"/>
        <w:gridCol w:w="1984"/>
        <w:gridCol w:w="4643"/>
      </w:tblGrid>
      <w:tr w:rsidR="00D800FC" w:rsidTr="00D800FC">
        <w:trPr>
          <w:cnfStyle w:val="100000000000" w:firstRow="1" w:lastRow="0" w:firstColumn="0" w:lastColumn="0" w:oddVBand="0" w:evenVBand="0" w:oddHBand="0" w:evenHBand="0" w:firstRowFirstColumn="0" w:firstRowLastColumn="0" w:lastRowFirstColumn="0" w:lastRowLastColumn="0"/>
        </w:trPr>
        <w:tc>
          <w:tcPr>
            <w:tcW w:w="2093" w:type="dxa"/>
          </w:tcPr>
          <w:p w:rsidR="00D800FC" w:rsidRDefault="00D800FC" w:rsidP="00D800FC">
            <w:pPr>
              <w:keepNext w:val="0"/>
            </w:pPr>
            <w:r w:rsidRPr="00D800FC">
              <w:t>Date</w:t>
            </w:r>
          </w:p>
        </w:tc>
        <w:tc>
          <w:tcPr>
            <w:tcW w:w="1984" w:type="dxa"/>
          </w:tcPr>
          <w:p w:rsidR="00D800FC" w:rsidRDefault="00D800FC" w:rsidP="00D800FC">
            <w:r w:rsidRPr="00D800FC">
              <w:t>Version number</w:t>
            </w:r>
          </w:p>
        </w:tc>
        <w:tc>
          <w:tcPr>
            <w:tcW w:w="4643" w:type="dxa"/>
          </w:tcPr>
          <w:p w:rsidR="00D800FC" w:rsidRDefault="00D800FC" w:rsidP="00D800FC">
            <w:r w:rsidRPr="00D800FC">
              <w:t>Reasons for revision</w:t>
            </w:r>
          </w:p>
        </w:tc>
      </w:tr>
      <w:tr w:rsidR="00D800FC" w:rsidTr="00D800FC">
        <w:tc>
          <w:tcPr>
            <w:tcW w:w="2093" w:type="dxa"/>
          </w:tcPr>
          <w:p w:rsidR="00D800FC" w:rsidRDefault="00D800FC" w:rsidP="00D800FC">
            <w:pPr>
              <w:keepNext w:val="0"/>
            </w:pPr>
            <w:r w:rsidRPr="00D800FC">
              <w:t>1 September 2007</w:t>
            </w:r>
          </w:p>
        </w:tc>
        <w:tc>
          <w:tcPr>
            <w:tcW w:w="1984" w:type="dxa"/>
          </w:tcPr>
          <w:p w:rsidR="00D800FC" w:rsidRDefault="00D800FC" w:rsidP="00D800FC">
            <w:r w:rsidRPr="00D800FC">
              <w:t>PE 009-7</w:t>
            </w:r>
          </w:p>
        </w:tc>
        <w:tc>
          <w:tcPr>
            <w:tcW w:w="4643" w:type="dxa"/>
          </w:tcPr>
          <w:p w:rsidR="00D800FC" w:rsidRDefault="00D800FC" w:rsidP="00D800FC">
            <w:pPr>
              <w:pStyle w:val="ListBullet"/>
            </w:pPr>
            <w:r>
              <w:t>Revision of General Introduction (“History”) and Introduction to Part II</w:t>
            </w:r>
          </w:p>
          <w:p w:rsidR="00D800FC" w:rsidRDefault="00D800FC" w:rsidP="00D800FC">
            <w:pPr>
              <w:pStyle w:val="ListBullet"/>
            </w:pPr>
            <w:r>
              <w:t>Deletion of footnotes in Chapter 6 (Part I) and Annex 13</w:t>
            </w:r>
          </w:p>
        </w:tc>
      </w:tr>
      <w:tr w:rsidR="00D800FC" w:rsidTr="00D800FC">
        <w:tc>
          <w:tcPr>
            <w:tcW w:w="2093" w:type="dxa"/>
          </w:tcPr>
          <w:p w:rsidR="00D800FC" w:rsidRDefault="00D800FC" w:rsidP="00D800FC">
            <w:pPr>
              <w:keepNext w:val="0"/>
            </w:pPr>
            <w:r w:rsidRPr="00D800FC">
              <w:t>15 January 2009</w:t>
            </w:r>
          </w:p>
        </w:tc>
        <w:tc>
          <w:tcPr>
            <w:tcW w:w="1984" w:type="dxa"/>
          </w:tcPr>
          <w:p w:rsidR="00D800FC" w:rsidRDefault="00D800FC" w:rsidP="00D800FC">
            <w:r w:rsidRPr="00D800FC">
              <w:t>PE 009-8</w:t>
            </w:r>
          </w:p>
        </w:tc>
        <w:tc>
          <w:tcPr>
            <w:tcW w:w="4643" w:type="dxa"/>
          </w:tcPr>
          <w:p w:rsidR="00D800FC" w:rsidRDefault="00D800FC" w:rsidP="00D800FC">
            <w:pPr>
              <w:pStyle w:val="ListBullet"/>
            </w:pPr>
            <w:r>
              <w:t>Revision of Chapter 1 (Part I)</w:t>
            </w:r>
          </w:p>
          <w:p w:rsidR="00D800FC" w:rsidRDefault="00D800FC" w:rsidP="00D800FC">
            <w:pPr>
              <w:pStyle w:val="ListBullet"/>
            </w:pPr>
            <w:r>
              <w:t>Revision of Annex 1</w:t>
            </w:r>
          </w:p>
          <w:p w:rsidR="00D800FC" w:rsidRDefault="00D800FC" w:rsidP="00D800FC">
            <w:pPr>
              <w:pStyle w:val="ListBullet"/>
            </w:pPr>
            <w:r>
              <w:t>New Annex 20</w:t>
            </w:r>
          </w:p>
        </w:tc>
      </w:tr>
      <w:tr w:rsidR="00D800FC" w:rsidTr="00D800FC">
        <w:tc>
          <w:tcPr>
            <w:tcW w:w="2093" w:type="dxa"/>
          </w:tcPr>
          <w:p w:rsidR="00D800FC" w:rsidRDefault="00D800FC" w:rsidP="00D800FC">
            <w:pPr>
              <w:keepNext w:val="0"/>
            </w:pPr>
            <w:r w:rsidRPr="00D800FC">
              <w:t>1 September 2009</w:t>
            </w:r>
          </w:p>
        </w:tc>
        <w:tc>
          <w:tcPr>
            <w:tcW w:w="1984" w:type="dxa"/>
          </w:tcPr>
          <w:p w:rsidR="00D800FC" w:rsidRDefault="00D800FC" w:rsidP="00D800FC">
            <w:r w:rsidRPr="00D800FC">
              <w:t>PE 009-09</w:t>
            </w:r>
          </w:p>
        </w:tc>
        <w:tc>
          <w:tcPr>
            <w:tcW w:w="4643" w:type="dxa"/>
          </w:tcPr>
          <w:p w:rsidR="00D800FC" w:rsidRDefault="00D800FC" w:rsidP="00D800FC">
            <w:pPr>
              <w:pStyle w:val="ListBullet"/>
            </w:pPr>
            <w:r w:rsidRPr="00D800FC">
              <w:t>Revision of Annex 3</w:t>
            </w:r>
          </w:p>
        </w:tc>
      </w:tr>
      <w:tr w:rsidR="00D800FC" w:rsidTr="00D800FC">
        <w:tc>
          <w:tcPr>
            <w:tcW w:w="2093" w:type="dxa"/>
          </w:tcPr>
          <w:p w:rsidR="00D800FC" w:rsidRDefault="00D800FC" w:rsidP="00D800FC">
            <w:pPr>
              <w:keepNext w:val="0"/>
            </w:pPr>
            <w:r w:rsidRPr="00D800FC">
              <w:t>1 January 2013</w:t>
            </w:r>
          </w:p>
        </w:tc>
        <w:tc>
          <w:tcPr>
            <w:tcW w:w="1984" w:type="dxa"/>
          </w:tcPr>
          <w:p w:rsidR="00D800FC" w:rsidRDefault="00D800FC" w:rsidP="00D800FC">
            <w:r w:rsidRPr="00D800FC">
              <w:t>PE 009-10</w:t>
            </w:r>
          </w:p>
        </w:tc>
        <w:tc>
          <w:tcPr>
            <w:tcW w:w="4643" w:type="dxa"/>
          </w:tcPr>
          <w:p w:rsidR="00D800FC" w:rsidRDefault="00D800FC" w:rsidP="00D800FC">
            <w:pPr>
              <w:pStyle w:val="ListBullet"/>
            </w:pPr>
            <w:r>
              <w:t>Revision of Chapter 4 (Part I)</w:t>
            </w:r>
          </w:p>
          <w:p w:rsidR="00D800FC" w:rsidRDefault="00D800FC" w:rsidP="00D800FC">
            <w:pPr>
              <w:pStyle w:val="ListBullet"/>
            </w:pPr>
            <w:r>
              <w:t>Revision of Annexes 6, 7, 11 &amp; 13</w:t>
            </w:r>
          </w:p>
        </w:tc>
      </w:tr>
    </w:tbl>
    <w:p w:rsidR="00D800FC" w:rsidRDefault="00D800FC" w:rsidP="00D800FC">
      <w:pPr>
        <w:pStyle w:val="Heading2"/>
      </w:pPr>
      <w:bookmarkStart w:id="3" w:name="_Toc357412244"/>
      <w:r w:rsidRPr="00D800FC">
        <w:t>Summary o</w:t>
      </w:r>
      <w:r>
        <w:t>f changes PE 009-10 vs PE 009-8</w:t>
      </w:r>
      <w:bookmarkEnd w:id="3"/>
    </w:p>
    <w:p w:rsidR="00D800FC" w:rsidRDefault="00D800FC" w:rsidP="00D800FC">
      <w:pPr>
        <w:pStyle w:val="Heading3"/>
      </w:pPr>
      <w:bookmarkStart w:id="4" w:name="_Toc357412245"/>
      <w:r>
        <w:t>Part I Chapter 4 on Documentation:</w:t>
      </w:r>
      <w:bookmarkEnd w:id="4"/>
    </w:p>
    <w:p w:rsidR="00D800FC" w:rsidRDefault="00D800FC" w:rsidP="00D800FC">
      <w:pPr>
        <w:pStyle w:val="ListBullet"/>
      </w:pPr>
      <w:r>
        <w:t>Principle and clauses 4.1 – 4.9: rewrite to increase clarity but with no additional requirements</w:t>
      </w:r>
    </w:p>
    <w:p w:rsidR="00D800FC" w:rsidRDefault="00D800FC" w:rsidP="00D800FC">
      <w:pPr>
        <w:pStyle w:val="ListBullet"/>
      </w:pPr>
      <w:r>
        <w:t>Clauses 4.10 – 4.12: additional guidance on retention of batch documentation, allowing manufacturers to apply Quality Risk Management (QRM) principles</w:t>
      </w:r>
    </w:p>
    <w:p w:rsidR="00D800FC" w:rsidRDefault="00D800FC" w:rsidP="00D800FC">
      <w:pPr>
        <w:pStyle w:val="ListBullet"/>
      </w:pPr>
      <w:r>
        <w:t>Clauses 4.15-4.21: minor additions to the required contents for certain instructions and records</w:t>
      </w:r>
    </w:p>
    <w:p w:rsidR="00D800FC" w:rsidRDefault="00D800FC" w:rsidP="00D800FC">
      <w:pPr>
        <w:pStyle w:val="ListBullet"/>
      </w:pPr>
      <w:r>
        <w:lastRenderedPageBreak/>
        <w:t>Clause 4.29: several additions to a list of required procedures, yet all additions were already required based on other parts of GMP</w:t>
      </w:r>
    </w:p>
    <w:p w:rsidR="00D800FC" w:rsidRDefault="00D800FC" w:rsidP="00D800FC">
      <w:pPr>
        <w:pStyle w:val="ListBullet"/>
      </w:pPr>
      <w:r>
        <w:t>In total: no changes classified as major, 7 changes classified as minor</w:t>
      </w:r>
    </w:p>
    <w:p w:rsidR="00D800FC" w:rsidRDefault="00D800FC" w:rsidP="00D800FC">
      <w:pPr>
        <w:pStyle w:val="Heading3"/>
      </w:pPr>
      <w:bookmarkStart w:id="5" w:name="_Toc357412246"/>
      <w:r>
        <w:t>Annex 3 on Radiopharmaceuticals:</w:t>
      </w:r>
      <w:bookmarkEnd w:id="5"/>
    </w:p>
    <w:p w:rsidR="00D800FC" w:rsidRDefault="00D800FC" w:rsidP="00D800FC">
      <w:pPr>
        <w:pStyle w:val="ListBullet"/>
      </w:pPr>
      <w:r>
        <w:t>Clauses 17 &amp; 20: More explicit detailing of requirements relating to prevention of cross contamination</w:t>
      </w:r>
    </w:p>
    <w:p w:rsidR="00D800FC" w:rsidRDefault="00D800FC" w:rsidP="00D800FC">
      <w:pPr>
        <w:pStyle w:val="ListBullet"/>
      </w:pPr>
      <w:r>
        <w:t>Clause 18: Explicit mention of requirement to have gowning facilities at entry of production area. Manufacturers of sterile radiopharmaceuticals already have more stringent requirements based on Annex 1; manufacturers of  non-sterile radiopharmaceuticals only are already required to have such gowning facilities based on the general Chapters of GMP</w:t>
      </w:r>
    </w:p>
    <w:p w:rsidR="00D800FC" w:rsidRDefault="00D800FC" w:rsidP="00D800FC">
      <w:pPr>
        <w:pStyle w:val="ListBullet"/>
      </w:pPr>
      <w:r>
        <w:t>Various clauses: Introduction of QRM principles</w:t>
      </w:r>
    </w:p>
    <w:p w:rsidR="00D800FC" w:rsidRDefault="00D800FC" w:rsidP="00D800FC">
      <w:pPr>
        <w:pStyle w:val="ListBullet"/>
      </w:pPr>
      <w:r>
        <w:t>Clause 27: Increase of the requirements relating positioning of closed systems: from grade D to grade C, may result in manufacturers having to upgrade their air handling systems and monitoring programs (Major)</w:t>
      </w:r>
    </w:p>
    <w:p w:rsidR="00D800FC" w:rsidRDefault="00D800FC" w:rsidP="00D800FC">
      <w:pPr>
        <w:pStyle w:val="ListBullet"/>
      </w:pPr>
      <w:r>
        <w:t>Clause 33: Introduction of a fixed retention period for batch records</w:t>
      </w:r>
    </w:p>
    <w:p w:rsidR="00D800FC" w:rsidRDefault="00D800FC" w:rsidP="00D800FC">
      <w:pPr>
        <w:pStyle w:val="ListBullet"/>
      </w:pPr>
      <w:r>
        <w:t>In total: 1 major change, 6 minor ones</w:t>
      </w:r>
    </w:p>
    <w:p w:rsidR="00D800FC" w:rsidRDefault="00D800FC" w:rsidP="00D800FC">
      <w:pPr>
        <w:pStyle w:val="Heading3"/>
      </w:pPr>
      <w:bookmarkStart w:id="6" w:name="_Toc357412247"/>
      <w:r>
        <w:t>Annex 6 on Medicinal gases:</w:t>
      </w:r>
      <w:bookmarkEnd w:id="6"/>
    </w:p>
    <w:p w:rsidR="00D800FC" w:rsidRDefault="00D800FC" w:rsidP="00D800FC">
      <w:pPr>
        <w:pStyle w:val="ListBullet"/>
      </w:pPr>
      <w:r>
        <w:t>Full rewrite of the entire Annex, providing some further detail and clarification, but also specifically introducing the application of QRM in various areas</w:t>
      </w:r>
    </w:p>
    <w:p w:rsidR="00D800FC" w:rsidRDefault="00D800FC" w:rsidP="00D800FC">
      <w:pPr>
        <w:pStyle w:val="ListBullet"/>
      </w:pPr>
      <w:r>
        <w:t>Clauses 5 and 6 broaden the requirements relating to training, now including expectations for staff to be trained on hazards to patients and for subcontractor staff to be trained by the manufacturer</w:t>
      </w:r>
    </w:p>
    <w:p w:rsidR="00D800FC" w:rsidRDefault="00D800FC" w:rsidP="00D800FC">
      <w:pPr>
        <w:pStyle w:val="ListBullet"/>
      </w:pPr>
      <w:r>
        <w:t>Clauses 17 and 18: clause 17 provides some additional detail to the overview of parameters to be recorded during batch manufacture, and clause 18 specifically repeats part of this overview for bulk deliveries to hospitals, which was previously not covered by this Annex</w:t>
      </w:r>
    </w:p>
    <w:p w:rsidR="00D800FC" w:rsidRDefault="00D800FC" w:rsidP="00D800FC">
      <w:pPr>
        <w:pStyle w:val="ListBullet"/>
      </w:pPr>
      <w:r>
        <w:t>In total: no major changes, 5 minor ones</w:t>
      </w:r>
    </w:p>
    <w:p w:rsidR="00D800FC" w:rsidRDefault="00D800FC" w:rsidP="00D800FC">
      <w:pPr>
        <w:pStyle w:val="Heading3"/>
      </w:pPr>
      <w:bookmarkStart w:id="7" w:name="_Toc357412248"/>
      <w:r>
        <w:t>Annex 7 on Herbal medicinal products:</w:t>
      </w:r>
      <w:bookmarkEnd w:id="7"/>
    </w:p>
    <w:p w:rsidR="00D800FC" w:rsidRDefault="00D800FC" w:rsidP="00D800FC">
      <w:pPr>
        <w:pStyle w:val="ListBullet"/>
      </w:pPr>
      <w:r>
        <w:t>Principle and several clauses: Introduction of Good Agricultural and Collection Practices as a standard for herb growers to comply with, leaving the responsibility to assess compliance with the finished product manufacturers</w:t>
      </w:r>
    </w:p>
    <w:p w:rsidR="00D800FC" w:rsidRDefault="00D800FC" w:rsidP="00D800FC">
      <w:pPr>
        <w:pStyle w:val="ListBullet"/>
      </w:pPr>
      <w:r>
        <w:t>Various clauses: Introduction of QRM principles</w:t>
      </w:r>
    </w:p>
    <w:p w:rsidR="00D800FC" w:rsidRDefault="00D800FC" w:rsidP="00D800FC">
      <w:pPr>
        <w:pStyle w:val="ListBullet"/>
      </w:pPr>
      <w:r>
        <w:t>Various clauses: Replacing generic terminology with more precise terms</w:t>
      </w:r>
    </w:p>
    <w:p w:rsidR="00D800FC" w:rsidRDefault="00D800FC" w:rsidP="00D800FC">
      <w:pPr>
        <w:pStyle w:val="ListBullet"/>
      </w:pPr>
      <w:r>
        <w:t>Clauses 9 – 12: Further elaboration on requirements on cleaning herbal materials, removal of foreign matter and checking for adulteration</w:t>
      </w:r>
    </w:p>
    <w:p w:rsidR="00D800FC" w:rsidRDefault="00D800FC" w:rsidP="00D800FC">
      <w:pPr>
        <w:pStyle w:val="ListBullet"/>
      </w:pPr>
      <w:r>
        <w:lastRenderedPageBreak/>
        <w:t>In total: no major changes, 4 minor ones</w:t>
      </w:r>
    </w:p>
    <w:p w:rsidR="00D800FC" w:rsidRDefault="00D800FC" w:rsidP="00D800FC">
      <w:pPr>
        <w:pStyle w:val="Heading3"/>
      </w:pPr>
      <w:bookmarkStart w:id="8" w:name="_Toc357412249"/>
      <w:r>
        <w:t>Annex 11 on Computerised systems:</w:t>
      </w:r>
      <w:bookmarkEnd w:id="8"/>
    </w:p>
    <w:p w:rsidR="00D800FC" w:rsidRDefault="00D800FC" w:rsidP="00D800FC">
      <w:pPr>
        <w:pStyle w:val="ListBullet"/>
      </w:pPr>
      <w:r>
        <w:t>Significant rewrite of the entire Annex to align with current standards developed by industry, to increase clarity and to reduce prescriptive characteristics of the Annex where possible</w:t>
      </w:r>
    </w:p>
    <w:p w:rsidR="00D800FC" w:rsidRDefault="00D800FC" w:rsidP="00D800FC">
      <w:pPr>
        <w:pStyle w:val="ListBullet"/>
      </w:pPr>
      <w:r>
        <w:t>Various clauses: Introduction of QRM principles</w:t>
      </w:r>
    </w:p>
    <w:p w:rsidR="00D800FC" w:rsidRDefault="00D800FC" w:rsidP="00D800FC">
      <w:pPr>
        <w:pStyle w:val="ListBullet"/>
      </w:pPr>
      <w:r>
        <w:t>Clause 11: Introduction of a requirement to periodically review computerised systems for their validated state, which is a further specification of an existing requirement following Chapter 5 clause 5.24</w:t>
      </w:r>
    </w:p>
    <w:p w:rsidR="00D800FC" w:rsidRDefault="00D800FC" w:rsidP="00D800FC">
      <w:pPr>
        <w:pStyle w:val="ListBullet"/>
      </w:pPr>
      <w:r>
        <w:t>In total: no major changes, 12 minor ones</w:t>
      </w:r>
    </w:p>
    <w:p w:rsidR="00D800FC" w:rsidRDefault="00D800FC" w:rsidP="00D800FC">
      <w:pPr>
        <w:pStyle w:val="Heading3"/>
      </w:pPr>
      <w:bookmarkStart w:id="9" w:name="_Toc357412250"/>
      <w:r>
        <w:t>Annex 13 on Investigational medicinal products:</w:t>
      </w:r>
      <w:bookmarkEnd w:id="9"/>
    </w:p>
    <w:p w:rsidR="00D800FC" w:rsidRDefault="00D800FC" w:rsidP="0037794F">
      <w:pPr>
        <w:pStyle w:val="ListBullet"/>
      </w:pPr>
      <w:r>
        <w:t>Principle and various clauses: Providing additional detail and clarification</w:t>
      </w:r>
    </w:p>
    <w:p w:rsidR="00D800FC" w:rsidRDefault="00D800FC" w:rsidP="0037794F">
      <w:pPr>
        <w:pStyle w:val="ListBullet"/>
      </w:pPr>
      <w:r>
        <w:t>Various clauses: Introduction of QRM principles</w:t>
      </w:r>
    </w:p>
    <w:p w:rsidR="00D800FC" w:rsidRDefault="00D800FC" w:rsidP="0037794F">
      <w:pPr>
        <w:pStyle w:val="ListBullet"/>
      </w:pPr>
      <w:r>
        <w:t>Clauses 36 &amp; 37: Bringing requirements relating to retention samples in line with existing Annex 19</w:t>
      </w:r>
    </w:p>
    <w:p w:rsidR="00D800FC" w:rsidRPr="00D800FC" w:rsidRDefault="00D800FC" w:rsidP="0037794F">
      <w:pPr>
        <w:pStyle w:val="ListBullet"/>
      </w:pPr>
      <w:r>
        <w:t>In total: no major changes, 1 minor one</w:t>
      </w:r>
    </w:p>
    <w:p w:rsidR="00C87F3A" w:rsidRDefault="00C87F3A" w:rsidP="00C87F3A">
      <w:pPr>
        <w:pStyle w:val="Heading2"/>
        <w:sectPr w:rsidR="00C87F3A" w:rsidSect="002B29B2">
          <w:headerReference w:type="even" r:id="rId16"/>
          <w:headerReference w:type="default" r:id="rId17"/>
          <w:footerReference w:type="default" r:id="rId18"/>
          <w:headerReference w:type="first" r:id="rId19"/>
          <w:type w:val="continuous"/>
          <w:pgSz w:w="11906" w:h="16838" w:code="9"/>
          <w:pgMar w:top="1239" w:right="1701" w:bottom="709" w:left="1701" w:header="573" w:footer="333" w:gutter="0"/>
          <w:cols w:space="708"/>
          <w:docGrid w:linePitch="360"/>
        </w:sectPr>
      </w:pPr>
      <w:bookmarkStart w:id="10" w:name="_Toc323739590"/>
    </w:p>
    <w:p w:rsidR="00C87F3A" w:rsidRDefault="00C87F3A" w:rsidP="00C87F3A">
      <w:pPr>
        <w:pStyle w:val="Heading2"/>
      </w:pPr>
      <w:bookmarkStart w:id="11" w:name="_Toc357412251"/>
      <w:r w:rsidRPr="00C87F3A">
        <w:lastRenderedPageBreak/>
        <w:t>Complete overview of differences between PE 009-8 and PE 009-10</w:t>
      </w:r>
      <w:bookmarkEnd w:id="11"/>
    </w:p>
    <w:p w:rsidR="0016581D" w:rsidRDefault="0016581D" w:rsidP="0016581D">
      <w:r>
        <w:t>Note that in relation to the following tables:</w:t>
      </w:r>
    </w:p>
    <w:p w:rsidR="0016581D" w:rsidRDefault="0016581D" w:rsidP="0016581D">
      <w:pPr>
        <w:pStyle w:val="ListBullet"/>
      </w:pPr>
      <w:r>
        <w:t>Where relevant, notes in relation to the individual Clause text that are not part of the text itself are in italics. They are predominantly in the PE 008=8 column.</w:t>
      </w:r>
    </w:p>
    <w:p w:rsidR="0016581D" w:rsidRPr="0016581D" w:rsidRDefault="0016581D" w:rsidP="0016581D">
      <w:pPr>
        <w:pStyle w:val="ListBullet"/>
      </w:pPr>
      <w:r>
        <w:t xml:space="preserve">Wherever possible, additions to texts are indicated by a </w:t>
      </w:r>
      <w:r w:rsidRPr="00A37321">
        <w:rPr>
          <w:rFonts w:ascii="Arial" w:hAnsi="Arial" w:cs="Arial"/>
          <w:color w:val="006DA7"/>
        </w:rPr>
        <w:t>blue colour</w:t>
      </w:r>
      <w:r w:rsidR="005B1B27" w:rsidRPr="00A37321">
        <w:rPr>
          <w:rFonts w:ascii="Arial" w:hAnsi="Arial" w:cs="Arial"/>
          <w:color w:val="006DA7"/>
        </w:rPr>
        <w:t xml:space="preserve"> in Arial font</w:t>
      </w:r>
      <w:r>
        <w:t xml:space="preserve"> in the relevant text in the left hand column and existing clause texts that have been moved from other sections by </w:t>
      </w:r>
      <w:r w:rsidRPr="0016581D">
        <w:rPr>
          <w:color w:val="4D2779"/>
        </w:rPr>
        <w:t xml:space="preserve">[square brackets and a </w:t>
      </w:r>
      <w:r>
        <w:rPr>
          <w:color w:val="4D2779"/>
        </w:rPr>
        <w:t>purple</w:t>
      </w:r>
      <w:r w:rsidRPr="0016581D">
        <w:rPr>
          <w:color w:val="4D2779"/>
        </w:rPr>
        <w:t xml:space="preserve"> colour]</w:t>
      </w:r>
      <w:r>
        <w:t>.</w:t>
      </w:r>
    </w:p>
    <w:p w:rsidR="001525B4" w:rsidRDefault="00D74808" w:rsidP="00CB73C5">
      <w:pPr>
        <w:pStyle w:val="Heading3"/>
      </w:pPr>
      <w:bookmarkStart w:id="12" w:name="_Toc357412252"/>
      <w:bookmarkEnd w:id="10"/>
      <w:r w:rsidRPr="00D74808">
        <w:t xml:space="preserve">Part I Chapter 4 </w:t>
      </w:r>
      <w:r>
        <w:t>–</w:t>
      </w:r>
      <w:r w:rsidRPr="00D74808">
        <w:t xml:space="preserve"> Documentation</w:t>
      </w:r>
      <w:bookmarkEnd w:id="12"/>
    </w:p>
    <w:tbl>
      <w:tblPr>
        <w:tblStyle w:val="TableTGAblue"/>
        <w:tblW w:w="0" w:type="auto"/>
        <w:tblInd w:w="108" w:type="dxa"/>
        <w:tblLayout w:type="fixed"/>
        <w:tblLook w:val="04A0" w:firstRow="1" w:lastRow="0" w:firstColumn="1" w:lastColumn="0" w:noHBand="0" w:noVBand="1"/>
      </w:tblPr>
      <w:tblGrid>
        <w:gridCol w:w="5529"/>
        <w:gridCol w:w="6095"/>
        <w:gridCol w:w="1843"/>
        <w:gridCol w:w="1531"/>
      </w:tblGrid>
      <w:tr w:rsidR="00D74808" w:rsidTr="00587239">
        <w:trPr>
          <w:cnfStyle w:val="100000000000" w:firstRow="1" w:lastRow="0" w:firstColumn="0" w:lastColumn="0" w:oddVBand="0" w:evenVBand="0" w:oddHBand="0" w:evenHBand="0" w:firstRowFirstColumn="0" w:firstRowLastColumn="0" w:lastRowFirstColumn="0" w:lastRowLastColumn="0"/>
        </w:trPr>
        <w:tc>
          <w:tcPr>
            <w:tcW w:w="5529" w:type="dxa"/>
          </w:tcPr>
          <w:p w:rsidR="00D74808" w:rsidRDefault="00D74808" w:rsidP="0075574A">
            <w:pPr>
              <w:keepNext w:val="0"/>
            </w:pPr>
            <w:r w:rsidRPr="00D74808">
              <w:t>PE 009-10</w:t>
            </w:r>
          </w:p>
        </w:tc>
        <w:tc>
          <w:tcPr>
            <w:tcW w:w="6095" w:type="dxa"/>
          </w:tcPr>
          <w:p w:rsidR="00D74808" w:rsidRDefault="00D74808" w:rsidP="0075574A">
            <w:pPr>
              <w:keepNext w:val="0"/>
            </w:pPr>
            <w:r w:rsidRPr="00D74808">
              <w:t>PE 009-08</w:t>
            </w:r>
          </w:p>
        </w:tc>
        <w:tc>
          <w:tcPr>
            <w:tcW w:w="1843" w:type="dxa"/>
          </w:tcPr>
          <w:p w:rsidR="00D74808" w:rsidRDefault="00D74808" w:rsidP="00D6349F">
            <w:r w:rsidRPr="00D74808">
              <w:t>Nature of  impact</w:t>
            </w:r>
          </w:p>
        </w:tc>
        <w:tc>
          <w:tcPr>
            <w:tcW w:w="1531" w:type="dxa"/>
          </w:tcPr>
          <w:p w:rsidR="00D74808" w:rsidRDefault="00D74808" w:rsidP="00D6349F">
            <w:r w:rsidRPr="00D74808">
              <w:t>Estimated significance of impact</w:t>
            </w:r>
          </w:p>
        </w:tc>
      </w:tr>
      <w:tr w:rsidR="00D74808" w:rsidTr="00587239">
        <w:trPr>
          <w:cantSplit w:val="0"/>
        </w:trPr>
        <w:tc>
          <w:tcPr>
            <w:tcW w:w="5529" w:type="dxa"/>
          </w:tcPr>
          <w:p w:rsidR="00D74808" w:rsidRDefault="00D74808" w:rsidP="0075574A">
            <w:pPr>
              <w:keepNext w:val="0"/>
            </w:pPr>
            <w:r>
              <w:t>Principle</w:t>
            </w:r>
          </w:p>
          <w:p w:rsidR="00D74808" w:rsidRPr="00A37321" w:rsidRDefault="00D74808" w:rsidP="0075574A">
            <w:pPr>
              <w:keepNext w:val="0"/>
              <w:rPr>
                <w:rFonts w:ascii="Arial" w:hAnsi="Arial" w:cs="Arial"/>
                <w:color w:val="006DA7"/>
              </w:rPr>
            </w:pPr>
            <w:r>
              <w:t>Good documentation constitutes an essential part of the quality assurance system and</w:t>
            </w:r>
            <w:r w:rsidRPr="001E39A2">
              <w:rPr>
                <w:rFonts w:ascii="Arial" w:hAnsi="Arial" w:cs="Arial"/>
                <w:sz w:val="20"/>
                <w:szCs w:val="20"/>
              </w:rPr>
              <w:t xml:space="preserve"> </w:t>
            </w:r>
            <w:r w:rsidRPr="00A37321">
              <w:rPr>
                <w:rFonts w:ascii="Arial" w:hAnsi="Arial" w:cs="Arial"/>
                <w:color w:val="006DA7"/>
              </w:rPr>
              <w:t xml:space="preserve">is </w:t>
            </w:r>
            <w:proofErr w:type="gramStart"/>
            <w:r w:rsidRPr="00A37321">
              <w:rPr>
                <w:rFonts w:ascii="Arial" w:hAnsi="Arial" w:cs="Arial"/>
                <w:color w:val="006DA7"/>
              </w:rPr>
              <w:t>key</w:t>
            </w:r>
            <w:proofErr w:type="gramEnd"/>
            <w:r w:rsidRPr="00A37321">
              <w:rPr>
                <w:rFonts w:ascii="Arial" w:hAnsi="Arial" w:cs="Arial"/>
                <w:color w:val="006DA7"/>
              </w:rPr>
              <w:t xml:space="preserve"> to operating in compliance with GMP requirements. The various types of documents and media used should be fully defined in the manufacturer's Quality Management System. Documentation may exist in a variety of forms, including paper-based, electronic or photographic media. The main objective of the system </w:t>
            </w:r>
            <w:r w:rsidRPr="00A37321">
              <w:rPr>
                <w:rFonts w:ascii="Arial" w:hAnsi="Arial" w:cs="Arial"/>
                <w:color w:val="006DA7"/>
              </w:rPr>
              <w:lastRenderedPageBreak/>
              <w:t>of documentation utilised must be to establish, control, monitor and record all activities which directly or indirectly impact on all aspects of the quality of medicinal products. The Quality Management System should include sufficient instructional detail to facilitate a common understanding of the requirements, in addition to providing for sufficient recording of the various processes and evaluation of any observations, so that ongoing application of the requirements may be demonstrated.</w:t>
            </w:r>
          </w:p>
          <w:p w:rsidR="00D74808" w:rsidRPr="00A37321" w:rsidRDefault="00D74808" w:rsidP="0075574A">
            <w:pPr>
              <w:keepNext w:val="0"/>
              <w:rPr>
                <w:rFonts w:ascii="Arial" w:hAnsi="Arial" w:cs="Arial"/>
                <w:color w:val="006DA7"/>
              </w:rPr>
            </w:pPr>
            <w:r w:rsidRPr="00A37321">
              <w:rPr>
                <w:rFonts w:ascii="Arial" w:hAnsi="Arial" w:cs="Arial"/>
                <w:color w:val="006DA7"/>
              </w:rPr>
              <w:t>There are two primary types of documentation used to manage and record GMP compliance: instructions (directions, requirements) and records/reports. Appropriate good documentation practice should be applied with respect to the type of document.</w:t>
            </w:r>
          </w:p>
          <w:p w:rsidR="00D74808" w:rsidRDefault="00D74808" w:rsidP="0075574A">
            <w:pPr>
              <w:keepNext w:val="0"/>
            </w:pPr>
            <w:r w:rsidRPr="00A37321">
              <w:rPr>
                <w:rFonts w:ascii="Arial" w:hAnsi="Arial" w:cs="Arial"/>
                <w:color w:val="006DA7"/>
              </w:rPr>
              <w:t>Suitable controls should be implemented to ensure the accuracy, integrity, availability and legibility of documents. Instruction documents should be free from errors and available in writing. The term ‘written’ means recorded, or documented on media from which data may be rendered in a human readable form.</w:t>
            </w:r>
          </w:p>
        </w:tc>
        <w:tc>
          <w:tcPr>
            <w:tcW w:w="6095" w:type="dxa"/>
          </w:tcPr>
          <w:p w:rsidR="00D74808" w:rsidRDefault="00D74808" w:rsidP="0075574A">
            <w:pPr>
              <w:keepNext w:val="0"/>
            </w:pPr>
            <w:r>
              <w:lastRenderedPageBreak/>
              <w:t>Principle</w:t>
            </w:r>
          </w:p>
          <w:p w:rsidR="00D74808" w:rsidRDefault="00D74808" w:rsidP="0075574A">
            <w:pPr>
              <w:keepNext w:val="0"/>
            </w:pPr>
            <w:r>
              <w:t>Good documentation constitutes an essential part of the quality assurance system.  Clearly written documentation prevents errors from spoken communication and permits tracing of batch history.  Specifications, Manufacturing Formulae and instructions, procedures, and records must be free from errors and available in writing.  The legibility of documents is of paramount importance.</w:t>
            </w:r>
          </w:p>
          <w:p w:rsidR="00D74808" w:rsidRPr="00D74808" w:rsidRDefault="00D74808" w:rsidP="0075574A">
            <w:pPr>
              <w:keepNext w:val="0"/>
              <w:ind w:left="335"/>
              <w:rPr>
                <w:i/>
              </w:rPr>
            </w:pPr>
            <w:r w:rsidRPr="00D74808">
              <w:rPr>
                <w:b/>
                <w:i/>
              </w:rPr>
              <w:t>Note:</w:t>
            </w:r>
            <w:r w:rsidRPr="00D74808">
              <w:rPr>
                <w:i/>
              </w:rPr>
              <w:t xml:space="preserve"> Most new text in PE 009-10 actually replaces a part of </w:t>
            </w:r>
            <w:r w:rsidRPr="00D74808">
              <w:rPr>
                <w:i/>
              </w:rPr>
              <w:lastRenderedPageBreak/>
              <w:t>PE 008-8 clause 4.9 which read: “Data may be recorded by electronic data processing systems, photographic or other reliable means, but detailed procedures relating to the system in use should be available and the accuracy of the records should be checked.  If documentation is handled by electronic data processing methods, only authorised persons should be able to enter or modify data in the computer and there should be a record of changes and deletions; access should be restricted by passwords or other means and the result of entry of critical data should be independently checked.  Batch records electronically stored should be protected by back-up transfer on magnetic tape, microfilm, paper or other means.  It is particularly important that the data are readily available throughout the period of retention.”</w:t>
            </w:r>
          </w:p>
          <w:p w:rsidR="00D74808" w:rsidRDefault="00D74808" w:rsidP="0075574A">
            <w:pPr>
              <w:keepNext w:val="0"/>
              <w:ind w:left="335"/>
            </w:pPr>
            <w:r w:rsidRPr="00D74808">
              <w:rPr>
                <w:i/>
              </w:rPr>
              <w:t>The remainder of the text of PE 009-8 clause 4.9 is now addressed in the revised Annex 11 on Computerised systems.</w:t>
            </w:r>
          </w:p>
        </w:tc>
        <w:tc>
          <w:tcPr>
            <w:tcW w:w="1843" w:type="dxa"/>
          </w:tcPr>
          <w:p w:rsidR="00D74808" w:rsidRDefault="00D74808" w:rsidP="00BC1111">
            <w:pPr>
              <w:keepNext w:val="0"/>
            </w:pPr>
            <w:r>
              <w:lastRenderedPageBreak/>
              <w:t>Providing further detail and guidance;</w:t>
            </w:r>
          </w:p>
          <w:p w:rsidR="00D74808" w:rsidRDefault="00D74808" w:rsidP="00BC1111">
            <w:pPr>
              <w:keepNext w:val="0"/>
            </w:pPr>
            <w:r>
              <w:t xml:space="preserve">Rewrite to include recognition of e-documents which was previously given </w:t>
            </w:r>
            <w:r>
              <w:lastRenderedPageBreak/>
              <w:t>in clause 4.9</w:t>
            </w:r>
          </w:p>
        </w:tc>
        <w:tc>
          <w:tcPr>
            <w:tcW w:w="1531" w:type="dxa"/>
          </w:tcPr>
          <w:p w:rsidR="00D74808" w:rsidRDefault="00D74808" w:rsidP="00BC1111">
            <w:pPr>
              <w:keepNext w:val="0"/>
            </w:pPr>
            <w:r w:rsidRPr="00D74808">
              <w:lastRenderedPageBreak/>
              <w:t>Nil for most manufacturers; minor for some</w:t>
            </w:r>
          </w:p>
        </w:tc>
      </w:tr>
      <w:tr w:rsidR="00D74808" w:rsidTr="00587239">
        <w:trPr>
          <w:cantSplit w:val="0"/>
        </w:trPr>
        <w:tc>
          <w:tcPr>
            <w:tcW w:w="5529" w:type="dxa"/>
          </w:tcPr>
          <w:p w:rsidR="00D6349F" w:rsidRPr="00D6349F" w:rsidRDefault="00D6349F" w:rsidP="0075574A">
            <w:pPr>
              <w:keepNext w:val="0"/>
              <w:rPr>
                <w:b/>
              </w:rPr>
            </w:pPr>
            <w:r w:rsidRPr="00D6349F">
              <w:rPr>
                <w:b/>
              </w:rPr>
              <w:lastRenderedPageBreak/>
              <w:t>Required GMP documents (by type)</w:t>
            </w:r>
          </w:p>
          <w:p w:rsidR="00D6349F" w:rsidRPr="00A37321" w:rsidRDefault="00D6349F" w:rsidP="0075574A">
            <w:pPr>
              <w:keepNext w:val="0"/>
              <w:rPr>
                <w:rFonts w:ascii="Arial" w:hAnsi="Arial" w:cs="Arial"/>
                <w:color w:val="006DA7"/>
              </w:rPr>
            </w:pPr>
            <w:r w:rsidRPr="00A37321">
              <w:rPr>
                <w:rFonts w:ascii="Arial" w:hAnsi="Arial" w:cs="Arial"/>
                <w:b/>
                <w:color w:val="006DA7"/>
              </w:rPr>
              <w:t>Site Master File:</w:t>
            </w:r>
            <w:r w:rsidRPr="00A37321">
              <w:rPr>
                <w:rFonts w:ascii="Arial" w:hAnsi="Arial" w:cs="Arial"/>
                <w:color w:val="006DA7"/>
              </w:rPr>
              <w:t xml:space="preserve"> A document describing the GMP related activities of the manufacturer.</w:t>
            </w:r>
          </w:p>
          <w:p w:rsidR="00D6349F" w:rsidRPr="00A37321" w:rsidRDefault="00D6349F" w:rsidP="0075574A">
            <w:pPr>
              <w:keepNext w:val="0"/>
              <w:rPr>
                <w:rFonts w:ascii="Arial" w:hAnsi="Arial" w:cs="Arial"/>
                <w:i/>
                <w:color w:val="006DA7"/>
              </w:rPr>
            </w:pPr>
            <w:r w:rsidRPr="00A37321">
              <w:rPr>
                <w:rFonts w:ascii="Arial" w:hAnsi="Arial" w:cs="Arial"/>
                <w:i/>
                <w:color w:val="006DA7"/>
              </w:rPr>
              <w:lastRenderedPageBreak/>
              <w:t>Instructions (directions, or requirements) type:</w:t>
            </w:r>
          </w:p>
          <w:p w:rsidR="00D6349F" w:rsidRDefault="00D6349F" w:rsidP="0075574A">
            <w:pPr>
              <w:keepNext w:val="0"/>
            </w:pPr>
            <w:r w:rsidRPr="005B1B27">
              <w:rPr>
                <w:b/>
              </w:rPr>
              <w:t>Specifications:</w:t>
            </w:r>
            <w:r>
              <w:t xml:space="preserve"> Describe in detail the requirements with which the products or materials used or obtained during manufacture have to conform. They serve as a basis for quality evaluation.</w:t>
            </w:r>
          </w:p>
          <w:p w:rsidR="00D6349F" w:rsidRDefault="00D6349F" w:rsidP="0075574A">
            <w:pPr>
              <w:keepNext w:val="0"/>
            </w:pPr>
            <w:r w:rsidRPr="005B1B27">
              <w:rPr>
                <w:b/>
              </w:rPr>
              <w:t>Manufacturing Formulae, Processing, Packaging and Testing Instructions:</w:t>
            </w:r>
            <w:r>
              <w:t xml:space="preserve"> Provide detail all the starting materials, equipment and computerised systems (if any) to be used and specify all processing, packaging, sampling and testing instructions. In-process controls and process analytical technologies to be employed should be specified where relevant, together with acceptance criteria.</w:t>
            </w:r>
          </w:p>
          <w:p w:rsidR="00D6349F" w:rsidRDefault="00D6349F" w:rsidP="0075574A">
            <w:pPr>
              <w:keepNext w:val="0"/>
            </w:pPr>
            <w:r w:rsidRPr="005B1B27">
              <w:rPr>
                <w:b/>
              </w:rPr>
              <w:t>Procedures:</w:t>
            </w:r>
            <w:r>
              <w:t xml:space="preserve"> (Otherwise known as Standard Operating Procedures, or SOPs), give directions for performing certain operations.</w:t>
            </w:r>
          </w:p>
          <w:p w:rsidR="00D6349F" w:rsidRPr="00A37321" w:rsidRDefault="00D6349F" w:rsidP="0075574A">
            <w:pPr>
              <w:keepNext w:val="0"/>
              <w:rPr>
                <w:rFonts w:ascii="Arial" w:hAnsi="Arial" w:cs="Arial"/>
                <w:color w:val="006DA7"/>
              </w:rPr>
            </w:pPr>
            <w:r w:rsidRPr="00A37321">
              <w:rPr>
                <w:rFonts w:ascii="Arial" w:hAnsi="Arial" w:cs="Arial"/>
                <w:b/>
                <w:color w:val="006DA7"/>
              </w:rPr>
              <w:t>Protocols:</w:t>
            </w:r>
            <w:r w:rsidRPr="00A37321">
              <w:rPr>
                <w:rFonts w:ascii="Arial" w:hAnsi="Arial" w:cs="Arial"/>
                <w:color w:val="006DA7"/>
              </w:rPr>
              <w:t xml:space="preserve"> Give instructions for performing and recording certain discreet operations.</w:t>
            </w:r>
          </w:p>
          <w:p w:rsidR="00D6349F" w:rsidRPr="00A37321" w:rsidRDefault="00D6349F" w:rsidP="0075574A">
            <w:pPr>
              <w:keepNext w:val="0"/>
              <w:rPr>
                <w:rFonts w:ascii="Arial" w:hAnsi="Arial" w:cs="Arial"/>
                <w:color w:val="006DA7"/>
              </w:rPr>
            </w:pPr>
            <w:r w:rsidRPr="00A37321">
              <w:rPr>
                <w:rFonts w:ascii="Arial" w:hAnsi="Arial" w:cs="Arial"/>
                <w:b/>
                <w:color w:val="006DA7"/>
              </w:rPr>
              <w:t>Technical Agreements:</w:t>
            </w:r>
            <w:r w:rsidRPr="00A37321">
              <w:rPr>
                <w:rFonts w:ascii="Arial" w:hAnsi="Arial" w:cs="Arial"/>
                <w:color w:val="006DA7"/>
              </w:rPr>
              <w:t xml:space="preserve"> Are agreed between contract givers and acceptors for outsourced activities.</w:t>
            </w:r>
          </w:p>
          <w:p w:rsidR="00D6349F" w:rsidRPr="00A37321" w:rsidRDefault="00D6349F" w:rsidP="0075574A">
            <w:pPr>
              <w:keepNext w:val="0"/>
              <w:rPr>
                <w:rFonts w:ascii="Arial" w:hAnsi="Arial" w:cs="Arial"/>
                <w:i/>
                <w:color w:val="006DA7"/>
              </w:rPr>
            </w:pPr>
            <w:r w:rsidRPr="00A37321">
              <w:rPr>
                <w:rFonts w:ascii="Arial" w:hAnsi="Arial" w:cs="Arial"/>
                <w:i/>
                <w:color w:val="006DA7"/>
              </w:rPr>
              <w:t>Record/Report type:</w:t>
            </w:r>
          </w:p>
          <w:p w:rsidR="00D6349F" w:rsidRPr="00A37321" w:rsidRDefault="00D6349F" w:rsidP="0075574A">
            <w:pPr>
              <w:keepNext w:val="0"/>
              <w:rPr>
                <w:rFonts w:ascii="Arial" w:hAnsi="Arial" w:cs="Arial"/>
                <w:color w:val="006DA7"/>
              </w:rPr>
            </w:pPr>
            <w:r w:rsidRPr="005B1B27">
              <w:rPr>
                <w:b/>
              </w:rPr>
              <w:t>Records:</w:t>
            </w:r>
            <w:r>
              <w:t xml:space="preserve"> Provide evidence of various actions taken to demonstrate compliance with instructions, e.g. </w:t>
            </w:r>
            <w:r>
              <w:lastRenderedPageBreak/>
              <w:t xml:space="preserve">activities, events, investigations, and in the case of manufactured batches a history of each batch of product, including its distribution. </w:t>
            </w:r>
            <w:r w:rsidRPr="00A37321">
              <w:rPr>
                <w:rFonts w:ascii="Arial" w:hAnsi="Arial" w:cs="Arial"/>
                <w:color w:val="006DA7"/>
              </w:rPr>
              <w:t>Records include the raw data which is used to generate other records. For electronic records regulated users should define which data are to be used as raw data. At least, all data on which quality decisions are based should be defined as raw data.</w:t>
            </w:r>
          </w:p>
          <w:p w:rsidR="00D6349F" w:rsidRPr="00A37321" w:rsidRDefault="00D6349F" w:rsidP="0075574A">
            <w:pPr>
              <w:keepNext w:val="0"/>
              <w:rPr>
                <w:rFonts w:ascii="Arial" w:hAnsi="Arial" w:cs="Arial"/>
                <w:color w:val="006DA7"/>
              </w:rPr>
            </w:pPr>
            <w:r w:rsidRPr="00A37321">
              <w:rPr>
                <w:rFonts w:ascii="Arial" w:hAnsi="Arial" w:cs="Arial"/>
                <w:b/>
                <w:color w:val="006DA7"/>
              </w:rPr>
              <w:t>Certificates of Analysis:</w:t>
            </w:r>
            <w:r w:rsidRPr="00A37321">
              <w:rPr>
                <w:rFonts w:ascii="Arial" w:hAnsi="Arial" w:cs="Arial"/>
                <w:color w:val="006DA7"/>
              </w:rPr>
              <w:t xml:space="preserve"> Provide a summary of testing results on samples of products or </w:t>
            </w:r>
            <w:proofErr w:type="gramStart"/>
            <w:r w:rsidRPr="00A37321">
              <w:rPr>
                <w:rFonts w:ascii="Arial" w:hAnsi="Arial" w:cs="Arial"/>
                <w:color w:val="006DA7"/>
              </w:rPr>
              <w:t>materials1  together</w:t>
            </w:r>
            <w:proofErr w:type="gramEnd"/>
            <w:r w:rsidRPr="00A37321">
              <w:rPr>
                <w:rFonts w:ascii="Arial" w:hAnsi="Arial" w:cs="Arial"/>
                <w:color w:val="006DA7"/>
              </w:rPr>
              <w:t xml:space="preserve"> with the evaluation for compliance to a stated specification.</w:t>
            </w:r>
          </w:p>
          <w:p w:rsidR="00D6349F" w:rsidRPr="00A37321" w:rsidRDefault="00D6349F" w:rsidP="0075574A">
            <w:pPr>
              <w:keepNext w:val="0"/>
              <w:rPr>
                <w:rFonts w:ascii="Arial" w:hAnsi="Arial" w:cs="Arial"/>
                <w:color w:val="006DA7"/>
              </w:rPr>
            </w:pPr>
            <w:r w:rsidRPr="00A37321">
              <w:rPr>
                <w:rFonts w:ascii="Arial" w:hAnsi="Arial" w:cs="Arial"/>
                <w:b/>
                <w:color w:val="006DA7"/>
              </w:rPr>
              <w:t>Reports:</w:t>
            </w:r>
            <w:r w:rsidRPr="00A37321">
              <w:rPr>
                <w:rFonts w:ascii="Arial" w:hAnsi="Arial" w:cs="Arial"/>
                <w:color w:val="006DA7"/>
              </w:rPr>
              <w:t xml:space="preserve"> Document the conduct of particular exercises, projects or investigations, together with results, conclusions and recommendations.</w:t>
            </w:r>
          </w:p>
          <w:p w:rsidR="00D74808" w:rsidRDefault="00D6349F" w:rsidP="0075574A">
            <w:pPr>
              <w:keepNext w:val="0"/>
            </w:pPr>
            <w:r w:rsidRPr="00A37321">
              <w:rPr>
                <w:rFonts w:ascii="Arial" w:hAnsi="Arial" w:cs="Arial"/>
                <w:color w:val="006DA7"/>
                <w:vertAlign w:val="superscript"/>
              </w:rPr>
              <w:t>1</w:t>
            </w:r>
            <w:r w:rsidRPr="00A37321">
              <w:rPr>
                <w:rFonts w:ascii="Arial" w:hAnsi="Arial" w:cs="Arial"/>
                <w:color w:val="006DA7"/>
              </w:rPr>
              <w:t xml:space="preserve"> - Alternatively the certification may be based, in-whole or in-part, on the assessment of real time data (summaries and exception reports) from batch related process analytical technology (PAT), parameters or metrics as per the approved marketing authorisation dossier.</w:t>
            </w:r>
          </w:p>
        </w:tc>
        <w:tc>
          <w:tcPr>
            <w:tcW w:w="6095" w:type="dxa"/>
          </w:tcPr>
          <w:p w:rsidR="00BC1111" w:rsidRDefault="00BC1111" w:rsidP="0075574A">
            <w:pPr>
              <w:keepNext w:val="0"/>
            </w:pPr>
            <w:r>
              <w:lastRenderedPageBreak/>
              <w:t>4.1</w:t>
            </w:r>
          </w:p>
          <w:p w:rsidR="00BC1111" w:rsidRDefault="00BC1111" w:rsidP="0075574A">
            <w:pPr>
              <w:keepNext w:val="0"/>
            </w:pPr>
            <w:r w:rsidRPr="00BC1111">
              <w:rPr>
                <w:i/>
              </w:rPr>
              <w:t>Specifications</w:t>
            </w:r>
            <w:r>
              <w:t xml:space="preserve"> describe in detail the requirements with which the products or materials used or obtained during manufacture have to conform.  They serve as a basis for </w:t>
            </w:r>
            <w:r>
              <w:lastRenderedPageBreak/>
              <w:t>quality evaluation.</w:t>
            </w:r>
          </w:p>
          <w:p w:rsidR="00BC1111" w:rsidRDefault="00BC1111" w:rsidP="0075574A">
            <w:pPr>
              <w:keepNext w:val="0"/>
            </w:pPr>
            <w:r w:rsidRPr="00BC1111">
              <w:rPr>
                <w:i/>
              </w:rPr>
              <w:t>Manufacturing Formulae,</w:t>
            </w:r>
            <w:r>
              <w:t xml:space="preserve"> Processing and Packaging Instructions state all the starting materials used and lay down all processing and packaging operations.</w:t>
            </w:r>
          </w:p>
          <w:p w:rsidR="00BC1111" w:rsidRDefault="00BC1111" w:rsidP="0075574A">
            <w:pPr>
              <w:keepNext w:val="0"/>
            </w:pPr>
            <w:r w:rsidRPr="00BC1111">
              <w:rPr>
                <w:i/>
              </w:rPr>
              <w:t>Procedures</w:t>
            </w:r>
            <w:r>
              <w:t xml:space="preserve"> give directions for performing certain operations e.g. cleaning, clothing, environmental control, sampling, testing, </w:t>
            </w:r>
            <w:proofErr w:type="gramStart"/>
            <w:r>
              <w:t>equipment</w:t>
            </w:r>
            <w:proofErr w:type="gramEnd"/>
            <w:r>
              <w:t xml:space="preserve"> operations.</w:t>
            </w:r>
          </w:p>
          <w:p w:rsidR="00D74808" w:rsidRDefault="00BC1111" w:rsidP="0075574A">
            <w:pPr>
              <w:keepNext w:val="0"/>
            </w:pPr>
            <w:r w:rsidRPr="00BC1111">
              <w:rPr>
                <w:i/>
              </w:rPr>
              <w:t>Records</w:t>
            </w:r>
            <w:r>
              <w:t xml:space="preserve"> provide a history of each batch of product, including its distribution, and also of all other relevant circumstances pertinent for the quality of the final product.</w:t>
            </w:r>
          </w:p>
        </w:tc>
        <w:tc>
          <w:tcPr>
            <w:tcW w:w="1843" w:type="dxa"/>
          </w:tcPr>
          <w:p w:rsidR="00BC1111" w:rsidRDefault="00BC1111" w:rsidP="00BC1111">
            <w:r>
              <w:lastRenderedPageBreak/>
              <w:t xml:space="preserve">Providing additional definitions of types of </w:t>
            </w:r>
            <w:r>
              <w:lastRenderedPageBreak/>
              <w:t>documents;</w:t>
            </w:r>
          </w:p>
          <w:p w:rsidR="00BC1111" w:rsidRDefault="00BC1111" w:rsidP="00BC1111">
            <w:r>
              <w:t>Moving the definitions from a clause to introductory section;</w:t>
            </w:r>
          </w:p>
          <w:p w:rsidR="00D74808" w:rsidRDefault="00BC1111" w:rsidP="00BC1111">
            <w:pPr>
              <w:keepNext w:val="0"/>
            </w:pPr>
            <w:r>
              <w:t>Allowing newly evolving PAT technology</w:t>
            </w:r>
          </w:p>
        </w:tc>
        <w:tc>
          <w:tcPr>
            <w:tcW w:w="1531" w:type="dxa"/>
          </w:tcPr>
          <w:p w:rsidR="00D74808" w:rsidRDefault="00BC1111" w:rsidP="00BC1111">
            <w:pPr>
              <w:keepNext w:val="0"/>
            </w:pPr>
            <w:r w:rsidRPr="00BC1111">
              <w:lastRenderedPageBreak/>
              <w:t>Nil</w:t>
            </w:r>
          </w:p>
        </w:tc>
      </w:tr>
      <w:tr w:rsidR="00D74808" w:rsidTr="00587239">
        <w:trPr>
          <w:cantSplit w:val="0"/>
        </w:trPr>
        <w:tc>
          <w:tcPr>
            <w:tcW w:w="5529" w:type="dxa"/>
          </w:tcPr>
          <w:p w:rsidR="00D74808" w:rsidRPr="00A37321" w:rsidRDefault="001E39A2" w:rsidP="0075574A">
            <w:pPr>
              <w:keepNext w:val="0"/>
              <w:rPr>
                <w:rFonts w:ascii="Arial" w:hAnsi="Arial" w:cs="Arial"/>
                <w:color w:val="006DA7"/>
              </w:rPr>
            </w:pPr>
            <w:r w:rsidRPr="00A37321">
              <w:rPr>
                <w:rFonts w:ascii="Arial" w:hAnsi="Arial" w:cs="Arial"/>
                <w:color w:val="006DA7"/>
              </w:rPr>
              <w:lastRenderedPageBreak/>
              <w:t xml:space="preserve">4.1 All types of document should be defined and adhered to. The requirements apply equally to all forms of document media types. Complex systems need to be understood, well documented, validated, </w:t>
            </w:r>
            <w:r w:rsidRPr="00A37321">
              <w:rPr>
                <w:rFonts w:ascii="Arial" w:hAnsi="Arial" w:cs="Arial"/>
                <w:color w:val="006DA7"/>
              </w:rPr>
              <w:lastRenderedPageBreak/>
              <w:t>and adequate controls should be in place. Many documents (instructions and/or records) may exist in hybrid forms, i.e. some elements as electronic and others as paper based. Relationships and control measures for master documents, official copies, data handling and records need to be stated for both hybrid and homogenous systems. Appropriate controls for electronic documents such as templates, forms, and master documents should be implemented. Appropriate controls should be in place to ensure the integrity of the record throughout the retention period.</w:t>
            </w:r>
          </w:p>
        </w:tc>
        <w:tc>
          <w:tcPr>
            <w:tcW w:w="6095" w:type="dxa"/>
          </w:tcPr>
          <w:p w:rsidR="00D74808" w:rsidRPr="001E39A2" w:rsidRDefault="001E39A2" w:rsidP="0075574A">
            <w:pPr>
              <w:keepNext w:val="0"/>
              <w:rPr>
                <w:i/>
              </w:rPr>
            </w:pPr>
            <w:r w:rsidRPr="001E39A2">
              <w:rPr>
                <w:i/>
              </w:rPr>
              <w:lastRenderedPageBreak/>
              <w:t>New clause – No equivalent in PE 009-8</w:t>
            </w:r>
          </w:p>
        </w:tc>
        <w:tc>
          <w:tcPr>
            <w:tcW w:w="1843" w:type="dxa"/>
          </w:tcPr>
          <w:p w:rsidR="001E39A2" w:rsidRDefault="001E39A2" w:rsidP="001E39A2">
            <w:r>
              <w:t>Providing additional guidance;</w:t>
            </w:r>
          </w:p>
          <w:p w:rsidR="00D74808" w:rsidRDefault="001E39A2" w:rsidP="001E39A2">
            <w:r>
              <w:lastRenderedPageBreak/>
              <w:t>Making it easier for manufacturers to comply</w:t>
            </w:r>
          </w:p>
        </w:tc>
        <w:tc>
          <w:tcPr>
            <w:tcW w:w="1531" w:type="dxa"/>
          </w:tcPr>
          <w:p w:rsidR="00D74808" w:rsidRDefault="001E39A2" w:rsidP="00D74808">
            <w:r w:rsidRPr="001E39A2">
              <w:lastRenderedPageBreak/>
              <w:t>Minor</w:t>
            </w:r>
          </w:p>
        </w:tc>
      </w:tr>
      <w:tr w:rsidR="00D74808" w:rsidTr="00587239">
        <w:trPr>
          <w:cantSplit w:val="0"/>
        </w:trPr>
        <w:tc>
          <w:tcPr>
            <w:tcW w:w="5529" w:type="dxa"/>
          </w:tcPr>
          <w:p w:rsidR="00D74808" w:rsidRDefault="001E39A2" w:rsidP="0075574A">
            <w:pPr>
              <w:keepNext w:val="0"/>
            </w:pPr>
            <w:r w:rsidRPr="001E39A2">
              <w:lastRenderedPageBreak/>
              <w:t xml:space="preserve">4.2 Documents should be designed, prepared, reviewed, and distributed with care. They should comply with the relevant parts </w:t>
            </w:r>
            <w:r w:rsidRPr="00A37321">
              <w:rPr>
                <w:rFonts w:ascii="Arial" w:hAnsi="Arial" w:cs="Arial"/>
                <w:color w:val="006DA7"/>
              </w:rPr>
              <w:t>of Product Specification Files</w:t>
            </w:r>
            <w:r w:rsidRPr="001E39A2">
              <w:t>, Manufacturing and Marketing Authorisation dossiers, as appropriate. The reproduction of working documents from master documents should not allow any error to be introduced through the reproduction process.</w:t>
            </w:r>
          </w:p>
        </w:tc>
        <w:tc>
          <w:tcPr>
            <w:tcW w:w="6095" w:type="dxa"/>
          </w:tcPr>
          <w:p w:rsidR="00D74808" w:rsidRDefault="001E39A2" w:rsidP="0075574A">
            <w:pPr>
              <w:keepNext w:val="0"/>
            </w:pPr>
            <w:r w:rsidRPr="001E39A2">
              <w:t>4.2 Documents should be designed, prepared, reviewed and distributed with care.  They should comply with the relevant parts of the manufacturing and marketing authorisation dossiers.</w:t>
            </w:r>
          </w:p>
        </w:tc>
        <w:tc>
          <w:tcPr>
            <w:tcW w:w="1843" w:type="dxa"/>
          </w:tcPr>
          <w:p w:rsidR="001E39A2" w:rsidRDefault="001E39A2" w:rsidP="001E39A2">
            <w:r>
              <w:t>Providing additional guidance;</w:t>
            </w:r>
          </w:p>
          <w:p w:rsidR="001E39A2" w:rsidRDefault="001E39A2" w:rsidP="001E39A2">
            <w:r>
              <w:t>First sentence has been moved from clause 4.3;</w:t>
            </w:r>
          </w:p>
          <w:p w:rsidR="00D74808" w:rsidRDefault="001E39A2" w:rsidP="001E39A2">
            <w:r>
              <w:t>Last sentence  has been moved from clause 4.4</w:t>
            </w:r>
          </w:p>
        </w:tc>
        <w:tc>
          <w:tcPr>
            <w:tcW w:w="1531" w:type="dxa"/>
          </w:tcPr>
          <w:p w:rsidR="00D74808" w:rsidRDefault="001E39A2" w:rsidP="00D74808">
            <w:r w:rsidRPr="001E39A2">
              <w:t>Minor</w:t>
            </w:r>
          </w:p>
        </w:tc>
      </w:tr>
      <w:tr w:rsidR="00D74808" w:rsidTr="00587239">
        <w:trPr>
          <w:cantSplit w:val="0"/>
        </w:trPr>
        <w:tc>
          <w:tcPr>
            <w:tcW w:w="5529" w:type="dxa"/>
          </w:tcPr>
          <w:p w:rsidR="00D74808" w:rsidRDefault="002933C1" w:rsidP="0075574A">
            <w:pPr>
              <w:keepNext w:val="0"/>
            </w:pPr>
            <w:r w:rsidRPr="002933C1">
              <w:t xml:space="preserve">4.3 Documents containing instructions should be approved, signed and dated by appropriate and authorised persons. </w:t>
            </w:r>
            <w:r>
              <w:t>[</w:t>
            </w:r>
            <w:r w:rsidRPr="002933C1">
              <w:rPr>
                <w:color w:val="4D2779"/>
              </w:rPr>
              <w:t>Documents should have unambiguous contents and be uniquely identifiable.</w:t>
            </w:r>
            <w:r>
              <w:rPr>
                <w:color w:val="4D2779"/>
              </w:rPr>
              <w:t>]</w:t>
            </w:r>
            <w:r w:rsidRPr="002933C1">
              <w:t xml:space="preserve"> </w:t>
            </w:r>
            <w:r w:rsidRPr="00A37321">
              <w:rPr>
                <w:rFonts w:ascii="Arial" w:hAnsi="Arial" w:cs="Arial"/>
                <w:color w:val="006DA7"/>
              </w:rPr>
              <w:lastRenderedPageBreak/>
              <w:t>The effective date should be defined.</w:t>
            </w:r>
          </w:p>
        </w:tc>
        <w:tc>
          <w:tcPr>
            <w:tcW w:w="6095" w:type="dxa"/>
          </w:tcPr>
          <w:p w:rsidR="00D74808" w:rsidRDefault="002933C1" w:rsidP="0075574A">
            <w:pPr>
              <w:keepNext w:val="0"/>
            </w:pPr>
            <w:r w:rsidRPr="002933C1">
              <w:lastRenderedPageBreak/>
              <w:t>4.3 Documents should be approved, signed and dated by appropriate and authorised persons.</w:t>
            </w:r>
          </w:p>
        </w:tc>
        <w:tc>
          <w:tcPr>
            <w:tcW w:w="1843" w:type="dxa"/>
          </w:tcPr>
          <w:p w:rsidR="002933C1" w:rsidRDefault="002933C1" w:rsidP="002933C1">
            <w:r>
              <w:t>Providing additional guidance;</w:t>
            </w:r>
          </w:p>
          <w:p w:rsidR="002933C1" w:rsidRDefault="002933C1" w:rsidP="002933C1">
            <w:r>
              <w:lastRenderedPageBreak/>
              <w:t>Second sentence of 4.3 has been moved from 4.4;</w:t>
            </w:r>
          </w:p>
          <w:p w:rsidR="00D74808" w:rsidRDefault="002933C1" w:rsidP="002933C1">
            <w:r>
              <w:t>Only the definition of effective date is a new inclusion</w:t>
            </w:r>
          </w:p>
        </w:tc>
        <w:tc>
          <w:tcPr>
            <w:tcW w:w="1531" w:type="dxa"/>
          </w:tcPr>
          <w:p w:rsidR="00D74808" w:rsidRDefault="002933C1" w:rsidP="00D74808">
            <w:r w:rsidRPr="002933C1">
              <w:lastRenderedPageBreak/>
              <w:t>Minor</w:t>
            </w:r>
          </w:p>
        </w:tc>
      </w:tr>
      <w:tr w:rsidR="00D74808" w:rsidTr="00587239">
        <w:trPr>
          <w:cantSplit w:val="0"/>
        </w:trPr>
        <w:tc>
          <w:tcPr>
            <w:tcW w:w="5529" w:type="dxa"/>
          </w:tcPr>
          <w:p w:rsidR="00D74808" w:rsidRDefault="002933C1" w:rsidP="0075574A">
            <w:pPr>
              <w:keepNext w:val="0"/>
            </w:pPr>
            <w:r w:rsidRPr="002933C1">
              <w:lastRenderedPageBreak/>
              <w:t xml:space="preserve">4.4 Documents containing instructions should be laid out in an orderly fashion and </w:t>
            </w:r>
            <w:proofErr w:type="gramStart"/>
            <w:r w:rsidRPr="002933C1">
              <w:t>be</w:t>
            </w:r>
            <w:proofErr w:type="gramEnd"/>
            <w:r w:rsidRPr="002933C1">
              <w:t xml:space="preserve"> easy to check. The style and language of documents should fit with their intended use. </w:t>
            </w:r>
            <w:r w:rsidRPr="00A37321">
              <w:rPr>
                <w:rFonts w:ascii="Arial" w:hAnsi="Arial" w:cs="Arial"/>
                <w:color w:val="006DA7"/>
              </w:rPr>
              <w:t>Standard Operating Procedures, Work Instructions and Methods should be written in an imperative mandatory style.</w:t>
            </w:r>
          </w:p>
        </w:tc>
        <w:tc>
          <w:tcPr>
            <w:tcW w:w="6095" w:type="dxa"/>
          </w:tcPr>
          <w:p w:rsidR="00D74808" w:rsidRDefault="002933C1" w:rsidP="0075574A">
            <w:pPr>
              <w:keepNext w:val="0"/>
            </w:pPr>
            <w:r w:rsidRPr="002933C1">
              <w:t>4.4 Documents should have unambiguous contents; title, nature and purpose should be clearly stated.  They should be laid out in an orderly fashion and be easy to check.  Reproduced documents should be clear and legible.  The reproduction of working documents from master documents must not allow any error to be introduced through the reproduction process.</w:t>
            </w:r>
          </w:p>
        </w:tc>
        <w:tc>
          <w:tcPr>
            <w:tcW w:w="1843" w:type="dxa"/>
          </w:tcPr>
          <w:p w:rsidR="002933C1" w:rsidRDefault="002933C1" w:rsidP="002933C1">
            <w:r>
              <w:t>Providing additional guidance;</w:t>
            </w:r>
          </w:p>
          <w:p w:rsidR="00D74808" w:rsidRDefault="002933C1" w:rsidP="002933C1">
            <w:r>
              <w:t>Last sentence of 4.4 has been moved to 4.2</w:t>
            </w:r>
          </w:p>
        </w:tc>
        <w:tc>
          <w:tcPr>
            <w:tcW w:w="1531" w:type="dxa"/>
          </w:tcPr>
          <w:p w:rsidR="00D74808" w:rsidRDefault="002933C1" w:rsidP="00D74808">
            <w:r w:rsidRPr="002933C1">
              <w:t>Nil</w:t>
            </w:r>
          </w:p>
        </w:tc>
      </w:tr>
      <w:tr w:rsidR="00D74808" w:rsidTr="00587239">
        <w:trPr>
          <w:cantSplit w:val="0"/>
        </w:trPr>
        <w:tc>
          <w:tcPr>
            <w:tcW w:w="5529" w:type="dxa"/>
          </w:tcPr>
          <w:p w:rsidR="00D74808" w:rsidRDefault="002933C1" w:rsidP="0075574A">
            <w:pPr>
              <w:keepNext w:val="0"/>
            </w:pPr>
            <w:r w:rsidRPr="002933C1">
              <w:t xml:space="preserve">4.5 Documents </w:t>
            </w:r>
            <w:r w:rsidRPr="00A37321">
              <w:rPr>
                <w:rFonts w:ascii="Arial" w:hAnsi="Arial" w:cs="Arial"/>
                <w:color w:val="006DA7"/>
              </w:rPr>
              <w:t>within the Quality Management System</w:t>
            </w:r>
            <w:r w:rsidRPr="00A37321">
              <w:rPr>
                <w:rFonts w:ascii="Arial" w:hAnsi="Arial" w:cs="Arial"/>
              </w:rPr>
              <w:t xml:space="preserve"> </w:t>
            </w:r>
            <w:r w:rsidRPr="002933C1">
              <w:t>should be regularly reviewed and kept up-to-date. When a document has been revised, systems should be operated to prevent inadvertent use of superseded documents.</w:t>
            </w:r>
          </w:p>
        </w:tc>
        <w:tc>
          <w:tcPr>
            <w:tcW w:w="6095" w:type="dxa"/>
          </w:tcPr>
          <w:p w:rsidR="00D74808" w:rsidRDefault="002933C1" w:rsidP="0075574A">
            <w:pPr>
              <w:keepNext w:val="0"/>
            </w:pPr>
            <w:r w:rsidRPr="002933C1">
              <w:t>4.5 Documents should be regularly reviewed and kept up-to-date.  When a document has been revised, systems should be operated to prevent inadvertent use of superseded documents.</w:t>
            </w:r>
          </w:p>
        </w:tc>
        <w:tc>
          <w:tcPr>
            <w:tcW w:w="1843" w:type="dxa"/>
          </w:tcPr>
          <w:p w:rsidR="00D74808" w:rsidRDefault="002933C1" w:rsidP="00D74808">
            <w:r w:rsidRPr="002933C1">
              <w:t>Providing additional guidance this clause is only applicable to QMS</w:t>
            </w:r>
          </w:p>
        </w:tc>
        <w:tc>
          <w:tcPr>
            <w:tcW w:w="1531" w:type="dxa"/>
          </w:tcPr>
          <w:p w:rsidR="00D74808" w:rsidRDefault="002933C1" w:rsidP="00D74808">
            <w:r w:rsidRPr="002933C1">
              <w:t>Nil</w:t>
            </w:r>
          </w:p>
        </w:tc>
      </w:tr>
      <w:tr w:rsidR="002933C1" w:rsidTr="00587239">
        <w:trPr>
          <w:cantSplit w:val="0"/>
        </w:trPr>
        <w:tc>
          <w:tcPr>
            <w:tcW w:w="5529" w:type="dxa"/>
          </w:tcPr>
          <w:p w:rsidR="002933C1" w:rsidRPr="002933C1" w:rsidRDefault="0093642C" w:rsidP="0075574A">
            <w:pPr>
              <w:keepNext w:val="0"/>
            </w:pPr>
            <w:r w:rsidRPr="0093642C">
              <w:t xml:space="preserve">4.6 Documents should not be hand-written; although, where documents require the entry of data, sufficient </w:t>
            </w:r>
            <w:r w:rsidRPr="0093642C">
              <w:lastRenderedPageBreak/>
              <w:t>space should be provided for such entries.</w:t>
            </w:r>
          </w:p>
        </w:tc>
        <w:tc>
          <w:tcPr>
            <w:tcW w:w="6095" w:type="dxa"/>
          </w:tcPr>
          <w:p w:rsidR="002933C1" w:rsidRPr="002933C1" w:rsidRDefault="0093642C" w:rsidP="0075574A">
            <w:pPr>
              <w:keepNext w:val="0"/>
            </w:pPr>
            <w:r w:rsidRPr="0093642C">
              <w:lastRenderedPageBreak/>
              <w:t xml:space="preserve">4.6 Documents should not be hand-written; although, where documents require the entry of data, these entries may be made in clear, legible, indelible handwriting.  Sufficient space </w:t>
            </w:r>
            <w:r w:rsidRPr="0093642C">
              <w:lastRenderedPageBreak/>
              <w:t>should be provided for such entries.</w:t>
            </w:r>
          </w:p>
        </w:tc>
        <w:tc>
          <w:tcPr>
            <w:tcW w:w="1843" w:type="dxa"/>
          </w:tcPr>
          <w:p w:rsidR="002933C1" w:rsidRPr="002933C1" w:rsidRDefault="0093642C" w:rsidP="00D74808">
            <w:r w:rsidRPr="0093642C">
              <w:lastRenderedPageBreak/>
              <w:t xml:space="preserve">Rephrasing and relocation of </w:t>
            </w:r>
            <w:r w:rsidRPr="0093642C">
              <w:lastRenderedPageBreak/>
              <w:t>information</w:t>
            </w:r>
          </w:p>
        </w:tc>
        <w:tc>
          <w:tcPr>
            <w:tcW w:w="1531" w:type="dxa"/>
          </w:tcPr>
          <w:p w:rsidR="002933C1" w:rsidRPr="002933C1" w:rsidRDefault="0093642C" w:rsidP="00D74808">
            <w:r w:rsidRPr="0093642C">
              <w:lastRenderedPageBreak/>
              <w:t>Nil</w:t>
            </w:r>
          </w:p>
        </w:tc>
      </w:tr>
      <w:tr w:rsidR="0093642C" w:rsidTr="00587239">
        <w:trPr>
          <w:cantSplit w:val="0"/>
        </w:trPr>
        <w:tc>
          <w:tcPr>
            <w:tcW w:w="5529" w:type="dxa"/>
          </w:tcPr>
          <w:p w:rsidR="0093642C" w:rsidRPr="0093642C" w:rsidRDefault="0093642C" w:rsidP="0075574A">
            <w:pPr>
              <w:keepNext w:val="0"/>
            </w:pPr>
            <w:r w:rsidRPr="0093642C">
              <w:lastRenderedPageBreak/>
              <w:t xml:space="preserve">4.7 </w:t>
            </w:r>
            <w:r w:rsidRPr="00587239">
              <w:rPr>
                <w:color w:val="4D2779"/>
              </w:rPr>
              <w:t>[</w:t>
            </w:r>
            <w:r w:rsidRPr="0093642C">
              <w:rPr>
                <w:color w:val="4D2779"/>
              </w:rPr>
              <w:t>Handwritten entries should be made in clear, legible, indelible way.</w:t>
            </w:r>
            <w:r>
              <w:rPr>
                <w:color w:val="4D2779"/>
              </w:rPr>
              <w:t>]</w:t>
            </w:r>
          </w:p>
        </w:tc>
        <w:tc>
          <w:tcPr>
            <w:tcW w:w="6095" w:type="dxa"/>
          </w:tcPr>
          <w:p w:rsidR="0093642C" w:rsidRPr="0093642C" w:rsidRDefault="0093642C" w:rsidP="0075574A">
            <w:pPr>
              <w:keepNext w:val="0"/>
            </w:pPr>
            <w:r w:rsidRPr="0093642C">
              <w:t>--</w:t>
            </w:r>
          </w:p>
        </w:tc>
        <w:tc>
          <w:tcPr>
            <w:tcW w:w="1843" w:type="dxa"/>
          </w:tcPr>
          <w:p w:rsidR="0093642C" w:rsidRPr="0093642C" w:rsidRDefault="0093642C" w:rsidP="00D74808">
            <w:r w:rsidRPr="0093642C">
              <w:t>Second part of clause 4.6 moved into a separate new clause 4.7</w:t>
            </w:r>
          </w:p>
        </w:tc>
        <w:tc>
          <w:tcPr>
            <w:tcW w:w="1531" w:type="dxa"/>
          </w:tcPr>
          <w:p w:rsidR="0093642C" w:rsidRPr="0093642C" w:rsidRDefault="0093642C" w:rsidP="00D74808">
            <w:r w:rsidRPr="0093642C">
              <w:t>Nil</w:t>
            </w:r>
          </w:p>
        </w:tc>
      </w:tr>
      <w:tr w:rsidR="00B35570" w:rsidTr="00587239">
        <w:trPr>
          <w:cantSplit w:val="0"/>
        </w:trPr>
        <w:tc>
          <w:tcPr>
            <w:tcW w:w="5529" w:type="dxa"/>
          </w:tcPr>
          <w:p w:rsidR="00B35570" w:rsidRPr="0093642C" w:rsidRDefault="00B35570" w:rsidP="0075574A">
            <w:pPr>
              <w:keepNext w:val="0"/>
            </w:pPr>
            <w:r w:rsidRPr="00B35570">
              <w:t>4.8 Records should be made or completed at the time each action is taken and in such a way that all significant activities concerning the manufacture of medicinal products are traceable.</w:t>
            </w:r>
          </w:p>
        </w:tc>
        <w:tc>
          <w:tcPr>
            <w:tcW w:w="6095" w:type="dxa"/>
          </w:tcPr>
          <w:p w:rsidR="00B35570" w:rsidRPr="0093642C" w:rsidRDefault="00B35570" w:rsidP="0075574A">
            <w:pPr>
              <w:keepNext w:val="0"/>
            </w:pPr>
            <w:r w:rsidRPr="00B35570">
              <w:t>4.8 The records should be made or completed at the time each action is taken and in such a way that all significant activities concerning the manufacture of medicinal products are traceable. They should be retained for at least one year after the expiry date of the finished product.</w:t>
            </w:r>
          </w:p>
        </w:tc>
        <w:tc>
          <w:tcPr>
            <w:tcW w:w="1843" w:type="dxa"/>
          </w:tcPr>
          <w:p w:rsidR="00B35570" w:rsidRPr="0093642C" w:rsidRDefault="00B35570" w:rsidP="00D74808">
            <w:r w:rsidRPr="00B35570">
              <w:t>No change, except that last sentence is removed and replaced by additional guidance in a new section in Chapter 4</w:t>
            </w:r>
          </w:p>
        </w:tc>
        <w:tc>
          <w:tcPr>
            <w:tcW w:w="1531" w:type="dxa"/>
          </w:tcPr>
          <w:p w:rsidR="00B35570" w:rsidRPr="0093642C" w:rsidRDefault="00B35570" w:rsidP="00D74808">
            <w:r w:rsidRPr="00B35570">
              <w:t>Nil</w:t>
            </w:r>
          </w:p>
        </w:tc>
      </w:tr>
      <w:tr w:rsidR="00B35570" w:rsidTr="00587239">
        <w:trPr>
          <w:cantSplit w:val="0"/>
        </w:trPr>
        <w:tc>
          <w:tcPr>
            <w:tcW w:w="5529" w:type="dxa"/>
          </w:tcPr>
          <w:p w:rsidR="00B35570" w:rsidRPr="00B35570" w:rsidRDefault="00B35570" w:rsidP="0075574A">
            <w:pPr>
              <w:keepNext w:val="0"/>
            </w:pPr>
            <w:r w:rsidRPr="00B35570">
              <w:t xml:space="preserve">4.9                 </w:t>
            </w:r>
            <w:r w:rsidRPr="00B35570">
              <w:rPr>
                <w:i/>
              </w:rPr>
              <w:t>No text change, only renumbered 4.7 into 4.9</w:t>
            </w:r>
          </w:p>
        </w:tc>
        <w:tc>
          <w:tcPr>
            <w:tcW w:w="6095" w:type="dxa"/>
          </w:tcPr>
          <w:p w:rsidR="00B35570" w:rsidRPr="00B35570" w:rsidRDefault="00B35570" w:rsidP="0075574A">
            <w:pPr>
              <w:keepNext w:val="0"/>
            </w:pPr>
            <w:r w:rsidRPr="00B35570">
              <w:t xml:space="preserve">4.7                 </w:t>
            </w:r>
            <w:r w:rsidRPr="00B35570">
              <w:rPr>
                <w:i/>
              </w:rPr>
              <w:t>No change</w:t>
            </w:r>
          </w:p>
        </w:tc>
        <w:tc>
          <w:tcPr>
            <w:tcW w:w="1843" w:type="dxa"/>
          </w:tcPr>
          <w:p w:rsidR="00B35570" w:rsidRPr="00B35570" w:rsidRDefault="00B35570" w:rsidP="00D74808">
            <w:r w:rsidRPr="00B35570">
              <w:t>None</w:t>
            </w:r>
          </w:p>
        </w:tc>
        <w:tc>
          <w:tcPr>
            <w:tcW w:w="1531" w:type="dxa"/>
          </w:tcPr>
          <w:p w:rsidR="00B35570" w:rsidRPr="00B35570" w:rsidRDefault="00B35570" w:rsidP="00D74808">
            <w:r w:rsidRPr="00B35570">
              <w:t>Nil</w:t>
            </w:r>
          </w:p>
        </w:tc>
      </w:tr>
      <w:tr w:rsidR="00B35570" w:rsidTr="00587239">
        <w:trPr>
          <w:cantSplit w:val="0"/>
        </w:trPr>
        <w:tc>
          <w:tcPr>
            <w:tcW w:w="5529" w:type="dxa"/>
          </w:tcPr>
          <w:p w:rsidR="00B35570" w:rsidRPr="00B35570" w:rsidRDefault="00B35570" w:rsidP="0075574A">
            <w:pPr>
              <w:keepNext w:val="0"/>
              <w:rPr>
                <w:rFonts w:ascii="Arial" w:hAnsi="Arial" w:cs="Arial"/>
                <w:color w:val="006DA7"/>
              </w:rPr>
            </w:pPr>
            <w:r w:rsidRPr="00B35570">
              <w:rPr>
                <w:rFonts w:ascii="Arial" w:hAnsi="Arial" w:cs="Arial"/>
                <w:color w:val="006DA7"/>
              </w:rPr>
              <w:t>4.10 It should be clearly defined which record is related to each manufacturing activity and where this record is located. Secure controls must be in place to ensure the integrity of the record throughout the retention period and validated where appropriate.</w:t>
            </w:r>
          </w:p>
          <w:p w:rsidR="00B35570" w:rsidRPr="00B35570" w:rsidRDefault="009D2C8D" w:rsidP="0075574A">
            <w:pPr>
              <w:keepNext w:val="0"/>
              <w:rPr>
                <w:rFonts w:ascii="Arial" w:hAnsi="Arial" w:cs="Arial"/>
                <w:color w:val="006DA7"/>
              </w:rPr>
            </w:pPr>
            <w:r>
              <w:rPr>
                <w:rFonts w:ascii="Arial" w:hAnsi="Arial" w:cs="Arial"/>
                <w:color w:val="006DA7"/>
              </w:rPr>
              <w:t xml:space="preserve">4.11 </w:t>
            </w:r>
            <w:r w:rsidR="00B35570" w:rsidRPr="00B35570">
              <w:rPr>
                <w:rFonts w:ascii="Arial" w:hAnsi="Arial" w:cs="Arial"/>
                <w:color w:val="006DA7"/>
              </w:rPr>
              <w:t xml:space="preserve">Specific requirements apply to batch </w:t>
            </w:r>
            <w:r w:rsidR="00B35570" w:rsidRPr="00B35570">
              <w:rPr>
                <w:rFonts w:ascii="Arial" w:hAnsi="Arial" w:cs="Arial"/>
                <w:color w:val="006DA7"/>
              </w:rPr>
              <w:lastRenderedPageBreak/>
              <w:t>documentation which must be kept for one year after expiry of the batch to which it relates or at least five years after certification of the batch by the Authorised Person, whichever is the longer. For investigational medicinal products, the batch documentation must be kept for at least five years after the completion or formal discontinuation of the last clinical trial in which the batch was used. Other requirements for retention of documentation may be described in legislation in relation to specific types of product (e.g. Advanced Therapy Medicinal Products) and specify that longer retention periods be applied to certain documents.</w:t>
            </w:r>
          </w:p>
          <w:p w:rsidR="00B35570" w:rsidRPr="00B35570" w:rsidRDefault="009D2C8D" w:rsidP="0075574A">
            <w:pPr>
              <w:keepNext w:val="0"/>
              <w:rPr>
                <w:rFonts w:ascii="Arial" w:hAnsi="Arial" w:cs="Arial"/>
                <w:color w:val="006DA7"/>
              </w:rPr>
            </w:pPr>
            <w:r>
              <w:rPr>
                <w:rFonts w:ascii="Arial" w:hAnsi="Arial" w:cs="Arial"/>
                <w:color w:val="006DA7"/>
              </w:rPr>
              <w:t xml:space="preserve">4.12 </w:t>
            </w:r>
            <w:r w:rsidR="00B35570" w:rsidRPr="00B35570">
              <w:rPr>
                <w:rFonts w:ascii="Arial" w:hAnsi="Arial" w:cs="Arial"/>
                <w:color w:val="006DA7"/>
              </w:rPr>
              <w:t xml:space="preserve">For other types of documentation, the retention period will depend on the business activity which the documentation supports. Critical documentation, including raw data (for example relating to validation or stability), which supports information in the Marketing Authorisation should be retained whilst the authorisation remains in force. It may be considered acceptable to retire certain documentation (e.g. raw data supporting validation reports or stability reports) where the data has been superseded by a full set of new data. Justification for this should be documented and should take into account the requirements for retention of batch documentation; for example, in the case of process validation data, the accompanying raw data should be retained for a period at least as long as the records for all batches whose release has </w:t>
            </w:r>
            <w:r w:rsidR="00B35570" w:rsidRPr="00B35570">
              <w:rPr>
                <w:rFonts w:ascii="Arial" w:hAnsi="Arial" w:cs="Arial"/>
                <w:color w:val="006DA7"/>
              </w:rPr>
              <w:lastRenderedPageBreak/>
              <w:t>been supported on the basis of that validation exercise.</w:t>
            </w:r>
          </w:p>
          <w:p w:rsidR="00B35570" w:rsidRPr="00B35570" w:rsidRDefault="00B35570" w:rsidP="0075574A">
            <w:pPr>
              <w:keepNext w:val="0"/>
            </w:pPr>
            <w:r w:rsidRPr="00B35570">
              <w:rPr>
                <w:rFonts w:ascii="Arial" w:hAnsi="Arial" w:cs="Arial"/>
                <w:color w:val="006DA7"/>
              </w:rPr>
              <w:t>The following section gives some examples of required documents. The quality management system should describe all documents required to ensure product quality and patient safety.</w:t>
            </w:r>
          </w:p>
        </w:tc>
        <w:tc>
          <w:tcPr>
            <w:tcW w:w="6095" w:type="dxa"/>
          </w:tcPr>
          <w:p w:rsidR="00B35570" w:rsidRPr="00B35570" w:rsidRDefault="00B35570" w:rsidP="0075574A">
            <w:pPr>
              <w:keepNext w:val="0"/>
              <w:ind w:left="317"/>
              <w:rPr>
                <w:i/>
              </w:rPr>
            </w:pPr>
            <w:r w:rsidRPr="00B35570">
              <w:rPr>
                <w:b/>
                <w:i/>
              </w:rPr>
              <w:lastRenderedPageBreak/>
              <w:t>Note:</w:t>
            </w:r>
            <w:r w:rsidRPr="00B35570">
              <w:rPr>
                <w:i/>
              </w:rPr>
              <w:t xml:space="preserve"> Three all new clauses in PE 008-10 replacing the second sentence of PE 008-8 clause 4.8 which stated: </w:t>
            </w:r>
          </w:p>
          <w:p w:rsidR="00B35570" w:rsidRPr="00B35570" w:rsidRDefault="00B35570" w:rsidP="0075574A">
            <w:pPr>
              <w:keepNext w:val="0"/>
              <w:ind w:left="317"/>
            </w:pPr>
            <w:r w:rsidRPr="00B35570">
              <w:rPr>
                <w:i/>
              </w:rPr>
              <w:t>“They should be retained for at least one year after the expiry date of the finished product.”</w:t>
            </w:r>
          </w:p>
        </w:tc>
        <w:tc>
          <w:tcPr>
            <w:tcW w:w="1843" w:type="dxa"/>
          </w:tcPr>
          <w:p w:rsidR="00B35570" w:rsidRPr="00B35570" w:rsidRDefault="00B35570" w:rsidP="00D74808">
            <w:r w:rsidRPr="00B35570">
              <w:t xml:space="preserve">Providing additional guidance and more detailed requirements to allow for a risk based approach </w:t>
            </w:r>
            <w:r w:rsidRPr="00B35570">
              <w:lastRenderedPageBreak/>
              <w:t>to document retention</w:t>
            </w:r>
          </w:p>
        </w:tc>
        <w:tc>
          <w:tcPr>
            <w:tcW w:w="1531" w:type="dxa"/>
          </w:tcPr>
          <w:p w:rsidR="00B35570" w:rsidRPr="00B35570" w:rsidRDefault="00B35570" w:rsidP="00D74808">
            <w:r w:rsidRPr="00B35570">
              <w:lastRenderedPageBreak/>
              <w:t>Minor</w:t>
            </w:r>
          </w:p>
        </w:tc>
      </w:tr>
      <w:tr w:rsidR="00680976" w:rsidTr="00587239">
        <w:trPr>
          <w:cantSplit w:val="0"/>
        </w:trPr>
        <w:tc>
          <w:tcPr>
            <w:tcW w:w="5529" w:type="dxa"/>
          </w:tcPr>
          <w:p w:rsidR="00680976" w:rsidRPr="00B35570" w:rsidRDefault="00680976" w:rsidP="0075574A">
            <w:pPr>
              <w:keepNext w:val="0"/>
            </w:pPr>
            <w:r w:rsidRPr="00680976">
              <w:lastRenderedPageBreak/>
              <w:t>4.13 There should be appropriately authorised and dated specifications for starting and packaging materials, and finished products.</w:t>
            </w:r>
          </w:p>
        </w:tc>
        <w:tc>
          <w:tcPr>
            <w:tcW w:w="6095" w:type="dxa"/>
          </w:tcPr>
          <w:p w:rsidR="00680976" w:rsidRPr="00B35570" w:rsidRDefault="00680976" w:rsidP="0075574A">
            <w:pPr>
              <w:keepNext w:val="0"/>
            </w:pPr>
            <w:r w:rsidRPr="00680976">
              <w:t>4.10 There should be appropriately authorised and dated specifications for starting and packaging materials, and finished products; where appropriate, they should be also available for intermediate or bulk products.</w:t>
            </w:r>
          </w:p>
        </w:tc>
        <w:tc>
          <w:tcPr>
            <w:tcW w:w="1843" w:type="dxa"/>
          </w:tcPr>
          <w:p w:rsidR="00680976" w:rsidRPr="00B35570" w:rsidRDefault="00680976" w:rsidP="00D74808">
            <w:r w:rsidRPr="00680976">
              <w:t>Requirement for specs for all intermediates and bulks has been deleted as 4.15 now allows for a risk based approach to this requirement</w:t>
            </w:r>
          </w:p>
        </w:tc>
        <w:tc>
          <w:tcPr>
            <w:tcW w:w="1531" w:type="dxa"/>
          </w:tcPr>
          <w:p w:rsidR="00680976" w:rsidRPr="00B35570" w:rsidRDefault="00680976" w:rsidP="00D74808">
            <w:r w:rsidRPr="00680976">
              <w:t>Nil</w:t>
            </w:r>
          </w:p>
        </w:tc>
      </w:tr>
      <w:tr w:rsidR="00680976" w:rsidTr="00587239">
        <w:trPr>
          <w:cantSplit w:val="0"/>
        </w:trPr>
        <w:tc>
          <w:tcPr>
            <w:tcW w:w="5529" w:type="dxa"/>
          </w:tcPr>
          <w:p w:rsidR="00680976" w:rsidRDefault="00680976" w:rsidP="0075574A">
            <w:pPr>
              <w:keepNext w:val="0"/>
            </w:pPr>
            <w:r>
              <w:t xml:space="preserve">4.14 Specifications for starting and primary or printed packaging materials should include </w:t>
            </w:r>
            <w:r w:rsidRPr="00680976">
              <w:rPr>
                <w:rFonts w:ascii="Arial" w:hAnsi="Arial" w:cs="Arial"/>
                <w:color w:val="006DA7"/>
              </w:rPr>
              <w:t>or provide reference to</w:t>
            </w:r>
            <w:r>
              <w:t>, if applicable:</w:t>
            </w:r>
          </w:p>
          <w:p w:rsidR="00680976" w:rsidRDefault="00680976" w:rsidP="0075574A">
            <w:pPr>
              <w:pStyle w:val="Numberbullet2"/>
              <w:keepNext w:val="0"/>
            </w:pPr>
            <w:r>
              <w:t>A description of the materials, including:</w:t>
            </w:r>
          </w:p>
          <w:p w:rsidR="00680976" w:rsidRDefault="00680976" w:rsidP="0075574A">
            <w:pPr>
              <w:pStyle w:val="ListBullet2"/>
              <w:keepNext w:val="0"/>
              <w:ind w:left="1560" w:hanging="426"/>
            </w:pPr>
            <w:r>
              <w:t>The designated name and the internal code reference;</w:t>
            </w:r>
          </w:p>
          <w:p w:rsidR="00680976" w:rsidRDefault="00680976" w:rsidP="0075574A">
            <w:pPr>
              <w:pStyle w:val="ListBullet2"/>
              <w:keepNext w:val="0"/>
              <w:ind w:left="1560" w:hanging="426"/>
            </w:pPr>
            <w:r>
              <w:t xml:space="preserve">The reference, if any, to a </w:t>
            </w:r>
            <w:proofErr w:type="spellStart"/>
            <w:r>
              <w:lastRenderedPageBreak/>
              <w:t>pharmacopoeial</w:t>
            </w:r>
            <w:proofErr w:type="spellEnd"/>
            <w:r>
              <w:t xml:space="preserve"> monograph;</w:t>
            </w:r>
          </w:p>
          <w:p w:rsidR="00680976" w:rsidRDefault="00680976" w:rsidP="0075574A">
            <w:pPr>
              <w:pStyle w:val="ListBullet2"/>
              <w:keepNext w:val="0"/>
              <w:ind w:left="1560" w:hanging="426"/>
            </w:pPr>
            <w:r>
              <w:t>The approved suppliers and, if reasonable, the original producer of the material;</w:t>
            </w:r>
          </w:p>
          <w:p w:rsidR="00680976" w:rsidRDefault="00680976" w:rsidP="0075574A">
            <w:pPr>
              <w:pStyle w:val="ListBullet2"/>
              <w:keepNext w:val="0"/>
              <w:ind w:left="1560" w:hanging="426"/>
            </w:pPr>
            <w:r>
              <w:t>A specimen of printed materials;</w:t>
            </w:r>
          </w:p>
          <w:p w:rsidR="00680976" w:rsidRDefault="00680976" w:rsidP="0075574A">
            <w:pPr>
              <w:pStyle w:val="Numberbullet2"/>
              <w:keepNext w:val="0"/>
            </w:pPr>
            <w:r>
              <w:t>Directions for sampling and testing;</w:t>
            </w:r>
          </w:p>
          <w:p w:rsidR="00680976" w:rsidRDefault="00680976" w:rsidP="0075574A">
            <w:pPr>
              <w:pStyle w:val="Numberbullet2"/>
              <w:keepNext w:val="0"/>
            </w:pPr>
            <w:r>
              <w:t>Qualitative and quantitative requirements with acceptance limits;</w:t>
            </w:r>
          </w:p>
          <w:p w:rsidR="00680976" w:rsidRDefault="00680976" w:rsidP="0075574A">
            <w:pPr>
              <w:pStyle w:val="Numberbullet2"/>
              <w:keepNext w:val="0"/>
            </w:pPr>
            <w:r>
              <w:t>Storage conditions and precautions;</w:t>
            </w:r>
          </w:p>
          <w:p w:rsidR="00680976" w:rsidRPr="00680976" w:rsidRDefault="00680976" w:rsidP="0075574A">
            <w:pPr>
              <w:pStyle w:val="Numberbullet2"/>
              <w:keepNext w:val="0"/>
            </w:pPr>
            <w:r>
              <w:t>The maximum period of storage before re-examination.</w:t>
            </w:r>
          </w:p>
        </w:tc>
        <w:tc>
          <w:tcPr>
            <w:tcW w:w="6095" w:type="dxa"/>
          </w:tcPr>
          <w:p w:rsidR="00680976" w:rsidRDefault="00680976" w:rsidP="0075574A">
            <w:pPr>
              <w:keepNext w:val="0"/>
            </w:pPr>
            <w:r>
              <w:lastRenderedPageBreak/>
              <w:t>4.11 Specifications for starting and primary or printed packaging materials should include, if applicable:</w:t>
            </w:r>
          </w:p>
          <w:p w:rsidR="00680976" w:rsidRPr="00680976" w:rsidRDefault="00680976" w:rsidP="0075574A">
            <w:pPr>
              <w:pStyle w:val="Numberbullet2"/>
              <w:keepNext w:val="0"/>
              <w:numPr>
                <w:ilvl w:val="0"/>
                <w:numId w:val="13"/>
              </w:numPr>
            </w:pPr>
            <w:r w:rsidRPr="00680976">
              <w:t>A description of the materials, including:</w:t>
            </w:r>
          </w:p>
          <w:p w:rsidR="00680976" w:rsidRDefault="00680976" w:rsidP="0075574A">
            <w:pPr>
              <w:pStyle w:val="ListBullet2"/>
              <w:keepNext w:val="0"/>
              <w:ind w:left="1593" w:hanging="426"/>
            </w:pPr>
            <w:r>
              <w:t>The designated name and the internal code reference;</w:t>
            </w:r>
          </w:p>
          <w:p w:rsidR="00680976" w:rsidRDefault="00680976" w:rsidP="0075574A">
            <w:pPr>
              <w:pStyle w:val="ListBullet2"/>
              <w:keepNext w:val="0"/>
              <w:ind w:left="1451" w:hanging="284"/>
            </w:pPr>
            <w:r>
              <w:t xml:space="preserve">The reference, if any, to a </w:t>
            </w:r>
            <w:proofErr w:type="spellStart"/>
            <w:r>
              <w:t>pharmacopoeial</w:t>
            </w:r>
            <w:proofErr w:type="spellEnd"/>
            <w:r>
              <w:t xml:space="preserve"> monograph;</w:t>
            </w:r>
          </w:p>
          <w:p w:rsidR="00680976" w:rsidRDefault="00680976" w:rsidP="0075574A">
            <w:pPr>
              <w:pStyle w:val="ListBullet2"/>
              <w:keepNext w:val="0"/>
              <w:ind w:left="1451" w:hanging="284"/>
            </w:pPr>
            <w:r>
              <w:lastRenderedPageBreak/>
              <w:t>The approved suppliers and, if reasonable, the original producer of the material;</w:t>
            </w:r>
          </w:p>
          <w:p w:rsidR="00680976" w:rsidRDefault="00680976" w:rsidP="0075574A">
            <w:pPr>
              <w:pStyle w:val="ListBullet2"/>
              <w:keepNext w:val="0"/>
              <w:ind w:left="1451" w:hanging="284"/>
            </w:pPr>
            <w:r>
              <w:t>A specimen of printed materials;</w:t>
            </w:r>
          </w:p>
          <w:p w:rsidR="00680976" w:rsidRDefault="00680976" w:rsidP="0075574A">
            <w:pPr>
              <w:pStyle w:val="Numberbullet2"/>
              <w:keepNext w:val="0"/>
            </w:pPr>
            <w:r>
              <w:t>Directions for sampling and testing;</w:t>
            </w:r>
          </w:p>
          <w:p w:rsidR="00680976" w:rsidRDefault="00680976" w:rsidP="0075574A">
            <w:pPr>
              <w:pStyle w:val="Numberbullet2"/>
              <w:keepNext w:val="0"/>
            </w:pPr>
            <w:r>
              <w:t>Qualitative and quantitative requirements with acceptance limits;</w:t>
            </w:r>
          </w:p>
          <w:p w:rsidR="00680976" w:rsidRDefault="00680976" w:rsidP="0075574A">
            <w:pPr>
              <w:pStyle w:val="Numberbullet2"/>
              <w:keepNext w:val="0"/>
            </w:pPr>
            <w:r>
              <w:t>Storage conditions and precautions;</w:t>
            </w:r>
          </w:p>
          <w:p w:rsidR="00680976" w:rsidRPr="00680976" w:rsidRDefault="00680976" w:rsidP="0075574A">
            <w:pPr>
              <w:pStyle w:val="Numberbullet2"/>
              <w:keepNext w:val="0"/>
            </w:pPr>
            <w:r>
              <w:t>The maximum period of storage before re-examination.</w:t>
            </w:r>
          </w:p>
        </w:tc>
        <w:tc>
          <w:tcPr>
            <w:tcW w:w="1843" w:type="dxa"/>
          </w:tcPr>
          <w:p w:rsidR="00680976" w:rsidRPr="00680976" w:rsidRDefault="0077041A" w:rsidP="00D74808">
            <w:r w:rsidRPr="0077041A">
              <w:lastRenderedPageBreak/>
              <w:t>Inclusion of an option to put references in specifications</w:t>
            </w:r>
          </w:p>
        </w:tc>
        <w:tc>
          <w:tcPr>
            <w:tcW w:w="1531" w:type="dxa"/>
          </w:tcPr>
          <w:p w:rsidR="00680976" w:rsidRPr="00680976" w:rsidRDefault="0077041A" w:rsidP="00D74808">
            <w:r w:rsidRPr="0077041A">
              <w:t>Nil</w:t>
            </w:r>
          </w:p>
        </w:tc>
      </w:tr>
      <w:tr w:rsidR="0077041A" w:rsidTr="00587239">
        <w:trPr>
          <w:cantSplit w:val="0"/>
        </w:trPr>
        <w:tc>
          <w:tcPr>
            <w:tcW w:w="5529" w:type="dxa"/>
          </w:tcPr>
          <w:p w:rsidR="0077041A" w:rsidRDefault="00E04024" w:rsidP="0075574A">
            <w:pPr>
              <w:keepNext w:val="0"/>
            </w:pPr>
            <w:r w:rsidRPr="00E04024">
              <w:lastRenderedPageBreak/>
              <w:t>4.15 Specifications for intermediate and bulk products should be available for critical steps or if these are purchased or dispatched. The specifications should be similar to specifications for starting materials or for finished products, as appropriate.</w:t>
            </w:r>
          </w:p>
        </w:tc>
        <w:tc>
          <w:tcPr>
            <w:tcW w:w="6095" w:type="dxa"/>
          </w:tcPr>
          <w:p w:rsidR="0077041A" w:rsidRDefault="00E04024" w:rsidP="0075574A">
            <w:pPr>
              <w:keepNext w:val="0"/>
            </w:pPr>
            <w:r w:rsidRPr="00E04024">
              <w:t>4.12 Specifications for intermediate and bulk products should be available if these are purchased or dispatched, or if data obtained from intermediate products are used for the evaluation of the finished product.  The specifications should be similar to specifications for starting materials or for finished products, as appropriate.</w:t>
            </w:r>
          </w:p>
        </w:tc>
        <w:tc>
          <w:tcPr>
            <w:tcW w:w="1843" w:type="dxa"/>
          </w:tcPr>
          <w:p w:rsidR="0077041A" w:rsidRPr="0077041A" w:rsidRDefault="00E04024" w:rsidP="00D74808">
            <w:r w:rsidRPr="00E04024">
              <w:t>Rewrite to allow a risk based approach to requirement to have specs for bulks and intermediates</w:t>
            </w:r>
          </w:p>
        </w:tc>
        <w:tc>
          <w:tcPr>
            <w:tcW w:w="1531" w:type="dxa"/>
          </w:tcPr>
          <w:p w:rsidR="0077041A" w:rsidRPr="0077041A" w:rsidRDefault="00E04024" w:rsidP="00D74808">
            <w:r w:rsidRPr="00E04024">
              <w:t>Nil</w:t>
            </w:r>
          </w:p>
        </w:tc>
      </w:tr>
      <w:tr w:rsidR="00E04024" w:rsidTr="00587239">
        <w:trPr>
          <w:cantSplit w:val="0"/>
        </w:trPr>
        <w:tc>
          <w:tcPr>
            <w:tcW w:w="5529" w:type="dxa"/>
          </w:tcPr>
          <w:p w:rsidR="00E04024" w:rsidRDefault="00E04024" w:rsidP="0075574A">
            <w:pPr>
              <w:keepNext w:val="0"/>
            </w:pPr>
            <w:r>
              <w:t xml:space="preserve">4.16 Specifications for finished products should include </w:t>
            </w:r>
            <w:r w:rsidRPr="00E04024">
              <w:rPr>
                <w:rFonts w:ascii="Arial" w:hAnsi="Arial" w:cs="Arial"/>
                <w:color w:val="006DA7"/>
              </w:rPr>
              <w:t>or provide reference to</w:t>
            </w:r>
            <w:r>
              <w:t>:</w:t>
            </w:r>
          </w:p>
          <w:p w:rsidR="00E04024" w:rsidRPr="00E04024" w:rsidRDefault="00E04024" w:rsidP="0075574A">
            <w:pPr>
              <w:pStyle w:val="Numberbullet2"/>
              <w:keepNext w:val="0"/>
              <w:numPr>
                <w:ilvl w:val="0"/>
                <w:numId w:val="14"/>
              </w:numPr>
            </w:pPr>
            <w:r w:rsidRPr="00E04024">
              <w:t xml:space="preserve">The designated name of the product and the </w:t>
            </w:r>
            <w:r w:rsidRPr="00E04024">
              <w:lastRenderedPageBreak/>
              <w:t>code reference where applicable;</w:t>
            </w:r>
          </w:p>
          <w:p w:rsidR="00E04024" w:rsidRDefault="00E04024" w:rsidP="0075574A">
            <w:pPr>
              <w:pStyle w:val="Numberbullet2"/>
              <w:keepNext w:val="0"/>
            </w:pPr>
            <w:r>
              <w:t>The formula;</w:t>
            </w:r>
          </w:p>
          <w:p w:rsidR="00E04024" w:rsidRDefault="00E04024" w:rsidP="0075574A">
            <w:pPr>
              <w:pStyle w:val="Numberbullet2"/>
              <w:keepNext w:val="0"/>
            </w:pPr>
            <w:r>
              <w:t>A description of the pharmaceutical form and package details;</w:t>
            </w:r>
          </w:p>
          <w:p w:rsidR="00E04024" w:rsidRDefault="00E04024" w:rsidP="0075574A">
            <w:pPr>
              <w:pStyle w:val="Numberbullet2"/>
              <w:keepNext w:val="0"/>
            </w:pPr>
            <w:r>
              <w:t>Directions for sampling and testing;</w:t>
            </w:r>
          </w:p>
          <w:p w:rsidR="00E04024" w:rsidRDefault="00E04024" w:rsidP="0075574A">
            <w:pPr>
              <w:pStyle w:val="Numberbullet2"/>
              <w:keepNext w:val="0"/>
            </w:pPr>
            <w:r>
              <w:t>The qualitative and quantitative requirements, with the acceptance limits;</w:t>
            </w:r>
          </w:p>
          <w:p w:rsidR="00E04024" w:rsidRDefault="00E04024" w:rsidP="0075574A">
            <w:pPr>
              <w:pStyle w:val="Numberbullet2"/>
              <w:keepNext w:val="0"/>
            </w:pPr>
            <w:r>
              <w:t>The storage conditions and any special handling precautions, where applicable;</w:t>
            </w:r>
          </w:p>
          <w:p w:rsidR="00E04024" w:rsidRPr="00E04024" w:rsidRDefault="00E04024" w:rsidP="0075574A">
            <w:pPr>
              <w:pStyle w:val="Numberbullet2"/>
              <w:keepNext w:val="0"/>
            </w:pPr>
            <w:r>
              <w:t>The shelf-life.</w:t>
            </w:r>
          </w:p>
        </w:tc>
        <w:tc>
          <w:tcPr>
            <w:tcW w:w="6095" w:type="dxa"/>
          </w:tcPr>
          <w:p w:rsidR="00E04024" w:rsidRDefault="00E04024" w:rsidP="0075574A">
            <w:pPr>
              <w:keepNext w:val="0"/>
            </w:pPr>
            <w:r>
              <w:lastRenderedPageBreak/>
              <w:t>4.13 Specifications for finished products should include:</w:t>
            </w:r>
          </w:p>
          <w:p w:rsidR="00E04024" w:rsidRPr="00E04024" w:rsidRDefault="00E04024" w:rsidP="0075574A">
            <w:pPr>
              <w:pStyle w:val="Numberbullet2"/>
              <w:keepNext w:val="0"/>
              <w:numPr>
                <w:ilvl w:val="0"/>
                <w:numId w:val="15"/>
              </w:numPr>
            </w:pPr>
            <w:r w:rsidRPr="00E04024">
              <w:t>The designated name of the product and the code reference where applicable;</w:t>
            </w:r>
          </w:p>
          <w:p w:rsidR="00E04024" w:rsidRDefault="00E04024" w:rsidP="0075574A">
            <w:pPr>
              <w:pStyle w:val="Numberbullet2"/>
              <w:keepNext w:val="0"/>
            </w:pPr>
            <w:r>
              <w:lastRenderedPageBreak/>
              <w:t>The formula or a reference to;</w:t>
            </w:r>
          </w:p>
          <w:p w:rsidR="00E04024" w:rsidRDefault="00E04024" w:rsidP="0075574A">
            <w:pPr>
              <w:pStyle w:val="Numberbullet2"/>
              <w:keepNext w:val="0"/>
            </w:pPr>
            <w:r>
              <w:t>A description of the pharmaceutical form and package details;</w:t>
            </w:r>
          </w:p>
          <w:p w:rsidR="00E04024" w:rsidRDefault="00E04024" w:rsidP="0075574A">
            <w:pPr>
              <w:pStyle w:val="Numberbullet2"/>
              <w:keepNext w:val="0"/>
            </w:pPr>
            <w:r>
              <w:t>Directions for sampling and testing;</w:t>
            </w:r>
          </w:p>
          <w:p w:rsidR="00E04024" w:rsidRDefault="00E04024" w:rsidP="0075574A">
            <w:pPr>
              <w:pStyle w:val="Numberbullet2"/>
              <w:keepNext w:val="0"/>
            </w:pPr>
            <w:r>
              <w:t>The qualitative and quantitative requirements, with the acceptance limits;</w:t>
            </w:r>
          </w:p>
          <w:p w:rsidR="00E04024" w:rsidRDefault="00E04024" w:rsidP="0075574A">
            <w:pPr>
              <w:pStyle w:val="Numberbullet2"/>
              <w:keepNext w:val="0"/>
            </w:pPr>
            <w:r>
              <w:t>The storage conditions and any special handling precautions, where applicable;</w:t>
            </w:r>
          </w:p>
          <w:p w:rsidR="00E04024" w:rsidRPr="00E04024" w:rsidRDefault="00E04024" w:rsidP="0075574A">
            <w:pPr>
              <w:pStyle w:val="Numberbullet2"/>
              <w:keepNext w:val="0"/>
            </w:pPr>
            <w:r>
              <w:t>The shelf-life.</w:t>
            </w:r>
          </w:p>
        </w:tc>
        <w:tc>
          <w:tcPr>
            <w:tcW w:w="1843" w:type="dxa"/>
          </w:tcPr>
          <w:p w:rsidR="00E04024" w:rsidRPr="00E04024" w:rsidRDefault="003916F7" w:rsidP="00D74808">
            <w:r w:rsidRPr="003916F7">
              <w:lastRenderedPageBreak/>
              <w:t xml:space="preserve">Increasing flexibility by moving “or a reference to” </w:t>
            </w:r>
            <w:r w:rsidRPr="003916F7">
              <w:lastRenderedPageBreak/>
              <w:t>from b) only to the core text to be applicable to the entire clause</w:t>
            </w:r>
          </w:p>
        </w:tc>
        <w:tc>
          <w:tcPr>
            <w:tcW w:w="1531" w:type="dxa"/>
          </w:tcPr>
          <w:p w:rsidR="00E04024" w:rsidRPr="00E04024" w:rsidRDefault="003916F7" w:rsidP="00D74808">
            <w:r w:rsidRPr="003916F7">
              <w:lastRenderedPageBreak/>
              <w:t>Nil</w:t>
            </w:r>
          </w:p>
        </w:tc>
      </w:tr>
      <w:tr w:rsidR="003916F7" w:rsidTr="00587239">
        <w:trPr>
          <w:cantSplit w:val="0"/>
        </w:trPr>
        <w:tc>
          <w:tcPr>
            <w:tcW w:w="5529" w:type="dxa"/>
          </w:tcPr>
          <w:p w:rsidR="003916F7" w:rsidRDefault="003916F7" w:rsidP="0075574A">
            <w:pPr>
              <w:keepNext w:val="0"/>
            </w:pPr>
            <w:r>
              <w:lastRenderedPageBreak/>
              <w:t>Approved, written Manufacturing Formula and Processing Instructions should exist for each product and batch size to be manufactured.</w:t>
            </w:r>
          </w:p>
          <w:p w:rsidR="003916F7" w:rsidRDefault="003916F7" w:rsidP="0075574A">
            <w:pPr>
              <w:keepNext w:val="0"/>
            </w:pPr>
            <w:r>
              <w:t>4.17 The Manufacturing Formula should include:</w:t>
            </w:r>
          </w:p>
          <w:p w:rsidR="003916F7" w:rsidRPr="003916F7" w:rsidRDefault="003916F7" w:rsidP="0075574A">
            <w:pPr>
              <w:pStyle w:val="Numberbullet2"/>
              <w:keepNext w:val="0"/>
              <w:numPr>
                <w:ilvl w:val="0"/>
                <w:numId w:val="16"/>
              </w:numPr>
            </w:pPr>
            <w:r w:rsidRPr="003916F7">
              <w:t>The name of the product, with a product reference code relating to its specification;</w:t>
            </w:r>
          </w:p>
          <w:p w:rsidR="003916F7" w:rsidRDefault="003916F7" w:rsidP="0075574A">
            <w:pPr>
              <w:pStyle w:val="Numberbullet2"/>
              <w:keepNext w:val="0"/>
            </w:pPr>
            <w:r>
              <w:t>A description of the pharmaceutical form, strength of the product and batch size;</w:t>
            </w:r>
          </w:p>
          <w:p w:rsidR="003916F7" w:rsidRDefault="003916F7" w:rsidP="0075574A">
            <w:pPr>
              <w:pStyle w:val="Numberbullet2"/>
              <w:keepNext w:val="0"/>
            </w:pPr>
            <w:r>
              <w:t xml:space="preserve">A list of all starting materials to be used, with the amount of each, described; mention should be made of any substance </w:t>
            </w:r>
            <w:r>
              <w:lastRenderedPageBreak/>
              <w:t>that may disappear in the course of processing;</w:t>
            </w:r>
          </w:p>
          <w:p w:rsidR="003916F7" w:rsidRDefault="003916F7" w:rsidP="0075574A">
            <w:pPr>
              <w:pStyle w:val="Numberbullet2"/>
              <w:keepNext w:val="0"/>
            </w:pPr>
            <w:r>
              <w:t>A statement of the expected final yield with the acceptable limits, and of relevant intermediate yields, where applicable.</w:t>
            </w:r>
          </w:p>
        </w:tc>
        <w:tc>
          <w:tcPr>
            <w:tcW w:w="6095" w:type="dxa"/>
          </w:tcPr>
          <w:p w:rsidR="003916F7" w:rsidRDefault="003916F7" w:rsidP="0075574A">
            <w:pPr>
              <w:keepNext w:val="0"/>
            </w:pPr>
            <w:r>
              <w:lastRenderedPageBreak/>
              <w:t>4.14 Formally authorised Manufacturing Formula and Processing Instructions should exist for each product and batch size to be manufactured.  They are often combined in one document.</w:t>
            </w:r>
          </w:p>
          <w:p w:rsidR="003916F7" w:rsidRDefault="003916F7" w:rsidP="0075574A">
            <w:pPr>
              <w:keepNext w:val="0"/>
            </w:pPr>
            <w:r>
              <w:t>The Manufacturing Formula should include:</w:t>
            </w:r>
          </w:p>
          <w:p w:rsidR="003916F7" w:rsidRPr="003916F7" w:rsidRDefault="003916F7" w:rsidP="0075574A">
            <w:pPr>
              <w:pStyle w:val="Numberbullet2"/>
              <w:keepNext w:val="0"/>
              <w:numPr>
                <w:ilvl w:val="0"/>
                <w:numId w:val="17"/>
              </w:numPr>
            </w:pPr>
            <w:r w:rsidRPr="003916F7">
              <w:t>the name of the product, with a product reference code relating to its specification;</w:t>
            </w:r>
          </w:p>
          <w:p w:rsidR="003916F7" w:rsidRDefault="003916F7" w:rsidP="0075574A">
            <w:pPr>
              <w:pStyle w:val="Numberbullet2"/>
              <w:keepNext w:val="0"/>
            </w:pPr>
            <w:r>
              <w:t>a description of the pharmaceutical form, strength of the product and batch size;</w:t>
            </w:r>
          </w:p>
          <w:p w:rsidR="003916F7" w:rsidRDefault="003916F7" w:rsidP="0075574A">
            <w:pPr>
              <w:pStyle w:val="Numberbullet2"/>
              <w:keepNext w:val="0"/>
            </w:pPr>
            <w:r>
              <w:t xml:space="preserve">a list of all starting materials to be used, with the amount of each, described using the designated </w:t>
            </w:r>
            <w:r>
              <w:lastRenderedPageBreak/>
              <w:t>name and a reference which is unique to that material; mention should be made of any substance that may disappear in the course of processing;</w:t>
            </w:r>
          </w:p>
          <w:p w:rsidR="003916F7" w:rsidRDefault="003916F7" w:rsidP="0075574A">
            <w:pPr>
              <w:pStyle w:val="Numberbullet2"/>
              <w:keepNext w:val="0"/>
            </w:pPr>
            <w:proofErr w:type="gramStart"/>
            <w:r>
              <w:t>a</w:t>
            </w:r>
            <w:proofErr w:type="gramEnd"/>
            <w:r>
              <w:t xml:space="preserve"> statement of the expected final yield with the acceptable limits, and of relevant intermediate yields, where applicable.</w:t>
            </w:r>
          </w:p>
        </w:tc>
        <w:tc>
          <w:tcPr>
            <w:tcW w:w="1843" w:type="dxa"/>
          </w:tcPr>
          <w:p w:rsidR="007D31A9" w:rsidRDefault="007D31A9" w:rsidP="007D31A9">
            <w:r>
              <w:lastRenderedPageBreak/>
              <w:t>Deletion of the suggestion to combine Manufacturing Formulae and Processing Instruction in one document;</w:t>
            </w:r>
          </w:p>
          <w:p w:rsidR="003916F7" w:rsidRPr="003916F7" w:rsidRDefault="007D31A9" w:rsidP="007D31A9">
            <w:r>
              <w:t xml:space="preserve">Deletion of requirement under c) to “use the designated name and a </w:t>
            </w:r>
            <w:r>
              <w:lastRenderedPageBreak/>
              <w:t>reference which is unique to that material” as the meaning of this was unclear</w:t>
            </w:r>
          </w:p>
        </w:tc>
        <w:tc>
          <w:tcPr>
            <w:tcW w:w="1531" w:type="dxa"/>
          </w:tcPr>
          <w:p w:rsidR="003916F7" w:rsidRPr="003916F7" w:rsidRDefault="007D31A9" w:rsidP="00D74808">
            <w:r w:rsidRPr="007D31A9">
              <w:lastRenderedPageBreak/>
              <w:t>Nil</w:t>
            </w:r>
          </w:p>
        </w:tc>
      </w:tr>
      <w:tr w:rsidR="007D31A9" w:rsidTr="00587239">
        <w:trPr>
          <w:cantSplit w:val="0"/>
        </w:trPr>
        <w:tc>
          <w:tcPr>
            <w:tcW w:w="5529" w:type="dxa"/>
          </w:tcPr>
          <w:p w:rsidR="007D31A9" w:rsidRDefault="007D31A9" w:rsidP="0075574A">
            <w:pPr>
              <w:keepNext w:val="0"/>
            </w:pPr>
            <w:r>
              <w:lastRenderedPageBreak/>
              <w:t>4.18 The Processing Instructions should include:</w:t>
            </w:r>
          </w:p>
          <w:p w:rsidR="007D31A9" w:rsidRPr="007D31A9" w:rsidRDefault="007D31A9" w:rsidP="0075574A">
            <w:pPr>
              <w:pStyle w:val="Numberbullet2"/>
              <w:keepNext w:val="0"/>
              <w:numPr>
                <w:ilvl w:val="0"/>
                <w:numId w:val="18"/>
              </w:numPr>
            </w:pPr>
            <w:r w:rsidRPr="007D31A9">
              <w:t>A statement of the processing location and the principal equipment to be used;</w:t>
            </w:r>
          </w:p>
          <w:p w:rsidR="007D31A9" w:rsidRDefault="007D31A9" w:rsidP="0075574A">
            <w:pPr>
              <w:pStyle w:val="Numberbullet2"/>
              <w:keepNext w:val="0"/>
            </w:pPr>
            <w:r>
              <w:t>The methods, or reference to the methods, to be used for preparing the critical equipment (e.g. cleaning, assembling, calibrating, sterilising);</w:t>
            </w:r>
          </w:p>
          <w:p w:rsidR="007D31A9" w:rsidRPr="007D31A9" w:rsidRDefault="007D31A9" w:rsidP="0075574A">
            <w:pPr>
              <w:pStyle w:val="Numberbullet2"/>
              <w:keepNext w:val="0"/>
              <w:rPr>
                <w:rFonts w:ascii="Arial" w:hAnsi="Arial" w:cs="Arial"/>
                <w:color w:val="006DA7"/>
              </w:rPr>
            </w:pPr>
            <w:r w:rsidRPr="007D31A9">
              <w:rPr>
                <w:rFonts w:ascii="Arial" w:hAnsi="Arial" w:cs="Arial"/>
                <w:color w:val="006DA7"/>
              </w:rPr>
              <w:t>Checks that the equipment and work station are clear of previous products, documents or materials not required for the planned process, and that equipment is clean and suitable for use;</w:t>
            </w:r>
          </w:p>
          <w:p w:rsidR="007D31A9" w:rsidRDefault="007D31A9" w:rsidP="0075574A">
            <w:pPr>
              <w:pStyle w:val="Numberbullet2"/>
              <w:keepNext w:val="0"/>
            </w:pPr>
            <w:r>
              <w:t>Detailed stepwise processing instructions [e.g. checks on materials, pre-treatments, sequence for adding materials, critical process parameters (time, temp etc)];</w:t>
            </w:r>
          </w:p>
          <w:p w:rsidR="007D31A9" w:rsidRDefault="007D31A9" w:rsidP="0075574A">
            <w:pPr>
              <w:pStyle w:val="Numberbullet2"/>
              <w:keepNext w:val="0"/>
            </w:pPr>
            <w:r>
              <w:t xml:space="preserve">The instructions for any in-process controls </w:t>
            </w:r>
            <w:r>
              <w:lastRenderedPageBreak/>
              <w:t>with their limits;</w:t>
            </w:r>
          </w:p>
          <w:p w:rsidR="007D31A9" w:rsidRDefault="007D31A9" w:rsidP="0075574A">
            <w:pPr>
              <w:pStyle w:val="Numberbullet2"/>
              <w:keepNext w:val="0"/>
            </w:pPr>
            <w:r>
              <w:t xml:space="preserve">Where necessary, the requirements for bulk storage of the products; including the container, </w:t>
            </w:r>
            <w:proofErr w:type="spellStart"/>
            <w:r>
              <w:t>labeling</w:t>
            </w:r>
            <w:proofErr w:type="spellEnd"/>
            <w:r>
              <w:t xml:space="preserve"> and special storage conditions where applicable;</w:t>
            </w:r>
          </w:p>
          <w:p w:rsidR="007D31A9" w:rsidRDefault="007D31A9" w:rsidP="0075574A">
            <w:pPr>
              <w:pStyle w:val="Numberbullet2"/>
              <w:keepNext w:val="0"/>
            </w:pPr>
            <w:r>
              <w:t>Any special precautions to be observed.</w:t>
            </w:r>
          </w:p>
        </w:tc>
        <w:tc>
          <w:tcPr>
            <w:tcW w:w="6095" w:type="dxa"/>
          </w:tcPr>
          <w:p w:rsidR="007D31A9" w:rsidRDefault="007D31A9" w:rsidP="0075574A">
            <w:pPr>
              <w:keepNext w:val="0"/>
            </w:pPr>
            <w:r>
              <w:lastRenderedPageBreak/>
              <w:t>4.15 The Processing Instructions should include:</w:t>
            </w:r>
          </w:p>
          <w:p w:rsidR="007D31A9" w:rsidRPr="007D31A9" w:rsidRDefault="007D31A9" w:rsidP="0075574A">
            <w:pPr>
              <w:pStyle w:val="Numberbullet2"/>
              <w:keepNext w:val="0"/>
              <w:numPr>
                <w:ilvl w:val="0"/>
                <w:numId w:val="19"/>
              </w:numPr>
            </w:pPr>
            <w:r w:rsidRPr="007D31A9">
              <w:t>a statement of the processing location and the principal equipment to be used;</w:t>
            </w:r>
          </w:p>
          <w:p w:rsidR="007D31A9" w:rsidRDefault="007D31A9" w:rsidP="0075574A">
            <w:pPr>
              <w:pStyle w:val="Numberbullet2"/>
              <w:keepNext w:val="0"/>
            </w:pPr>
            <w:r>
              <w:t>the methods, or reference to the methods, to be used for preparing the critical equipment (e.g. cleaning, assembling, calibrating, sterilising);</w:t>
            </w:r>
          </w:p>
          <w:p w:rsidR="007D31A9" w:rsidRDefault="007D31A9" w:rsidP="0075574A">
            <w:pPr>
              <w:pStyle w:val="Numberbullet2"/>
              <w:keepNext w:val="0"/>
            </w:pPr>
            <w:r>
              <w:t xml:space="preserve">detailed stepwise processing instructions (e.g. checks on materials, </w:t>
            </w:r>
            <w:proofErr w:type="spellStart"/>
            <w:r>
              <w:t>pretreatments</w:t>
            </w:r>
            <w:proofErr w:type="spellEnd"/>
            <w:r>
              <w:t>, sequence for adding materials, mixing times, temperatures);</w:t>
            </w:r>
          </w:p>
          <w:p w:rsidR="007D31A9" w:rsidRDefault="007D31A9" w:rsidP="0075574A">
            <w:pPr>
              <w:pStyle w:val="Numberbullet2"/>
              <w:keepNext w:val="0"/>
            </w:pPr>
            <w:r>
              <w:t>the instructions for any in-process controls with their limits;</w:t>
            </w:r>
          </w:p>
          <w:p w:rsidR="007D31A9" w:rsidRDefault="007D31A9" w:rsidP="0075574A">
            <w:pPr>
              <w:pStyle w:val="Numberbullet2"/>
              <w:keepNext w:val="0"/>
            </w:pPr>
            <w:r>
              <w:t>where necessary, the requirements for bulk storage of the products; including the container, labelling and special storage conditions where applicable;</w:t>
            </w:r>
          </w:p>
          <w:p w:rsidR="007D31A9" w:rsidRDefault="007D31A9" w:rsidP="0075574A">
            <w:pPr>
              <w:pStyle w:val="Numberbullet2"/>
              <w:keepNext w:val="0"/>
            </w:pPr>
            <w:proofErr w:type="gramStart"/>
            <w:r>
              <w:t>any</w:t>
            </w:r>
            <w:proofErr w:type="gramEnd"/>
            <w:r>
              <w:t xml:space="preserve"> special precautions to be observed.</w:t>
            </w:r>
          </w:p>
        </w:tc>
        <w:tc>
          <w:tcPr>
            <w:tcW w:w="1843" w:type="dxa"/>
          </w:tcPr>
          <w:p w:rsidR="007D31A9" w:rsidRDefault="00AB1001" w:rsidP="007D31A9">
            <w:r w:rsidRPr="00AB1001">
              <w:t>Moved the second paragraph of PE 009-8 clause 4.18 to PE 009-10 as a new entry f), as this is a more logical place</w:t>
            </w:r>
          </w:p>
        </w:tc>
        <w:tc>
          <w:tcPr>
            <w:tcW w:w="1531" w:type="dxa"/>
          </w:tcPr>
          <w:p w:rsidR="007D31A9" w:rsidRPr="007D31A9" w:rsidRDefault="00AB1001" w:rsidP="00D74808">
            <w:r w:rsidRPr="00AB1001">
              <w:t>Nil</w:t>
            </w:r>
          </w:p>
        </w:tc>
      </w:tr>
      <w:tr w:rsidR="003D0DF6" w:rsidTr="00587239">
        <w:trPr>
          <w:cantSplit w:val="0"/>
        </w:trPr>
        <w:tc>
          <w:tcPr>
            <w:tcW w:w="5529" w:type="dxa"/>
          </w:tcPr>
          <w:p w:rsidR="003D0DF6" w:rsidRDefault="003D0DF6" w:rsidP="0075574A">
            <w:pPr>
              <w:keepNext w:val="0"/>
            </w:pPr>
            <w:r>
              <w:lastRenderedPageBreak/>
              <w:t>4.19 Approved Packaging Instructions for each product, pack size and type should exist. These should include, or have a reference to, the following:</w:t>
            </w:r>
          </w:p>
          <w:p w:rsidR="003D0DF6" w:rsidRPr="003D0DF6" w:rsidRDefault="003D0DF6" w:rsidP="0075574A">
            <w:pPr>
              <w:pStyle w:val="Numberbullet2"/>
              <w:keepNext w:val="0"/>
              <w:numPr>
                <w:ilvl w:val="0"/>
                <w:numId w:val="20"/>
              </w:numPr>
            </w:pPr>
            <w:r w:rsidRPr="003D0DF6">
              <w:t xml:space="preserve">Name of the product; </w:t>
            </w:r>
            <w:r w:rsidRPr="003D0DF6">
              <w:rPr>
                <w:rFonts w:ascii="Arial" w:hAnsi="Arial" w:cs="Arial"/>
                <w:color w:val="006DA7"/>
              </w:rPr>
              <w:t>including the batch number of bulk and finished product;</w:t>
            </w:r>
          </w:p>
          <w:p w:rsidR="003D0DF6" w:rsidRDefault="003D0DF6" w:rsidP="0075574A">
            <w:pPr>
              <w:pStyle w:val="Numberbullet2"/>
              <w:keepNext w:val="0"/>
            </w:pPr>
            <w:r>
              <w:t>Description of its pharmaceutical form, and strength where applicable;</w:t>
            </w:r>
          </w:p>
          <w:p w:rsidR="003D0DF6" w:rsidRDefault="003D0DF6" w:rsidP="0075574A">
            <w:pPr>
              <w:pStyle w:val="Numberbullet2"/>
              <w:keepNext w:val="0"/>
            </w:pPr>
            <w:r>
              <w:t>The pack size expressed in terms of the number, weight or volume of the product in the final container;</w:t>
            </w:r>
          </w:p>
          <w:p w:rsidR="003D0DF6" w:rsidRDefault="003D0DF6" w:rsidP="0075574A">
            <w:pPr>
              <w:pStyle w:val="Numberbullet2"/>
              <w:keepNext w:val="0"/>
            </w:pPr>
            <w:r>
              <w:t>A complete list of all the packaging materials required, including quantities, sizes and types, with the code or reference number relating to the specifications of each packaging material;</w:t>
            </w:r>
          </w:p>
          <w:p w:rsidR="003D0DF6" w:rsidRDefault="003D0DF6" w:rsidP="0075574A">
            <w:pPr>
              <w:pStyle w:val="Numberbullet2"/>
              <w:keepNext w:val="0"/>
            </w:pPr>
            <w:r>
              <w:t xml:space="preserve">Where appropriate, an example or reproduction of the relevant printed </w:t>
            </w:r>
            <w:r>
              <w:lastRenderedPageBreak/>
              <w:t>packaging materials, and specimens indicating where to apply batch number references, and shelf life of the product;</w:t>
            </w:r>
          </w:p>
          <w:p w:rsidR="003D0DF6" w:rsidRPr="00170EDF" w:rsidRDefault="003D0DF6" w:rsidP="0075574A">
            <w:pPr>
              <w:pStyle w:val="Numberbullet2"/>
              <w:keepNext w:val="0"/>
              <w:rPr>
                <w:rFonts w:cs="Arial"/>
                <w:color w:val="auto"/>
              </w:rPr>
            </w:pPr>
            <w:r w:rsidRPr="00170EDF">
              <w:rPr>
                <w:rFonts w:ascii="Arial" w:hAnsi="Arial" w:cs="Arial"/>
                <w:color w:val="006DA7"/>
              </w:rPr>
              <w:t>Checks that the equipment and work station are clear of previous products, documents or materials not required for the planned packaging operations (line clearance), and that equipment is clean and suitable for use;</w:t>
            </w:r>
          </w:p>
          <w:p w:rsidR="003D0DF6" w:rsidRDefault="003D0DF6" w:rsidP="0075574A">
            <w:pPr>
              <w:pStyle w:val="Numberbullet2"/>
              <w:keepNext w:val="0"/>
            </w:pPr>
            <w:r>
              <w:t>Special precautions to be observed, including a careful examination of the area and equipment in order to ascertain the line clearance before operations begin;</w:t>
            </w:r>
          </w:p>
          <w:p w:rsidR="003D0DF6" w:rsidRDefault="003D0DF6" w:rsidP="0075574A">
            <w:pPr>
              <w:pStyle w:val="Numberbullet2"/>
              <w:keepNext w:val="0"/>
            </w:pPr>
            <w:r>
              <w:t>A description of the packaging operation, including any significant subsidiary operations, and equipment to be used;</w:t>
            </w:r>
          </w:p>
          <w:p w:rsidR="003D0DF6" w:rsidRDefault="003D0DF6" w:rsidP="0075574A">
            <w:pPr>
              <w:pStyle w:val="Numberbullet2"/>
              <w:keepNext w:val="0"/>
            </w:pPr>
            <w:r>
              <w:t>Details of in-process controls with instructions for sampling and acceptance limits.</w:t>
            </w:r>
          </w:p>
        </w:tc>
        <w:tc>
          <w:tcPr>
            <w:tcW w:w="6095" w:type="dxa"/>
          </w:tcPr>
          <w:p w:rsidR="00170EDF" w:rsidRDefault="00170EDF" w:rsidP="0075574A">
            <w:pPr>
              <w:keepNext w:val="0"/>
            </w:pPr>
            <w:r>
              <w:lastRenderedPageBreak/>
              <w:t>4.16 There should be formally authorised Packaging Instructions for each product for pack size and type.  These should normally include, or have a reference to, the following:</w:t>
            </w:r>
          </w:p>
          <w:p w:rsidR="00170EDF" w:rsidRPr="00170EDF" w:rsidRDefault="00170EDF" w:rsidP="0075574A">
            <w:pPr>
              <w:pStyle w:val="Numberbullet2"/>
              <w:keepNext w:val="0"/>
              <w:numPr>
                <w:ilvl w:val="0"/>
                <w:numId w:val="21"/>
              </w:numPr>
            </w:pPr>
            <w:r w:rsidRPr="00170EDF">
              <w:t>name of the product;</w:t>
            </w:r>
          </w:p>
          <w:p w:rsidR="00170EDF" w:rsidRDefault="00170EDF" w:rsidP="0075574A">
            <w:pPr>
              <w:pStyle w:val="Numberbullet2"/>
              <w:keepNext w:val="0"/>
            </w:pPr>
            <w:r>
              <w:t>description of its pharmaceutical form, and strength where applicable;</w:t>
            </w:r>
          </w:p>
          <w:p w:rsidR="00170EDF" w:rsidRDefault="00170EDF" w:rsidP="0075574A">
            <w:pPr>
              <w:pStyle w:val="Numberbullet2"/>
              <w:keepNext w:val="0"/>
            </w:pPr>
            <w:r>
              <w:t>the pack size expressed in terms of the number, weight or volume of the product in the final container;</w:t>
            </w:r>
          </w:p>
          <w:p w:rsidR="00170EDF" w:rsidRDefault="00170EDF" w:rsidP="0075574A">
            <w:pPr>
              <w:pStyle w:val="Numberbullet2"/>
              <w:keepNext w:val="0"/>
            </w:pPr>
            <w:r>
              <w:t>a complete list of all the packaging materials required for a standard batch size, including quantities, sizes and types, with the code or reference number relating to the specifications of each packaging material;</w:t>
            </w:r>
          </w:p>
          <w:p w:rsidR="00170EDF" w:rsidRDefault="00170EDF" w:rsidP="0075574A">
            <w:pPr>
              <w:pStyle w:val="Numberbullet2"/>
              <w:keepNext w:val="0"/>
            </w:pPr>
            <w:r>
              <w:t xml:space="preserve">where appropriate, an example or reproduction of the relevant printed packaging materials, and specimens indicating where to apply batch </w:t>
            </w:r>
            <w:r>
              <w:lastRenderedPageBreak/>
              <w:t>number references, and shelf-life of the product;</w:t>
            </w:r>
          </w:p>
          <w:p w:rsidR="00170EDF" w:rsidRDefault="00170EDF" w:rsidP="0075574A">
            <w:pPr>
              <w:pStyle w:val="Numberbullet2"/>
              <w:keepNext w:val="0"/>
            </w:pPr>
            <w:r>
              <w:t>special precautions to be observed, including a careful examination of the area and equipment in order to ascertain the line clearance before operations begin;</w:t>
            </w:r>
          </w:p>
          <w:p w:rsidR="00170EDF" w:rsidRDefault="00170EDF" w:rsidP="0075574A">
            <w:pPr>
              <w:pStyle w:val="Numberbullet2"/>
              <w:keepNext w:val="0"/>
            </w:pPr>
            <w:r>
              <w:t>a description of the packaging operation, including any significant subsidiary operations, and equipment to be used;</w:t>
            </w:r>
          </w:p>
          <w:p w:rsidR="003D0DF6" w:rsidRDefault="00170EDF" w:rsidP="0075574A">
            <w:pPr>
              <w:pStyle w:val="Numberbullet2"/>
              <w:keepNext w:val="0"/>
            </w:pPr>
            <w:proofErr w:type="gramStart"/>
            <w:r>
              <w:t>details</w:t>
            </w:r>
            <w:proofErr w:type="gramEnd"/>
            <w:r>
              <w:t xml:space="preserve"> of in-process controls with instructions for sampling and acceptance limits.</w:t>
            </w:r>
          </w:p>
        </w:tc>
        <w:tc>
          <w:tcPr>
            <w:tcW w:w="1843" w:type="dxa"/>
          </w:tcPr>
          <w:p w:rsidR="00170EDF" w:rsidRDefault="00170EDF" w:rsidP="00170EDF">
            <w:r>
              <w:lastRenderedPageBreak/>
              <w:t>Addition of bulk and finished products batch number under a);</w:t>
            </w:r>
          </w:p>
          <w:p w:rsidR="003D0DF6" w:rsidRPr="00AB1001" w:rsidRDefault="00170EDF" w:rsidP="00170EDF">
            <w:r>
              <w:t>Moved the second paragraph of PE 009-8 clause 4.17 to PE 009-10 clause 4.19 as a new entry f), as this is a more logical place</w:t>
            </w:r>
          </w:p>
        </w:tc>
        <w:tc>
          <w:tcPr>
            <w:tcW w:w="1531" w:type="dxa"/>
          </w:tcPr>
          <w:p w:rsidR="003D0DF6" w:rsidRPr="00AB1001" w:rsidRDefault="00170EDF" w:rsidP="00D74808">
            <w:r w:rsidRPr="00170EDF">
              <w:t>Nil</w:t>
            </w:r>
          </w:p>
        </w:tc>
      </w:tr>
      <w:tr w:rsidR="00F94299" w:rsidTr="00587239">
        <w:trPr>
          <w:cantSplit w:val="0"/>
        </w:trPr>
        <w:tc>
          <w:tcPr>
            <w:tcW w:w="5529" w:type="dxa"/>
          </w:tcPr>
          <w:p w:rsidR="00F94299" w:rsidRDefault="00F94299" w:rsidP="0075574A">
            <w:pPr>
              <w:keepNext w:val="0"/>
            </w:pPr>
            <w:r>
              <w:lastRenderedPageBreak/>
              <w:t>4.20 A Batch Processing Record should be kept for each batch processed. It should be based on the relevant parts of the currently approved Manufacturing Formula and Processing Instructions, and should contain the following information:</w:t>
            </w:r>
          </w:p>
          <w:p w:rsidR="00F94299" w:rsidRPr="00F94299" w:rsidRDefault="00F94299" w:rsidP="0075574A">
            <w:pPr>
              <w:pStyle w:val="Numberbullet2"/>
              <w:keepNext w:val="0"/>
              <w:numPr>
                <w:ilvl w:val="0"/>
                <w:numId w:val="22"/>
              </w:numPr>
            </w:pPr>
            <w:r w:rsidRPr="00F94299">
              <w:lastRenderedPageBreak/>
              <w:t>The name and batch number of the product;</w:t>
            </w:r>
          </w:p>
          <w:p w:rsidR="00F94299" w:rsidRDefault="00F94299" w:rsidP="0075574A">
            <w:pPr>
              <w:pStyle w:val="Numberbullet2"/>
              <w:keepNext w:val="0"/>
            </w:pPr>
            <w:r>
              <w:t>Dates and times of commencement, of significant intermediate stages and of completion of production;</w:t>
            </w:r>
          </w:p>
          <w:p w:rsidR="00F94299" w:rsidRDefault="00F94299" w:rsidP="0075574A">
            <w:pPr>
              <w:pStyle w:val="Numberbullet2"/>
              <w:keepNext w:val="0"/>
            </w:pPr>
            <w:r>
              <w:t>Identification (initials) of the operator(s) who performed each significant step of the process and, where appropriate, the name of any person who checked these operations;</w:t>
            </w:r>
          </w:p>
          <w:p w:rsidR="00F94299" w:rsidRDefault="00F94299" w:rsidP="0075574A">
            <w:pPr>
              <w:pStyle w:val="Numberbullet2"/>
              <w:keepNext w:val="0"/>
            </w:pPr>
            <w:r>
              <w:t>The batch number and/or analytical control number as well as the quantities of each starting material actually weighed (including the batch number and amount of any recovered or reprocessed material added);</w:t>
            </w:r>
          </w:p>
          <w:p w:rsidR="00F94299" w:rsidRDefault="00F94299" w:rsidP="0075574A">
            <w:pPr>
              <w:pStyle w:val="Numberbullet2"/>
              <w:keepNext w:val="0"/>
            </w:pPr>
            <w:r>
              <w:t>Any relevant processing operation or event and major equipment used;</w:t>
            </w:r>
          </w:p>
          <w:p w:rsidR="00F94299" w:rsidRDefault="00F94299" w:rsidP="0075574A">
            <w:pPr>
              <w:pStyle w:val="Numberbullet2"/>
              <w:keepNext w:val="0"/>
            </w:pPr>
            <w:r>
              <w:t>A record of the in-process controls and the initials of the person(s) carrying them out, and the results obtained;</w:t>
            </w:r>
          </w:p>
          <w:p w:rsidR="00F94299" w:rsidRDefault="00F94299" w:rsidP="0075574A">
            <w:pPr>
              <w:pStyle w:val="Numberbullet2"/>
              <w:keepNext w:val="0"/>
            </w:pPr>
            <w:r>
              <w:t>The product yield obtained at different and pertinent stages of manufacture;</w:t>
            </w:r>
          </w:p>
          <w:p w:rsidR="00F94299" w:rsidRDefault="00F94299" w:rsidP="0075574A">
            <w:pPr>
              <w:pStyle w:val="Numberbullet2"/>
              <w:keepNext w:val="0"/>
            </w:pPr>
            <w:r>
              <w:t xml:space="preserve">Notes on special problems including details, with signed authorisation for any deviation from the Manufacturing Formula and </w:t>
            </w:r>
            <w:r>
              <w:lastRenderedPageBreak/>
              <w:t>Processing Instructions;</w:t>
            </w:r>
          </w:p>
          <w:p w:rsidR="00F94299" w:rsidRPr="00F94299" w:rsidRDefault="00F94299" w:rsidP="0075574A">
            <w:pPr>
              <w:pStyle w:val="Numberbullet2"/>
              <w:keepNext w:val="0"/>
              <w:rPr>
                <w:rFonts w:ascii="Arial" w:hAnsi="Arial" w:cs="Arial"/>
                <w:color w:val="006DA7"/>
              </w:rPr>
            </w:pPr>
            <w:r w:rsidRPr="00F94299">
              <w:rPr>
                <w:rFonts w:ascii="Arial" w:hAnsi="Arial" w:cs="Arial"/>
                <w:color w:val="006DA7"/>
              </w:rPr>
              <w:t>Approval by the person responsible for the processing operations.</w:t>
            </w:r>
          </w:p>
          <w:p w:rsidR="00F94299" w:rsidRDefault="00F94299" w:rsidP="0075574A">
            <w:pPr>
              <w:keepNext w:val="0"/>
            </w:pPr>
            <w:r w:rsidRPr="00F94299">
              <w:rPr>
                <w:b/>
              </w:rPr>
              <w:t>Note:</w:t>
            </w:r>
            <w:r>
              <w:t xml:space="preserve"> </w:t>
            </w:r>
            <w:r w:rsidRPr="00F94299">
              <w:rPr>
                <w:rFonts w:ascii="Arial" w:hAnsi="Arial" w:cs="Arial"/>
                <w:color w:val="006DA7"/>
              </w:rPr>
              <w:t>Where a validated process is continuously monitored and controlled, then automatically generated reports may be limited to compliance summaries and exception / out-of-specification (OOS) data reports.</w:t>
            </w:r>
          </w:p>
        </w:tc>
        <w:tc>
          <w:tcPr>
            <w:tcW w:w="6095" w:type="dxa"/>
          </w:tcPr>
          <w:p w:rsidR="006138C5" w:rsidRDefault="006138C5" w:rsidP="0075574A">
            <w:pPr>
              <w:keepNext w:val="0"/>
            </w:pPr>
            <w:r>
              <w:lastRenderedPageBreak/>
              <w:t xml:space="preserve">4.17 A Batch Processing Record should be kept for each batch processed.  It should be based on the relevant parts of the currently approved Manufacturing Formula and Processing Instructions.  The method of preparation of such records should be designed to avoid transcription errors.  The record </w:t>
            </w:r>
            <w:r>
              <w:lastRenderedPageBreak/>
              <w:t>should carry the number of the batch being manufactured.</w:t>
            </w:r>
          </w:p>
          <w:p w:rsidR="006138C5" w:rsidRDefault="006138C5" w:rsidP="0075574A">
            <w:pPr>
              <w:keepNext w:val="0"/>
            </w:pPr>
            <w:r>
              <w:t>Before any processing begins, there should be recorded checks that the equipment and work station are clear of previous products, documents or materials not required for the planned process, and that equipment is clean and suitable for use.</w:t>
            </w:r>
          </w:p>
          <w:p w:rsidR="006138C5" w:rsidRDefault="006138C5" w:rsidP="0075574A">
            <w:pPr>
              <w:keepNext w:val="0"/>
            </w:pPr>
            <w:r>
              <w:t>During processing, the following information should be recorded at the time each action is taken and, after completion, the record should be dated and signed in agreement by the person responsible for the processing operations:</w:t>
            </w:r>
          </w:p>
          <w:p w:rsidR="006138C5" w:rsidRPr="006138C5" w:rsidRDefault="006138C5" w:rsidP="0075574A">
            <w:pPr>
              <w:pStyle w:val="Numberbullet2"/>
              <w:keepNext w:val="0"/>
              <w:numPr>
                <w:ilvl w:val="0"/>
                <w:numId w:val="23"/>
              </w:numPr>
            </w:pPr>
            <w:r w:rsidRPr="006138C5">
              <w:t>the name of the product;</w:t>
            </w:r>
          </w:p>
          <w:p w:rsidR="006138C5" w:rsidRDefault="006138C5" w:rsidP="0075574A">
            <w:pPr>
              <w:pStyle w:val="Numberbullet2"/>
              <w:keepNext w:val="0"/>
            </w:pPr>
            <w:r>
              <w:t>dates and times of commencement, of significant intermediate stages and of completion of production;</w:t>
            </w:r>
          </w:p>
          <w:p w:rsidR="006138C5" w:rsidRDefault="006138C5" w:rsidP="0075574A">
            <w:pPr>
              <w:pStyle w:val="Numberbullet2"/>
              <w:keepNext w:val="0"/>
            </w:pPr>
            <w:r>
              <w:t>name of the person responsible for each stage of production;</w:t>
            </w:r>
          </w:p>
          <w:p w:rsidR="006138C5" w:rsidRDefault="006138C5" w:rsidP="0075574A">
            <w:pPr>
              <w:pStyle w:val="Numberbullet2"/>
              <w:keepNext w:val="0"/>
            </w:pPr>
            <w:r>
              <w:t>initials of the operator of different significant steps of production and, where appropriate, of the person who checked each of these operations (e.g. weighing);</w:t>
            </w:r>
          </w:p>
          <w:p w:rsidR="006138C5" w:rsidRDefault="006138C5" w:rsidP="0075574A">
            <w:pPr>
              <w:pStyle w:val="Numberbullet2"/>
              <w:keepNext w:val="0"/>
            </w:pPr>
            <w:r>
              <w:t xml:space="preserve">the batch number and/or analytical control number as well as the quantities of each starting material actually weighed (including the batch </w:t>
            </w:r>
            <w:r>
              <w:lastRenderedPageBreak/>
              <w:t>number and amount of any recovered or reprocessed material added);</w:t>
            </w:r>
          </w:p>
          <w:p w:rsidR="006138C5" w:rsidRDefault="006138C5" w:rsidP="0075574A">
            <w:pPr>
              <w:pStyle w:val="Numberbullet2"/>
              <w:keepNext w:val="0"/>
            </w:pPr>
            <w:r>
              <w:t>any relevant processing operation or event and major equipment used;</w:t>
            </w:r>
          </w:p>
          <w:p w:rsidR="006138C5" w:rsidRDefault="006138C5" w:rsidP="0075574A">
            <w:pPr>
              <w:pStyle w:val="Numberbullet2"/>
              <w:keepNext w:val="0"/>
            </w:pPr>
            <w:r>
              <w:t>a record of the in-process controls and the initials of the person(s) carrying them out, and the results obtained;</w:t>
            </w:r>
          </w:p>
          <w:p w:rsidR="006138C5" w:rsidRDefault="006138C5" w:rsidP="0075574A">
            <w:pPr>
              <w:pStyle w:val="Numberbullet2"/>
              <w:keepNext w:val="0"/>
            </w:pPr>
            <w:r>
              <w:t>the amount of product yield obtained at different and pertinent stages of manufacture;</w:t>
            </w:r>
          </w:p>
          <w:p w:rsidR="00F94299" w:rsidRDefault="006138C5" w:rsidP="0075574A">
            <w:pPr>
              <w:pStyle w:val="Numberbullet2"/>
              <w:keepNext w:val="0"/>
            </w:pPr>
            <w:proofErr w:type="gramStart"/>
            <w:r>
              <w:t>notes</w:t>
            </w:r>
            <w:proofErr w:type="gramEnd"/>
            <w:r>
              <w:t xml:space="preserve"> on special problems including details, with signed authorisation for any deviation from the Manufacturing Formula and Processing Instructions.</w:t>
            </w:r>
          </w:p>
        </w:tc>
        <w:tc>
          <w:tcPr>
            <w:tcW w:w="1843" w:type="dxa"/>
          </w:tcPr>
          <w:p w:rsidR="00823BEC" w:rsidRDefault="00823BEC" w:rsidP="00823BEC">
            <w:r>
              <w:lastRenderedPageBreak/>
              <w:t xml:space="preserve">Moved the second paragraph of PE 009-8 clause 4.17 to PE 009-10 clause 4.18 as </w:t>
            </w:r>
            <w:r>
              <w:lastRenderedPageBreak/>
              <w:t xml:space="preserve">a new entry f), as this is a more logical place </w:t>
            </w:r>
          </w:p>
          <w:p w:rsidR="00823BEC" w:rsidRDefault="00823BEC" w:rsidP="00823BEC">
            <w:r>
              <w:t xml:space="preserve">Minor rewrite replacing PE 009-8 clause 4.17 entry c) by PE 009-10clause 4.20 entry </w:t>
            </w:r>
            <w:proofErr w:type="spellStart"/>
            <w:r>
              <w:t>i</w:t>
            </w:r>
            <w:proofErr w:type="spellEnd"/>
            <w:r>
              <w:t>). That is, replacing names of responsible persons per stage of production with one name of the person responsible for the operations</w:t>
            </w:r>
          </w:p>
          <w:p w:rsidR="00F94299" w:rsidRDefault="00823BEC" w:rsidP="00823BEC">
            <w:r>
              <w:t>Inclusion of a provision for automated reporting systems</w:t>
            </w:r>
          </w:p>
        </w:tc>
        <w:tc>
          <w:tcPr>
            <w:tcW w:w="1531" w:type="dxa"/>
          </w:tcPr>
          <w:p w:rsidR="00F94299" w:rsidRPr="00170EDF" w:rsidRDefault="00823BEC" w:rsidP="00D74808">
            <w:r w:rsidRPr="00823BEC">
              <w:lastRenderedPageBreak/>
              <w:t>Nil</w:t>
            </w:r>
          </w:p>
        </w:tc>
      </w:tr>
      <w:tr w:rsidR="00823BEC" w:rsidTr="00587239">
        <w:trPr>
          <w:cantSplit w:val="0"/>
        </w:trPr>
        <w:tc>
          <w:tcPr>
            <w:tcW w:w="5529" w:type="dxa"/>
          </w:tcPr>
          <w:p w:rsidR="00823BEC" w:rsidRDefault="00823BEC" w:rsidP="0075574A">
            <w:pPr>
              <w:keepNext w:val="0"/>
            </w:pPr>
            <w:r>
              <w:lastRenderedPageBreak/>
              <w:t>4.21 A Batch Packaging Record should be kept for each batch or part batch processed. It should be based on the relevant parts of the Packaging Instructions.</w:t>
            </w:r>
          </w:p>
          <w:p w:rsidR="00823BEC" w:rsidRDefault="00823BEC" w:rsidP="0075574A">
            <w:pPr>
              <w:keepNext w:val="0"/>
            </w:pPr>
            <w:r>
              <w:t>The batch packaging record should contain the following information:</w:t>
            </w:r>
          </w:p>
          <w:p w:rsidR="00823BEC" w:rsidRPr="00823BEC" w:rsidRDefault="00823BEC" w:rsidP="0075574A">
            <w:pPr>
              <w:pStyle w:val="Numberbullet2"/>
              <w:keepNext w:val="0"/>
              <w:numPr>
                <w:ilvl w:val="0"/>
                <w:numId w:val="24"/>
              </w:numPr>
            </w:pPr>
            <w:r w:rsidRPr="00823BEC">
              <w:t xml:space="preserve">The name </w:t>
            </w:r>
            <w:r w:rsidRPr="00823BEC">
              <w:rPr>
                <w:rFonts w:ascii="Arial" w:hAnsi="Arial" w:cs="Arial"/>
                <w:color w:val="006DA7"/>
              </w:rPr>
              <w:t>and batch number</w:t>
            </w:r>
            <w:r w:rsidRPr="00823BEC">
              <w:t xml:space="preserve"> of the product;</w:t>
            </w:r>
          </w:p>
          <w:p w:rsidR="00823BEC" w:rsidRDefault="00823BEC" w:rsidP="0075574A">
            <w:pPr>
              <w:pStyle w:val="Numberbullet2"/>
              <w:keepNext w:val="0"/>
            </w:pPr>
            <w:r>
              <w:t>The date(s) and times of the packaging operations;</w:t>
            </w:r>
          </w:p>
          <w:p w:rsidR="00823BEC" w:rsidRDefault="00823BEC" w:rsidP="0075574A">
            <w:pPr>
              <w:pStyle w:val="Numberbullet2"/>
              <w:keepNext w:val="0"/>
            </w:pPr>
            <w:r>
              <w:lastRenderedPageBreak/>
              <w:t>Identification (initials) of the operator(s) who performed each significant step of the process and, where appropriate, the name of any person who checked these operations;</w:t>
            </w:r>
          </w:p>
          <w:p w:rsidR="00823BEC" w:rsidRDefault="00823BEC" w:rsidP="0075574A">
            <w:pPr>
              <w:pStyle w:val="Numberbullet2"/>
              <w:keepNext w:val="0"/>
            </w:pPr>
            <w:r>
              <w:t>Records of checks for identity and conformity with the packaging instructions, including the results of in-process controls;</w:t>
            </w:r>
          </w:p>
          <w:p w:rsidR="00823BEC" w:rsidRDefault="00823BEC" w:rsidP="0075574A">
            <w:pPr>
              <w:pStyle w:val="Numberbullet2"/>
              <w:keepNext w:val="0"/>
            </w:pPr>
            <w:r>
              <w:t>Details of the packaging operations carried out, including references to equipment and the packaging lines used;</w:t>
            </w:r>
          </w:p>
          <w:p w:rsidR="00823BEC" w:rsidRDefault="00823BEC" w:rsidP="0075574A">
            <w:pPr>
              <w:pStyle w:val="Numberbullet2"/>
              <w:keepNext w:val="0"/>
            </w:pPr>
            <w:r>
              <w:t>Whenever possible, samples of printed packaging materials used, including specimens of the batch coding, expiry dating and any additional overprinting;</w:t>
            </w:r>
          </w:p>
          <w:p w:rsidR="00823BEC" w:rsidRDefault="00823BEC" w:rsidP="0075574A">
            <w:pPr>
              <w:pStyle w:val="Numberbullet2"/>
              <w:keepNext w:val="0"/>
            </w:pPr>
            <w:r>
              <w:t>Notes on any special problems or unusual events including details, with signed authorisation for any deviation from the Packaging Instructions;</w:t>
            </w:r>
          </w:p>
          <w:p w:rsidR="00823BEC" w:rsidRDefault="00823BEC" w:rsidP="0075574A">
            <w:pPr>
              <w:pStyle w:val="Numberbullet2"/>
              <w:keepNext w:val="0"/>
            </w:pPr>
            <w:r>
              <w:t xml:space="preserve">The quantities and reference number or identification of all printed packaging materials and bulk product issued, used, destroyed or returned to stock and the quantities of obtained product, in order to provide for an adequate reconciliation. Where there are there are robust electronic </w:t>
            </w:r>
            <w:r>
              <w:lastRenderedPageBreak/>
              <w:t xml:space="preserve">controls in place during packaging there may be justification for not including this information. </w:t>
            </w:r>
          </w:p>
          <w:p w:rsidR="00823BEC" w:rsidRPr="00823BEC" w:rsidRDefault="00823BEC" w:rsidP="0075574A">
            <w:pPr>
              <w:pStyle w:val="Numberbullet2"/>
              <w:keepNext w:val="0"/>
              <w:rPr>
                <w:rFonts w:ascii="Arial" w:hAnsi="Arial" w:cs="Arial"/>
                <w:color w:val="006DA7"/>
              </w:rPr>
            </w:pPr>
            <w:r w:rsidRPr="00823BEC">
              <w:rPr>
                <w:rFonts w:ascii="Arial" w:hAnsi="Arial" w:cs="Arial"/>
                <w:color w:val="006DA7"/>
              </w:rPr>
              <w:t>Approval by the person responsible for the packaging operations.</w:t>
            </w:r>
          </w:p>
        </w:tc>
        <w:tc>
          <w:tcPr>
            <w:tcW w:w="6095" w:type="dxa"/>
          </w:tcPr>
          <w:p w:rsidR="00823BEC" w:rsidRDefault="00823BEC" w:rsidP="0075574A">
            <w:pPr>
              <w:keepNext w:val="0"/>
            </w:pPr>
            <w:r>
              <w:lastRenderedPageBreak/>
              <w:t>4.18 A Batch Packaging Record should be kept for each batch or part batch processed.  It should be based on the relevant parts of the Packaging Instructions and the method of preparation of such records should be designed to avoid transcription errors.  The record should carry the batch number and the quantity of bulk product to be packed, as well as the batch number and the planned quantity of finished product that will be obtained.</w:t>
            </w:r>
          </w:p>
          <w:p w:rsidR="00823BEC" w:rsidRDefault="00823BEC" w:rsidP="0075574A">
            <w:pPr>
              <w:keepNext w:val="0"/>
            </w:pPr>
            <w:r>
              <w:t xml:space="preserve">Before any packaging operation begins, there should be recorded checks that the equipment and work station are clear of previous products, documents or materials not </w:t>
            </w:r>
            <w:r>
              <w:lastRenderedPageBreak/>
              <w:t>required for the planned packaging operations, and that equipment is clean and suitable for use.</w:t>
            </w:r>
          </w:p>
          <w:p w:rsidR="00823BEC" w:rsidRDefault="00823BEC" w:rsidP="0075574A">
            <w:pPr>
              <w:keepNext w:val="0"/>
            </w:pPr>
            <w:r>
              <w:t>The following information should be entered at the time each action is taken and, after completion, the record should be dated and signed in agreement by the person(s) responsible for the packaging operations:</w:t>
            </w:r>
          </w:p>
          <w:p w:rsidR="00823BEC" w:rsidRPr="00823BEC" w:rsidRDefault="00823BEC" w:rsidP="0075574A">
            <w:pPr>
              <w:pStyle w:val="Numberbullet2"/>
              <w:keepNext w:val="0"/>
              <w:numPr>
                <w:ilvl w:val="0"/>
                <w:numId w:val="25"/>
              </w:numPr>
            </w:pPr>
            <w:r w:rsidRPr="00823BEC">
              <w:t>the name of the product;</w:t>
            </w:r>
          </w:p>
          <w:p w:rsidR="00823BEC" w:rsidRDefault="00823BEC" w:rsidP="0075574A">
            <w:pPr>
              <w:pStyle w:val="Numberbullet2"/>
              <w:keepNext w:val="0"/>
            </w:pPr>
            <w:r>
              <w:t>the date(s) and times of the packaging operations;</w:t>
            </w:r>
          </w:p>
          <w:p w:rsidR="00823BEC" w:rsidRDefault="00823BEC" w:rsidP="0075574A">
            <w:pPr>
              <w:pStyle w:val="Numberbullet2"/>
              <w:keepNext w:val="0"/>
            </w:pPr>
            <w:r>
              <w:t>the name of the responsible person carrying out the packaging operation;</w:t>
            </w:r>
          </w:p>
          <w:p w:rsidR="00823BEC" w:rsidRDefault="00823BEC" w:rsidP="0075574A">
            <w:pPr>
              <w:pStyle w:val="Numberbullet2"/>
              <w:keepNext w:val="0"/>
            </w:pPr>
            <w:r>
              <w:t>the initials of the operators of the different significant steps;</w:t>
            </w:r>
          </w:p>
          <w:p w:rsidR="00823BEC" w:rsidRDefault="00823BEC" w:rsidP="0075574A">
            <w:pPr>
              <w:pStyle w:val="Numberbullet2"/>
              <w:keepNext w:val="0"/>
            </w:pPr>
            <w:r>
              <w:t>records of checks for identity and conformity with the Packaging Instructions including the results of in-process controls;</w:t>
            </w:r>
          </w:p>
          <w:p w:rsidR="00823BEC" w:rsidRDefault="00823BEC" w:rsidP="0075574A">
            <w:pPr>
              <w:pStyle w:val="Numberbullet2"/>
              <w:keepNext w:val="0"/>
            </w:pPr>
            <w:r>
              <w:t>details of the packaging operations carried out, including references to equipment and the packaging lines used;</w:t>
            </w:r>
          </w:p>
          <w:p w:rsidR="00823BEC" w:rsidRDefault="00823BEC" w:rsidP="0075574A">
            <w:pPr>
              <w:pStyle w:val="Numberbullet2"/>
              <w:keepNext w:val="0"/>
            </w:pPr>
            <w:r>
              <w:t>whenever possible, samples of printed packaging materials used, including specimens of the batch coding, expiry dating and any additional overprinting;</w:t>
            </w:r>
          </w:p>
          <w:p w:rsidR="00823BEC" w:rsidRDefault="00823BEC" w:rsidP="0075574A">
            <w:pPr>
              <w:pStyle w:val="Numberbullet2"/>
              <w:keepNext w:val="0"/>
            </w:pPr>
            <w:r>
              <w:t xml:space="preserve">notes on any special problems or unusual events </w:t>
            </w:r>
            <w:r>
              <w:lastRenderedPageBreak/>
              <w:t>including details with signed authorisation for any deviation from the Manufacturing Formula and Processing Instructions;</w:t>
            </w:r>
          </w:p>
          <w:p w:rsidR="00823BEC" w:rsidRDefault="00823BEC" w:rsidP="0075574A">
            <w:pPr>
              <w:pStyle w:val="Numberbullet2"/>
              <w:keepNext w:val="0"/>
            </w:pPr>
            <w:proofErr w:type="gramStart"/>
            <w:r>
              <w:t>the</w:t>
            </w:r>
            <w:proofErr w:type="gramEnd"/>
            <w:r>
              <w:t xml:space="preserve"> quantities and reference number or identification of all printed packaging materials and bulk product issued, used, destroyed or returned to stock and the quantities of obtained product, in order to provide for an adequate reconciliation.</w:t>
            </w:r>
          </w:p>
        </w:tc>
        <w:tc>
          <w:tcPr>
            <w:tcW w:w="1843" w:type="dxa"/>
          </w:tcPr>
          <w:p w:rsidR="00C9709C" w:rsidRDefault="00C9709C" w:rsidP="00C9709C">
            <w:r>
              <w:lastRenderedPageBreak/>
              <w:t xml:space="preserve">Moved the second paragraph of PE 009-8 clause 4.18 to PE 009-10 clause 4.19 as a new entry f), as this is a more logical place </w:t>
            </w:r>
          </w:p>
          <w:p w:rsidR="00823BEC" w:rsidRDefault="00C9709C" w:rsidP="00C9709C">
            <w:r>
              <w:t xml:space="preserve">Minor rewrite adding 4.20 </w:t>
            </w:r>
            <w:r>
              <w:lastRenderedPageBreak/>
              <w:t xml:space="preserve">entry </w:t>
            </w:r>
            <w:proofErr w:type="spellStart"/>
            <w:r>
              <w:t>i</w:t>
            </w:r>
            <w:proofErr w:type="spellEnd"/>
            <w:r>
              <w:t>) in line with the same for processing instructions</w:t>
            </w:r>
          </w:p>
        </w:tc>
        <w:tc>
          <w:tcPr>
            <w:tcW w:w="1531" w:type="dxa"/>
          </w:tcPr>
          <w:p w:rsidR="00823BEC" w:rsidRPr="00823BEC" w:rsidRDefault="00C9709C" w:rsidP="00D74808">
            <w:r w:rsidRPr="00C9709C">
              <w:lastRenderedPageBreak/>
              <w:t>Nil</w:t>
            </w:r>
          </w:p>
        </w:tc>
      </w:tr>
      <w:tr w:rsidR="0046682E" w:rsidTr="00587239">
        <w:trPr>
          <w:cantSplit w:val="0"/>
        </w:trPr>
        <w:tc>
          <w:tcPr>
            <w:tcW w:w="5529" w:type="dxa"/>
          </w:tcPr>
          <w:p w:rsidR="0046682E" w:rsidRDefault="0046682E" w:rsidP="0075574A">
            <w:pPr>
              <w:keepNext w:val="0"/>
            </w:pPr>
            <w:r w:rsidRPr="0046682E">
              <w:lastRenderedPageBreak/>
              <w:t xml:space="preserve">4.22 There should be written procedures and records for the receipt of each delivery of each starting material, </w:t>
            </w:r>
            <w:r w:rsidRPr="00FF2CEB">
              <w:rPr>
                <w:rFonts w:ascii="Arial" w:hAnsi="Arial" w:cs="Arial"/>
                <w:color w:val="006DA7"/>
              </w:rPr>
              <w:t>(including bulk, intermediate or finished goods),</w:t>
            </w:r>
            <w:r w:rsidRPr="0046682E">
              <w:t xml:space="preserve"> primary, secondary and printed packaging materials.</w:t>
            </w:r>
          </w:p>
        </w:tc>
        <w:tc>
          <w:tcPr>
            <w:tcW w:w="6095" w:type="dxa"/>
          </w:tcPr>
          <w:p w:rsidR="0046682E" w:rsidRDefault="0046682E" w:rsidP="0075574A">
            <w:pPr>
              <w:keepNext w:val="0"/>
            </w:pPr>
            <w:r w:rsidRPr="0046682E">
              <w:t>4.19 There should be written procedures and records for the receipt of each delivery of each starting and primary and printed packaging material.</w:t>
            </w:r>
          </w:p>
        </w:tc>
        <w:tc>
          <w:tcPr>
            <w:tcW w:w="1843" w:type="dxa"/>
          </w:tcPr>
          <w:p w:rsidR="0046682E" w:rsidRDefault="0046682E" w:rsidP="00C9709C">
            <w:r w:rsidRPr="0046682E">
              <w:t>Providing further detail</w:t>
            </w:r>
          </w:p>
        </w:tc>
        <w:tc>
          <w:tcPr>
            <w:tcW w:w="1531" w:type="dxa"/>
          </w:tcPr>
          <w:p w:rsidR="0046682E" w:rsidRPr="00C9709C" w:rsidRDefault="0046682E" w:rsidP="00D74808">
            <w:r w:rsidRPr="0046682E">
              <w:t>Nil</w:t>
            </w:r>
          </w:p>
        </w:tc>
      </w:tr>
      <w:tr w:rsidR="0046682E" w:rsidTr="00587239">
        <w:trPr>
          <w:cantSplit w:val="0"/>
        </w:trPr>
        <w:tc>
          <w:tcPr>
            <w:tcW w:w="5529" w:type="dxa"/>
          </w:tcPr>
          <w:p w:rsidR="0046682E" w:rsidRDefault="0046682E" w:rsidP="0075574A">
            <w:pPr>
              <w:keepNext w:val="0"/>
            </w:pPr>
            <w:r>
              <w:t>4.23 The records of the receipts should include:</w:t>
            </w:r>
          </w:p>
          <w:p w:rsidR="0046682E" w:rsidRPr="0046682E" w:rsidRDefault="0046682E" w:rsidP="0075574A">
            <w:pPr>
              <w:pStyle w:val="Numberbullet2"/>
              <w:keepNext w:val="0"/>
              <w:numPr>
                <w:ilvl w:val="0"/>
                <w:numId w:val="26"/>
              </w:numPr>
            </w:pPr>
            <w:r w:rsidRPr="0046682E">
              <w:t>The name of the material on the delivery note and the containers;</w:t>
            </w:r>
          </w:p>
          <w:p w:rsidR="0046682E" w:rsidRDefault="0046682E" w:rsidP="0075574A">
            <w:pPr>
              <w:pStyle w:val="Numberbullet2"/>
              <w:keepNext w:val="0"/>
            </w:pPr>
            <w:r>
              <w:t>The "in-house" name and/or code of material (if different from a);</w:t>
            </w:r>
          </w:p>
          <w:p w:rsidR="0046682E" w:rsidRDefault="0046682E" w:rsidP="0075574A">
            <w:pPr>
              <w:pStyle w:val="Numberbullet2"/>
              <w:keepNext w:val="0"/>
            </w:pPr>
            <w:r>
              <w:t>Date of receipt;</w:t>
            </w:r>
          </w:p>
          <w:p w:rsidR="0046682E" w:rsidRDefault="0046682E" w:rsidP="0075574A">
            <w:pPr>
              <w:pStyle w:val="Numberbullet2"/>
              <w:keepNext w:val="0"/>
            </w:pPr>
            <w:r>
              <w:t>Supplier’s name and manufacturer’s name;</w:t>
            </w:r>
          </w:p>
          <w:p w:rsidR="0046682E" w:rsidRDefault="0046682E" w:rsidP="0075574A">
            <w:pPr>
              <w:pStyle w:val="Numberbullet2"/>
              <w:keepNext w:val="0"/>
            </w:pPr>
            <w:r>
              <w:t>Manufacturer’s batch or reference number;</w:t>
            </w:r>
          </w:p>
          <w:p w:rsidR="0046682E" w:rsidRDefault="0046682E" w:rsidP="0075574A">
            <w:pPr>
              <w:pStyle w:val="Numberbullet2"/>
              <w:keepNext w:val="0"/>
            </w:pPr>
            <w:r>
              <w:t xml:space="preserve">Total quantity and number of containers </w:t>
            </w:r>
            <w:r>
              <w:lastRenderedPageBreak/>
              <w:t>received;</w:t>
            </w:r>
          </w:p>
          <w:p w:rsidR="0046682E" w:rsidRDefault="0046682E" w:rsidP="0075574A">
            <w:pPr>
              <w:pStyle w:val="Numberbullet2"/>
              <w:keepNext w:val="0"/>
            </w:pPr>
            <w:r>
              <w:t>The batch number assigned after receipt;</w:t>
            </w:r>
          </w:p>
          <w:p w:rsidR="0046682E" w:rsidRPr="0046682E" w:rsidRDefault="0046682E" w:rsidP="0075574A">
            <w:pPr>
              <w:pStyle w:val="Numberbullet2"/>
              <w:keepNext w:val="0"/>
            </w:pPr>
            <w:r>
              <w:t>Any relevant comment.</w:t>
            </w:r>
          </w:p>
        </w:tc>
        <w:tc>
          <w:tcPr>
            <w:tcW w:w="6095" w:type="dxa"/>
          </w:tcPr>
          <w:p w:rsidR="00100BC5" w:rsidRDefault="00100BC5" w:rsidP="0075574A">
            <w:pPr>
              <w:keepNext w:val="0"/>
            </w:pPr>
            <w:r>
              <w:lastRenderedPageBreak/>
              <w:t>4.20 The records of the receipts should include:</w:t>
            </w:r>
          </w:p>
          <w:p w:rsidR="00100BC5" w:rsidRPr="00100BC5" w:rsidRDefault="00100BC5" w:rsidP="0075574A">
            <w:pPr>
              <w:pStyle w:val="Numberbullet2"/>
              <w:keepNext w:val="0"/>
              <w:numPr>
                <w:ilvl w:val="0"/>
                <w:numId w:val="27"/>
              </w:numPr>
            </w:pPr>
            <w:r w:rsidRPr="00100BC5">
              <w:t>the name of the material on the delivery note and the containers;</w:t>
            </w:r>
          </w:p>
          <w:p w:rsidR="00100BC5" w:rsidRDefault="00100BC5" w:rsidP="0075574A">
            <w:pPr>
              <w:pStyle w:val="Numberbullet2"/>
              <w:keepNext w:val="0"/>
            </w:pPr>
            <w:r>
              <w:t>the "in-house" name and/or code of material (if different from a);</w:t>
            </w:r>
          </w:p>
          <w:p w:rsidR="00100BC5" w:rsidRDefault="00100BC5" w:rsidP="0075574A">
            <w:pPr>
              <w:pStyle w:val="Numberbullet2"/>
              <w:keepNext w:val="0"/>
            </w:pPr>
            <w:r>
              <w:t>date of receipt;</w:t>
            </w:r>
          </w:p>
          <w:p w:rsidR="00100BC5" w:rsidRDefault="00100BC5" w:rsidP="0075574A">
            <w:pPr>
              <w:pStyle w:val="Numberbullet2"/>
              <w:keepNext w:val="0"/>
            </w:pPr>
            <w:r>
              <w:t>supplier's name and, if possible, manufacturer's name;</w:t>
            </w:r>
          </w:p>
          <w:p w:rsidR="00100BC5" w:rsidRDefault="00100BC5" w:rsidP="0075574A">
            <w:pPr>
              <w:pStyle w:val="Numberbullet2"/>
              <w:keepNext w:val="0"/>
            </w:pPr>
            <w:r>
              <w:t>manufacturer's batch or reference number;</w:t>
            </w:r>
          </w:p>
          <w:p w:rsidR="00100BC5" w:rsidRDefault="00100BC5" w:rsidP="0075574A">
            <w:pPr>
              <w:pStyle w:val="Numberbullet2"/>
              <w:keepNext w:val="0"/>
            </w:pPr>
            <w:r>
              <w:lastRenderedPageBreak/>
              <w:t>total quantity, and number of containers received;</w:t>
            </w:r>
          </w:p>
          <w:p w:rsidR="00100BC5" w:rsidRDefault="00100BC5" w:rsidP="0075574A">
            <w:pPr>
              <w:pStyle w:val="Numberbullet2"/>
              <w:keepNext w:val="0"/>
            </w:pPr>
            <w:r>
              <w:t>the batch number assigned after receipt;</w:t>
            </w:r>
          </w:p>
          <w:p w:rsidR="0046682E" w:rsidRPr="0046682E" w:rsidRDefault="00100BC5" w:rsidP="0075574A">
            <w:pPr>
              <w:pStyle w:val="Numberbullet2"/>
              <w:keepNext w:val="0"/>
            </w:pPr>
            <w:proofErr w:type="gramStart"/>
            <w:r>
              <w:t>any</w:t>
            </w:r>
            <w:proofErr w:type="gramEnd"/>
            <w:r>
              <w:t xml:space="preserve"> relevant comment (e.g. state of the containers).</w:t>
            </w:r>
          </w:p>
        </w:tc>
        <w:tc>
          <w:tcPr>
            <w:tcW w:w="1843" w:type="dxa"/>
          </w:tcPr>
          <w:p w:rsidR="0046682E" w:rsidRPr="0046682E" w:rsidRDefault="00100BC5" w:rsidP="00C9709C">
            <w:r w:rsidRPr="00100BC5">
              <w:lastRenderedPageBreak/>
              <w:t>Deletion of example under h)</w:t>
            </w:r>
          </w:p>
        </w:tc>
        <w:tc>
          <w:tcPr>
            <w:tcW w:w="1531" w:type="dxa"/>
          </w:tcPr>
          <w:p w:rsidR="0046682E" w:rsidRPr="0046682E" w:rsidRDefault="00100BC5" w:rsidP="00D74808">
            <w:r w:rsidRPr="00100BC5">
              <w:t>Nil</w:t>
            </w:r>
          </w:p>
        </w:tc>
      </w:tr>
      <w:tr w:rsidR="00100BC5" w:rsidTr="00587239">
        <w:trPr>
          <w:cantSplit w:val="0"/>
        </w:trPr>
        <w:tc>
          <w:tcPr>
            <w:tcW w:w="5529" w:type="dxa"/>
          </w:tcPr>
          <w:p w:rsidR="00100BC5" w:rsidRDefault="00100BC5" w:rsidP="0075574A">
            <w:pPr>
              <w:keepNext w:val="0"/>
            </w:pPr>
            <w:r w:rsidRPr="00100BC5">
              <w:lastRenderedPageBreak/>
              <w:t xml:space="preserve">4.24                </w:t>
            </w:r>
            <w:r w:rsidRPr="00100BC5">
              <w:rPr>
                <w:i/>
              </w:rPr>
              <w:t>No text change</w:t>
            </w:r>
          </w:p>
        </w:tc>
        <w:tc>
          <w:tcPr>
            <w:tcW w:w="6095" w:type="dxa"/>
          </w:tcPr>
          <w:p w:rsidR="00100BC5" w:rsidRDefault="00100BC5" w:rsidP="0075574A">
            <w:pPr>
              <w:keepNext w:val="0"/>
            </w:pPr>
            <w:r w:rsidRPr="00100BC5">
              <w:t xml:space="preserve">4.21                </w:t>
            </w:r>
            <w:r w:rsidRPr="00100BC5">
              <w:rPr>
                <w:i/>
              </w:rPr>
              <w:t>No text change</w:t>
            </w:r>
          </w:p>
        </w:tc>
        <w:tc>
          <w:tcPr>
            <w:tcW w:w="1843" w:type="dxa"/>
          </w:tcPr>
          <w:p w:rsidR="00100BC5" w:rsidRPr="00100BC5" w:rsidRDefault="00100BC5" w:rsidP="00C9709C">
            <w:r w:rsidRPr="00100BC5">
              <w:t>None</w:t>
            </w:r>
          </w:p>
        </w:tc>
        <w:tc>
          <w:tcPr>
            <w:tcW w:w="1531" w:type="dxa"/>
          </w:tcPr>
          <w:p w:rsidR="00100BC5" w:rsidRPr="00100BC5" w:rsidRDefault="00100BC5" w:rsidP="00D74808">
            <w:r w:rsidRPr="00100BC5">
              <w:t>Nil</w:t>
            </w:r>
          </w:p>
        </w:tc>
      </w:tr>
      <w:tr w:rsidR="003F0420" w:rsidTr="00587239">
        <w:trPr>
          <w:cantSplit w:val="0"/>
        </w:trPr>
        <w:tc>
          <w:tcPr>
            <w:tcW w:w="5529" w:type="dxa"/>
          </w:tcPr>
          <w:p w:rsidR="003F0420" w:rsidRPr="00100BC5" w:rsidRDefault="003F0420" w:rsidP="0075574A">
            <w:pPr>
              <w:keepNext w:val="0"/>
            </w:pPr>
            <w:r w:rsidRPr="003F0420">
              <w:t>4.25 There should be written procedures for sampling, which include the methods and equipment to be used, the amounts to be taken and any precautions to be observed to avoid contamination of the material or any deterioration in its quality.</w:t>
            </w:r>
          </w:p>
        </w:tc>
        <w:tc>
          <w:tcPr>
            <w:tcW w:w="6095" w:type="dxa"/>
          </w:tcPr>
          <w:p w:rsidR="003F0420" w:rsidRPr="00100BC5" w:rsidRDefault="003F0420" w:rsidP="0075574A">
            <w:pPr>
              <w:keepNext w:val="0"/>
            </w:pPr>
            <w:r w:rsidRPr="003F0420">
              <w:t>4.22 There should be written procedures for sampling, which include the person(s) authorised to take samples, the methods and equipment to be used, the amounts to be taken and any precautions to be observed to avoid contamination of the material or any deterioration in its quality (see Chapter 6, Item 13).</w:t>
            </w:r>
          </w:p>
        </w:tc>
        <w:tc>
          <w:tcPr>
            <w:tcW w:w="1843" w:type="dxa"/>
          </w:tcPr>
          <w:p w:rsidR="003F0420" w:rsidRPr="00100BC5" w:rsidRDefault="003F0420" w:rsidP="00C9709C">
            <w:r w:rsidRPr="003F0420">
              <w:t>Minor rewrite</w:t>
            </w:r>
          </w:p>
        </w:tc>
        <w:tc>
          <w:tcPr>
            <w:tcW w:w="1531" w:type="dxa"/>
          </w:tcPr>
          <w:p w:rsidR="003F0420" w:rsidRPr="00100BC5" w:rsidRDefault="003F0420" w:rsidP="00D74808">
            <w:r w:rsidRPr="003F0420">
              <w:t>Nil</w:t>
            </w:r>
          </w:p>
        </w:tc>
      </w:tr>
      <w:tr w:rsidR="003F0420" w:rsidTr="00587239">
        <w:trPr>
          <w:cantSplit w:val="0"/>
        </w:trPr>
        <w:tc>
          <w:tcPr>
            <w:tcW w:w="5529" w:type="dxa"/>
          </w:tcPr>
          <w:p w:rsidR="003F0420" w:rsidRPr="003F0420" w:rsidRDefault="003F0420" w:rsidP="0075574A">
            <w:pPr>
              <w:keepNext w:val="0"/>
            </w:pPr>
            <w:r w:rsidRPr="003F0420">
              <w:t>4.26 There should be written procedures for testing materials and products at different stages of manufacture, describing the methods and equipment to be used. The tests performed should be recorded.</w:t>
            </w:r>
          </w:p>
        </w:tc>
        <w:tc>
          <w:tcPr>
            <w:tcW w:w="6095" w:type="dxa"/>
          </w:tcPr>
          <w:p w:rsidR="003F0420" w:rsidRPr="003F0420" w:rsidRDefault="003F0420" w:rsidP="0075574A">
            <w:pPr>
              <w:keepNext w:val="0"/>
            </w:pPr>
            <w:r w:rsidRPr="003F0420">
              <w:t>4.23 There should be written procedures for testing materials and products at different stages of manufacture, describing the methods and equipment to be used.  The tests performed should be recorded (see Chapter 6, Item 17).</w:t>
            </w:r>
          </w:p>
        </w:tc>
        <w:tc>
          <w:tcPr>
            <w:tcW w:w="1843" w:type="dxa"/>
          </w:tcPr>
          <w:p w:rsidR="003F0420" w:rsidRPr="003F0420" w:rsidRDefault="003F0420" w:rsidP="00C9709C">
            <w:r w:rsidRPr="003F0420">
              <w:t>Minor rewrite</w:t>
            </w:r>
          </w:p>
        </w:tc>
        <w:tc>
          <w:tcPr>
            <w:tcW w:w="1531" w:type="dxa"/>
          </w:tcPr>
          <w:p w:rsidR="003F0420" w:rsidRPr="003F0420" w:rsidRDefault="003F0420" w:rsidP="00D74808">
            <w:r w:rsidRPr="003F0420">
              <w:t>Nil</w:t>
            </w:r>
          </w:p>
        </w:tc>
      </w:tr>
      <w:tr w:rsidR="003F0420" w:rsidTr="00587239">
        <w:trPr>
          <w:cantSplit w:val="0"/>
        </w:trPr>
        <w:tc>
          <w:tcPr>
            <w:tcW w:w="5529" w:type="dxa"/>
          </w:tcPr>
          <w:p w:rsidR="003F0420" w:rsidRPr="003F0420" w:rsidRDefault="003F0420" w:rsidP="0075574A">
            <w:pPr>
              <w:keepNext w:val="0"/>
            </w:pPr>
            <w:r w:rsidRPr="003F0420">
              <w:t xml:space="preserve">4.27 Written release and rejection procedures should be available for materials and products, and in particular for the certification for sale of the finished product by the Authorised Person(s). </w:t>
            </w:r>
            <w:r w:rsidRPr="003F0420">
              <w:rPr>
                <w:rFonts w:ascii="Arial" w:hAnsi="Arial" w:cs="Arial"/>
                <w:color w:val="006DA7"/>
              </w:rPr>
              <w:t xml:space="preserve">All records should be available to the Authorised Person. A system should be in place to indicate special observations and any </w:t>
            </w:r>
            <w:r w:rsidRPr="003F0420">
              <w:rPr>
                <w:rFonts w:ascii="Arial" w:hAnsi="Arial" w:cs="Arial"/>
                <w:color w:val="006DA7"/>
              </w:rPr>
              <w:lastRenderedPageBreak/>
              <w:t>changes to critical data.</w:t>
            </w:r>
          </w:p>
        </w:tc>
        <w:tc>
          <w:tcPr>
            <w:tcW w:w="6095" w:type="dxa"/>
          </w:tcPr>
          <w:p w:rsidR="003F0420" w:rsidRPr="003F0420" w:rsidRDefault="00C268B4" w:rsidP="0075574A">
            <w:pPr>
              <w:keepNext w:val="0"/>
            </w:pPr>
            <w:r w:rsidRPr="00C268B4">
              <w:lastRenderedPageBreak/>
              <w:t>4.24 Written release and rejection procedures should be available for materials and products, and in particular for the release for sale of the finished product by the authorised person(s) designated for the purpose.</w:t>
            </w:r>
          </w:p>
        </w:tc>
        <w:tc>
          <w:tcPr>
            <w:tcW w:w="1843" w:type="dxa"/>
          </w:tcPr>
          <w:p w:rsidR="003F0420" w:rsidRPr="003F0420" w:rsidRDefault="00C268B4" w:rsidP="00C9709C">
            <w:r w:rsidRPr="00C268B4">
              <w:t>Closer reference to release for supply activities</w:t>
            </w:r>
          </w:p>
        </w:tc>
        <w:tc>
          <w:tcPr>
            <w:tcW w:w="1531" w:type="dxa"/>
          </w:tcPr>
          <w:p w:rsidR="003F0420" w:rsidRPr="003F0420" w:rsidRDefault="00C268B4" w:rsidP="00D74808">
            <w:r w:rsidRPr="00C268B4">
              <w:t>Minor</w:t>
            </w:r>
          </w:p>
        </w:tc>
      </w:tr>
      <w:tr w:rsidR="00C268B4" w:rsidTr="00587239">
        <w:trPr>
          <w:cantSplit w:val="0"/>
        </w:trPr>
        <w:tc>
          <w:tcPr>
            <w:tcW w:w="5529" w:type="dxa"/>
          </w:tcPr>
          <w:p w:rsidR="00C268B4" w:rsidRPr="003F0420" w:rsidRDefault="00C268B4" w:rsidP="0075574A">
            <w:pPr>
              <w:keepNext w:val="0"/>
            </w:pPr>
            <w:r w:rsidRPr="00C268B4">
              <w:lastRenderedPageBreak/>
              <w:t>4.28 Records should be maintained for the distribution of each batch of a product in order to facilitate recall of any batch, if necessary.</w:t>
            </w:r>
          </w:p>
        </w:tc>
        <w:tc>
          <w:tcPr>
            <w:tcW w:w="6095" w:type="dxa"/>
          </w:tcPr>
          <w:p w:rsidR="00C268B4" w:rsidRPr="00C268B4" w:rsidRDefault="00C268B4" w:rsidP="0075574A">
            <w:pPr>
              <w:keepNext w:val="0"/>
            </w:pPr>
            <w:r w:rsidRPr="00C268B4">
              <w:t>4.28 Records should be maintained for the distribution of each batch of a product in order to facilitate recall of any batch, if necessary.</w:t>
            </w:r>
          </w:p>
        </w:tc>
        <w:tc>
          <w:tcPr>
            <w:tcW w:w="1843" w:type="dxa"/>
          </w:tcPr>
          <w:p w:rsidR="00C268B4" w:rsidRPr="00C268B4" w:rsidRDefault="00C268B4" w:rsidP="00C9709C">
            <w:r w:rsidRPr="00C268B4">
              <w:t>Deletion of reference to Chapter 8</w:t>
            </w:r>
          </w:p>
        </w:tc>
        <w:tc>
          <w:tcPr>
            <w:tcW w:w="1531" w:type="dxa"/>
          </w:tcPr>
          <w:p w:rsidR="00C268B4" w:rsidRPr="00C268B4" w:rsidRDefault="00C268B4" w:rsidP="00D74808">
            <w:r w:rsidRPr="00C268B4">
              <w:t>Nil</w:t>
            </w:r>
          </w:p>
        </w:tc>
      </w:tr>
      <w:tr w:rsidR="00C268B4" w:rsidTr="00587239">
        <w:trPr>
          <w:cantSplit w:val="0"/>
        </w:trPr>
        <w:tc>
          <w:tcPr>
            <w:tcW w:w="5529" w:type="dxa"/>
          </w:tcPr>
          <w:p w:rsidR="00822D62" w:rsidRDefault="00822D62" w:rsidP="0075574A">
            <w:pPr>
              <w:keepNext w:val="0"/>
            </w:pPr>
            <w:r>
              <w:t>4.29 There should be written policies, procedures, protocols, reports and the associated records of actions taken or conclusions reached, where appropriate, for the following examples:</w:t>
            </w:r>
          </w:p>
          <w:p w:rsidR="00822D62" w:rsidRDefault="00822D62" w:rsidP="0075574A">
            <w:pPr>
              <w:pStyle w:val="ListBullet2"/>
              <w:keepNext w:val="0"/>
            </w:pPr>
            <w:r>
              <w:t xml:space="preserve">Validation </w:t>
            </w:r>
            <w:r w:rsidRPr="00FF2CEB">
              <w:rPr>
                <w:rFonts w:ascii="Arial" w:hAnsi="Arial" w:cs="Arial"/>
                <w:color w:val="006DA7"/>
              </w:rPr>
              <w:t>and qualification of processes, equipment and systems</w:t>
            </w:r>
            <w:r>
              <w:t>;</w:t>
            </w:r>
          </w:p>
          <w:p w:rsidR="00822D62" w:rsidRDefault="00822D62" w:rsidP="0075574A">
            <w:pPr>
              <w:pStyle w:val="ListBullet2"/>
              <w:keepNext w:val="0"/>
            </w:pPr>
            <w:r>
              <w:t>Equipment assembly and calibration;</w:t>
            </w:r>
          </w:p>
          <w:p w:rsidR="00822D62" w:rsidRPr="00FF2CEB" w:rsidRDefault="00822D62" w:rsidP="0075574A">
            <w:pPr>
              <w:pStyle w:val="ListBullet2"/>
              <w:keepNext w:val="0"/>
              <w:rPr>
                <w:rFonts w:ascii="Arial" w:hAnsi="Arial" w:cs="Arial"/>
                <w:color w:val="006DA7"/>
              </w:rPr>
            </w:pPr>
            <w:r w:rsidRPr="00FF2CEB">
              <w:rPr>
                <w:rFonts w:ascii="Arial" w:hAnsi="Arial" w:cs="Arial"/>
                <w:color w:val="006DA7"/>
              </w:rPr>
              <w:t>Technology transfer;</w:t>
            </w:r>
          </w:p>
          <w:p w:rsidR="00822D62" w:rsidRDefault="00822D62" w:rsidP="0075574A">
            <w:pPr>
              <w:pStyle w:val="ListBullet2"/>
              <w:keepNext w:val="0"/>
            </w:pPr>
            <w:r>
              <w:t>Maintenance, cleaning and sanitation;</w:t>
            </w:r>
          </w:p>
          <w:p w:rsidR="00822D62" w:rsidRDefault="00822D62" w:rsidP="0075574A">
            <w:pPr>
              <w:pStyle w:val="ListBullet2"/>
              <w:keepNext w:val="0"/>
            </w:pPr>
            <w:r>
              <w:t xml:space="preserve">Personnel matters including </w:t>
            </w:r>
            <w:r w:rsidRPr="00FF2CEB">
              <w:rPr>
                <w:rFonts w:ascii="Arial" w:hAnsi="Arial" w:cs="Arial"/>
                <w:color w:val="006DA7"/>
              </w:rPr>
              <w:t xml:space="preserve">signature lists, </w:t>
            </w:r>
            <w:r>
              <w:t xml:space="preserve">training in GMP and technical matters, clothing and hygiene </w:t>
            </w:r>
            <w:r w:rsidRPr="00FF2CEB">
              <w:rPr>
                <w:rFonts w:ascii="Arial" w:hAnsi="Arial" w:cs="Arial"/>
                <w:color w:val="006DA7"/>
              </w:rPr>
              <w:t>and verification of the effectiveness of training</w:t>
            </w:r>
            <w:r>
              <w:t>;</w:t>
            </w:r>
          </w:p>
          <w:p w:rsidR="00822D62" w:rsidRDefault="00822D62" w:rsidP="0075574A">
            <w:pPr>
              <w:pStyle w:val="ListBullet2"/>
              <w:keepNext w:val="0"/>
            </w:pPr>
            <w:r>
              <w:t>Environmental monitoring;</w:t>
            </w:r>
          </w:p>
          <w:p w:rsidR="00822D62" w:rsidRDefault="00822D62" w:rsidP="0075574A">
            <w:pPr>
              <w:pStyle w:val="ListBullet2"/>
              <w:keepNext w:val="0"/>
            </w:pPr>
            <w:r>
              <w:t>Pest control;</w:t>
            </w:r>
          </w:p>
          <w:p w:rsidR="00822D62" w:rsidRDefault="00822D62" w:rsidP="0075574A">
            <w:pPr>
              <w:pStyle w:val="ListBullet2"/>
              <w:keepNext w:val="0"/>
            </w:pPr>
            <w:r>
              <w:t>Complaints;</w:t>
            </w:r>
          </w:p>
          <w:p w:rsidR="00822D62" w:rsidRDefault="00822D62" w:rsidP="0075574A">
            <w:pPr>
              <w:pStyle w:val="ListBullet2"/>
              <w:keepNext w:val="0"/>
            </w:pPr>
            <w:r>
              <w:lastRenderedPageBreak/>
              <w:t>Recalls;</w:t>
            </w:r>
          </w:p>
          <w:p w:rsidR="00822D62" w:rsidRDefault="00822D62" w:rsidP="0075574A">
            <w:pPr>
              <w:pStyle w:val="ListBullet2"/>
              <w:keepNext w:val="0"/>
            </w:pPr>
            <w:r>
              <w:t>Returns;</w:t>
            </w:r>
          </w:p>
          <w:p w:rsidR="00822D62" w:rsidRPr="00E85292" w:rsidRDefault="00822D62" w:rsidP="0075574A">
            <w:pPr>
              <w:pStyle w:val="ListBullet2"/>
              <w:keepNext w:val="0"/>
              <w:rPr>
                <w:rFonts w:ascii="Arial" w:hAnsi="Arial" w:cs="Arial"/>
                <w:color w:val="006DA7"/>
              </w:rPr>
            </w:pPr>
            <w:r w:rsidRPr="00E85292">
              <w:rPr>
                <w:rFonts w:ascii="Arial" w:hAnsi="Arial" w:cs="Arial"/>
                <w:color w:val="006DA7"/>
              </w:rPr>
              <w:t>Change control;</w:t>
            </w:r>
          </w:p>
          <w:p w:rsidR="00822D62" w:rsidRPr="00E85292" w:rsidRDefault="00822D62" w:rsidP="0075574A">
            <w:pPr>
              <w:pStyle w:val="ListBullet2"/>
              <w:keepNext w:val="0"/>
              <w:rPr>
                <w:rFonts w:ascii="Arial" w:hAnsi="Arial" w:cs="Arial"/>
                <w:color w:val="006DA7"/>
              </w:rPr>
            </w:pPr>
            <w:r w:rsidRPr="00E85292">
              <w:rPr>
                <w:rFonts w:ascii="Arial" w:hAnsi="Arial" w:cs="Arial"/>
                <w:color w:val="006DA7"/>
              </w:rPr>
              <w:t>Investigations into deviations and non-conformances;</w:t>
            </w:r>
          </w:p>
          <w:p w:rsidR="00822D62" w:rsidRPr="00E85292" w:rsidRDefault="00822D62" w:rsidP="0075574A">
            <w:pPr>
              <w:pStyle w:val="ListBullet2"/>
              <w:keepNext w:val="0"/>
              <w:rPr>
                <w:rFonts w:ascii="Arial" w:hAnsi="Arial" w:cs="Arial"/>
                <w:color w:val="006DA7"/>
              </w:rPr>
            </w:pPr>
            <w:r w:rsidRPr="00E85292">
              <w:rPr>
                <w:rFonts w:ascii="Arial" w:hAnsi="Arial" w:cs="Arial"/>
                <w:color w:val="006DA7"/>
              </w:rPr>
              <w:t>Internal quality/GMP compliance audits;</w:t>
            </w:r>
          </w:p>
          <w:p w:rsidR="00822D62" w:rsidRPr="00E85292" w:rsidRDefault="00822D62" w:rsidP="0075574A">
            <w:pPr>
              <w:pStyle w:val="ListBullet2"/>
              <w:keepNext w:val="0"/>
              <w:rPr>
                <w:rFonts w:ascii="Arial" w:hAnsi="Arial" w:cs="Arial"/>
                <w:color w:val="006DA7"/>
              </w:rPr>
            </w:pPr>
            <w:r w:rsidRPr="00E85292">
              <w:rPr>
                <w:rFonts w:ascii="Arial" w:hAnsi="Arial" w:cs="Arial"/>
                <w:color w:val="006DA7"/>
              </w:rPr>
              <w:t>Summaries of records where appropriate (e.g. product quality review);</w:t>
            </w:r>
          </w:p>
          <w:p w:rsidR="00C268B4" w:rsidRPr="00C268B4" w:rsidRDefault="00822D62" w:rsidP="0075574A">
            <w:pPr>
              <w:pStyle w:val="ListBullet2"/>
              <w:keepNext w:val="0"/>
            </w:pPr>
            <w:r w:rsidRPr="00E85292">
              <w:rPr>
                <w:rFonts w:ascii="Arial" w:hAnsi="Arial" w:cs="Arial"/>
                <w:color w:val="006DA7"/>
              </w:rPr>
              <w:t>Supplier audits.</w:t>
            </w:r>
          </w:p>
        </w:tc>
        <w:tc>
          <w:tcPr>
            <w:tcW w:w="6095" w:type="dxa"/>
          </w:tcPr>
          <w:p w:rsidR="002068CE" w:rsidRDefault="002068CE" w:rsidP="0075574A">
            <w:pPr>
              <w:keepNext w:val="0"/>
            </w:pPr>
            <w:r>
              <w:lastRenderedPageBreak/>
              <w:t>4.26 There should be written procedures and the associated records of actions taken or conclusions reached, where appropriate, for:</w:t>
            </w:r>
          </w:p>
          <w:p w:rsidR="002068CE" w:rsidRDefault="002068CE" w:rsidP="0075574A">
            <w:pPr>
              <w:pStyle w:val="ListBullet2"/>
              <w:keepNext w:val="0"/>
            </w:pPr>
            <w:r>
              <w:t>validation;</w:t>
            </w:r>
          </w:p>
          <w:p w:rsidR="002068CE" w:rsidRDefault="002068CE" w:rsidP="0075574A">
            <w:pPr>
              <w:pStyle w:val="ListBullet2"/>
              <w:keepNext w:val="0"/>
            </w:pPr>
            <w:r>
              <w:t>equipment assembly and calibration;</w:t>
            </w:r>
          </w:p>
          <w:p w:rsidR="002068CE" w:rsidRDefault="002068CE" w:rsidP="0075574A">
            <w:pPr>
              <w:pStyle w:val="ListBullet2"/>
              <w:keepNext w:val="0"/>
            </w:pPr>
            <w:r>
              <w:t>maintenance, cleaning and sanitization;</w:t>
            </w:r>
          </w:p>
          <w:p w:rsidR="002068CE" w:rsidRDefault="002068CE" w:rsidP="0075574A">
            <w:pPr>
              <w:pStyle w:val="ListBullet2"/>
              <w:keepNext w:val="0"/>
            </w:pPr>
            <w:r>
              <w:t>personnel matters including training, clothing, hygiene;</w:t>
            </w:r>
          </w:p>
          <w:p w:rsidR="002068CE" w:rsidRDefault="002068CE" w:rsidP="0075574A">
            <w:pPr>
              <w:pStyle w:val="ListBullet2"/>
              <w:keepNext w:val="0"/>
            </w:pPr>
            <w:r>
              <w:t>environmental monitoring;</w:t>
            </w:r>
          </w:p>
          <w:p w:rsidR="002068CE" w:rsidRDefault="002068CE" w:rsidP="0075574A">
            <w:pPr>
              <w:pStyle w:val="ListBullet2"/>
              <w:keepNext w:val="0"/>
            </w:pPr>
            <w:r>
              <w:t>pest control;</w:t>
            </w:r>
          </w:p>
          <w:p w:rsidR="002068CE" w:rsidRDefault="002068CE" w:rsidP="0075574A">
            <w:pPr>
              <w:pStyle w:val="ListBullet2"/>
              <w:keepNext w:val="0"/>
            </w:pPr>
            <w:r>
              <w:t>complaints;</w:t>
            </w:r>
          </w:p>
          <w:p w:rsidR="002068CE" w:rsidRDefault="002068CE" w:rsidP="0075574A">
            <w:pPr>
              <w:pStyle w:val="ListBullet2"/>
              <w:keepNext w:val="0"/>
            </w:pPr>
            <w:r>
              <w:t>recalls;</w:t>
            </w:r>
          </w:p>
          <w:p w:rsidR="00C268B4" w:rsidRPr="00C268B4" w:rsidRDefault="002068CE" w:rsidP="0075574A">
            <w:pPr>
              <w:pStyle w:val="ListBullet2"/>
              <w:keepNext w:val="0"/>
            </w:pPr>
            <w:r>
              <w:t>returns</w:t>
            </w:r>
          </w:p>
        </w:tc>
        <w:tc>
          <w:tcPr>
            <w:tcW w:w="1843" w:type="dxa"/>
          </w:tcPr>
          <w:p w:rsidR="00C268B4" w:rsidRPr="00C268B4" w:rsidRDefault="00AD324A" w:rsidP="00C9709C">
            <w:r w:rsidRPr="00AD324A">
              <w:t>Inclusion of a number of documents. The requirement to have those documents is not new, as performing and recording those activities was already required elsewhere in the Guide to GMP, only the fact that a document was required to do so wasn’t mentioned in this clause yet</w:t>
            </w:r>
          </w:p>
        </w:tc>
        <w:tc>
          <w:tcPr>
            <w:tcW w:w="1531" w:type="dxa"/>
          </w:tcPr>
          <w:p w:rsidR="00C268B4" w:rsidRPr="00C268B4" w:rsidRDefault="00AD324A" w:rsidP="00D74808">
            <w:r w:rsidRPr="00AD324A">
              <w:t>Minor</w:t>
            </w:r>
          </w:p>
        </w:tc>
      </w:tr>
      <w:tr w:rsidR="00AD324A" w:rsidTr="00587239">
        <w:trPr>
          <w:cantSplit w:val="0"/>
        </w:trPr>
        <w:tc>
          <w:tcPr>
            <w:tcW w:w="5529" w:type="dxa"/>
          </w:tcPr>
          <w:p w:rsidR="00AD324A" w:rsidRDefault="00F504B4" w:rsidP="0075574A">
            <w:pPr>
              <w:keepNext w:val="0"/>
            </w:pPr>
            <w:r w:rsidRPr="00F504B4">
              <w:lastRenderedPageBreak/>
              <w:t xml:space="preserve">4.30                </w:t>
            </w:r>
            <w:r w:rsidRPr="00F504B4">
              <w:rPr>
                <w:i/>
              </w:rPr>
              <w:t>No text change</w:t>
            </w:r>
          </w:p>
        </w:tc>
        <w:tc>
          <w:tcPr>
            <w:tcW w:w="6095" w:type="dxa"/>
          </w:tcPr>
          <w:p w:rsidR="00AD324A" w:rsidRDefault="00F504B4" w:rsidP="0075574A">
            <w:pPr>
              <w:keepNext w:val="0"/>
            </w:pPr>
            <w:r w:rsidRPr="00F504B4">
              <w:t xml:space="preserve">4.27                </w:t>
            </w:r>
            <w:r w:rsidRPr="00F504B4">
              <w:rPr>
                <w:i/>
              </w:rPr>
              <w:t>No text change</w:t>
            </w:r>
          </w:p>
        </w:tc>
        <w:tc>
          <w:tcPr>
            <w:tcW w:w="1843" w:type="dxa"/>
          </w:tcPr>
          <w:p w:rsidR="00AD324A" w:rsidRPr="00AD324A" w:rsidRDefault="00F504B4" w:rsidP="00C9709C">
            <w:r w:rsidRPr="00F504B4">
              <w:t>None</w:t>
            </w:r>
          </w:p>
        </w:tc>
        <w:tc>
          <w:tcPr>
            <w:tcW w:w="1531" w:type="dxa"/>
          </w:tcPr>
          <w:p w:rsidR="00AD324A" w:rsidRPr="00AD324A" w:rsidRDefault="00F504B4" w:rsidP="00D74808">
            <w:r w:rsidRPr="00F504B4">
              <w:t>Nil</w:t>
            </w:r>
          </w:p>
        </w:tc>
      </w:tr>
      <w:tr w:rsidR="00F504B4" w:rsidTr="00587239">
        <w:trPr>
          <w:cantSplit w:val="0"/>
        </w:trPr>
        <w:tc>
          <w:tcPr>
            <w:tcW w:w="5529" w:type="dxa"/>
          </w:tcPr>
          <w:p w:rsidR="00F504B4" w:rsidRPr="00F504B4" w:rsidRDefault="00F504B4" w:rsidP="0075574A">
            <w:pPr>
              <w:keepNext w:val="0"/>
            </w:pPr>
            <w:r w:rsidRPr="00F504B4">
              <w:t xml:space="preserve">4.31 Logbooks should be kept for major or critical </w:t>
            </w:r>
            <w:r w:rsidRPr="00F504B4">
              <w:rPr>
                <w:rFonts w:ascii="Arial" w:hAnsi="Arial" w:cs="Arial"/>
                <w:color w:val="006DA7"/>
              </w:rPr>
              <w:t xml:space="preserve">analytical testing, production </w:t>
            </w:r>
            <w:proofErr w:type="gramStart"/>
            <w:r w:rsidRPr="00F504B4">
              <w:rPr>
                <w:rFonts w:ascii="Arial" w:hAnsi="Arial" w:cs="Arial"/>
                <w:color w:val="006DA7"/>
              </w:rPr>
              <w:t>equipment,</w:t>
            </w:r>
            <w:proofErr w:type="gramEnd"/>
            <w:r w:rsidRPr="00F504B4">
              <w:rPr>
                <w:rFonts w:ascii="Arial" w:hAnsi="Arial" w:cs="Arial"/>
                <w:color w:val="006DA7"/>
              </w:rPr>
              <w:t xml:space="preserve"> and areas where product has been processed.</w:t>
            </w:r>
            <w:r w:rsidRPr="00F504B4">
              <w:t xml:space="preserve"> </w:t>
            </w:r>
            <w:r w:rsidRPr="00E0407A">
              <w:rPr>
                <w:color w:val="4A8485"/>
              </w:rPr>
              <w:t>[</w:t>
            </w:r>
            <w:r w:rsidRPr="00F504B4">
              <w:rPr>
                <w:color w:val="006664"/>
              </w:rPr>
              <w:t>They should be used to record in chronological order,</w:t>
            </w:r>
            <w:r w:rsidRPr="00E0407A">
              <w:rPr>
                <w:color w:val="4A8485"/>
              </w:rPr>
              <w:t>]</w:t>
            </w:r>
            <w:r w:rsidRPr="00F504B4">
              <w:t xml:space="preserve"> as appropriate, any use of the area, equipment/method, calibrations, maintenance, cleaning or repair operations, including the dates and identity of people who carried these operations out.</w:t>
            </w:r>
          </w:p>
        </w:tc>
        <w:tc>
          <w:tcPr>
            <w:tcW w:w="6095" w:type="dxa"/>
          </w:tcPr>
          <w:p w:rsidR="00F504B4" w:rsidRDefault="00F504B4" w:rsidP="0075574A">
            <w:pPr>
              <w:keepNext w:val="0"/>
            </w:pPr>
            <w:r>
              <w:t>4.28 Log books should be kept for major or critical equipment recording, as appropriate, any validations, calibrations, maintenance, cleaning or repair operations, including the dates and identity of people who carried these operations out.</w:t>
            </w:r>
          </w:p>
          <w:p w:rsidR="00F504B4" w:rsidRPr="00F504B4" w:rsidRDefault="00F504B4" w:rsidP="0075574A">
            <w:pPr>
              <w:keepNext w:val="0"/>
            </w:pPr>
            <w:r>
              <w:t>4.29 Log books should also record in chronological order the use of major or critical equipment and the areas where the products have been processed.</w:t>
            </w:r>
          </w:p>
        </w:tc>
        <w:tc>
          <w:tcPr>
            <w:tcW w:w="1843" w:type="dxa"/>
          </w:tcPr>
          <w:p w:rsidR="00F504B4" w:rsidRPr="00F504B4" w:rsidRDefault="00F504B4" w:rsidP="00C9709C">
            <w:r w:rsidRPr="00F504B4">
              <w:t>Providing some more detail</w:t>
            </w:r>
          </w:p>
        </w:tc>
        <w:tc>
          <w:tcPr>
            <w:tcW w:w="1531" w:type="dxa"/>
          </w:tcPr>
          <w:p w:rsidR="00F504B4" w:rsidRPr="00F504B4" w:rsidRDefault="00F504B4" w:rsidP="00D74808">
            <w:r w:rsidRPr="00F504B4">
              <w:t>Nil</w:t>
            </w:r>
          </w:p>
        </w:tc>
      </w:tr>
      <w:tr w:rsidR="0006138D" w:rsidTr="00587239">
        <w:trPr>
          <w:cantSplit w:val="0"/>
        </w:trPr>
        <w:tc>
          <w:tcPr>
            <w:tcW w:w="5529" w:type="dxa"/>
          </w:tcPr>
          <w:p w:rsidR="0006138D" w:rsidRPr="0006138D" w:rsidRDefault="0006138D" w:rsidP="0075574A">
            <w:pPr>
              <w:keepNext w:val="0"/>
              <w:rPr>
                <w:rFonts w:ascii="Arial" w:hAnsi="Arial" w:cs="Arial"/>
                <w:color w:val="006DA7"/>
              </w:rPr>
            </w:pPr>
            <w:r w:rsidRPr="0006138D">
              <w:rPr>
                <w:rFonts w:ascii="Arial" w:hAnsi="Arial" w:cs="Arial"/>
                <w:color w:val="006DA7"/>
              </w:rPr>
              <w:t>4.32 An inventory of documents within the Quality Management System should be maintained</w:t>
            </w:r>
          </w:p>
        </w:tc>
        <w:tc>
          <w:tcPr>
            <w:tcW w:w="6095" w:type="dxa"/>
          </w:tcPr>
          <w:p w:rsidR="0006138D" w:rsidRDefault="0006138D" w:rsidP="0075574A">
            <w:pPr>
              <w:keepNext w:val="0"/>
            </w:pPr>
            <w:r>
              <w:t>--</w:t>
            </w:r>
          </w:p>
          <w:p w:rsidR="0006138D" w:rsidRPr="0006138D" w:rsidRDefault="0006138D" w:rsidP="0075574A">
            <w:pPr>
              <w:keepNext w:val="0"/>
              <w:ind w:left="317"/>
              <w:rPr>
                <w:i/>
              </w:rPr>
            </w:pPr>
            <w:r w:rsidRPr="0006138D">
              <w:rPr>
                <w:b/>
                <w:i/>
              </w:rPr>
              <w:t>Note:</w:t>
            </w:r>
            <w:r w:rsidRPr="0006138D">
              <w:rPr>
                <w:i/>
              </w:rPr>
              <w:t xml:space="preserve"> new clause</w:t>
            </w:r>
          </w:p>
        </w:tc>
        <w:tc>
          <w:tcPr>
            <w:tcW w:w="1843" w:type="dxa"/>
          </w:tcPr>
          <w:p w:rsidR="0006138D" w:rsidRPr="00F504B4" w:rsidRDefault="0006138D" w:rsidP="00C9709C">
            <w:r w:rsidRPr="0006138D">
              <w:t xml:space="preserve">Inclusion of a requirement that was obvious, yet </w:t>
            </w:r>
            <w:r w:rsidRPr="0006138D">
              <w:lastRenderedPageBreak/>
              <w:t>not specifically mentioned in earlier editions</w:t>
            </w:r>
          </w:p>
        </w:tc>
        <w:tc>
          <w:tcPr>
            <w:tcW w:w="1531" w:type="dxa"/>
          </w:tcPr>
          <w:p w:rsidR="0006138D" w:rsidRPr="00F504B4" w:rsidRDefault="0006138D" w:rsidP="00D74808">
            <w:r w:rsidRPr="0006138D">
              <w:lastRenderedPageBreak/>
              <w:t>Minor</w:t>
            </w:r>
          </w:p>
        </w:tc>
      </w:tr>
    </w:tbl>
    <w:p w:rsidR="00D74808" w:rsidRDefault="00B36B30" w:rsidP="00B36B30">
      <w:pPr>
        <w:pStyle w:val="Heading3"/>
      </w:pPr>
      <w:bookmarkStart w:id="13" w:name="_Toc357412253"/>
      <w:r w:rsidRPr="00B36B30">
        <w:lastRenderedPageBreak/>
        <w:t>Annex 3 - Radiopharmaceuticals</w:t>
      </w:r>
      <w:bookmarkEnd w:id="13"/>
    </w:p>
    <w:tbl>
      <w:tblPr>
        <w:tblStyle w:val="TableTGAblue"/>
        <w:tblW w:w="0" w:type="auto"/>
        <w:tblLayout w:type="fixed"/>
        <w:tblLook w:val="04A0" w:firstRow="1" w:lastRow="0" w:firstColumn="1" w:lastColumn="0" w:noHBand="0" w:noVBand="1"/>
      </w:tblPr>
      <w:tblGrid>
        <w:gridCol w:w="7054"/>
        <w:gridCol w:w="4678"/>
        <w:gridCol w:w="1843"/>
        <w:gridCol w:w="1531"/>
      </w:tblGrid>
      <w:tr w:rsidR="00764425" w:rsidTr="00103105">
        <w:trPr>
          <w:cnfStyle w:val="100000000000" w:firstRow="1" w:lastRow="0" w:firstColumn="0" w:lastColumn="0" w:oddVBand="0" w:evenVBand="0" w:oddHBand="0" w:evenHBand="0" w:firstRowFirstColumn="0" w:firstRowLastColumn="0" w:lastRowFirstColumn="0" w:lastRowLastColumn="0"/>
        </w:trPr>
        <w:tc>
          <w:tcPr>
            <w:tcW w:w="7054" w:type="dxa"/>
          </w:tcPr>
          <w:p w:rsidR="00764425" w:rsidRDefault="00764425" w:rsidP="0087082A">
            <w:pPr>
              <w:keepNext w:val="0"/>
            </w:pPr>
            <w:r w:rsidRPr="00D74808">
              <w:t>PE 009-10</w:t>
            </w:r>
          </w:p>
        </w:tc>
        <w:tc>
          <w:tcPr>
            <w:tcW w:w="4678" w:type="dxa"/>
          </w:tcPr>
          <w:p w:rsidR="00764425" w:rsidRDefault="00764425" w:rsidP="0087082A">
            <w:pPr>
              <w:keepNext w:val="0"/>
            </w:pPr>
            <w:r w:rsidRPr="00D74808">
              <w:t>PE 009-08</w:t>
            </w:r>
          </w:p>
        </w:tc>
        <w:tc>
          <w:tcPr>
            <w:tcW w:w="1843" w:type="dxa"/>
          </w:tcPr>
          <w:p w:rsidR="00764425" w:rsidRDefault="00764425" w:rsidP="0087082A">
            <w:pPr>
              <w:keepNext w:val="0"/>
            </w:pPr>
            <w:r w:rsidRPr="00D74808">
              <w:t>Nature of  impact</w:t>
            </w:r>
          </w:p>
        </w:tc>
        <w:tc>
          <w:tcPr>
            <w:tcW w:w="1531" w:type="dxa"/>
          </w:tcPr>
          <w:p w:rsidR="00764425" w:rsidRDefault="00764425" w:rsidP="0087082A">
            <w:pPr>
              <w:keepNext w:val="0"/>
            </w:pPr>
            <w:r w:rsidRPr="00D74808">
              <w:t>Estimated significance of impact</w:t>
            </w:r>
          </w:p>
        </w:tc>
      </w:tr>
      <w:tr w:rsidR="00764425" w:rsidTr="00103105">
        <w:trPr>
          <w:cantSplit w:val="0"/>
        </w:trPr>
        <w:tc>
          <w:tcPr>
            <w:tcW w:w="7054" w:type="dxa"/>
          </w:tcPr>
          <w:p w:rsidR="00764425" w:rsidRPr="00764425" w:rsidRDefault="00764425" w:rsidP="0087082A">
            <w:pPr>
              <w:keepNext w:val="0"/>
              <w:rPr>
                <w:b/>
                <w:i/>
              </w:rPr>
            </w:pPr>
            <w:r w:rsidRPr="00764425">
              <w:rPr>
                <w:b/>
                <w:i/>
              </w:rPr>
              <w:t>Principle</w:t>
            </w:r>
          </w:p>
          <w:p w:rsidR="00764425" w:rsidRPr="00764425" w:rsidRDefault="00764425" w:rsidP="0087082A">
            <w:pPr>
              <w:keepNext w:val="0"/>
              <w:rPr>
                <w:rFonts w:ascii="Arial" w:hAnsi="Arial" w:cs="Arial"/>
                <w:color w:val="006DA7"/>
              </w:rPr>
            </w:pPr>
            <w:r w:rsidRPr="00764425">
              <w:rPr>
                <w:rFonts w:ascii="Arial" w:hAnsi="Arial" w:cs="Arial"/>
                <w:color w:val="006DA7"/>
              </w:rPr>
              <w:t>The manufacture of radiopharmaceuticals should be undertaken in accordance with the principles of Good Manufacturing Practice for Medicinal Products Part I and II. This annex specifically addresses some of the practices, which may be specific for radiopharmaceuticals.</w:t>
            </w:r>
          </w:p>
          <w:p w:rsidR="00764425" w:rsidRPr="00764425" w:rsidRDefault="00764425" w:rsidP="0087082A">
            <w:pPr>
              <w:keepNext w:val="0"/>
              <w:rPr>
                <w:rFonts w:ascii="Arial" w:hAnsi="Arial" w:cs="Arial"/>
                <w:color w:val="006DA7"/>
              </w:rPr>
            </w:pPr>
            <w:r w:rsidRPr="00764425">
              <w:rPr>
                <w:rFonts w:ascii="Arial" w:hAnsi="Arial" w:cs="Arial"/>
                <w:color w:val="006DA7"/>
              </w:rPr>
              <w:t xml:space="preserve">Note </w:t>
            </w:r>
            <w:proofErr w:type="spellStart"/>
            <w:r w:rsidRPr="00764425">
              <w:rPr>
                <w:rFonts w:ascii="Arial" w:hAnsi="Arial" w:cs="Arial"/>
                <w:color w:val="006DA7"/>
              </w:rPr>
              <w:t>i</w:t>
            </w:r>
            <w:proofErr w:type="spellEnd"/>
            <w:r w:rsidRPr="00764425">
              <w:rPr>
                <w:rFonts w:ascii="Arial" w:hAnsi="Arial" w:cs="Arial"/>
                <w:color w:val="006DA7"/>
              </w:rPr>
              <w:t xml:space="preserve">. Preparation of radiopharmaceuticals in </w:t>
            </w:r>
            <w:proofErr w:type="spellStart"/>
            <w:r w:rsidRPr="00764425">
              <w:rPr>
                <w:rFonts w:ascii="Arial" w:hAnsi="Arial" w:cs="Arial"/>
                <w:color w:val="006DA7"/>
              </w:rPr>
              <w:t>radiopharmacies</w:t>
            </w:r>
            <w:proofErr w:type="spellEnd"/>
            <w:r w:rsidRPr="00764425">
              <w:rPr>
                <w:rFonts w:ascii="Arial" w:hAnsi="Arial" w:cs="Arial"/>
                <w:color w:val="006DA7"/>
              </w:rPr>
              <w:t xml:space="preserve"> (hospitals or certain pharmacies), using Generators and Kits with a marketing authorisation or a national </w:t>
            </w:r>
            <w:proofErr w:type="gramStart"/>
            <w:r w:rsidRPr="00764425">
              <w:rPr>
                <w:rFonts w:ascii="Arial" w:hAnsi="Arial" w:cs="Arial"/>
                <w:color w:val="006DA7"/>
              </w:rPr>
              <w:t>licence,</w:t>
            </w:r>
            <w:proofErr w:type="gramEnd"/>
            <w:r w:rsidRPr="00764425">
              <w:rPr>
                <w:rFonts w:ascii="Arial" w:hAnsi="Arial" w:cs="Arial"/>
                <w:color w:val="006DA7"/>
              </w:rPr>
              <w:t xml:space="preserve"> is not covered by this guideline, unless covered by national requirement.</w:t>
            </w:r>
          </w:p>
          <w:p w:rsidR="00764425" w:rsidRPr="00764425" w:rsidRDefault="00764425" w:rsidP="0087082A">
            <w:pPr>
              <w:keepNext w:val="0"/>
              <w:rPr>
                <w:rFonts w:ascii="Arial" w:hAnsi="Arial" w:cs="Arial"/>
                <w:color w:val="006DA7"/>
              </w:rPr>
            </w:pPr>
            <w:r w:rsidRPr="00764425">
              <w:rPr>
                <w:rFonts w:ascii="Arial" w:hAnsi="Arial" w:cs="Arial"/>
                <w:color w:val="006DA7"/>
              </w:rPr>
              <w:t xml:space="preserve">Note ii. According to radiation protection regulations it should be ensured that any medical exposure is under the clinical responsibility </w:t>
            </w:r>
            <w:r w:rsidRPr="00764425">
              <w:rPr>
                <w:rFonts w:ascii="Arial" w:hAnsi="Arial" w:cs="Arial"/>
                <w:color w:val="006DA7"/>
              </w:rPr>
              <w:lastRenderedPageBreak/>
              <w:t>of a practitioner. In diagnostic and therapeutic nuclear medicine practices a medical physics expert should be available.</w:t>
            </w:r>
          </w:p>
          <w:p w:rsidR="00764425" w:rsidRPr="00764425" w:rsidRDefault="00764425" w:rsidP="0087082A">
            <w:pPr>
              <w:keepNext w:val="0"/>
              <w:rPr>
                <w:rFonts w:ascii="Arial" w:hAnsi="Arial" w:cs="Arial"/>
                <w:color w:val="006DA7"/>
              </w:rPr>
            </w:pPr>
            <w:r w:rsidRPr="00764425">
              <w:rPr>
                <w:rFonts w:ascii="Arial" w:hAnsi="Arial" w:cs="Arial"/>
                <w:color w:val="006DA7"/>
              </w:rPr>
              <w:t>Note iii. This annex is also applicable to radiopharmaceuticals used in clinical trials.</w:t>
            </w:r>
          </w:p>
          <w:p w:rsidR="00764425" w:rsidRPr="00764425" w:rsidRDefault="00764425" w:rsidP="0087082A">
            <w:pPr>
              <w:keepNext w:val="0"/>
              <w:rPr>
                <w:rFonts w:ascii="Arial" w:hAnsi="Arial" w:cs="Arial"/>
                <w:color w:val="006DA7"/>
              </w:rPr>
            </w:pPr>
            <w:r w:rsidRPr="00764425">
              <w:rPr>
                <w:rFonts w:ascii="Arial" w:hAnsi="Arial" w:cs="Arial"/>
                <w:color w:val="006DA7"/>
              </w:rPr>
              <w:t>Note iv. Transport of radiopharmaceuticals is regulated by the International Atomic Energy Association (IAEA) and radiation protection requirements.</w:t>
            </w:r>
          </w:p>
          <w:p w:rsidR="00764425" w:rsidRDefault="00764425" w:rsidP="0087082A">
            <w:pPr>
              <w:keepNext w:val="0"/>
            </w:pPr>
            <w:r w:rsidRPr="00764425">
              <w:rPr>
                <w:rFonts w:ascii="Arial" w:hAnsi="Arial" w:cs="Arial"/>
                <w:color w:val="006DA7"/>
              </w:rPr>
              <w:t>Note v. It is recognised that there are acceptable methods, other than those described in this annex, which are capable of achieving the principles of Quality Assurance. Other methods should be validated and provide a level of Quality Assurance at least equivalent to those set out in this annex.</w:t>
            </w:r>
          </w:p>
        </w:tc>
        <w:tc>
          <w:tcPr>
            <w:tcW w:w="4678" w:type="dxa"/>
          </w:tcPr>
          <w:p w:rsidR="00764425" w:rsidRPr="00764425" w:rsidRDefault="00764425" w:rsidP="0087082A">
            <w:pPr>
              <w:keepNext w:val="0"/>
              <w:rPr>
                <w:b/>
                <w:i/>
              </w:rPr>
            </w:pPr>
            <w:r w:rsidRPr="00764425">
              <w:rPr>
                <w:b/>
                <w:i/>
              </w:rPr>
              <w:lastRenderedPageBreak/>
              <w:t xml:space="preserve">Principle </w:t>
            </w:r>
          </w:p>
          <w:p w:rsidR="00764425" w:rsidRDefault="00764425" w:rsidP="0087082A">
            <w:pPr>
              <w:keepNext w:val="0"/>
            </w:pPr>
            <w:r>
              <w:t>The manufacturing and handling of radiopharmaceuticals is potentially hazardous. The types of radiation emitted and the half-lives of the radioactive isotopes are parameters contributing to the level of risk. Particular attention must be paid to the prevention of cross-contamination, to the retention of radionuclide contaminants, and to waste disposal. Special consideration may be necessary with reference to the small batch sizes made frequently for many radiopharmaceuticals. Due to their short half-</w:t>
            </w:r>
            <w:r>
              <w:lastRenderedPageBreak/>
              <w:t>life, some radiopharmaceuticals are released before completion of certain Quality Control tests. In this case, the continuous assessment of the effectiveness of the Quality Assurance system becomes very important.</w:t>
            </w:r>
          </w:p>
          <w:p w:rsidR="00764425" w:rsidRDefault="00764425" w:rsidP="0087082A">
            <w:pPr>
              <w:keepNext w:val="0"/>
            </w:pPr>
            <w:r>
              <w:t>Note:</w:t>
            </w:r>
            <w:r>
              <w:tab/>
              <w:t>The manufacture of radiopharmaceuticals must be undertaken in accordance with the Good Manufacturing Practice described in this guide and also in the supplementary guidelines such as those for sterile preparations where appropriate. Some points are nevertheless specific to the handling of radioactive products and are modified by or detailed in these supplementary guidelines. This manufacture must comply with the requirements of EURATOM Directives laying down the basic standards for the health protection of the general public and workers against the dangers of ionising radiation, as well as with other relevant national requirements.</w:t>
            </w:r>
          </w:p>
        </w:tc>
        <w:tc>
          <w:tcPr>
            <w:tcW w:w="1843" w:type="dxa"/>
          </w:tcPr>
          <w:p w:rsidR="00764425" w:rsidRDefault="00764425" w:rsidP="0087082A">
            <w:pPr>
              <w:keepNext w:val="0"/>
            </w:pPr>
            <w:r>
              <w:lastRenderedPageBreak/>
              <w:t>Rewrite;</w:t>
            </w:r>
          </w:p>
          <w:p w:rsidR="00764425" w:rsidRDefault="00764425" w:rsidP="0087082A">
            <w:pPr>
              <w:keepNext w:val="0"/>
            </w:pPr>
            <w:r>
              <w:t>Additional clarification of scope and confirmation that Parts I &amp; II of the PIC/S Guide may apply to radiopharmaceuticals.</w:t>
            </w:r>
          </w:p>
        </w:tc>
        <w:tc>
          <w:tcPr>
            <w:tcW w:w="1531" w:type="dxa"/>
          </w:tcPr>
          <w:p w:rsidR="00764425" w:rsidRDefault="00764425" w:rsidP="0087082A">
            <w:pPr>
              <w:keepNext w:val="0"/>
            </w:pPr>
            <w:r w:rsidRPr="00764425">
              <w:t>Nil</w:t>
            </w:r>
          </w:p>
        </w:tc>
      </w:tr>
      <w:tr w:rsidR="00764425" w:rsidTr="00103105">
        <w:trPr>
          <w:cantSplit w:val="0"/>
        </w:trPr>
        <w:tc>
          <w:tcPr>
            <w:tcW w:w="7054" w:type="dxa"/>
          </w:tcPr>
          <w:p w:rsidR="00764425" w:rsidRPr="00BF0830" w:rsidRDefault="00BF0830" w:rsidP="0087082A">
            <w:pPr>
              <w:keepNext w:val="0"/>
              <w:rPr>
                <w:color w:val="006664"/>
              </w:rPr>
            </w:pPr>
            <w:r>
              <w:rPr>
                <w:color w:val="006664"/>
              </w:rPr>
              <w:lastRenderedPageBreak/>
              <w:t>[</w:t>
            </w:r>
            <w:r w:rsidRPr="00BF0830">
              <w:rPr>
                <w:color w:val="006664"/>
              </w:rPr>
              <w:t xml:space="preserve">1. The manufacturing and handling of radiopharmaceuticals is potentially hazardous. The level of risk depends in particular upon the types of radiation, the energy of radiation and the half-lives of radioactive isotopes. Particular attention must be paid to the prevention of cross-contamination, to the retention of radionuclide contaminants, </w:t>
            </w:r>
            <w:r w:rsidRPr="00BF0830">
              <w:rPr>
                <w:color w:val="006664"/>
              </w:rPr>
              <w:lastRenderedPageBreak/>
              <w:t>and to waste disposal.</w:t>
            </w:r>
            <w:r>
              <w:rPr>
                <w:color w:val="006664"/>
              </w:rPr>
              <w:t>]</w:t>
            </w:r>
          </w:p>
        </w:tc>
        <w:tc>
          <w:tcPr>
            <w:tcW w:w="4678" w:type="dxa"/>
          </w:tcPr>
          <w:p w:rsidR="00BF0830" w:rsidRPr="00BF0830" w:rsidRDefault="00BF0830" w:rsidP="0087082A">
            <w:pPr>
              <w:keepNext w:val="0"/>
              <w:rPr>
                <w:i/>
              </w:rPr>
            </w:pPr>
            <w:r w:rsidRPr="00BF0830">
              <w:rPr>
                <w:i/>
              </w:rPr>
              <w:lastRenderedPageBreak/>
              <w:t>New clause in PE009-10 However, this is almost identical from the principle in PE009-8:</w:t>
            </w:r>
          </w:p>
          <w:p w:rsidR="00764425" w:rsidRPr="00764425" w:rsidRDefault="00BF0830" w:rsidP="0087082A">
            <w:pPr>
              <w:keepNext w:val="0"/>
            </w:pPr>
            <w:r w:rsidRPr="00BF0830">
              <w:t xml:space="preserve">PRINCIPLE “The manufacturing and handling of radiopharmaceuticals </w:t>
            </w:r>
            <w:proofErr w:type="gramStart"/>
            <w:r w:rsidRPr="00BF0830">
              <w:t xml:space="preserve">is potentially </w:t>
            </w:r>
            <w:r w:rsidRPr="00BF0830">
              <w:lastRenderedPageBreak/>
              <w:t>hazardous.</w:t>
            </w:r>
            <w:proofErr w:type="gramEnd"/>
            <w:r w:rsidRPr="00BF0830">
              <w:t xml:space="preserve"> The types of radiation emitted and the half-lives of the radioactive isotopes are parameters contributing to the level of risk. Particular attention must be paid to the prevention of cross-contamination, to the retention of radionuclide contaminants, and to waste disposal”</w:t>
            </w:r>
          </w:p>
        </w:tc>
        <w:tc>
          <w:tcPr>
            <w:tcW w:w="1843" w:type="dxa"/>
          </w:tcPr>
          <w:p w:rsidR="00764425" w:rsidRDefault="00BF0830" w:rsidP="0087082A">
            <w:pPr>
              <w:keepNext w:val="0"/>
            </w:pPr>
            <w:r w:rsidRPr="00BF0830">
              <w:lastRenderedPageBreak/>
              <w:t>None, the clause is a non-instructive statement.</w:t>
            </w:r>
          </w:p>
        </w:tc>
        <w:tc>
          <w:tcPr>
            <w:tcW w:w="1531" w:type="dxa"/>
          </w:tcPr>
          <w:p w:rsidR="00764425" w:rsidRPr="00764425" w:rsidRDefault="00BF0830" w:rsidP="0087082A">
            <w:pPr>
              <w:keepNext w:val="0"/>
            </w:pPr>
            <w:r w:rsidRPr="00BF0830">
              <w:t>Nil</w:t>
            </w:r>
          </w:p>
        </w:tc>
      </w:tr>
      <w:tr w:rsidR="00BF0830" w:rsidTr="00103105">
        <w:trPr>
          <w:cantSplit w:val="0"/>
        </w:trPr>
        <w:tc>
          <w:tcPr>
            <w:tcW w:w="7054" w:type="dxa"/>
          </w:tcPr>
          <w:p w:rsidR="00BF0830" w:rsidRPr="00103105" w:rsidRDefault="00BF0830" w:rsidP="0087082A">
            <w:pPr>
              <w:keepNext w:val="0"/>
              <w:rPr>
                <w:rFonts w:ascii="Arial" w:hAnsi="Arial" w:cs="Arial"/>
                <w:color w:val="006DA7"/>
              </w:rPr>
            </w:pPr>
            <w:r w:rsidRPr="00103105">
              <w:rPr>
                <w:rFonts w:ascii="Arial" w:hAnsi="Arial" w:cs="Arial"/>
                <w:color w:val="006DA7"/>
              </w:rPr>
              <w:lastRenderedPageBreak/>
              <w:t>2. Due to short shelf-life of their radionuclides, some radiopharmaceuticals may be released before completion of all quality control tests. In this case, the exact and detailed description of the whole release procedure including the responsibilities of the involved personnel and the continuous assessment of the effectiveness of the quality assurance system is essential.</w:t>
            </w:r>
          </w:p>
        </w:tc>
        <w:tc>
          <w:tcPr>
            <w:tcW w:w="4678" w:type="dxa"/>
          </w:tcPr>
          <w:p w:rsidR="00BF0830" w:rsidRPr="00BF0830" w:rsidRDefault="00BF0830" w:rsidP="0087082A">
            <w:pPr>
              <w:keepNext w:val="0"/>
              <w:rPr>
                <w:i/>
              </w:rPr>
            </w:pPr>
            <w:r w:rsidRPr="00BF0830">
              <w:rPr>
                <w:i/>
              </w:rPr>
              <w:t>New clause in PE009-10 However, this is almost identical wording from the principle in PE009-8. The term “shelf-life” has replaced “half-life”:</w:t>
            </w:r>
          </w:p>
          <w:p w:rsidR="00BF0830" w:rsidRPr="00BF0830" w:rsidRDefault="00BF0830" w:rsidP="0087082A">
            <w:pPr>
              <w:keepNext w:val="0"/>
            </w:pPr>
            <w:r w:rsidRPr="00BF0830">
              <w:t>PRINCIPLE “Due to their short half-life, some radiopharmaceuticals are released before completion of certain Quality Control tests. In this case, the continuous assessment of the effectiveness of the Quality Assurance system becomes very important.”</w:t>
            </w:r>
          </w:p>
        </w:tc>
        <w:tc>
          <w:tcPr>
            <w:tcW w:w="1843" w:type="dxa"/>
          </w:tcPr>
          <w:p w:rsidR="00BF0830" w:rsidRPr="00BF0830" w:rsidRDefault="00BF0830" w:rsidP="0087082A">
            <w:pPr>
              <w:keepNext w:val="0"/>
            </w:pPr>
            <w:r w:rsidRPr="00BF0830">
              <w:t>None, the clause is a non-instructive statement.</w:t>
            </w:r>
          </w:p>
        </w:tc>
        <w:tc>
          <w:tcPr>
            <w:tcW w:w="1531" w:type="dxa"/>
          </w:tcPr>
          <w:p w:rsidR="00BF0830" w:rsidRPr="00BF0830" w:rsidRDefault="00BF0830" w:rsidP="0087082A">
            <w:pPr>
              <w:keepNext w:val="0"/>
            </w:pPr>
            <w:r w:rsidRPr="00BF0830">
              <w:t>Nil</w:t>
            </w:r>
          </w:p>
        </w:tc>
      </w:tr>
      <w:tr w:rsidR="00BF0830" w:rsidTr="00103105">
        <w:trPr>
          <w:cantSplit w:val="0"/>
        </w:trPr>
        <w:tc>
          <w:tcPr>
            <w:tcW w:w="7054" w:type="dxa"/>
          </w:tcPr>
          <w:p w:rsidR="00103105" w:rsidRPr="00103105" w:rsidRDefault="00103105" w:rsidP="0087082A">
            <w:pPr>
              <w:keepNext w:val="0"/>
              <w:rPr>
                <w:rFonts w:ascii="Arial" w:hAnsi="Arial" w:cs="Arial"/>
                <w:color w:val="006DA7"/>
              </w:rPr>
            </w:pPr>
            <w:r w:rsidRPr="00103105">
              <w:rPr>
                <w:rFonts w:ascii="Arial" w:hAnsi="Arial" w:cs="Arial"/>
                <w:color w:val="006DA7"/>
              </w:rPr>
              <w:t>3. This guideline is applicable to manufacturing procedures employed by industrial manufacturers, Nuclear Centres/Institutes and PET Centres for the production and quality control of the following types of products:</w:t>
            </w:r>
          </w:p>
          <w:p w:rsidR="00103105" w:rsidRPr="00103105" w:rsidRDefault="00103105" w:rsidP="0087082A">
            <w:pPr>
              <w:pStyle w:val="ListBullet"/>
              <w:keepNext w:val="0"/>
              <w:rPr>
                <w:rFonts w:ascii="Arial" w:hAnsi="Arial" w:cs="Arial"/>
                <w:color w:val="006DA7"/>
              </w:rPr>
            </w:pPr>
            <w:r w:rsidRPr="00103105">
              <w:rPr>
                <w:rFonts w:ascii="Arial" w:hAnsi="Arial" w:cs="Arial"/>
                <w:color w:val="006DA7"/>
              </w:rPr>
              <w:t xml:space="preserve">Radiopharmaceuticals </w:t>
            </w:r>
          </w:p>
          <w:p w:rsidR="00103105" w:rsidRPr="00103105" w:rsidRDefault="00103105" w:rsidP="0087082A">
            <w:pPr>
              <w:pStyle w:val="ListBullet"/>
              <w:keepNext w:val="0"/>
              <w:rPr>
                <w:rFonts w:ascii="Arial" w:hAnsi="Arial" w:cs="Arial"/>
                <w:color w:val="006DA7"/>
              </w:rPr>
            </w:pPr>
            <w:r w:rsidRPr="00103105">
              <w:rPr>
                <w:rFonts w:ascii="Arial" w:hAnsi="Arial" w:cs="Arial"/>
                <w:color w:val="006DA7"/>
              </w:rPr>
              <w:t>Positron Emitting (PET) Radiopharmaceuticals</w:t>
            </w:r>
          </w:p>
          <w:p w:rsidR="00103105" w:rsidRPr="00103105" w:rsidRDefault="00103105" w:rsidP="0087082A">
            <w:pPr>
              <w:pStyle w:val="ListBullet"/>
              <w:keepNext w:val="0"/>
              <w:rPr>
                <w:rFonts w:ascii="Arial" w:hAnsi="Arial" w:cs="Arial"/>
                <w:color w:val="006DA7"/>
              </w:rPr>
            </w:pPr>
            <w:r w:rsidRPr="00103105">
              <w:rPr>
                <w:rFonts w:ascii="Arial" w:hAnsi="Arial" w:cs="Arial"/>
                <w:color w:val="006DA7"/>
              </w:rPr>
              <w:lastRenderedPageBreak/>
              <w:t>Radioactive Precursors for radiopharmaceutical production</w:t>
            </w:r>
          </w:p>
          <w:p w:rsidR="00103105" w:rsidRPr="00103105" w:rsidRDefault="00103105" w:rsidP="0087082A">
            <w:pPr>
              <w:pStyle w:val="ListBullet"/>
              <w:keepNext w:val="0"/>
              <w:rPr>
                <w:rFonts w:ascii="Arial" w:hAnsi="Arial" w:cs="Arial"/>
                <w:color w:val="006DA7"/>
              </w:rPr>
            </w:pPr>
            <w:r w:rsidRPr="00103105">
              <w:rPr>
                <w:rFonts w:ascii="Arial" w:hAnsi="Arial" w:cs="Arial"/>
                <w:color w:val="006DA7"/>
              </w:rPr>
              <w:t>Radionuclide Generators</w:t>
            </w:r>
          </w:p>
          <w:p w:rsidR="00103105" w:rsidRDefault="00103105" w:rsidP="0087082A">
            <w:pPr>
              <w:keepNext w:val="0"/>
              <w:rPr>
                <w:rFonts w:ascii="Arial" w:hAnsi="Arial" w:cs="Arial"/>
                <w:color w:val="006DA7"/>
              </w:rPr>
            </w:pPr>
            <w:r w:rsidRPr="00103105">
              <w:rPr>
                <w:rFonts w:ascii="Arial" w:hAnsi="Arial" w:cs="Arial"/>
                <w:noProof/>
                <w:color w:val="006DA7"/>
                <w:lang w:eastAsia="en-AU"/>
              </w:rPr>
              <w:drawing>
                <wp:inline distT="0" distB="0" distL="0" distR="0" wp14:anchorId="47C5E824" wp14:editId="0E6779E2">
                  <wp:extent cx="4337290" cy="888521"/>
                  <wp:effectExtent l="19050" t="0" r="6110" b="0"/>
                  <wp:docPr id="4" name="Picture 1" descr="graphic showing example table"/>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0" cstate="print"/>
                          <a:stretch>
                            <a:fillRect/>
                          </a:stretch>
                        </pic:blipFill>
                        <pic:spPr>
                          <a:xfrm>
                            <a:off x="0" y="0"/>
                            <a:ext cx="4356580" cy="892473"/>
                          </a:xfrm>
                          <a:prstGeom prst="rect">
                            <a:avLst/>
                          </a:prstGeom>
                        </pic:spPr>
                      </pic:pic>
                    </a:graphicData>
                  </a:graphic>
                </wp:inline>
              </w:drawing>
            </w:r>
          </w:p>
          <w:p w:rsidR="00BF0830" w:rsidRPr="00BF0830" w:rsidRDefault="00103105" w:rsidP="0087082A">
            <w:pPr>
              <w:keepNext w:val="0"/>
            </w:pPr>
            <w:r w:rsidRPr="00103105">
              <w:rPr>
                <w:rFonts w:ascii="Arial" w:hAnsi="Arial" w:cs="Arial"/>
                <w:color w:val="006DA7"/>
              </w:rPr>
              <w:t xml:space="preserve"> * Target and transfer system from cyclotron to synthesis rig may be considered as the first step of active substance manufacture.</w:t>
            </w:r>
          </w:p>
        </w:tc>
        <w:tc>
          <w:tcPr>
            <w:tcW w:w="4678" w:type="dxa"/>
          </w:tcPr>
          <w:p w:rsidR="00BF0830" w:rsidRPr="00BF0830" w:rsidRDefault="00103105" w:rsidP="0087082A">
            <w:pPr>
              <w:keepNext w:val="0"/>
              <w:rPr>
                <w:i/>
              </w:rPr>
            </w:pPr>
            <w:r w:rsidRPr="00103105">
              <w:rPr>
                <w:i/>
              </w:rPr>
              <w:lastRenderedPageBreak/>
              <w:t>New clause – no equivalent in PE009-8</w:t>
            </w:r>
          </w:p>
        </w:tc>
        <w:tc>
          <w:tcPr>
            <w:tcW w:w="1843" w:type="dxa"/>
          </w:tcPr>
          <w:p w:rsidR="00BF0830" w:rsidRPr="00BF0830" w:rsidRDefault="00103105" w:rsidP="0087082A">
            <w:pPr>
              <w:keepNext w:val="0"/>
            </w:pPr>
            <w:r w:rsidRPr="00103105">
              <w:t xml:space="preserve">Providing additional clarification on applicability of the GMP Guide to radiopharmaceutical manufacture. As </w:t>
            </w:r>
            <w:r w:rsidRPr="00103105">
              <w:lastRenderedPageBreak/>
              <w:t>TGA already applies Parts I &amp; II to radiopharmaceuticals, there is no perceived impact for industry.</w:t>
            </w:r>
          </w:p>
        </w:tc>
        <w:tc>
          <w:tcPr>
            <w:tcW w:w="1531" w:type="dxa"/>
          </w:tcPr>
          <w:p w:rsidR="00BF0830" w:rsidRPr="00BF0830" w:rsidRDefault="00103105" w:rsidP="0087082A">
            <w:pPr>
              <w:keepNext w:val="0"/>
            </w:pPr>
            <w:r w:rsidRPr="00103105">
              <w:lastRenderedPageBreak/>
              <w:t>Nil</w:t>
            </w:r>
          </w:p>
        </w:tc>
      </w:tr>
      <w:tr w:rsidR="00103105" w:rsidTr="00103105">
        <w:trPr>
          <w:cantSplit w:val="0"/>
        </w:trPr>
        <w:tc>
          <w:tcPr>
            <w:tcW w:w="7054" w:type="dxa"/>
          </w:tcPr>
          <w:p w:rsidR="00103105" w:rsidRPr="00103105" w:rsidRDefault="00300072" w:rsidP="0087082A">
            <w:pPr>
              <w:keepNext w:val="0"/>
              <w:rPr>
                <w:rFonts w:ascii="Arial" w:hAnsi="Arial" w:cs="Arial"/>
                <w:color w:val="006DA7"/>
              </w:rPr>
            </w:pPr>
            <w:r w:rsidRPr="00300072">
              <w:rPr>
                <w:rFonts w:ascii="Arial" w:hAnsi="Arial" w:cs="Arial"/>
                <w:color w:val="006DA7"/>
              </w:rPr>
              <w:lastRenderedPageBreak/>
              <w:t>4. The manufacturer of the final radiopharmaceutical should describe and justify the steps for manufacture of the active substance and the final medicinal product and which GMP (part I or II) applies for the specific process/manufacturing steps.</w:t>
            </w:r>
          </w:p>
        </w:tc>
        <w:tc>
          <w:tcPr>
            <w:tcW w:w="4678" w:type="dxa"/>
          </w:tcPr>
          <w:p w:rsidR="00103105" w:rsidRPr="00103105" w:rsidRDefault="00300072" w:rsidP="0087082A">
            <w:pPr>
              <w:keepNext w:val="0"/>
              <w:rPr>
                <w:i/>
              </w:rPr>
            </w:pPr>
            <w:r w:rsidRPr="00300072">
              <w:rPr>
                <w:i/>
              </w:rPr>
              <w:t>New clause – no equivalent in PE009-8</w:t>
            </w:r>
          </w:p>
        </w:tc>
        <w:tc>
          <w:tcPr>
            <w:tcW w:w="1843" w:type="dxa"/>
          </w:tcPr>
          <w:p w:rsidR="00103105" w:rsidRPr="00103105" w:rsidRDefault="00300072" w:rsidP="0087082A">
            <w:pPr>
              <w:keepNext w:val="0"/>
            </w:pPr>
            <w:r w:rsidRPr="00300072">
              <w:t>New requirement that would not present an issue, as manufacturers should have determined this, in order to implement their existing QMS.</w:t>
            </w:r>
          </w:p>
        </w:tc>
        <w:tc>
          <w:tcPr>
            <w:tcW w:w="1531" w:type="dxa"/>
          </w:tcPr>
          <w:p w:rsidR="00103105" w:rsidRPr="00103105" w:rsidRDefault="00300072" w:rsidP="0087082A">
            <w:pPr>
              <w:keepNext w:val="0"/>
            </w:pPr>
            <w:r w:rsidRPr="00300072">
              <w:t>Nil</w:t>
            </w:r>
          </w:p>
        </w:tc>
      </w:tr>
      <w:tr w:rsidR="00300072" w:rsidTr="00103105">
        <w:trPr>
          <w:cantSplit w:val="0"/>
        </w:trPr>
        <w:tc>
          <w:tcPr>
            <w:tcW w:w="7054" w:type="dxa"/>
          </w:tcPr>
          <w:p w:rsidR="00300072" w:rsidRPr="00300072" w:rsidRDefault="0092281A" w:rsidP="0087082A">
            <w:pPr>
              <w:keepNext w:val="0"/>
              <w:rPr>
                <w:rFonts w:ascii="Arial" w:hAnsi="Arial" w:cs="Arial"/>
                <w:color w:val="006DA7"/>
              </w:rPr>
            </w:pPr>
            <w:r w:rsidRPr="0092281A">
              <w:rPr>
                <w:rFonts w:ascii="Arial" w:hAnsi="Arial" w:cs="Arial"/>
                <w:color w:val="006DA7"/>
              </w:rPr>
              <w:t>5. Preparation of radiopharmaceuticals involves adherence to regulations on radiation protection.</w:t>
            </w:r>
          </w:p>
        </w:tc>
        <w:tc>
          <w:tcPr>
            <w:tcW w:w="4678" w:type="dxa"/>
          </w:tcPr>
          <w:p w:rsidR="0092281A" w:rsidRPr="0092281A" w:rsidRDefault="0092281A" w:rsidP="0087082A">
            <w:pPr>
              <w:keepNext w:val="0"/>
              <w:rPr>
                <w:i/>
              </w:rPr>
            </w:pPr>
            <w:r w:rsidRPr="0092281A">
              <w:rPr>
                <w:i/>
              </w:rPr>
              <w:t>New clause, but equivalent statement provided in Note in Principle of PE009-8:</w:t>
            </w:r>
          </w:p>
          <w:p w:rsidR="00300072" w:rsidRPr="00300072" w:rsidRDefault="0092281A" w:rsidP="0087082A">
            <w:pPr>
              <w:keepNext w:val="0"/>
            </w:pPr>
            <w:r w:rsidRPr="0092281A">
              <w:lastRenderedPageBreak/>
              <w:t>“This manufacture must comply with the requirements of EURATOM Directives laying down the basic standards for the health protection of the general public and workers against the dangers of ionising radiation, as well as with other relevant national requirements.”</w:t>
            </w:r>
          </w:p>
        </w:tc>
        <w:tc>
          <w:tcPr>
            <w:tcW w:w="1843" w:type="dxa"/>
          </w:tcPr>
          <w:p w:rsidR="00300072" w:rsidRPr="00300072" w:rsidRDefault="0092281A" w:rsidP="0087082A">
            <w:pPr>
              <w:keepNext w:val="0"/>
            </w:pPr>
            <w:r w:rsidRPr="0092281A">
              <w:lastRenderedPageBreak/>
              <w:t>None</w:t>
            </w:r>
          </w:p>
        </w:tc>
        <w:tc>
          <w:tcPr>
            <w:tcW w:w="1531" w:type="dxa"/>
          </w:tcPr>
          <w:p w:rsidR="00300072" w:rsidRPr="00300072" w:rsidRDefault="0092281A" w:rsidP="0087082A">
            <w:pPr>
              <w:keepNext w:val="0"/>
            </w:pPr>
            <w:r w:rsidRPr="0092281A">
              <w:t>Nil</w:t>
            </w:r>
          </w:p>
        </w:tc>
      </w:tr>
      <w:tr w:rsidR="0092281A" w:rsidTr="00103105">
        <w:trPr>
          <w:cantSplit w:val="0"/>
        </w:trPr>
        <w:tc>
          <w:tcPr>
            <w:tcW w:w="7054" w:type="dxa"/>
          </w:tcPr>
          <w:p w:rsidR="0092281A" w:rsidRPr="0092281A" w:rsidRDefault="0092281A" w:rsidP="0087082A">
            <w:pPr>
              <w:keepNext w:val="0"/>
              <w:rPr>
                <w:rFonts w:ascii="Arial" w:hAnsi="Arial" w:cs="Arial"/>
                <w:color w:val="006DA7"/>
              </w:rPr>
            </w:pPr>
            <w:r w:rsidRPr="0092281A">
              <w:rPr>
                <w:rFonts w:ascii="Arial" w:hAnsi="Arial" w:cs="Arial"/>
                <w:color w:val="006DA7"/>
              </w:rPr>
              <w:lastRenderedPageBreak/>
              <w:t xml:space="preserve">6. Radiopharmaceuticals to be administered </w:t>
            </w:r>
            <w:proofErr w:type="spellStart"/>
            <w:r w:rsidRPr="0092281A">
              <w:rPr>
                <w:rFonts w:ascii="Arial" w:hAnsi="Arial" w:cs="Arial"/>
                <w:color w:val="006DA7"/>
              </w:rPr>
              <w:t>parenterally</w:t>
            </w:r>
            <w:proofErr w:type="spellEnd"/>
            <w:r w:rsidRPr="0092281A">
              <w:rPr>
                <w:rFonts w:ascii="Arial" w:hAnsi="Arial" w:cs="Arial"/>
                <w:color w:val="006DA7"/>
              </w:rPr>
              <w:t xml:space="preserve"> should comply with sterility requirements for </w:t>
            </w:r>
            <w:proofErr w:type="spellStart"/>
            <w:r w:rsidRPr="0092281A">
              <w:rPr>
                <w:rFonts w:ascii="Arial" w:hAnsi="Arial" w:cs="Arial"/>
                <w:color w:val="006DA7"/>
              </w:rPr>
              <w:t>parenterals</w:t>
            </w:r>
            <w:proofErr w:type="spellEnd"/>
            <w:r w:rsidRPr="0092281A">
              <w:rPr>
                <w:rFonts w:ascii="Arial" w:hAnsi="Arial" w:cs="Arial"/>
                <w:color w:val="006DA7"/>
              </w:rPr>
              <w:t xml:space="preserve"> and, where relevant, aseptic working conditions for the manufacture of sterile medicinal products, which are covered in PIC/S GMP Guide, Annex 1.</w:t>
            </w:r>
          </w:p>
        </w:tc>
        <w:tc>
          <w:tcPr>
            <w:tcW w:w="4678" w:type="dxa"/>
          </w:tcPr>
          <w:p w:rsidR="0092281A" w:rsidRPr="0092281A" w:rsidRDefault="0092281A" w:rsidP="0087082A">
            <w:pPr>
              <w:keepNext w:val="0"/>
              <w:rPr>
                <w:i/>
              </w:rPr>
            </w:pPr>
            <w:r w:rsidRPr="0092281A">
              <w:rPr>
                <w:i/>
              </w:rPr>
              <w:t>New clause, but equivalent statement provided in Note in Principle of PE009-8:</w:t>
            </w:r>
          </w:p>
          <w:p w:rsidR="0092281A" w:rsidRPr="0092281A" w:rsidRDefault="0092281A" w:rsidP="0087082A">
            <w:pPr>
              <w:keepNext w:val="0"/>
            </w:pPr>
            <w:r w:rsidRPr="0092281A">
              <w:t>“Note: The manufacture of radiopharmaceuticals must be undertaken in accordance with the Good Manufacturing Practice described in this guide and also in the supplementary guidelines such as those for sterile preparations where appropriate.”</w:t>
            </w:r>
          </w:p>
        </w:tc>
        <w:tc>
          <w:tcPr>
            <w:tcW w:w="1843" w:type="dxa"/>
          </w:tcPr>
          <w:p w:rsidR="0092281A" w:rsidRPr="0092281A" w:rsidRDefault="0092281A" w:rsidP="0087082A">
            <w:pPr>
              <w:keepNext w:val="0"/>
            </w:pPr>
            <w:r w:rsidRPr="0092281A">
              <w:t>Clarification of requirements, no change to interpretation.</w:t>
            </w:r>
          </w:p>
        </w:tc>
        <w:tc>
          <w:tcPr>
            <w:tcW w:w="1531" w:type="dxa"/>
          </w:tcPr>
          <w:p w:rsidR="0092281A" w:rsidRPr="0092281A" w:rsidRDefault="0092281A" w:rsidP="0087082A">
            <w:pPr>
              <w:keepNext w:val="0"/>
            </w:pPr>
            <w:r w:rsidRPr="0092281A">
              <w:t>Nil</w:t>
            </w:r>
          </w:p>
        </w:tc>
      </w:tr>
      <w:tr w:rsidR="0092281A" w:rsidTr="00103105">
        <w:trPr>
          <w:cantSplit w:val="0"/>
        </w:trPr>
        <w:tc>
          <w:tcPr>
            <w:tcW w:w="7054" w:type="dxa"/>
          </w:tcPr>
          <w:p w:rsidR="0092281A" w:rsidRPr="0092281A" w:rsidRDefault="0092281A" w:rsidP="0087082A">
            <w:pPr>
              <w:keepNext w:val="0"/>
              <w:rPr>
                <w:rFonts w:ascii="Arial" w:hAnsi="Arial" w:cs="Arial"/>
                <w:color w:val="006DA7"/>
              </w:rPr>
            </w:pPr>
            <w:r w:rsidRPr="0092281A">
              <w:rPr>
                <w:rFonts w:ascii="Arial" w:hAnsi="Arial" w:cs="Arial"/>
                <w:color w:val="006DA7"/>
              </w:rPr>
              <w:t>7. Specifications and quality control testing procedures for the most commonly used radiopharmaceuticals are specified in the European (or other relevant) Pharmacopoeia or in the marketing authorisation.</w:t>
            </w:r>
          </w:p>
        </w:tc>
        <w:tc>
          <w:tcPr>
            <w:tcW w:w="4678" w:type="dxa"/>
          </w:tcPr>
          <w:p w:rsidR="0092281A" w:rsidRPr="0092281A" w:rsidRDefault="0092281A" w:rsidP="0087082A">
            <w:pPr>
              <w:keepNext w:val="0"/>
              <w:rPr>
                <w:i/>
              </w:rPr>
            </w:pPr>
            <w:r w:rsidRPr="0092281A">
              <w:rPr>
                <w:i/>
              </w:rPr>
              <w:t>New clause – no equivalent in PE009-8</w:t>
            </w:r>
          </w:p>
        </w:tc>
        <w:tc>
          <w:tcPr>
            <w:tcW w:w="1843" w:type="dxa"/>
          </w:tcPr>
          <w:p w:rsidR="0092281A" w:rsidRPr="0092281A" w:rsidRDefault="0092281A" w:rsidP="0087082A">
            <w:pPr>
              <w:keepNext w:val="0"/>
            </w:pPr>
            <w:r w:rsidRPr="0092281A">
              <w:t>None, the clause is a non-instructive statement.</w:t>
            </w:r>
          </w:p>
        </w:tc>
        <w:tc>
          <w:tcPr>
            <w:tcW w:w="1531" w:type="dxa"/>
          </w:tcPr>
          <w:p w:rsidR="0092281A" w:rsidRPr="0092281A" w:rsidRDefault="0092281A" w:rsidP="0087082A">
            <w:pPr>
              <w:keepNext w:val="0"/>
            </w:pPr>
            <w:r w:rsidRPr="0092281A">
              <w:t>Nil</w:t>
            </w:r>
          </w:p>
        </w:tc>
      </w:tr>
      <w:tr w:rsidR="0092281A" w:rsidTr="00103105">
        <w:trPr>
          <w:cantSplit w:val="0"/>
        </w:trPr>
        <w:tc>
          <w:tcPr>
            <w:tcW w:w="7054" w:type="dxa"/>
          </w:tcPr>
          <w:p w:rsidR="00C40CC0" w:rsidRPr="00C40CC0" w:rsidRDefault="00C40CC0" w:rsidP="0087082A">
            <w:pPr>
              <w:keepNext w:val="0"/>
              <w:rPr>
                <w:rFonts w:ascii="Arial" w:hAnsi="Arial" w:cs="Arial"/>
                <w:color w:val="006DA7"/>
              </w:rPr>
            </w:pPr>
            <w:r w:rsidRPr="00C40CC0">
              <w:rPr>
                <w:rFonts w:ascii="Arial" w:hAnsi="Arial" w:cs="Arial"/>
                <w:color w:val="006DA7"/>
              </w:rPr>
              <w:t>Clinical Trials</w:t>
            </w:r>
          </w:p>
          <w:p w:rsidR="0092281A" w:rsidRPr="0092281A" w:rsidRDefault="00C40CC0" w:rsidP="0087082A">
            <w:pPr>
              <w:keepNext w:val="0"/>
              <w:rPr>
                <w:rFonts w:ascii="Arial" w:hAnsi="Arial" w:cs="Arial"/>
                <w:color w:val="006DA7"/>
              </w:rPr>
            </w:pPr>
            <w:r w:rsidRPr="00C40CC0">
              <w:rPr>
                <w:rFonts w:ascii="Arial" w:hAnsi="Arial" w:cs="Arial"/>
                <w:color w:val="006DA7"/>
              </w:rPr>
              <w:t xml:space="preserve">8. Radiopharmaceuticals intended for use in clinical trials as investigational medicinal products should in addition be produced in </w:t>
            </w:r>
            <w:r w:rsidRPr="00C40CC0">
              <w:rPr>
                <w:rFonts w:ascii="Arial" w:hAnsi="Arial" w:cs="Arial"/>
                <w:color w:val="006DA7"/>
              </w:rPr>
              <w:lastRenderedPageBreak/>
              <w:t>accordance with the principles in PIC/S GMP Guide, Annex 13.</w:t>
            </w:r>
          </w:p>
        </w:tc>
        <w:tc>
          <w:tcPr>
            <w:tcW w:w="4678" w:type="dxa"/>
          </w:tcPr>
          <w:p w:rsidR="0092281A" w:rsidRPr="0092281A" w:rsidRDefault="00C40CC0" w:rsidP="0087082A">
            <w:pPr>
              <w:keepNext w:val="0"/>
              <w:rPr>
                <w:i/>
              </w:rPr>
            </w:pPr>
            <w:r w:rsidRPr="00C40CC0">
              <w:rPr>
                <w:i/>
              </w:rPr>
              <w:lastRenderedPageBreak/>
              <w:t>New clause – no equivalent in PE009-8</w:t>
            </w:r>
          </w:p>
        </w:tc>
        <w:tc>
          <w:tcPr>
            <w:tcW w:w="1843" w:type="dxa"/>
          </w:tcPr>
          <w:p w:rsidR="0092281A" w:rsidRPr="0092281A" w:rsidRDefault="00C40CC0" w:rsidP="0087082A">
            <w:pPr>
              <w:keepNext w:val="0"/>
            </w:pPr>
            <w:r w:rsidRPr="00C40CC0">
              <w:t xml:space="preserve">None, this clause clarifies an existing requirement. </w:t>
            </w:r>
            <w:r w:rsidRPr="00C40CC0">
              <w:lastRenderedPageBreak/>
              <w:t>IMPs are already required to be produced in accordance with Annex13.</w:t>
            </w:r>
          </w:p>
        </w:tc>
        <w:tc>
          <w:tcPr>
            <w:tcW w:w="1531" w:type="dxa"/>
          </w:tcPr>
          <w:p w:rsidR="0092281A" w:rsidRPr="0092281A" w:rsidRDefault="00C40CC0" w:rsidP="0087082A">
            <w:pPr>
              <w:keepNext w:val="0"/>
            </w:pPr>
            <w:r w:rsidRPr="00C40CC0">
              <w:lastRenderedPageBreak/>
              <w:t>Nil</w:t>
            </w:r>
          </w:p>
        </w:tc>
      </w:tr>
      <w:tr w:rsidR="00C40CC0" w:rsidTr="00103105">
        <w:trPr>
          <w:cantSplit w:val="0"/>
        </w:trPr>
        <w:tc>
          <w:tcPr>
            <w:tcW w:w="7054" w:type="dxa"/>
          </w:tcPr>
          <w:p w:rsidR="00C40CC0" w:rsidRPr="00C40CC0" w:rsidRDefault="00C40CC0" w:rsidP="0087082A">
            <w:pPr>
              <w:keepNext w:val="0"/>
              <w:rPr>
                <w:rFonts w:ascii="Arial" w:hAnsi="Arial" w:cs="Arial"/>
                <w:color w:val="006DA7"/>
              </w:rPr>
            </w:pPr>
            <w:r w:rsidRPr="00C40CC0">
              <w:rPr>
                <w:rFonts w:ascii="Arial" w:hAnsi="Arial" w:cs="Arial"/>
                <w:color w:val="006DA7"/>
              </w:rPr>
              <w:lastRenderedPageBreak/>
              <w:t>9. Quality assurance is of even greater importance in the manufacture of radiopharmaceuticals because of their particular characteristics, low volumes and in some circumstances the need to administer the product before testing is complete.</w:t>
            </w:r>
          </w:p>
        </w:tc>
        <w:tc>
          <w:tcPr>
            <w:tcW w:w="4678" w:type="dxa"/>
          </w:tcPr>
          <w:p w:rsidR="00C40CC0" w:rsidRPr="00C40CC0" w:rsidRDefault="00C40CC0" w:rsidP="0087082A">
            <w:pPr>
              <w:keepNext w:val="0"/>
              <w:rPr>
                <w:i/>
              </w:rPr>
            </w:pPr>
            <w:r w:rsidRPr="00C40CC0">
              <w:rPr>
                <w:i/>
              </w:rPr>
              <w:t>New clause, but equivalent statement provided in Principle of PE009-8:</w:t>
            </w:r>
          </w:p>
          <w:p w:rsidR="00C40CC0" w:rsidRPr="00C40CC0" w:rsidRDefault="00C40CC0" w:rsidP="0087082A">
            <w:pPr>
              <w:keepNext w:val="0"/>
            </w:pPr>
            <w:r w:rsidRPr="00C40CC0">
              <w:t>“Special consideration may be necessary with reference to the small batch sizes made frequently for many radiopharmaceuticals. Due to their short half-life, some radiopharmaceuticals are released before completion of certain Quality Control tests. In this case, the continuous assessment of the effectiveness of the Quality Assurance system becomes very important.”</w:t>
            </w:r>
          </w:p>
        </w:tc>
        <w:tc>
          <w:tcPr>
            <w:tcW w:w="1843" w:type="dxa"/>
          </w:tcPr>
          <w:p w:rsidR="00C40CC0" w:rsidRPr="00C40CC0" w:rsidRDefault="00C40CC0" w:rsidP="0087082A">
            <w:pPr>
              <w:keepNext w:val="0"/>
            </w:pPr>
            <w:r w:rsidRPr="00C40CC0">
              <w:t>None</w:t>
            </w:r>
          </w:p>
        </w:tc>
        <w:tc>
          <w:tcPr>
            <w:tcW w:w="1531" w:type="dxa"/>
          </w:tcPr>
          <w:p w:rsidR="00C40CC0" w:rsidRPr="00C40CC0" w:rsidRDefault="00C40CC0" w:rsidP="0087082A">
            <w:pPr>
              <w:keepNext w:val="0"/>
            </w:pPr>
            <w:r w:rsidRPr="00C40CC0">
              <w:t>Nil</w:t>
            </w:r>
          </w:p>
        </w:tc>
      </w:tr>
      <w:tr w:rsidR="00C40CC0" w:rsidTr="00103105">
        <w:trPr>
          <w:cantSplit w:val="0"/>
        </w:trPr>
        <w:tc>
          <w:tcPr>
            <w:tcW w:w="7054" w:type="dxa"/>
          </w:tcPr>
          <w:p w:rsidR="00C40CC0" w:rsidRPr="00C40CC0" w:rsidRDefault="000564EC" w:rsidP="0087082A">
            <w:pPr>
              <w:keepNext w:val="0"/>
              <w:rPr>
                <w:rFonts w:ascii="Arial" w:hAnsi="Arial" w:cs="Arial"/>
                <w:color w:val="006DA7"/>
              </w:rPr>
            </w:pPr>
            <w:r w:rsidRPr="000564EC">
              <w:rPr>
                <w:rFonts w:ascii="Arial" w:hAnsi="Arial" w:cs="Arial"/>
                <w:color w:val="006DA7"/>
              </w:rPr>
              <w:t>10. As with all pharmaceuticals, the products must be well protected against contamination and cross-contamination. However, the environment and the operators must also be protected against radiation. This means that the role of an effective quality assurance system is of the utmost importance.</w:t>
            </w:r>
          </w:p>
        </w:tc>
        <w:tc>
          <w:tcPr>
            <w:tcW w:w="4678" w:type="dxa"/>
          </w:tcPr>
          <w:p w:rsidR="000564EC" w:rsidRPr="000564EC" w:rsidRDefault="000564EC" w:rsidP="0087082A">
            <w:pPr>
              <w:keepNext w:val="0"/>
              <w:rPr>
                <w:i/>
              </w:rPr>
            </w:pPr>
            <w:r w:rsidRPr="000564EC">
              <w:rPr>
                <w:i/>
              </w:rPr>
              <w:t>New clause, but equivalent statement provided in PE009-8:</w:t>
            </w:r>
          </w:p>
          <w:p w:rsidR="000564EC" w:rsidRPr="000564EC" w:rsidRDefault="000564EC" w:rsidP="0087082A">
            <w:pPr>
              <w:keepNext w:val="0"/>
              <w:rPr>
                <w:i/>
              </w:rPr>
            </w:pPr>
            <w:r w:rsidRPr="000564EC">
              <w:rPr>
                <w:i/>
              </w:rPr>
              <w:t xml:space="preserve">Cross contamination is dealt under clauses 5.18 – 5.19. </w:t>
            </w:r>
          </w:p>
          <w:p w:rsidR="00C40CC0" w:rsidRPr="00C40CC0" w:rsidRDefault="000564EC" w:rsidP="0087082A">
            <w:pPr>
              <w:keepNext w:val="0"/>
              <w:rPr>
                <w:i/>
              </w:rPr>
            </w:pPr>
            <w:r w:rsidRPr="000564EC">
              <w:rPr>
                <w:i/>
              </w:rPr>
              <w:t xml:space="preserve">Protection of operators from radiation is mentioned in the Principle of PE009-8 Annex 13 </w:t>
            </w:r>
            <w:r w:rsidRPr="000564EC">
              <w:rPr>
                <w:i/>
              </w:rPr>
              <w:lastRenderedPageBreak/>
              <w:t>and Clause 1.</w:t>
            </w:r>
          </w:p>
        </w:tc>
        <w:tc>
          <w:tcPr>
            <w:tcW w:w="1843" w:type="dxa"/>
          </w:tcPr>
          <w:p w:rsidR="00C40CC0" w:rsidRPr="00C40CC0" w:rsidRDefault="000564EC" w:rsidP="0087082A">
            <w:pPr>
              <w:keepNext w:val="0"/>
            </w:pPr>
            <w:r w:rsidRPr="000564EC">
              <w:lastRenderedPageBreak/>
              <w:t>None</w:t>
            </w:r>
          </w:p>
        </w:tc>
        <w:tc>
          <w:tcPr>
            <w:tcW w:w="1531" w:type="dxa"/>
          </w:tcPr>
          <w:p w:rsidR="00C40CC0" w:rsidRPr="00C40CC0" w:rsidRDefault="000564EC" w:rsidP="0087082A">
            <w:pPr>
              <w:keepNext w:val="0"/>
            </w:pPr>
            <w:r w:rsidRPr="000564EC">
              <w:t>Nil</w:t>
            </w:r>
          </w:p>
        </w:tc>
      </w:tr>
      <w:tr w:rsidR="000564EC" w:rsidTr="00103105">
        <w:trPr>
          <w:cantSplit w:val="0"/>
        </w:trPr>
        <w:tc>
          <w:tcPr>
            <w:tcW w:w="7054" w:type="dxa"/>
          </w:tcPr>
          <w:p w:rsidR="000564EC" w:rsidRPr="000564EC" w:rsidRDefault="000564EC" w:rsidP="0087082A">
            <w:pPr>
              <w:keepNext w:val="0"/>
              <w:rPr>
                <w:rFonts w:ascii="Arial" w:hAnsi="Arial" w:cs="Arial"/>
                <w:color w:val="006DA7"/>
              </w:rPr>
            </w:pPr>
            <w:r w:rsidRPr="000564EC">
              <w:rPr>
                <w:rFonts w:ascii="Arial" w:hAnsi="Arial" w:cs="Arial"/>
                <w:color w:val="006DA7"/>
              </w:rPr>
              <w:lastRenderedPageBreak/>
              <w:t>11. It is important that the data generated by the monitoring of premises and processes are rigorously recorded and evaluated as part of the release process.</w:t>
            </w:r>
          </w:p>
        </w:tc>
        <w:tc>
          <w:tcPr>
            <w:tcW w:w="4678" w:type="dxa"/>
          </w:tcPr>
          <w:p w:rsidR="000564EC" w:rsidRPr="000564EC" w:rsidRDefault="000564EC" w:rsidP="0087082A">
            <w:pPr>
              <w:keepNext w:val="0"/>
              <w:rPr>
                <w:i/>
              </w:rPr>
            </w:pPr>
            <w:r w:rsidRPr="000564EC">
              <w:rPr>
                <w:i/>
              </w:rPr>
              <w:t>New clause, but equivalent statement provided in Annex 3 clause 7 PE009-8:</w:t>
            </w:r>
          </w:p>
          <w:p w:rsidR="000564EC" w:rsidRPr="000564EC" w:rsidRDefault="000564EC" w:rsidP="0087082A">
            <w:pPr>
              <w:keepNext w:val="0"/>
            </w:pPr>
            <w:r w:rsidRPr="000564EC">
              <w:t xml:space="preserve">“Process validation, in-process controls and monitoring of process parameters and environment assume particular importance in cases where it is necessary to take the decision to release or reject a batch or </w:t>
            </w:r>
            <w:proofErr w:type="gramStart"/>
            <w:r w:rsidRPr="000564EC">
              <w:t>a product before all tests are</w:t>
            </w:r>
            <w:proofErr w:type="gramEnd"/>
            <w:r w:rsidRPr="000564EC">
              <w:t xml:space="preserve"> completed.”</w:t>
            </w:r>
          </w:p>
        </w:tc>
        <w:tc>
          <w:tcPr>
            <w:tcW w:w="1843" w:type="dxa"/>
          </w:tcPr>
          <w:p w:rsidR="000564EC" w:rsidRPr="000564EC" w:rsidRDefault="000564EC" w:rsidP="0087082A">
            <w:pPr>
              <w:keepNext w:val="0"/>
            </w:pPr>
            <w:r w:rsidRPr="000564EC">
              <w:t>More prescriptive clarification that IPQC data should be considered during batch release.</w:t>
            </w:r>
          </w:p>
        </w:tc>
        <w:tc>
          <w:tcPr>
            <w:tcW w:w="1531" w:type="dxa"/>
          </w:tcPr>
          <w:p w:rsidR="000564EC" w:rsidRPr="000564EC" w:rsidRDefault="000564EC" w:rsidP="0087082A">
            <w:pPr>
              <w:keepNext w:val="0"/>
            </w:pPr>
            <w:r w:rsidRPr="000564EC">
              <w:t>Nil</w:t>
            </w:r>
          </w:p>
        </w:tc>
      </w:tr>
      <w:tr w:rsidR="000564EC" w:rsidTr="00103105">
        <w:trPr>
          <w:cantSplit w:val="0"/>
        </w:trPr>
        <w:tc>
          <w:tcPr>
            <w:tcW w:w="7054" w:type="dxa"/>
          </w:tcPr>
          <w:p w:rsidR="000564EC" w:rsidRPr="000564EC" w:rsidRDefault="00EE6F39" w:rsidP="0087082A">
            <w:pPr>
              <w:keepNext w:val="0"/>
              <w:rPr>
                <w:rFonts w:ascii="Arial" w:hAnsi="Arial" w:cs="Arial"/>
                <w:color w:val="006DA7"/>
              </w:rPr>
            </w:pPr>
            <w:r w:rsidRPr="00EE6F39">
              <w:rPr>
                <w:rFonts w:ascii="Arial" w:hAnsi="Arial" w:cs="Arial"/>
                <w:color w:val="006DA7"/>
              </w:rPr>
              <w:t>12. The principles of qualification and validation should be applied to the manufacturing of radiopharmaceuticals and a risk management approach should be used to determine the extent of qualification/validation, focusing on a combination of Good Manufacturing Practice and Radiation Protection.</w:t>
            </w:r>
          </w:p>
        </w:tc>
        <w:tc>
          <w:tcPr>
            <w:tcW w:w="4678" w:type="dxa"/>
          </w:tcPr>
          <w:p w:rsidR="000564EC" w:rsidRPr="000564EC" w:rsidRDefault="00EE6F39" w:rsidP="0087082A">
            <w:pPr>
              <w:keepNext w:val="0"/>
              <w:rPr>
                <w:i/>
              </w:rPr>
            </w:pPr>
            <w:r w:rsidRPr="00EE6F39">
              <w:rPr>
                <w:i/>
              </w:rPr>
              <w:t>New clause, but comments are identical in intent to those in PE009-8 Annex 15.</w:t>
            </w:r>
          </w:p>
        </w:tc>
        <w:tc>
          <w:tcPr>
            <w:tcW w:w="1843" w:type="dxa"/>
          </w:tcPr>
          <w:p w:rsidR="000564EC" w:rsidRPr="000564EC" w:rsidRDefault="00EE6F39" w:rsidP="0087082A">
            <w:pPr>
              <w:keepNext w:val="0"/>
            </w:pPr>
            <w:r w:rsidRPr="00EE6F39">
              <w:t>None</w:t>
            </w:r>
          </w:p>
        </w:tc>
        <w:tc>
          <w:tcPr>
            <w:tcW w:w="1531" w:type="dxa"/>
          </w:tcPr>
          <w:p w:rsidR="000564EC" w:rsidRPr="000564EC" w:rsidRDefault="00EE6F39" w:rsidP="0087082A">
            <w:pPr>
              <w:keepNext w:val="0"/>
            </w:pPr>
            <w:r w:rsidRPr="00EE6F39">
              <w:t>Nil</w:t>
            </w:r>
          </w:p>
        </w:tc>
      </w:tr>
      <w:tr w:rsidR="00EE6F39" w:rsidTr="00103105">
        <w:trPr>
          <w:cantSplit w:val="0"/>
        </w:trPr>
        <w:tc>
          <w:tcPr>
            <w:tcW w:w="7054" w:type="dxa"/>
          </w:tcPr>
          <w:p w:rsidR="00EE6F39" w:rsidRPr="00EE6F39" w:rsidRDefault="005271D5" w:rsidP="0087082A">
            <w:pPr>
              <w:keepNext w:val="0"/>
              <w:rPr>
                <w:rFonts w:ascii="Arial" w:hAnsi="Arial" w:cs="Arial"/>
                <w:color w:val="006DA7"/>
              </w:rPr>
            </w:pPr>
            <w:r w:rsidRPr="005271D5">
              <w:rPr>
                <w:rFonts w:ascii="Arial" w:hAnsi="Arial" w:cs="Arial"/>
                <w:color w:val="006DA7"/>
              </w:rPr>
              <w:t>13. All manufacturing operations should be carried out under the responsibility of personnel with additional competence in radiation protection. Personnel involved in production, analytical control and release of radiopharmaceuticals should be appropriately trained in radiopharmaceutical specific aspects of the quality management system. The Authorised Person should have the overall responsibility for release of the products.</w:t>
            </w:r>
          </w:p>
        </w:tc>
        <w:tc>
          <w:tcPr>
            <w:tcW w:w="4678" w:type="dxa"/>
          </w:tcPr>
          <w:p w:rsidR="005271D5" w:rsidRPr="005271D5" w:rsidRDefault="005271D5" w:rsidP="0087082A">
            <w:pPr>
              <w:keepNext w:val="0"/>
              <w:rPr>
                <w:i/>
              </w:rPr>
            </w:pPr>
            <w:r w:rsidRPr="005271D5">
              <w:rPr>
                <w:i/>
              </w:rPr>
              <w:t>New clause, but comments are identical in intent to those in PE009-8 Chapter 2 and Annex 3 clause 1:</w:t>
            </w:r>
          </w:p>
          <w:p w:rsidR="00EE6F39" w:rsidRPr="00EE6F39" w:rsidRDefault="005271D5" w:rsidP="0087082A">
            <w:pPr>
              <w:keepNext w:val="0"/>
            </w:pPr>
            <w:r w:rsidRPr="005271D5">
              <w:t xml:space="preserve">“All personnel (including those concerned with cleaning and maintenance) employed in areas where radioactive products are manufactured should receive additional training adapted to this class of products. In particular, the </w:t>
            </w:r>
            <w:r w:rsidRPr="005271D5">
              <w:lastRenderedPageBreak/>
              <w:t>personnel should be given detailed information and appropriate training on radiation protection.”</w:t>
            </w:r>
          </w:p>
        </w:tc>
        <w:tc>
          <w:tcPr>
            <w:tcW w:w="1843" w:type="dxa"/>
          </w:tcPr>
          <w:p w:rsidR="00EE6F39" w:rsidRPr="00EE6F39" w:rsidRDefault="005271D5" w:rsidP="0087082A">
            <w:pPr>
              <w:keepNext w:val="0"/>
            </w:pPr>
            <w:r w:rsidRPr="005271D5">
              <w:lastRenderedPageBreak/>
              <w:t>None, clarification.</w:t>
            </w:r>
          </w:p>
        </w:tc>
        <w:tc>
          <w:tcPr>
            <w:tcW w:w="1531" w:type="dxa"/>
          </w:tcPr>
          <w:p w:rsidR="00EE6F39" w:rsidRPr="00EE6F39" w:rsidRDefault="005271D5" w:rsidP="0087082A">
            <w:pPr>
              <w:keepNext w:val="0"/>
            </w:pPr>
            <w:r w:rsidRPr="005271D5">
              <w:t>Nil</w:t>
            </w:r>
          </w:p>
        </w:tc>
      </w:tr>
      <w:tr w:rsidR="006B67AC" w:rsidTr="00103105">
        <w:trPr>
          <w:cantSplit w:val="0"/>
        </w:trPr>
        <w:tc>
          <w:tcPr>
            <w:tcW w:w="7054" w:type="dxa"/>
          </w:tcPr>
          <w:p w:rsidR="006B67AC" w:rsidRPr="005271D5" w:rsidRDefault="006B67AC" w:rsidP="0087082A">
            <w:pPr>
              <w:keepNext w:val="0"/>
              <w:rPr>
                <w:rFonts w:ascii="Arial" w:hAnsi="Arial" w:cs="Arial"/>
                <w:color w:val="006DA7"/>
              </w:rPr>
            </w:pPr>
            <w:r w:rsidRPr="006B67AC">
              <w:rPr>
                <w:rFonts w:ascii="Arial" w:hAnsi="Arial" w:cs="Arial"/>
                <w:color w:val="006DA7"/>
              </w:rPr>
              <w:lastRenderedPageBreak/>
              <w:t>14. All personnel (including those concerned with cleaning and maintenance) employed in areas where radioactive products are manufactured should receive additional training adapted to this class of products.</w:t>
            </w:r>
          </w:p>
        </w:tc>
        <w:tc>
          <w:tcPr>
            <w:tcW w:w="4678" w:type="dxa"/>
          </w:tcPr>
          <w:p w:rsidR="006B67AC" w:rsidRPr="005271D5" w:rsidRDefault="006B67AC" w:rsidP="0087082A">
            <w:pPr>
              <w:keepNext w:val="0"/>
              <w:rPr>
                <w:i/>
              </w:rPr>
            </w:pPr>
            <w:r w:rsidRPr="006B67AC">
              <w:rPr>
                <w:i/>
              </w:rPr>
              <w:t>New clause, but comments are identical in intent to those in PE009-8 Chapter 2 clause 2.8.</w:t>
            </w:r>
          </w:p>
        </w:tc>
        <w:tc>
          <w:tcPr>
            <w:tcW w:w="1843" w:type="dxa"/>
          </w:tcPr>
          <w:p w:rsidR="006B67AC" w:rsidRPr="005271D5" w:rsidRDefault="006B67AC" w:rsidP="0087082A">
            <w:pPr>
              <w:keepNext w:val="0"/>
            </w:pPr>
            <w:r w:rsidRPr="006B67AC">
              <w:t>None</w:t>
            </w:r>
          </w:p>
        </w:tc>
        <w:tc>
          <w:tcPr>
            <w:tcW w:w="1531" w:type="dxa"/>
          </w:tcPr>
          <w:p w:rsidR="006B67AC" w:rsidRPr="005271D5" w:rsidRDefault="006B67AC" w:rsidP="0087082A">
            <w:pPr>
              <w:keepNext w:val="0"/>
            </w:pPr>
            <w:r w:rsidRPr="006B67AC">
              <w:t>Nil</w:t>
            </w:r>
          </w:p>
        </w:tc>
      </w:tr>
      <w:tr w:rsidR="006B67AC" w:rsidTr="00103105">
        <w:trPr>
          <w:cantSplit w:val="0"/>
        </w:trPr>
        <w:tc>
          <w:tcPr>
            <w:tcW w:w="7054" w:type="dxa"/>
          </w:tcPr>
          <w:p w:rsidR="006B67AC" w:rsidRPr="006B67AC" w:rsidRDefault="006B67AC" w:rsidP="0087082A">
            <w:pPr>
              <w:keepNext w:val="0"/>
              <w:rPr>
                <w:rFonts w:ascii="Arial" w:hAnsi="Arial" w:cs="Arial"/>
                <w:color w:val="006DA7"/>
              </w:rPr>
            </w:pPr>
            <w:r w:rsidRPr="006B67AC">
              <w:rPr>
                <w:rFonts w:ascii="Arial" w:hAnsi="Arial" w:cs="Arial"/>
                <w:color w:val="006DA7"/>
              </w:rPr>
              <w:t>15. Where production facilities are shared with research institutions, the research personnel must be adequately trained in GMP regulations and the QA function must review and approve the research activities to ensure that they do not pose any hazard to the manufacturing of radiopharmaceuticals.</w:t>
            </w:r>
          </w:p>
        </w:tc>
        <w:tc>
          <w:tcPr>
            <w:tcW w:w="4678" w:type="dxa"/>
          </w:tcPr>
          <w:p w:rsidR="006B67AC" w:rsidRPr="006B67AC" w:rsidRDefault="006B67AC" w:rsidP="0087082A">
            <w:pPr>
              <w:keepNext w:val="0"/>
              <w:rPr>
                <w:i/>
              </w:rPr>
            </w:pPr>
            <w:r w:rsidRPr="006B67AC">
              <w:rPr>
                <w:i/>
              </w:rPr>
              <w:t>New clause, but comments are identical in intent to those in PE009-8 Chapter 2 &amp; 3. Clause 2.8 requires training for all staff whose activities could affect the quality of the product. R&amp;D staff would come under this existing requirement.</w:t>
            </w:r>
          </w:p>
        </w:tc>
        <w:tc>
          <w:tcPr>
            <w:tcW w:w="1843" w:type="dxa"/>
          </w:tcPr>
          <w:p w:rsidR="006B67AC" w:rsidRPr="006B67AC" w:rsidRDefault="006B67AC" w:rsidP="0087082A">
            <w:pPr>
              <w:keepNext w:val="0"/>
            </w:pPr>
            <w:r w:rsidRPr="006B67AC">
              <w:t>None</w:t>
            </w:r>
          </w:p>
        </w:tc>
        <w:tc>
          <w:tcPr>
            <w:tcW w:w="1531" w:type="dxa"/>
          </w:tcPr>
          <w:p w:rsidR="006B67AC" w:rsidRPr="006B67AC" w:rsidRDefault="006B67AC" w:rsidP="0087082A">
            <w:pPr>
              <w:keepNext w:val="0"/>
            </w:pPr>
            <w:r w:rsidRPr="006B67AC">
              <w:t>Nil</w:t>
            </w:r>
          </w:p>
        </w:tc>
      </w:tr>
      <w:tr w:rsidR="006B67AC" w:rsidTr="00103105">
        <w:trPr>
          <w:cantSplit w:val="0"/>
        </w:trPr>
        <w:tc>
          <w:tcPr>
            <w:tcW w:w="7054" w:type="dxa"/>
          </w:tcPr>
          <w:p w:rsidR="006B67AC" w:rsidRPr="006B67AC" w:rsidRDefault="006B67AC" w:rsidP="0087082A">
            <w:pPr>
              <w:keepNext w:val="0"/>
              <w:rPr>
                <w:rFonts w:ascii="Arial" w:hAnsi="Arial" w:cs="Arial"/>
                <w:color w:val="006DA7"/>
              </w:rPr>
            </w:pPr>
            <w:r w:rsidRPr="006B67AC">
              <w:rPr>
                <w:rFonts w:ascii="Arial" w:hAnsi="Arial" w:cs="Arial"/>
                <w:color w:val="006DA7"/>
              </w:rPr>
              <w:t>16. Radioactive products should be manufactured in controlled (environmental and radioactive) areas. All manufacturing steps should take place in self-contained facilities dedicated to radiopharmaceuticals.</w:t>
            </w:r>
          </w:p>
        </w:tc>
        <w:tc>
          <w:tcPr>
            <w:tcW w:w="4678" w:type="dxa"/>
          </w:tcPr>
          <w:p w:rsidR="006B67AC" w:rsidRPr="006B67AC" w:rsidRDefault="006B67AC" w:rsidP="0087082A">
            <w:pPr>
              <w:keepNext w:val="0"/>
              <w:rPr>
                <w:i/>
              </w:rPr>
            </w:pPr>
            <w:r w:rsidRPr="006B67AC">
              <w:rPr>
                <w:i/>
              </w:rPr>
              <w:t>New clause, but comments are identical in intent to those in PE009-8 Annex 3 clause 2:</w:t>
            </w:r>
          </w:p>
          <w:p w:rsidR="006B67AC" w:rsidRPr="006B67AC" w:rsidRDefault="006B67AC" w:rsidP="0087082A">
            <w:pPr>
              <w:keepNext w:val="0"/>
            </w:pPr>
            <w:r w:rsidRPr="006B67AC">
              <w:t>“Radioactive products should be stored, processed, packaged and controlled in dedicated and self-contained facilities. Equipment used for manufacturing operations should be reserved for radiopharmaceuticals.”</w:t>
            </w:r>
          </w:p>
          <w:p w:rsidR="006B67AC" w:rsidRPr="006B67AC" w:rsidRDefault="006B67AC" w:rsidP="0087082A">
            <w:pPr>
              <w:keepNext w:val="0"/>
              <w:rPr>
                <w:i/>
              </w:rPr>
            </w:pPr>
            <w:r w:rsidRPr="006B67AC">
              <w:rPr>
                <w:i/>
              </w:rPr>
              <w:t>The requirements for controlled environments echo those outlined in existing clause 3.12.</w:t>
            </w:r>
          </w:p>
        </w:tc>
        <w:tc>
          <w:tcPr>
            <w:tcW w:w="1843" w:type="dxa"/>
          </w:tcPr>
          <w:p w:rsidR="006B67AC" w:rsidRPr="006B67AC" w:rsidRDefault="006B67AC" w:rsidP="0087082A">
            <w:pPr>
              <w:keepNext w:val="0"/>
            </w:pPr>
            <w:r w:rsidRPr="006B67AC">
              <w:t>None</w:t>
            </w:r>
          </w:p>
        </w:tc>
        <w:tc>
          <w:tcPr>
            <w:tcW w:w="1531" w:type="dxa"/>
          </w:tcPr>
          <w:p w:rsidR="006B67AC" w:rsidRPr="006B67AC" w:rsidRDefault="006B67AC" w:rsidP="0087082A">
            <w:pPr>
              <w:keepNext w:val="0"/>
            </w:pPr>
            <w:r w:rsidRPr="006B67AC">
              <w:t>Nil</w:t>
            </w:r>
          </w:p>
        </w:tc>
      </w:tr>
      <w:tr w:rsidR="006B67AC" w:rsidTr="00103105">
        <w:trPr>
          <w:cantSplit w:val="0"/>
        </w:trPr>
        <w:tc>
          <w:tcPr>
            <w:tcW w:w="7054" w:type="dxa"/>
          </w:tcPr>
          <w:p w:rsidR="006B67AC" w:rsidRPr="006B67AC" w:rsidRDefault="006B67AC" w:rsidP="0087082A">
            <w:pPr>
              <w:keepNext w:val="0"/>
              <w:rPr>
                <w:rFonts w:ascii="Arial" w:hAnsi="Arial" w:cs="Arial"/>
                <w:color w:val="006DA7"/>
              </w:rPr>
            </w:pPr>
            <w:r w:rsidRPr="006B67AC">
              <w:rPr>
                <w:rFonts w:ascii="Arial" w:hAnsi="Arial" w:cs="Arial"/>
                <w:color w:val="006DA7"/>
              </w:rPr>
              <w:lastRenderedPageBreak/>
              <w:t>17. Measures should be established and implemented to prevent cross-contamination from personnel, materials, radionuclides etc. Closed or contained equipment should be used whenever appropriate. Where open equipment is used, or equipment is opened, precautions should be taken to minimize the risk of contamination. The risk assessment should demonstrate that the environmental cleanliness level proposed is suitable for the type of product being manufactured.</w:t>
            </w:r>
          </w:p>
        </w:tc>
        <w:tc>
          <w:tcPr>
            <w:tcW w:w="4678" w:type="dxa"/>
          </w:tcPr>
          <w:p w:rsidR="006B67AC" w:rsidRPr="006B67AC" w:rsidRDefault="006B67AC" w:rsidP="0087082A">
            <w:pPr>
              <w:keepNext w:val="0"/>
              <w:rPr>
                <w:i/>
              </w:rPr>
            </w:pPr>
            <w:r w:rsidRPr="006B67AC">
              <w:rPr>
                <w:i/>
              </w:rPr>
              <w:t>New clause, but comments are identical in intent to those in PE009-8 clauses 5.18-5.19.</w:t>
            </w:r>
          </w:p>
        </w:tc>
        <w:tc>
          <w:tcPr>
            <w:tcW w:w="1843" w:type="dxa"/>
          </w:tcPr>
          <w:p w:rsidR="006B67AC" w:rsidRPr="006B67AC" w:rsidRDefault="006B67AC" w:rsidP="0087082A">
            <w:pPr>
              <w:keepNext w:val="0"/>
            </w:pPr>
            <w:r w:rsidRPr="006B67AC">
              <w:t>Specific requirement for Risk assessment to justify environmental control used for manufacture. This is in line with existing QRM principles, and is not an additional requirement.</w:t>
            </w:r>
          </w:p>
        </w:tc>
        <w:tc>
          <w:tcPr>
            <w:tcW w:w="1531" w:type="dxa"/>
          </w:tcPr>
          <w:p w:rsidR="006B67AC" w:rsidRPr="006B67AC" w:rsidRDefault="006B67AC" w:rsidP="0087082A">
            <w:pPr>
              <w:keepNext w:val="0"/>
            </w:pPr>
            <w:r w:rsidRPr="006B67AC">
              <w:t>Minor</w:t>
            </w:r>
          </w:p>
        </w:tc>
      </w:tr>
      <w:tr w:rsidR="006B67AC" w:rsidTr="00103105">
        <w:trPr>
          <w:cantSplit w:val="0"/>
        </w:trPr>
        <w:tc>
          <w:tcPr>
            <w:tcW w:w="7054" w:type="dxa"/>
          </w:tcPr>
          <w:p w:rsidR="006B67AC" w:rsidRPr="006B67AC" w:rsidRDefault="00B756A1" w:rsidP="0087082A">
            <w:pPr>
              <w:keepNext w:val="0"/>
              <w:rPr>
                <w:rFonts w:ascii="Arial" w:hAnsi="Arial" w:cs="Arial"/>
                <w:color w:val="006DA7"/>
              </w:rPr>
            </w:pPr>
            <w:r w:rsidRPr="00B756A1">
              <w:rPr>
                <w:rFonts w:ascii="Arial" w:hAnsi="Arial" w:cs="Arial"/>
                <w:color w:val="006DA7"/>
              </w:rPr>
              <w:t>18. Access to the manufacturing areas should be via a gowning area and should be restricted to authorised personnel.</w:t>
            </w:r>
          </w:p>
        </w:tc>
        <w:tc>
          <w:tcPr>
            <w:tcW w:w="4678" w:type="dxa"/>
          </w:tcPr>
          <w:p w:rsidR="006B67AC" w:rsidRPr="006B67AC" w:rsidRDefault="00B756A1" w:rsidP="0087082A">
            <w:pPr>
              <w:keepNext w:val="0"/>
              <w:rPr>
                <w:i/>
              </w:rPr>
            </w:pPr>
            <w:r w:rsidRPr="00B756A1">
              <w:rPr>
                <w:i/>
              </w:rPr>
              <w:t>New clause, but comments are identical in intent to those in PE009-8 clauses 3.5, 3.7, 3.31 &amp; 5.16.</w:t>
            </w:r>
          </w:p>
        </w:tc>
        <w:tc>
          <w:tcPr>
            <w:tcW w:w="1843" w:type="dxa"/>
          </w:tcPr>
          <w:p w:rsidR="006B67AC" w:rsidRPr="006B67AC" w:rsidRDefault="00B756A1" w:rsidP="0087082A">
            <w:pPr>
              <w:keepNext w:val="0"/>
            </w:pPr>
            <w:r w:rsidRPr="00B756A1">
              <w:t xml:space="preserve">This statement specifically mentions the use of separate gowning areas for access to manufacturing areas. While manufacturers of sterile radiopharmaceuticals are already required to meet </w:t>
            </w:r>
            <w:r w:rsidRPr="00B756A1">
              <w:lastRenderedPageBreak/>
              <w:t>more stringent requirements, non-sterile manufacturers are already required to meet this new clause based on the stated clauses</w:t>
            </w:r>
          </w:p>
        </w:tc>
        <w:tc>
          <w:tcPr>
            <w:tcW w:w="1531" w:type="dxa"/>
          </w:tcPr>
          <w:p w:rsidR="006B67AC" w:rsidRPr="006B67AC" w:rsidRDefault="00B756A1" w:rsidP="0087082A">
            <w:pPr>
              <w:keepNext w:val="0"/>
            </w:pPr>
            <w:r w:rsidRPr="00B756A1">
              <w:lastRenderedPageBreak/>
              <w:t>Minor</w:t>
            </w:r>
          </w:p>
        </w:tc>
      </w:tr>
      <w:tr w:rsidR="00B756A1" w:rsidTr="00103105">
        <w:trPr>
          <w:cantSplit w:val="0"/>
        </w:trPr>
        <w:tc>
          <w:tcPr>
            <w:tcW w:w="7054" w:type="dxa"/>
          </w:tcPr>
          <w:p w:rsidR="00B756A1" w:rsidRPr="00B756A1" w:rsidRDefault="00B756A1" w:rsidP="0087082A">
            <w:pPr>
              <w:keepNext w:val="0"/>
              <w:rPr>
                <w:rFonts w:ascii="Arial" w:hAnsi="Arial" w:cs="Arial"/>
                <w:color w:val="006DA7"/>
              </w:rPr>
            </w:pPr>
            <w:r w:rsidRPr="00B756A1">
              <w:rPr>
                <w:rFonts w:ascii="Arial" w:hAnsi="Arial" w:cs="Arial"/>
                <w:color w:val="006DA7"/>
              </w:rPr>
              <w:lastRenderedPageBreak/>
              <w:t>19. Workstations and their environment should be monitored with respect to radioactivity, particulate and microbiological quality as established during performance qualification (PQ).</w:t>
            </w:r>
          </w:p>
        </w:tc>
        <w:tc>
          <w:tcPr>
            <w:tcW w:w="4678" w:type="dxa"/>
          </w:tcPr>
          <w:p w:rsidR="00B756A1" w:rsidRPr="00B756A1" w:rsidRDefault="00B756A1" w:rsidP="0087082A">
            <w:pPr>
              <w:keepNext w:val="0"/>
              <w:rPr>
                <w:i/>
              </w:rPr>
            </w:pPr>
            <w:r w:rsidRPr="00B756A1">
              <w:rPr>
                <w:i/>
              </w:rPr>
              <w:t>New clause – no equivalent in PE009-8</w:t>
            </w:r>
          </w:p>
        </w:tc>
        <w:tc>
          <w:tcPr>
            <w:tcW w:w="1843" w:type="dxa"/>
          </w:tcPr>
          <w:p w:rsidR="00B756A1" w:rsidRPr="00B756A1" w:rsidRDefault="00B756A1" w:rsidP="0087082A">
            <w:pPr>
              <w:keepNext w:val="0"/>
            </w:pPr>
            <w:r w:rsidRPr="00B756A1">
              <w:t xml:space="preserve">Manufacturers already have to meet safety requirements as set by ARPANSA and state </w:t>
            </w:r>
            <w:proofErr w:type="gramStart"/>
            <w:r w:rsidRPr="00B756A1">
              <w:t>government,</w:t>
            </w:r>
            <w:proofErr w:type="gramEnd"/>
            <w:r w:rsidRPr="00B756A1">
              <w:t xml:space="preserve"> therefore radiation monitoring may already be addressed. The requirement for sterile medicines is already dictated by Ax1, so it appears that </w:t>
            </w:r>
            <w:r w:rsidRPr="00B756A1">
              <w:lastRenderedPageBreak/>
              <w:t>this clause has most impact on non-sterile medicines. Manufacturers should already have environmental monitoring programs for non-sterile monitoring, based on risk assessments.</w:t>
            </w:r>
          </w:p>
        </w:tc>
        <w:tc>
          <w:tcPr>
            <w:tcW w:w="1531" w:type="dxa"/>
          </w:tcPr>
          <w:p w:rsidR="00B756A1" w:rsidRPr="00B756A1" w:rsidRDefault="00B756A1" w:rsidP="0087082A">
            <w:pPr>
              <w:keepNext w:val="0"/>
            </w:pPr>
            <w:r w:rsidRPr="00B756A1">
              <w:lastRenderedPageBreak/>
              <w:t>Nil</w:t>
            </w:r>
          </w:p>
        </w:tc>
      </w:tr>
      <w:tr w:rsidR="00B756A1" w:rsidTr="00103105">
        <w:trPr>
          <w:cantSplit w:val="0"/>
        </w:trPr>
        <w:tc>
          <w:tcPr>
            <w:tcW w:w="7054" w:type="dxa"/>
          </w:tcPr>
          <w:p w:rsidR="00B756A1" w:rsidRPr="00B756A1" w:rsidRDefault="00B756A1" w:rsidP="0087082A">
            <w:pPr>
              <w:keepNext w:val="0"/>
              <w:rPr>
                <w:rFonts w:ascii="Arial" w:hAnsi="Arial" w:cs="Arial"/>
                <w:color w:val="006DA7"/>
              </w:rPr>
            </w:pPr>
            <w:r w:rsidRPr="00B756A1">
              <w:rPr>
                <w:rFonts w:ascii="Arial" w:hAnsi="Arial" w:cs="Arial"/>
                <w:color w:val="006DA7"/>
              </w:rPr>
              <w:lastRenderedPageBreak/>
              <w:t>20. Preventive maintenance, calibration and qualification programmes should be operated to ensure that all facilities and equipment used in the manufacture of radiopharmaceutical are suitable and qualified. These activities should be carried out by competent personnel and records and logs should be maintained.</w:t>
            </w:r>
          </w:p>
        </w:tc>
        <w:tc>
          <w:tcPr>
            <w:tcW w:w="4678" w:type="dxa"/>
          </w:tcPr>
          <w:p w:rsidR="00B756A1" w:rsidRPr="00B756A1" w:rsidRDefault="00B756A1" w:rsidP="0087082A">
            <w:pPr>
              <w:keepNext w:val="0"/>
              <w:rPr>
                <w:i/>
              </w:rPr>
            </w:pPr>
            <w:r w:rsidRPr="00B756A1">
              <w:rPr>
                <w:i/>
              </w:rPr>
              <w:t>New clause, but comments are identical in intent to those in PE009-8 clauses 3.34 &amp; 4.26</w:t>
            </w:r>
          </w:p>
        </w:tc>
        <w:tc>
          <w:tcPr>
            <w:tcW w:w="1843" w:type="dxa"/>
          </w:tcPr>
          <w:p w:rsidR="00B756A1" w:rsidRPr="00B756A1" w:rsidRDefault="00B756A1" w:rsidP="0087082A">
            <w:pPr>
              <w:keepNext w:val="0"/>
            </w:pPr>
            <w:r w:rsidRPr="00B756A1">
              <w:t>None</w:t>
            </w:r>
          </w:p>
        </w:tc>
        <w:tc>
          <w:tcPr>
            <w:tcW w:w="1531" w:type="dxa"/>
          </w:tcPr>
          <w:p w:rsidR="00B756A1" w:rsidRPr="00B756A1" w:rsidRDefault="00B756A1" w:rsidP="0087082A">
            <w:pPr>
              <w:keepNext w:val="0"/>
            </w:pPr>
            <w:r w:rsidRPr="00B756A1">
              <w:t>Nil</w:t>
            </w:r>
          </w:p>
        </w:tc>
      </w:tr>
      <w:tr w:rsidR="00B756A1" w:rsidTr="00103105">
        <w:trPr>
          <w:cantSplit w:val="0"/>
        </w:trPr>
        <w:tc>
          <w:tcPr>
            <w:tcW w:w="7054" w:type="dxa"/>
          </w:tcPr>
          <w:p w:rsidR="00B756A1" w:rsidRPr="00B756A1" w:rsidRDefault="00B756A1" w:rsidP="0087082A">
            <w:pPr>
              <w:keepNext w:val="0"/>
              <w:rPr>
                <w:rFonts w:ascii="Arial" w:hAnsi="Arial" w:cs="Arial"/>
                <w:color w:val="006DA7"/>
              </w:rPr>
            </w:pPr>
            <w:r w:rsidRPr="00B756A1">
              <w:rPr>
                <w:rFonts w:ascii="Arial" w:hAnsi="Arial" w:cs="Arial"/>
                <w:color w:val="006DA7"/>
              </w:rPr>
              <w:t>21. Precautions should be taken to avoid radioactive contamination within the facility. Appropriate controls should be in place to detect any radioactive contamination, either directly through the use of radiation detectors or indirectly through a swabbing routine.</w:t>
            </w:r>
          </w:p>
        </w:tc>
        <w:tc>
          <w:tcPr>
            <w:tcW w:w="4678" w:type="dxa"/>
          </w:tcPr>
          <w:p w:rsidR="00B756A1" w:rsidRPr="00B756A1" w:rsidRDefault="00B756A1" w:rsidP="0087082A">
            <w:pPr>
              <w:keepNext w:val="0"/>
              <w:rPr>
                <w:i/>
              </w:rPr>
            </w:pPr>
            <w:r w:rsidRPr="00B756A1">
              <w:rPr>
                <w:i/>
              </w:rPr>
              <w:t>New clause – no equivalent in PE009-8</w:t>
            </w:r>
          </w:p>
        </w:tc>
        <w:tc>
          <w:tcPr>
            <w:tcW w:w="1843" w:type="dxa"/>
          </w:tcPr>
          <w:p w:rsidR="00B756A1" w:rsidRPr="00B756A1" w:rsidRDefault="00B756A1" w:rsidP="0087082A">
            <w:pPr>
              <w:keepNext w:val="0"/>
            </w:pPr>
            <w:r w:rsidRPr="00B756A1">
              <w:t xml:space="preserve">Radiation safety requirements already in place through ARPANSA and state </w:t>
            </w:r>
            <w:r w:rsidRPr="00B756A1">
              <w:lastRenderedPageBreak/>
              <w:t>government, therefore radiation monitoring may already be addressed. The impact would mainly be on the inspector – the new requirement to assess compliance, and our technical ability to determine this.</w:t>
            </w:r>
          </w:p>
        </w:tc>
        <w:tc>
          <w:tcPr>
            <w:tcW w:w="1531" w:type="dxa"/>
          </w:tcPr>
          <w:p w:rsidR="00B756A1" w:rsidRPr="00B756A1" w:rsidRDefault="00B756A1" w:rsidP="0087082A">
            <w:pPr>
              <w:keepNext w:val="0"/>
            </w:pPr>
            <w:r w:rsidRPr="00B756A1">
              <w:lastRenderedPageBreak/>
              <w:t>Minor</w:t>
            </w:r>
          </w:p>
        </w:tc>
      </w:tr>
      <w:tr w:rsidR="00B756A1" w:rsidTr="00103105">
        <w:trPr>
          <w:cantSplit w:val="0"/>
        </w:trPr>
        <w:tc>
          <w:tcPr>
            <w:tcW w:w="7054" w:type="dxa"/>
          </w:tcPr>
          <w:p w:rsidR="00B756A1" w:rsidRPr="00B756A1" w:rsidRDefault="00B756A1" w:rsidP="0087082A">
            <w:pPr>
              <w:keepNext w:val="0"/>
              <w:rPr>
                <w:rFonts w:ascii="Arial" w:hAnsi="Arial" w:cs="Arial"/>
                <w:color w:val="006DA7"/>
              </w:rPr>
            </w:pPr>
            <w:r w:rsidRPr="00B756A1">
              <w:rPr>
                <w:rFonts w:ascii="Arial" w:hAnsi="Arial" w:cs="Arial"/>
                <w:color w:val="006DA7"/>
              </w:rPr>
              <w:lastRenderedPageBreak/>
              <w:t>22. Equipment should be constructed so that surfaces that come into contact with the product are not reactive, additive or absorptive so as to alter the quality of the radiopharmaceutical.</w:t>
            </w:r>
          </w:p>
        </w:tc>
        <w:tc>
          <w:tcPr>
            <w:tcW w:w="4678" w:type="dxa"/>
          </w:tcPr>
          <w:p w:rsidR="00B756A1" w:rsidRPr="00B756A1" w:rsidRDefault="00B756A1" w:rsidP="0087082A">
            <w:pPr>
              <w:keepNext w:val="0"/>
              <w:rPr>
                <w:i/>
              </w:rPr>
            </w:pPr>
            <w:r w:rsidRPr="00B756A1">
              <w:rPr>
                <w:i/>
              </w:rPr>
              <w:t>New clause, but comments are identical in intent to those in PE009-8 clause 3.39</w:t>
            </w:r>
          </w:p>
        </w:tc>
        <w:tc>
          <w:tcPr>
            <w:tcW w:w="1843" w:type="dxa"/>
          </w:tcPr>
          <w:p w:rsidR="00B756A1" w:rsidRPr="00B756A1" w:rsidRDefault="00B756A1" w:rsidP="0087082A">
            <w:pPr>
              <w:keepNext w:val="0"/>
            </w:pPr>
            <w:r w:rsidRPr="00B756A1">
              <w:t>None</w:t>
            </w:r>
          </w:p>
        </w:tc>
        <w:tc>
          <w:tcPr>
            <w:tcW w:w="1531" w:type="dxa"/>
          </w:tcPr>
          <w:p w:rsidR="00B756A1" w:rsidRPr="00B756A1" w:rsidRDefault="00B756A1" w:rsidP="0087082A">
            <w:pPr>
              <w:keepNext w:val="0"/>
            </w:pPr>
            <w:r w:rsidRPr="00B756A1">
              <w:t>Nil</w:t>
            </w:r>
          </w:p>
        </w:tc>
      </w:tr>
      <w:tr w:rsidR="00B756A1" w:rsidTr="00103105">
        <w:trPr>
          <w:cantSplit w:val="0"/>
        </w:trPr>
        <w:tc>
          <w:tcPr>
            <w:tcW w:w="7054" w:type="dxa"/>
          </w:tcPr>
          <w:p w:rsidR="00B756A1" w:rsidRPr="00B756A1" w:rsidRDefault="00B756A1" w:rsidP="0087082A">
            <w:pPr>
              <w:keepNext w:val="0"/>
              <w:rPr>
                <w:rFonts w:ascii="Arial" w:hAnsi="Arial" w:cs="Arial"/>
                <w:color w:val="006DA7"/>
              </w:rPr>
            </w:pPr>
            <w:r w:rsidRPr="00B756A1">
              <w:rPr>
                <w:rFonts w:ascii="Arial" w:hAnsi="Arial" w:cs="Arial"/>
                <w:color w:val="006DA7"/>
              </w:rPr>
              <w:t xml:space="preserve">23. Re-circulation of air extracted from area where radioactive products are handled should be avoided unless justified. Air outlets should be designed to minimize environmental contamination by radioactive particles and gases and appropriate measures should be taken to protect the controlled areas from particulate and microbial </w:t>
            </w:r>
            <w:r w:rsidRPr="00B756A1">
              <w:rPr>
                <w:rFonts w:ascii="Arial" w:hAnsi="Arial" w:cs="Arial"/>
                <w:color w:val="006DA7"/>
              </w:rPr>
              <w:lastRenderedPageBreak/>
              <w:t>contamination.</w:t>
            </w:r>
          </w:p>
        </w:tc>
        <w:tc>
          <w:tcPr>
            <w:tcW w:w="4678" w:type="dxa"/>
          </w:tcPr>
          <w:p w:rsidR="00B756A1" w:rsidRPr="00B756A1" w:rsidRDefault="00B756A1" w:rsidP="0087082A">
            <w:pPr>
              <w:keepNext w:val="0"/>
              <w:rPr>
                <w:i/>
              </w:rPr>
            </w:pPr>
            <w:r w:rsidRPr="00B756A1">
              <w:rPr>
                <w:i/>
              </w:rPr>
              <w:lastRenderedPageBreak/>
              <w:t>New clause, but comments are similar in intent to those in PE009-8 Annex 3 clause 5:</w:t>
            </w:r>
          </w:p>
          <w:p w:rsidR="00B756A1" w:rsidRPr="00B756A1" w:rsidRDefault="00B756A1" w:rsidP="0087082A">
            <w:pPr>
              <w:keepNext w:val="0"/>
            </w:pPr>
            <w:r w:rsidRPr="00B756A1">
              <w:t xml:space="preserve">“Air extracted from areas where radioactive products are handled should not be recirculated; air outlets should be designed to </w:t>
            </w:r>
            <w:r w:rsidRPr="00B756A1">
              <w:lastRenderedPageBreak/>
              <w:t>avoid possible environmental contamination of radioactive particles and gases. There should be a system to prevent air entering the clean area through extract ducts e.g. when the extract fan is not operating.”</w:t>
            </w:r>
          </w:p>
        </w:tc>
        <w:tc>
          <w:tcPr>
            <w:tcW w:w="1843" w:type="dxa"/>
          </w:tcPr>
          <w:p w:rsidR="00B756A1" w:rsidRPr="00B756A1" w:rsidRDefault="00B756A1" w:rsidP="0087082A">
            <w:pPr>
              <w:keepNext w:val="0"/>
            </w:pPr>
            <w:r w:rsidRPr="00B756A1">
              <w:lastRenderedPageBreak/>
              <w:t xml:space="preserve">Introduction of an opportunity to apply QRM to the existing requirement not to recirculate </w:t>
            </w:r>
            <w:r w:rsidRPr="00B756A1">
              <w:lastRenderedPageBreak/>
              <w:t>extracted air</w:t>
            </w:r>
          </w:p>
        </w:tc>
        <w:tc>
          <w:tcPr>
            <w:tcW w:w="1531" w:type="dxa"/>
          </w:tcPr>
          <w:p w:rsidR="00B756A1" w:rsidRPr="00B756A1" w:rsidRDefault="00B756A1" w:rsidP="0087082A">
            <w:pPr>
              <w:keepNext w:val="0"/>
            </w:pPr>
            <w:r w:rsidRPr="00B756A1">
              <w:lastRenderedPageBreak/>
              <w:t>Minor</w:t>
            </w:r>
          </w:p>
        </w:tc>
      </w:tr>
      <w:tr w:rsidR="00B756A1" w:rsidTr="00103105">
        <w:trPr>
          <w:cantSplit w:val="0"/>
        </w:trPr>
        <w:tc>
          <w:tcPr>
            <w:tcW w:w="7054" w:type="dxa"/>
          </w:tcPr>
          <w:p w:rsidR="00B756A1" w:rsidRPr="00B756A1" w:rsidRDefault="00B756A1" w:rsidP="0087082A">
            <w:pPr>
              <w:keepNext w:val="0"/>
              <w:rPr>
                <w:rFonts w:ascii="Arial" w:hAnsi="Arial" w:cs="Arial"/>
                <w:color w:val="006DA7"/>
              </w:rPr>
            </w:pPr>
            <w:r w:rsidRPr="00B756A1">
              <w:rPr>
                <w:rFonts w:ascii="Arial" w:hAnsi="Arial" w:cs="Arial"/>
                <w:color w:val="006DA7"/>
              </w:rPr>
              <w:lastRenderedPageBreak/>
              <w:t>24. In order to contain radioactive particles, it may be necessary for the air pressure to be lower where products are exposed, compared with the surrounding areas. However, it is still necessary to protect the product from environmental contamination. This may be achieved by, for example, using barrier technology or airlocks, acting as pressure sinks.</w:t>
            </w:r>
          </w:p>
        </w:tc>
        <w:tc>
          <w:tcPr>
            <w:tcW w:w="4678" w:type="dxa"/>
          </w:tcPr>
          <w:p w:rsidR="00B756A1" w:rsidRPr="00B756A1" w:rsidRDefault="00B756A1" w:rsidP="0087082A">
            <w:pPr>
              <w:keepNext w:val="0"/>
              <w:rPr>
                <w:i/>
              </w:rPr>
            </w:pPr>
            <w:r w:rsidRPr="00B756A1">
              <w:rPr>
                <w:i/>
              </w:rPr>
              <w:t>New clause, but comments are similar in intent to those in PE009-8 Annex 3 clause 3:</w:t>
            </w:r>
          </w:p>
          <w:p w:rsidR="00B756A1" w:rsidRPr="00B756A1" w:rsidRDefault="00B756A1" w:rsidP="0087082A">
            <w:pPr>
              <w:keepNext w:val="0"/>
            </w:pPr>
            <w:r w:rsidRPr="00B756A1">
              <w:t>“In order to contain the radioactivity, it may be necessary for the air pressure to be lower where products are exposed than in surrounding areas. However, it is still necessary to protect the product from environmental contamination.”</w:t>
            </w:r>
          </w:p>
        </w:tc>
        <w:tc>
          <w:tcPr>
            <w:tcW w:w="1843" w:type="dxa"/>
          </w:tcPr>
          <w:p w:rsidR="00B756A1" w:rsidRPr="00B756A1" w:rsidRDefault="00B756A1" w:rsidP="0087082A">
            <w:pPr>
              <w:keepNext w:val="0"/>
            </w:pPr>
            <w:r w:rsidRPr="00B756A1">
              <w:t>New clause provides additional information, but no additional requirements.</w:t>
            </w:r>
          </w:p>
        </w:tc>
        <w:tc>
          <w:tcPr>
            <w:tcW w:w="1531" w:type="dxa"/>
          </w:tcPr>
          <w:p w:rsidR="00B756A1" w:rsidRPr="00B756A1" w:rsidRDefault="00B756A1" w:rsidP="0087082A">
            <w:pPr>
              <w:keepNext w:val="0"/>
            </w:pPr>
            <w:r w:rsidRPr="00B756A1">
              <w:t>Nil</w:t>
            </w:r>
          </w:p>
        </w:tc>
      </w:tr>
      <w:tr w:rsidR="00B756A1" w:rsidTr="00103105">
        <w:trPr>
          <w:cantSplit w:val="0"/>
        </w:trPr>
        <w:tc>
          <w:tcPr>
            <w:tcW w:w="7054" w:type="dxa"/>
          </w:tcPr>
          <w:p w:rsidR="00B756A1" w:rsidRPr="00B756A1" w:rsidRDefault="00343D19" w:rsidP="0087082A">
            <w:pPr>
              <w:keepNext w:val="0"/>
              <w:rPr>
                <w:rFonts w:ascii="Arial" w:hAnsi="Arial" w:cs="Arial"/>
                <w:color w:val="006DA7"/>
              </w:rPr>
            </w:pPr>
            <w:r w:rsidRPr="00343D19">
              <w:rPr>
                <w:rFonts w:ascii="Arial" w:hAnsi="Arial" w:cs="Arial"/>
                <w:color w:val="006DA7"/>
              </w:rPr>
              <w:t>25. Sterile radiopharmaceuticals may be divided into those, which are manufactured aseptically, and those, which are terminally sterilised. The facility should maintain the appropriate level of environmental cleanliness for the type of operation being performed. For manufacture of sterile products the working zone where products or containers may be exposed to the environment, the cleanliness requirements should comply with the requirements described in the PIC/S GMP Guide, Annex 1.</w:t>
            </w:r>
          </w:p>
        </w:tc>
        <w:tc>
          <w:tcPr>
            <w:tcW w:w="4678" w:type="dxa"/>
          </w:tcPr>
          <w:p w:rsidR="00343D19" w:rsidRPr="00343D19" w:rsidRDefault="00343D19" w:rsidP="0087082A">
            <w:pPr>
              <w:keepNext w:val="0"/>
              <w:rPr>
                <w:i/>
              </w:rPr>
            </w:pPr>
            <w:r w:rsidRPr="00343D19">
              <w:rPr>
                <w:i/>
              </w:rPr>
              <w:t>New clause, but equivalent statement provided in Note in Principle of PE009-8:</w:t>
            </w:r>
          </w:p>
          <w:p w:rsidR="00B756A1" w:rsidRPr="00B756A1" w:rsidRDefault="00343D19" w:rsidP="0087082A">
            <w:pPr>
              <w:keepNext w:val="0"/>
            </w:pPr>
            <w:r w:rsidRPr="00343D19">
              <w:t>“Note: The manufacture of radiopharmaceuticals must be undertaken in accordance with the Good Manufacturing Practice described in this guide and also in the supplementary guidelines such as those for sterile preparations where appropriate.”</w:t>
            </w:r>
          </w:p>
        </w:tc>
        <w:tc>
          <w:tcPr>
            <w:tcW w:w="1843" w:type="dxa"/>
          </w:tcPr>
          <w:p w:rsidR="00B756A1" w:rsidRPr="00B756A1" w:rsidRDefault="00343D19" w:rsidP="0087082A">
            <w:pPr>
              <w:keepNext w:val="0"/>
            </w:pPr>
            <w:r w:rsidRPr="00343D19">
              <w:t>Clarification of requirements, no change in interpretation.</w:t>
            </w:r>
          </w:p>
        </w:tc>
        <w:tc>
          <w:tcPr>
            <w:tcW w:w="1531" w:type="dxa"/>
          </w:tcPr>
          <w:p w:rsidR="00B756A1" w:rsidRPr="00B756A1" w:rsidRDefault="00343D19" w:rsidP="0087082A">
            <w:pPr>
              <w:keepNext w:val="0"/>
            </w:pPr>
            <w:r w:rsidRPr="00343D19">
              <w:t>Nil</w:t>
            </w:r>
          </w:p>
        </w:tc>
      </w:tr>
      <w:tr w:rsidR="00343D19" w:rsidTr="00103105">
        <w:trPr>
          <w:cantSplit w:val="0"/>
        </w:trPr>
        <w:tc>
          <w:tcPr>
            <w:tcW w:w="7054" w:type="dxa"/>
          </w:tcPr>
          <w:p w:rsidR="00343D19" w:rsidRPr="00343D19" w:rsidRDefault="00343D19" w:rsidP="0087082A">
            <w:pPr>
              <w:keepNext w:val="0"/>
              <w:rPr>
                <w:rFonts w:ascii="Arial" w:hAnsi="Arial" w:cs="Arial"/>
                <w:color w:val="006DA7"/>
              </w:rPr>
            </w:pPr>
            <w:r w:rsidRPr="00343D19">
              <w:rPr>
                <w:rFonts w:ascii="Arial" w:hAnsi="Arial" w:cs="Arial"/>
                <w:color w:val="006DA7"/>
              </w:rPr>
              <w:lastRenderedPageBreak/>
              <w:t>26. For manufacture of radiopharmaceuticals a risk assessment may be applied to determine the appropriate pressure differences, air flow direction and air quality.</w:t>
            </w:r>
          </w:p>
        </w:tc>
        <w:tc>
          <w:tcPr>
            <w:tcW w:w="4678" w:type="dxa"/>
          </w:tcPr>
          <w:p w:rsidR="00343D19" w:rsidRPr="00343D19" w:rsidRDefault="00343D19" w:rsidP="0087082A">
            <w:pPr>
              <w:keepNext w:val="0"/>
              <w:rPr>
                <w:i/>
              </w:rPr>
            </w:pPr>
            <w:r w:rsidRPr="00343D19">
              <w:rPr>
                <w:i/>
              </w:rPr>
              <w:t xml:space="preserve">New clause – no equivalent in PE009-8 Annex 3. </w:t>
            </w:r>
          </w:p>
          <w:p w:rsidR="00343D19" w:rsidRPr="00343D19" w:rsidRDefault="00343D19" w:rsidP="0087082A">
            <w:pPr>
              <w:keepNext w:val="0"/>
              <w:rPr>
                <w:i/>
              </w:rPr>
            </w:pPr>
            <w:r w:rsidRPr="00343D19">
              <w:rPr>
                <w:i/>
              </w:rPr>
              <w:t>Non-instructive clause, that is in line with current Risk Management principles, and is aligned with clause 17.</w:t>
            </w:r>
          </w:p>
        </w:tc>
        <w:tc>
          <w:tcPr>
            <w:tcW w:w="1843" w:type="dxa"/>
          </w:tcPr>
          <w:p w:rsidR="00343D19" w:rsidRPr="00343D19" w:rsidRDefault="00343D19" w:rsidP="0087082A">
            <w:pPr>
              <w:keepNext w:val="0"/>
            </w:pPr>
            <w:r w:rsidRPr="00343D19">
              <w:t>None</w:t>
            </w:r>
          </w:p>
        </w:tc>
        <w:tc>
          <w:tcPr>
            <w:tcW w:w="1531" w:type="dxa"/>
          </w:tcPr>
          <w:p w:rsidR="00343D19" w:rsidRPr="00343D19" w:rsidRDefault="00343D19" w:rsidP="0087082A">
            <w:pPr>
              <w:keepNext w:val="0"/>
            </w:pPr>
            <w:r w:rsidRPr="00343D19">
              <w:t>Nil</w:t>
            </w:r>
          </w:p>
        </w:tc>
      </w:tr>
      <w:tr w:rsidR="00343D19" w:rsidTr="00103105">
        <w:trPr>
          <w:cantSplit w:val="0"/>
        </w:trPr>
        <w:tc>
          <w:tcPr>
            <w:tcW w:w="7054" w:type="dxa"/>
          </w:tcPr>
          <w:p w:rsidR="00343D19" w:rsidRPr="00343D19" w:rsidRDefault="00343D19" w:rsidP="0087082A">
            <w:pPr>
              <w:keepNext w:val="0"/>
              <w:rPr>
                <w:rFonts w:ascii="Arial" w:hAnsi="Arial" w:cs="Arial"/>
                <w:color w:val="006DA7"/>
              </w:rPr>
            </w:pPr>
            <w:r w:rsidRPr="00343D19">
              <w:rPr>
                <w:rFonts w:ascii="Arial" w:hAnsi="Arial" w:cs="Arial"/>
                <w:color w:val="006DA7"/>
              </w:rPr>
              <w:t xml:space="preserve">27. In case of use of closed and automated systems (chemical synthesis, purification, </w:t>
            </w:r>
            <w:proofErr w:type="gramStart"/>
            <w:r w:rsidRPr="00343D19">
              <w:rPr>
                <w:rFonts w:ascii="Arial" w:hAnsi="Arial" w:cs="Arial"/>
                <w:color w:val="006DA7"/>
              </w:rPr>
              <w:t>on</w:t>
            </w:r>
            <w:proofErr w:type="gramEnd"/>
            <w:r w:rsidRPr="00343D19">
              <w:rPr>
                <w:rFonts w:ascii="Arial" w:hAnsi="Arial" w:cs="Arial"/>
                <w:color w:val="006DA7"/>
              </w:rPr>
              <w:t xml:space="preserve">-line sterile filtration) a grade C environment (usually “Hot-cell”) will be suitable. Hot-cells should meet a high degree of air cleanliness, with filtered feed air, when closed. Aseptic activities must be carried out in a grade </w:t>
            </w:r>
            <w:proofErr w:type="gramStart"/>
            <w:r w:rsidRPr="00343D19">
              <w:rPr>
                <w:rFonts w:ascii="Arial" w:hAnsi="Arial" w:cs="Arial"/>
                <w:color w:val="006DA7"/>
              </w:rPr>
              <w:t>A</w:t>
            </w:r>
            <w:proofErr w:type="gramEnd"/>
            <w:r w:rsidRPr="00343D19">
              <w:rPr>
                <w:rFonts w:ascii="Arial" w:hAnsi="Arial" w:cs="Arial"/>
                <w:color w:val="006DA7"/>
              </w:rPr>
              <w:t xml:space="preserve"> area.</w:t>
            </w:r>
          </w:p>
        </w:tc>
        <w:tc>
          <w:tcPr>
            <w:tcW w:w="4678" w:type="dxa"/>
          </w:tcPr>
          <w:p w:rsidR="00343D19" w:rsidRPr="00343D19" w:rsidRDefault="00343D19" w:rsidP="0087082A">
            <w:pPr>
              <w:keepNext w:val="0"/>
              <w:rPr>
                <w:i/>
              </w:rPr>
            </w:pPr>
            <w:r w:rsidRPr="00343D19">
              <w:rPr>
                <w:i/>
              </w:rPr>
              <w:t>PE009-8 Annex 3 clause 4 states:</w:t>
            </w:r>
          </w:p>
          <w:p w:rsidR="00343D19" w:rsidRPr="00343D19" w:rsidRDefault="00343D19" w:rsidP="0087082A">
            <w:pPr>
              <w:keepNext w:val="0"/>
            </w:pPr>
            <w:r w:rsidRPr="00343D19">
              <w:t xml:space="preserve">“For sterile products the working zone where products or containers may be exposed should comply with the environmental requirements described in the Supplement on Sterile Products. This may be achieved by the provision within the work station of a laminar flow of HEPA-filtered air and by fitting air-locks to entry ports. Total containment work stations may provide these requirements. </w:t>
            </w:r>
            <w:r w:rsidRPr="00343D19">
              <w:rPr>
                <w:u w:val="single"/>
              </w:rPr>
              <w:t>They should be in an environment conforming to at least grade D.</w:t>
            </w:r>
            <w:r w:rsidRPr="00343D19">
              <w:t>”</w:t>
            </w:r>
          </w:p>
        </w:tc>
        <w:tc>
          <w:tcPr>
            <w:tcW w:w="1843" w:type="dxa"/>
          </w:tcPr>
          <w:p w:rsidR="00343D19" w:rsidRPr="00343D19" w:rsidRDefault="00343D19" w:rsidP="0087082A">
            <w:pPr>
              <w:keepNext w:val="0"/>
            </w:pPr>
            <w:r w:rsidRPr="00343D19">
              <w:t xml:space="preserve">New requirement to place closed systems in a grade C environment. This is a change from existing requirement of grade D. Would require some manufacturers to upgrade their manufacturing environments which may invoke additional costs for operation, gowning and </w:t>
            </w:r>
            <w:r w:rsidRPr="00343D19">
              <w:lastRenderedPageBreak/>
              <w:t>monitoring.</w:t>
            </w:r>
          </w:p>
        </w:tc>
        <w:tc>
          <w:tcPr>
            <w:tcW w:w="1531" w:type="dxa"/>
          </w:tcPr>
          <w:p w:rsidR="00343D19" w:rsidRPr="00343D19" w:rsidRDefault="00343D19" w:rsidP="0087082A">
            <w:pPr>
              <w:keepNext w:val="0"/>
            </w:pPr>
            <w:r w:rsidRPr="00343D19">
              <w:lastRenderedPageBreak/>
              <w:t>Major</w:t>
            </w:r>
          </w:p>
        </w:tc>
      </w:tr>
      <w:tr w:rsidR="00343D19" w:rsidTr="00103105">
        <w:trPr>
          <w:cantSplit w:val="0"/>
        </w:trPr>
        <w:tc>
          <w:tcPr>
            <w:tcW w:w="7054" w:type="dxa"/>
          </w:tcPr>
          <w:p w:rsidR="00343D19" w:rsidRPr="00343D19" w:rsidRDefault="00343D19" w:rsidP="0087082A">
            <w:pPr>
              <w:keepNext w:val="0"/>
              <w:rPr>
                <w:rFonts w:ascii="Arial" w:hAnsi="Arial" w:cs="Arial"/>
                <w:color w:val="006DA7"/>
              </w:rPr>
            </w:pPr>
            <w:r w:rsidRPr="00343D19">
              <w:rPr>
                <w:rFonts w:ascii="Arial" w:hAnsi="Arial" w:cs="Arial"/>
                <w:color w:val="006DA7"/>
              </w:rPr>
              <w:lastRenderedPageBreak/>
              <w:t>28. Prior to the start of manufacturing, assembly of sterilised equipment and consumables (tubing, sterilised filters and sterile closed and sealed vials to a sealed fluid path) must be performed under aseptic conditions.</w:t>
            </w:r>
          </w:p>
        </w:tc>
        <w:tc>
          <w:tcPr>
            <w:tcW w:w="4678" w:type="dxa"/>
          </w:tcPr>
          <w:p w:rsidR="00343D19" w:rsidRPr="00343D19" w:rsidRDefault="00343D19" w:rsidP="0087082A">
            <w:pPr>
              <w:keepNext w:val="0"/>
              <w:rPr>
                <w:i/>
              </w:rPr>
            </w:pPr>
            <w:r w:rsidRPr="00343D19">
              <w:rPr>
                <w:i/>
              </w:rPr>
              <w:t>New clause, but comments are similar in intent to those in PE009-8 Annex 1 clause 31: Only applies to sterile medicines.</w:t>
            </w:r>
          </w:p>
        </w:tc>
        <w:tc>
          <w:tcPr>
            <w:tcW w:w="1843" w:type="dxa"/>
          </w:tcPr>
          <w:p w:rsidR="00343D19" w:rsidRPr="00343D19" w:rsidRDefault="00343D19" w:rsidP="0087082A">
            <w:pPr>
              <w:keepNext w:val="0"/>
            </w:pPr>
            <w:r w:rsidRPr="00343D19">
              <w:t>None</w:t>
            </w:r>
          </w:p>
        </w:tc>
        <w:tc>
          <w:tcPr>
            <w:tcW w:w="1531" w:type="dxa"/>
          </w:tcPr>
          <w:p w:rsidR="00343D19" w:rsidRPr="00343D19" w:rsidRDefault="00343D19" w:rsidP="0087082A">
            <w:pPr>
              <w:keepNext w:val="0"/>
            </w:pPr>
            <w:r w:rsidRPr="00343D19">
              <w:t>Nil</w:t>
            </w:r>
          </w:p>
        </w:tc>
      </w:tr>
      <w:tr w:rsidR="00343D19" w:rsidTr="00103105">
        <w:trPr>
          <w:cantSplit w:val="0"/>
        </w:trPr>
        <w:tc>
          <w:tcPr>
            <w:tcW w:w="7054" w:type="dxa"/>
          </w:tcPr>
          <w:p w:rsidR="00343D19" w:rsidRPr="00343D19" w:rsidRDefault="00E03251" w:rsidP="0087082A">
            <w:pPr>
              <w:keepNext w:val="0"/>
              <w:rPr>
                <w:rFonts w:ascii="Arial" w:hAnsi="Arial" w:cs="Arial"/>
                <w:color w:val="006DA7"/>
              </w:rPr>
            </w:pPr>
            <w:r w:rsidRPr="00E03251">
              <w:rPr>
                <w:rFonts w:ascii="Arial" w:hAnsi="Arial" w:cs="Arial"/>
                <w:color w:val="006DA7"/>
              </w:rPr>
              <w:t>29. All documents related to the manufacture of radiopharmaceuticals should be prepared, reviewed, approved and distributed according to written procedures.</w:t>
            </w:r>
          </w:p>
        </w:tc>
        <w:tc>
          <w:tcPr>
            <w:tcW w:w="4678" w:type="dxa"/>
          </w:tcPr>
          <w:p w:rsidR="00343D19" w:rsidRPr="00343D19" w:rsidRDefault="00E03251" w:rsidP="0087082A">
            <w:pPr>
              <w:keepNext w:val="0"/>
              <w:rPr>
                <w:i/>
              </w:rPr>
            </w:pPr>
            <w:r w:rsidRPr="00E03251">
              <w:rPr>
                <w:i/>
              </w:rPr>
              <w:t>New clause, but comments are identical in intent to those in PE009-8 Chapter 4.</w:t>
            </w:r>
          </w:p>
        </w:tc>
        <w:tc>
          <w:tcPr>
            <w:tcW w:w="1843" w:type="dxa"/>
          </w:tcPr>
          <w:p w:rsidR="00343D19" w:rsidRPr="00343D19" w:rsidRDefault="00E03251" w:rsidP="0087082A">
            <w:pPr>
              <w:keepNext w:val="0"/>
            </w:pPr>
            <w:r w:rsidRPr="00E03251">
              <w:t>None</w:t>
            </w:r>
          </w:p>
        </w:tc>
        <w:tc>
          <w:tcPr>
            <w:tcW w:w="1531" w:type="dxa"/>
          </w:tcPr>
          <w:p w:rsidR="00343D19" w:rsidRPr="00343D19" w:rsidRDefault="00E03251" w:rsidP="0087082A">
            <w:pPr>
              <w:keepNext w:val="0"/>
            </w:pPr>
            <w:r w:rsidRPr="00E03251">
              <w:t>Nil</w:t>
            </w:r>
          </w:p>
        </w:tc>
      </w:tr>
      <w:tr w:rsidR="00E03251" w:rsidTr="00103105">
        <w:trPr>
          <w:cantSplit w:val="0"/>
        </w:trPr>
        <w:tc>
          <w:tcPr>
            <w:tcW w:w="7054" w:type="dxa"/>
          </w:tcPr>
          <w:p w:rsidR="00E03251" w:rsidRPr="00E03251" w:rsidRDefault="00E03251" w:rsidP="0087082A">
            <w:pPr>
              <w:keepNext w:val="0"/>
              <w:rPr>
                <w:rFonts w:ascii="Arial" w:hAnsi="Arial" w:cs="Arial"/>
                <w:color w:val="006DA7"/>
              </w:rPr>
            </w:pPr>
            <w:r w:rsidRPr="00E03251">
              <w:rPr>
                <w:rFonts w:ascii="Arial" w:hAnsi="Arial" w:cs="Arial"/>
                <w:color w:val="006DA7"/>
              </w:rPr>
              <w:t>30. Specifications should be established and documented for raw materials, labelling and packaging materials, critical intermediates and the finished radiopharmaceutical. Specifications should also be in place for any other critical items used in the manufacturing process, such as process aids, gaskets, sterile filtering kits, that could critically impact on quality.</w:t>
            </w:r>
          </w:p>
        </w:tc>
        <w:tc>
          <w:tcPr>
            <w:tcW w:w="4678" w:type="dxa"/>
          </w:tcPr>
          <w:p w:rsidR="00E03251" w:rsidRPr="00E03251" w:rsidRDefault="00E03251" w:rsidP="0087082A">
            <w:pPr>
              <w:keepNext w:val="0"/>
              <w:rPr>
                <w:i/>
              </w:rPr>
            </w:pPr>
            <w:r w:rsidRPr="00E03251">
              <w:rPr>
                <w:i/>
              </w:rPr>
              <w:t>New clause, but comments are identical in intent to those in PE009-8 clause 4.10.</w:t>
            </w:r>
          </w:p>
        </w:tc>
        <w:tc>
          <w:tcPr>
            <w:tcW w:w="1843" w:type="dxa"/>
          </w:tcPr>
          <w:p w:rsidR="00E03251" w:rsidRPr="00E03251" w:rsidRDefault="00E03251" w:rsidP="0087082A">
            <w:pPr>
              <w:keepNext w:val="0"/>
            </w:pPr>
            <w:r w:rsidRPr="00E03251">
              <w:t>None</w:t>
            </w:r>
          </w:p>
        </w:tc>
        <w:tc>
          <w:tcPr>
            <w:tcW w:w="1531" w:type="dxa"/>
          </w:tcPr>
          <w:p w:rsidR="00E03251" w:rsidRPr="00E03251" w:rsidRDefault="00E03251" w:rsidP="0087082A">
            <w:pPr>
              <w:keepNext w:val="0"/>
            </w:pPr>
            <w:r w:rsidRPr="00E03251">
              <w:t>Nil</w:t>
            </w:r>
          </w:p>
        </w:tc>
      </w:tr>
      <w:tr w:rsidR="00E03251" w:rsidTr="00103105">
        <w:trPr>
          <w:cantSplit w:val="0"/>
        </w:trPr>
        <w:tc>
          <w:tcPr>
            <w:tcW w:w="7054" w:type="dxa"/>
          </w:tcPr>
          <w:p w:rsidR="00E03251" w:rsidRPr="00E03251" w:rsidRDefault="00E03251" w:rsidP="0087082A">
            <w:pPr>
              <w:keepNext w:val="0"/>
              <w:rPr>
                <w:rFonts w:ascii="Arial" w:hAnsi="Arial" w:cs="Arial"/>
                <w:color w:val="006DA7"/>
              </w:rPr>
            </w:pPr>
            <w:r w:rsidRPr="00E03251">
              <w:rPr>
                <w:rFonts w:ascii="Arial" w:hAnsi="Arial" w:cs="Arial"/>
                <w:color w:val="006DA7"/>
              </w:rPr>
              <w:t>31. Acceptance criteria should be established for the radiopharmaceutical including criteria for release and shelf life specifications (examples: chemical identity of the isotope, radioactive concentration, purity, and specific activity).</w:t>
            </w:r>
          </w:p>
        </w:tc>
        <w:tc>
          <w:tcPr>
            <w:tcW w:w="4678" w:type="dxa"/>
          </w:tcPr>
          <w:p w:rsidR="00E03251" w:rsidRPr="00E03251" w:rsidRDefault="00E03251" w:rsidP="0087082A">
            <w:pPr>
              <w:keepNext w:val="0"/>
              <w:rPr>
                <w:i/>
              </w:rPr>
            </w:pPr>
            <w:r w:rsidRPr="00E03251">
              <w:rPr>
                <w:i/>
              </w:rPr>
              <w:t>New clause, but comments are identical in intent to those in PE009-8 clause 4.10 as well as BP/EP/USP where relevant.</w:t>
            </w:r>
          </w:p>
        </w:tc>
        <w:tc>
          <w:tcPr>
            <w:tcW w:w="1843" w:type="dxa"/>
          </w:tcPr>
          <w:p w:rsidR="00E03251" w:rsidRPr="00E03251" w:rsidRDefault="00E03251" w:rsidP="0087082A">
            <w:pPr>
              <w:keepNext w:val="0"/>
            </w:pPr>
            <w:r w:rsidRPr="00E03251">
              <w:t>None</w:t>
            </w:r>
          </w:p>
        </w:tc>
        <w:tc>
          <w:tcPr>
            <w:tcW w:w="1531" w:type="dxa"/>
          </w:tcPr>
          <w:p w:rsidR="00E03251" w:rsidRPr="00E03251" w:rsidRDefault="00E03251" w:rsidP="0087082A">
            <w:pPr>
              <w:keepNext w:val="0"/>
            </w:pPr>
            <w:r w:rsidRPr="00E03251">
              <w:t>Nil</w:t>
            </w:r>
          </w:p>
        </w:tc>
      </w:tr>
      <w:tr w:rsidR="00E03251" w:rsidTr="00103105">
        <w:trPr>
          <w:cantSplit w:val="0"/>
        </w:trPr>
        <w:tc>
          <w:tcPr>
            <w:tcW w:w="7054" w:type="dxa"/>
          </w:tcPr>
          <w:p w:rsidR="00E03251" w:rsidRPr="00E03251" w:rsidRDefault="00E03251" w:rsidP="0087082A">
            <w:pPr>
              <w:keepNext w:val="0"/>
              <w:rPr>
                <w:rFonts w:ascii="Arial" w:hAnsi="Arial" w:cs="Arial"/>
                <w:color w:val="006DA7"/>
              </w:rPr>
            </w:pPr>
            <w:r w:rsidRPr="00E03251">
              <w:rPr>
                <w:rFonts w:ascii="Arial" w:hAnsi="Arial" w:cs="Arial"/>
                <w:color w:val="006DA7"/>
              </w:rPr>
              <w:t xml:space="preserve">32. Records of major equipment use, cleaning, sanitisation or sterilisation and maintenance should show the product name and batch number, where appropriate, in addition to the date and time and </w:t>
            </w:r>
            <w:r w:rsidRPr="00E03251">
              <w:rPr>
                <w:rFonts w:ascii="Arial" w:hAnsi="Arial" w:cs="Arial"/>
                <w:color w:val="006DA7"/>
              </w:rPr>
              <w:lastRenderedPageBreak/>
              <w:t>signature for the persons involved in these activities.</w:t>
            </w:r>
          </w:p>
        </w:tc>
        <w:tc>
          <w:tcPr>
            <w:tcW w:w="4678" w:type="dxa"/>
          </w:tcPr>
          <w:p w:rsidR="00E03251" w:rsidRPr="00E03251" w:rsidRDefault="00E03251" w:rsidP="0087082A">
            <w:pPr>
              <w:keepNext w:val="0"/>
              <w:rPr>
                <w:i/>
              </w:rPr>
            </w:pPr>
            <w:r w:rsidRPr="00E03251">
              <w:rPr>
                <w:i/>
              </w:rPr>
              <w:lastRenderedPageBreak/>
              <w:t>New clause, but comments are identical in intent to those in PE009-8 clause 4.28.</w:t>
            </w:r>
          </w:p>
        </w:tc>
        <w:tc>
          <w:tcPr>
            <w:tcW w:w="1843" w:type="dxa"/>
          </w:tcPr>
          <w:p w:rsidR="00E03251" w:rsidRPr="00E03251" w:rsidRDefault="00E03251" w:rsidP="0087082A">
            <w:pPr>
              <w:keepNext w:val="0"/>
            </w:pPr>
            <w:r w:rsidRPr="00E03251">
              <w:t>None</w:t>
            </w:r>
          </w:p>
        </w:tc>
        <w:tc>
          <w:tcPr>
            <w:tcW w:w="1531" w:type="dxa"/>
          </w:tcPr>
          <w:p w:rsidR="00E03251" w:rsidRPr="00E03251" w:rsidRDefault="00E03251" w:rsidP="0087082A">
            <w:pPr>
              <w:keepNext w:val="0"/>
            </w:pPr>
            <w:r w:rsidRPr="00E03251">
              <w:t>Nil</w:t>
            </w:r>
          </w:p>
        </w:tc>
      </w:tr>
      <w:tr w:rsidR="00274F34" w:rsidTr="00103105">
        <w:trPr>
          <w:cantSplit w:val="0"/>
        </w:trPr>
        <w:tc>
          <w:tcPr>
            <w:tcW w:w="7054" w:type="dxa"/>
          </w:tcPr>
          <w:p w:rsidR="00274F34" w:rsidRPr="00E03251" w:rsidRDefault="00274F34" w:rsidP="0087082A">
            <w:pPr>
              <w:keepNext w:val="0"/>
              <w:rPr>
                <w:rFonts w:ascii="Arial" w:hAnsi="Arial" w:cs="Arial"/>
                <w:color w:val="006DA7"/>
              </w:rPr>
            </w:pPr>
            <w:r w:rsidRPr="00274F34">
              <w:rPr>
                <w:rFonts w:ascii="Arial" w:hAnsi="Arial" w:cs="Arial"/>
                <w:color w:val="006DA7"/>
              </w:rPr>
              <w:lastRenderedPageBreak/>
              <w:t>33. Records should be retained for at least 3 years unless another timeframe is specified in national requirements.</w:t>
            </w:r>
          </w:p>
        </w:tc>
        <w:tc>
          <w:tcPr>
            <w:tcW w:w="4678" w:type="dxa"/>
          </w:tcPr>
          <w:p w:rsidR="00274F34" w:rsidRPr="00E03251" w:rsidRDefault="00274F34" w:rsidP="0087082A">
            <w:pPr>
              <w:keepNext w:val="0"/>
              <w:rPr>
                <w:i/>
              </w:rPr>
            </w:pPr>
            <w:r w:rsidRPr="00274F34">
              <w:rPr>
                <w:i/>
              </w:rPr>
              <w:t>New clause – no equivalent in PE009-8</w:t>
            </w:r>
          </w:p>
        </w:tc>
        <w:tc>
          <w:tcPr>
            <w:tcW w:w="1843" w:type="dxa"/>
          </w:tcPr>
          <w:p w:rsidR="00274F34" w:rsidRPr="00E03251" w:rsidRDefault="00274F34" w:rsidP="0087082A">
            <w:pPr>
              <w:keepNext w:val="0"/>
            </w:pPr>
            <w:r w:rsidRPr="00274F34">
              <w:t>Additional requirement for batch records to be retained for 3 years (differs to other products which are expiry +1 year, clause 4.8 in PE009-8). This would result in additional document archiving requirements only.</w:t>
            </w:r>
          </w:p>
        </w:tc>
        <w:tc>
          <w:tcPr>
            <w:tcW w:w="1531" w:type="dxa"/>
          </w:tcPr>
          <w:p w:rsidR="00274F34" w:rsidRPr="00E03251" w:rsidRDefault="00274F34" w:rsidP="0087082A">
            <w:pPr>
              <w:keepNext w:val="0"/>
            </w:pPr>
            <w:r w:rsidRPr="00274F34">
              <w:t>Minor</w:t>
            </w:r>
          </w:p>
        </w:tc>
      </w:tr>
      <w:tr w:rsidR="00274F34" w:rsidTr="00103105">
        <w:trPr>
          <w:cantSplit w:val="0"/>
        </w:trPr>
        <w:tc>
          <w:tcPr>
            <w:tcW w:w="7054" w:type="dxa"/>
          </w:tcPr>
          <w:p w:rsidR="00274F34" w:rsidRPr="00274F34" w:rsidRDefault="00274F34" w:rsidP="0087082A">
            <w:pPr>
              <w:keepNext w:val="0"/>
            </w:pPr>
            <w:r w:rsidRPr="00274F34">
              <w:t xml:space="preserve">34. Production of different radioactive products in the same </w:t>
            </w:r>
            <w:r w:rsidRPr="00274F34">
              <w:rPr>
                <w:rFonts w:ascii="Arial" w:hAnsi="Arial" w:cs="Arial"/>
                <w:color w:val="006DA7"/>
              </w:rPr>
              <w:t>working area (i.e. hot-cell, LAF unit)</w:t>
            </w:r>
            <w:r w:rsidRPr="00274F34">
              <w:t>, at the same time should be avoided in order to minimise the risk of cross-contamination or mix-up.</w:t>
            </w:r>
          </w:p>
        </w:tc>
        <w:tc>
          <w:tcPr>
            <w:tcW w:w="4678" w:type="dxa"/>
          </w:tcPr>
          <w:p w:rsidR="00274F34" w:rsidRPr="00274F34" w:rsidRDefault="00274F34" w:rsidP="0087082A">
            <w:pPr>
              <w:keepNext w:val="0"/>
            </w:pPr>
            <w:r w:rsidRPr="00274F34">
              <w:t>6. Production of different radioactive products in the same work stations and at the same time should be avoided in order to minimise the risk of cross contamination or mix-up.</w:t>
            </w:r>
          </w:p>
        </w:tc>
        <w:tc>
          <w:tcPr>
            <w:tcW w:w="1843" w:type="dxa"/>
          </w:tcPr>
          <w:p w:rsidR="00274F34" w:rsidRPr="00274F34" w:rsidRDefault="00274F34" w:rsidP="0087082A">
            <w:pPr>
              <w:keepNext w:val="0"/>
            </w:pPr>
            <w:r w:rsidRPr="00274F34">
              <w:t>None</w:t>
            </w:r>
          </w:p>
        </w:tc>
        <w:tc>
          <w:tcPr>
            <w:tcW w:w="1531" w:type="dxa"/>
          </w:tcPr>
          <w:p w:rsidR="00274F34" w:rsidRPr="00274F34" w:rsidRDefault="00274F34" w:rsidP="0087082A">
            <w:pPr>
              <w:keepNext w:val="0"/>
            </w:pPr>
            <w:r w:rsidRPr="00274F34">
              <w:t>Nil</w:t>
            </w:r>
          </w:p>
        </w:tc>
      </w:tr>
      <w:tr w:rsidR="00274F34" w:rsidTr="00103105">
        <w:trPr>
          <w:cantSplit w:val="0"/>
        </w:trPr>
        <w:tc>
          <w:tcPr>
            <w:tcW w:w="7054" w:type="dxa"/>
          </w:tcPr>
          <w:p w:rsidR="00274F34" w:rsidRPr="00274F34" w:rsidRDefault="00274F34" w:rsidP="0087082A">
            <w:pPr>
              <w:keepNext w:val="0"/>
              <w:rPr>
                <w:rFonts w:ascii="Arial" w:hAnsi="Arial" w:cs="Arial"/>
                <w:color w:val="006DA7"/>
              </w:rPr>
            </w:pPr>
            <w:r w:rsidRPr="00274F34">
              <w:rPr>
                <w:rFonts w:ascii="Arial" w:hAnsi="Arial" w:cs="Arial"/>
                <w:color w:val="006DA7"/>
              </w:rPr>
              <w:t xml:space="preserve">35. Special attention should be paid to validation including validation of computerised systems which should be carried out in accordance in </w:t>
            </w:r>
            <w:r w:rsidRPr="00274F34">
              <w:rPr>
                <w:rFonts w:ascii="Arial" w:hAnsi="Arial" w:cs="Arial"/>
                <w:color w:val="006DA7"/>
              </w:rPr>
              <w:lastRenderedPageBreak/>
              <w:t>compliance PIC/S GMP Guide, Annex 11. New manufacturing processes should be validated prospectively.</w:t>
            </w:r>
          </w:p>
        </w:tc>
        <w:tc>
          <w:tcPr>
            <w:tcW w:w="4678" w:type="dxa"/>
          </w:tcPr>
          <w:p w:rsidR="00274F34" w:rsidRPr="00274F34" w:rsidRDefault="00274F34" w:rsidP="0087082A">
            <w:pPr>
              <w:keepNext w:val="0"/>
              <w:rPr>
                <w:i/>
              </w:rPr>
            </w:pPr>
            <w:r w:rsidRPr="00274F34">
              <w:rPr>
                <w:i/>
              </w:rPr>
              <w:lastRenderedPageBreak/>
              <w:t xml:space="preserve">New clause, but comments are identical in intent to those in PE009-8 clause 5.21-5.24 and Annex </w:t>
            </w:r>
            <w:r w:rsidRPr="00274F34">
              <w:rPr>
                <w:i/>
              </w:rPr>
              <w:lastRenderedPageBreak/>
              <w:t>11.</w:t>
            </w:r>
          </w:p>
        </w:tc>
        <w:tc>
          <w:tcPr>
            <w:tcW w:w="1843" w:type="dxa"/>
          </w:tcPr>
          <w:p w:rsidR="00274F34" w:rsidRPr="00274F34" w:rsidRDefault="00274F34" w:rsidP="0087082A">
            <w:pPr>
              <w:keepNext w:val="0"/>
            </w:pPr>
            <w:r w:rsidRPr="00274F34">
              <w:lastRenderedPageBreak/>
              <w:t>None</w:t>
            </w:r>
          </w:p>
        </w:tc>
        <w:tc>
          <w:tcPr>
            <w:tcW w:w="1531" w:type="dxa"/>
          </w:tcPr>
          <w:p w:rsidR="00274F34" w:rsidRPr="00274F34" w:rsidRDefault="00274F34" w:rsidP="0087082A">
            <w:pPr>
              <w:keepNext w:val="0"/>
            </w:pPr>
            <w:r w:rsidRPr="00274F34">
              <w:t>Nil</w:t>
            </w:r>
          </w:p>
        </w:tc>
      </w:tr>
      <w:tr w:rsidR="00274F34" w:rsidTr="00103105">
        <w:trPr>
          <w:cantSplit w:val="0"/>
        </w:trPr>
        <w:tc>
          <w:tcPr>
            <w:tcW w:w="7054" w:type="dxa"/>
          </w:tcPr>
          <w:p w:rsidR="00274F34" w:rsidRPr="00274F34" w:rsidRDefault="00274F34" w:rsidP="0087082A">
            <w:pPr>
              <w:keepNext w:val="0"/>
              <w:rPr>
                <w:rFonts w:ascii="Arial" w:hAnsi="Arial" w:cs="Arial"/>
                <w:color w:val="006DA7"/>
              </w:rPr>
            </w:pPr>
            <w:r w:rsidRPr="00274F34">
              <w:rPr>
                <w:rFonts w:ascii="Arial" w:hAnsi="Arial" w:cs="Arial"/>
                <w:color w:val="006DA7"/>
              </w:rPr>
              <w:lastRenderedPageBreak/>
              <w:t>36. The critical parameters should normally be identified before or during validation and the ranges necessary for reproducible operation should be defined.</w:t>
            </w:r>
          </w:p>
        </w:tc>
        <w:tc>
          <w:tcPr>
            <w:tcW w:w="4678" w:type="dxa"/>
          </w:tcPr>
          <w:p w:rsidR="00274F34" w:rsidRPr="00274F34" w:rsidRDefault="00274F34" w:rsidP="0087082A">
            <w:pPr>
              <w:keepNext w:val="0"/>
              <w:rPr>
                <w:i/>
              </w:rPr>
            </w:pPr>
            <w:r w:rsidRPr="00274F34">
              <w:rPr>
                <w:i/>
              </w:rPr>
              <w:t>New clause, but comments are identical in intent to those in PE009-8 Annex 15 clauses 24-25.</w:t>
            </w:r>
          </w:p>
        </w:tc>
        <w:tc>
          <w:tcPr>
            <w:tcW w:w="1843" w:type="dxa"/>
          </w:tcPr>
          <w:p w:rsidR="00274F34" w:rsidRPr="00274F34" w:rsidRDefault="00274F34" w:rsidP="0087082A">
            <w:pPr>
              <w:keepNext w:val="0"/>
            </w:pPr>
            <w:r w:rsidRPr="00274F34">
              <w:t xml:space="preserve">Approach to validation is similar to the QBD </w:t>
            </w:r>
            <w:proofErr w:type="gramStart"/>
            <w:r w:rsidRPr="00274F34">
              <w:t>principle,</w:t>
            </w:r>
            <w:proofErr w:type="gramEnd"/>
            <w:r w:rsidRPr="00274F34">
              <w:t xml:space="preserve"> however, manufacturers with good sound validation principles should not be challenged by this clause.</w:t>
            </w:r>
          </w:p>
        </w:tc>
        <w:tc>
          <w:tcPr>
            <w:tcW w:w="1531" w:type="dxa"/>
          </w:tcPr>
          <w:p w:rsidR="00274F34" w:rsidRPr="00274F34" w:rsidRDefault="00274F34" w:rsidP="0087082A">
            <w:pPr>
              <w:keepNext w:val="0"/>
            </w:pPr>
            <w:r w:rsidRPr="00274F34">
              <w:t>Nil</w:t>
            </w:r>
          </w:p>
        </w:tc>
      </w:tr>
      <w:tr w:rsidR="00274F34" w:rsidTr="00103105">
        <w:trPr>
          <w:cantSplit w:val="0"/>
        </w:trPr>
        <w:tc>
          <w:tcPr>
            <w:tcW w:w="7054" w:type="dxa"/>
          </w:tcPr>
          <w:p w:rsidR="00274F34" w:rsidRPr="00274F34" w:rsidRDefault="00274F34" w:rsidP="0087082A">
            <w:pPr>
              <w:keepNext w:val="0"/>
              <w:rPr>
                <w:rFonts w:ascii="Arial" w:hAnsi="Arial" w:cs="Arial"/>
                <w:color w:val="006DA7"/>
              </w:rPr>
            </w:pPr>
            <w:r w:rsidRPr="00274F34">
              <w:rPr>
                <w:rFonts w:ascii="Arial" w:hAnsi="Arial" w:cs="Arial"/>
                <w:color w:val="006DA7"/>
              </w:rPr>
              <w:t>37. Integrity testing of the membrane filter should be performed for aseptically filled products, taking into account the need for radiation protection and maintenance of filter sterility.</w:t>
            </w:r>
          </w:p>
        </w:tc>
        <w:tc>
          <w:tcPr>
            <w:tcW w:w="4678" w:type="dxa"/>
          </w:tcPr>
          <w:p w:rsidR="00274F34" w:rsidRPr="00274F34" w:rsidRDefault="00274F34" w:rsidP="0087082A">
            <w:pPr>
              <w:keepNext w:val="0"/>
              <w:rPr>
                <w:i/>
              </w:rPr>
            </w:pPr>
            <w:r w:rsidRPr="00274F34">
              <w:rPr>
                <w:i/>
              </w:rPr>
              <w:t>New clause, but comments are identical in intent to those in PE009-8 Annex 1 clause 113.</w:t>
            </w:r>
          </w:p>
        </w:tc>
        <w:tc>
          <w:tcPr>
            <w:tcW w:w="1843" w:type="dxa"/>
          </w:tcPr>
          <w:p w:rsidR="00274F34" w:rsidRPr="00274F34" w:rsidRDefault="00274F34" w:rsidP="0087082A">
            <w:pPr>
              <w:keepNext w:val="0"/>
            </w:pPr>
            <w:r w:rsidRPr="00274F34">
              <w:t>None</w:t>
            </w:r>
          </w:p>
        </w:tc>
        <w:tc>
          <w:tcPr>
            <w:tcW w:w="1531" w:type="dxa"/>
          </w:tcPr>
          <w:p w:rsidR="00274F34" w:rsidRPr="00274F34" w:rsidRDefault="00274F34" w:rsidP="0087082A">
            <w:pPr>
              <w:keepNext w:val="0"/>
            </w:pPr>
            <w:r w:rsidRPr="00274F34">
              <w:t>Nil</w:t>
            </w:r>
          </w:p>
        </w:tc>
      </w:tr>
      <w:tr w:rsidR="00274F34" w:rsidTr="00103105">
        <w:trPr>
          <w:cantSplit w:val="0"/>
        </w:trPr>
        <w:tc>
          <w:tcPr>
            <w:tcW w:w="7054" w:type="dxa"/>
          </w:tcPr>
          <w:p w:rsidR="00274F34" w:rsidRPr="00274F34" w:rsidRDefault="00274F34" w:rsidP="0087082A">
            <w:pPr>
              <w:keepNext w:val="0"/>
              <w:rPr>
                <w:rFonts w:ascii="Arial" w:hAnsi="Arial" w:cs="Arial"/>
                <w:color w:val="006DA7"/>
              </w:rPr>
            </w:pPr>
            <w:r w:rsidRPr="00274F34">
              <w:rPr>
                <w:rFonts w:ascii="Arial" w:hAnsi="Arial" w:cs="Arial"/>
                <w:color w:val="006DA7"/>
              </w:rPr>
              <w:t>38. Due to radiation exposure it is accepted that most of the labelling of the direct container, is done prior to manufacturing. Sterile empty closed vials may be labelled with partial information prior to filling providing that this procedure does not compromise sterility or prevent visual control of the filled vial.</w:t>
            </w:r>
          </w:p>
        </w:tc>
        <w:tc>
          <w:tcPr>
            <w:tcW w:w="4678" w:type="dxa"/>
          </w:tcPr>
          <w:p w:rsidR="00274F34" w:rsidRPr="00274F34" w:rsidRDefault="00274F34" w:rsidP="0087082A">
            <w:pPr>
              <w:keepNext w:val="0"/>
              <w:rPr>
                <w:i/>
              </w:rPr>
            </w:pPr>
            <w:r w:rsidRPr="00274F34">
              <w:rPr>
                <w:i/>
              </w:rPr>
              <w:t>New clause – no equivalent in PE009-8</w:t>
            </w:r>
          </w:p>
        </w:tc>
        <w:tc>
          <w:tcPr>
            <w:tcW w:w="1843" w:type="dxa"/>
          </w:tcPr>
          <w:p w:rsidR="00274F34" w:rsidRPr="00274F34" w:rsidRDefault="00274F34" w:rsidP="0087082A">
            <w:pPr>
              <w:keepNext w:val="0"/>
            </w:pPr>
            <w:r w:rsidRPr="00274F34">
              <w:t xml:space="preserve">This clause outlines the practical considerations for labelling of primary containers and is </w:t>
            </w:r>
            <w:r w:rsidRPr="00274F34">
              <w:lastRenderedPageBreak/>
              <w:t>in line with current accepted practices in industry.</w:t>
            </w:r>
          </w:p>
        </w:tc>
        <w:tc>
          <w:tcPr>
            <w:tcW w:w="1531" w:type="dxa"/>
          </w:tcPr>
          <w:p w:rsidR="00274F34" w:rsidRPr="00274F34" w:rsidRDefault="00274F34" w:rsidP="0087082A">
            <w:pPr>
              <w:keepNext w:val="0"/>
            </w:pPr>
            <w:r w:rsidRPr="00274F34">
              <w:lastRenderedPageBreak/>
              <w:t>Nil</w:t>
            </w:r>
          </w:p>
        </w:tc>
      </w:tr>
      <w:tr w:rsidR="00274F34" w:rsidTr="00103105">
        <w:trPr>
          <w:cantSplit w:val="0"/>
        </w:trPr>
        <w:tc>
          <w:tcPr>
            <w:tcW w:w="7054" w:type="dxa"/>
          </w:tcPr>
          <w:p w:rsidR="00274F34" w:rsidRPr="00274F34" w:rsidRDefault="00274F34" w:rsidP="0087082A">
            <w:pPr>
              <w:keepNext w:val="0"/>
              <w:rPr>
                <w:rFonts w:ascii="Arial" w:hAnsi="Arial" w:cs="Arial"/>
                <w:color w:val="006DA7"/>
              </w:rPr>
            </w:pPr>
            <w:r w:rsidRPr="00274F34">
              <w:rPr>
                <w:rFonts w:ascii="Arial" w:hAnsi="Arial" w:cs="Arial"/>
                <w:color w:val="006DA7"/>
              </w:rPr>
              <w:lastRenderedPageBreak/>
              <w:t>39. Some radiopharmaceuticals may have to be distributed and used on the basis of an assessment of batch documentation and before all chemical and microbiology tests have been completed.</w:t>
            </w:r>
          </w:p>
          <w:p w:rsidR="00274F34" w:rsidRPr="00274F34" w:rsidRDefault="00274F34" w:rsidP="0087082A">
            <w:pPr>
              <w:keepNext w:val="0"/>
              <w:rPr>
                <w:rFonts w:ascii="Arial" w:hAnsi="Arial" w:cs="Arial"/>
                <w:color w:val="006DA7"/>
              </w:rPr>
            </w:pPr>
            <w:r w:rsidRPr="00274F34">
              <w:rPr>
                <w:rFonts w:ascii="Arial" w:hAnsi="Arial" w:cs="Arial"/>
                <w:color w:val="006DA7"/>
              </w:rPr>
              <w:t>Radiopharmaceutical product release may be carried out in two or more stages, before and after full analytical testing:</w:t>
            </w:r>
          </w:p>
          <w:p w:rsidR="00274F34" w:rsidRPr="00274F34" w:rsidRDefault="00274F34" w:rsidP="0087082A">
            <w:pPr>
              <w:keepNext w:val="0"/>
              <w:rPr>
                <w:rFonts w:ascii="Arial" w:hAnsi="Arial" w:cs="Arial"/>
                <w:color w:val="006DA7"/>
              </w:rPr>
            </w:pPr>
            <w:r w:rsidRPr="00274F34">
              <w:rPr>
                <w:rFonts w:ascii="Arial" w:hAnsi="Arial" w:cs="Arial"/>
                <w:color w:val="006DA7"/>
              </w:rPr>
              <w:t xml:space="preserve">a) Assessment by a designated person of batch processing records, which should cover production conditions and analytical </w:t>
            </w:r>
            <w:proofErr w:type="gramStart"/>
            <w:r w:rsidRPr="00274F34">
              <w:rPr>
                <w:rFonts w:ascii="Arial" w:hAnsi="Arial" w:cs="Arial"/>
                <w:color w:val="006DA7"/>
              </w:rPr>
              <w:t>testing</w:t>
            </w:r>
            <w:proofErr w:type="gramEnd"/>
            <w:r w:rsidRPr="00274F34">
              <w:rPr>
                <w:rFonts w:ascii="Arial" w:hAnsi="Arial" w:cs="Arial"/>
                <w:color w:val="006DA7"/>
              </w:rPr>
              <w:t xml:space="preserve"> performed thus far, before allowing transportation of the radiopharmaceutical under quarantine status to the clinical department.</w:t>
            </w:r>
          </w:p>
          <w:p w:rsidR="00274F34" w:rsidRPr="00274F34" w:rsidRDefault="00274F34" w:rsidP="0087082A">
            <w:pPr>
              <w:keepNext w:val="0"/>
              <w:rPr>
                <w:rFonts w:ascii="Arial" w:hAnsi="Arial" w:cs="Arial"/>
                <w:color w:val="006DA7"/>
              </w:rPr>
            </w:pPr>
            <w:r w:rsidRPr="00274F34">
              <w:rPr>
                <w:rFonts w:ascii="Arial" w:hAnsi="Arial" w:cs="Arial"/>
                <w:color w:val="006DA7"/>
              </w:rPr>
              <w:t>b) Assessment of the final analytical data, ensuring all deviations from normal procedures are documented, justified and appropriately released prior to documented certification by the Authorised Person. Where certain test results are not available before use of the product, the Authorised Person should conditionally certify the product before it is used and should finally certify the product after all the test results are obtained.</w:t>
            </w:r>
          </w:p>
        </w:tc>
        <w:tc>
          <w:tcPr>
            <w:tcW w:w="4678" w:type="dxa"/>
          </w:tcPr>
          <w:p w:rsidR="006D4E95" w:rsidRPr="006D4E95" w:rsidRDefault="006D4E95" w:rsidP="0087082A">
            <w:pPr>
              <w:keepNext w:val="0"/>
              <w:rPr>
                <w:i/>
              </w:rPr>
            </w:pPr>
            <w:r w:rsidRPr="006D4E95">
              <w:rPr>
                <w:i/>
              </w:rPr>
              <w:t>PE009-8 Annex 3 clause 8:</w:t>
            </w:r>
          </w:p>
          <w:p w:rsidR="00274F34" w:rsidRPr="00274F34" w:rsidRDefault="006D4E95" w:rsidP="0087082A">
            <w:pPr>
              <w:keepNext w:val="0"/>
            </w:pPr>
            <w:r w:rsidRPr="006D4E95">
              <w:t>“When products must be dispatched before all tests are completed, this does not reduce the need for a formal recorded decision to be taken by the Authorised Person on the conformity of the batch. In this case there should be a written procedure detailing all production and Quality Control data which should be considered before the batch is dispatched. A procedure should also describe those measures which will be taken by the Authorised Person if unsatisfactory test results are obtained after dispatch.”</w:t>
            </w:r>
          </w:p>
        </w:tc>
        <w:tc>
          <w:tcPr>
            <w:tcW w:w="1843" w:type="dxa"/>
          </w:tcPr>
          <w:p w:rsidR="00274F34" w:rsidRPr="00274F34" w:rsidRDefault="006D4E95" w:rsidP="0087082A">
            <w:pPr>
              <w:keepNext w:val="0"/>
            </w:pPr>
            <w:r w:rsidRPr="006D4E95">
              <w:t>New clause clarifies the requirements for release for supply. The new expanded requirements are in line with current multi-stage release processes undertaken by licensed manufacturers.</w:t>
            </w:r>
          </w:p>
        </w:tc>
        <w:tc>
          <w:tcPr>
            <w:tcW w:w="1531" w:type="dxa"/>
          </w:tcPr>
          <w:p w:rsidR="00274F34" w:rsidRPr="00274F34" w:rsidRDefault="006D4E95" w:rsidP="0087082A">
            <w:pPr>
              <w:keepNext w:val="0"/>
            </w:pPr>
            <w:r w:rsidRPr="006D4E95">
              <w:t>Nil</w:t>
            </w:r>
          </w:p>
        </w:tc>
      </w:tr>
      <w:tr w:rsidR="006D4E95" w:rsidTr="00103105">
        <w:trPr>
          <w:cantSplit w:val="0"/>
        </w:trPr>
        <w:tc>
          <w:tcPr>
            <w:tcW w:w="7054" w:type="dxa"/>
          </w:tcPr>
          <w:p w:rsidR="006D4E95" w:rsidRPr="00274F34" w:rsidRDefault="006D4E95" w:rsidP="0087082A">
            <w:pPr>
              <w:keepNext w:val="0"/>
              <w:rPr>
                <w:rFonts w:ascii="Arial" w:hAnsi="Arial" w:cs="Arial"/>
                <w:color w:val="006DA7"/>
              </w:rPr>
            </w:pPr>
            <w:r w:rsidRPr="006D4E95">
              <w:rPr>
                <w:rFonts w:ascii="Arial" w:hAnsi="Arial" w:cs="Arial"/>
                <w:color w:val="006DA7"/>
              </w:rPr>
              <w:t xml:space="preserve">40. Most radiopharmaceuticals are intended for use within a short time and the period of validity with regard to the radioactive shelf-life, </w:t>
            </w:r>
            <w:r w:rsidRPr="006D4E95">
              <w:rPr>
                <w:rFonts w:ascii="Arial" w:hAnsi="Arial" w:cs="Arial"/>
                <w:color w:val="006DA7"/>
              </w:rPr>
              <w:lastRenderedPageBreak/>
              <w:t>must be clearly stated.</w:t>
            </w:r>
          </w:p>
        </w:tc>
        <w:tc>
          <w:tcPr>
            <w:tcW w:w="4678" w:type="dxa"/>
          </w:tcPr>
          <w:p w:rsidR="006D4E95" w:rsidRPr="006D4E95" w:rsidRDefault="006D4E95" w:rsidP="0087082A">
            <w:pPr>
              <w:keepNext w:val="0"/>
              <w:rPr>
                <w:i/>
              </w:rPr>
            </w:pPr>
            <w:r w:rsidRPr="006D4E95">
              <w:rPr>
                <w:i/>
              </w:rPr>
              <w:lastRenderedPageBreak/>
              <w:t xml:space="preserve">New clause, but comments are identical in intent to those on ongoing stability in PE009-8 clauses </w:t>
            </w:r>
            <w:r w:rsidRPr="006D4E95">
              <w:rPr>
                <w:i/>
              </w:rPr>
              <w:lastRenderedPageBreak/>
              <w:t>6.23-6.33</w:t>
            </w:r>
          </w:p>
        </w:tc>
        <w:tc>
          <w:tcPr>
            <w:tcW w:w="1843" w:type="dxa"/>
          </w:tcPr>
          <w:p w:rsidR="006D4E95" w:rsidRPr="006D4E95" w:rsidRDefault="006D4E95" w:rsidP="0087082A">
            <w:pPr>
              <w:keepNext w:val="0"/>
            </w:pPr>
            <w:r w:rsidRPr="006D4E95">
              <w:lastRenderedPageBreak/>
              <w:t>None</w:t>
            </w:r>
          </w:p>
        </w:tc>
        <w:tc>
          <w:tcPr>
            <w:tcW w:w="1531" w:type="dxa"/>
          </w:tcPr>
          <w:p w:rsidR="006D4E95" w:rsidRPr="006D4E95" w:rsidRDefault="006D4E95" w:rsidP="0087082A">
            <w:pPr>
              <w:keepNext w:val="0"/>
            </w:pPr>
            <w:r w:rsidRPr="006D4E95">
              <w:t>Nil</w:t>
            </w:r>
          </w:p>
        </w:tc>
      </w:tr>
      <w:tr w:rsidR="006D4E95" w:rsidTr="00103105">
        <w:trPr>
          <w:cantSplit w:val="0"/>
        </w:trPr>
        <w:tc>
          <w:tcPr>
            <w:tcW w:w="7054" w:type="dxa"/>
          </w:tcPr>
          <w:p w:rsidR="006D4E95" w:rsidRPr="006D4E95" w:rsidRDefault="006D4E95" w:rsidP="0087082A">
            <w:pPr>
              <w:keepNext w:val="0"/>
              <w:rPr>
                <w:rFonts w:ascii="Arial" w:hAnsi="Arial" w:cs="Arial"/>
                <w:color w:val="006DA7"/>
              </w:rPr>
            </w:pPr>
            <w:r w:rsidRPr="006D4E95">
              <w:rPr>
                <w:rFonts w:ascii="Arial" w:hAnsi="Arial" w:cs="Arial"/>
                <w:color w:val="006DA7"/>
              </w:rPr>
              <w:lastRenderedPageBreak/>
              <w:t>41. Radiopharmaceuticals having radionuclides with long half-lives should be tested to show, that they meet all relevant acceptance criteria before release and certification by the Authorised Person.</w:t>
            </w:r>
          </w:p>
        </w:tc>
        <w:tc>
          <w:tcPr>
            <w:tcW w:w="4678" w:type="dxa"/>
          </w:tcPr>
          <w:p w:rsidR="006D4E95" w:rsidRPr="006D4E95" w:rsidRDefault="006D4E95" w:rsidP="0087082A">
            <w:pPr>
              <w:keepNext w:val="0"/>
              <w:rPr>
                <w:i/>
              </w:rPr>
            </w:pPr>
            <w:r w:rsidRPr="006D4E95">
              <w:rPr>
                <w:i/>
              </w:rPr>
              <w:t>New clause – no equivalent in PE009-8</w:t>
            </w:r>
          </w:p>
        </w:tc>
        <w:tc>
          <w:tcPr>
            <w:tcW w:w="1843" w:type="dxa"/>
          </w:tcPr>
          <w:p w:rsidR="006D4E95" w:rsidRPr="006D4E95" w:rsidRDefault="006D4E95" w:rsidP="0087082A">
            <w:pPr>
              <w:keepNext w:val="0"/>
            </w:pPr>
            <w:r w:rsidRPr="006D4E95">
              <w:t>No change, it is TGA policy to expect testing in accordance with the release specification prior to release. No impact on existing manufacturers; however, TGA should define “long half-life”</w:t>
            </w:r>
          </w:p>
        </w:tc>
        <w:tc>
          <w:tcPr>
            <w:tcW w:w="1531" w:type="dxa"/>
          </w:tcPr>
          <w:p w:rsidR="006D4E95" w:rsidRPr="006D4E95" w:rsidRDefault="006D4E95" w:rsidP="0087082A">
            <w:pPr>
              <w:keepNext w:val="0"/>
            </w:pPr>
            <w:r w:rsidRPr="006D4E95">
              <w:t>Nil.</w:t>
            </w:r>
          </w:p>
        </w:tc>
      </w:tr>
      <w:tr w:rsidR="00E51A86" w:rsidTr="00103105">
        <w:trPr>
          <w:cantSplit w:val="0"/>
        </w:trPr>
        <w:tc>
          <w:tcPr>
            <w:tcW w:w="7054" w:type="dxa"/>
          </w:tcPr>
          <w:p w:rsidR="00E51A86" w:rsidRPr="006D4E95" w:rsidRDefault="00E51A86" w:rsidP="0087082A">
            <w:pPr>
              <w:keepNext w:val="0"/>
              <w:rPr>
                <w:rFonts w:ascii="Arial" w:hAnsi="Arial" w:cs="Arial"/>
                <w:color w:val="006DA7"/>
              </w:rPr>
            </w:pPr>
            <w:r w:rsidRPr="00E51A86">
              <w:rPr>
                <w:rFonts w:ascii="Arial" w:hAnsi="Arial" w:cs="Arial"/>
                <w:color w:val="006DA7"/>
              </w:rPr>
              <w:t>42. Before testing is performed samples can be stored to allow sufficient radioactivity decay. All tests including the sterility test should be performed as soon as possible.</w:t>
            </w:r>
          </w:p>
        </w:tc>
        <w:tc>
          <w:tcPr>
            <w:tcW w:w="4678" w:type="dxa"/>
          </w:tcPr>
          <w:p w:rsidR="00E51A86" w:rsidRPr="006D4E95" w:rsidRDefault="00E51A86" w:rsidP="0087082A">
            <w:pPr>
              <w:keepNext w:val="0"/>
              <w:rPr>
                <w:i/>
              </w:rPr>
            </w:pPr>
            <w:r w:rsidRPr="00E51A86">
              <w:rPr>
                <w:i/>
              </w:rPr>
              <w:t>New clause – no equivalent in PE009-8</w:t>
            </w:r>
          </w:p>
        </w:tc>
        <w:tc>
          <w:tcPr>
            <w:tcW w:w="1843" w:type="dxa"/>
          </w:tcPr>
          <w:p w:rsidR="00E51A86" w:rsidRPr="006D4E95" w:rsidRDefault="00E51A86" w:rsidP="0087082A">
            <w:pPr>
              <w:keepNext w:val="0"/>
            </w:pPr>
            <w:r w:rsidRPr="00E51A86">
              <w:t>This clause clarifies current practices. No change for industry.</w:t>
            </w:r>
          </w:p>
        </w:tc>
        <w:tc>
          <w:tcPr>
            <w:tcW w:w="1531" w:type="dxa"/>
          </w:tcPr>
          <w:p w:rsidR="00E51A86" w:rsidRPr="006D4E95" w:rsidRDefault="00E51A86" w:rsidP="0087082A">
            <w:pPr>
              <w:keepNext w:val="0"/>
            </w:pPr>
            <w:r w:rsidRPr="00E51A86">
              <w:t>Nil</w:t>
            </w:r>
          </w:p>
        </w:tc>
      </w:tr>
      <w:tr w:rsidR="00E51A86" w:rsidTr="00103105">
        <w:trPr>
          <w:cantSplit w:val="0"/>
        </w:trPr>
        <w:tc>
          <w:tcPr>
            <w:tcW w:w="7054" w:type="dxa"/>
          </w:tcPr>
          <w:p w:rsidR="00E51A86" w:rsidRPr="00E51A86" w:rsidRDefault="00E51A86" w:rsidP="0087082A">
            <w:pPr>
              <w:keepNext w:val="0"/>
              <w:rPr>
                <w:rFonts w:ascii="Arial" w:hAnsi="Arial" w:cs="Arial"/>
                <w:color w:val="006DA7"/>
              </w:rPr>
            </w:pPr>
            <w:r w:rsidRPr="00E51A86">
              <w:rPr>
                <w:rFonts w:ascii="Arial" w:hAnsi="Arial" w:cs="Arial"/>
                <w:color w:val="006DA7"/>
              </w:rPr>
              <w:t>43. A written procedure detailing the assessment of production and analytical data, which should be considered before the batch is dispatched, should be established.</w:t>
            </w:r>
          </w:p>
        </w:tc>
        <w:tc>
          <w:tcPr>
            <w:tcW w:w="4678" w:type="dxa"/>
          </w:tcPr>
          <w:p w:rsidR="00E51A86" w:rsidRPr="00E51A86" w:rsidRDefault="00E51A86" w:rsidP="0087082A">
            <w:pPr>
              <w:keepNext w:val="0"/>
              <w:rPr>
                <w:i/>
              </w:rPr>
            </w:pPr>
            <w:r w:rsidRPr="00E51A86">
              <w:rPr>
                <w:i/>
              </w:rPr>
              <w:t>New clause, but comments are identical in intent to those on release in PE009-8 clause 4.24.</w:t>
            </w:r>
          </w:p>
          <w:p w:rsidR="00E51A86" w:rsidRPr="00E51A86" w:rsidRDefault="00E51A86" w:rsidP="0087082A">
            <w:pPr>
              <w:keepNext w:val="0"/>
              <w:rPr>
                <w:i/>
              </w:rPr>
            </w:pPr>
            <w:r w:rsidRPr="00E51A86">
              <w:rPr>
                <w:i/>
              </w:rPr>
              <w:t>Complements PE009-10 Annex 3clause 39</w:t>
            </w:r>
          </w:p>
        </w:tc>
        <w:tc>
          <w:tcPr>
            <w:tcW w:w="1843" w:type="dxa"/>
          </w:tcPr>
          <w:p w:rsidR="00E51A86" w:rsidRPr="00E51A86" w:rsidRDefault="00E51A86" w:rsidP="0087082A">
            <w:pPr>
              <w:keepNext w:val="0"/>
            </w:pPr>
            <w:r w:rsidRPr="00E51A86">
              <w:t>None</w:t>
            </w:r>
          </w:p>
        </w:tc>
        <w:tc>
          <w:tcPr>
            <w:tcW w:w="1531" w:type="dxa"/>
          </w:tcPr>
          <w:p w:rsidR="00E51A86" w:rsidRPr="00E51A86" w:rsidRDefault="00E51A86" w:rsidP="0087082A">
            <w:pPr>
              <w:keepNext w:val="0"/>
            </w:pPr>
            <w:r w:rsidRPr="00E51A86">
              <w:t>Nil</w:t>
            </w:r>
          </w:p>
        </w:tc>
      </w:tr>
      <w:tr w:rsidR="00E51A86" w:rsidTr="00103105">
        <w:trPr>
          <w:cantSplit w:val="0"/>
        </w:trPr>
        <w:tc>
          <w:tcPr>
            <w:tcW w:w="7054" w:type="dxa"/>
          </w:tcPr>
          <w:p w:rsidR="00E51A86" w:rsidRPr="00E51A86" w:rsidRDefault="00E51A86" w:rsidP="0087082A">
            <w:pPr>
              <w:keepNext w:val="0"/>
            </w:pPr>
            <w:r w:rsidRPr="00E51A86">
              <w:lastRenderedPageBreak/>
              <w:t>44. Products that fail to meet acceptance criteria should be rejected. If the material is reprocessed, pre-established procedures should be followed and the finished product should meet acceptance criteria before release. Returned products may not be reprocessed and must be stored as radioactive waste.</w:t>
            </w:r>
          </w:p>
        </w:tc>
        <w:tc>
          <w:tcPr>
            <w:tcW w:w="4678" w:type="dxa"/>
          </w:tcPr>
          <w:p w:rsidR="00E51A86" w:rsidRPr="00E51A86" w:rsidRDefault="00E51A86" w:rsidP="0087082A">
            <w:pPr>
              <w:keepNext w:val="0"/>
              <w:rPr>
                <w:i/>
              </w:rPr>
            </w:pPr>
            <w:r w:rsidRPr="00E51A86">
              <w:rPr>
                <w:i/>
              </w:rPr>
              <w:t>New clause, but comments are identical in intent to those in PE009-8 5.62 &amp; 5.65</w:t>
            </w:r>
          </w:p>
        </w:tc>
        <w:tc>
          <w:tcPr>
            <w:tcW w:w="1843" w:type="dxa"/>
          </w:tcPr>
          <w:p w:rsidR="00E51A86" w:rsidRPr="00E51A86" w:rsidRDefault="00E51A86" w:rsidP="0087082A">
            <w:pPr>
              <w:keepNext w:val="0"/>
            </w:pPr>
            <w:r w:rsidRPr="00E51A86">
              <w:t>None</w:t>
            </w:r>
          </w:p>
        </w:tc>
        <w:tc>
          <w:tcPr>
            <w:tcW w:w="1531" w:type="dxa"/>
          </w:tcPr>
          <w:p w:rsidR="00E51A86" w:rsidRPr="00E51A86" w:rsidRDefault="00E51A86" w:rsidP="0087082A">
            <w:pPr>
              <w:keepNext w:val="0"/>
            </w:pPr>
            <w:r w:rsidRPr="00E51A86">
              <w:t>Nil</w:t>
            </w:r>
          </w:p>
        </w:tc>
      </w:tr>
      <w:tr w:rsidR="00E51A86" w:rsidTr="00103105">
        <w:trPr>
          <w:cantSplit w:val="0"/>
        </w:trPr>
        <w:tc>
          <w:tcPr>
            <w:tcW w:w="7054" w:type="dxa"/>
          </w:tcPr>
          <w:p w:rsidR="00E51A86" w:rsidRPr="00E51A86" w:rsidRDefault="00E51A86" w:rsidP="0087082A">
            <w:pPr>
              <w:keepNext w:val="0"/>
            </w:pPr>
            <w:r w:rsidRPr="00E51A86">
              <w:t xml:space="preserve">45. A procedure should also describe the measures to be taken by Authorised Person if unsatisfactory test results </w:t>
            </w:r>
            <w:r w:rsidRPr="00E51A86">
              <w:rPr>
                <w:rFonts w:ascii="Arial" w:hAnsi="Arial" w:cs="Arial"/>
                <w:color w:val="006DA7"/>
              </w:rPr>
              <w:t>(Out-of-Specification)</w:t>
            </w:r>
            <w:r w:rsidRPr="00E51A86">
              <w:t xml:space="preserve"> are obtained after dispatch and before expiry. </w:t>
            </w:r>
            <w:r w:rsidRPr="00E51A86">
              <w:rPr>
                <w:rFonts w:ascii="Arial" w:hAnsi="Arial" w:cs="Arial"/>
                <w:color w:val="006DA7"/>
              </w:rPr>
              <w:t>Such events should be investigated to include the relevant corrective and preventative actions taken to prevent future events. This process must be documented.</w:t>
            </w:r>
          </w:p>
        </w:tc>
        <w:tc>
          <w:tcPr>
            <w:tcW w:w="4678" w:type="dxa"/>
          </w:tcPr>
          <w:p w:rsidR="00E51A86" w:rsidRPr="00E51A86" w:rsidRDefault="00E51A86" w:rsidP="0087082A">
            <w:pPr>
              <w:keepNext w:val="0"/>
            </w:pPr>
            <w:r w:rsidRPr="00E51A86">
              <w:t>8 “When products must be dispatched before all tests are completed, this does not reduce the need for a formal recorded decision to be taken by the Authorised Person on the conformity of the batch. In this case there should be a written procedure detailing all production and Quality Control data which should be considered before the batch is dispatched. A procedure should also describe those measures which will be taken by the Authorised Person if unsatisfactory test results are obtained after dispatch.”</w:t>
            </w:r>
          </w:p>
        </w:tc>
        <w:tc>
          <w:tcPr>
            <w:tcW w:w="1843" w:type="dxa"/>
          </w:tcPr>
          <w:p w:rsidR="00E51A86" w:rsidRPr="00E51A86" w:rsidRDefault="00E51A86" w:rsidP="0087082A">
            <w:pPr>
              <w:keepNext w:val="0"/>
            </w:pPr>
            <w:r w:rsidRPr="00E51A86">
              <w:t xml:space="preserve">The intent of these clauses </w:t>
            </w:r>
            <w:proofErr w:type="gramStart"/>
            <w:r w:rsidRPr="00E51A86">
              <w:t>are</w:t>
            </w:r>
            <w:proofErr w:type="gramEnd"/>
            <w:r w:rsidRPr="00E51A86">
              <w:t xml:space="preserve"> similar in both standards. The requirements for corrective and preventative actions are already mandated by Chapter 1 under deviations.</w:t>
            </w:r>
          </w:p>
        </w:tc>
        <w:tc>
          <w:tcPr>
            <w:tcW w:w="1531" w:type="dxa"/>
          </w:tcPr>
          <w:p w:rsidR="00E51A86" w:rsidRPr="00E51A86" w:rsidRDefault="00E51A86" w:rsidP="0087082A">
            <w:pPr>
              <w:keepNext w:val="0"/>
            </w:pPr>
            <w:r w:rsidRPr="00E51A86">
              <w:t>Nil</w:t>
            </w:r>
          </w:p>
        </w:tc>
      </w:tr>
      <w:tr w:rsidR="00E51A86" w:rsidTr="00103105">
        <w:trPr>
          <w:cantSplit w:val="0"/>
        </w:trPr>
        <w:tc>
          <w:tcPr>
            <w:tcW w:w="7054" w:type="dxa"/>
          </w:tcPr>
          <w:p w:rsidR="00E51A86" w:rsidRPr="00E51A86" w:rsidRDefault="00E51A86" w:rsidP="0087082A">
            <w:pPr>
              <w:keepNext w:val="0"/>
              <w:rPr>
                <w:rFonts w:ascii="Arial" w:hAnsi="Arial" w:cs="Arial"/>
                <w:color w:val="006DA7"/>
              </w:rPr>
            </w:pPr>
            <w:r w:rsidRPr="00E51A86">
              <w:rPr>
                <w:rFonts w:ascii="Arial" w:hAnsi="Arial" w:cs="Arial"/>
                <w:color w:val="006DA7"/>
              </w:rPr>
              <w:t>46. Information should be given to the clinical responsible persons, if necessary. To facilitate this, a traceability system should be implemented for radiopharmaceuticals.</w:t>
            </w:r>
          </w:p>
        </w:tc>
        <w:tc>
          <w:tcPr>
            <w:tcW w:w="4678" w:type="dxa"/>
          </w:tcPr>
          <w:p w:rsidR="00E51A86" w:rsidRPr="00E51A86" w:rsidRDefault="00E51A86" w:rsidP="0087082A">
            <w:pPr>
              <w:keepNext w:val="0"/>
              <w:rPr>
                <w:i/>
              </w:rPr>
            </w:pPr>
            <w:r w:rsidRPr="00E51A86">
              <w:rPr>
                <w:i/>
              </w:rPr>
              <w:t>New clause, but comments are identical in intent to those in PE009-8 clause 4.25.</w:t>
            </w:r>
          </w:p>
          <w:p w:rsidR="00E51A86" w:rsidRPr="00E51A86" w:rsidRDefault="00E51A86" w:rsidP="0087082A">
            <w:pPr>
              <w:keepNext w:val="0"/>
            </w:pPr>
            <w:r w:rsidRPr="00E51A86">
              <w:rPr>
                <w:i/>
              </w:rPr>
              <w:t>Annex 3 clause 10 PE009-8</w:t>
            </w:r>
            <w:r>
              <w:t xml:space="preserve"> “</w:t>
            </w:r>
            <w:r w:rsidRPr="00E51A86">
              <w:rPr>
                <w:u w:val="single"/>
              </w:rPr>
              <w:t>Detailed distribution records should be maintained</w:t>
            </w:r>
            <w:r>
              <w:t xml:space="preserve"> and there should be procedures which describe the measures to be taken for stopping the use of defective radiopharmaceuticals. Recall </w:t>
            </w:r>
            <w:r>
              <w:lastRenderedPageBreak/>
              <w:t>operations should be shown to be operable within a very short time.”</w:t>
            </w:r>
          </w:p>
        </w:tc>
        <w:tc>
          <w:tcPr>
            <w:tcW w:w="1843" w:type="dxa"/>
          </w:tcPr>
          <w:p w:rsidR="00E51A86" w:rsidRPr="00E51A86" w:rsidRDefault="00E51A86" w:rsidP="0087082A">
            <w:pPr>
              <w:keepNext w:val="0"/>
            </w:pPr>
            <w:r w:rsidRPr="00E51A86">
              <w:lastRenderedPageBreak/>
              <w:t xml:space="preserve">No </w:t>
            </w:r>
            <w:proofErr w:type="gramStart"/>
            <w:r w:rsidRPr="00E51A86">
              <w:t>issues relating to the system for traceability, as this is</w:t>
            </w:r>
            <w:proofErr w:type="gramEnd"/>
            <w:r w:rsidRPr="00E51A86">
              <w:t xml:space="preserve"> already mandated by clause 4.25. This </w:t>
            </w:r>
            <w:r w:rsidRPr="00E51A86">
              <w:lastRenderedPageBreak/>
              <w:t>would appear to be an instruction to the manufacturer to supply information to the clinical trial coordinator or equivalent if required.</w:t>
            </w:r>
          </w:p>
        </w:tc>
        <w:tc>
          <w:tcPr>
            <w:tcW w:w="1531" w:type="dxa"/>
          </w:tcPr>
          <w:p w:rsidR="00E51A86" w:rsidRPr="00E51A86" w:rsidRDefault="00E51A86" w:rsidP="0087082A">
            <w:pPr>
              <w:keepNext w:val="0"/>
            </w:pPr>
            <w:r w:rsidRPr="00E51A86">
              <w:lastRenderedPageBreak/>
              <w:t>Nil</w:t>
            </w:r>
          </w:p>
        </w:tc>
      </w:tr>
      <w:tr w:rsidR="00592542" w:rsidTr="00103105">
        <w:trPr>
          <w:cantSplit w:val="0"/>
        </w:trPr>
        <w:tc>
          <w:tcPr>
            <w:tcW w:w="7054" w:type="dxa"/>
          </w:tcPr>
          <w:p w:rsidR="00592542" w:rsidRPr="00E51A86" w:rsidRDefault="00592542" w:rsidP="0087082A">
            <w:pPr>
              <w:keepNext w:val="0"/>
              <w:rPr>
                <w:rFonts w:ascii="Arial" w:hAnsi="Arial" w:cs="Arial"/>
                <w:color w:val="006DA7"/>
              </w:rPr>
            </w:pPr>
            <w:r w:rsidRPr="00592542">
              <w:rPr>
                <w:rFonts w:ascii="Arial" w:hAnsi="Arial" w:cs="Arial"/>
                <w:color w:val="006DA7"/>
              </w:rPr>
              <w:lastRenderedPageBreak/>
              <w:t>47. A system to verify the quality of starting materials should be in place. Supplier approval should include an evaluation that provides adequate assurance that the material consistently meets specifications. The starting materials, packaging materials and critical process aids should be purchased from approved suppliers.</w:t>
            </w:r>
          </w:p>
        </w:tc>
        <w:tc>
          <w:tcPr>
            <w:tcW w:w="4678" w:type="dxa"/>
          </w:tcPr>
          <w:p w:rsidR="00592542" w:rsidRPr="00592542" w:rsidRDefault="00592542" w:rsidP="0087082A">
            <w:pPr>
              <w:keepNext w:val="0"/>
              <w:rPr>
                <w:i/>
              </w:rPr>
            </w:pPr>
            <w:r w:rsidRPr="00592542">
              <w:rPr>
                <w:i/>
              </w:rPr>
              <w:t>New clause, but comments are identical in intent to those in PE009-clauses 8 5.25 &amp; 5.26.</w:t>
            </w:r>
          </w:p>
          <w:p w:rsidR="00592542" w:rsidRPr="00E51A86" w:rsidRDefault="00592542" w:rsidP="0087082A">
            <w:pPr>
              <w:keepNext w:val="0"/>
              <w:rPr>
                <w:i/>
              </w:rPr>
            </w:pPr>
            <w:r w:rsidRPr="00592542">
              <w:rPr>
                <w:i/>
              </w:rPr>
              <w:t>Complements PE009-10 Annex 3 clause 30</w:t>
            </w:r>
          </w:p>
        </w:tc>
        <w:tc>
          <w:tcPr>
            <w:tcW w:w="1843" w:type="dxa"/>
          </w:tcPr>
          <w:p w:rsidR="00592542" w:rsidRPr="00E51A86" w:rsidRDefault="00592542" w:rsidP="0087082A">
            <w:pPr>
              <w:keepNext w:val="0"/>
            </w:pPr>
            <w:r w:rsidRPr="00592542">
              <w:t>None</w:t>
            </w:r>
          </w:p>
        </w:tc>
        <w:tc>
          <w:tcPr>
            <w:tcW w:w="1531" w:type="dxa"/>
          </w:tcPr>
          <w:p w:rsidR="00592542" w:rsidRPr="00E51A86" w:rsidRDefault="00592542" w:rsidP="0087082A">
            <w:pPr>
              <w:keepNext w:val="0"/>
            </w:pPr>
            <w:r w:rsidRPr="00592542">
              <w:t>Nil</w:t>
            </w:r>
          </w:p>
        </w:tc>
      </w:tr>
      <w:tr w:rsidR="00592542" w:rsidTr="00103105">
        <w:trPr>
          <w:cantSplit w:val="0"/>
        </w:trPr>
        <w:tc>
          <w:tcPr>
            <w:tcW w:w="7054" w:type="dxa"/>
          </w:tcPr>
          <w:p w:rsidR="00592542" w:rsidRPr="00592542" w:rsidRDefault="00592542" w:rsidP="0087082A">
            <w:pPr>
              <w:keepNext w:val="0"/>
              <w:rPr>
                <w:rFonts w:ascii="Arial" w:hAnsi="Arial" w:cs="Arial"/>
                <w:color w:val="006DA7"/>
              </w:rPr>
            </w:pPr>
            <w:r w:rsidRPr="00592542">
              <w:rPr>
                <w:rFonts w:ascii="Arial" w:hAnsi="Arial" w:cs="Arial"/>
                <w:color w:val="006DA7"/>
              </w:rPr>
              <w:t>48. For radiopharmaceuticals sufficient samples of each batch of bulk formulated product should be retained for at least six months after expiry of the finished medicinal product unless otherwise justified through risk management.</w:t>
            </w:r>
          </w:p>
        </w:tc>
        <w:tc>
          <w:tcPr>
            <w:tcW w:w="4678" w:type="dxa"/>
          </w:tcPr>
          <w:p w:rsidR="00592542" w:rsidRPr="00592542" w:rsidRDefault="00592542" w:rsidP="0087082A">
            <w:pPr>
              <w:keepNext w:val="0"/>
              <w:rPr>
                <w:i/>
              </w:rPr>
            </w:pPr>
            <w:r w:rsidRPr="00592542">
              <w:rPr>
                <w:i/>
              </w:rPr>
              <w:t>Annex 3 clause 9 PE009-8 “Unless otherwise specified in the marketing authorisation, reference samples of every batch should be retained.”</w:t>
            </w:r>
          </w:p>
          <w:p w:rsidR="00592542" w:rsidRPr="00592542" w:rsidRDefault="00592542" w:rsidP="0087082A">
            <w:pPr>
              <w:keepNext w:val="0"/>
              <w:rPr>
                <w:i/>
              </w:rPr>
            </w:pPr>
            <w:r w:rsidRPr="00592542">
              <w:rPr>
                <w:i/>
              </w:rPr>
              <w:t>New clause, but comments are identical in intent to those in PE009-8 Annex 19 clause 2.2 &amp; 3.1 – 3.2.</w:t>
            </w:r>
          </w:p>
        </w:tc>
        <w:tc>
          <w:tcPr>
            <w:tcW w:w="1843" w:type="dxa"/>
          </w:tcPr>
          <w:p w:rsidR="00592542" w:rsidRPr="00592542" w:rsidRDefault="00592542" w:rsidP="0087082A">
            <w:pPr>
              <w:keepNext w:val="0"/>
            </w:pPr>
            <w:r w:rsidRPr="00592542">
              <w:t xml:space="preserve">The retention period for radiopharmaceuticals is shorter than that for non radio materials (12 months past expiry). Clause allows risk management to </w:t>
            </w:r>
            <w:r w:rsidRPr="00592542">
              <w:lastRenderedPageBreak/>
              <w:t>determine whether any bulk retain sample will be kept. Manufacturer will have to possibly devise risk assessments and amend procedures for retention samples.</w:t>
            </w:r>
          </w:p>
        </w:tc>
        <w:tc>
          <w:tcPr>
            <w:tcW w:w="1531" w:type="dxa"/>
          </w:tcPr>
          <w:p w:rsidR="00592542" w:rsidRPr="00592542" w:rsidRDefault="00592542" w:rsidP="0087082A">
            <w:pPr>
              <w:keepNext w:val="0"/>
            </w:pPr>
            <w:r w:rsidRPr="00592542">
              <w:lastRenderedPageBreak/>
              <w:t>Minor</w:t>
            </w:r>
          </w:p>
        </w:tc>
      </w:tr>
      <w:tr w:rsidR="00592542" w:rsidTr="00103105">
        <w:trPr>
          <w:cantSplit w:val="0"/>
        </w:trPr>
        <w:tc>
          <w:tcPr>
            <w:tcW w:w="7054" w:type="dxa"/>
          </w:tcPr>
          <w:p w:rsidR="00592542" w:rsidRPr="00592542" w:rsidRDefault="00592542" w:rsidP="0087082A">
            <w:pPr>
              <w:keepNext w:val="0"/>
              <w:rPr>
                <w:rFonts w:ascii="Arial" w:hAnsi="Arial" w:cs="Arial"/>
                <w:color w:val="006DA7"/>
              </w:rPr>
            </w:pPr>
            <w:r w:rsidRPr="00592542">
              <w:rPr>
                <w:rFonts w:ascii="Arial" w:hAnsi="Arial" w:cs="Arial"/>
                <w:color w:val="006DA7"/>
              </w:rPr>
              <w:lastRenderedPageBreak/>
              <w:t>49. Samples of starting materials, other than solvents gases or water used in the manufacturing process should be retained for at least two years after the release of the product. That period may be shortened if the period of stability of the material as indicated in the relevant specification is shorter.</w:t>
            </w:r>
          </w:p>
        </w:tc>
        <w:tc>
          <w:tcPr>
            <w:tcW w:w="4678" w:type="dxa"/>
          </w:tcPr>
          <w:p w:rsidR="00592542" w:rsidRPr="00592542" w:rsidRDefault="00592542" w:rsidP="0087082A">
            <w:pPr>
              <w:keepNext w:val="0"/>
              <w:rPr>
                <w:i/>
              </w:rPr>
            </w:pPr>
            <w:r w:rsidRPr="00592542">
              <w:rPr>
                <w:i/>
              </w:rPr>
              <w:t>Annex 3 clause 9 PE009-8 “Unless otherwise specified in the marketing authorisation, reference samples of every batch should be retained.”</w:t>
            </w:r>
          </w:p>
          <w:p w:rsidR="00592542" w:rsidRPr="00592542" w:rsidRDefault="00592542" w:rsidP="0087082A">
            <w:pPr>
              <w:keepNext w:val="0"/>
              <w:rPr>
                <w:i/>
              </w:rPr>
            </w:pPr>
            <w:r w:rsidRPr="00592542">
              <w:rPr>
                <w:i/>
              </w:rPr>
              <w:t>New clause, but comments are verbatim to those in PE009-8 Annex 19 clause 3.2</w:t>
            </w:r>
          </w:p>
        </w:tc>
        <w:tc>
          <w:tcPr>
            <w:tcW w:w="1843" w:type="dxa"/>
          </w:tcPr>
          <w:p w:rsidR="00592542" w:rsidRPr="00592542" w:rsidRDefault="00592542" w:rsidP="0087082A">
            <w:pPr>
              <w:keepNext w:val="0"/>
            </w:pPr>
            <w:r w:rsidRPr="00592542">
              <w:t>None</w:t>
            </w:r>
          </w:p>
        </w:tc>
        <w:tc>
          <w:tcPr>
            <w:tcW w:w="1531" w:type="dxa"/>
          </w:tcPr>
          <w:p w:rsidR="00592542" w:rsidRPr="00592542" w:rsidRDefault="00592542" w:rsidP="0087082A">
            <w:pPr>
              <w:keepNext w:val="0"/>
            </w:pPr>
            <w:r w:rsidRPr="00592542">
              <w:t>Nil</w:t>
            </w:r>
          </w:p>
        </w:tc>
      </w:tr>
      <w:tr w:rsidR="00592542" w:rsidTr="00103105">
        <w:trPr>
          <w:cantSplit w:val="0"/>
        </w:trPr>
        <w:tc>
          <w:tcPr>
            <w:tcW w:w="7054" w:type="dxa"/>
          </w:tcPr>
          <w:p w:rsidR="00592542" w:rsidRPr="00592542" w:rsidRDefault="00592542" w:rsidP="0087082A">
            <w:pPr>
              <w:keepNext w:val="0"/>
              <w:rPr>
                <w:rFonts w:ascii="Arial" w:hAnsi="Arial" w:cs="Arial"/>
                <w:color w:val="006DA7"/>
              </w:rPr>
            </w:pPr>
            <w:r w:rsidRPr="00592542">
              <w:rPr>
                <w:rFonts w:ascii="Arial" w:hAnsi="Arial" w:cs="Arial"/>
                <w:color w:val="006DA7"/>
              </w:rPr>
              <w:t>50. Other conditions may be defined by agreement with the competent authority, for the sampling and retaining of starting materials and products manufactured individually or in small quantities or when their storage could raise special problems.</w:t>
            </w:r>
          </w:p>
        </w:tc>
        <w:tc>
          <w:tcPr>
            <w:tcW w:w="4678" w:type="dxa"/>
          </w:tcPr>
          <w:p w:rsidR="00592542" w:rsidRPr="00592542" w:rsidRDefault="00592542" w:rsidP="0087082A">
            <w:pPr>
              <w:keepNext w:val="0"/>
              <w:rPr>
                <w:i/>
              </w:rPr>
            </w:pPr>
            <w:r w:rsidRPr="00592542">
              <w:rPr>
                <w:i/>
              </w:rPr>
              <w:t>Annex 3 clause 9 PE009-8 “Unless otherwise specified in the marketing authorisation, reference samples of every batch should be retained.”</w:t>
            </w:r>
          </w:p>
          <w:p w:rsidR="00592542" w:rsidRPr="00592542" w:rsidRDefault="00592542" w:rsidP="0087082A">
            <w:pPr>
              <w:keepNext w:val="0"/>
              <w:rPr>
                <w:i/>
              </w:rPr>
            </w:pPr>
            <w:r w:rsidRPr="00592542">
              <w:rPr>
                <w:i/>
              </w:rPr>
              <w:lastRenderedPageBreak/>
              <w:t>New clause – no equivalent in PE009-8</w:t>
            </w:r>
          </w:p>
        </w:tc>
        <w:tc>
          <w:tcPr>
            <w:tcW w:w="1843" w:type="dxa"/>
          </w:tcPr>
          <w:p w:rsidR="00592542" w:rsidRPr="00592542" w:rsidRDefault="00592542" w:rsidP="0087082A">
            <w:pPr>
              <w:keepNext w:val="0"/>
            </w:pPr>
            <w:r w:rsidRPr="00592542">
              <w:lastRenderedPageBreak/>
              <w:t xml:space="preserve">This clause would provide manufacturers with an alternative </w:t>
            </w:r>
            <w:r w:rsidRPr="00592542">
              <w:lastRenderedPageBreak/>
              <w:t xml:space="preserve">strategy for retention </w:t>
            </w:r>
            <w:proofErr w:type="gramStart"/>
            <w:r w:rsidRPr="00592542">
              <w:t>samples, that</w:t>
            </w:r>
            <w:proofErr w:type="gramEnd"/>
            <w:r w:rsidRPr="00592542">
              <w:t xml:space="preserve"> could be discussed and agreed to by the TGA. It is not a restrictive clause.</w:t>
            </w:r>
          </w:p>
        </w:tc>
        <w:tc>
          <w:tcPr>
            <w:tcW w:w="1531" w:type="dxa"/>
          </w:tcPr>
          <w:p w:rsidR="00592542" w:rsidRPr="00592542" w:rsidRDefault="00592542" w:rsidP="0087082A">
            <w:pPr>
              <w:keepNext w:val="0"/>
            </w:pPr>
            <w:r w:rsidRPr="00592542">
              <w:lastRenderedPageBreak/>
              <w:t>Nil</w:t>
            </w:r>
          </w:p>
        </w:tc>
      </w:tr>
      <w:tr w:rsidR="0033136C" w:rsidTr="00103105">
        <w:trPr>
          <w:cantSplit w:val="0"/>
        </w:trPr>
        <w:tc>
          <w:tcPr>
            <w:tcW w:w="7054" w:type="dxa"/>
          </w:tcPr>
          <w:p w:rsidR="0033136C" w:rsidRPr="00592542" w:rsidRDefault="0033136C" w:rsidP="0087082A">
            <w:pPr>
              <w:keepNext w:val="0"/>
              <w:rPr>
                <w:rFonts w:ascii="Arial" w:hAnsi="Arial" w:cs="Arial"/>
                <w:color w:val="006DA7"/>
              </w:rPr>
            </w:pPr>
            <w:r w:rsidRPr="0033136C">
              <w:rPr>
                <w:rFonts w:ascii="Arial" w:hAnsi="Arial" w:cs="Arial"/>
                <w:color w:val="006DA7"/>
              </w:rPr>
              <w:lastRenderedPageBreak/>
              <w:t>51. Distribution of the finished product under controlled conditions, before all appropriate test results are available, is acceptable for radiopharmaceuticals, providing the product is not administered by the receiving institute until satisfactory test results has been received and assessed by a designated person.</w:t>
            </w:r>
          </w:p>
        </w:tc>
        <w:tc>
          <w:tcPr>
            <w:tcW w:w="4678" w:type="dxa"/>
          </w:tcPr>
          <w:p w:rsidR="0033136C" w:rsidRPr="00592542" w:rsidRDefault="0033136C" w:rsidP="0087082A">
            <w:pPr>
              <w:keepNext w:val="0"/>
            </w:pPr>
            <w:r w:rsidRPr="0033136C">
              <w:t xml:space="preserve">Annex 3 </w:t>
            </w:r>
            <w:proofErr w:type="gramStart"/>
            <w:r w:rsidRPr="0033136C">
              <w:t>clause</w:t>
            </w:r>
            <w:proofErr w:type="gramEnd"/>
            <w:r w:rsidRPr="0033136C">
              <w:t xml:space="preserve"> 8: “When products must be dispatched before all tests are completed, this does not reduce the need for a formal recorded decision to be taken by the Authorised Person on the conformity of the batch. In this case there should be a written procedure detailing all production and Quality Control data which should be considered before the batch is dispatched. A procedure should also describe those measures which will be taken by the Authorised Person if unsatisfactory test results are obtained after dispatch.”</w:t>
            </w:r>
          </w:p>
        </w:tc>
        <w:tc>
          <w:tcPr>
            <w:tcW w:w="1843" w:type="dxa"/>
          </w:tcPr>
          <w:p w:rsidR="0033136C" w:rsidRPr="00592542" w:rsidRDefault="0033136C" w:rsidP="0087082A">
            <w:pPr>
              <w:keepNext w:val="0"/>
            </w:pPr>
            <w:r w:rsidRPr="0033136C">
              <w:t xml:space="preserve">The new clause clarifies expectations regarding the multi-stage release process, </w:t>
            </w:r>
            <w:proofErr w:type="gramStart"/>
            <w:r w:rsidRPr="0033136C">
              <w:t>an</w:t>
            </w:r>
            <w:proofErr w:type="gramEnd"/>
            <w:r w:rsidRPr="0033136C">
              <w:t xml:space="preserve"> does not place additional requirements of the manufacturer.</w:t>
            </w:r>
          </w:p>
        </w:tc>
        <w:tc>
          <w:tcPr>
            <w:tcW w:w="1531" w:type="dxa"/>
          </w:tcPr>
          <w:p w:rsidR="0033136C" w:rsidRPr="00592542" w:rsidRDefault="0033136C" w:rsidP="0087082A">
            <w:pPr>
              <w:keepNext w:val="0"/>
            </w:pPr>
            <w:r w:rsidRPr="0033136C">
              <w:t>Nil</w:t>
            </w:r>
          </w:p>
        </w:tc>
      </w:tr>
    </w:tbl>
    <w:p w:rsidR="00B36B30" w:rsidRDefault="00080B59" w:rsidP="00080B59">
      <w:pPr>
        <w:pStyle w:val="Heading3"/>
      </w:pPr>
      <w:bookmarkStart w:id="14" w:name="_Toc357412254"/>
      <w:r w:rsidRPr="00080B59">
        <w:lastRenderedPageBreak/>
        <w:t>Annex 6 – Medicinal gases</w:t>
      </w:r>
      <w:bookmarkEnd w:id="14"/>
    </w:p>
    <w:tbl>
      <w:tblPr>
        <w:tblStyle w:val="TableTGAblue"/>
        <w:tblW w:w="0" w:type="auto"/>
        <w:tblLayout w:type="fixed"/>
        <w:tblLook w:val="04A0" w:firstRow="1" w:lastRow="0" w:firstColumn="1" w:lastColumn="0" w:noHBand="0" w:noVBand="1"/>
      </w:tblPr>
      <w:tblGrid>
        <w:gridCol w:w="5920"/>
        <w:gridCol w:w="5812"/>
        <w:gridCol w:w="1843"/>
        <w:gridCol w:w="1531"/>
      </w:tblGrid>
      <w:tr w:rsidR="00080B59" w:rsidTr="00080B59">
        <w:trPr>
          <w:cnfStyle w:val="100000000000" w:firstRow="1" w:lastRow="0" w:firstColumn="0" w:lastColumn="0" w:oddVBand="0" w:evenVBand="0" w:oddHBand="0" w:evenHBand="0" w:firstRowFirstColumn="0" w:firstRowLastColumn="0" w:lastRowFirstColumn="0" w:lastRowLastColumn="0"/>
        </w:trPr>
        <w:tc>
          <w:tcPr>
            <w:tcW w:w="5920" w:type="dxa"/>
          </w:tcPr>
          <w:p w:rsidR="00080B59" w:rsidRDefault="00080B59" w:rsidP="00FC1C9A">
            <w:pPr>
              <w:keepNext w:val="0"/>
            </w:pPr>
            <w:r w:rsidRPr="00D74808">
              <w:t>PE 009-10</w:t>
            </w:r>
          </w:p>
        </w:tc>
        <w:tc>
          <w:tcPr>
            <w:tcW w:w="5812" w:type="dxa"/>
          </w:tcPr>
          <w:p w:rsidR="00080B59" w:rsidRDefault="00080B59" w:rsidP="00FC1C9A">
            <w:pPr>
              <w:keepNext w:val="0"/>
            </w:pPr>
            <w:r w:rsidRPr="00D74808">
              <w:t>PE 009-08</w:t>
            </w:r>
          </w:p>
        </w:tc>
        <w:tc>
          <w:tcPr>
            <w:tcW w:w="1843" w:type="dxa"/>
          </w:tcPr>
          <w:p w:rsidR="00080B59" w:rsidRDefault="00080B59" w:rsidP="00FC1C9A">
            <w:pPr>
              <w:keepNext w:val="0"/>
            </w:pPr>
            <w:r w:rsidRPr="00D74808">
              <w:t>Nature of  impact</w:t>
            </w:r>
          </w:p>
        </w:tc>
        <w:tc>
          <w:tcPr>
            <w:tcW w:w="1531" w:type="dxa"/>
          </w:tcPr>
          <w:p w:rsidR="00080B59" w:rsidRDefault="00080B59" w:rsidP="00FC1C9A">
            <w:pPr>
              <w:keepNext w:val="0"/>
            </w:pPr>
            <w:r w:rsidRPr="00D74808">
              <w:t>Estimated significance of impact</w:t>
            </w:r>
          </w:p>
        </w:tc>
      </w:tr>
      <w:tr w:rsidR="00080B59" w:rsidTr="00080B59">
        <w:trPr>
          <w:cantSplit w:val="0"/>
        </w:trPr>
        <w:tc>
          <w:tcPr>
            <w:tcW w:w="5920" w:type="dxa"/>
          </w:tcPr>
          <w:p w:rsidR="00080B59" w:rsidRDefault="00080B59" w:rsidP="00FC1C9A">
            <w:pPr>
              <w:keepNext w:val="0"/>
            </w:pPr>
            <w:r>
              <w:t>Principle</w:t>
            </w:r>
          </w:p>
          <w:p w:rsidR="00080B59" w:rsidRDefault="00080B59" w:rsidP="00FC1C9A">
            <w:pPr>
              <w:keepNext w:val="0"/>
            </w:pPr>
            <w:r>
              <w:t xml:space="preserve">This Annex deals with the manufacture of active substance gases and the manufacture of medicinal gases. </w:t>
            </w:r>
          </w:p>
          <w:p w:rsidR="00080B59" w:rsidRPr="00080B59" w:rsidRDefault="00080B59" w:rsidP="00FC1C9A">
            <w:pPr>
              <w:keepNext w:val="0"/>
              <w:rPr>
                <w:rFonts w:ascii="Arial" w:hAnsi="Arial" w:cs="Arial"/>
                <w:color w:val="006DA7"/>
              </w:rPr>
            </w:pPr>
            <w:r w:rsidRPr="00080B59">
              <w:rPr>
                <w:rFonts w:ascii="Arial" w:hAnsi="Arial" w:cs="Arial"/>
                <w:color w:val="006DA7"/>
              </w:rPr>
              <w:t>The delineation between the manufacture of the active substance and the manufacture of the medicinal product should be clearly defined in each Marketing Authorisation dossier. Normally, the production and purification steps of the gas belong to the field of manufacture of active substances. Gases enter the pharmaceutical field from the first storage of gas intended for such use.</w:t>
            </w:r>
          </w:p>
          <w:p w:rsidR="00080B59" w:rsidRPr="00080B59" w:rsidRDefault="00080B59" w:rsidP="00FC1C9A">
            <w:pPr>
              <w:keepNext w:val="0"/>
              <w:rPr>
                <w:rFonts w:ascii="Arial" w:hAnsi="Arial" w:cs="Arial"/>
                <w:color w:val="006DA7"/>
              </w:rPr>
            </w:pPr>
            <w:r w:rsidRPr="00080B59">
              <w:rPr>
                <w:rFonts w:ascii="Arial" w:hAnsi="Arial" w:cs="Arial"/>
                <w:color w:val="006DA7"/>
              </w:rPr>
              <w:t>Manufacture of active substance gases should comply with the Basic Requirements of this Guide (Part II), with the relevant part of this Annex, and with the other Annexes of the Guide if relevant.</w:t>
            </w:r>
          </w:p>
          <w:p w:rsidR="00080B59" w:rsidRPr="00080B59" w:rsidRDefault="00080B59" w:rsidP="00FC1C9A">
            <w:pPr>
              <w:keepNext w:val="0"/>
              <w:rPr>
                <w:rFonts w:ascii="Arial" w:hAnsi="Arial" w:cs="Arial"/>
                <w:color w:val="006DA7"/>
              </w:rPr>
            </w:pPr>
            <w:r w:rsidRPr="00080B59">
              <w:rPr>
                <w:rFonts w:ascii="Arial" w:hAnsi="Arial" w:cs="Arial"/>
                <w:color w:val="006DA7"/>
              </w:rPr>
              <w:t xml:space="preserve">Manufacture of medicinal gases should comply with the basic requirements of this Guide (Part I), with the relevant part of this Annex and with the other Annexes of the Guide if relevant. </w:t>
            </w:r>
          </w:p>
          <w:p w:rsidR="00080B59" w:rsidRPr="00080B59" w:rsidRDefault="00080B59" w:rsidP="00FC1C9A">
            <w:pPr>
              <w:keepNext w:val="0"/>
              <w:rPr>
                <w:rFonts w:ascii="Arial" w:hAnsi="Arial" w:cs="Arial"/>
                <w:color w:val="006DA7"/>
              </w:rPr>
            </w:pPr>
            <w:r w:rsidRPr="00080B59">
              <w:rPr>
                <w:rFonts w:ascii="Arial" w:hAnsi="Arial" w:cs="Arial"/>
                <w:color w:val="006DA7"/>
              </w:rPr>
              <w:t xml:space="preserve">In the exceptional cases of continuous processes where no intermediate storage of gas between the manufacture of the active substance and the manufacture of the </w:t>
            </w:r>
            <w:r w:rsidRPr="00080B59">
              <w:rPr>
                <w:rFonts w:ascii="Arial" w:hAnsi="Arial" w:cs="Arial"/>
                <w:color w:val="006DA7"/>
              </w:rPr>
              <w:lastRenderedPageBreak/>
              <w:t>medicinal product is possible, the whole process (from starting materials of active substance to medicinal finished product) should be considered as belonging to the pharmaceutical field. This should be clearly stated in the Marketing Authorisation dossier.</w:t>
            </w:r>
          </w:p>
          <w:p w:rsidR="00080B59" w:rsidRPr="00080B59" w:rsidRDefault="00080B59" w:rsidP="00FC1C9A">
            <w:pPr>
              <w:keepNext w:val="0"/>
              <w:rPr>
                <w:color w:val="006664"/>
              </w:rPr>
            </w:pPr>
            <w:r w:rsidRPr="00080B59">
              <w:rPr>
                <w:color w:val="006664"/>
              </w:rPr>
              <w:t>[The Annex does not cover the manufacture and handling of medicinal gases in hospitals unless this is considered industrial preparation or manufacturing. However, relevant parts of this Annex may be used as a basis for such activities.]</w:t>
            </w:r>
          </w:p>
        </w:tc>
        <w:tc>
          <w:tcPr>
            <w:tcW w:w="5812" w:type="dxa"/>
          </w:tcPr>
          <w:p w:rsidR="00080B59" w:rsidRDefault="00080B59" w:rsidP="00FC1C9A">
            <w:pPr>
              <w:keepNext w:val="0"/>
            </w:pPr>
            <w:r>
              <w:lastRenderedPageBreak/>
              <w:t>1. Principle</w:t>
            </w:r>
          </w:p>
          <w:p w:rsidR="00080B59" w:rsidRDefault="00080B59" w:rsidP="00FC1C9A">
            <w:pPr>
              <w:keepNext w:val="0"/>
            </w:pPr>
            <w:r>
              <w:t>This annex deals with industrial manufacturing of medicinal gases, which is a specialised industrial process not normally undertaken by pharmaceutical companies. It does not cover manufacturing and handling of medicinal gases in hospitals, which will be subject to national legislation. However relevant parts of this annex may be used as a basis for such activities.</w:t>
            </w:r>
          </w:p>
          <w:p w:rsidR="00080B59" w:rsidRDefault="00080B59" w:rsidP="00FC1C9A">
            <w:pPr>
              <w:keepNext w:val="0"/>
            </w:pPr>
            <w:r>
              <w:t>The manufacture of medicinal gases is generally carried out in closed equipment. Consequently, environmental contamination of the product is minimal. However, there is a risk of cross-contamination with other gases.</w:t>
            </w:r>
          </w:p>
          <w:p w:rsidR="00080B59" w:rsidRDefault="00080B59" w:rsidP="00FC1C9A">
            <w:pPr>
              <w:keepNext w:val="0"/>
            </w:pPr>
            <w:r>
              <w:t xml:space="preserve">Manufacture of medicinal gases should comply with the basic requirements of GMP, with applicable annexes, </w:t>
            </w:r>
            <w:proofErr w:type="spellStart"/>
            <w:r>
              <w:t>Pharmacopoeial</w:t>
            </w:r>
            <w:proofErr w:type="spellEnd"/>
            <w:r>
              <w:t xml:space="preserve"> standards and the following detailed guidelines.</w:t>
            </w:r>
          </w:p>
        </w:tc>
        <w:tc>
          <w:tcPr>
            <w:tcW w:w="1843" w:type="dxa"/>
          </w:tcPr>
          <w:p w:rsidR="00080B59" w:rsidRDefault="00080B59" w:rsidP="00FC1C9A">
            <w:pPr>
              <w:keepNext w:val="0"/>
            </w:pPr>
            <w:r>
              <w:t xml:space="preserve">Providing additional clarity, </w:t>
            </w:r>
            <w:proofErr w:type="spellStart"/>
            <w:r>
              <w:t>esp</w:t>
            </w:r>
            <w:proofErr w:type="spellEnd"/>
            <w:r>
              <w:t xml:space="preserve"> in relation to marketing authorisations;</w:t>
            </w:r>
          </w:p>
          <w:p w:rsidR="00080B59" w:rsidRDefault="00080B59" w:rsidP="00FC1C9A">
            <w:pPr>
              <w:keepNext w:val="0"/>
            </w:pPr>
            <w:r>
              <w:t>Removal of the second paragraph relating to closed equipment;</w:t>
            </w:r>
          </w:p>
          <w:p w:rsidR="00080B59" w:rsidRDefault="00080B59" w:rsidP="00FC1C9A">
            <w:pPr>
              <w:keepNext w:val="0"/>
            </w:pPr>
            <w:r>
              <w:t>Rewrite of the third paragraph into the new text</w:t>
            </w:r>
          </w:p>
        </w:tc>
        <w:tc>
          <w:tcPr>
            <w:tcW w:w="1531" w:type="dxa"/>
          </w:tcPr>
          <w:p w:rsidR="00080B59" w:rsidRDefault="00080B59" w:rsidP="00FC1C9A">
            <w:pPr>
              <w:keepNext w:val="0"/>
            </w:pPr>
          </w:p>
        </w:tc>
      </w:tr>
      <w:tr w:rsidR="00080B59" w:rsidTr="00080B59">
        <w:trPr>
          <w:cantSplit w:val="0"/>
        </w:trPr>
        <w:tc>
          <w:tcPr>
            <w:tcW w:w="5920" w:type="dxa"/>
          </w:tcPr>
          <w:p w:rsidR="00080B59" w:rsidRPr="00B676E8" w:rsidRDefault="00080B59" w:rsidP="00FC1C9A">
            <w:pPr>
              <w:keepNext w:val="0"/>
              <w:rPr>
                <w:rFonts w:ascii="Arial" w:hAnsi="Arial" w:cs="Arial"/>
                <w:b/>
                <w:color w:val="006DA7"/>
              </w:rPr>
            </w:pPr>
            <w:r w:rsidRPr="00B676E8">
              <w:rPr>
                <w:rFonts w:ascii="Arial" w:hAnsi="Arial" w:cs="Arial"/>
                <w:b/>
                <w:color w:val="006DA7"/>
              </w:rPr>
              <w:lastRenderedPageBreak/>
              <w:t>Manufacture of Active Substance Gases</w:t>
            </w:r>
          </w:p>
          <w:p w:rsidR="00080B59" w:rsidRPr="00B676E8" w:rsidRDefault="00080B59" w:rsidP="00FC1C9A">
            <w:pPr>
              <w:keepNext w:val="0"/>
              <w:rPr>
                <w:rFonts w:ascii="Arial" w:hAnsi="Arial" w:cs="Arial"/>
                <w:color w:val="006DA7"/>
              </w:rPr>
            </w:pPr>
            <w:r w:rsidRPr="00B676E8">
              <w:rPr>
                <w:rFonts w:ascii="Arial" w:hAnsi="Arial" w:cs="Arial"/>
                <w:color w:val="006DA7"/>
              </w:rPr>
              <w:t>Active substance gases can be prepared by chemical synthesis or be obtained from natural sources followed by purification steps, if necessary (as for example in an air separation plant).</w:t>
            </w:r>
          </w:p>
          <w:p w:rsidR="00080B59" w:rsidRPr="00B676E8" w:rsidRDefault="00080B59" w:rsidP="00FC1C9A">
            <w:pPr>
              <w:pStyle w:val="Numberbullet0"/>
              <w:keepNext w:val="0"/>
              <w:rPr>
                <w:rFonts w:ascii="Arial" w:hAnsi="Arial" w:cs="Arial"/>
                <w:color w:val="006DA7"/>
              </w:rPr>
            </w:pPr>
            <w:r w:rsidRPr="00B676E8">
              <w:rPr>
                <w:rFonts w:ascii="Arial" w:hAnsi="Arial" w:cs="Arial"/>
                <w:color w:val="006DA7"/>
              </w:rPr>
              <w:t>The processes corresponding to these two methods of manufacturing active substance gases should comply with Part II of the Basic Requirements. However:</w:t>
            </w:r>
          </w:p>
          <w:p w:rsidR="00080B59" w:rsidRPr="00B676E8" w:rsidRDefault="00080B59" w:rsidP="00FC1C9A">
            <w:pPr>
              <w:pStyle w:val="Numberbullet2"/>
              <w:keepNext w:val="0"/>
              <w:numPr>
                <w:ilvl w:val="0"/>
                <w:numId w:val="28"/>
              </w:numPr>
              <w:rPr>
                <w:rFonts w:ascii="Arial" w:hAnsi="Arial" w:cs="Arial"/>
                <w:color w:val="006DA7"/>
              </w:rPr>
            </w:pPr>
            <w:r w:rsidRPr="00B676E8">
              <w:rPr>
                <w:rFonts w:ascii="Arial" w:hAnsi="Arial" w:cs="Arial"/>
                <w:color w:val="006DA7"/>
              </w:rPr>
              <w:t xml:space="preserve">the requirements regarding starting materials for active substances (Part II, Chapter 7) do not apply to the production of active substance gases by air separation (however, the manufacturer should ensure that the quality of </w:t>
            </w:r>
            <w:r w:rsidRPr="00B676E8">
              <w:rPr>
                <w:rFonts w:ascii="Arial" w:hAnsi="Arial" w:cs="Arial"/>
                <w:color w:val="006DA7"/>
              </w:rPr>
              <w:lastRenderedPageBreak/>
              <w:t>ambient air is suitable for the established process and any changes in the quality of ambient air do not affect the quality of the active substance gas);</w:t>
            </w:r>
          </w:p>
          <w:p w:rsidR="00080B59" w:rsidRPr="00B676E8" w:rsidRDefault="00080B59" w:rsidP="00FC1C9A">
            <w:pPr>
              <w:pStyle w:val="Numberbullet2"/>
              <w:keepNext w:val="0"/>
              <w:rPr>
                <w:rFonts w:ascii="Arial" w:hAnsi="Arial" w:cs="Arial"/>
                <w:color w:val="006DA7"/>
              </w:rPr>
            </w:pPr>
            <w:r w:rsidRPr="00B676E8">
              <w:rPr>
                <w:rFonts w:ascii="Arial" w:hAnsi="Arial" w:cs="Arial"/>
                <w:color w:val="006DA7"/>
              </w:rPr>
              <w:t>the requirements regarding on-going stability studies (Part II, Chapter 11.5), which are used to confirm storage conditions and expiry/retest dates (Part II, Chapter 11.6), do not apply in case initial stability studies have been replaced by bibliographic data; and</w:t>
            </w:r>
          </w:p>
          <w:p w:rsidR="00080B59" w:rsidRPr="00B676E8" w:rsidRDefault="00080B59" w:rsidP="00FC1C9A">
            <w:pPr>
              <w:pStyle w:val="Numberbullet2"/>
              <w:keepNext w:val="0"/>
              <w:rPr>
                <w:rFonts w:ascii="Arial" w:hAnsi="Arial" w:cs="Arial"/>
                <w:color w:val="006DA7"/>
              </w:rPr>
            </w:pPr>
            <w:proofErr w:type="gramStart"/>
            <w:r w:rsidRPr="00B676E8">
              <w:rPr>
                <w:rFonts w:ascii="Arial" w:hAnsi="Arial" w:cs="Arial"/>
                <w:color w:val="006DA7"/>
              </w:rPr>
              <w:t>the</w:t>
            </w:r>
            <w:proofErr w:type="gramEnd"/>
            <w:r w:rsidRPr="00B676E8">
              <w:rPr>
                <w:rFonts w:ascii="Arial" w:hAnsi="Arial" w:cs="Arial"/>
                <w:color w:val="006DA7"/>
              </w:rPr>
              <w:t xml:space="preserve"> requirements regarding reserve/retention samples (Part II, Chapter 11.7) do not apply to active substance gases, unless otherwise specified.</w:t>
            </w:r>
          </w:p>
          <w:p w:rsidR="00080B59" w:rsidRPr="00B676E8" w:rsidRDefault="00080B59" w:rsidP="00FC1C9A">
            <w:pPr>
              <w:pStyle w:val="Numberbullet0"/>
              <w:keepNext w:val="0"/>
              <w:rPr>
                <w:rFonts w:ascii="Arial" w:hAnsi="Arial" w:cs="Arial"/>
                <w:color w:val="006DA7"/>
              </w:rPr>
            </w:pPr>
            <w:r w:rsidRPr="00B676E8">
              <w:rPr>
                <w:rFonts w:ascii="Arial" w:hAnsi="Arial" w:cs="Arial"/>
                <w:color w:val="006DA7"/>
              </w:rPr>
              <w:t>The production of active substance gases through a continuous process (e.g. air separation) should be continuously monitored for quality. The results of this monitoring should be kept in a manner permitting trend evaluation.</w:t>
            </w:r>
          </w:p>
          <w:p w:rsidR="00080B59" w:rsidRPr="00B676E8" w:rsidRDefault="00080B59" w:rsidP="00FC1C9A">
            <w:pPr>
              <w:pStyle w:val="Numberbullet0"/>
              <w:keepNext w:val="0"/>
              <w:rPr>
                <w:rFonts w:ascii="Arial" w:hAnsi="Arial" w:cs="Arial"/>
                <w:color w:val="006DA7"/>
              </w:rPr>
            </w:pPr>
            <w:r w:rsidRPr="00B676E8">
              <w:rPr>
                <w:rFonts w:ascii="Arial" w:hAnsi="Arial" w:cs="Arial"/>
                <w:color w:val="006DA7"/>
              </w:rPr>
              <w:t>In addition:</w:t>
            </w:r>
          </w:p>
          <w:p w:rsidR="00080B59" w:rsidRPr="00B676E8" w:rsidRDefault="00080B59" w:rsidP="00FC1C9A">
            <w:pPr>
              <w:pStyle w:val="Numberbullet2"/>
              <w:keepNext w:val="0"/>
              <w:numPr>
                <w:ilvl w:val="0"/>
                <w:numId w:val="29"/>
              </w:numPr>
              <w:rPr>
                <w:rFonts w:ascii="Arial" w:hAnsi="Arial" w:cs="Arial"/>
                <w:color w:val="006DA7"/>
              </w:rPr>
            </w:pPr>
            <w:r w:rsidRPr="00B676E8">
              <w:rPr>
                <w:rFonts w:ascii="Arial" w:hAnsi="Arial" w:cs="Arial"/>
                <w:color w:val="006DA7"/>
              </w:rPr>
              <w:t>transfers and deliveries of active substance gases in bulk should comply with the same requirements as those mentioned below for the medicinal gases (sections 19 to 21 of this Annex);</w:t>
            </w:r>
          </w:p>
          <w:p w:rsidR="00E0407A" w:rsidRPr="00E0407A" w:rsidRDefault="00080B59" w:rsidP="00E0407A">
            <w:pPr>
              <w:pStyle w:val="Numberbullet2"/>
              <w:keepNext w:val="0"/>
              <w:rPr>
                <w:color w:val="006DA7"/>
              </w:rPr>
            </w:pPr>
            <w:proofErr w:type="gramStart"/>
            <w:r w:rsidRPr="00B676E8">
              <w:rPr>
                <w:rFonts w:ascii="Arial" w:hAnsi="Arial" w:cs="Arial"/>
                <w:color w:val="006DA7"/>
              </w:rPr>
              <w:t>filling</w:t>
            </w:r>
            <w:proofErr w:type="gramEnd"/>
            <w:r w:rsidRPr="00B676E8">
              <w:rPr>
                <w:rFonts w:ascii="Arial" w:hAnsi="Arial" w:cs="Arial"/>
                <w:color w:val="006DA7"/>
              </w:rPr>
              <w:t xml:space="preserve"> of active substance gases into cylinders </w:t>
            </w:r>
            <w:r w:rsidRPr="00B676E8">
              <w:rPr>
                <w:rFonts w:ascii="Arial" w:hAnsi="Arial" w:cs="Arial"/>
                <w:color w:val="006DA7"/>
              </w:rPr>
              <w:lastRenderedPageBreak/>
              <w:t>or into mobile cryogenic vessels should comply with the same requirements as those mentioned below for the medicinal gases (sections 22 to 37 of this Annex) as well as Part II Chapter 9.</w:t>
            </w:r>
          </w:p>
        </w:tc>
        <w:tc>
          <w:tcPr>
            <w:tcW w:w="5812" w:type="dxa"/>
          </w:tcPr>
          <w:p w:rsidR="00080B59" w:rsidRPr="00B676E8" w:rsidRDefault="00B676E8" w:rsidP="00FC1C9A">
            <w:pPr>
              <w:keepNext w:val="0"/>
              <w:rPr>
                <w:i/>
              </w:rPr>
            </w:pPr>
            <w:r w:rsidRPr="00B676E8">
              <w:rPr>
                <w:i/>
              </w:rPr>
              <w:lastRenderedPageBreak/>
              <w:t>New clauses – no equivalent text in PE 009-8, but various aspects of this section were addressed in PE 009-8 Annex 6 section 5.2 and this section has similar intent.</w:t>
            </w:r>
          </w:p>
        </w:tc>
        <w:tc>
          <w:tcPr>
            <w:tcW w:w="1843" w:type="dxa"/>
          </w:tcPr>
          <w:p w:rsidR="00B676E8" w:rsidRDefault="00B676E8" w:rsidP="00FC1C9A">
            <w:pPr>
              <w:keepNext w:val="0"/>
            </w:pPr>
            <w:r>
              <w:t xml:space="preserve">Partially new requirements, yet bulk, liquefied medicinal gases are exempted from licensing and GMP following the TG </w:t>
            </w:r>
            <w:proofErr w:type="spellStart"/>
            <w:r>
              <w:t>Regs</w:t>
            </w:r>
            <w:proofErr w:type="spellEnd"/>
            <w:r>
              <w:t xml:space="preserve">, Schedule 7 entry 17, leaving only very few bulk gases for which this section is </w:t>
            </w:r>
            <w:r>
              <w:lastRenderedPageBreak/>
              <w:t xml:space="preserve">applicable. </w:t>
            </w:r>
          </w:p>
          <w:p w:rsidR="00080B59" w:rsidRDefault="00B676E8" w:rsidP="00FC1C9A">
            <w:pPr>
              <w:keepNext w:val="0"/>
            </w:pPr>
            <w:r>
              <w:t xml:space="preserve">For non-liquefied bulk gases, GMP Part II is currently applied which is considered confusing by the manufacturers involved, as they typically also do activities covered by Part I and prefer to have only one standard applicable to their activities  </w:t>
            </w:r>
          </w:p>
        </w:tc>
        <w:tc>
          <w:tcPr>
            <w:tcW w:w="1531" w:type="dxa"/>
          </w:tcPr>
          <w:p w:rsidR="00080B59" w:rsidRDefault="00B676E8" w:rsidP="00FC1C9A">
            <w:pPr>
              <w:keepNext w:val="0"/>
            </w:pPr>
            <w:r w:rsidRPr="00B676E8">
              <w:lastRenderedPageBreak/>
              <w:t>Minor</w:t>
            </w:r>
          </w:p>
        </w:tc>
      </w:tr>
      <w:tr w:rsidR="00B676E8" w:rsidTr="00080B59">
        <w:trPr>
          <w:cantSplit w:val="0"/>
        </w:trPr>
        <w:tc>
          <w:tcPr>
            <w:tcW w:w="5920" w:type="dxa"/>
          </w:tcPr>
          <w:p w:rsidR="00B676E8" w:rsidRPr="00B676E8" w:rsidRDefault="00B676E8" w:rsidP="00FC1C9A">
            <w:pPr>
              <w:keepNext w:val="0"/>
              <w:rPr>
                <w:b/>
              </w:rPr>
            </w:pPr>
            <w:r w:rsidRPr="00B676E8">
              <w:rPr>
                <w:b/>
              </w:rPr>
              <w:lastRenderedPageBreak/>
              <w:t>PERSONNEL</w:t>
            </w:r>
          </w:p>
          <w:p w:rsidR="00B676E8" w:rsidRPr="00B676E8" w:rsidRDefault="00B676E8" w:rsidP="00FC1C9A">
            <w:pPr>
              <w:keepNext w:val="0"/>
              <w:rPr>
                <w:rFonts w:ascii="Arial" w:hAnsi="Arial" w:cs="Arial"/>
                <w:color w:val="006DA7"/>
              </w:rPr>
            </w:pPr>
            <w:r w:rsidRPr="00B676E8">
              <w:rPr>
                <w:rFonts w:ascii="Arial" w:hAnsi="Arial" w:cs="Arial"/>
                <w:color w:val="006DA7"/>
              </w:rPr>
              <w:t>5. All personnel involved in the manufacture and distribution of medicinal gases should receive an appropriate GMP training applying to this type of products. They should be aware of the critically important aspects and potential hazards for patients from these products.</w:t>
            </w:r>
          </w:p>
          <w:p w:rsidR="00B676E8" w:rsidRPr="00B676E8" w:rsidRDefault="00B676E8" w:rsidP="00FC1C9A">
            <w:pPr>
              <w:keepNext w:val="0"/>
              <w:rPr>
                <w:rFonts w:ascii="Arial" w:hAnsi="Arial" w:cs="Arial"/>
                <w:b/>
                <w:color w:val="006DA7"/>
              </w:rPr>
            </w:pPr>
            <w:r w:rsidRPr="00B676E8">
              <w:rPr>
                <w:rFonts w:ascii="Arial" w:hAnsi="Arial" w:cs="Arial"/>
                <w:color w:val="006DA7"/>
              </w:rPr>
              <w:t>6. Personnel of subcontractors that could influence the quality of medicinal gases (such as personnel in charge of maintenance of cylinders or valves) should be appropriately trained.</w:t>
            </w:r>
          </w:p>
        </w:tc>
        <w:tc>
          <w:tcPr>
            <w:tcW w:w="5812" w:type="dxa"/>
          </w:tcPr>
          <w:p w:rsidR="00B676E8" w:rsidRPr="00B676E8" w:rsidRDefault="00B676E8" w:rsidP="00FC1C9A">
            <w:pPr>
              <w:keepNext w:val="0"/>
              <w:rPr>
                <w:b/>
              </w:rPr>
            </w:pPr>
            <w:r w:rsidRPr="00B676E8">
              <w:rPr>
                <w:b/>
              </w:rPr>
              <w:t>2.</w:t>
            </w:r>
            <w:r w:rsidRPr="00B676E8">
              <w:rPr>
                <w:b/>
              </w:rPr>
              <w:tab/>
              <w:t>Personnel</w:t>
            </w:r>
          </w:p>
          <w:p w:rsidR="00B676E8" w:rsidRPr="00B676E8" w:rsidRDefault="00B676E8" w:rsidP="00FC1C9A">
            <w:pPr>
              <w:keepNext w:val="0"/>
            </w:pPr>
            <w:r w:rsidRPr="00B676E8">
              <w:t xml:space="preserve">2.1 The authorised person responsible for release of medicinal gases should have a thorough knowledge of the production and control of medicinal gases. </w:t>
            </w:r>
          </w:p>
          <w:p w:rsidR="00B676E8" w:rsidRPr="00B676E8" w:rsidRDefault="00B676E8" w:rsidP="00FC1C9A">
            <w:pPr>
              <w:keepNext w:val="0"/>
              <w:rPr>
                <w:i/>
              </w:rPr>
            </w:pPr>
            <w:r w:rsidRPr="00B676E8">
              <w:t>2.2 All personnel involved in the manufacture of medicinal gases should understand the GMP requirements relevant to medicinal gases and should be aware of the critically important aspects and potential hazards for patients from products in the form of medicinal gases.</w:t>
            </w:r>
          </w:p>
        </w:tc>
        <w:tc>
          <w:tcPr>
            <w:tcW w:w="1843" w:type="dxa"/>
          </w:tcPr>
          <w:p w:rsidR="00B676E8" w:rsidRDefault="00B676E8" w:rsidP="00FC1C9A">
            <w:pPr>
              <w:keepNext w:val="0"/>
            </w:pPr>
            <w:r w:rsidRPr="00B676E8">
              <w:t>Where text of 2.1 has been deleted, yet new clauses 5 and 6 broaden the requirements relating to training</w:t>
            </w:r>
          </w:p>
        </w:tc>
        <w:tc>
          <w:tcPr>
            <w:tcW w:w="1531" w:type="dxa"/>
          </w:tcPr>
          <w:p w:rsidR="00B676E8" w:rsidRPr="00B676E8" w:rsidRDefault="00B676E8" w:rsidP="00FC1C9A">
            <w:pPr>
              <w:keepNext w:val="0"/>
            </w:pPr>
            <w:r w:rsidRPr="00B676E8">
              <w:t>Minor</w:t>
            </w:r>
          </w:p>
        </w:tc>
      </w:tr>
      <w:tr w:rsidR="00B676E8" w:rsidTr="00080B59">
        <w:trPr>
          <w:cantSplit w:val="0"/>
        </w:trPr>
        <w:tc>
          <w:tcPr>
            <w:tcW w:w="5920" w:type="dxa"/>
          </w:tcPr>
          <w:p w:rsidR="00B676E8" w:rsidRPr="00B676E8" w:rsidRDefault="00B676E8" w:rsidP="00FC1C9A">
            <w:pPr>
              <w:keepNext w:val="0"/>
              <w:rPr>
                <w:b/>
              </w:rPr>
            </w:pPr>
            <w:r w:rsidRPr="00B676E8">
              <w:rPr>
                <w:b/>
              </w:rPr>
              <w:t>Premises</w:t>
            </w:r>
          </w:p>
          <w:p w:rsidR="00B676E8" w:rsidRPr="00B676E8" w:rsidRDefault="00B676E8" w:rsidP="00FC1C9A">
            <w:pPr>
              <w:keepNext w:val="0"/>
            </w:pPr>
            <w:r w:rsidRPr="00B676E8">
              <w:t xml:space="preserve">7. Cylinders and mobile cryogenic vessels should be checked, prepared, filled and stored in a separate area from non-medicinal gases, and there should be no exchange of cylinders/mobile cryogenic vessels between these areas. However, it could be accepted to check, prepare, fill and store other gases in the same areas, provided they comply with the specifications of medicinal gases and that the </w:t>
            </w:r>
            <w:r w:rsidRPr="00B676E8">
              <w:lastRenderedPageBreak/>
              <w:t>manufacturing operations are performed according to GMP standards.</w:t>
            </w:r>
          </w:p>
          <w:p w:rsidR="00B676E8" w:rsidRPr="00B676E8" w:rsidRDefault="00B676E8" w:rsidP="00FC1C9A">
            <w:pPr>
              <w:keepNext w:val="0"/>
            </w:pPr>
            <w:r w:rsidRPr="00B676E8">
              <w:t xml:space="preserve">8. Premises should provide sufficient space for manufacturing, testing and storage operations to avoid the risk of mix-up. Premises should be designated to provide: </w:t>
            </w:r>
          </w:p>
          <w:p w:rsidR="00B676E8" w:rsidRPr="00B676E8" w:rsidRDefault="00B676E8" w:rsidP="00FC1C9A">
            <w:pPr>
              <w:pStyle w:val="Numberbullet2"/>
              <w:keepNext w:val="0"/>
              <w:numPr>
                <w:ilvl w:val="0"/>
                <w:numId w:val="30"/>
              </w:numPr>
            </w:pPr>
            <w:r w:rsidRPr="00B676E8">
              <w:t>separate marked areas for different gases;</w:t>
            </w:r>
          </w:p>
          <w:p w:rsidR="00B676E8" w:rsidRPr="00B676E8" w:rsidRDefault="00B676E8" w:rsidP="00FC1C9A">
            <w:pPr>
              <w:pStyle w:val="Numberbullet2"/>
              <w:keepNext w:val="0"/>
            </w:pPr>
            <w:r w:rsidRPr="00B676E8">
              <w:t>clear identification and segregation of cylinders/mobile cryogenic vessels at various stages of processing (e.g. “waiting checking”, "awaiting filling", "quarantine", "certified", “rejected “,“prepared deliveries”).</w:t>
            </w:r>
          </w:p>
          <w:p w:rsidR="00B676E8" w:rsidRPr="00B676E8" w:rsidRDefault="00B676E8" w:rsidP="00FC1C9A">
            <w:pPr>
              <w:keepNext w:val="0"/>
            </w:pPr>
            <w:r w:rsidRPr="00B676E8">
              <w:t>The method used to achieve these various levels of segregation will depend on the nature, extent and complexity of the overall operation. Marked-out floor areas, partitions, barriers, signs, labels or other appropriate means could be used.</w:t>
            </w:r>
          </w:p>
          <w:p w:rsidR="00B676E8" w:rsidRPr="00B676E8" w:rsidRDefault="00B676E8" w:rsidP="00FC1C9A">
            <w:pPr>
              <w:keepNext w:val="0"/>
              <w:rPr>
                <w:rFonts w:ascii="Arial" w:hAnsi="Arial" w:cs="Arial"/>
                <w:color w:val="006DA7"/>
              </w:rPr>
            </w:pPr>
            <w:r w:rsidRPr="00B676E8">
              <w:rPr>
                <w:rFonts w:ascii="Arial" w:hAnsi="Arial" w:cs="Arial"/>
                <w:color w:val="006DA7"/>
              </w:rPr>
              <w:t>9. Empty cylinders/home cryogenic vessels after sorting or maintenance, and filled cylinders/home cryogenic vessels should be stored under cover, protected from adverse weather conditions. Filled cylinders/mobile cryogenic vessels should be stored in a manner that ensures that they will be delivered in a clean state, compatible with the environment in which they will be used.</w:t>
            </w:r>
          </w:p>
          <w:p w:rsidR="00B676E8" w:rsidRPr="00B676E8" w:rsidRDefault="00B676E8" w:rsidP="00FC1C9A">
            <w:pPr>
              <w:keepNext w:val="0"/>
              <w:rPr>
                <w:b/>
              </w:rPr>
            </w:pPr>
            <w:r w:rsidRPr="00B676E8">
              <w:rPr>
                <w:rFonts w:ascii="Arial" w:hAnsi="Arial" w:cs="Arial"/>
                <w:color w:val="006DA7"/>
              </w:rPr>
              <w:t xml:space="preserve">10. Specific storage conditions should be provided as </w:t>
            </w:r>
            <w:r w:rsidRPr="00B676E8">
              <w:rPr>
                <w:rFonts w:ascii="Arial" w:hAnsi="Arial" w:cs="Arial"/>
                <w:color w:val="006DA7"/>
              </w:rPr>
              <w:lastRenderedPageBreak/>
              <w:t>required by the Marketing Authorisation (e.g. for gas mixtures where phase separation occurs on freezing).</w:t>
            </w:r>
          </w:p>
        </w:tc>
        <w:tc>
          <w:tcPr>
            <w:tcW w:w="5812" w:type="dxa"/>
          </w:tcPr>
          <w:p w:rsidR="00B676E8" w:rsidRPr="00B676E8" w:rsidRDefault="00B676E8" w:rsidP="00FC1C9A">
            <w:pPr>
              <w:keepNext w:val="0"/>
              <w:rPr>
                <w:b/>
              </w:rPr>
            </w:pPr>
            <w:r w:rsidRPr="00B676E8">
              <w:rPr>
                <w:b/>
              </w:rPr>
              <w:lastRenderedPageBreak/>
              <w:t>3.1</w:t>
            </w:r>
            <w:r w:rsidRPr="00B676E8">
              <w:rPr>
                <w:b/>
              </w:rPr>
              <w:tab/>
              <w:t>Premises</w:t>
            </w:r>
          </w:p>
          <w:p w:rsidR="00B676E8" w:rsidRPr="00B676E8" w:rsidRDefault="00B676E8" w:rsidP="00FC1C9A">
            <w:pPr>
              <w:keepNext w:val="0"/>
            </w:pPr>
            <w:r w:rsidRPr="00B676E8">
              <w:t xml:space="preserve">3.1.1 Medicinal gases should be filled in a separate area from non-medicinal gases and there should be no exchange of containers between these areas. In exceptional cases, the principal of campaign filling in the same area can be accepted provided that specific precautions are taken and necessary validation is done. </w:t>
            </w:r>
          </w:p>
          <w:p w:rsidR="00B676E8" w:rsidRPr="00B676E8" w:rsidRDefault="00B676E8" w:rsidP="00FC1C9A">
            <w:pPr>
              <w:keepNext w:val="0"/>
            </w:pPr>
            <w:r w:rsidRPr="00B676E8">
              <w:t xml:space="preserve">3.1.2 Premises should provide sufficient space for </w:t>
            </w:r>
            <w:r w:rsidRPr="00B676E8">
              <w:lastRenderedPageBreak/>
              <w:t>manufacturing, testing and storage operations to avoid the risk of mix-up. Premises should be clean and tidy to encourage orderly working and adequate storage.</w:t>
            </w:r>
          </w:p>
          <w:p w:rsidR="00B676E8" w:rsidRPr="00B676E8" w:rsidRDefault="00B676E8" w:rsidP="00FC1C9A">
            <w:pPr>
              <w:keepNext w:val="0"/>
            </w:pPr>
            <w:r w:rsidRPr="00B676E8">
              <w:t>3.1.3 Filling areas should be of sufficient size and have an orderly layout to provide:</w:t>
            </w:r>
          </w:p>
          <w:p w:rsidR="00B676E8" w:rsidRPr="00B676E8" w:rsidRDefault="00B676E8" w:rsidP="00FC1C9A">
            <w:pPr>
              <w:pStyle w:val="Numberbullet2"/>
              <w:keepNext w:val="0"/>
              <w:numPr>
                <w:ilvl w:val="0"/>
                <w:numId w:val="31"/>
              </w:numPr>
            </w:pPr>
            <w:r w:rsidRPr="00B676E8">
              <w:t>separate marked areas for different gases</w:t>
            </w:r>
          </w:p>
          <w:p w:rsidR="00B676E8" w:rsidRPr="00B676E8" w:rsidRDefault="00B676E8" w:rsidP="00FC1C9A">
            <w:pPr>
              <w:pStyle w:val="Numberbullet2"/>
              <w:keepNext w:val="0"/>
            </w:pPr>
            <w:proofErr w:type="gramStart"/>
            <w:r w:rsidRPr="00B676E8">
              <w:t>clear</w:t>
            </w:r>
            <w:proofErr w:type="gramEnd"/>
            <w:r w:rsidRPr="00B676E8">
              <w:t xml:space="preserve"> identification and segregation of empty cylinders and cylinders at various stages of processing (e.g. "awaiting filling", "filled", "quarantine", "approved", "rejected").</w:t>
            </w:r>
          </w:p>
          <w:p w:rsidR="00B676E8" w:rsidRPr="00B676E8" w:rsidRDefault="00B676E8" w:rsidP="00FC1C9A">
            <w:pPr>
              <w:keepNext w:val="0"/>
            </w:pPr>
            <w:r w:rsidRPr="00B676E8">
              <w:t>The method used to achieve these various levels of segregation will depend on the nature, extent and complexity of the overall operation, but marked-out floor areas, partitions, barriers and signs could be used or other appropriate means.</w:t>
            </w:r>
          </w:p>
          <w:p w:rsidR="00B676E8" w:rsidRPr="00B676E8" w:rsidRDefault="00B676E8" w:rsidP="00FC1C9A">
            <w:pPr>
              <w:keepNext w:val="0"/>
              <w:rPr>
                <w:b/>
                <w:i/>
              </w:rPr>
            </w:pPr>
            <w:r w:rsidRPr="00B676E8">
              <w:rPr>
                <w:i/>
              </w:rPr>
              <w:t>Note: where clauses 9 and 10 are new, 9 is only a further specification of PE 009-8 clauses 5.3.7, 7.2 and 7.4, and 10 is making a reference that is in line with the Therapeutic Goods Act 1989</w:t>
            </w:r>
          </w:p>
        </w:tc>
        <w:tc>
          <w:tcPr>
            <w:tcW w:w="1843" w:type="dxa"/>
          </w:tcPr>
          <w:p w:rsidR="00B76B86" w:rsidRDefault="00B76B86" w:rsidP="00FC1C9A">
            <w:pPr>
              <w:keepNext w:val="0"/>
            </w:pPr>
            <w:r>
              <w:lastRenderedPageBreak/>
              <w:t>PE 009-10 clause 7 covers the same as PE 009-8 clause 3.1., but leaves manufacturers more options;</w:t>
            </w:r>
          </w:p>
          <w:p w:rsidR="00B676E8" w:rsidRPr="00B676E8" w:rsidRDefault="00B76B86" w:rsidP="00FC1C9A">
            <w:pPr>
              <w:keepNext w:val="0"/>
            </w:pPr>
            <w:r>
              <w:t xml:space="preserve">Similarly, clause </w:t>
            </w:r>
            <w:r>
              <w:lastRenderedPageBreak/>
              <w:t>8 covers the same as 3.1.2 and 3.1.3</w:t>
            </w:r>
          </w:p>
        </w:tc>
        <w:tc>
          <w:tcPr>
            <w:tcW w:w="1531" w:type="dxa"/>
          </w:tcPr>
          <w:p w:rsidR="00B676E8" w:rsidRPr="00B676E8" w:rsidRDefault="00B76B86" w:rsidP="00FC1C9A">
            <w:pPr>
              <w:keepNext w:val="0"/>
            </w:pPr>
            <w:r w:rsidRPr="00B76B86">
              <w:lastRenderedPageBreak/>
              <w:t>Nil</w:t>
            </w:r>
          </w:p>
        </w:tc>
      </w:tr>
      <w:tr w:rsidR="0094608A" w:rsidTr="00080B59">
        <w:trPr>
          <w:cantSplit w:val="0"/>
        </w:trPr>
        <w:tc>
          <w:tcPr>
            <w:tcW w:w="5920" w:type="dxa"/>
          </w:tcPr>
          <w:p w:rsidR="0094608A" w:rsidRPr="0094608A" w:rsidRDefault="0094608A" w:rsidP="00FC1C9A">
            <w:pPr>
              <w:keepNext w:val="0"/>
              <w:rPr>
                <w:b/>
              </w:rPr>
            </w:pPr>
            <w:r w:rsidRPr="0094608A">
              <w:rPr>
                <w:b/>
              </w:rPr>
              <w:lastRenderedPageBreak/>
              <w:t>Equipment</w:t>
            </w:r>
          </w:p>
          <w:p w:rsidR="0094608A" w:rsidRPr="0094608A" w:rsidRDefault="0094608A" w:rsidP="00FC1C9A">
            <w:pPr>
              <w:keepNext w:val="0"/>
              <w:rPr>
                <w:rFonts w:ascii="Arial" w:hAnsi="Arial" w:cs="Arial"/>
                <w:color w:val="006DA7"/>
              </w:rPr>
            </w:pPr>
            <w:r w:rsidRPr="0094608A">
              <w:rPr>
                <w:rFonts w:ascii="Arial" w:hAnsi="Arial" w:cs="Arial"/>
                <w:color w:val="006DA7"/>
              </w:rPr>
              <w:t>11. Equipment should be designed to ensure the correct gas is filled into the correct container. There should normally be no cross connections between pipelines carrying different gases.  If cross connections are needed (e.g. filling equipment of mixtures), qualification should ensure that there is no risk of cross contamination between the different gases. In addition, the manifolds should be equipped with specific connections. These connections may be subject to international or national standards. The use of connections meeting different standards at the same filling site should be carefully controlled, as well as the use of adaptors needed in some situations to bypass the specific fill connection systems.</w:t>
            </w:r>
          </w:p>
          <w:p w:rsidR="0094608A" w:rsidRPr="0094608A" w:rsidRDefault="0094608A" w:rsidP="00FC1C9A">
            <w:pPr>
              <w:keepNext w:val="0"/>
              <w:rPr>
                <w:rFonts w:ascii="Arial" w:hAnsi="Arial" w:cs="Arial"/>
                <w:color w:val="006DA7"/>
              </w:rPr>
            </w:pPr>
            <w:r w:rsidRPr="0094608A">
              <w:rPr>
                <w:rFonts w:ascii="Arial" w:hAnsi="Arial" w:cs="Arial"/>
                <w:color w:val="006DA7"/>
              </w:rPr>
              <w:t xml:space="preserve">12. Tanks and tankers should be dedicated to a single and defined quality of gas. However, medicinal gases may be stored or transported in the same tanks, other containers used for intermediate storage, or tankers, as the same non-medicinal gas, provided that the quality of the latter is at least equal to the quality of the medicinal gas and </w:t>
            </w:r>
            <w:proofErr w:type="gramStart"/>
            <w:r w:rsidRPr="0094608A">
              <w:rPr>
                <w:rFonts w:ascii="Arial" w:hAnsi="Arial" w:cs="Arial"/>
                <w:color w:val="006DA7"/>
              </w:rPr>
              <w:t>that GMP standards</w:t>
            </w:r>
            <w:proofErr w:type="gramEnd"/>
            <w:r w:rsidRPr="0094608A">
              <w:rPr>
                <w:rFonts w:ascii="Arial" w:hAnsi="Arial" w:cs="Arial"/>
                <w:color w:val="006DA7"/>
              </w:rPr>
              <w:t xml:space="preserve"> are maintained. In such cases, quality risk management should be performed and documented.</w:t>
            </w:r>
          </w:p>
          <w:p w:rsidR="0094608A" w:rsidRPr="0094608A" w:rsidRDefault="0094608A" w:rsidP="00FC1C9A">
            <w:pPr>
              <w:keepNext w:val="0"/>
              <w:rPr>
                <w:rFonts w:ascii="Arial" w:hAnsi="Arial" w:cs="Arial"/>
                <w:color w:val="006DA7"/>
              </w:rPr>
            </w:pPr>
            <w:r w:rsidRPr="0094608A">
              <w:rPr>
                <w:rFonts w:ascii="Arial" w:hAnsi="Arial" w:cs="Arial"/>
                <w:color w:val="006DA7"/>
              </w:rPr>
              <w:t xml:space="preserve">13. A common system supplying gas to medicinal and </w:t>
            </w:r>
            <w:r w:rsidRPr="0094608A">
              <w:rPr>
                <w:rFonts w:ascii="Arial" w:hAnsi="Arial" w:cs="Arial"/>
                <w:color w:val="006DA7"/>
              </w:rPr>
              <w:lastRenderedPageBreak/>
              <w:t>non-medicinal gas manifolds is only acceptable if there is a validated method to prevent backflow from the non-medicinal gas line to the medicinal gas line.</w:t>
            </w:r>
          </w:p>
          <w:p w:rsidR="0094608A" w:rsidRPr="0094608A" w:rsidRDefault="0094608A" w:rsidP="00FC1C9A">
            <w:pPr>
              <w:keepNext w:val="0"/>
              <w:rPr>
                <w:rFonts w:ascii="Arial" w:hAnsi="Arial" w:cs="Arial"/>
                <w:color w:val="006DA7"/>
              </w:rPr>
            </w:pPr>
            <w:r w:rsidRPr="0094608A">
              <w:rPr>
                <w:rFonts w:ascii="Arial" w:hAnsi="Arial" w:cs="Arial"/>
                <w:color w:val="006DA7"/>
              </w:rPr>
              <w:t xml:space="preserve">14. Filling manifolds should be dedicated to a single medicinal gas or to a given mixture of medicinal gases. In exceptional cases, filling gases used for other medical purposes on manifolds dedicated to medicinal gases may be acceptable if justified and performed under control. In these cases, the quality of the non-medicinal gas should be at least equal to the required quality of the medicinal gas and GMP standards should be maintained. Filling should then be carried out by campaigns. </w:t>
            </w:r>
          </w:p>
          <w:p w:rsidR="0094608A" w:rsidRPr="0094608A" w:rsidRDefault="0094608A" w:rsidP="00FC1C9A">
            <w:pPr>
              <w:keepNext w:val="0"/>
              <w:rPr>
                <w:rFonts w:ascii="Arial" w:hAnsi="Arial" w:cs="Arial"/>
                <w:color w:val="006DA7"/>
              </w:rPr>
            </w:pPr>
            <w:r w:rsidRPr="0094608A">
              <w:t xml:space="preserve">15. Repair and maintenance operations </w:t>
            </w:r>
            <w:r w:rsidRPr="0094608A">
              <w:rPr>
                <w:rFonts w:ascii="Arial" w:hAnsi="Arial" w:cs="Arial"/>
                <w:color w:val="006DA7"/>
              </w:rPr>
              <w:t>(including cleaning and purging)</w:t>
            </w:r>
            <w:r w:rsidRPr="0094608A">
              <w:t xml:space="preserve"> of equipment, should not adversely affect the quality of the medicinal gases. </w:t>
            </w:r>
            <w:r w:rsidRPr="0094608A">
              <w:rPr>
                <w:rFonts w:ascii="Arial" w:hAnsi="Arial" w:cs="Arial"/>
                <w:color w:val="006DA7"/>
              </w:rPr>
              <w:t xml:space="preserve">In particular, procedures should describe the measures to be taken after repair and maintenance operations involving breaches of the system’s integrity. Specifically it should be demonstrated that the equipment is free from any contamination that may adversely affect the quality of the finished product before releasing it for use. Records should be maintained. </w:t>
            </w:r>
          </w:p>
          <w:p w:rsidR="0094608A" w:rsidRPr="00B676E8" w:rsidRDefault="0094608A" w:rsidP="00FC1C9A">
            <w:pPr>
              <w:keepNext w:val="0"/>
              <w:rPr>
                <w:b/>
              </w:rPr>
            </w:pPr>
            <w:r w:rsidRPr="0094608A">
              <w:rPr>
                <w:rFonts w:ascii="Arial" w:hAnsi="Arial" w:cs="Arial"/>
                <w:color w:val="006DA7"/>
              </w:rPr>
              <w:t xml:space="preserve">16. A procedure should describe the measures to be taken when a tanker is back into medicinal gas service (after transporting non-medicinal gas in the conditions mentioned in section </w:t>
            </w:r>
            <w:proofErr w:type="gramStart"/>
            <w:r w:rsidRPr="0094608A">
              <w:rPr>
                <w:rFonts w:ascii="Arial" w:hAnsi="Arial" w:cs="Arial"/>
                <w:color w:val="006DA7"/>
              </w:rPr>
              <w:t>12,</w:t>
            </w:r>
            <w:proofErr w:type="gramEnd"/>
            <w:r w:rsidRPr="0094608A">
              <w:rPr>
                <w:rFonts w:ascii="Arial" w:hAnsi="Arial" w:cs="Arial"/>
                <w:color w:val="006DA7"/>
              </w:rPr>
              <w:t xml:space="preserve"> or after a maintenance </w:t>
            </w:r>
            <w:r w:rsidRPr="0094608A">
              <w:rPr>
                <w:rFonts w:ascii="Arial" w:hAnsi="Arial" w:cs="Arial"/>
                <w:color w:val="006DA7"/>
              </w:rPr>
              <w:lastRenderedPageBreak/>
              <w:t>operation). This should include analytical testing.</w:t>
            </w:r>
          </w:p>
        </w:tc>
        <w:tc>
          <w:tcPr>
            <w:tcW w:w="5812" w:type="dxa"/>
          </w:tcPr>
          <w:p w:rsidR="0094608A" w:rsidRPr="0094608A" w:rsidRDefault="0094608A" w:rsidP="00FC1C9A">
            <w:pPr>
              <w:keepNext w:val="0"/>
              <w:rPr>
                <w:b/>
              </w:rPr>
            </w:pPr>
            <w:r w:rsidRPr="0094608A">
              <w:rPr>
                <w:b/>
              </w:rPr>
              <w:lastRenderedPageBreak/>
              <w:t>3.2</w:t>
            </w:r>
            <w:r w:rsidRPr="0094608A">
              <w:rPr>
                <w:b/>
              </w:rPr>
              <w:tab/>
              <w:t>Equipment</w:t>
            </w:r>
          </w:p>
          <w:p w:rsidR="0094608A" w:rsidRPr="0094608A" w:rsidRDefault="0094608A" w:rsidP="00FC1C9A">
            <w:pPr>
              <w:keepNext w:val="0"/>
            </w:pPr>
            <w:r w:rsidRPr="0094608A">
              <w:t>3.2.1 All equipment for manufacture and analyses should be qualified and calibrated regularly as appropriate.</w:t>
            </w:r>
          </w:p>
          <w:p w:rsidR="0094608A" w:rsidRPr="0094608A" w:rsidRDefault="0094608A" w:rsidP="00FC1C9A">
            <w:pPr>
              <w:keepNext w:val="0"/>
            </w:pPr>
            <w:r w:rsidRPr="0094608A">
              <w:t xml:space="preserve">3.2.2 It is necessary to ensure that the correct gas is put into the correct container. Except for validated automated filling processes there should be no interconnections between pipelines carrying different gases. The manifolds should be equipped with fill connections that </w:t>
            </w:r>
            <w:proofErr w:type="spellStart"/>
            <w:r w:rsidRPr="0094608A">
              <w:t>corre¬spond</w:t>
            </w:r>
            <w:proofErr w:type="spellEnd"/>
            <w:r w:rsidRPr="0094608A">
              <w:t xml:space="preserve"> only to the valve for that particular gas or particular mixture of gases so that only the correct containers can be attached to the manifold. (The use of manifold and container valve connections may be subject to international or national standards.)</w:t>
            </w:r>
          </w:p>
          <w:p w:rsidR="0094608A" w:rsidRPr="0094608A" w:rsidRDefault="0094608A" w:rsidP="00FC1C9A">
            <w:pPr>
              <w:keepNext w:val="0"/>
            </w:pPr>
            <w:r w:rsidRPr="0094608A">
              <w:t xml:space="preserve">3.2.3 Repair and maintenance operations should not affect the quality of the medicinal gases. </w:t>
            </w:r>
          </w:p>
          <w:p w:rsidR="0094608A" w:rsidRPr="0094608A" w:rsidRDefault="0094608A" w:rsidP="00FC1C9A">
            <w:pPr>
              <w:keepNext w:val="0"/>
            </w:pPr>
            <w:r w:rsidRPr="0094608A">
              <w:t xml:space="preserve">3.2.4 Filling of non-medicinal gases should be avoided in areas and with equipment destined for the production of medicinal gases. Exceptions can be acceptable if the quality of the gas used for non-medicinal purposes is at least equal to the quality of the medicinal gas and GMP-standards are maintained. There should be a validated method of backflow prevention in the line supplying the filling area </w:t>
            </w:r>
            <w:r w:rsidRPr="0094608A">
              <w:lastRenderedPageBreak/>
              <w:t>for non-medicinal gases to prevent contamination of the medicinal gas.</w:t>
            </w:r>
          </w:p>
          <w:p w:rsidR="0094608A" w:rsidRPr="0086468D" w:rsidRDefault="0094608A" w:rsidP="00FC1C9A">
            <w:pPr>
              <w:keepNext w:val="0"/>
            </w:pPr>
            <w:r w:rsidRPr="0094608A">
              <w:t>3.2.5 Storage tanks and mobile delivery tanks should be dedicated to one gas and a well-defined quality of this gas. However liquefied medicinal gases may be stored or transported in the same tanks as the same non-medicinal gas provided that the quality of the latter is at least equal to the quality of the medicinal gas.</w:t>
            </w:r>
          </w:p>
        </w:tc>
        <w:tc>
          <w:tcPr>
            <w:tcW w:w="1843" w:type="dxa"/>
          </w:tcPr>
          <w:p w:rsidR="0094608A" w:rsidRDefault="0094608A" w:rsidP="00FC1C9A">
            <w:pPr>
              <w:keepNext w:val="0"/>
            </w:pPr>
            <w:r>
              <w:lastRenderedPageBreak/>
              <w:t>PE 009-10 clause 11 is similar to PE 009-8 clause 3.2.2;</w:t>
            </w:r>
          </w:p>
          <w:p w:rsidR="0094608A" w:rsidRDefault="0094608A" w:rsidP="00FC1C9A">
            <w:pPr>
              <w:keepNext w:val="0"/>
            </w:pPr>
            <w:r>
              <w:t>Similarly, 14 is comparable to 3.2.4</w:t>
            </w:r>
          </w:p>
          <w:p w:rsidR="0094608A" w:rsidRDefault="0094608A" w:rsidP="00FC1C9A">
            <w:pPr>
              <w:keepNext w:val="0"/>
            </w:pPr>
            <w:r>
              <w:t>Similarly, 15 is comparable to 3.2.3 with some further elaboration</w:t>
            </w:r>
          </w:p>
          <w:p w:rsidR="0094608A" w:rsidRDefault="0094608A" w:rsidP="00FC1C9A">
            <w:pPr>
              <w:keepNext w:val="0"/>
            </w:pPr>
            <w:r>
              <w:t>Similarly, 16 is comparable to 3.2.5</w:t>
            </w:r>
          </w:p>
        </w:tc>
        <w:tc>
          <w:tcPr>
            <w:tcW w:w="1531" w:type="dxa"/>
          </w:tcPr>
          <w:p w:rsidR="0094608A" w:rsidRPr="00B76B86" w:rsidRDefault="0094608A" w:rsidP="00FC1C9A">
            <w:pPr>
              <w:keepNext w:val="0"/>
            </w:pPr>
            <w:r w:rsidRPr="0094608A">
              <w:t>Minor</w:t>
            </w:r>
          </w:p>
        </w:tc>
      </w:tr>
      <w:tr w:rsidR="0094608A" w:rsidTr="00080B59">
        <w:trPr>
          <w:cantSplit w:val="0"/>
        </w:trPr>
        <w:tc>
          <w:tcPr>
            <w:tcW w:w="5920" w:type="dxa"/>
          </w:tcPr>
          <w:p w:rsidR="0094608A" w:rsidRPr="0094608A" w:rsidRDefault="0094608A" w:rsidP="00FC1C9A">
            <w:pPr>
              <w:keepNext w:val="0"/>
              <w:rPr>
                <w:b/>
              </w:rPr>
            </w:pPr>
            <w:r w:rsidRPr="0094608A">
              <w:rPr>
                <w:b/>
              </w:rPr>
              <w:lastRenderedPageBreak/>
              <w:t>DOCUMENTATION</w:t>
            </w:r>
          </w:p>
          <w:p w:rsidR="0094608A" w:rsidRPr="0094608A" w:rsidRDefault="0094608A" w:rsidP="00FC1C9A">
            <w:pPr>
              <w:keepNext w:val="0"/>
            </w:pPr>
            <w:r w:rsidRPr="0094608A">
              <w:t>17. Data included in the records for each batch of cylinders / mobile cryogenic vessels must ensure that each filled cylinder is traceable to significant aspects of the relevant filling operations. As appropriate, the following should be entered:</w:t>
            </w:r>
          </w:p>
          <w:p w:rsidR="0094608A" w:rsidRPr="0094608A" w:rsidRDefault="0094608A" w:rsidP="00FC1C9A">
            <w:pPr>
              <w:pStyle w:val="Numberbullet2"/>
              <w:keepNext w:val="0"/>
              <w:numPr>
                <w:ilvl w:val="0"/>
                <w:numId w:val="32"/>
              </w:numPr>
            </w:pPr>
            <w:r w:rsidRPr="0094608A">
              <w:t>the name of the product;</w:t>
            </w:r>
          </w:p>
          <w:p w:rsidR="0094608A" w:rsidRPr="0094608A" w:rsidRDefault="0094608A" w:rsidP="00FC1C9A">
            <w:pPr>
              <w:pStyle w:val="Numberbullet2"/>
              <w:keepNext w:val="0"/>
              <w:rPr>
                <w:rFonts w:ascii="Arial" w:hAnsi="Arial" w:cs="Arial"/>
                <w:color w:val="006DA7"/>
              </w:rPr>
            </w:pPr>
            <w:r w:rsidRPr="0094608A">
              <w:rPr>
                <w:rFonts w:ascii="Arial" w:hAnsi="Arial" w:cs="Arial"/>
                <w:color w:val="006DA7"/>
              </w:rPr>
              <w:t>batch number;</w:t>
            </w:r>
          </w:p>
          <w:p w:rsidR="0094608A" w:rsidRPr="0094608A" w:rsidRDefault="0094608A" w:rsidP="00FC1C9A">
            <w:pPr>
              <w:pStyle w:val="Numberbullet2"/>
              <w:keepNext w:val="0"/>
            </w:pPr>
            <w:r w:rsidRPr="0094608A">
              <w:t>the date and the time of the filling operations;</w:t>
            </w:r>
          </w:p>
          <w:p w:rsidR="0094608A" w:rsidRPr="0094608A" w:rsidRDefault="0094608A" w:rsidP="00FC1C9A">
            <w:pPr>
              <w:pStyle w:val="Numberbullet2"/>
              <w:keepNext w:val="0"/>
            </w:pPr>
            <w:proofErr w:type="gramStart"/>
            <w:r w:rsidRPr="0094608A">
              <w:t>identification</w:t>
            </w:r>
            <w:proofErr w:type="gramEnd"/>
            <w:r w:rsidRPr="0094608A">
              <w:t xml:space="preserve"> of the person(s) carrying out each significant step (e.g. line clearance, receipt, preparation before filling, filling etc.); </w:t>
            </w:r>
          </w:p>
          <w:p w:rsidR="0094608A" w:rsidRPr="0094608A" w:rsidRDefault="0094608A" w:rsidP="00FC1C9A">
            <w:pPr>
              <w:pStyle w:val="Numberbullet2"/>
              <w:keepNext w:val="0"/>
            </w:pPr>
            <w:r w:rsidRPr="0094608A">
              <w:t>batch(</w:t>
            </w:r>
            <w:proofErr w:type="spellStart"/>
            <w:r w:rsidRPr="0094608A">
              <w:t>es</w:t>
            </w:r>
            <w:proofErr w:type="spellEnd"/>
            <w:r w:rsidRPr="0094608A">
              <w:t>) reference(s) for the gas(</w:t>
            </w:r>
            <w:proofErr w:type="spellStart"/>
            <w:r w:rsidRPr="0094608A">
              <w:t>es</w:t>
            </w:r>
            <w:proofErr w:type="spellEnd"/>
            <w:r w:rsidRPr="0094608A">
              <w:t xml:space="preserve">) used for the filling operation as referred to in section 22, including status; </w:t>
            </w:r>
          </w:p>
          <w:p w:rsidR="0094608A" w:rsidRPr="0094608A" w:rsidRDefault="0094608A" w:rsidP="00FC1C9A">
            <w:pPr>
              <w:pStyle w:val="Numberbullet2"/>
              <w:keepNext w:val="0"/>
            </w:pPr>
            <w:r w:rsidRPr="0094608A">
              <w:t>equipment used (e.g. filling manifold);</w:t>
            </w:r>
          </w:p>
          <w:p w:rsidR="0094608A" w:rsidRPr="0094608A" w:rsidRDefault="0094608A" w:rsidP="00FC1C9A">
            <w:pPr>
              <w:pStyle w:val="Numberbullet2"/>
              <w:keepNext w:val="0"/>
            </w:pPr>
            <w:r w:rsidRPr="0094608A">
              <w:t>quantity of cylinders/mobile cryogenic vessels before filling</w:t>
            </w:r>
            <w:r w:rsidRPr="0094608A">
              <w:rPr>
                <w:rFonts w:ascii="Arial" w:hAnsi="Arial" w:cs="Arial"/>
                <w:color w:val="006DA7"/>
              </w:rPr>
              <w:t>, including individual identification references and water capacity(</w:t>
            </w:r>
            <w:proofErr w:type="spellStart"/>
            <w:r w:rsidRPr="0094608A">
              <w:rPr>
                <w:rFonts w:ascii="Arial" w:hAnsi="Arial" w:cs="Arial"/>
                <w:color w:val="006DA7"/>
              </w:rPr>
              <w:t>ies</w:t>
            </w:r>
            <w:proofErr w:type="spellEnd"/>
            <w:r w:rsidRPr="0094608A">
              <w:rPr>
                <w:rFonts w:ascii="Arial" w:hAnsi="Arial" w:cs="Arial"/>
                <w:color w:val="006DA7"/>
              </w:rPr>
              <w:t>)</w:t>
            </w:r>
            <w:r w:rsidRPr="0094608A">
              <w:t>;</w:t>
            </w:r>
          </w:p>
          <w:p w:rsidR="0094608A" w:rsidRPr="0094608A" w:rsidRDefault="0094608A" w:rsidP="00FC1C9A">
            <w:pPr>
              <w:pStyle w:val="Numberbullet2"/>
              <w:keepNext w:val="0"/>
            </w:pPr>
            <w:r w:rsidRPr="0094608A">
              <w:t xml:space="preserve">pre-filling operations performed (see section </w:t>
            </w:r>
            <w:r w:rsidRPr="0094608A">
              <w:lastRenderedPageBreak/>
              <w:t>30);</w:t>
            </w:r>
          </w:p>
          <w:p w:rsidR="0094608A" w:rsidRPr="0094608A" w:rsidRDefault="0094608A" w:rsidP="00FC1C9A">
            <w:pPr>
              <w:pStyle w:val="Numberbullet2"/>
              <w:keepNext w:val="0"/>
            </w:pPr>
            <w:r w:rsidRPr="0094608A">
              <w:t>key parameters that are needed to ensure correct fill at standard conditions;</w:t>
            </w:r>
          </w:p>
          <w:p w:rsidR="0094608A" w:rsidRPr="0094608A" w:rsidRDefault="0094608A" w:rsidP="00FC1C9A">
            <w:pPr>
              <w:pStyle w:val="Numberbullet2"/>
              <w:keepNext w:val="0"/>
            </w:pPr>
            <w:r w:rsidRPr="0094608A">
              <w:t>results of appropriate checks to ensure the containers have been filled;</w:t>
            </w:r>
          </w:p>
          <w:p w:rsidR="0094608A" w:rsidRPr="0094608A" w:rsidRDefault="0094608A" w:rsidP="00FC1C9A">
            <w:pPr>
              <w:pStyle w:val="Numberbullet2"/>
              <w:keepNext w:val="0"/>
            </w:pPr>
            <w:r w:rsidRPr="0094608A">
              <w:t xml:space="preserve">a sample of the batch label; </w:t>
            </w:r>
          </w:p>
          <w:p w:rsidR="0094608A" w:rsidRPr="0094608A" w:rsidRDefault="0094608A" w:rsidP="00FC1C9A">
            <w:pPr>
              <w:pStyle w:val="Numberbullet2"/>
              <w:keepNext w:val="0"/>
            </w:pPr>
            <w:r w:rsidRPr="0094608A">
              <w:t>specification of the finished product and results of quality control tests (including reference to the calibration status of the test equipment);</w:t>
            </w:r>
          </w:p>
          <w:p w:rsidR="0094608A" w:rsidRPr="0094608A" w:rsidRDefault="0094608A" w:rsidP="00FC1C9A">
            <w:pPr>
              <w:pStyle w:val="Numberbullet2"/>
              <w:keepNext w:val="0"/>
              <w:rPr>
                <w:rFonts w:cs="Arial"/>
                <w:color w:val="auto"/>
              </w:rPr>
            </w:pPr>
            <w:r w:rsidRPr="0094608A">
              <w:rPr>
                <w:rFonts w:ascii="Arial" w:hAnsi="Arial" w:cs="Arial"/>
                <w:color w:val="006DA7"/>
              </w:rPr>
              <w:t>quantity of rejected cylinders/mobile cryogenic vessels, with individual identification references and reasons for rejections;</w:t>
            </w:r>
          </w:p>
          <w:p w:rsidR="0094608A" w:rsidRPr="0094608A" w:rsidRDefault="0094608A" w:rsidP="00FC1C9A">
            <w:pPr>
              <w:pStyle w:val="Numberbullet2"/>
              <w:keepNext w:val="0"/>
            </w:pPr>
            <w:r w:rsidRPr="0094608A">
              <w:t>details of any problems or unusual events, and signed authorisation for any deviation from filling instructions; and</w:t>
            </w:r>
          </w:p>
          <w:p w:rsidR="0094608A" w:rsidRPr="0094608A" w:rsidRDefault="0094608A" w:rsidP="00FC1C9A">
            <w:pPr>
              <w:pStyle w:val="Numberbullet2"/>
              <w:keepNext w:val="0"/>
              <w:rPr>
                <w:rFonts w:cs="Arial"/>
                <w:color w:val="auto"/>
              </w:rPr>
            </w:pPr>
            <w:proofErr w:type="gramStart"/>
            <w:r w:rsidRPr="0094608A">
              <w:rPr>
                <w:rFonts w:ascii="Arial" w:hAnsi="Arial" w:cs="Arial"/>
                <w:color w:val="006DA7"/>
              </w:rPr>
              <w:t>certification</w:t>
            </w:r>
            <w:proofErr w:type="gramEnd"/>
            <w:r w:rsidRPr="0094608A">
              <w:rPr>
                <w:rFonts w:ascii="Arial" w:hAnsi="Arial" w:cs="Arial"/>
                <w:color w:val="006DA7"/>
              </w:rPr>
              <w:t xml:space="preserve"> statement by the Authorised Person, date and signature.</w:t>
            </w:r>
          </w:p>
          <w:p w:rsidR="0094608A" w:rsidRPr="00C327A8" w:rsidRDefault="0094608A" w:rsidP="00FC1C9A">
            <w:pPr>
              <w:keepNext w:val="0"/>
              <w:rPr>
                <w:rFonts w:ascii="Arial" w:hAnsi="Arial" w:cs="Arial"/>
                <w:color w:val="006DA7"/>
              </w:rPr>
            </w:pPr>
            <w:r w:rsidRPr="00C327A8">
              <w:rPr>
                <w:rFonts w:ascii="Arial" w:hAnsi="Arial" w:cs="Arial"/>
                <w:color w:val="006DA7"/>
              </w:rPr>
              <w:t>18. Records should be maintained for each batch of gas intended to be delivered into hospital tanks. These records should, as appropriate, include the following (items to be recorded may vary depending on local legislation):</w:t>
            </w:r>
          </w:p>
          <w:p w:rsidR="0094608A" w:rsidRPr="00C327A8" w:rsidRDefault="0094608A" w:rsidP="00FC1C9A">
            <w:pPr>
              <w:pStyle w:val="Numberbullet2"/>
              <w:keepNext w:val="0"/>
              <w:numPr>
                <w:ilvl w:val="0"/>
                <w:numId w:val="33"/>
              </w:numPr>
              <w:rPr>
                <w:rFonts w:ascii="Arial" w:hAnsi="Arial" w:cs="Arial"/>
                <w:color w:val="006DA7"/>
              </w:rPr>
            </w:pPr>
            <w:r w:rsidRPr="00C327A8">
              <w:rPr>
                <w:rFonts w:ascii="Arial" w:hAnsi="Arial" w:cs="Arial"/>
                <w:color w:val="006DA7"/>
              </w:rPr>
              <w:t>name of the product;</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lastRenderedPageBreak/>
              <w:t>batch number;</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t>identification reference for the tank (tanker) in which the batch is certified;</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t>date and time of the filling operation;</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t>identification of the person(s) carrying out the filling of the tank (tanker);</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t>reference to the supplying tanker (tank), reference to the source gas as applicable;</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t>relevant details concerning the filling operation;</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t>specification of the finished product and results of quality control tests (including reference to the calibration status of the test equipment);</w:t>
            </w:r>
          </w:p>
          <w:p w:rsidR="0094608A" w:rsidRPr="00C327A8" w:rsidRDefault="0094608A" w:rsidP="00FC1C9A">
            <w:pPr>
              <w:pStyle w:val="Numberbullet2"/>
              <w:keepNext w:val="0"/>
              <w:rPr>
                <w:rFonts w:ascii="Arial" w:hAnsi="Arial" w:cs="Arial"/>
                <w:color w:val="006DA7"/>
              </w:rPr>
            </w:pPr>
            <w:r w:rsidRPr="00C327A8">
              <w:rPr>
                <w:rFonts w:ascii="Arial" w:hAnsi="Arial" w:cs="Arial"/>
                <w:color w:val="006DA7"/>
              </w:rPr>
              <w:t>details of any problems or unusual events, and signed authorisation for any deviation from filling instructions; and</w:t>
            </w:r>
          </w:p>
          <w:p w:rsidR="0086468D" w:rsidRPr="0086468D" w:rsidRDefault="0094608A" w:rsidP="0086468D">
            <w:pPr>
              <w:pStyle w:val="Numberbullet2"/>
              <w:keepNext w:val="0"/>
              <w:rPr>
                <w:rFonts w:ascii="Arial" w:hAnsi="Arial" w:cs="Arial"/>
                <w:color w:val="006DA7"/>
              </w:rPr>
            </w:pPr>
            <w:proofErr w:type="gramStart"/>
            <w:r w:rsidRPr="00C327A8">
              <w:rPr>
                <w:rFonts w:ascii="Arial" w:hAnsi="Arial" w:cs="Arial"/>
                <w:color w:val="006DA7"/>
              </w:rPr>
              <w:t>certification</w:t>
            </w:r>
            <w:proofErr w:type="gramEnd"/>
            <w:r w:rsidRPr="00C327A8">
              <w:rPr>
                <w:rFonts w:ascii="Arial" w:hAnsi="Arial" w:cs="Arial"/>
                <w:color w:val="006DA7"/>
              </w:rPr>
              <w:t xml:space="preserve"> statement by the Authorised Person, date and signature.</w:t>
            </w:r>
          </w:p>
        </w:tc>
        <w:tc>
          <w:tcPr>
            <w:tcW w:w="5812" w:type="dxa"/>
          </w:tcPr>
          <w:p w:rsidR="00C327A8" w:rsidRPr="00C327A8" w:rsidRDefault="00C327A8" w:rsidP="00FC1C9A">
            <w:pPr>
              <w:keepNext w:val="0"/>
              <w:rPr>
                <w:b/>
              </w:rPr>
            </w:pPr>
            <w:r w:rsidRPr="00C327A8">
              <w:rPr>
                <w:b/>
              </w:rPr>
              <w:lastRenderedPageBreak/>
              <w:t>4.</w:t>
            </w:r>
            <w:r w:rsidRPr="00C327A8">
              <w:rPr>
                <w:b/>
              </w:rPr>
              <w:tab/>
              <w:t>Documentation</w:t>
            </w:r>
          </w:p>
          <w:p w:rsidR="00C327A8" w:rsidRPr="00C327A8" w:rsidRDefault="00C327A8" w:rsidP="00FC1C9A">
            <w:pPr>
              <w:keepNext w:val="0"/>
            </w:pPr>
            <w:r w:rsidRPr="00C327A8">
              <w:t>4.1 Data included in the records for each batch of cylinders filled must ensure that each filled cylinder is traceable to significant aspects of the relevant filling operations. As appropriate, the following should be entered:</w:t>
            </w:r>
          </w:p>
          <w:p w:rsidR="00C327A8" w:rsidRPr="00C327A8" w:rsidRDefault="00C327A8" w:rsidP="00FC1C9A">
            <w:pPr>
              <w:pStyle w:val="ListBullet2"/>
              <w:keepNext w:val="0"/>
            </w:pPr>
            <w:r w:rsidRPr="00C327A8">
              <w:t>the name of the product;</w:t>
            </w:r>
          </w:p>
          <w:p w:rsidR="00C327A8" w:rsidRPr="00C327A8" w:rsidRDefault="00C327A8" w:rsidP="00FC1C9A">
            <w:pPr>
              <w:pStyle w:val="ListBullet2"/>
              <w:keepNext w:val="0"/>
            </w:pPr>
            <w:r w:rsidRPr="00C327A8">
              <w:t>the date and the time of the filling operations;</w:t>
            </w:r>
          </w:p>
          <w:p w:rsidR="00C327A8" w:rsidRPr="00C327A8" w:rsidRDefault="00C327A8" w:rsidP="00FC1C9A">
            <w:pPr>
              <w:pStyle w:val="ListBullet2"/>
              <w:keepNext w:val="0"/>
            </w:pPr>
            <w:r w:rsidRPr="00C327A8">
              <w:t>a reference to the filling station used;</w:t>
            </w:r>
          </w:p>
          <w:p w:rsidR="00C327A8" w:rsidRPr="00C327A8" w:rsidRDefault="00C327A8" w:rsidP="00FC1C9A">
            <w:pPr>
              <w:pStyle w:val="ListBullet2"/>
              <w:keepNext w:val="0"/>
            </w:pPr>
            <w:r w:rsidRPr="00C327A8">
              <w:t>equipment used;</w:t>
            </w:r>
          </w:p>
          <w:p w:rsidR="00C327A8" w:rsidRPr="00C327A8" w:rsidRDefault="00C327A8" w:rsidP="00FC1C9A">
            <w:pPr>
              <w:pStyle w:val="ListBullet2"/>
              <w:keepNext w:val="0"/>
            </w:pPr>
            <w:r w:rsidRPr="00C327A8">
              <w:t>name and reference to the specification of the gas or each gas in a mixture;</w:t>
            </w:r>
          </w:p>
          <w:p w:rsidR="00C327A8" w:rsidRPr="00C327A8" w:rsidRDefault="00C327A8" w:rsidP="00FC1C9A">
            <w:pPr>
              <w:pStyle w:val="ListBullet2"/>
              <w:keepNext w:val="0"/>
            </w:pPr>
            <w:r w:rsidRPr="00C327A8">
              <w:t>pre filling operations performed (see point 5.3.5);</w:t>
            </w:r>
          </w:p>
          <w:p w:rsidR="00C327A8" w:rsidRPr="00C327A8" w:rsidRDefault="00C327A8" w:rsidP="00FC1C9A">
            <w:pPr>
              <w:pStyle w:val="ListBullet2"/>
              <w:keepNext w:val="0"/>
            </w:pPr>
            <w:r w:rsidRPr="00C327A8">
              <w:t>the quantity and size of cylinders before and after filling;</w:t>
            </w:r>
          </w:p>
          <w:p w:rsidR="00C327A8" w:rsidRPr="00C327A8" w:rsidRDefault="00C327A8" w:rsidP="00FC1C9A">
            <w:pPr>
              <w:pStyle w:val="ListBullet2"/>
              <w:keepNext w:val="0"/>
            </w:pPr>
            <w:r w:rsidRPr="00C327A8">
              <w:t>the name of the person carrying out the filling operation;</w:t>
            </w:r>
          </w:p>
          <w:p w:rsidR="00C327A8" w:rsidRPr="00C327A8" w:rsidRDefault="00C327A8" w:rsidP="00FC1C9A">
            <w:pPr>
              <w:pStyle w:val="ListBullet2"/>
              <w:keepNext w:val="0"/>
            </w:pPr>
            <w:r w:rsidRPr="00C327A8">
              <w:t>the initials of the operators for each significant step (line clearance, receipt of cylinders, emptying of cylinders etc);</w:t>
            </w:r>
          </w:p>
          <w:p w:rsidR="00C327A8" w:rsidRPr="00C327A8" w:rsidRDefault="00C327A8" w:rsidP="00FC1C9A">
            <w:pPr>
              <w:pStyle w:val="ListBullet2"/>
              <w:keepNext w:val="0"/>
            </w:pPr>
            <w:r w:rsidRPr="00C327A8">
              <w:t xml:space="preserve">key parameters that are needed to ensure correct </w:t>
            </w:r>
            <w:r w:rsidRPr="00C327A8">
              <w:lastRenderedPageBreak/>
              <w:t>fill at standard conditions;</w:t>
            </w:r>
          </w:p>
          <w:p w:rsidR="00C327A8" w:rsidRPr="00C327A8" w:rsidRDefault="00C327A8" w:rsidP="00FC1C9A">
            <w:pPr>
              <w:pStyle w:val="ListBullet2"/>
              <w:keepNext w:val="0"/>
            </w:pPr>
            <w:r w:rsidRPr="00C327A8">
              <w:t>the results of quality control tests and where test equipment is calibrated before each test, the reference gas specification and calibration check results;</w:t>
            </w:r>
          </w:p>
          <w:p w:rsidR="00C327A8" w:rsidRPr="00C327A8" w:rsidRDefault="00C327A8" w:rsidP="00FC1C9A">
            <w:pPr>
              <w:pStyle w:val="ListBullet2"/>
              <w:keepNext w:val="0"/>
            </w:pPr>
            <w:r w:rsidRPr="00C327A8">
              <w:t>results of appropriate checks to ensure the containers have been filled;</w:t>
            </w:r>
          </w:p>
          <w:p w:rsidR="00C327A8" w:rsidRPr="00C327A8" w:rsidRDefault="00C327A8" w:rsidP="00FC1C9A">
            <w:pPr>
              <w:pStyle w:val="ListBullet2"/>
              <w:keepNext w:val="0"/>
            </w:pPr>
            <w:r w:rsidRPr="00C327A8">
              <w:t>a sample of the batch code label;</w:t>
            </w:r>
          </w:p>
          <w:p w:rsidR="00C327A8" w:rsidRPr="00C327A8" w:rsidRDefault="00C327A8" w:rsidP="00FC1C9A">
            <w:pPr>
              <w:pStyle w:val="ListBullet2"/>
              <w:keepNext w:val="0"/>
            </w:pPr>
            <w:r w:rsidRPr="00C327A8">
              <w:t>details of any problems or unusual events, and signed authorisation for any deviation from filling instructions;</w:t>
            </w:r>
          </w:p>
          <w:p w:rsidR="0094608A" w:rsidRPr="0094608A" w:rsidRDefault="00C327A8" w:rsidP="00FC1C9A">
            <w:pPr>
              <w:pStyle w:val="ListBullet2"/>
              <w:keepNext w:val="0"/>
              <w:rPr>
                <w:b/>
              </w:rPr>
            </w:pPr>
            <w:proofErr w:type="gramStart"/>
            <w:r w:rsidRPr="00C327A8">
              <w:t>to</w:t>
            </w:r>
            <w:proofErr w:type="gramEnd"/>
            <w:r w:rsidRPr="00C327A8">
              <w:t xml:space="preserve"> indicate agreement, the date and signature of the supervisor responsible for the filling operation.</w:t>
            </w:r>
          </w:p>
        </w:tc>
        <w:tc>
          <w:tcPr>
            <w:tcW w:w="1843" w:type="dxa"/>
          </w:tcPr>
          <w:p w:rsidR="001D1F74" w:rsidRDefault="001D1F74" w:rsidP="00FC1C9A">
            <w:pPr>
              <w:keepNext w:val="0"/>
            </w:pPr>
            <w:r>
              <w:lastRenderedPageBreak/>
              <w:t>Addition of some parameters to the list of parameters to be recorded:</w:t>
            </w:r>
          </w:p>
          <w:p w:rsidR="0094608A" w:rsidRDefault="001D1F74" w:rsidP="00FC1C9A">
            <w:pPr>
              <w:keepNext w:val="0"/>
            </w:pPr>
            <w:r>
              <w:t>Inclusion of a shortened similar list for deliveries of bulk gas to hospital situations</w:t>
            </w:r>
          </w:p>
        </w:tc>
        <w:tc>
          <w:tcPr>
            <w:tcW w:w="1531" w:type="dxa"/>
          </w:tcPr>
          <w:p w:rsidR="0094608A" w:rsidRPr="0094608A" w:rsidRDefault="001D1F74" w:rsidP="00FC1C9A">
            <w:pPr>
              <w:keepNext w:val="0"/>
            </w:pPr>
            <w:r w:rsidRPr="001D1F74">
              <w:t>Minor</w:t>
            </w:r>
          </w:p>
        </w:tc>
      </w:tr>
      <w:tr w:rsidR="00D129EA" w:rsidTr="00080B59">
        <w:trPr>
          <w:cantSplit w:val="0"/>
        </w:trPr>
        <w:tc>
          <w:tcPr>
            <w:tcW w:w="5920" w:type="dxa"/>
          </w:tcPr>
          <w:p w:rsidR="00D129EA" w:rsidRPr="00D129EA" w:rsidRDefault="00D129EA" w:rsidP="00FC1C9A">
            <w:pPr>
              <w:keepNext w:val="0"/>
              <w:rPr>
                <w:b/>
              </w:rPr>
            </w:pPr>
            <w:r w:rsidRPr="00D129EA">
              <w:rPr>
                <w:b/>
              </w:rPr>
              <w:lastRenderedPageBreak/>
              <w:t>PRODUCTION</w:t>
            </w:r>
          </w:p>
          <w:p w:rsidR="00D129EA" w:rsidRPr="00D129EA" w:rsidRDefault="00D129EA" w:rsidP="00FC1C9A">
            <w:pPr>
              <w:keepNext w:val="0"/>
              <w:rPr>
                <w:b/>
              </w:rPr>
            </w:pPr>
            <w:r w:rsidRPr="00D129EA">
              <w:rPr>
                <w:b/>
              </w:rPr>
              <w:t>Transfers and deliveries of cryogenic and liquefied gas</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19. The transfers of cryogenic or liquefied gases from </w:t>
            </w:r>
            <w:r w:rsidRPr="00D129EA">
              <w:rPr>
                <w:rFonts w:ascii="Arial" w:hAnsi="Arial" w:cs="Arial"/>
                <w:color w:val="006DA7"/>
              </w:rPr>
              <w:lastRenderedPageBreak/>
              <w:t>primary storage, including controls before transfers, should be in accordance with validated procedures designed to avoid any contamination. Transfer lines should be equipped with non-return valves or other suitable alternatives. Flexible connections, and coupling hoses and connectors should be flushed with the relevant gas before use.</w:t>
            </w:r>
          </w:p>
          <w:p w:rsidR="00D129EA" w:rsidRPr="00D129EA" w:rsidRDefault="00D129EA" w:rsidP="00FC1C9A">
            <w:pPr>
              <w:keepNext w:val="0"/>
              <w:rPr>
                <w:rFonts w:ascii="Arial" w:hAnsi="Arial" w:cs="Arial"/>
                <w:color w:val="006DA7"/>
              </w:rPr>
            </w:pPr>
            <w:r w:rsidRPr="00D129EA">
              <w:rPr>
                <w:rFonts w:ascii="Arial" w:hAnsi="Arial" w:cs="Arial"/>
                <w:color w:val="006DA7"/>
              </w:rPr>
              <w:t>20. The transfer hoses used to fill tanks and tankers should be equipped with product-specific connections. The use of adaptors allowing the connection of tanks and tankers not dedicated to the same gases should be adequately controlled.</w:t>
            </w:r>
          </w:p>
          <w:p w:rsidR="00D129EA" w:rsidRPr="00D129EA" w:rsidRDefault="00D129EA" w:rsidP="00FC1C9A">
            <w:pPr>
              <w:keepNext w:val="0"/>
              <w:rPr>
                <w:rFonts w:ascii="Arial" w:hAnsi="Arial" w:cs="Arial"/>
                <w:color w:val="006DA7"/>
              </w:rPr>
            </w:pPr>
            <w:r w:rsidRPr="00D129EA">
              <w:rPr>
                <w:rFonts w:ascii="Arial" w:hAnsi="Arial" w:cs="Arial"/>
                <w:color w:val="006DA7"/>
              </w:rPr>
              <w:t>21. Deliveries of gas may be added to tanks containing the same quality of gas provided that a sample is tested to ensure that the quality of the delivered gas is acceptable. This sample may be taken from the gas to be delivered or from the receiving tank after delivery.</w:t>
            </w:r>
          </w:p>
          <w:p w:rsidR="00D129EA" w:rsidRPr="00D129EA" w:rsidRDefault="00D129EA" w:rsidP="00FC1C9A">
            <w:pPr>
              <w:keepNext w:val="0"/>
              <w:rPr>
                <w:rFonts w:ascii="Arial" w:hAnsi="Arial" w:cs="Arial"/>
                <w:i/>
                <w:color w:val="006DA7"/>
              </w:rPr>
            </w:pPr>
            <w:r w:rsidRPr="00D129EA">
              <w:rPr>
                <w:rFonts w:ascii="Arial" w:hAnsi="Arial" w:cs="Arial"/>
                <w:i/>
                <w:color w:val="006DA7"/>
              </w:rPr>
              <w:t>Note: See specific arrangements in section 42 for filling of tanks retained by customers at the customer’s premises.</w:t>
            </w:r>
          </w:p>
          <w:p w:rsidR="00D129EA" w:rsidRPr="00D129EA" w:rsidRDefault="00D129EA" w:rsidP="00FC1C9A">
            <w:pPr>
              <w:keepNext w:val="0"/>
              <w:rPr>
                <w:rFonts w:ascii="Arial" w:hAnsi="Arial" w:cs="Arial"/>
                <w:b/>
                <w:color w:val="006DA7"/>
              </w:rPr>
            </w:pPr>
            <w:r w:rsidRPr="00D129EA">
              <w:rPr>
                <w:rFonts w:ascii="Arial" w:hAnsi="Arial" w:cs="Arial"/>
                <w:b/>
                <w:color w:val="006DA7"/>
              </w:rPr>
              <w:t>Filling and labelling of cylinders and mobile cryogenic vessels</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22. Before filling cylinders and mobile cryogenic vessels, a batch (batches) of </w:t>
            </w:r>
            <w:proofErr w:type="gramStart"/>
            <w:r w:rsidRPr="00D129EA">
              <w:rPr>
                <w:rFonts w:ascii="Arial" w:hAnsi="Arial" w:cs="Arial"/>
                <w:color w:val="006DA7"/>
              </w:rPr>
              <w:t>gas(</w:t>
            </w:r>
            <w:proofErr w:type="spellStart"/>
            <w:proofErr w:type="gramEnd"/>
            <w:r w:rsidRPr="00D129EA">
              <w:rPr>
                <w:rFonts w:ascii="Arial" w:hAnsi="Arial" w:cs="Arial"/>
                <w:color w:val="006DA7"/>
              </w:rPr>
              <w:t>es</w:t>
            </w:r>
            <w:proofErr w:type="spellEnd"/>
            <w:r w:rsidRPr="00D129EA">
              <w:rPr>
                <w:rFonts w:ascii="Arial" w:hAnsi="Arial" w:cs="Arial"/>
                <w:color w:val="006DA7"/>
              </w:rPr>
              <w:t xml:space="preserve">) should be determined, controlled according to specifications and approved for </w:t>
            </w:r>
            <w:r w:rsidRPr="00D129EA">
              <w:rPr>
                <w:rFonts w:ascii="Arial" w:hAnsi="Arial" w:cs="Arial"/>
                <w:color w:val="006DA7"/>
              </w:rPr>
              <w:lastRenderedPageBreak/>
              <w:t>filling.</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23. In the case of continuous processes as those mentioned in ‘Principle’, there should be adequate in-process controls to ensure that the gas complies with specifications. </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24. Cylinders, mobile cryogenic vessels and valves should conform to appropriate technical specifications and any relevant requirements of the Marketing Authorisation. They should be dedicated to a single medicinal gas or to a given mixture of medicinal gases. Cylinders should be colour-coded according to relevant standards. They should preferably be fitted with minimum pressure retention valves with non-return mechanism in order to get adequate protection against contamination. </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25. Cylinders, mobile cryogenic vessels and valves should be checked before first use in production, and should be properly maintained. Where medical devices have gone through a conformity assessment </w:t>
            </w:r>
            <w:proofErr w:type="gramStart"/>
            <w:r w:rsidRPr="00D129EA">
              <w:rPr>
                <w:rFonts w:ascii="Arial" w:hAnsi="Arial" w:cs="Arial"/>
                <w:color w:val="006DA7"/>
              </w:rPr>
              <w:t xml:space="preserve">procedure </w:t>
            </w:r>
            <w:proofErr w:type="gramEnd"/>
            <w:r w:rsidR="00DA73BF">
              <w:rPr>
                <w:rStyle w:val="FootnoteReference"/>
                <w:rFonts w:ascii="Arial" w:hAnsi="Arial" w:cs="Arial"/>
                <w:color w:val="006DA7"/>
              </w:rPr>
              <w:footnoteReference w:id="1"/>
            </w:r>
            <w:r w:rsidRPr="00D129EA">
              <w:rPr>
                <w:rFonts w:ascii="Arial" w:hAnsi="Arial" w:cs="Arial"/>
                <w:color w:val="006DA7"/>
              </w:rPr>
              <w:t>, the maintenance should address the medical device manufacturer’s instructions.</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26. Checks and maintenance operations should not affect the quality and the safety of the medicinal product. The water used for the hydrostatic pressure testing carried out </w:t>
            </w:r>
            <w:r w:rsidRPr="00D129EA">
              <w:rPr>
                <w:rFonts w:ascii="Arial" w:hAnsi="Arial" w:cs="Arial"/>
                <w:color w:val="006DA7"/>
              </w:rPr>
              <w:lastRenderedPageBreak/>
              <w:t>on cylinders should be at least of drinking quality.</w:t>
            </w:r>
          </w:p>
          <w:p w:rsidR="00D129EA" w:rsidRPr="00D129EA" w:rsidRDefault="00D129EA" w:rsidP="00FC1C9A">
            <w:pPr>
              <w:keepNext w:val="0"/>
              <w:rPr>
                <w:rFonts w:ascii="Arial" w:hAnsi="Arial" w:cs="Arial"/>
                <w:color w:val="006DA7"/>
              </w:rPr>
            </w:pPr>
            <w:r w:rsidRPr="00D129EA">
              <w:rPr>
                <w:rFonts w:ascii="Arial" w:hAnsi="Arial" w:cs="Arial"/>
                <w:color w:val="006DA7"/>
              </w:rPr>
              <w:t>27. As part of the checks and maintenance operations, cylinders should be subject to an internal visual inspection before fitting the valve, to make sure they are not contaminated with water or other contaminants. This should be done:</w:t>
            </w:r>
          </w:p>
          <w:p w:rsidR="00D129EA" w:rsidRPr="00D129EA" w:rsidRDefault="00D129EA" w:rsidP="00FC1C9A">
            <w:pPr>
              <w:pStyle w:val="ListBullet"/>
              <w:keepNext w:val="0"/>
              <w:rPr>
                <w:rFonts w:ascii="Arial" w:hAnsi="Arial" w:cs="Arial"/>
                <w:color w:val="006DA7"/>
              </w:rPr>
            </w:pPr>
            <w:r w:rsidRPr="00D129EA">
              <w:rPr>
                <w:rFonts w:ascii="Arial" w:hAnsi="Arial" w:cs="Arial"/>
                <w:color w:val="006DA7"/>
              </w:rPr>
              <w:t>when they are new and initially put into medicinal gas service;</w:t>
            </w:r>
          </w:p>
          <w:p w:rsidR="00D129EA" w:rsidRPr="00D129EA" w:rsidRDefault="00D129EA" w:rsidP="00FC1C9A">
            <w:pPr>
              <w:pStyle w:val="ListBullet"/>
              <w:keepNext w:val="0"/>
              <w:rPr>
                <w:rFonts w:ascii="Arial" w:hAnsi="Arial" w:cs="Arial"/>
                <w:color w:val="006DA7"/>
              </w:rPr>
            </w:pPr>
            <w:r w:rsidRPr="00D129EA">
              <w:rPr>
                <w:rFonts w:ascii="Arial" w:hAnsi="Arial" w:cs="Arial"/>
                <w:color w:val="006DA7"/>
              </w:rPr>
              <w:t>following any hydrostatic statutory pressure test or equivalent test where the valve is removed;</w:t>
            </w:r>
          </w:p>
          <w:p w:rsidR="00D129EA" w:rsidRPr="00D129EA" w:rsidRDefault="00D129EA" w:rsidP="00FC1C9A">
            <w:pPr>
              <w:pStyle w:val="ListBullet"/>
              <w:keepNext w:val="0"/>
              <w:rPr>
                <w:rFonts w:ascii="Arial" w:hAnsi="Arial" w:cs="Arial"/>
                <w:color w:val="006DA7"/>
              </w:rPr>
            </w:pPr>
            <w:proofErr w:type="gramStart"/>
            <w:r w:rsidRPr="00D129EA">
              <w:rPr>
                <w:rFonts w:ascii="Arial" w:hAnsi="Arial" w:cs="Arial"/>
                <w:color w:val="006DA7"/>
              </w:rPr>
              <w:t>whenever</w:t>
            </w:r>
            <w:proofErr w:type="gramEnd"/>
            <w:r w:rsidRPr="00D129EA">
              <w:rPr>
                <w:rFonts w:ascii="Arial" w:hAnsi="Arial" w:cs="Arial"/>
                <w:color w:val="006DA7"/>
              </w:rPr>
              <w:t xml:space="preserve"> the valve is replaced.</w:t>
            </w:r>
          </w:p>
          <w:p w:rsidR="00D129EA" w:rsidRPr="00D129EA" w:rsidRDefault="00D129EA" w:rsidP="00FC1C9A">
            <w:pPr>
              <w:keepNext w:val="0"/>
              <w:rPr>
                <w:rFonts w:ascii="Arial" w:hAnsi="Arial" w:cs="Arial"/>
                <w:color w:val="006DA7"/>
              </w:rPr>
            </w:pPr>
            <w:r w:rsidRPr="00D129EA">
              <w:rPr>
                <w:rFonts w:ascii="Arial" w:hAnsi="Arial" w:cs="Arial"/>
                <w:color w:val="006DA7"/>
              </w:rPr>
              <w:t>After fitting, the valve should be kept closed to prevent any contamination from entering the cylinder. If there is any doubt about the internal condition of the cylinder, the valve should be removed and the cylinder internally inspected to ensure it has not been contaminated.</w:t>
            </w:r>
          </w:p>
          <w:p w:rsidR="00D129EA" w:rsidRPr="00D129EA" w:rsidRDefault="00D129EA" w:rsidP="00FC1C9A">
            <w:pPr>
              <w:keepNext w:val="0"/>
              <w:rPr>
                <w:rFonts w:ascii="Arial" w:hAnsi="Arial" w:cs="Arial"/>
                <w:color w:val="006DA7"/>
              </w:rPr>
            </w:pPr>
            <w:r w:rsidRPr="00D129EA">
              <w:rPr>
                <w:rFonts w:ascii="Arial" w:hAnsi="Arial" w:cs="Arial"/>
                <w:color w:val="006DA7"/>
              </w:rPr>
              <w:t>28. Maintenance and repair operations of cylinders, mobile cryogenic vessels and valves are the responsibility of the manufacturer of the medicinal product. If subcontracted, they should only be carried out by approved subcontractors, and contracts including technical agreements should be established. Subcontractors should be audited to ensure that appropriate standards are maintained.</w:t>
            </w:r>
          </w:p>
          <w:p w:rsidR="00D129EA" w:rsidRPr="00D129EA" w:rsidRDefault="00D129EA" w:rsidP="00FC1C9A">
            <w:pPr>
              <w:keepNext w:val="0"/>
              <w:rPr>
                <w:rFonts w:ascii="Arial" w:hAnsi="Arial" w:cs="Arial"/>
                <w:color w:val="006DA7"/>
              </w:rPr>
            </w:pPr>
            <w:r w:rsidRPr="00D129EA">
              <w:rPr>
                <w:rFonts w:ascii="Arial" w:hAnsi="Arial" w:cs="Arial"/>
                <w:color w:val="006DA7"/>
              </w:rPr>
              <w:lastRenderedPageBreak/>
              <w:t>29. There should be a system in place to ensure traceability of cylinders, mobile cryogenic vessels and valves.</w:t>
            </w:r>
          </w:p>
          <w:p w:rsidR="00D129EA" w:rsidRPr="00F80020" w:rsidRDefault="00D129EA" w:rsidP="00FC1C9A">
            <w:pPr>
              <w:keepNext w:val="0"/>
              <w:rPr>
                <w:rFonts w:ascii="Arial" w:hAnsi="Arial" w:cs="Arial"/>
                <w:color w:val="006DA7"/>
              </w:rPr>
            </w:pPr>
            <w:r w:rsidRPr="00F80020">
              <w:rPr>
                <w:rFonts w:ascii="Arial" w:hAnsi="Arial" w:cs="Arial"/>
                <w:color w:val="006DA7"/>
              </w:rPr>
              <w:t>30. Checks to be performed before filling should include:</w:t>
            </w:r>
          </w:p>
          <w:p w:rsidR="00D129EA" w:rsidRPr="00F80020" w:rsidRDefault="00D129EA" w:rsidP="00FC1C9A">
            <w:pPr>
              <w:pStyle w:val="Numberbullet2"/>
              <w:keepNext w:val="0"/>
              <w:numPr>
                <w:ilvl w:val="0"/>
                <w:numId w:val="34"/>
              </w:numPr>
              <w:rPr>
                <w:rFonts w:ascii="Arial" w:hAnsi="Arial" w:cs="Arial"/>
                <w:color w:val="006DA7"/>
              </w:rPr>
            </w:pPr>
            <w:r w:rsidRPr="00F80020">
              <w:rPr>
                <w:rFonts w:ascii="Arial" w:hAnsi="Arial" w:cs="Arial"/>
                <w:color w:val="006DA7"/>
              </w:rPr>
              <w:t>in the case of cylinders, a check, carried out according to defined procedure, to ensure there is a positive residual pressure  in each cylinder;</w:t>
            </w:r>
          </w:p>
          <w:p w:rsidR="00F80020" w:rsidRPr="00F80020" w:rsidRDefault="00D129EA" w:rsidP="00FC1C9A">
            <w:pPr>
              <w:pStyle w:val="ListBullet3"/>
              <w:keepNext w:val="0"/>
              <w:ind w:left="1560" w:hanging="426"/>
              <w:rPr>
                <w:rFonts w:ascii="Arial" w:hAnsi="Arial" w:cs="Arial"/>
                <w:color w:val="006DA7"/>
              </w:rPr>
            </w:pPr>
            <w:r w:rsidRPr="00F80020">
              <w:rPr>
                <w:rFonts w:ascii="Arial" w:hAnsi="Arial" w:cs="Arial"/>
                <w:color w:val="006DA7"/>
              </w:rPr>
              <w:t>if the cylinder is fitted with a minimum pressure retention valve, when there is no signal indicating there is a positive residual pressure, the correct functioning of the valve should be checked, and if the valve is shown not to function properly the cylinder should be sent to maintenance,</w:t>
            </w:r>
          </w:p>
          <w:p w:rsidR="00D129EA" w:rsidRPr="00F80020" w:rsidRDefault="00D129EA" w:rsidP="00FC1C9A">
            <w:pPr>
              <w:pStyle w:val="ListBullet3"/>
              <w:keepNext w:val="0"/>
              <w:ind w:left="1560" w:hanging="426"/>
              <w:rPr>
                <w:rFonts w:ascii="Arial" w:hAnsi="Arial" w:cs="Arial"/>
                <w:color w:val="006DA7"/>
              </w:rPr>
            </w:pPr>
            <w:r w:rsidRPr="00F80020">
              <w:rPr>
                <w:rFonts w:ascii="Arial" w:hAnsi="Arial" w:cs="Arial"/>
                <w:color w:val="006DA7"/>
              </w:rPr>
              <w:t>if the cylinder is not fitted with a minimum pressure retention valve, when there is no positive residual pressure the cylinder should be put aside for additional measures, to make sure it is not contaminated with water or other contaminants; additional measures could consist of internal visual inspection followed by cleaning using a validated method;</w:t>
            </w:r>
          </w:p>
          <w:p w:rsidR="00D129EA" w:rsidRPr="00F80020" w:rsidRDefault="00D129EA" w:rsidP="00FC1C9A">
            <w:pPr>
              <w:pStyle w:val="Numberbullet2"/>
              <w:keepNext w:val="0"/>
              <w:rPr>
                <w:rFonts w:ascii="Arial" w:hAnsi="Arial" w:cs="Arial"/>
                <w:color w:val="006DA7"/>
              </w:rPr>
            </w:pPr>
            <w:r w:rsidRPr="00F80020">
              <w:rPr>
                <w:rFonts w:ascii="Arial" w:hAnsi="Arial" w:cs="Arial"/>
                <w:color w:val="006DA7"/>
              </w:rPr>
              <w:lastRenderedPageBreak/>
              <w:t>a check to ensure that all previous batch labels have been removed;</w:t>
            </w:r>
          </w:p>
          <w:p w:rsidR="00D129EA" w:rsidRPr="00F80020" w:rsidRDefault="00D129EA" w:rsidP="00FC1C9A">
            <w:pPr>
              <w:pStyle w:val="Numberbullet2"/>
              <w:keepNext w:val="0"/>
              <w:rPr>
                <w:rFonts w:ascii="Arial" w:hAnsi="Arial" w:cs="Arial"/>
                <w:color w:val="006DA7"/>
              </w:rPr>
            </w:pPr>
            <w:r w:rsidRPr="00F80020">
              <w:rPr>
                <w:rFonts w:ascii="Arial" w:hAnsi="Arial" w:cs="Arial"/>
                <w:color w:val="006DA7"/>
              </w:rPr>
              <w:t>a check that any damaged product labels have been removed and replaced;</w:t>
            </w:r>
          </w:p>
          <w:p w:rsidR="00D129EA" w:rsidRPr="00F80020" w:rsidRDefault="00D129EA" w:rsidP="00FC1C9A">
            <w:pPr>
              <w:pStyle w:val="Numberbullet2"/>
              <w:keepNext w:val="0"/>
              <w:rPr>
                <w:rFonts w:ascii="Arial" w:hAnsi="Arial" w:cs="Arial"/>
                <w:color w:val="006DA7"/>
              </w:rPr>
            </w:pPr>
            <w:r w:rsidRPr="00F80020">
              <w:rPr>
                <w:rFonts w:ascii="Arial" w:hAnsi="Arial" w:cs="Arial"/>
                <w:color w:val="006DA7"/>
              </w:rPr>
              <w:t>a visual external inspection of each cylinder, mobile cryogenic vessel and valve for dents, arc burns, debris, other damage and contamination with oil or grease; cleaning should be done if necessary;</w:t>
            </w:r>
          </w:p>
          <w:p w:rsidR="00D129EA" w:rsidRPr="00F80020" w:rsidRDefault="00D129EA" w:rsidP="00FC1C9A">
            <w:pPr>
              <w:pStyle w:val="Numberbullet2"/>
              <w:keepNext w:val="0"/>
              <w:rPr>
                <w:rFonts w:ascii="Arial" w:hAnsi="Arial" w:cs="Arial"/>
                <w:color w:val="006DA7"/>
              </w:rPr>
            </w:pPr>
            <w:r w:rsidRPr="00F80020">
              <w:rPr>
                <w:rFonts w:ascii="Arial" w:hAnsi="Arial" w:cs="Arial"/>
                <w:color w:val="006DA7"/>
              </w:rPr>
              <w:t>a check of each cylinder or mobile cryogenic vessel outlet connection to determine that it is the proper type for the particular gas involved;</w:t>
            </w:r>
          </w:p>
          <w:p w:rsidR="00D129EA" w:rsidRPr="00F80020" w:rsidRDefault="00D129EA" w:rsidP="00FC1C9A">
            <w:pPr>
              <w:pStyle w:val="Numberbullet2"/>
              <w:keepNext w:val="0"/>
              <w:rPr>
                <w:rFonts w:ascii="Arial" w:hAnsi="Arial" w:cs="Arial"/>
                <w:color w:val="006DA7"/>
              </w:rPr>
            </w:pPr>
            <w:r w:rsidRPr="00F80020">
              <w:rPr>
                <w:rFonts w:ascii="Arial" w:hAnsi="Arial" w:cs="Arial"/>
                <w:color w:val="006DA7"/>
              </w:rPr>
              <w:t>a check of the date of the next test to be performed on the valve (in the case of valves that need to be periodically tested);</w:t>
            </w:r>
          </w:p>
          <w:p w:rsidR="00D129EA" w:rsidRPr="00F80020" w:rsidRDefault="00D129EA" w:rsidP="00FC1C9A">
            <w:pPr>
              <w:pStyle w:val="Numberbullet2"/>
              <w:keepNext w:val="0"/>
              <w:rPr>
                <w:rFonts w:ascii="Arial" w:hAnsi="Arial" w:cs="Arial"/>
                <w:color w:val="006DA7"/>
              </w:rPr>
            </w:pPr>
            <w:r w:rsidRPr="00F80020">
              <w:rPr>
                <w:rFonts w:ascii="Arial" w:hAnsi="Arial" w:cs="Arial"/>
                <w:color w:val="006DA7"/>
              </w:rPr>
              <w:t>a check of the cylinders  or mobile cryogenic vessels to ensure that any tests required by national or international regulations (e.g. hydrostatic pressure test or equivalent for cylinders) have been conducted and still is valid; and</w:t>
            </w:r>
          </w:p>
          <w:p w:rsidR="00D129EA" w:rsidRPr="00F80020" w:rsidRDefault="00D129EA" w:rsidP="00FC1C9A">
            <w:pPr>
              <w:pStyle w:val="Numberbullet2"/>
              <w:keepNext w:val="0"/>
              <w:rPr>
                <w:rFonts w:ascii="Arial" w:hAnsi="Arial" w:cs="Arial"/>
                <w:color w:val="006DA7"/>
              </w:rPr>
            </w:pPr>
            <w:proofErr w:type="gramStart"/>
            <w:r w:rsidRPr="00F80020">
              <w:rPr>
                <w:rFonts w:ascii="Arial" w:hAnsi="Arial" w:cs="Arial"/>
                <w:color w:val="006DA7"/>
              </w:rPr>
              <w:t>a</w:t>
            </w:r>
            <w:proofErr w:type="gramEnd"/>
            <w:r w:rsidRPr="00F80020">
              <w:rPr>
                <w:rFonts w:ascii="Arial" w:hAnsi="Arial" w:cs="Arial"/>
                <w:color w:val="006DA7"/>
              </w:rPr>
              <w:t xml:space="preserve"> check to determine that each container is colour-coded as specified in the Marketing Authorisation (colour-coding of the relevant national / international standards).</w:t>
            </w:r>
          </w:p>
          <w:p w:rsidR="00D129EA" w:rsidRPr="00D129EA" w:rsidRDefault="00D129EA" w:rsidP="00FC1C9A">
            <w:pPr>
              <w:keepNext w:val="0"/>
              <w:rPr>
                <w:rFonts w:ascii="Arial" w:hAnsi="Arial" w:cs="Arial"/>
                <w:color w:val="006DA7"/>
              </w:rPr>
            </w:pPr>
            <w:r w:rsidRPr="00D129EA">
              <w:rPr>
                <w:rFonts w:ascii="Arial" w:hAnsi="Arial" w:cs="Arial"/>
                <w:color w:val="006DA7"/>
              </w:rPr>
              <w:lastRenderedPageBreak/>
              <w:t>31. A batch should be defined for filling operations.</w:t>
            </w:r>
          </w:p>
          <w:p w:rsidR="00D129EA" w:rsidRPr="00D129EA" w:rsidRDefault="00D129EA" w:rsidP="00FC1C9A">
            <w:pPr>
              <w:keepNext w:val="0"/>
              <w:rPr>
                <w:rFonts w:ascii="Arial" w:hAnsi="Arial" w:cs="Arial"/>
                <w:color w:val="006DA7"/>
              </w:rPr>
            </w:pPr>
            <w:r w:rsidRPr="00D129EA">
              <w:rPr>
                <w:rFonts w:ascii="Arial" w:hAnsi="Arial" w:cs="Arial"/>
                <w:color w:val="006DA7"/>
              </w:rPr>
              <w:t>32. Cylinders which have been returned for refilling should be prepared with care in order to minimise risks for contamination in line with the procedures defined in the Marketing Authorisation. These procedures, which should include evacuation and/or purging operations, should be validated.</w:t>
            </w:r>
          </w:p>
          <w:p w:rsidR="00D129EA" w:rsidRPr="00F80020" w:rsidRDefault="00D129EA" w:rsidP="00FC1C9A">
            <w:pPr>
              <w:keepNext w:val="0"/>
              <w:rPr>
                <w:rFonts w:ascii="Arial" w:hAnsi="Arial" w:cs="Arial"/>
                <w:i/>
                <w:color w:val="006DA7"/>
              </w:rPr>
            </w:pPr>
            <w:r w:rsidRPr="00F80020">
              <w:rPr>
                <w:rFonts w:ascii="Arial" w:hAnsi="Arial" w:cs="Arial"/>
                <w:i/>
                <w:color w:val="006DA7"/>
              </w:rPr>
              <w:t xml:space="preserve">Note: For compressed gases a maximum theoretical impurity of 500 ppm v/v should be obtained for a filling pressure of 200 </w:t>
            </w:r>
            <w:proofErr w:type="gramStart"/>
            <w:r w:rsidRPr="00F80020">
              <w:rPr>
                <w:rFonts w:ascii="Arial" w:hAnsi="Arial" w:cs="Arial"/>
                <w:i/>
                <w:color w:val="006DA7"/>
              </w:rPr>
              <w:t>bar</w:t>
            </w:r>
            <w:proofErr w:type="gramEnd"/>
            <w:r w:rsidRPr="00F80020">
              <w:rPr>
                <w:rFonts w:ascii="Arial" w:hAnsi="Arial" w:cs="Arial"/>
                <w:i/>
                <w:color w:val="006DA7"/>
              </w:rPr>
              <w:t xml:space="preserve"> at 15°C (and equivalent for other filling pressures).</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33. Mobile cryogenic vessels that have been returned for refilling should be prepared with care in order to minimise the risks of contamination, in line with the procedures defined in the Marketing Authorisation. In particular, mobile vessels with no residual pressure should be prepared using a validated method. </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34. There should be appropriate checks to ensure that each cylinder/mobile cryogenic vessel has been properly filled. </w:t>
            </w:r>
          </w:p>
          <w:p w:rsidR="00D129EA" w:rsidRPr="00D129EA" w:rsidRDefault="00D129EA" w:rsidP="00FC1C9A">
            <w:pPr>
              <w:keepNext w:val="0"/>
              <w:rPr>
                <w:rFonts w:ascii="Arial" w:hAnsi="Arial" w:cs="Arial"/>
                <w:color w:val="006DA7"/>
              </w:rPr>
            </w:pPr>
            <w:r w:rsidRPr="00D129EA">
              <w:rPr>
                <w:rFonts w:ascii="Arial" w:hAnsi="Arial" w:cs="Arial"/>
                <w:color w:val="006DA7"/>
              </w:rPr>
              <w:t xml:space="preserve">35. Each filled cylinder should be tested for leaks using an appropriate method, prior to fitting the tamper evident seal or device (see section 36). The test method should not introduce any contaminant into the valve outlet and, if applicable, should be performed after any quality sample </w:t>
            </w:r>
            <w:r w:rsidRPr="00D129EA">
              <w:rPr>
                <w:rFonts w:ascii="Arial" w:hAnsi="Arial" w:cs="Arial"/>
                <w:color w:val="006DA7"/>
              </w:rPr>
              <w:lastRenderedPageBreak/>
              <w:t>is taken.</w:t>
            </w:r>
          </w:p>
          <w:p w:rsidR="00D129EA" w:rsidRPr="00D129EA" w:rsidRDefault="00D129EA" w:rsidP="00FC1C9A">
            <w:pPr>
              <w:keepNext w:val="0"/>
              <w:rPr>
                <w:rFonts w:ascii="Arial" w:hAnsi="Arial" w:cs="Arial"/>
                <w:color w:val="006DA7"/>
              </w:rPr>
            </w:pPr>
            <w:r w:rsidRPr="00D129EA">
              <w:rPr>
                <w:rFonts w:ascii="Arial" w:hAnsi="Arial" w:cs="Arial"/>
                <w:color w:val="006DA7"/>
              </w:rPr>
              <w:t>36. After filling, cylinders valves should be fitted with covers to protect the outlets from contamination. Cylinders and mobile cryogenic vessels should be fitted with tamper-evident seals or devices.</w:t>
            </w:r>
          </w:p>
          <w:p w:rsidR="00D129EA" w:rsidRPr="00D129EA" w:rsidRDefault="00D129EA" w:rsidP="00FC1C9A">
            <w:pPr>
              <w:keepNext w:val="0"/>
              <w:rPr>
                <w:rFonts w:ascii="Arial" w:hAnsi="Arial" w:cs="Arial"/>
                <w:color w:val="006DA7"/>
              </w:rPr>
            </w:pPr>
            <w:r w:rsidRPr="00D129EA">
              <w:rPr>
                <w:rFonts w:ascii="Arial" w:hAnsi="Arial" w:cs="Arial"/>
                <w:color w:val="006DA7"/>
              </w:rPr>
              <w:t>37. Each cylinder or mobile cryogenic vessel should be labelled. The batch number and the expiry date may be on a separate label.</w:t>
            </w:r>
          </w:p>
          <w:p w:rsidR="00D129EA" w:rsidRPr="0094608A" w:rsidRDefault="00D129EA" w:rsidP="00FC1C9A">
            <w:pPr>
              <w:keepNext w:val="0"/>
              <w:rPr>
                <w:b/>
              </w:rPr>
            </w:pPr>
            <w:r w:rsidRPr="00D129EA">
              <w:rPr>
                <w:rFonts w:ascii="Arial" w:hAnsi="Arial" w:cs="Arial"/>
                <w:color w:val="006DA7"/>
              </w:rPr>
              <w:t>38. In the case of medicinal gases produced by mixing two or more different gases (in-line before filling or directly into the cylinders); the mixing process should be validated to ensure that the gases are properly mixed in every cylinder and that the mixture is homogeneous.</w:t>
            </w:r>
          </w:p>
        </w:tc>
        <w:tc>
          <w:tcPr>
            <w:tcW w:w="5812" w:type="dxa"/>
          </w:tcPr>
          <w:p w:rsidR="00D129EA" w:rsidRPr="00D129EA" w:rsidRDefault="00D129EA" w:rsidP="00FC1C9A">
            <w:pPr>
              <w:keepNext w:val="0"/>
              <w:rPr>
                <w:b/>
              </w:rPr>
            </w:pPr>
            <w:r w:rsidRPr="00D129EA">
              <w:rPr>
                <w:b/>
              </w:rPr>
              <w:lastRenderedPageBreak/>
              <w:t>5.</w:t>
            </w:r>
            <w:r w:rsidRPr="00D129EA">
              <w:rPr>
                <w:b/>
              </w:rPr>
              <w:tab/>
              <w:t xml:space="preserve">Production </w:t>
            </w:r>
          </w:p>
          <w:p w:rsidR="00D129EA" w:rsidRPr="00D129EA" w:rsidRDefault="00D129EA" w:rsidP="00FC1C9A">
            <w:pPr>
              <w:keepNext w:val="0"/>
            </w:pPr>
            <w:r w:rsidRPr="00D129EA">
              <w:t>5.1 All critical steps in the different manufacturing processes should be subject to validation.</w:t>
            </w:r>
          </w:p>
          <w:p w:rsidR="00D129EA" w:rsidRPr="00D129EA" w:rsidRDefault="00D129EA" w:rsidP="00FC1C9A">
            <w:pPr>
              <w:keepNext w:val="0"/>
              <w:rPr>
                <w:b/>
              </w:rPr>
            </w:pPr>
            <w:r w:rsidRPr="00D129EA">
              <w:rPr>
                <w:b/>
              </w:rPr>
              <w:lastRenderedPageBreak/>
              <w:t>5.2</w:t>
            </w:r>
            <w:r w:rsidRPr="00D129EA">
              <w:rPr>
                <w:b/>
              </w:rPr>
              <w:tab/>
              <w:t>Bulk production</w:t>
            </w:r>
          </w:p>
          <w:p w:rsidR="00D129EA" w:rsidRPr="00D129EA" w:rsidRDefault="00D129EA" w:rsidP="00FC1C9A">
            <w:pPr>
              <w:keepNext w:val="0"/>
            </w:pPr>
            <w:r w:rsidRPr="00D129EA">
              <w:t xml:space="preserve">5.2.1 Bulk gases intended for medicinal use could be prepared by chemical synthesis or obtained from natural resources followed by purification steps if necessary (as for example in an air separation plant). These gases could be regarded as Active Pharmaceutical Ingredients (API) or as bulk pharmaceutical products as decided by the national competent authority. </w:t>
            </w:r>
          </w:p>
          <w:p w:rsidR="00D129EA" w:rsidRPr="00D129EA" w:rsidRDefault="00D129EA" w:rsidP="00FC1C9A">
            <w:pPr>
              <w:keepNext w:val="0"/>
            </w:pPr>
            <w:r w:rsidRPr="00D129EA">
              <w:t>5.2.2 Documentation should be available specifying the purity, other components and possible impurities that may be present in the source gas and at purification steps, as applicable. Flow charts of each different process should be available.</w:t>
            </w:r>
          </w:p>
          <w:p w:rsidR="00D129EA" w:rsidRPr="00D129EA" w:rsidRDefault="00D129EA" w:rsidP="00FC1C9A">
            <w:pPr>
              <w:keepNext w:val="0"/>
            </w:pPr>
            <w:r w:rsidRPr="00D129EA">
              <w:t>5.2.3 All separation and purification steps should be designed to operate at optimal effectiveness. For example, impurities that may adversely affect a purification step should be removed before this step is reached.</w:t>
            </w:r>
          </w:p>
          <w:p w:rsidR="00D129EA" w:rsidRPr="00D129EA" w:rsidRDefault="00D129EA" w:rsidP="00FC1C9A">
            <w:pPr>
              <w:keepNext w:val="0"/>
            </w:pPr>
            <w:r w:rsidRPr="00D129EA">
              <w:t>5.2.4 Separation and purification steps should be validated for effectiveness and monitored according to the results of the validation. Where necessary, in-process controls should include continuous analysis to monitor the process. Maintenance and replacement of expendable equipment components, e.g. purification filters, should be based on the results of monitoring and validation.</w:t>
            </w:r>
          </w:p>
          <w:p w:rsidR="00D129EA" w:rsidRPr="00D129EA" w:rsidRDefault="00D129EA" w:rsidP="00FC1C9A">
            <w:pPr>
              <w:keepNext w:val="0"/>
            </w:pPr>
            <w:r w:rsidRPr="00D129EA">
              <w:lastRenderedPageBreak/>
              <w:t>5.2.5 If applicable, limits for process temperatures should be documented and in-process monitoring should include temperature measurement.</w:t>
            </w:r>
          </w:p>
          <w:p w:rsidR="00D129EA" w:rsidRPr="00D129EA" w:rsidRDefault="00D129EA" w:rsidP="00FC1C9A">
            <w:pPr>
              <w:keepNext w:val="0"/>
            </w:pPr>
            <w:r w:rsidRPr="00D129EA">
              <w:t>5.2.6 Computer systems used in controlling or monitoring processes should be validated.</w:t>
            </w:r>
          </w:p>
          <w:p w:rsidR="00D129EA" w:rsidRPr="00D129EA" w:rsidRDefault="00D129EA" w:rsidP="00FC1C9A">
            <w:pPr>
              <w:keepNext w:val="0"/>
            </w:pPr>
            <w:r w:rsidRPr="00D129EA">
              <w:t>5.2.7 For continuous processes, a definition of a batch should be documented and related to the analysis of the bulk gas.</w:t>
            </w:r>
          </w:p>
          <w:p w:rsidR="00D129EA" w:rsidRPr="00D129EA" w:rsidRDefault="00D129EA" w:rsidP="00FC1C9A">
            <w:pPr>
              <w:keepNext w:val="0"/>
            </w:pPr>
            <w:r w:rsidRPr="00D129EA">
              <w:t>5.2.8 Gas production should be continuously monitored for quality and impurities.</w:t>
            </w:r>
          </w:p>
          <w:p w:rsidR="00D129EA" w:rsidRPr="00D129EA" w:rsidRDefault="00D129EA" w:rsidP="00FC1C9A">
            <w:pPr>
              <w:keepNext w:val="0"/>
            </w:pPr>
            <w:r w:rsidRPr="00D129EA">
              <w:t>5.2.9 Water used for cooling during compression of air should be monitored for microbiological quality when in contact with the medicinal gas.</w:t>
            </w:r>
          </w:p>
          <w:p w:rsidR="00D129EA" w:rsidRPr="00D129EA" w:rsidRDefault="00D129EA" w:rsidP="00FC1C9A">
            <w:pPr>
              <w:keepNext w:val="0"/>
            </w:pPr>
            <w:r w:rsidRPr="00D129EA">
              <w:t>5.2.10 All the transfer operations, including controls before transfers, of liquefied gases from primary storage should be in accordance with written procedures designed to avoid any contamination. The transfer line should be equipped with a non-return valve or any other suitable alternative. Particular attention should be paid to purge the flexible connections and to coupling hoses and connectors.</w:t>
            </w:r>
          </w:p>
          <w:p w:rsidR="00D129EA" w:rsidRPr="00D129EA" w:rsidRDefault="00D129EA" w:rsidP="00FC1C9A">
            <w:pPr>
              <w:keepNext w:val="0"/>
            </w:pPr>
            <w:r w:rsidRPr="00D129EA">
              <w:t xml:space="preserve">5.2.11 Deliveries of gas may be added to bulk storage tanks </w:t>
            </w:r>
            <w:r w:rsidRPr="00D129EA">
              <w:lastRenderedPageBreak/>
              <w:t xml:space="preserve">containing the same gas from previous deliveries. The results of a sample must show that the quality of the delivered gas is acceptable. Such a sample could be taken from </w:t>
            </w:r>
          </w:p>
          <w:p w:rsidR="00D129EA" w:rsidRPr="00D129EA" w:rsidRDefault="00D129EA" w:rsidP="00FC1C9A">
            <w:pPr>
              <w:pStyle w:val="ListBullet2"/>
              <w:keepNext w:val="0"/>
            </w:pPr>
            <w:r w:rsidRPr="00D129EA">
              <w:t>the delivered gas before the delivery is added; or</w:t>
            </w:r>
          </w:p>
          <w:p w:rsidR="00D129EA" w:rsidRPr="00D129EA" w:rsidRDefault="00D129EA" w:rsidP="00FC1C9A">
            <w:pPr>
              <w:pStyle w:val="ListBullet2"/>
              <w:keepNext w:val="0"/>
            </w:pPr>
            <w:proofErr w:type="gramStart"/>
            <w:r w:rsidRPr="00D129EA">
              <w:t>from</w:t>
            </w:r>
            <w:proofErr w:type="gramEnd"/>
            <w:r w:rsidRPr="00D129EA">
              <w:t xml:space="preserve"> the bulk tank after adding and mixing.</w:t>
            </w:r>
          </w:p>
          <w:p w:rsidR="00D129EA" w:rsidRPr="00D129EA" w:rsidRDefault="00D129EA" w:rsidP="00FC1C9A">
            <w:pPr>
              <w:keepNext w:val="0"/>
            </w:pPr>
            <w:r w:rsidRPr="00D129EA">
              <w:t xml:space="preserve">5.2.12 Bulk gases intended for medicinal use should be defined as a batch, controlled in accordance with relevant </w:t>
            </w:r>
            <w:proofErr w:type="spellStart"/>
            <w:r w:rsidRPr="00D129EA">
              <w:t>Pharmacopoeial</w:t>
            </w:r>
            <w:proofErr w:type="spellEnd"/>
            <w:r w:rsidRPr="00D129EA">
              <w:t xml:space="preserve"> monographs and released for filling</w:t>
            </w:r>
          </w:p>
          <w:p w:rsidR="00D129EA" w:rsidRPr="00D129EA" w:rsidRDefault="00D129EA" w:rsidP="00FC1C9A">
            <w:pPr>
              <w:keepNext w:val="0"/>
              <w:rPr>
                <w:b/>
              </w:rPr>
            </w:pPr>
            <w:r w:rsidRPr="00D129EA">
              <w:rPr>
                <w:b/>
              </w:rPr>
              <w:t>5.3</w:t>
            </w:r>
            <w:r w:rsidRPr="00D129EA">
              <w:rPr>
                <w:b/>
              </w:rPr>
              <w:tab/>
              <w:t>Filling and labelling</w:t>
            </w:r>
          </w:p>
          <w:p w:rsidR="00D129EA" w:rsidRPr="00D129EA" w:rsidRDefault="00D129EA" w:rsidP="00FC1C9A">
            <w:pPr>
              <w:keepNext w:val="0"/>
            </w:pPr>
            <w:r w:rsidRPr="00D129EA">
              <w:t>5.3.1 For filling of medicinal gases the batch should be defined.</w:t>
            </w:r>
          </w:p>
          <w:p w:rsidR="00D129EA" w:rsidRPr="00D129EA" w:rsidRDefault="00D129EA" w:rsidP="00FC1C9A">
            <w:pPr>
              <w:keepNext w:val="0"/>
            </w:pPr>
            <w:r w:rsidRPr="00D129EA">
              <w:t>5.3.2 Containers for medicinal gases should conform to appropriate technical specifications. Valve outlets should be equipped with tamper-evident seals after filling. Cylinders should preferably have minimum pressure retention valves in order to get adequate protection against contamination.</w:t>
            </w:r>
          </w:p>
          <w:p w:rsidR="00D129EA" w:rsidRPr="00D129EA" w:rsidRDefault="00D129EA" w:rsidP="00FC1C9A">
            <w:pPr>
              <w:keepNext w:val="0"/>
            </w:pPr>
            <w:r w:rsidRPr="00D129EA">
              <w:t>5.3.3 The medicinal gases filling manifold as well as the</w:t>
            </w:r>
          </w:p>
          <w:p w:rsidR="00D129EA" w:rsidRPr="00D129EA" w:rsidRDefault="00D129EA" w:rsidP="00FC1C9A">
            <w:pPr>
              <w:keepNext w:val="0"/>
            </w:pPr>
            <w:r w:rsidRPr="00D129EA">
              <w:t>cylinders should be dedicated to a single medicinal gas or to</w:t>
            </w:r>
          </w:p>
          <w:p w:rsidR="00D129EA" w:rsidRPr="00D129EA" w:rsidRDefault="00D129EA" w:rsidP="00FC1C9A">
            <w:pPr>
              <w:keepNext w:val="0"/>
            </w:pPr>
            <w:proofErr w:type="gramStart"/>
            <w:r w:rsidRPr="00D129EA">
              <w:lastRenderedPageBreak/>
              <w:t>a</w:t>
            </w:r>
            <w:proofErr w:type="gramEnd"/>
            <w:r w:rsidRPr="00D129EA">
              <w:t xml:space="preserve"> given mixture of medicinal gases (see also 3.2.2). There</w:t>
            </w:r>
          </w:p>
          <w:p w:rsidR="00D129EA" w:rsidRPr="00D129EA" w:rsidRDefault="00D129EA" w:rsidP="00FC1C9A">
            <w:pPr>
              <w:keepNext w:val="0"/>
            </w:pPr>
            <w:r w:rsidRPr="00D129EA">
              <w:t>should be a system in place ensuring traceability of cylinders</w:t>
            </w:r>
          </w:p>
          <w:p w:rsidR="00D129EA" w:rsidRPr="00D129EA" w:rsidRDefault="00D129EA" w:rsidP="00FC1C9A">
            <w:pPr>
              <w:keepNext w:val="0"/>
            </w:pPr>
            <w:proofErr w:type="gramStart"/>
            <w:r w:rsidRPr="00D129EA">
              <w:t>and</w:t>
            </w:r>
            <w:proofErr w:type="gramEnd"/>
            <w:r w:rsidRPr="00D129EA">
              <w:t xml:space="preserve"> valves.</w:t>
            </w:r>
          </w:p>
          <w:p w:rsidR="00D129EA" w:rsidRPr="00D129EA" w:rsidRDefault="00D129EA" w:rsidP="00FC1C9A">
            <w:pPr>
              <w:keepNext w:val="0"/>
            </w:pPr>
            <w:r w:rsidRPr="00D129EA">
              <w:t>5.3.4 Cleaning and purging of filling equipment and pipelines should be carried out according to written procedures. This is especially important after maintenance or breaches of system integrity. Checks for the absence of contaminants should be carried out before the line is released for use. Records should be maintained.</w:t>
            </w:r>
          </w:p>
          <w:p w:rsidR="00D129EA" w:rsidRPr="00D129EA" w:rsidRDefault="00D129EA" w:rsidP="00FC1C9A">
            <w:pPr>
              <w:keepNext w:val="0"/>
            </w:pPr>
            <w:r w:rsidRPr="00D129EA">
              <w:t>5.3.5 Cylinders should be subject to an internal visual inspection when</w:t>
            </w:r>
          </w:p>
          <w:p w:rsidR="00D129EA" w:rsidRPr="00D129EA" w:rsidRDefault="00D129EA" w:rsidP="00FC1C9A">
            <w:pPr>
              <w:pStyle w:val="ListBullet2"/>
              <w:keepNext w:val="0"/>
            </w:pPr>
            <w:r w:rsidRPr="00D129EA">
              <w:t>they are new</w:t>
            </w:r>
          </w:p>
          <w:p w:rsidR="00D129EA" w:rsidRPr="00D129EA" w:rsidRDefault="00D129EA" w:rsidP="00FC1C9A">
            <w:pPr>
              <w:pStyle w:val="ListBullet2"/>
              <w:keepNext w:val="0"/>
            </w:pPr>
            <w:proofErr w:type="gramStart"/>
            <w:r w:rsidRPr="00D129EA">
              <w:t>in</w:t>
            </w:r>
            <w:proofErr w:type="gramEnd"/>
            <w:r w:rsidRPr="00D129EA">
              <w:t xml:space="preserve"> connection with any hydrostatic pressure test or equivalent test. </w:t>
            </w:r>
          </w:p>
          <w:p w:rsidR="00D129EA" w:rsidRPr="00D129EA" w:rsidRDefault="00D129EA" w:rsidP="00FC1C9A">
            <w:pPr>
              <w:keepNext w:val="0"/>
            </w:pPr>
            <w:r w:rsidRPr="00D129EA">
              <w:t>After fitting of the valve, the valve should be maintained in a</w:t>
            </w:r>
            <w:r>
              <w:t xml:space="preserve"> </w:t>
            </w:r>
            <w:r w:rsidRPr="00D129EA">
              <w:t>closed position to prevent any contamination from entering</w:t>
            </w:r>
            <w:r>
              <w:t xml:space="preserve"> </w:t>
            </w:r>
            <w:r w:rsidRPr="00D129EA">
              <w:t>the cylinder.</w:t>
            </w:r>
          </w:p>
          <w:p w:rsidR="00D129EA" w:rsidRPr="00D129EA" w:rsidRDefault="00D129EA" w:rsidP="00FC1C9A">
            <w:pPr>
              <w:keepNext w:val="0"/>
            </w:pPr>
            <w:r w:rsidRPr="00D129EA">
              <w:t>5.3.6</w:t>
            </w:r>
            <w:r w:rsidRPr="00D129EA">
              <w:tab/>
              <w:t>Checks to be performed before filling should include:</w:t>
            </w:r>
          </w:p>
          <w:p w:rsidR="00D129EA" w:rsidRPr="00D129EA" w:rsidRDefault="00D129EA" w:rsidP="00FC1C9A">
            <w:pPr>
              <w:pStyle w:val="ListBullet2"/>
              <w:keepNext w:val="0"/>
            </w:pPr>
            <w:r w:rsidRPr="00D129EA">
              <w:t xml:space="preserve">a check to determine the residual pressure (&gt;3 to 5 </w:t>
            </w:r>
            <w:r w:rsidRPr="00D129EA">
              <w:lastRenderedPageBreak/>
              <w:t>bar) to ensure that the cylinder is not emptied;</w:t>
            </w:r>
          </w:p>
          <w:p w:rsidR="00D129EA" w:rsidRPr="00D129EA" w:rsidRDefault="00D129EA" w:rsidP="00FC1C9A">
            <w:pPr>
              <w:pStyle w:val="ListBullet2"/>
              <w:keepNext w:val="0"/>
            </w:pPr>
            <w:r w:rsidRPr="00D129EA">
              <w:t>Cylinders with no residual pressure should be put aside for additional measures to make sure they are not contaminated with water or other contaminants. These could include cleaning with validated methods or visual inspection as justified;</w:t>
            </w:r>
          </w:p>
          <w:p w:rsidR="00D129EA" w:rsidRPr="00D129EA" w:rsidRDefault="00D129EA" w:rsidP="00FC1C9A">
            <w:pPr>
              <w:pStyle w:val="ListBullet2"/>
              <w:keepNext w:val="0"/>
            </w:pPr>
            <w:r w:rsidRPr="00D129EA">
              <w:t>Assuring that all batch labels and other labels if damaged have been removed;</w:t>
            </w:r>
          </w:p>
          <w:p w:rsidR="00D129EA" w:rsidRPr="00D129EA" w:rsidRDefault="00D129EA" w:rsidP="00FC1C9A">
            <w:pPr>
              <w:pStyle w:val="ListBullet2"/>
              <w:keepNext w:val="0"/>
            </w:pPr>
            <w:r w:rsidRPr="00D129EA">
              <w:t>visual external inspection of each valve and container for dents, arc burns, debris, other damage and contamination with oil or grease; Cylinders should be cleaned, tested and maintained in an appropriate manner;</w:t>
            </w:r>
          </w:p>
          <w:p w:rsidR="00D129EA" w:rsidRPr="00D129EA" w:rsidRDefault="00D129EA" w:rsidP="00FC1C9A">
            <w:pPr>
              <w:pStyle w:val="ListBullet2"/>
              <w:keepNext w:val="0"/>
            </w:pPr>
            <w:r w:rsidRPr="00D129EA">
              <w:t>a check of each cylinder or cryogenic vessel valve connection to determine that it is the proper type for the particular medicinal gas involved;</w:t>
            </w:r>
          </w:p>
          <w:p w:rsidR="00D129EA" w:rsidRPr="00D129EA" w:rsidRDefault="00D129EA" w:rsidP="00FC1C9A">
            <w:pPr>
              <w:pStyle w:val="ListBullet2"/>
              <w:keepNext w:val="0"/>
            </w:pPr>
            <w:r w:rsidRPr="00D129EA">
              <w:t xml:space="preserve">a check of the cylinder “test code date” to determine that the hydrostatic pressure test or equivalent test has been conducted and still is valid as required by national or international guidelines; </w:t>
            </w:r>
          </w:p>
          <w:p w:rsidR="00D129EA" w:rsidRPr="00D129EA" w:rsidRDefault="00D129EA" w:rsidP="00FC1C9A">
            <w:pPr>
              <w:pStyle w:val="ListBullet2"/>
              <w:keepNext w:val="0"/>
            </w:pPr>
            <w:proofErr w:type="gramStart"/>
            <w:r w:rsidRPr="00D129EA">
              <w:t>a</w:t>
            </w:r>
            <w:proofErr w:type="gramEnd"/>
            <w:r w:rsidRPr="00D129EA">
              <w:t xml:space="preserve"> check to determine that each container is colour-coded according to the relevant standard. </w:t>
            </w:r>
          </w:p>
          <w:p w:rsidR="00D129EA" w:rsidRPr="00D129EA" w:rsidRDefault="00D129EA" w:rsidP="00FC1C9A">
            <w:pPr>
              <w:keepNext w:val="0"/>
            </w:pPr>
            <w:r w:rsidRPr="00D129EA">
              <w:t xml:space="preserve">5.3.7 Cylinders which have been returned for refilling should be prepared with great care in order to minimise </w:t>
            </w:r>
            <w:r w:rsidRPr="00D129EA">
              <w:lastRenderedPageBreak/>
              <w:t>risks for</w:t>
            </w:r>
            <w:r w:rsidR="00DA0AAA">
              <w:t xml:space="preserve"> </w:t>
            </w:r>
            <w:r w:rsidRPr="00D129EA">
              <w:t>contamination. For compressed gases a maximum</w:t>
            </w:r>
            <w:r w:rsidR="00DA0AAA">
              <w:t xml:space="preserve"> </w:t>
            </w:r>
            <w:r w:rsidRPr="00D129EA">
              <w:t>theoretical impurity of 500 ppm v/v should be obtained for a</w:t>
            </w:r>
            <w:r w:rsidR="00DA0AAA">
              <w:t xml:space="preserve"> </w:t>
            </w:r>
            <w:r w:rsidRPr="00D129EA">
              <w:t xml:space="preserve">filling pressure of 200 </w:t>
            </w:r>
            <w:proofErr w:type="gramStart"/>
            <w:r w:rsidRPr="00D129EA">
              <w:t>bar</w:t>
            </w:r>
            <w:proofErr w:type="gramEnd"/>
            <w:r w:rsidRPr="00D129EA">
              <w:t xml:space="preserve"> (and equivalent for other filling</w:t>
            </w:r>
            <w:r w:rsidR="00DA0AAA">
              <w:t xml:space="preserve"> </w:t>
            </w:r>
            <w:r w:rsidRPr="00D129EA">
              <w:t xml:space="preserve">pressures). </w:t>
            </w:r>
          </w:p>
          <w:p w:rsidR="00D129EA" w:rsidRPr="00D129EA" w:rsidRDefault="00D129EA" w:rsidP="00FC1C9A">
            <w:pPr>
              <w:keepNext w:val="0"/>
            </w:pPr>
            <w:r w:rsidRPr="00D129EA">
              <w:t>Cylinders could be prepared as follows:</w:t>
            </w:r>
          </w:p>
          <w:p w:rsidR="00D129EA" w:rsidRPr="00D129EA" w:rsidRDefault="00D129EA" w:rsidP="00FC1C9A">
            <w:pPr>
              <w:pStyle w:val="ListBullet2"/>
              <w:keepNext w:val="0"/>
            </w:pPr>
            <w:r w:rsidRPr="00D129EA">
              <w:t xml:space="preserve">any gas remaining in the cylinders should be removed by evacuating the container (at least to a remaining absolute pressure of 150 </w:t>
            </w:r>
            <w:proofErr w:type="spellStart"/>
            <w:r w:rsidRPr="00D129EA">
              <w:t>millibar</w:t>
            </w:r>
            <w:proofErr w:type="spellEnd"/>
            <w:r w:rsidRPr="00D129EA">
              <w:t>)</w:t>
            </w:r>
          </w:p>
          <w:p w:rsidR="00D129EA" w:rsidRPr="00D129EA" w:rsidRDefault="00D129EA" w:rsidP="00FC1C9A">
            <w:pPr>
              <w:keepNext w:val="0"/>
            </w:pPr>
            <w:r w:rsidRPr="00D129EA">
              <w:t xml:space="preserve">or </w:t>
            </w:r>
          </w:p>
          <w:p w:rsidR="00D129EA" w:rsidRPr="00D129EA" w:rsidRDefault="00D129EA" w:rsidP="00FC1C9A">
            <w:pPr>
              <w:pStyle w:val="ListBullet2"/>
              <w:keepNext w:val="0"/>
            </w:pPr>
            <w:proofErr w:type="gramStart"/>
            <w:r w:rsidRPr="00D129EA">
              <w:t>by</w:t>
            </w:r>
            <w:proofErr w:type="gramEnd"/>
            <w:r w:rsidRPr="00D129EA">
              <w:t xml:space="preserve"> blowing down each container, followed by purging using validated methods (partial pressurisation at least to 7 bar and then blowing down).</w:t>
            </w:r>
          </w:p>
          <w:p w:rsidR="00D129EA" w:rsidRPr="00D129EA" w:rsidRDefault="00D129EA" w:rsidP="00FC1C9A">
            <w:pPr>
              <w:keepNext w:val="0"/>
            </w:pPr>
            <w:r w:rsidRPr="00D129EA">
              <w:t xml:space="preserve">For cylinders equipped with residual (positive) pressure valves, one evacuation under vacuum at 150 </w:t>
            </w:r>
            <w:proofErr w:type="spellStart"/>
            <w:r w:rsidRPr="00D129EA">
              <w:t>millibar</w:t>
            </w:r>
            <w:proofErr w:type="spellEnd"/>
            <w:r w:rsidRPr="00D129EA">
              <w:t xml:space="preserve"> is sufficient if the pressure is positive. As an alternative, full analysis of the remaining gas should be carried out for each individual container.</w:t>
            </w:r>
          </w:p>
          <w:p w:rsidR="00D129EA" w:rsidRPr="00D129EA" w:rsidRDefault="00D129EA" w:rsidP="00FC1C9A">
            <w:pPr>
              <w:keepNext w:val="0"/>
            </w:pPr>
            <w:r w:rsidRPr="00D129EA">
              <w:t>5.3.8 There should be appropriate checks to ensure that containers have been filled. An indication that it is filling properly could be to ensure that the exterior of the cylinder is warm by touching it lightly during filling.</w:t>
            </w:r>
          </w:p>
          <w:p w:rsidR="00D129EA" w:rsidRPr="00DA0AAA" w:rsidRDefault="00D129EA" w:rsidP="00FC1C9A">
            <w:pPr>
              <w:keepNext w:val="0"/>
            </w:pPr>
            <w:r w:rsidRPr="00D129EA">
              <w:t xml:space="preserve">5.3.9 Each cylinder should be labelled and colour-coded. </w:t>
            </w:r>
            <w:r w:rsidRPr="00D129EA">
              <w:lastRenderedPageBreak/>
              <w:t>The batch number and/or filling date and expiry date may be on a separate label.</w:t>
            </w:r>
          </w:p>
        </w:tc>
        <w:tc>
          <w:tcPr>
            <w:tcW w:w="1843" w:type="dxa"/>
          </w:tcPr>
          <w:p w:rsidR="00D129EA" w:rsidRDefault="005A5BF0" w:rsidP="00FC1C9A">
            <w:pPr>
              <w:keepNext w:val="0"/>
            </w:pPr>
            <w:r w:rsidRPr="005A5BF0">
              <w:lastRenderedPageBreak/>
              <w:t xml:space="preserve">Full rewrite of the entire section to increase clarity </w:t>
            </w:r>
            <w:r w:rsidRPr="005A5BF0">
              <w:lastRenderedPageBreak/>
              <w:t>and reduce prescriptive nature, but with no significant additional requirements</w:t>
            </w:r>
          </w:p>
        </w:tc>
        <w:tc>
          <w:tcPr>
            <w:tcW w:w="1531" w:type="dxa"/>
          </w:tcPr>
          <w:p w:rsidR="00D129EA" w:rsidRPr="001D1F74" w:rsidRDefault="005A5BF0" w:rsidP="00FC1C9A">
            <w:pPr>
              <w:keepNext w:val="0"/>
            </w:pPr>
            <w:r w:rsidRPr="005A5BF0">
              <w:lastRenderedPageBreak/>
              <w:t>Minor</w:t>
            </w:r>
          </w:p>
        </w:tc>
      </w:tr>
      <w:tr w:rsidR="005A5BF0" w:rsidTr="00080B59">
        <w:trPr>
          <w:cantSplit w:val="0"/>
        </w:trPr>
        <w:tc>
          <w:tcPr>
            <w:tcW w:w="5920" w:type="dxa"/>
          </w:tcPr>
          <w:p w:rsidR="005A5BF0" w:rsidRPr="005A5BF0" w:rsidRDefault="005A5BF0" w:rsidP="00FC1C9A">
            <w:pPr>
              <w:keepNext w:val="0"/>
              <w:rPr>
                <w:b/>
              </w:rPr>
            </w:pPr>
            <w:r w:rsidRPr="005A5BF0">
              <w:rPr>
                <w:b/>
              </w:rPr>
              <w:lastRenderedPageBreak/>
              <w:t>QUALITY CONTROL</w:t>
            </w:r>
          </w:p>
          <w:p w:rsidR="005A5BF0" w:rsidRPr="005A5BF0" w:rsidRDefault="005A5BF0" w:rsidP="00FC1C9A">
            <w:pPr>
              <w:keepNext w:val="0"/>
            </w:pPr>
            <w:r w:rsidRPr="005A5BF0">
              <w:t xml:space="preserve">39. Each batch of medicinal gas (cylinders, mobile cryogenic vessels, hospital tanks) should be tested </w:t>
            </w:r>
            <w:r w:rsidRPr="005A5BF0">
              <w:rPr>
                <w:rFonts w:ascii="Arial" w:hAnsi="Arial" w:cs="Arial"/>
                <w:color w:val="006DA7"/>
              </w:rPr>
              <w:t>in accordance with the requirements of the Marketing Authorisation</w:t>
            </w:r>
            <w:r w:rsidRPr="005A5BF0">
              <w:rPr>
                <w:rFonts w:ascii="Arial" w:hAnsi="Arial" w:cs="Arial"/>
              </w:rPr>
              <w:t xml:space="preserve"> </w:t>
            </w:r>
            <w:r w:rsidRPr="005A5BF0">
              <w:t>and certified.</w:t>
            </w:r>
          </w:p>
          <w:p w:rsidR="005A5BF0" w:rsidRPr="005A5BF0" w:rsidRDefault="005A5BF0" w:rsidP="00FC1C9A">
            <w:pPr>
              <w:keepNext w:val="0"/>
            </w:pPr>
            <w:r w:rsidRPr="005A5BF0">
              <w:t xml:space="preserve">40. </w:t>
            </w:r>
            <w:r w:rsidRPr="005A5BF0">
              <w:rPr>
                <w:rFonts w:ascii="Arial" w:hAnsi="Arial" w:cs="Arial"/>
                <w:color w:val="006DA7"/>
              </w:rPr>
              <w:t>Unless different provisions are required in the Marketing Authorisation,</w:t>
            </w:r>
            <w:r w:rsidRPr="005A5BF0">
              <w:t xml:space="preserve"> the sampling plan and the analysis to be performed should comply, in the case of cylinders with the following requirements.</w:t>
            </w:r>
          </w:p>
          <w:p w:rsidR="005A5BF0" w:rsidRPr="005A5BF0" w:rsidRDefault="005A5BF0" w:rsidP="00FC1C9A">
            <w:pPr>
              <w:pStyle w:val="Numberbullet2"/>
              <w:keepNext w:val="0"/>
              <w:numPr>
                <w:ilvl w:val="0"/>
                <w:numId w:val="35"/>
              </w:numPr>
            </w:pPr>
            <w:r w:rsidRPr="005A5BF0">
              <w:lastRenderedPageBreak/>
              <w:t>In the case of a single medicinal gas filled via a multi-cylinder manifold, the gas from at least one cylinder from each manifold filling cycle should be tested for identity and assay each time the cylinders are changed on the manifold.</w:t>
            </w:r>
          </w:p>
          <w:p w:rsidR="005A5BF0" w:rsidRPr="005A5BF0" w:rsidRDefault="005A5BF0" w:rsidP="00FC1C9A">
            <w:pPr>
              <w:pStyle w:val="Numberbullet2"/>
              <w:keepNext w:val="0"/>
            </w:pPr>
            <w:r w:rsidRPr="005A5BF0">
              <w:t>In the case of a single medicinal gas filled put into cylinders one at a time, the gas from at least one cylinder of each uninterrupted filling cycle should be tested for identity and assay. An example of an uninterrupted filling cycle is one shift's production using the same personnel, equipment, and batch of gas to be filled.</w:t>
            </w:r>
          </w:p>
          <w:p w:rsidR="005A5BF0" w:rsidRPr="005A5BF0" w:rsidRDefault="005A5BF0" w:rsidP="00FC1C9A">
            <w:pPr>
              <w:pStyle w:val="Numberbullet2"/>
              <w:keepNext w:val="0"/>
            </w:pPr>
            <w:r w:rsidRPr="005A5BF0">
              <w:t>In the case of a medicinal gas produced by mixing two or more gases in a cylinder from the same manifold, the gas from every cylinder should be tested for assay and identity of each component gas. For excipients, if any, testing on identity could be performed on one cylinder per manifold filling cycle (or per uninterrupted filling cycle in case of cylinders filled one at a time). Fewer cylinders may be tested in case of validated automated filling system.</w:t>
            </w:r>
          </w:p>
          <w:p w:rsidR="005A5BF0" w:rsidRPr="005A5BF0" w:rsidRDefault="005A5BF0" w:rsidP="00FC1C9A">
            <w:pPr>
              <w:pStyle w:val="Numberbullet2"/>
              <w:keepNext w:val="0"/>
            </w:pPr>
            <w:r w:rsidRPr="005A5BF0">
              <w:t>Premixed gases should follow the same principles as single gases when continuous in-line testing of the mixture to be filled is performed</w:t>
            </w:r>
          </w:p>
          <w:p w:rsidR="005A5BF0" w:rsidRPr="005A5BF0" w:rsidRDefault="005A5BF0" w:rsidP="00FC1C9A">
            <w:pPr>
              <w:keepNext w:val="0"/>
              <w:ind w:left="1145"/>
            </w:pPr>
            <w:r w:rsidRPr="005A5BF0">
              <w:lastRenderedPageBreak/>
              <w:t>Premixed gases should follow the same principle as medicinal gases produced by mixing gases in the cylinders when there is no continuous in-line testing of the mixture to be filled.</w:t>
            </w:r>
          </w:p>
          <w:p w:rsidR="005A5BF0" w:rsidRPr="005A5BF0" w:rsidRDefault="005A5BF0" w:rsidP="00FC1C9A">
            <w:pPr>
              <w:keepNext w:val="0"/>
            </w:pPr>
            <w:r w:rsidRPr="005A5BF0">
              <w:t>Testing for water content should be performed unless otherwise justified.</w:t>
            </w:r>
          </w:p>
          <w:p w:rsidR="005A5BF0" w:rsidRPr="005A5BF0" w:rsidRDefault="005A5BF0" w:rsidP="00FC1C9A">
            <w:pPr>
              <w:keepNext w:val="0"/>
            </w:pPr>
            <w:r w:rsidRPr="005A5BF0">
              <w:t>Other sampling and testing procedures that provide at least equivalent level of quality assurance may be justified</w:t>
            </w:r>
          </w:p>
          <w:p w:rsidR="005A5BF0" w:rsidRPr="005A5BF0" w:rsidRDefault="005A5BF0" w:rsidP="00FC1C9A">
            <w:pPr>
              <w:keepNext w:val="0"/>
            </w:pPr>
            <w:r w:rsidRPr="005A5BF0">
              <w:t>41. Unless different provisions are required in the Marketing Authorisation, final testing on mobile cryogenic vessels should include a test for assay and identity on each vessel. Testing by batches should only be carried out if it has been demonstrated that the critical attributes of the gas remaining in each vessel before refilling have been maintained.</w:t>
            </w:r>
          </w:p>
          <w:p w:rsidR="005A5BF0" w:rsidRPr="005A5BF0" w:rsidRDefault="005A5BF0" w:rsidP="00FC1C9A">
            <w:pPr>
              <w:keepNext w:val="0"/>
            </w:pPr>
            <w:r w:rsidRPr="005A5BF0">
              <w:t xml:space="preserve">42. Cryogenic vessels retained by customers (hospital tanks or home cryogenic vessels), which are refilled in place from dedicated tankers do not need to be sampled after filling, provided that a certificate of analysis on the contents of the tanker accompanies the delivery. However, it should be demonstrated that the specification of the gas in the vessels is maintained over the successive </w:t>
            </w:r>
            <w:proofErr w:type="spellStart"/>
            <w:r w:rsidRPr="005A5BF0">
              <w:t>refillings</w:t>
            </w:r>
            <w:proofErr w:type="spellEnd"/>
            <w:r w:rsidRPr="005A5BF0">
              <w:t>.</w:t>
            </w:r>
          </w:p>
          <w:p w:rsidR="005A5BF0" w:rsidRPr="005A5BF0" w:rsidRDefault="005A5BF0" w:rsidP="00FC1C9A">
            <w:pPr>
              <w:keepNext w:val="0"/>
            </w:pPr>
            <w:r w:rsidRPr="005A5BF0">
              <w:t xml:space="preserve">43. Reference and retention samples are not required, </w:t>
            </w:r>
            <w:r w:rsidRPr="005A5BF0">
              <w:lastRenderedPageBreak/>
              <w:t>unless otherwise specified.</w:t>
            </w:r>
          </w:p>
          <w:p w:rsidR="005A5BF0" w:rsidRPr="00D129EA" w:rsidRDefault="005A5BF0" w:rsidP="00FC1C9A">
            <w:pPr>
              <w:keepNext w:val="0"/>
              <w:rPr>
                <w:b/>
              </w:rPr>
            </w:pPr>
            <w:r w:rsidRPr="005A5BF0">
              <w:t>44. On-going stability studies are not required in case initial stability studies have been replaced by bibliographic data.</w:t>
            </w:r>
          </w:p>
        </w:tc>
        <w:tc>
          <w:tcPr>
            <w:tcW w:w="5812" w:type="dxa"/>
          </w:tcPr>
          <w:p w:rsidR="00735139" w:rsidRPr="00735139" w:rsidRDefault="00735139" w:rsidP="00FC1C9A">
            <w:pPr>
              <w:keepNext w:val="0"/>
              <w:rPr>
                <w:b/>
              </w:rPr>
            </w:pPr>
            <w:r w:rsidRPr="00735139">
              <w:rPr>
                <w:b/>
              </w:rPr>
              <w:lastRenderedPageBreak/>
              <w:t>6.</w:t>
            </w:r>
            <w:r w:rsidRPr="00735139">
              <w:rPr>
                <w:b/>
              </w:rPr>
              <w:tab/>
              <w:t>Quality control</w:t>
            </w:r>
          </w:p>
          <w:p w:rsidR="00735139" w:rsidRPr="00735139" w:rsidRDefault="00735139" w:rsidP="00FC1C9A">
            <w:pPr>
              <w:keepNext w:val="0"/>
            </w:pPr>
            <w:r w:rsidRPr="00735139">
              <w:t>6.1 Water used for hydrostatic pressure testing should be at least of drinking water quality and monitored routinely for microbiological contamination.</w:t>
            </w:r>
          </w:p>
          <w:p w:rsidR="00735139" w:rsidRPr="00735139" w:rsidRDefault="00735139" w:rsidP="00FC1C9A">
            <w:pPr>
              <w:keepNext w:val="0"/>
            </w:pPr>
            <w:r w:rsidRPr="00735139">
              <w:t xml:space="preserve">6.2 Each medicinal gas should be tested and released according to its specifications. In addition, each medicinal gas should be tested to full relevant </w:t>
            </w:r>
            <w:proofErr w:type="spellStart"/>
            <w:r w:rsidRPr="00735139">
              <w:t>pharmacopoeial</w:t>
            </w:r>
            <w:proofErr w:type="spellEnd"/>
            <w:r w:rsidRPr="00735139">
              <w:t xml:space="preserve"> requirements at sufficient frequency to assure ongoing compliance. </w:t>
            </w:r>
          </w:p>
          <w:p w:rsidR="00735139" w:rsidRPr="00735139" w:rsidRDefault="00735139" w:rsidP="00FC1C9A">
            <w:pPr>
              <w:keepNext w:val="0"/>
            </w:pPr>
            <w:r w:rsidRPr="00735139">
              <w:lastRenderedPageBreak/>
              <w:t>6.3 The bulk gas supply should be released for filling. (see 5.2.12)</w:t>
            </w:r>
          </w:p>
          <w:p w:rsidR="00735139" w:rsidRPr="00735139" w:rsidRDefault="00735139" w:rsidP="00FC1C9A">
            <w:pPr>
              <w:keepNext w:val="0"/>
            </w:pPr>
            <w:r w:rsidRPr="00735139">
              <w:t xml:space="preserve">6.4 In the case of a single medicinal gas filled via a multi-cylinder manifold, at least one cylinder of product from each manifold filling should be tested for identity, assay and if necessary water content each time the cylinders are changed on the manifold. </w:t>
            </w:r>
          </w:p>
          <w:p w:rsidR="00735139" w:rsidRPr="00735139" w:rsidRDefault="00735139" w:rsidP="00FC1C9A">
            <w:pPr>
              <w:keepNext w:val="0"/>
            </w:pPr>
            <w:r w:rsidRPr="00735139">
              <w:t>6.5 In the case of a single medicinal gas filled into cylinders one at a time by individual filling operations, at least one cylinder of each uninterrupted filling cycle should be tested for identity and assay. An example of an uninterrupted filling operation cycle is one shift's production using the same personnel, equipment, and batch of bulk gas.</w:t>
            </w:r>
          </w:p>
          <w:p w:rsidR="00735139" w:rsidRPr="00735139" w:rsidRDefault="00735139" w:rsidP="00FC1C9A">
            <w:pPr>
              <w:keepNext w:val="0"/>
            </w:pPr>
            <w:r w:rsidRPr="00735139">
              <w:t xml:space="preserve">6.6 In the case of a medicinal gas produced by mixing two or more different gases in a cylinder from the same manifold, at least one cylinder from each manifold filling operation cycle should be tested for identity, assay and if necessary water content of all of the component gases and for identity of the balance gas in the mixture. When cylinders are filled individually, every cylinder should be tested for identity and assay of all of the component gases and at least one cylinder of each uninterrupted filling cycle should be tested for identity of the </w:t>
            </w:r>
            <w:proofErr w:type="spellStart"/>
            <w:r w:rsidRPr="00735139">
              <w:t>balancegas</w:t>
            </w:r>
            <w:proofErr w:type="spellEnd"/>
            <w:r w:rsidRPr="00735139">
              <w:t xml:space="preserve"> in the mixture.</w:t>
            </w:r>
          </w:p>
          <w:p w:rsidR="00735139" w:rsidRPr="00735139" w:rsidRDefault="00735139" w:rsidP="00FC1C9A">
            <w:pPr>
              <w:keepNext w:val="0"/>
            </w:pPr>
            <w:r w:rsidRPr="00735139">
              <w:t xml:space="preserve">6.7 When gases are mixed in-line before filling (e.g. nitrous </w:t>
            </w:r>
            <w:r w:rsidRPr="00735139">
              <w:lastRenderedPageBreak/>
              <w:t>oxide/oxygen mixture) continuous analysis of the mixture being filled is required.</w:t>
            </w:r>
          </w:p>
          <w:p w:rsidR="00735139" w:rsidRPr="00735139" w:rsidRDefault="00735139" w:rsidP="00FC1C9A">
            <w:pPr>
              <w:keepNext w:val="0"/>
            </w:pPr>
            <w:r w:rsidRPr="00735139">
              <w:t>6.8 When a cylinder is filled with more than one gas, the filling process must ensure that the gases are correctly mixed in every cylinder and are fully homogeneous.</w:t>
            </w:r>
          </w:p>
          <w:p w:rsidR="00735139" w:rsidRPr="00735139" w:rsidRDefault="00735139" w:rsidP="00FC1C9A">
            <w:pPr>
              <w:keepNext w:val="0"/>
            </w:pPr>
            <w:r w:rsidRPr="00735139">
              <w:t xml:space="preserve">6.9 Each filled cylinder should be tested for leaks using an appropriate method, prior to fitting the tamper evident seal. Where sampling and testing is carried out the leak test should be completed after testing. </w:t>
            </w:r>
          </w:p>
          <w:p w:rsidR="00735139" w:rsidRPr="00735139" w:rsidRDefault="00735139" w:rsidP="00FC1C9A">
            <w:pPr>
              <w:keepNext w:val="0"/>
            </w:pPr>
            <w:r w:rsidRPr="00735139">
              <w:t>6.10 In the case of cryogenic gas filled into cryogenic home vessels for delivery to users, each vessel should be tested for identity and assay.</w:t>
            </w:r>
          </w:p>
          <w:p w:rsidR="00735139" w:rsidRPr="00735139" w:rsidRDefault="00735139" w:rsidP="00FC1C9A">
            <w:pPr>
              <w:keepNext w:val="0"/>
            </w:pPr>
            <w:r w:rsidRPr="00735139">
              <w:t xml:space="preserve">6.11 Cryogenic vessels which are retained by customers and where the medicinal gas is refilled in place from dedicated mobile delivery tanks need not be sampled after filling provided the filling company delivers a certificate of analysis for a sample taken from the mobile delivery tank. Cryogenic vessels retained by customers should be periodically tested to confirm that the contents comply with </w:t>
            </w:r>
            <w:proofErr w:type="spellStart"/>
            <w:r w:rsidRPr="00735139">
              <w:t>pharmacopoeial</w:t>
            </w:r>
            <w:proofErr w:type="spellEnd"/>
            <w:r w:rsidRPr="00735139">
              <w:t xml:space="preserve"> requirements.</w:t>
            </w:r>
          </w:p>
          <w:p w:rsidR="005A5BF0" w:rsidRPr="00D129EA" w:rsidRDefault="00735139" w:rsidP="00FC1C9A">
            <w:pPr>
              <w:keepNext w:val="0"/>
              <w:rPr>
                <w:b/>
              </w:rPr>
            </w:pPr>
            <w:r w:rsidRPr="00735139">
              <w:t>6.12 Retained samples are not required, unless otherwise specified.</w:t>
            </w:r>
          </w:p>
        </w:tc>
        <w:tc>
          <w:tcPr>
            <w:tcW w:w="1843" w:type="dxa"/>
          </w:tcPr>
          <w:p w:rsidR="00735139" w:rsidRDefault="00735139" w:rsidP="00FC1C9A">
            <w:pPr>
              <w:keepNext w:val="0"/>
            </w:pPr>
            <w:r>
              <w:lastRenderedPageBreak/>
              <w:t>References included to marketing Authorisations as there were cases in which those overrode the GMP statements;</w:t>
            </w:r>
          </w:p>
          <w:p w:rsidR="00735139" w:rsidRDefault="00735139" w:rsidP="00FC1C9A">
            <w:pPr>
              <w:keepNext w:val="0"/>
            </w:pPr>
            <w:r>
              <w:t xml:space="preserve">Rewrite to reduce </w:t>
            </w:r>
            <w:r>
              <w:lastRenderedPageBreak/>
              <w:t>prescriptive nature and allow QRM being applied;</w:t>
            </w:r>
          </w:p>
          <w:p w:rsidR="005A5BF0" w:rsidRPr="005A5BF0" w:rsidRDefault="00735139" w:rsidP="00FC1C9A">
            <w:pPr>
              <w:keepNext w:val="0"/>
            </w:pPr>
            <w:r>
              <w:t>New reference to on-goings stability already required following Chapter 6</w:t>
            </w:r>
          </w:p>
        </w:tc>
        <w:tc>
          <w:tcPr>
            <w:tcW w:w="1531" w:type="dxa"/>
          </w:tcPr>
          <w:p w:rsidR="005A5BF0" w:rsidRPr="005A5BF0" w:rsidRDefault="00735139" w:rsidP="00FC1C9A">
            <w:pPr>
              <w:keepNext w:val="0"/>
            </w:pPr>
            <w:r w:rsidRPr="00735139">
              <w:lastRenderedPageBreak/>
              <w:t>Nil</w:t>
            </w:r>
          </w:p>
        </w:tc>
      </w:tr>
      <w:tr w:rsidR="00735139" w:rsidTr="00080B59">
        <w:trPr>
          <w:cantSplit w:val="0"/>
        </w:trPr>
        <w:tc>
          <w:tcPr>
            <w:tcW w:w="5920" w:type="dxa"/>
          </w:tcPr>
          <w:p w:rsidR="00735139" w:rsidRPr="00735139" w:rsidRDefault="00735139" w:rsidP="00FC1C9A">
            <w:pPr>
              <w:keepNext w:val="0"/>
              <w:rPr>
                <w:b/>
              </w:rPr>
            </w:pPr>
            <w:r w:rsidRPr="00735139">
              <w:rPr>
                <w:b/>
              </w:rPr>
              <w:lastRenderedPageBreak/>
              <w:t>TRANSPORTATION OF PACKAGED GASES</w:t>
            </w:r>
          </w:p>
          <w:p w:rsidR="00735139" w:rsidRPr="00735139" w:rsidRDefault="00735139" w:rsidP="00FC1C9A">
            <w:pPr>
              <w:keepNext w:val="0"/>
            </w:pPr>
            <w:r w:rsidRPr="00735139">
              <w:t>45. Filled gas cylinders and home cryogenic vessels should be protected during transportation so that, in particular, they are delivered to customers in a clean state compatible with the environment in which they will be used.</w:t>
            </w:r>
          </w:p>
        </w:tc>
        <w:tc>
          <w:tcPr>
            <w:tcW w:w="5812" w:type="dxa"/>
          </w:tcPr>
          <w:p w:rsidR="00735139" w:rsidRPr="00735139" w:rsidRDefault="00735139" w:rsidP="00FC1C9A">
            <w:pPr>
              <w:keepNext w:val="0"/>
              <w:rPr>
                <w:b/>
              </w:rPr>
            </w:pPr>
            <w:r w:rsidRPr="00735139">
              <w:rPr>
                <w:b/>
              </w:rPr>
              <w:t>7.</w:t>
            </w:r>
            <w:r w:rsidRPr="00735139">
              <w:rPr>
                <w:b/>
              </w:rPr>
              <w:tab/>
              <w:t>Storage and release</w:t>
            </w:r>
          </w:p>
          <w:p w:rsidR="00735139" w:rsidRPr="00735139" w:rsidRDefault="00735139" w:rsidP="00FC1C9A">
            <w:pPr>
              <w:keepNext w:val="0"/>
            </w:pPr>
            <w:r w:rsidRPr="00735139">
              <w:t>7.1 Filled cylinders should be held in quarantine until released by the authorised person.</w:t>
            </w:r>
          </w:p>
          <w:p w:rsidR="00735139" w:rsidRPr="00735139" w:rsidRDefault="00735139" w:rsidP="00FC1C9A">
            <w:pPr>
              <w:keepNext w:val="0"/>
            </w:pPr>
            <w:r w:rsidRPr="00735139">
              <w:t>7.2 Gas cylinders should be stored under cover and not be subjected to extremes of temperature. Storage areas should be clean, dry, well ventilated and free of combustible materials to ensure that cylinders remain clean up to the time of use.</w:t>
            </w:r>
          </w:p>
          <w:p w:rsidR="00735139" w:rsidRPr="00735139" w:rsidRDefault="00735139" w:rsidP="00FC1C9A">
            <w:pPr>
              <w:keepNext w:val="0"/>
            </w:pPr>
            <w:r w:rsidRPr="00735139">
              <w:t>7.3 Storage arrangements should permit segregation of different gases and of full/empty cylinders and permit rotation of stock on a first in – first out basis.</w:t>
            </w:r>
          </w:p>
          <w:p w:rsidR="00735139" w:rsidRPr="00735139" w:rsidRDefault="00735139" w:rsidP="00FC1C9A">
            <w:pPr>
              <w:keepNext w:val="0"/>
              <w:rPr>
                <w:b/>
              </w:rPr>
            </w:pPr>
            <w:r w:rsidRPr="00735139">
              <w:t>7.4 Gas cylinders should be protected from adverse weather conditions during transportation. Specific conditions for storage and transportation should be employed for gas mixtures for which phase separation occurs on freezing.</w:t>
            </w:r>
          </w:p>
        </w:tc>
        <w:tc>
          <w:tcPr>
            <w:tcW w:w="1843" w:type="dxa"/>
          </w:tcPr>
          <w:p w:rsidR="00735139" w:rsidRDefault="00735139" w:rsidP="00FC1C9A">
            <w:pPr>
              <w:keepNext w:val="0"/>
            </w:pPr>
            <w:r w:rsidRPr="00735139">
              <w:t>Rewrite to reduce prescriptive nature and allow QRM being applied;</w:t>
            </w:r>
          </w:p>
        </w:tc>
        <w:tc>
          <w:tcPr>
            <w:tcW w:w="1531" w:type="dxa"/>
          </w:tcPr>
          <w:p w:rsidR="00735139" w:rsidRPr="00735139" w:rsidRDefault="00735139" w:rsidP="00FC1C9A">
            <w:pPr>
              <w:keepNext w:val="0"/>
            </w:pPr>
            <w:r w:rsidRPr="00735139">
              <w:t>Nil</w:t>
            </w:r>
          </w:p>
        </w:tc>
      </w:tr>
      <w:tr w:rsidR="000A4057" w:rsidTr="008450B1">
        <w:trPr>
          <w:cantSplit w:val="0"/>
        </w:trPr>
        <w:tc>
          <w:tcPr>
            <w:tcW w:w="15106" w:type="dxa"/>
            <w:gridSpan w:val="4"/>
          </w:tcPr>
          <w:p w:rsidR="000A4057" w:rsidRPr="000A4057" w:rsidRDefault="000A4057" w:rsidP="00FC1C9A">
            <w:pPr>
              <w:keepNext w:val="0"/>
              <w:jc w:val="center"/>
              <w:rPr>
                <w:i/>
              </w:rPr>
            </w:pPr>
            <w:r w:rsidRPr="000A4057">
              <w:rPr>
                <w:i/>
              </w:rPr>
              <w:t>Glossary: rewrite, deleting some definitions while introducing others</w:t>
            </w:r>
          </w:p>
        </w:tc>
      </w:tr>
    </w:tbl>
    <w:p w:rsidR="00B36B30" w:rsidRDefault="003C0347" w:rsidP="003C0347">
      <w:pPr>
        <w:pStyle w:val="Heading3"/>
      </w:pPr>
      <w:bookmarkStart w:id="15" w:name="_Toc357412255"/>
      <w:r w:rsidRPr="003C0347">
        <w:lastRenderedPageBreak/>
        <w:t>Annex 7: Herbal medicinal products</w:t>
      </w:r>
      <w:bookmarkEnd w:id="15"/>
    </w:p>
    <w:tbl>
      <w:tblPr>
        <w:tblStyle w:val="TableTGAblue"/>
        <w:tblW w:w="0" w:type="auto"/>
        <w:tblLayout w:type="fixed"/>
        <w:tblLook w:val="04A0" w:firstRow="1" w:lastRow="0" w:firstColumn="1" w:lastColumn="0" w:noHBand="0" w:noVBand="1"/>
      </w:tblPr>
      <w:tblGrid>
        <w:gridCol w:w="5920"/>
        <w:gridCol w:w="5812"/>
        <w:gridCol w:w="1843"/>
        <w:gridCol w:w="1531"/>
      </w:tblGrid>
      <w:tr w:rsidR="003C0347" w:rsidTr="008450B1">
        <w:trPr>
          <w:cnfStyle w:val="100000000000" w:firstRow="1" w:lastRow="0" w:firstColumn="0" w:lastColumn="0" w:oddVBand="0" w:evenVBand="0" w:oddHBand="0" w:evenHBand="0" w:firstRowFirstColumn="0" w:firstRowLastColumn="0" w:lastRowFirstColumn="0" w:lastRowLastColumn="0"/>
        </w:trPr>
        <w:tc>
          <w:tcPr>
            <w:tcW w:w="5920" w:type="dxa"/>
          </w:tcPr>
          <w:p w:rsidR="003C0347" w:rsidRDefault="003C0347" w:rsidP="00F07885">
            <w:pPr>
              <w:keepNext w:val="0"/>
            </w:pPr>
            <w:r w:rsidRPr="00D74808">
              <w:t>PE 009-10</w:t>
            </w:r>
          </w:p>
        </w:tc>
        <w:tc>
          <w:tcPr>
            <w:tcW w:w="5812" w:type="dxa"/>
          </w:tcPr>
          <w:p w:rsidR="003C0347" w:rsidRDefault="003C0347" w:rsidP="00F07885">
            <w:pPr>
              <w:keepNext w:val="0"/>
            </w:pPr>
            <w:r w:rsidRPr="00D74808">
              <w:t>PE 009-08</w:t>
            </w:r>
          </w:p>
        </w:tc>
        <w:tc>
          <w:tcPr>
            <w:tcW w:w="1843" w:type="dxa"/>
          </w:tcPr>
          <w:p w:rsidR="003C0347" w:rsidRDefault="003C0347" w:rsidP="00F07885">
            <w:pPr>
              <w:keepNext w:val="0"/>
            </w:pPr>
            <w:r w:rsidRPr="00D74808">
              <w:t>Nature of  impact</w:t>
            </w:r>
          </w:p>
        </w:tc>
        <w:tc>
          <w:tcPr>
            <w:tcW w:w="1531" w:type="dxa"/>
          </w:tcPr>
          <w:p w:rsidR="003C0347" w:rsidRDefault="003C0347" w:rsidP="00F07885">
            <w:pPr>
              <w:keepNext w:val="0"/>
            </w:pPr>
            <w:r w:rsidRPr="00D74808">
              <w:t>Estimated significance of impact</w:t>
            </w:r>
          </w:p>
        </w:tc>
      </w:tr>
      <w:tr w:rsidR="003C0347" w:rsidTr="008450B1">
        <w:trPr>
          <w:cantSplit w:val="0"/>
        </w:trPr>
        <w:tc>
          <w:tcPr>
            <w:tcW w:w="5920" w:type="dxa"/>
          </w:tcPr>
          <w:p w:rsidR="003C0347" w:rsidRPr="003C0347" w:rsidRDefault="003C0347" w:rsidP="00F07885">
            <w:pPr>
              <w:keepNext w:val="0"/>
            </w:pPr>
            <w:r w:rsidRPr="003C0347">
              <w:t>Because of their often complex and variable nature, control of starting materials, storage and processing assume particular importance in the manufacture of herbal medicinal products.</w:t>
            </w:r>
          </w:p>
          <w:p w:rsidR="003C0347" w:rsidRPr="003C0347" w:rsidRDefault="003C0347" w:rsidP="00F07885">
            <w:pPr>
              <w:keepNext w:val="0"/>
              <w:rPr>
                <w:rFonts w:ascii="Arial" w:hAnsi="Arial" w:cs="Arial"/>
                <w:color w:val="006DA7"/>
              </w:rPr>
            </w:pPr>
            <w:r w:rsidRPr="003C0347">
              <w:rPr>
                <w:rFonts w:ascii="Arial" w:hAnsi="Arial" w:cs="Arial"/>
                <w:color w:val="006DA7"/>
              </w:rPr>
              <w:t>The “starting material” in the manufacture of an herbal medicinal produc</w:t>
            </w:r>
            <w:r>
              <w:rPr>
                <w:rFonts w:ascii="Arial" w:hAnsi="Arial" w:cs="Arial"/>
                <w:color w:val="006DA7"/>
              </w:rPr>
              <w:t>t</w:t>
            </w:r>
            <w:r>
              <w:rPr>
                <w:rStyle w:val="FootnoteReference"/>
                <w:rFonts w:ascii="Arial" w:hAnsi="Arial" w:cs="Arial"/>
                <w:color w:val="006DA7"/>
              </w:rPr>
              <w:footnoteReference w:id="2"/>
            </w:r>
            <w:r w:rsidRPr="003C0347">
              <w:rPr>
                <w:rFonts w:ascii="Arial" w:hAnsi="Arial" w:cs="Arial"/>
                <w:color w:val="006DA7"/>
              </w:rPr>
              <w:t xml:space="preserve"> can be a medic</w:t>
            </w:r>
            <w:r>
              <w:rPr>
                <w:rFonts w:ascii="Arial" w:hAnsi="Arial" w:cs="Arial"/>
                <w:color w:val="006DA7"/>
              </w:rPr>
              <w:t>inal plant, an herbal substance</w:t>
            </w:r>
            <w:r>
              <w:rPr>
                <w:rStyle w:val="FootnoteReference"/>
                <w:rFonts w:ascii="Arial" w:hAnsi="Arial" w:cs="Arial"/>
                <w:color w:val="006DA7"/>
              </w:rPr>
              <w:footnoteReference w:id="3"/>
            </w:r>
            <w:r w:rsidRPr="003C0347">
              <w:rPr>
                <w:rFonts w:ascii="Arial" w:hAnsi="Arial" w:cs="Arial"/>
                <w:color w:val="006DA7"/>
              </w:rPr>
              <w:t xml:space="preserve"> or an herbal preparation</w:t>
            </w:r>
            <w:r w:rsidRPr="003C0347">
              <w:rPr>
                <w:rFonts w:ascii="Arial" w:hAnsi="Arial" w:cs="Arial"/>
                <w:color w:val="006DA7"/>
                <w:vertAlign w:val="superscript"/>
              </w:rPr>
              <w:t>1</w:t>
            </w:r>
            <w:r w:rsidRPr="003C0347">
              <w:rPr>
                <w:rFonts w:ascii="Arial" w:hAnsi="Arial" w:cs="Arial"/>
                <w:color w:val="006DA7"/>
              </w:rPr>
              <w:t xml:space="preserve">. The herbal substance should be of suitable quality and supporting data should be provided to the manufacturer of the herbal preparation/herbal medicinal product. Ensuring consistent quality of the herbal substance may require more detailed information on its agricultural production. The selection of seeds, cultivation and harvesting conditions represent important aspects of the quality of the herbal substance and can influence the consistency of the finished product. Recommendations on an appropriate quality assurance system for good agricultural and collection practice are provided in national or international guidance documents </w:t>
            </w:r>
            <w:r w:rsidRPr="003C0347">
              <w:rPr>
                <w:rFonts w:ascii="Arial" w:hAnsi="Arial" w:cs="Arial"/>
                <w:color w:val="006DA7"/>
              </w:rPr>
              <w:lastRenderedPageBreak/>
              <w:t>on Good Agricultural and Collection Practice for star</w:t>
            </w:r>
            <w:r>
              <w:rPr>
                <w:rFonts w:ascii="Arial" w:hAnsi="Arial" w:cs="Arial"/>
                <w:color w:val="006DA7"/>
              </w:rPr>
              <w:t>ting materials of herbal origin</w:t>
            </w:r>
            <w:r>
              <w:rPr>
                <w:rStyle w:val="FootnoteReference"/>
                <w:rFonts w:ascii="Arial" w:hAnsi="Arial" w:cs="Arial"/>
                <w:color w:val="006DA7"/>
              </w:rPr>
              <w:footnoteReference w:id="4"/>
            </w:r>
            <w:r w:rsidRPr="003C0347">
              <w:rPr>
                <w:rFonts w:ascii="Arial" w:hAnsi="Arial" w:cs="Arial"/>
                <w:color w:val="006DA7"/>
              </w:rPr>
              <w:t>.</w:t>
            </w:r>
          </w:p>
          <w:p w:rsidR="003C0347" w:rsidRPr="003C0347" w:rsidRDefault="003C0347" w:rsidP="00F07885">
            <w:pPr>
              <w:keepNext w:val="0"/>
              <w:rPr>
                <w:rFonts w:ascii="Arial" w:hAnsi="Arial" w:cs="Arial"/>
                <w:color w:val="006DA7"/>
              </w:rPr>
            </w:pPr>
            <w:r w:rsidRPr="003C0347">
              <w:rPr>
                <w:rFonts w:ascii="Arial" w:hAnsi="Arial" w:cs="Arial"/>
                <w:color w:val="006DA7"/>
              </w:rPr>
              <w:t>This Annex applies to all herbal starting materials: medicinal plants, herbal substances or herbal preparations.</w:t>
            </w:r>
          </w:p>
          <w:p w:rsidR="003C0347" w:rsidRPr="003C0347" w:rsidRDefault="003C0347" w:rsidP="00F07885">
            <w:pPr>
              <w:keepNext w:val="0"/>
              <w:rPr>
                <w:rFonts w:ascii="Arial" w:hAnsi="Arial" w:cs="Arial"/>
                <w:b/>
                <w:color w:val="006DA7"/>
              </w:rPr>
            </w:pPr>
            <w:r w:rsidRPr="003C0347">
              <w:rPr>
                <w:rFonts w:ascii="Arial" w:hAnsi="Arial" w:cs="Arial"/>
                <w:b/>
                <w:color w:val="006DA7"/>
              </w:rPr>
              <w:t>Table illustrating the application of Good Practices to the manufactur</w:t>
            </w:r>
            <w:r>
              <w:rPr>
                <w:rFonts w:ascii="Arial" w:hAnsi="Arial" w:cs="Arial"/>
                <w:b/>
                <w:color w:val="006DA7"/>
              </w:rPr>
              <w:t>e of herbal medicinal products</w:t>
            </w:r>
            <w:r>
              <w:rPr>
                <w:rStyle w:val="FootnoteReference"/>
                <w:rFonts w:ascii="Arial" w:hAnsi="Arial" w:cs="Arial"/>
                <w:b/>
                <w:color w:val="006DA7"/>
              </w:rPr>
              <w:footnoteReference w:id="5"/>
            </w:r>
          </w:p>
          <w:p w:rsidR="003C0347" w:rsidRPr="003C0347" w:rsidRDefault="003C0347" w:rsidP="00F07885">
            <w:pPr>
              <w:keepNext w:val="0"/>
              <w:rPr>
                <w:rFonts w:ascii="Arial" w:hAnsi="Arial" w:cs="Arial"/>
                <w:b/>
                <w:color w:val="006DA7"/>
              </w:rPr>
            </w:pPr>
            <w:r w:rsidRPr="003C0347">
              <w:rPr>
                <w:rFonts w:ascii="Arial" w:hAnsi="Arial" w:cs="Arial"/>
                <w:b/>
                <w:color w:val="006DA7"/>
              </w:rPr>
              <w:t xml:space="preserve">Explanatory Notes </w:t>
            </w:r>
          </w:p>
          <w:p w:rsidR="003C0347" w:rsidRPr="003C0347" w:rsidRDefault="003C0347" w:rsidP="00F07885">
            <w:pPr>
              <w:keepNext w:val="0"/>
              <w:rPr>
                <w:rFonts w:ascii="Arial" w:hAnsi="Arial" w:cs="Arial"/>
                <w:color w:val="006DA7"/>
              </w:rPr>
            </w:pPr>
            <w:r w:rsidRPr="00A84C50">
              <w:rPr>
                <w:rFonts w:ascii="Arial" w:hAnsi="Arial" w:cs="Arial"/>
                <w:color w:val="006DA7"/>
                <w:vertAlign w:val="superscript"/>
              </w:rPr>
              <w:t>†</w:t>
            </w:r>
            <w:r w:rsidRPr="003C0347">
              <w:rPr>
                <w:rFonts w:ascii="Arial" w:hAnsi="Arial" w:cs="Arial"/>
                <w:color w:val="006DA7"/>
              </w:rPr>
              <w:t>..The GMP classification of the herbal material is dependent upon the use made of it by the manufacturing authorisation holder. The material may be classified as an active substance, an intermediate or a finished product. It is the responsibility of the manufacturer of the medicinal product to ensure that the appropriate GMP classification is applied.</w:t>
            </w:r>
          </w:p>
          <w:p w:rsidR="003C0347" w:rsidRPr="003C0347" w:rsidRDefault="003C0347" w:rsidP="00F07885">
            <w:pPr>
              <w:keepNext w:val="0"/>
              <w:rPr>
                <w:rFonts w:ascii="Arial" w:hAnsi="Arial" w:cs="Arial"/>
                <w:color w:val="006DA7"/>
              </w:rPr>
            </w:pPr>
            <w:proofErr w:type="gramStart"/>
            <w:r w:rsidRPr="003C0347">
              <w:rPr>
                <w:rFonts w:ascii="Arial" w:hAnsi="Arial" w:cs="Arial"/>
                <w:color w:val="006DA7"/>
              </w:rPr>
              <w:t>*  Manufacturers</w:t>
            </w:r>
            <w:proofErr w:type="gramEnd"/>
            <w:r w:rsidRPr="003C0347">
              <w:rPr>
                <w:rFonts w:ascii="Arial" w:hAnsi="Arial" w:cs="Arial"/>
                <w:color w:val="006DA7"/>
              </w:rPr>
              <w:t xml:space="preserve"> should ensure that these steps are carried out in accordance with the marketing authorisation / registration. For those initial steps that take place in the field, as justified in the marketing authorisation / registration, the national or international standards of </w:t>
            </w:r>
            <w:r w:rsidRPr="003C0347">
              <w:rPr>
                <w:rFonts w:ascii="Arial" w:hAnsi="Arial" w:cs="Arial"/>
                <w:color w:val="006DA7"/>
              </w:rPr>
              <w:lastRenderedPageBreak/>
              <w:t>Good Agricultural and Collection Practice for starting materials of herbal origin (GACP</w:t>
            </w:r>
            <w:proofErr w:type="gramStart"/>
            <w:r w:rsidRPr="003C0347">
              <w:rPr>
                <w:rFonts w:ascii="Arial" w:hAnsi="Arial" w:cs="Arial"/>
                <w:color w:val="006DA7"/>
              </w:rPr>
              <w:t>)</w:t>
            </w:r>
            <w:r w:rsidRPr="00A84C50">
              <w:rPr>
                <w:rFonts w:ascii="Arial" w:hAnsi="Arial" w:cs="Arial"/>
                <w:color w:val="006DA7"/>
                <w:vertAlign w:val="superscript"/>
              </w:rPr>
              <w:t>#</w:t>
            </w:r>
            <w:proofErr w:type="gramEnd"/>
            <w:r w:rsidRPr="003C0347">
              <w:rPr>
                <w:rFonts w:ascii="Arial" w:hAnsi="Arial" w:cs="Arial"/>
                <w:color w:val="006DA7"/>
              </w:rPr>
              <w:t xml:space="preserve"> are applicable. GMP is applicable to further cutting and drying steps.</w:t>
            </w:r>
          </w:p>
          <w:p w:rsidR="003C0347" w:rsidRPr="00080B59" w:rsidRDefault="003C0347" w:rsidP="00F07885">
            <w:pPr>
              <w:keepNext w:val="0"/>
            </w:pPr>
            <w:r w:rsidRPr="003C0347">
              <w:rPr>
                <w:rFonts w:ascii="Arial" w:hAnsi="Arial" w:cs="Arial"/>
                <w:color w:val="006DA7"/>
              </w:rPr>
              <w:t>*</w:t>
            </w:r>
            <w:proofErr w:type="gramStart"/>
            <w:r w:rsidRPr="003C0347">
              <w:rPr>
                <w:rFonts w:ascii="Arial" w:hAnsi="Arial" w:cs="Arial"/>
                <w:color w:val="006DA7"/>
              </w:rPr>
              <w:t>*  Regarding</w:t>
            </w:r>
            <w:proofErr w:type="gramEnd"/>
            <w:r w:rsidRPr="003C0347">
              <w:rPr>
                <w:rFonts w:ascii="Arial" w:hAnsi="Arial" w:cs="Arial"/>
                <w:color w:val="006DA7"/>
              </w:rPr>
              <w:t xml:space="preserve"> the expression from plants and distillation, if it is necessary for these activities to be an integral part of harvesting to maintain the quality of the product within the approved specifications, it is acceptable that they are performed in the field, provided that the cultivation is in compliance with national or international standards of GACP#. These circumstances should be regarded as exceptional and justified in the relevant marketing authorisation / registration documentation. For activities carried out in the field, appropriate documentation, control, and validation according to the GMP principles should be assured. Regulatory authorities may carry out GMP inspections of these activities in order to assess compliance.</w:t>
            </w:r>
          </w:p>
        </w:tc>
        <w:tc>
          <w:tcPr>
            <w:tcW w:w="5812" w:type="dxa"/>
          </w:tcPr>
          <w:p w:rsidR="003C0347" w:rsidRDefault="00583799" w:rsidP="00F07885">
            <w:pPr>
              <w:keepNext w:val="0"/>
            </w:pPr>
            <w:r w:rsidRPr="00583799">
              <w:lastRenderedPageBreak/>
              <w:t>Because of their often complex and variable nature, and the number and small quantity of defined active ingredients, control of starting materials, storage and processing assume particular importance in the manufacture of herbal medicinal products.</w:t>
            </w:r>
          </w:p>
        </w:tc>
        <w:tc>
          <w:tcPr>
            <w:tcW w:w="1843" w:type="dxa"/>
          </w:tcPr>
          <w:p w:rsidR="003C0347" w:rsidRDefault="00583799" w:rsidP="00F07885">
            <w:pPr>
              <w:keepNext w:val="0"/>
            </w:pPr>
            <w:r w:rsidRPr="00583799">
              <w:t>Addition of explicit statement on starting materials that is not a new requirement, just further elaboration of existing requirements following clauses 5.25 and 5.26 of GMP Chapter 5</w:t>
            </w:r>
          </w:p>
        </w:tc>
        <w:tc>
          <w:tcPr>
            <w:tcW w:w="1531" w:type="dxa"/>
          </w:tcPr>
          <w:p w:rsidR="003C0347" w:rsidRDefault="00583799" w:rsidP="00F07885">
            <w:pPr>
              <w:keepNext w:val="0"/>
            </w:pPr>
            <w:r w:rsidRPr="00583799">
              <w:t>Minor</w:t>
            </w:r>
          </w:p>
        </w:tc>
      </w:tr>
      <w:tr w:rsidR="00583799" w:rsidTr="008450B1">
        <w:trPr>
          <w:cantSplit w:val="0"/>
        </w:trPr>
        <w:tc>
          <w:tcPr>
            <w:tcW w:w="5920" w:type="dxa"/>
          </w:tcPr>
          <w:p w:rsidR="00583799" w:rsidRPr="00583799" w:rsidRDefault="00583799" w:rsidP="00F07885">
            <w:pPr>
              <w:pStyle w:val="Numberbullet0"/>
              <w:keepNext w:val="0"/>
              <w:numPr>
                <w:ilvl w:val="0"/>
                <w:numId w:val="36"/>
              </w:numPr>
            </w:pPr>
            <w:r w:rsidRPr="00094B97">
              <w:rPr>
                <w:rFonts w:ascii="Arial" w:hAnsi="Arial" w:cs="Arial"/>
                <w:color w:val="006DA7"/>
              </w:rPr>
              <w:lastRenderedPageBreak/>
              <w:t>Herbal substances</w:t>
            </w:r>
            <w:r w:rsidRPr="00583799">
              <w:t xml:space="preserve"> should be stored in separate areas.  The storage area should be equipped in such a way as to give protection against the entry of insects or other animals, especially rodents. Effective measures should be taken to prevent the spread of any such animals and micro-organisms brought in with the crude substance, </w:t>
            </w:r>
            <w:r w:rsidRPr="00094B97">
              <w:rPr>
                <w:rFonts w:ascii="Arial" w:hAnsi="Arial" w:cs="Arial"/>
                <w:color w:val="006DA7"/>
              </w:rPr>
              <w:t>to prevent fermentation or mould growth</w:t>
            </w:r>
            <w:r w:rsidRPr="00094B97">
              <w:rPr>
                <w:rFonts w:ascii="Arial" w:hAnsi="Arial" w:cs="Arial"/>
              </w:rPr>
              <w:t xml:space="preserve"> </w:t>
            </w:r>
            <w:r w:rsidRPr="00583799">
              <w:t xml:space="preserve">and to prevent cross-contamination. Different enclosed areas should be used to quarantine incoming herbal </w:t>
            </w:r>
            <w:r w:rsidRPr="00583799">
              <w:lastRenderedPageBreak/>
              <w:t>substances and for the approved herbal substances.</w:t>
            </w:r>
          </w:p>
          <w:p w:rsidR="00583799" w:rsidRDefault="00583799" w:rsidP="00F07885">
            <w:pPr>
              <w:pStyle w:val="Numberbullet0"/>
              <w:keepNext w:val="0"/>
            </w:pPr>
            <w:r>
              <w:t xml:space="preserve">The storage area should be well </w:t>
            </w:r>
            <w:r w:rsidRPr="00094B97">
              <w:rPr>
                <w:rFonts w:ascii="Arial" w:hAnsi="Arial" w:cs="Arial"/>
                <w:color w:val="006DA7"/>
              </w:rPr>
              <w:t>aerated</w:t>
            </w:r>
            <w:r>
              <w:t xml:space="preserve"> and the containers should be located in such a way as to allow free circulation of air.</w:t>
            </w:r>
          </w:p>
          <w:p w:rsidR="00583799" w:rsidRDefault="00583799" w:rsidP="00F07885">
            <w:pPr>
              <w:pStyle w:val="Numberbullet0"/>
              <w:keepNext w:val="0"/>
            </w:pPr>
            <w:r>
              <w:t>Special attention should be paid to the cleanliness and good maintenance of the storage areas particularly when dust is generated.</w:t>
            </w:r>
          </w:p>
          <w:p w:rsidR="00583799" w:rsidRPr="003C0347" w:rsidRDefault="00583799" w:rsidP="00F07885">
            <w:pPr>
              <w:pStyle w:val="Numberbullet0"/>
              <w:keepNext w:val="0"/>
            </w:pPr>
            <w:r>
              <w:t xml:space="preserve">Storage of </w:t>
            </w:r>
            <w:r w:rsidRPr="00094B97">
              <w:rPr>
                <w:rFonts w:ascii="Arial" w:hAnsi="Arial" w:cs="Arial"/>
                <w:color w:val="006DA7"/>
              </w:rPr>
              <w:t>herbal substances and herbal preparations</w:t>
            </w:r>
            <w:r w:rsidRPr="00094B97">
              <w:rPr>
                <w:rFonts w:ascii="Arial" w:hAnsi="Arial" w:cs="Arial"/>
              </w:rPr>
              <w:t xml:space="preserve"> </w:t>
            </w:r>
            <w:r>
              <w:t>may require special conditions of humidity, temperature or light protection; these conditions should be provided and monitored.</w:t>
            </w:r>
          </w:p>
        </w:tc>
        <w:tc>
          <w:tcPr>
            <w:tcW w:w="5812" w:type="dxa"/>
          </w:tcPr>
          <w:p w:rsidR="00094B97" w:rsidRPr="00094B97" w:rsidRDefault="00094B97" w:rsidP="00F07885">
            <w:pPr>
              <w:pStyle w:val="Numberbullet0"/>
              <w:keepNext w:val="0"/>
              <w:numPr>
                <w:ilvl w:val="0"/>
                <w:numId w:val="37"/>
              </w:numPr>
            </w:pPr>
            <w:r w:rsidRPr="00094B97">
              <w:lastRenderedPageBreak/>
              <w:t>Crude (i.e. unprocessed) plants should be stored in separate areas. The storage area should be well ventilated and be equipped in such a way as to give protection against the entry of insects or other animals, especially rodents. Effective measures should be taken to prevent the spread of any such animals and microorganisms brought in with the crude plant and to prevent cross-contamination. Containers should be located in such a way as to allow free air circulation.</w:t>
            </w:r>
          </w:p>
          <w:p w:rsidR="00094B97" w:rsidRDefault="00094B97" w:rsidP="00F07885">
            <w:pPr>
              <w:pStyle w:val="Numberbullet0"/>
              <w:keepNext w:val="0"/>
            </w:pPr>
            <w:r>
              <w:lastRenderedPageBreak/>
              <w:t>Special attention should be paid to the cleanliness and good maintenance of the storage areas particularly when dust is generated.</w:t>
            </w:r>
          </w:p>
          <w:p w:rsidR="00583799" w:rsidRPr="00583799" w:rsidRDefault="00094B97" w:rsidP="00F07885">
            <w:pPr>
              <w:pStyle w:val="Numberbullet0"/>
              <w:keepNext w:val="0"/>
            </w:pPr>
            <w:r>
              <w:t>Storage of plants, extracts, tinctures and other preparations may require special conditions of humidity, temperature or light protection; these conditions should be provided and monitored.</w:t>
            </w:r>
          </w:p>
        </w:tc>
        <w:tc>
          <w:tcPr>
            <w:tcW w:w="1843" w:type="dxa"/>
          </w:tcPr>
          <w:p w:rsidR="00583799" w:rsidRPr="00583799" w:rsidRDefault="005F76F6" w:rsidP="00F07885">
            <w:pPr>
              <w:keepNext w:val="0"/>
            </w:pPr>
            <w:r w:rsidRPr="005F76F6">
              <w:lastRenderedPageBreak/>
              <w:t xml:space="preserve">Minor amendments in terminology and specific naming of fermentation and moulds. This was previously supposed to be one aspect of the </w:t>
            </w:r>
            <w:r w:rsidRPr="005F76F6">
              <w:lastRenderedPageBreak/>
              <w:t>term “micro-organism”, but this led to occasional confusion</w:t>
            </w:r>
          </w:p>
        </w:tc>
        <w:tc>
          <w:tcPr>
            <w:tcW w:w="1531" w:type="dxa"/>
          </w:tcPr>
          <w:p w:rsidR="00583799" w:rsidRPr="00583799" w:rsidRDefault="005F76F6" w:rsidP="00F07885">
            <w:pPr>
              <w:keepNext w:val="0"/>
            </w:pPr>
            <w:r w:rsidRPr="005F76F6">
              <w:lastRenderedPageBreak/>
              <w:t>Minor</w:t>
            </w:r>
          </w:p>
        </w:tc>
      </w:tr>
      <w:tr w:rsidR="005F76F6" w:rsidTr="008450B1">
        <w:trPr>
          <w:cantSplit w:val="0"/>
        </w:trPr>
        <w:tc>
          <w:tcPr>
            <w:tcW w:w="5920" w:type="dxa"/>
          </w:tcPr>
          <w:p w:rsidR="005F76F6" w:rsidRPr="00094B97" w:rsidRDefault="005F76F6" w:rsidP="00F07885">
            <w:pPr>
              <w:keepNext w:val="0"/>
            </w:pPr>
            <w:r w:rsidRPr="005F76F6">
              <w:lastRenderedPageBreak/>
              <w:t>5. Specific provisions should be made during sampling, weighing, mixing and processing operations of herbal substances and herbal preparations whenever dust is generated, to facilitate cleaning and to avoid cross-contamination, as for example, dust extraction, dedicated premises, etc.</w:t>
            </w:r>
          </w:p>
        </w:tc>
        <w:tc>
          <w:tcPr>
            <w:tcW w:w="5812" w:type="dxa"/>
          </w:tcPr>
          <w:p w:rsidR="005F76F6" w:rsidRPr="00094B97" w:rsidRDefault="005F76F6" w:rsidP="00F07885">
            <w:pPr>
              <w:keepNext w:val="0"/>
            </w:pPr>
            <w:r w:rsidRPr="005F76F6">
              <w:t>4. Specific provisions should be taken during sampling, weighing, mixing and processing operations of crude plants whenever dust is generated, to facilitate cleaning and to avoid cross-contamination, as for example, dust extraction, dedicated premises, etc.</w:t>
            </w:r>
          </w:p>
        </w:tc>
        <w:tc>
          <w:tcPr>
            <w:tcW w:w="1843" w:type="dxa"/>
          </w:tcPr>
          <w:p w:rsidR="005F76F6" w:rsidRPr="005F76F6" w:rsidRDefault="005F76F6" w:rsidP="00F07885">
            <w:pPr>
              <w:keepNext w:val="0"/>
            </w:pPr>
            <w:r w:rsidRPr="005F76F6">
              <w:t>No change</w:t>
            </w:r>
          </w:p>
        </w:tc>
        <w:tc>
          <w:tcPr>
            <w:tcW w:w="1531" w:type="dxa"/>
          </w:tcPr>
          <w:p w:rsidR="005F76F6" w:rsidRPr="005F76F6" w:rsidRDefault="005F76F6" w:rsidP="00F07885">
            <w:pPr>
              <w:keepNext w:val="0"/>
            </w:pPr>
            <w:r w:rsidRPr="005F76F6">
              <w:t>Nil</w:t>
            </w:r>
          </w:p>
        </w:tc>
      </w:tr>
      <w:tr w:rsidR="005F76F6" w:rsidTr="008450B1">
        <w:trPr>
          <w:cantSplit w:val="0"/>
        </w:trPr>
        <w:tc>
          <w:tcPr>
            <w:tcW w:w="5920" w:type="dxa"/>
          </w:tcPr>
          <w:p w:rsidR="005F76F6" w:rsidRPr="005F76F6" w:rsidRDefault="005F76F6" w:rsidP="00F07885">
            <w:pPr>
              <w:keepNext w:val="0"/>
              <w:rPr>
                <w:rFonts w:ascii="Arial" w:hAnsi="Arial" w:cs="Arial"/>
                <w:color w:val="006DA7"/>
              </w:rPr>
            </w:pPr>
            <w:r w:rsidRPr="005F76F6">
              <w:rPr>
                <w:rFonts w:ascii="Arial" w:hAnsi="Arial" w:cs="Arial"/>
                <w:color w:val="006DA7"/>
              </w:rPr>
              <w:t>6 The equipment, filtering materials etc. used in the manufacturing process must be compatible with the extraction solvent, in order to prevent any release or undesirable absorption of substance that could affect the product.</w:t>
            </w:r>
          </w:p>
        </w:tc>
        <w:tc>
          <w:tcPr>
            <w:tcW w:w="5812" w:type="dxa"/>
          </w:tcPr>
          <w:p w:rsidR="005F76F6" w:rsidRPr="005F76F6" w:rsidRDefault="005F76F6" w:rsidP="00F07885">
            <w:pPr>
              <w:keepNext w:val="0"/>
              <w:rPr>
                <w:i/>
              </w:rPr>
            </w:pPr>
            <w:r w:rsidRPr="005F76F6">
              <w:rPr>
                <w:i/>
              </w:rPr>
              <w:t>No equivalent clause in PE 009-8</w:t>
            </w:r>
          </w:p>
        </w:tc>
        <w:tc>
          <w:tcPr>
            <w:tcW w:w="1843" w:type="dxa"/>
          </w:tcPr>
          <w:p w:rsidR="005F76F6" w:rsidRPr="005F76F6" w:rsidRDefault="005F76F6" w:rsidP="00F07885">
            <w:pPr>
              <w:keepNext w:val="0"/>
            </w:pPr>
            <w:r w:rsidRPr="005F76F6">
              <w:t xml:space="preserve">New clause, yet only a further elaboration of existing requirements under clause 3.39 of GMP </w:t>
            </w:r>
            <w:r w:rsidRPr="005F76F6">
              <w:lastRenderedPageBreak/>
              <w:t>Chapter 3</w:t>
            </w:r>
          </w:p>
        </w:tc>
        <w:tc>
          <w:tcPr>
            <w:tcW w:w="1531" w:type="dxa"/>
          </w:tcPr>
          <w:p w:rsidR="005F76F6" w:rsidRPr="005F76F6" w:rsidRDefault="005F76F6" w:rsidP="00F07885">
            <w:pPr>
              <w:keepNext w:val="0"/>
            </w:pPr>
            <w:r w:rsidRPr="005F76F6">
              <w:lastRenderedPageBreak/>
              <w:t>Nil</w:t>
            </w:r>
          </w:p>
        </w:tc>
      </w:tr>
      <w:tr w:rsidR="005F76F6" w:rsidTr="008450B1">
        <w:trPr>
          <w:cantSplit w:val="0"/>
        </w:trPr>
        <w:tc>
          <w:tcPr>
            <w:tcW w:w="5920" w:type="dxa"/>
          </w:tcPr>
          <w:p w:rsidR="005F76F6" w:rsidRPr="005F76F6" w:rsidRDefault="005F76F6" w:rsidP="00F07885">
            <w:pPr>
              <w:keepNext w:val="0"/>
              <w:rPr>
                <w:rFonts w:ascii="Arial" w:hAnsi="Arial" w:cs="Arial"/>
                <w:color w:val="006DA7"/>
              </w:rPr>
            </w:pPr>
            <w:r w:rsidRPr="005F76F6">
              <w:rPr>
                <w:rFonts w:ascii="Arial" w:hAnsi="Arial" w:cs="Arial"/>
                <w:color w:val="006DA7"/>
              </w:rPr>
              <w:lastRenderedPageBreak/>
              <w:t xml:space="preserve">7. Herbal medicinal product manufacturers must ensure that they use only herbal starting materials manufactured in accordance with GMP and the Marketing Authorisation dossier. Comprehensive documentation on audits of the herbal starting material suppliers carried out by, or on behalf of the herbal medicinal product manufacturer should be made available. Audit trails for the active substance are fundamental to the quality of the starting material. The manufacturer should verify, where appropriate, whether the suppliers of the herbal substance / preparation are in compliance with Good Agricultural and Collection </w:t>
            </w:r>
            <w:proofErr w:type="gramStart"/>
            <w:r w:rsidRPr="005F76F6">
              <w:rPr>
                <w:rFonts w:ascii="Arial" w:hAnsi="Arial" w:cs="Arial"/>
                <w:color w:val="006DA7"/>
              </w:rPr>
              <w:t>Practice  and</w:t>
            </w:r>
            <w:proofErr w:type="gramEnd"/>
            <w:r w:rsidRPr="005F76F6">
              <w:rPr>
                <w:rFonts w:ascii="Arial" w:hAnsi="Arial" w:cs="Arial"/>
                <w:color w:val="006DA7"/>
              </w:rPr>
              <w:t xml:space="preserve"> – if not – apply appropriate controls in line with Quality Risk Management (QRM). </w:t>
            </w:r>
          </w:p>
          <w:p w:rsidR="005F76F6" w:rsidRPr="005F76F6" w:rsidRDefault="005F76F6" w:rsidP="00F07885">
            <w:pPr>
              <w:keepNext w:val="0"/>
            </w:pPr>
            <w:r w:rsidRPr="005F76F6">
              <w:t>8. To fulfil the specification requirements described in the basic requirements of the Guide (Chapter 4), documentation for herbal substances / preparations should include:</w:t>
            </w:r>
          </w:p>
          <w:p w:rsidR="005F76F6" w:rsidRPr="005F76F6" w:rsidRDefault="005F76F6" w:rsidP="00F07885">
            <w:pPr>
              <w:pStyle w:val="ListBullet2"/>
              <w:keepNext w:val="0"/>
            </w:pPr>
            <w:r w:rsidRPr="005F76F6">
              <w:t>the binomial scientific name of plant (genus, species, subspecies / variety and author (e.g. Linnaeus);</w:t>
            </w:r>
            <w:r w:rsidRPr="005F76F6">
              <w:rPr>
                <w:rFonts w:ascii="Arial" w:hAnsi="Arial" w:cs="Arial"/>
                <w:color w:val="006DA7"/>
              </w:rPr>
              <w:t xml:space="preserve"> other relevant information such as the cultivar name and the </w:t>
            </w:r>
            <w:proofErr w:type="spellStart"/>
            <w:r w:rsidRPr="005F76F6">
              <w:rPr>
                <w:rFonts w:ascii="Arial" w:hAnsi="Arial" w:cs="Arial"/>
                <w:color w:val="006DA7"/>
              </w:rPr>
              <w:t>chemotype</w:t>
            </w:r>
            <w:proofErr w:type="spellEnd"/>
            <w:r w:rsidRPr="005F76F6">
              <w:rPr>
                <w:rFonts w:ascii="Arial" w:hAnsi="Arial" w:cs="Arial"/>
                <w:color w:val="006DA7"/>
              </w:rPr>
              <w:t xml:space="preserve"> should also be provided, as appropriate;</w:t>
            </w:r>
          </w:p>
          <w:p w:rsidR="005F76F6" w:rsidRPr="005F76F6" w:rsidRDefault="005F76F6" w:rsidP="00F07885">
            <w:pPr>
              <w:pStyle w:val="ListBullet2"/>
              <w:keepNext w:val="0"/>
            </w:pPr>
            <w:proofErr w:type="gramStart"/>
            <w:r w:rsidRPr="005F76F6">
              <w:t>details</w:t>
            </w:r>
            <w:proofErr w:type="gramEnd"/>
            <w:r w:rsidRPr="005F76F6">
              <w:t xml:space="preserve"> of the source of the plant (country or region of origin and where applicable, cultivation, time of harvesting, collection procedures, possible pesticides </w:t>
            </w:r>
            <w:r w:rsidRPr="005F76F6">
              <w:lastRenderedPageBreak/>
              <w:t>used, possible radioactive contamination, etc.);</w:t>
            </w:r>
          </w:p>
          <w:p w:rsidR="005F76F6" w:rsidRPr="005F76F6" w:rsidRDefault="005F76F6" w:rsidP="00F07885">
            <w:pPr>
              <w:pStyle w:val="ListBullet2"/>
              <w:keepNext w:val="0"/>
            </w:pPr>
            <w:r w:rsidRPr="005F76F6">
              <w:t>which part(s) of the plant is/are used;</w:t>
            </w:r>
          </w:p>
          <w:p w:rsidR="005F76F6" w:rsidRPr="005F76F6" w:rsidRDefault="005F76F6" w:rsidP="00F07885">
            <w:pPr>
              <w:pStyle w:val="ListBullet2"/>
              <w:keepNext w:val="0"/>
            </w:pPr>
            <w:r w:rsidRPr="005F76F6">
              <w:t>when a dried plant is used, the drying system should be specified;</w:t>
            </w:r>
          </w:p>
          <w:p w:rsidR="005F76F6" w:rsidRPr="005F76F6" w:rsidRDefault="005F76F6" w:rsidP="00F07885">
            <w:pPr>
              <w:pStyle w:val="ListBullet2"/>
              <w:keepNext w:val="0"/>
            </w:pPr>
            <w:r w:rsidRPr="005F76F6">
              <w:t>a description of the herbal substance and its macro and microscopic examination;</w:t>
            </w:r>
          </w:p>
          <w:p w:rsidR="005F76F6" w:rsidRPr="005F76F6" w:rsidRDefault="005F76F6" w:rsidP="00F07885">
            <w:pPr>
              <w:pStyle w:val="ListBullet2"/>
              <w:keepNext w:val="0"/>
            </w:pPr>
            <w:proofErr w:type="gramStart"/>
            <w:r w:rsidRPr="005F76F6">
              <w:t>suitable</w:t>
            </w:r>
            <w:proofErr w:type="gramEnd"/>
            <w:r w:rsidRPr="005F76F6">
              <w:t xml:space="preserve"> identification tests including, where appropriate, identification tests for constituents with known therapeutic activity, or markers.</w:t>
            </w:r>
            <w:r w:rsidRPr="005F76F6">
              <w:rPr>
                <w:rFonts w:ascii="Arial" w:hAnsi="Arial" w:cs="Arial"/>
                <w:color w:val="006DA7"/>
              </w:rPr>
              <w:t xml:space="preserve"> Specific distinctive tests are required where an herbal substance is liable to be adulterated / substituted.</w:t>
            </w:r>
            <w:r w:rsidRPr="005F76F6">
              <w:t xml:space="preserve"> A reference authentic specimen should be available for identification purposes;</w:t>
            </w:r>
          </w:p>
          <w:p w:rsidR="005F76F6" w:rsidRPr="005F76F6" w:rsidRDefault="005F76F6" w:rsidP="00F07885">
            <w:pPr>
              <w:pStyle w:val="ListBullet2"/>
              <w:keepNext w:val="0"/>
            </w:pPr>
            <w:r w:rsidRPr="005F76F6">
              <w:t>the water content for herbal substances, determined in accordance with the relevant Pharmacopoeia;</w:t>
            </w:r>
          </w:p>
          <w:p w:rsidR="005F76F6" w:rsidRPr="005F76F6" w:rsidRDefault="005F76F6" w:rsidP="00F07885">
            <w:pPr>
              <w:pStyle w:val="ListBullet2"/>
              <w:keepNext w:val="0"/>
            </w:pPr>
            <w:r w:rsidRPr="005F76F6">
              <w:t xml:space="preserve">assay of constituents of known therapeutic activity or, where appropriate, of markers; </w:t>
            </w:r>
            <w:r w:rsidRPr="005F76F6">
              <w:rPr>
                <w:rFonts w:ascii="Arial" w:hAnsi="Arial" w:cs="Arial"/>
                <w:color w:val="006DA7"/>
              </w:rPr>
              <w:t>the methods suitable to determine possible pesticide contamination and limits accepted in accordance with relevant Pharmacopoeia methods or, in absence of thereof, with an appropriate validated method, unless otherwise justified;</w:t>
            </w:r>
          </w:p>
          <w:p w:rsidR="005F76F6" w:rsidRPr="005F76F6" w:rsidRDefault="005F76F6" w:rsidP="00F07885">
            <w:pPr>
              <w:pStyle w:val="ListBullet2"/>
              <w:keepNext w:val="0"/>
            </w:pPr>
            <w:r w:rsidRPr="005F76F6">
              <w:t xml:space="preserve">tests to determine fungal and/or microbial contamination, including aflatoxins, other </w:t>
            </w:r>
            <w:proofErr w:type="spellStart"/>
            <w:r w:rsidRPr="005F76F6">
              <w:t>mycotoxins</w:t>
            </w:r>
            <w:proofErr w:type="spellEnd"/>
            <w:r w:rsidRPr="005F76F6">
              <w:t xml:space="preserve">,  pest-infestations and limits accepted, as </w:t>
            </w:r>
            <w:r w:rsidRPr="005F76F6">
              <w:lastRenderedPageBreak/>
              <w:t>appropriate;</w:t>
            </w:r>
          </w:p>
          <w:p w:rsidR="005F76F6" w:rsidRPr="005F76F6" w:rsidRDefault="005F76F6" w:rsidP="00F07885">
            <w:pPr>
              <w:pStyle w:val="ListBullet2"/>
              <w:keepNext w:val="0"/>
            </w:pPr>
            <w:r w:rsidRPr="005F76F6">
              <w:t>tests for toxic metals and for likely contaminants and adulterants, as appropriate;</w:t>
            </w:r>
          </w:p>
          <w:p w:rsidR="005F76F6" w:rsidRPr="005F76F6" w:rsidRDefault="005F76F6" w:rsidP="00F07885">
            <w:pPr>
              <w:pStyle w:val="ListBullet2"/>
              <w:keepNext w:val="0"/>
            </w:pPr>
            <w:r w:rsidRPr="005F76F6">
              <w:t>tests for foreign materials, as appropriate;</w:t>
            </w:r>
          </w:p>
          <w:p w:rsidR="005F76F6" w:rsidRPr="005F76F6" w:rsidRDefault="005F76F6" w:rsidP="00F07885">
            <w:pPr>
              <w:pStyle w:val="ListBullet2"/>
              <w:keepNext w:val="0"/>
              <w:rPr>
                <w:rFonts w:ascii="Arial" w:hAnsi="Arial" w:cs="Arial"/>
                <w:color w:val="006DA7"/>
              </w:rPr>
            </w:pPr>
            <w:proofErr w:type="gramStart"/>
            <w:r w:rsidRPr="005F76F6">
              <w:rPr>
                <w:rFonts w:ascii="Arial" w:hAnsi="Arial" w:cs="Arial"/>
                <w:color w:val="006DA7"/>
              </w:rPr>
              <w:t>any</w:t>
            </w:r>
            <w:proofErr w:type="gramEnd"/>
            <w:r w:rsidRPr="005F76F6">
              <w:rPr>
                <w:rFonts w:ascii="Arial" w:hAnsi="Arial" w:cs="Arial"/>
                <w:color w:val="006DA7"/>
              </w:rPr>
              <w:t xml:space="preserve"> other additional test according to the relevant Pharmacopoeia general monograph on herbal substances or to the specific monograph of the herbal substance, as appropriate.</w:t>
            </w:r>
          </w:p>
          <w:p w:rsidR="005F76F6" w:rsidRPr="005F76F6" w:rsidRDefault="005F76F6" w:rsidP="00F07885">
            <w:pPr>
              <w:keepNext w:val="0"/>
            </w:pPr>
            <w:r w:rsidRPr="005F76F6">
              <w:t>Any treatment used to reduce fungal/microbial contamination or other infestation should be documented. Specifications and procedures should be available and should include details of process, tests and limits for residues.</w:t>
            </w:r>
          </w:p>
        </w:tc>
        <w:tc>
          <w:tcPr>
            <w:tcW w:w="5812" w:type="dxa"/>
          </w:tcPr>
          <w:p w:rsidR="006C0223" w:rsidRPr="006C0223" w:rsidRDefault="006C0223" w:rsidP="00F07885">
            <w:pPr>
              <w:keepNext w:val="0"/>
            </w:pPr>
            <w:r w:rsidRPr="006C0223">
              <w:lastRenderedPageBreak/>
              <w:t>5. Apart from the data described in general Guide to GMP (chapter 4, point 4.11), specifications for medicinal crude plants should include, as far as possible:</w:t>
            </w:r>
          </w:p>
          <w:p w:rsidR="006C0223" w:rsidRPr="006C0223" w:rsidRDefault="006C0223" w:rsidP="00F07885">
            <w:pPr>
              <w:pStyle w:val="ListBullet2"/>
              <w:keepNext w:val="0"/>
            </w:pPr>
            <w:r w:rsidRPr="006C0223">
              <w:t>botanical name (with, if appropriate, the name of the originator of the classification, e.g. Linnaeus);</w:t>
            </w:r>
          </w:p>
          <w:p w:rsidR="006C0223" w:rsidRPr="006C0223" w:rsidRDefault="006C0223" w:rsidP="00F07885">
            <w:pPr>
              <w:pStyle w:val="ListBullet2"/>
              <w:keepNext w:val="0"/>
            </w:pPr>
            <w:proofErr w:type="gramStart"/>
            <w:r w:rsidRPr="006C0223">
              <w:t>details</w:t>
            </w:r>
            <w:proofErr w:type="gramEnd"/>
            <w:r w:rsidRPr="006C0223">
              <w:t xml:space="preserve"> of the source of the plant (country or region of origin and where applicable, cultivation, time of harvesting, collection procedure, possible pesticides used, etc.);</w:t>
            </w:r>
          </w:p>
          <w:p w:rsidR="006C0223" w:rsidRPr="006C0223" w:rsidRDefault="006C0223" w:rsidP="00F07885">
            <w:pPr>
              <w:pStyle w:val="ListBullet2"/>
              <w:keepNext w:val="0"/>
            </w:pPr>
            <w:r w:rsidRPr="006C0223">
              <w:t>whether the whole plant or only a part is used;</w:t>
            </w:r>
          </w:p>
          <w:p w:rsidR="006C0223" w:rsidRPr="006C0223" w:rsidRDefault="006C0223" w:rsidP="00F07885">
            <w:pPr>
              <w:pStyle w:val="ListBullet2"/>
              <w:keepNext w:val="0"/>
            </w:pPr>
            <w:r w:rsidRPr="006C0223">
              <w:t>when a dried plant is purchased, the drying system should be specified;</w:t>
            </w:r>
          </w:p>
          <w:p w:rsidR="006C0223" w:rsidRPr="006C0223" w:rsidRDefault="006C0223" w:rsidP="00F07885">
            <w:pPr>
              <w:pStyle w:val="ListBullet2"/>
              <w:keepNext w:val="0"/>
            </w:pPr>
            <w:r w:rsidRPr="006C0223">
              <w:t xml:space="preserve">plant description, macro and/or </w:t>
            </w:r>
            <w:proofErr w:type="spellStart"/>
            <w:r w:rsidRPr="006C0223">
              <w:t>microscopical</w:t>
            </w:r>
            <w:proofErr w:type="spellEnd"/>
            <w:r w:rsidRPr="006C0223">
              <w:t xml:space="preserve"> examination;</w:t>
            </w:r>
          </w:p>
          <w:p w:rsidR="006C0223" w:rsidRPr="006C0223" w:rsidRDefault="006C0223" w:rsidP="00F07885">
            <w:pPr>
              <w:pStyle w:val="ListBullet2"/>
              <w:keepNext w:val="0"/>
            </w:pPr>
            <w:proofErr w:type="gramStart"/>
            <w:r w:rsidRPr="006C0223">
              <w:t>suitable</w:t>
            </w:r>
            <w:proofErr w:type="gramEnd"/>
            <w:r w:rsidRPr="006C0223">
              <w:t xml:space="preserve"> identification tests including, where appropriate, identification tests for known active ingredients, or markers. A reference authentic specimen should be available for identification purposes;</w:t>
            </w:r>
          </w:p>
          <w:p w:rsidR="006C0223" w:rsidRPr="006C0223" w:rsidRDefault="006C0223" w:rsidP="00F07885">
            <w:pPr>
              <w:pStyle w:val="ListBullet2"/>
              <w:keepNext w:val="0"/>
            </w:pPr>
            <w:r w:rsidRPr="006C0223">
              <w:t>assay, where appropriate, of constituents of known therapeutic activity or of markers;</w:t>
            </w:r>
          </w:p>
          <w:p w:rsidR="006C0223" w:rsidRPr="006C0223" w:rsidRDefault="006C0223" w:rsidP="00F07885">
            <w:pPr>
              <w:pStyle w:val="ListBullet2"/>
              <w:keepNext w:val="0"/>
            </w:pPr>
            <w:r w:rsidRPr="006C0223">
              <w:lastRenderedPageBreak/>
              <w:t>methods suitable to determine possible pesticide contamination and limits accepted;</w:t>
            </w:r>
          </w:p>
          <w:p w:rsidR="006C0223" w:rsidRPr="006C0223" w:rsidRDefault="006C0223" w:rsidP="00F07885">
            <w:pPr>
              <w:pStyle w:val="ListBullet2"/>
              <w:keepNext w:val="0"/>
            </w:pPr>
            <w:r w:rsidRPr="006C0223">
              <w:t>tests to determine fungal and/or microbial contamination, including aflatoxins and pest-infestations, and limits accepted;</w:t>
            </w:r>
          </w:p>
          <w:p w:rsidR="006C0223" w:rsidRPr="006C0223" w:rsidRDefault="006C0223" w:rsidP="00F07885">
            <w:pPr>
              <w:pStyle w:val="ListBullet2"/>
              <w:keepNext w:val="0"/>
            </w:pPr>
            <w:r w:rsidRPr="006C0223">
              <w:t>tests for toxic metals and for likely contaminants and adulterants;</w:t>
            </w:r>
          </w:p>
          <w:p w:rsidR="006C0223" w:rsidRPr="006C0223" w:rsidRDefault="006C0223" w:rsidP="00F07885">
            <w:pPr>
              <w:pStyle w:val="ListBullet2"/>
              <w:keepNext w:val="0"/>
            </w:pPr>
            <w:proofErr w:type="gramStart"/>
            <w:r w:rsidRPr="006C0223">
              <w:t>tests</w:t>
            </w:r>
            <w:proofErr w:type="gramEnd"/>
            <w:r w:rsidRPr="006C0223">
              <w:t xml:space="preserve"> for foreign materials.</w:t>
            </w:r>
          </w:p>
          <w:p w:rsidR="005F76F6" w:rsidRPr="005F76F6" w:rsidRDefault="006C0223" w:rsidP="00F07885">
            <w:pPr>
              <w:keepNext w:val="0"/>
            </w:pPr>
            <w:r w:rsidRPr="006C0223">
              <w:t>Any treatment used to reduce fungal/microbial contamination or other infestation should be documented. Specifications for such procedures should be available and should include details of process, tests and limits for residues.</w:t>
            </w:r>
          </w:p>
        </w:tc>
        <w:tc>
          <w:tcPr>
            <w:tcW w:w="1843" w:type="dxa"/>
          </w:tcPr>
          <w:p w:rsidR="0026566A" w:rsidRDefault="0026566A" w:rsidP="00F07885">
            <w:pPr>
              <w:keepNext w:val="0"/>
            </w:pPr>
            <w:r>
              <w:lastRenderedPageBreak/>
              <w:t xml:space="preserve">New clause 7 is a new </w:t>
            </w:r>
            <w:proofErr w:type="gramStart"/>
            <w:r>
              <w:t>requirement,</w:t>
            </w:r>
            <w:proofErr w:type="gramEnd"/>
            <w:r>
              <w:t xml:space="preserve"> however it is only adopting an already existing informal reference document (GACP) more formally as a requirement, but still allowing QRM if this cannot be met.</w:t>
            </w:r>
          </w:p>
          <w:p w:rsidR="005F76F6" w:rsidRPr="005F76F6" w:rsidRDefault="0026566A" w:rsidP="00F07885">
            <w:pPr>
              <w:keepNext w:val="0"/>
            </w:pPr>
            <w:r>
              <w:t xml:space="preserve">Clause 8 now specifically names some additional requirements on specifications that were already applicable from </w:t>
            </w:r>
            <w:r>
              <w:lastRenderedPageBreak/>
              <w:t>other sources</w:t>
            </w:r>
          </w:p>
        </w:tc>
        <w:tc>
          <w:tcPr>
            <w:tcW w:w="1531" w:type="dxa"/>
          </w:tcPr>
          <w:p w:rsidR="005F76F6" w:rsidRPr="005F76F6" w:rsidRDefault="0026566A" w:rsidP="00F07885">
            <w:pPr>
              <w:keepNext w:val="0"/>
            </w:pPr>
            <w:r w:rsidRPr="0026566A">
              <w:lastRenderedPageBreak/>
              <w:t>Minor</w:t>
            </w:r>
          </w:p>
        </w:tc>
      </w:tr>
      <w:tr w:rsidR="004105C6" w:rsidTr="008450B1">
        <w:trPr>
          <w:cantSplit w:val="0"/>
        </w:trPr>
        <w:tc>
          <w:tcPr>
            <w:tcW w:w="5920" w:type="dxa"/>
          </w:tcPr>
          <w:p w:rsidR="004105C6" w:rsidRPr="004105C6" w:rsidRDefault="004105C6" w:rsidP="00F07885">
            <w:pPr>
              <w:keepNext w:val="0"/>
            </w:pPr>
            <w:r w:rsidRPr="004105C6">
              <w:lastRenderedPageBreak/>
              <w:t xml:space="preserve">9. The processing instructions should describe the different operations carried out upon the herbal substance such as </w:t>
            </w:r>
            <w:r w:rsidRPr="004105C6">
              <w:rPr>
                <w:rFonts w:ascii="Arial" w:hAnsi="Arial" w:cs="Arial"/>
                <w:color w:val="006DA7"/>
              </w:rPr>
              <w:t>cleaning</w:t>
            </w:r>
            <w:r w:rsidRPr="004105C6">
              <w:t>, drying, crushing and sifting, and include drying time and temperatures, and methods used to control cut size or particle size.</w:t>
            </w:r>
          </w:p>
          <w:p w:rsidR="004105C6" w:rsidRPr="004105C6" w:rsidRDefault="004105C6" w:rsidP="00F07885">
            <w:pPr>
              <w:keepNext w:val="0"/>
            </w:pPr>
            <w:r w:rsidRPr="004105C6">
              <w:t xml:space="preserve">10. </w:t>
            </w:r>
            <w:r w:rsidRPr="004105C6">
              <w:rPr>
                <w:rFonts w:ascii="Arial" w:hAnsi="Arial" w:cs="Arial"/>
                <w:color w:val="006DA7"/>
              </w:rPr>
              <w:t xml:space="preserve">In particular, there should be written instructions and records, which ensure that each container of herbal substance is carefully examined to detect any adulteration/substitution or presence of foreign matter, such as metal or glass pieces, animal parts or excrement, </w:t>
            </w:r>
            <w:r w:rsidRPr="004105C6">
              <w:rPr>
                <w:rFonts w:ascii="Arial" w:hAnsi="Arial" w:cs="Arial"/>
                <w:color w:val="006DA7"/>
              </w:rPr>
              <w:lastRenderedPageBreak/>
              <w:t>stones, sand, etc., or rot and signs of decay.</w:t>
            </w:r>
          </w:p>
          <w:p w:rsidR="004105C6" w:rsidRPr="004105C6" w:rsidRDefault="004105C6" w:rsidP="00F07885">
            <w:pPr>
              <w:keepNext w:val="0"/>
            </w:pPr>
            <w:r w:rsidRPr="004105C6">
              <w:t xml:space="preserve">11. The processing instructions should also describe security sieving or other methods of removing foreign materials </w:t>
            </w:r>
            <w:r w:rsidRPr="004105C6">
              <w:rPr>
                <w:rFonts w:ascii="Arial" w:hAnsi="Arial" w:cs="Arial"/>
                <w:color w:val="006DA7"/>
              </w:rPr>
              <w:t>and appropriate procedures for cleaning/selection of plant material before the storage of the approved herbal substance or before the start of manufacturing.</w:t>
            </w:r>
          </w:p>
          <w:p w:rsidR="004105C6" w:rsidRPr="005F76F6" w:rsidRDefault="004105C6" w:rsidP="00F07885">
            <w:pPr>
              <w:keepNext w:val="0"/>
            </w:pPr>
            <w:r w:rsidRPr="004105C6">
              <w:t>12. For the production of an herbal preparation, instructions should include details of solvent, time and temperatures of extraction, details of any concentration stages and methods used.</w:t>
            </w:r>
          </w:p>
        </w:tc>
        <w:tc>
          <w:tcPr>
            <w:tcW w:w="5812" w:type="dxa"/>
          </w:tcPr>
          <w:p w:rsidR="00986475" w:rsidRDefault="00986475" w:rsidP="00F07885">
            <w:pPr>
              <w:keepNext w:val="0"/>
            </w:pPr>
            <w:r>
              <w:lastRenderedPageBreak/>
              <w:t>6. The processing instructions should describe the different operations carried out upon the crude plant such as drying, crushing and sifting, and include drying time and temperatures, and methods used to control fragment or particle size. It should also describe security sieving or other methods of removing foreign materials.</w:t>
            </w:r>
          </w:p>
          <w:p w:rsidR="004105C6" w:rsidRPr="006C0223" w:rsidRDefault="00986475" w:rsidP="00F07885">
            <w:pPr>
              <w:keepNext w:val="0"/>
            </w:pPr>
            <w:r>
              <w:t>For the production of a vegetable drug preparation, instructions should include details of base or solvent, time and temperatures of extraction, details of any concentration stages and methods used.</w:t>
            </w:r>
          </w:p>
        </w:tc>
        <w:tc>
          <w:tcPr>
            <w:tcW w:w="1843" w:type="dxa"/>
          </w:tcPr>
          <w:p w:rsidR="004105C6" w:rsidRDefault="00986475" w:rsidP="00F07885">
            <w:pPr>
              <w:keepNext w:val="0"/>
            </w:pPr>
            <w:r w:rsidRPr="00986475">
              <w:t xml:space="preserve">Addition of requirements on cleaning, removal of foreign matter and checking for adulteration, all of which were already broadly required following </w:t>
            </w:r>
            <w:r w:rsidRPr="00986475">
              <w:lastRenderedPageBreak/>
              <w:t>statements in Part I of GMP</w:t>
            </w:r>
          </w:p>
        </w:tc>
        <w:tc>
          <w:tcPr>
            <w:tcW w:w="1531" w:type="dxa"/>
          </w:tcPr>
          <w:p w:rsidR="004105C6" w:rsidRPr="0026566A" w:rsidRDefault="00986475" w:rsidP="00F07885">
            <w:pPr>
              <w:keepNext w:val="0"/>
            </w:pPr>
            <w:r w:rsidRPr="00986475">
              <w:lastRenderedPageBreak/>
              <w:t>Minor</w:t>
            </w:r>
          </w:p>
        </w:tc>
      </w:tr>
      <w:tr w:rsidR="00986475" w:rsidTr="008450B1">
        <w:trPr>
          <w:cantSplit w:val="0"/>
        </w:trPr>
        <w:tc>
          <w:tcPr>
            <w:tcW w:w="5920" w:type="dxa"/>
          </w:tcPr>
          <w:p w:rsidR="00986475" w:rsidRDefault="00986475" w:rsidP="00F07885">
            <w:pPr>
              <w:keepNext w:val="0"/>
            </w:pPr>
            <w:r>
              <w:lastRenderedPageBreak/>
              <w:t>13. Due to the fact that medicinal plant/herbal substances are heterogeneous in nature, their sampling should be carried out with special care by personnel with particular expertise. Each batch should be identified by its own documentation.</w:t>
            </w:r>
          </w:p>
          <w:p w:rsidR="00986475" w:rsidRDefault="00986475" w:rsidP="00F07885">
            <w:pPr>
              <w:keepNext w:val="0"/>
            </w:pPr>
            <w:r>
              <w:t xml:space="preserve">14. </w:t>
            </w:r>
            <w:r w:rsidRPr="00986475">
              <w:rPr>
                <w:rFonts w:ascii="Arial" w:hAnsi="Arial" w:cs="Arial"/>
                <w:color w:val="006DA7"/>
              </w:rPr>
              <w:t>A reference sample of the plant material is necessary, especially in those cases where the herbal substance is not described in the relevant Pharmacopoeia. Samples of unmilled plant material are required if powders are used.</w:t>
            </w:r>
          </w:p>
          <w:p w:rsidR="00986475" w:rsidRDefault="00986475" w:rsidP="00F07885">
            <w:pPr>
              <w:keepNext w:val="0"/>
            </w:pPr>
            <w:r>
              <w:t xml:space="preserve">15. Quality Control personnel should have particular expertise and experience in herbal substances, herbal preparations and/or herbal medicinal products in order to be able to carry out identification tests and recognise </w:t>
            </w:r>
            <w:r>
              <w:lastRenderedPageBreak/>
              <w:t>adulteration, the presence of fungal growth, infestations, non-uniformity within a delivery of crude material, etc.</w:t>
            </w:r>
          </w:p>
          <w:p w:rsidR="00986475" w:rsidRPr="004105C6" w:rsidRDefault="00986475" w:rsidP="00F07885">
            <w:pPr>
              <w:keepNext w:val="0"/>
            </w:pPr>
            <w:r>
              <w:t xml:space="preserve">16. The identity and quality of herbal substances, herbal preparations and herbal medicinal products should be determined in accordance with the relevant current national or international guidance on quality and specifications of herbal medicinal products and traditional herbal medicinal products and, where relevant, to specific </w:t>
            </w:r>
            <w:proofErr w:type="spellStart"/>
            <w:r>
              <w:t>pharmacopoeial</w:t>
            </w:r>
            <w:proofErr w:type="spellEnd"/>
            <w:r>
              <w:t xml:space="preserve"> monographs</w:t>
            </w:r>
          </w:p>
        </w:tc>
        <w:tc>
          <w:tcPr>
            <w:tcW w:w="5812" w:type="dxa"/>
          </w:tcPr>
          <w:p w:rsidR="008817D8" w:rsidRDefault="008817D8" w:rsidP="00F07885">
            <w:pPr>
              <w:keepNext w:val="0"/>
            </w:pPr>
            <w:r>
              <w:lastRenderedPageBreak/>
              <w:t>7 Due to the fact that crude drugs are an aggregate of individual plants and contain an element of heterogeneity, their sampling has to be carried out with special care by personnel with particular expertise. Each batch should be identified by its own documentation.</w:t>
            </w:r>
          </w:p>
          <w:p w:rsidR="008817D8" w:rsidRDefault="008817D8" w:rsidP="00F07885">
            <w:pPr>
              <w:keepNext w:val="0"/>
            </w:pPr>
            <w:r>
              <w:t>8. Quality Control personnel should have particular expertise in herbal medicinal products in order to be able to carry out identification tests and recognise adulteration, the presence of fungal growth, infestations, non-uniformity within a delivery of crude plants, etc.</w:t>
            </w:r>
          </w:p>
          <w:p w:rsidR="008817D8" w:rsidRDefault="008817D8" w:rsidP="00F07885">
            <w:pPr>
              <w:keepNext w:val="0"/>
            </w:pPr>
            <w:r>
              <w:t xml:space="preserve">9. The identity and quality of vegetable drug preparations and of finished product should be tested as described </w:t>
            </w:r>
            <w:r>
              <w:lastRenderedPageBreak/>
              <w:t>below:</w:t>
            </w:r>
          </w:p>
          <w:p w:rsidR="008817D8" w:rsidRDefault="008817D8" w:rsidP="00F07885">
            <w:pPr>
              <w:keepNext w:val="0"/>
            </w:pPr>
            <w:r>
              <w:t>The Control tests on the finished product must be such as to allow the qualitative and quantitative determination of the composition of the active ingredients and a specification has to be given which may be done by using markers if constituents with known therapeutic activity are unknown. In the case of vegetable drugs or vegetable drug preparations with constituents of known therapeutic activity, these constituents must also be specified and quantitatively determined.</w:t>
            </w:r>
          </w:p>
          <w:p w:rsidR="00986475" w:rsidRDefault="008817D8" w:rsidP="00F07885">
            <w:pPr>
              <w:keepNext w:val="0"/>
            </w:pPr>
            <w:r>
              <w:t xml:space="preserve">If </w:t>
            </w:r>
            <w:proofErr w:type="gramStart"/>
            <w:r>
              <w:t>a</w:t>
            </w:r>
            <w:proofErr w:type="gramEnd"/>
            <w:r>
              <w:t xml:space="preserve"> herbal remedy contains several vegetable drugs or preparations of several vegetable drugs and it is not possible to perform a quantitative determination of each active ingredient, the determination may be carried out jointly for several active ingredients. The need for this procedure must be justified.</w:t>
            </w:r>
          </w:p>
        </w:tc>
        <w:tc>
          <w:tcPr>
            <w:tcW w:w="1843" w:type="dxa"/>
          </w:tcPr>
          <w:p w:rsidR="00986475" w:rsidRPr="00986475" w:rsidRDefault="008817D8" w:rsidP="00F07885">
            <w:pPr>
              <w:keepNext w:val="0"/>
            </w:pPr>
            <w:r w:rsidRPr="008817D8">
              <w:lastRenderedPageBreak/>
              <w:t>Clause 14 is new, however the requirements to keep reference samples was already effective based on Annex 19</w:t>
            </w:r>
          </w:p>
        </w:tc>
        <w:tc>
          <w:tcPr>
            <w:tcW w:w="1531" w:type="dxa"/>
          </w:tcPr>
          <w:p w:rsidR="00986475" w:rsidRPr="00986475" w:rsidRDefault="008817D8" w:rsidP="00F07885">
            <w:pPr>
              <w:keepNext w:val="0"/>
            </w:pPr>
            <w:r w:rsidRPr="008817D8">
              <w:t>Nil</w:t>
            </w:r>
          </w:p>
        </w:tc>
      </w:tr>
    </w:tbl>
    <w:p w:rsidR="005C1208" w:rsidRDefault="005C1208" w:rsidP="005C1208">
      <w:pPr>
        <w:rPr>
          <w:rFonts w:ascii="Arial" w:eastAsia="Times New Roman" w:hAnsi="Arial"/>
          <w:sz w:val="32"/>
          <w:szCs w:val="26"/>
        </w:rPr>
      </w:pPr>
      <w:bookmarkStart w:id="16" w:name="_Toc357412256"/>
      <w:r>
        <w:lastRenderedPageBreak/>
        <w:br w:type="page"/>
      </w:r>
    </w:p>
    <w:p w:rsidR="00D74808" w:rsidRPr="00D74808" w:rsidRDefault="005D3D20" w:rsidP="005D3D20">
      <w:pPr>
        <w:pStyle w:val="Heading3"/>
      </w:pPr>
      <w:r w:rsidRPr="005D3D20">
        <w:lastRenderedPageBreak/>
        <w:t>Annex 11 – Computerised systems</w:t>
      </w:r>
      <w:bookmarkEnd w:id="16"/>
    </w:p>
    <w:tbl>
      <w:tblPr>
        <w:tblStyle w:val="TableTGAblue"/>
        <w:tblW w:w="0" w:type="auto"/>
        <w:tblLayout w:type="fixed"/>
        <w:tblLook w:val="04A0" w:firstRow="1" w:lastRow="0" w:firstColumn="1" w:lastColumn="0" w:noHBand="0" w:noVBand="1"/>
      </w:tblPr>
      <w:tblGrid>
        <w:gridCol w:w="5920"/>
        <w:gridCol w:w="5812"/>
        <w:gridCol w:w="1843"/>
        <w:gridCol w:w="1531"/>
      </w:tblGrid>
      <w:tr w:rsidR="002C2C98" w:rsidTr="008450B1">
        <w:trPr>
          <w:cnfStyle w:val="100000000000" w:firstRow="1" w:lastRow="0" w:firstColumn="0" w:lastColumn="0" w:oddVBand="0" w:evenVBand="0" w:oddHBand="0" w:evenHBand="0" w:firstRowFirstColumn="0" w:firstRowLastColumn="0" w:lastRowFirstColumn="0" w:lastRowLastColumn="0"/>
        </w:trPr>
        <w:tc>
          <w:tcPr>
            <w:tcW w:w="5920" w:type="dxa"/>
          </w:tcPr>
          <w:p w:rsidR="002C2C98" w:rsidRDefault="002C2C98" w:rsidP="00CF5EC4">
            <w:pPr>
              <w:keepNext w:val="0"/>
            </w:pPr>
            <w:r w:rsidRPr="00D74808">
              <w:t>PE 009-10</w:t>
            </w:r>
          </w:p>
        </w:tc>
        <w:tc>
          <w:tcPr>
            <w:tcW w:w="5812" w:type="dxa"/>
          </w:tcPr>
          <w:p w:rsidR="002C2C98" w:rsidRDefault="002C2C98" w:rsidP="00CF5EC4">
            <w:pPr>
              <w:keepNext w:val="0"/>
            </w:pPr>
            <w:r w:rsidRPr="00D74808">
              <w:t>PE 009-08</w:t>
            </w:r>
          </w:p>
        </w:tc>
        <w:tc>
          <w:tcPr>
            <w:tcW w:w="1843" w:type="dxa"/>
          </w:tcPr>
          <w:p w:rsidR="002C2C98" w:rsidRDefault="002C2C98" w:rsidP="00CF5EC4">
            <w:pPr>
              <w:keepNext w:val="0"/>
            </w:pPr>
            <w:r w:rsidRPr="00D74808">
              <w:t>Nature of  impact</w:t>
            </w:r>
          </w:p>
        </w:tc>
        <w:tc>
          <w:tcPr>
            <w:tcW w:w="1531" w:type="dxa"/>
          </w:tcPr>
          <w:p w:rsidR="002C2C98" w:rsidRDefault="002C2C98" w:rsidP="00CF5EC4">
            <w:pPr>
              <w:keepNext w:val="0"/>
            </w:pPr>
            <w:r w:rsidRPr="00D74808">
              <w:t>Estimated significance of impact</w:t>
            </w:r>
          </w:p>
        </w:tc>
      </w:tr>
      <w:tr w:rsidR="002C2C98" w:rsidTr="008450B1">
        <w:trPr>
          <w:cantSplit w:val="0"/>
        </w:trPr>
        <w:tc>
          <w:tcPr>
            <w:tcW w:w="5920" w:type="dxa"/>
          </w:tcPr>
          <w:p w:rsidR="002C2C98" w:rsidRPr="002C2C98" w:rsidRDefault="002C2C98" w:rsidP="00CF5EC4">
            <w:pPr>
              <w:keepNext w:val="0"/>
              <w:rPr>
                <w:rFonts w:ascii="Arial" w:hAnsi="Arial" w:cs="Arial"/>
                <w:b/>
                <w:i/>
                <w:color w:val="006DA7"/>
              </w:rPr>
            </w:pPr>
            <w:r w:rsidRPr="002C2C98">
              <w:rPr>
                <w:rFonts w:ascii="Arial" w:hAnsi="Arial" w:cs="Arial"/>
                <w:b/>
                <w:i/>
                <w:color w:val="006DA7"/>
              </w:rPr>
              <w:t>Principle</w:t>
            </w:r>
          </w:p>
          <w:p w:rsidR="002C2C98" w:rsidRPr="002C2C98" w:rsidRDefault="002C2C98" w:rsidP="00CF5EC4">
            <w:pPr>
              <w:keepNext w:val="0"/>
              <w:rPr>
                <w:rFonts w:ascii="Arial" w:hAnsi="Arial" w:cs="Arial"/>
                <w:color w:val="006DA7"/>
              </w:rPr>
            </w:pPr>
            <w:r w:rsidRPr="002C2C98">
              <w:rPr>
                <w:rFonts w:ascii="Arial" w:hAnsi="Arial" w:cs="Arial"/>
                <w:color w:val="006DA7"/>
              </w:rPr>
              <w:t>This annex applies to all forms of computerised systems used as part of a GMP regulated activities. A computerised system is a set of software and hardware components which together fulfil certain functionalities.</w:t>
            </w:r>
          </w:p>
          <w:p w:rsidR="002C2C98" w:rsidRPr="002C2C98" w:rsidRDefault="002C2C98" w:rsidP="00CF5EC4">
            <w:pPr>
              <w:keepNext w:val="0"/>
              <w:rPr>
                <w:rFonts w:ascii="Arial" w:hAnsi="Arial" w:cs="Arial"/>
                <w:color w:val="006DA7"/>
              </w:rPr>
            </w:pPr>
            <w:r w:rsidRPr="002C2C98">
              <w:rPr>
                <w:rFonts w:ascii="Arial" w:hAnsi="Arial" w:cs="Arial"/>
                <w:color w:val="006DA7"/>
              </w:rPr>
              <w:t>The application should be validated; IT infrastructure should be qualified.</w:t>
            </w:r>
          </w:p>
          <w:p w:rsidR="002C2C98" w:rsidRPr="00080B59" w:rsidRDefault="002C2C98" w:rsidP="00CF5EC4">
            <w:pPr>
              <w:keepNext w:val="0"/>
            </w:pPr>
            <w:r w:rsidRPr="002C2C98">
              <w:rPr>
                <w:rFonts w:ascii="Arial" w:hAnsi="Arial" w:cs="Arial"/>
                <w:color w:val="006DA7"/>
              </w:rPr>
              <w:t>Where a computerised system replaces a manual operation, there should be no resultant decrease in product quality, process control or quality assurance. There should be no increase in the overall risk of the process.</w:t>
            </w:r>
          </w:p>
        </w:tc>
        <w:tc>
          <w:tcPr>
            <w:tcW w:w="5812" w:type="dxa"/>
          </w:tcPr>
          <w:p w:rsidR="002C2C98" w:rsidRDefault="002C2C98" w:rsidP="00CF5EC4">
            <w:pPr>
              <w:keepNext w:val="0"/>
            </w:pPr>
            <w:r>
              <w:t>Principle</w:t>
            </w:r>
          </w:p>
          <w:p w:rsidR="002C2C98" w:rsidRDefault="002C2C98" w:rsidP="00CF5EC4">
            <w:pPr>
              <w:keepNext w:val="0"/>
            </w:pPr>
            <w:r>
              <w:t>The introduction of computerised systems into systems of manufacturing, including storage, distribution and quality control does not alter the need to observe the relevant principles given elsewhere in the Guide. Where a computerised system replaces a manual operation, there should be no resultant decrease in product quality or quality assurance. Consideration should be given to the risk of losing aspects of the previous system by reducing the involvement of operators.</w:t>
            </w:r>
          </w:p>
        </w:tc>
        <w:tc>
          <w:tcPr>
            <w:tcW w:w="1843" w:type="dxa"/>
          </w:tcPr>
          <w:p w:rsidR="002C2C98" w:rsidRDefault="002C2C98" w:rsidP="00CF5EC4">
            <w:pPr>
              <w:keepNext w:val="0"/>
            </w:pPr>
            <w:r w:rsidRPr="002C2C98">
              <w:t>Rewrite highlighting the pre-existent requirement to validate computerised systems and qualify IT infrastructure</w:t>
            </w:r>
          </w:p>
        </w:tc>
        <w:tc>
          <w:tcPr>
            <w:tcW w:w="1531" w:type="dxa"/>
          </w:tcPr>
          <w:p w:rsidR="002C2C98" w:rsidRDefault="002C2C98" w:rsidP="00CF5EC4">
            <w:pPr>
              <w:keepNext w:val="0"/>
            </w:pPr>
            <w:r w:rsidRPr="002C2C98">
              <w:t>Minor</w:t>
            </w:r>
          </w:p>
        </w:tc>
      </w:tr>
      <w:tr w:rsidR="002C2C98" w:rsidTr="008450B1">
        <w:trPr>
          <w:cantSplit w:val="0"/>
        </w:trPr>
        <w:tc>
          <w:tcPr>
            <w:tcW w:w="5920" w:type="dxa"/>
          </w:tcPr>
          <w:p w:rsidR="002C2C98" w:rsidRPr="002C2C98" w:rsidRDefault="002C2C98" w:rsidP="00CF5EC4">
            <w:pPr>
              <w:keepNext w:val="0"/>
              <w:rPr>
                <w:rFonts w:ascii="Arial" w:hAnsi="Arial" w:cs="Arial"/>
                <w:color w:val="006DA7"/>
              </w:rPr>
            </w:pPr>
            <w:r w:rsidRPr="002C2C98">
              <w:rPr>
                <w:rFonts w:ascii="Arial" w:hAnsi="Arial" w:cs="Arial"/>
                <w:color w:val="006DA7"/>
              </w:rPr>
              <w:t>1. Risk management should be applied throughout the lifecycle of the computerised system taking into account patient safety, data integrity and product quality. As part of a risk management system, decisions on the extent of validation and data integrity controls should be based on a justified and documented risk assessment of the computerised system.</w:t>
            </w:r>
          </w:p>
        </w:tc>
        <w:tc>
          <w:tcPr>
            <w:tcW w:w="5812" w:type="dxa"/>
          </w:tcPr>
          <w:p w:rsidR="002C2C98" w:rsidRDefault="002C2C98" w:rsidP="00CF5EC4">
            <w:pPr>
              <w:keepNext w:val="0"/>
            </w:pPr>
            <w:r>
              <w:t>--</w:t>
            </w:r>
          </w:p>
          <w:p w:rsidR="002C2C98" w:rsidRPr="002C2C98" w:rsidRDefault="002C2C98" w:rsidP="00CF5EC4">
            <w:pPr>
              <w:keepNext w:val="0"/>
              <w:ind w:left="317"/>
              <w:rPr>
                <w:i/>
              </w:rPr>
            </w:pPr>
            <w:r w:rsidRPr="002C2C98">
              <w:rPr>
                <w:i/>
              </w:rPr>
              <w:t>New clause explaining the application of Quality Risk Management (already required in Chapter 1) to computerised systems.</w:t>
            </w:r>
          </w:p>
        </w:tc>
        <w:tc>
          <w:tcPr>
            <w:tcW w:w="1843" w:type="dxa"/>
          </w:tcPr>
          <w:p w:rsidR="002C2C98" w:rsidRPr="002C2C98" w:rsidRDefault="002C2C98" w:rsidP="00CF5EC4">
            <w:pPr>
              <w:keepNext w:val="0"/>
            </w:pPr>
            <w:r w:rsidRPr="002C2C98">
              <w:t>Clarification of existing requirement</w:t>
            </w:r>
          </w:p>
        </w:tc>
        <w:tc>
          <w:tcPr>
            <w:tcW w:w="1531" w:type="dxa"/>
          </w:tcPr>
          <w:p w:rsidR="002C2C98" w:rsidRPr="002C2C98" w:rsidRDefault="002C2C98" w:rsidP="00CF5EC4">
            <w:pPr>
              <w:keepNext w:val="0"/>
            </w:pPr>
            <w:r w:rsidRPr="002C2C98">
              <w:t>Minor</w:t>
            </w:r>
          </w:p>
        </w:tc>
      </w:tr>
      <w:tr w:rsidR="002C2C98" w:rsidTr="008450B1">
        <w:trPr>
          <w:cantSplit w:val="0"/>
        </w:trPr>
        <w:tc>
          <w:tcPr>
            <w:tcW w:w="5920" w:type="dxa"/>
          </w:tcPr>
          <w:p w:rsidR="002C2C98" w:rsidRPr="002C2C98" w:rsidRDefault="002C2C98" w:rsidP="00CF5EC4">
            <w:pPr>
              <w:keepNext w:val="0"/>
              <w:rPr>
                <w:rFonts w:ascii="Arial" w:hAnsi="Arial" w:cs="Arial"/>
                <w:b/>
                <w:i/>
                <w:color w:val="006DA7"/>
              </w:rPr>
            </w:pPr>
            <w:r w:rsidRPr="002C2C98">
              <w:rPr>
                <w:rFonts w:ascii="Arial" w:hAnsi="Arial" w:cs="Arial"/>
                <w:b/>
                <w:i/>
                <w:color w:val="006DA7"/>
              </w:rPr>
              <w:lastRenderedPageBreak/>
              <w:t>Personnel</w:t>
            </w:r>
          </w:p>
          <w:p w:rsidR="002C2C98" w:rsidRPr="002C2C98" w:rsidRDefault="002C2C98" w:rsidP="00CF5EC4">
            <w:pPr>
              <w:keepNext w:val="0"/>
              <w:rPr>
                <w:rFonts w:ascii="Arial" w:hAnsi="Arial" w:cs="Arial"/>
                <w:color w:val="006DA7"/>
              </w:rPr>
            </w:pPr>
            <w:r w:rsidRPr="002C2C98">
              <w:rPr>
                <w:rFonts w:ascii="Arial" w:hAnsi="Arial" w:cs="Arial"/>
                <w:color w:val="006DA7"/>
              </w:rPr>
              <w:t>2. There should be close cooperation between all relevant personnel such as Process Owner, System Owner, Authorised Persons and IT. All personnel should have appropriate qualifications, level of access and defined responsibilities to carry out their assigned duties.</w:t>
            </w:r>
          </w:p>
        </w:tc>
        <w:tc>
          <w:tcPr>
            <w:tcW w:w="5812" w:type="dxa"/>
          </w:tcPr>
          <w:p w:rsidR="002C2C98" w:rsidRDefault="002C2C98" w:rsidP="00CF5EC4">
            <w:pPr>
              <w:keepNext w:val="0"/>
            </w:pPr>
            <w:r>
              <w:t>Personnel</w:t>
            </w:r>
          </w:p>
          <w:p w:rsidR="002C2C98" w:rsidRDefault="002C2C98" w:rsidP="00CF5EC4">
            <w:pPr>
              <w:keepNext w:val="0"/>
            </w:pPr>
            <w:r>
              <w:t>1. It is essential that there is the closest co-operation between key personnel and those involved with computer systems. Persons in responsible positions should have the appropriate training for the management and use of systems within their field of responsibility which utilises computers. This should include ensuring that appropriate expertise is available and used to provide advice on aspects of design, validation, installation and operation of computerised system.</w:t>
            </w:r>
          </w:p>
        </w:tc>
        <w:tc>
          <w:tcPr>
            <w:tcW w:w="1843" w:type="dxa"/>
          </w:tcPr>
          <w:p w:rsidR="002C2C98" w:rsidRPr="002C2C98" w:rsidRDefault="002C2C98" w:rsidP="00CF5EC4">
            <w:pPr>
              <w:keepNext w:val="0"/>
            </w:pPr>
            <w:r w:rsidRPr="002C2C98">
              <w:t>Rewrite to increase clarity and reduce prescriptiveness</w:t>
            </w:r>
          </w:p>
        </w:tc>
        <w:tc>
          <w:tcPr>
            <w:tcW w:w="1531" w:type="dxa"/>
          </w:tcPr>
          <w:p w:rsidR="002C2C98" w:rsidRPr="002C2C98" w:rsidRDefault="002C2C98" w:rsidP="00CF5EC4">
            <w:pPr>
              <w:keepNext w:val="0"/>
            </w:pPr>
            <w:r w:rsidRPr="002C2C98">
              <w:t>Nil</w:t>
            </w:r>
          </w:p>
        </w:tc>
      </w:tr>
      <w:tr w:rsidR="00FF75E3" w:rsidTr="008450B1">
        <w:trPr>
          <w:cantSplit w:val="0"/>
        </w:trPr>
        <w:tc>
          <w:tcPr>
            <w:tcW w:w="5920" w:type="dxa"/>
          </w:tcPr>
          <w:p w:rsidR="00FF75E3" w:rsidRPr="00FF75E3" w:rsidRDefault="00FF75E3" w:rsidP="00CF5EC4">
            <w:pPr>
              <w:keepNext w:val="0"/>
              <w:rPr>
                <w:rFonts w:ascii="Arial" w:hAnsi="Arial" w:cs="Arial"/>
                <w:b/>
                <w:i/>
                <w:color w:val="006DA7"/>
              </w:rPr>
            </w:pPr>
            <w:r w:rsidRPr="00FF75E3">
              <w:rPr>
                <w:rFonts w:ascii="Arial" w:hAnsi="Arial" w:cs="Arial"/>
                <w:b/>
                <w:i/>
                <w:color w:val="006DA7"/>
              </w:rPr>
              <w:t>Supplier and service providers</w:t>
            </w:r>
          </w:p>
          <w:p w:rsidR="00FF75E3" w:rsidRPr="00FF75E3" w:rsidRDefault="00FF75E3" w:rsidP="00CF5EC4">
            <w:pPr>
              <w:keepNext w:val="0"/>
              <w:rPr>
                <w:rFonts w:ascii="Arial" w:hAnsi="Arial" w:cs="Arial"/>
                <w:color w:val="006DA7"/>
              </w:rPr>
            </w:pPr>
            <w:r w:rsidRPr="00FF75E3">
              <w:rPr>
                <w:rFonts w:ascii="Arial" w:hAnsi="Arial" w:cs="Arial"/>
                <w:color w:val="006DA7"/>
              </w:rPr>
              <w:t>3.1</w:t>
            </w:r>
            <w:r w:rsidR="005C1208">
              <w:rPr>
                <w:rFonts w:ascii="Arial" w:hAnsi="Arial" w:cs="Arial"/>
                <w:color w:val="006DA7"/>
              </w:rPr>
              <w:t xml:space="preserve"> </w:t>
            </w:r>
            <w:r w:rsidRPr="00FF75E3">
              <w:rPr>
                <w:rFonts w:ascii="Arial" w:hAnsi="Arial" w:cs="Arial"/>
                <w:color w:val="006DA7"/>
              </w:rPr>
              <w:t>When third parties (e.g. suppliers, service providers) are used e.g. to provide, install, configure, integrate, validate, maintain (e.g. via remote access), modify or retain a computerised system or related service or for data processing, formal agreements must exist between the manufacturer and any third parties, and these agreements should include clear statements of the responsibilities of the third party. IT-departments should be considered analogous.</w:t>
            </w:r>
          </w:p>
          <w:p w:rsidR="00FF75E3" w:rsidRPr="00FF75E3" w:rsidRDefault="00FF75E3" w:rsidP="00CF5EC4">
            <w:pPr>
              <w:keepNext w:val="0"/>
              <w:rPr>
                <w:rFonts w:ascii="Arial" w:hAnsi="Arial" w:cs="Arial"/>
                <w:color w:val="006DA7"/>
              </w:rPr>
            </w:pPr>
            <w:r w:rsidRPr="00FF75E3">
              <w:rPr>
                <w:rFonts w:ascii="Arial" w:hAnsi="Arial" w:cs="Arial"/>
                <w:color w:val="006DA7"/>
              </w:rPr>
              <w:t>3.2</w:t>
            </w:r>
            <w:r w:rsidR="005C1208">
              <w:rPr>
                <w:rFonts w:ascii="Arial" w:hAnsi="Arial" w:cs="Arial"/>
                <w:color w:val="006DA7"/>
              </w:rPr>
              <w:t xml:space="preserve"> </w:t>
            </w:r>
            <w:r w:rsidRPr="00FF75E3">
              <w:rPr>
                <w:rFonts w:ascii="Arial" w:hAnsi="Arial" w:cs="Arial"/>
                <w:color w:val="006DA7"/>
              </w:rPr>
              <w:t>The competence and reliability of a supplier are key factors when selecting a product or service provider. The need for an audit should be based on a risk assessment.</w:t>
            </w:r>
          </w:p>
          <w:p w:rsidR="00FF75E3" w:rsidRPr="00FF75E3" w:rsidRDefault="00FF75E3" w:rsidP="00CF5EC4">
            <w:pPr>
              <w:keepNext w:val="0"/>
              <w:rPr>
                <w:rFonts w:ascii="Arial" w:hAnsi="Arial" w:cs="Arial"/>
                <w:color w:val="006DA7"/>
              </w:rPr>
            </w:pPr>
            <w:proofErr w:type="gramStart"/>
            <w:r w:rsidRPr="00FF75E3">
              <w:rPr>
                <w:rFonts w:ascii="Arial" w:hAnsi="Arial" w:cs="Arial"/>
                <w:color w:val="006DA7"/>
              </w:rPr>
              <w:lastRenderedPageBreak/>
              <w:t xml:space="preserve">3.3 </w:t>
            </w:r>
            <w:r w:rsidR="005C1208">
              <w:rPr>
                <w:rFonts w:ascii="Arial" w:hAnsi="Arial" w:cs="Arial"/>
                <w:color w:val="006DA7"/>
              </w:rPr>
              <w:t xml:space="preserve"> </w:t>
            </w:r>
            <w:r w:rsidRPr="00FF75E3">
              <w:rPr>
                <w:rFonts w:ascii="Arial" w:hAnsi="Arial" w:cs="Arial"/>
                <w:color w:val="006DA7"/>
              </w:rPr>
              <w:t>Documentation</w:t>
            </w:r>
            <w:proofErr w:type="gramEnd"/>
            <w:r w:rsidRPr="00FF75E3">
              <w:rPr>
                <w:rFonts w:ascii="Arial" w:hAnsi="Arial" w:cs="Arial"/>
                <w:color w:val="006DA7"/>
              </w:rPr>
              <w:t xml:space="preserve"> supplied with commercial off-the-shelf products should be reviewed by regulated users to check that user requirements are fulfilled.</w:t>
            </w:r>
          </w:p>
          <w:p w:rsidR="00FF75E3" w:rsidRPr="002C2C98" w:rsidRDefault="00FF75E3" w:rsidP="005C1208">
            <w:pPr>
              <w:keepNext w:val="0"/>
              <w:rPr>
                <w:rFonts w:ascii="Arial" w:hAnsi="Arial" w:cs="Arial"/>
                <w:b/>
                <w:i/>
                <w:color w:val="006DA7"/>
              </w:rPr>
            </w:pPr>
            <w:r w:rsidRPr="00FF75E3">
              <w:rPr>
                <w:rFonts w:ascii="Arial" w:hAnsi="Arial" w:cs="Arial"/>
                <w:color w:val="006DA7"/>
              </w:rPr>
              <w:t>3.4</w:t>
            </w:r>
            <w:r w:rsidR="005C1208">
              <w:rPr>
                <w:rFonts w:ascii="Arial" w:hAnsi="Arial" w:cs="Arial"/>
                <w:color w:val="006DA7"/>
              </w:rPr>
              <w:t xml:space="preserve"> </w:t>
            </w:r>
            <w:r w:rsidRPr="00FF75E3">
              <w:rPr>
                <w:rFonts w:ascii="Arial" w:hAnsi="Arial" w:cs="Arial"/>
                <w:color w:val="006DA7"/>
              </w:rPr>
              <w:t>Quality system and audit information relating to suppliers or developers of software and implemented systems should be made available to inspectors on request.</w:t>
            </w:r>
          </w:p>
        </w:tc>
        <w:tc>
          <w:tcPr>
            <w:tcW w:w="5812" w:type="dxa"/>
          </w:tcPr>
          <w:p w:rsidR="00FF75E3" w:rsidRDefault="00FF75E3" w:rsidP="00CF5EC4">
            <w:pPr>
              <w:keepNext w:val="0"/>
            </w:pPr>
            <w:r>
              <w:lastRenderedPageBreak/>
              <w:t>5.  The software is a critical component of a computerised system. The user of such software should take all reasonable steps to ensure that it has been produced in accordance with a system of Quality Assurance.</w:t>
            </w:r>
          </w:p>
          <w:p w:rsidR="00FF75E3" w:rsidRDefault="00FF75E3" w:rsidP="00CF5EC4">
            <w:pPr>
              <w:keepNext w:val="0"/>
            </w:pPr>
            <w:r>
              <w:t>18 When outside agencies are used to provide a computer service, there should be a formal agreement including a clear statement of the responsibilities of that outside agency (see Chapter 7).</w:t>
            </w:r>
          </w:p>
        </w:tc>
        <w:tc>
          <w:tcPr>
            <w:tcW w:w="1843" w:type="dxa"/>
          </w:tcPr>
          <w:p w:rsidR="00FF75E3" w:rsidRDefault="00FF75E3" w:rsidP="00CF5EC4">
            <w:pPr>
              <w:keepNext w:val="0"/>
            </w:pPr>
            <w:r>
              <w:t>Clarification of requirements;</w:t>
            </w:r>
          </w:p>
          <w:p w:rsidR="00FF75E3" w:rsidRDefault="00FF75E3" w:rsidP="00CF5EC4">
            <w:pPr>
              <w:keepNext w:val="0"/>
            </w:pPr>
            <w:r>
              <w:t>Providing further detail on existing requirements;</w:t>
            </w:r>
          </w:p>
          <w:p w:rsidR="00FF75E3" w:rsidRPr="002C2C98" w:rsidRDefault="00FF75E3" w:rsidP="00CF5EC4">
            <w:pPr>
              <w:keepNext w:val="0"/>
            </w:pPr>
            <w:r>
              <w:t>Updating text to developing computer technology standards</w:t>
            </w:r>
          </w:p>
        </w:tc>
        <w:tc>
          <w:tcPr>
            <w:tcW w:w="1531" w:type="dxa"/>
          </w:tcPr>
          <w:p w:rsidR="00FF75E3" w:rsidRPr="002C2C98" w:rsidRDefault="00FF75E3" w:rsidP="00CF5EC4">
            <w:pPr>
              <w:keepNext w:val="0"/>
            </w:pPr>
            <w:r w:rsidRPr="00FF75E3">
              <w:t>Minor</w:t>
            </w:r>
          </w:p>
        </w:tc>
      </w:tr>
      <w:tr w:rsidR="00FF75E3" w:rsidTr="008450B1">
        <w:trPr>
          <w:cantSplit w:val="0"/>
        </w:trPr>
        <w:tc>
          <w:tcPr>
            <w:tcW w:w="5920" w:type="dxa"/>
          </w:tcPr>
          <w:p w:rsidR="00FF75E3" w:rsidRPr="00FF75E3" w:rsidRDefault="00FF75E3" w:rsidP="00CF5EC4">
            <w:pPr>
              <w:keepNext w:val="0"/>
              <w:rPr>
                <w:rFonts w:ascii="Arial" w:hAnsi="Arial" w:cs="Arial"/>
                <w:b/>
                <w:i/>
                <w:color w:val="006DA7"/>
              </w:rPr>
            </w:pPr>
            <w:r w:rsidRPr="00FF75E3">
              <w:rPr>
                <w:rFonts w:ascii="Arial" w:hAnsi="Arial" w:cs="Arial"/>
                <w:b/>
                <w:i/>
                <w:color w:val="006DA7"/>
              </w:rPr>
              <w:lastRenderedPageBreak/>
              <w:t>Validation</w:t>
            </w:r>
          </w:p>
          <w:p w:rsidR="00FF75E3" w:rsidRPr="00FF75E3" w:rsidRDefault="00FF75E3" w:rsidP="00CF5EC4">
            <w:pPr>
              <w:keepNext w:val="0"/>
              <w:rPr>
                <w:rFonts w:ascii="Arial" w:hAnsi="Arial" w:cs="Arial"/>
                <w:color w:val="006DA7"/>
              </w:rPr>
            </w:pPr>
            <w:r w:rsidRPr="00FF75E3">
              <w:rPr>
                <w:rFonts w:ascii="Arial" w:hAnsi="Arial" w:cs="Arial"/>
                <w:color w:val="006DA7"/>
              </w:rPr>
              <w:t>4.1</w:t>
            </w:r>
            <w:r w:rsidR="005C1208">
              <w:rPr>
                <w:rFonts w:ascii="Arial" w:hAnsi="Arial" w:cs="Arial"/>
                <w:color w:val="006DA7"/>
              </w:rPr>
              <w:t xml:space="preserve"> </w:t>
            </w:r>
            <w:r w:rsidRPr="00FF75E3">
              <w:rPr>
                <w:rFonts w:ascii="Arial" w:hAnsi="Arial" w:cs="Arial"/>
                <w:color w:val="006DA7"/>
              </w:rPr>
              <w:t>The validation documentation and reports should cover the relevant steps of the life cycle. Manufacturers should be able to justify their standards, protocols, acceptance criteria, procedures and records based on their risk assessment.</w:t>
            </w:r>
          </w:p>
          <w:p w:rsidR="00FF75E3" w:rsidRPr="00FF75E3" w:rsidRDefault="00FF75E3" w:rsidP="00CF5EC4">
            <w:pPr>
              <w:keepNext w:val="0"/>
              <w:rPr>
                <w:rFonts w:ascii="Arial" w:hAnsi="Arial" w:cs="Arial"/>
                <w:color w:val="006DA7"/>
              </w:rPr>
            </w:pPr>
            <w:r w:rsidRPr="00FF75E3">
              <w:rPr>
                <w:rFonts w:ascii="Arial" w:hAnsi="Arial" w:cs="Arial"/>
                <w:color w:val="006DA7"/>
              </w:rPr>
              <w:t>4.2</w:t>
            </w:r>
            <w:r w:rsidR="005C1208">
              <w:rPr>
                <w:rFonts w:ascii="Arial" w:hAnsi="Arial" w:cs="Arial"/>
                <w:color w:val="006DA7"/>
              </w:rPr>
              <w:t xml:space="preserve"> </w:t>
            </w:r>
            <w:r w:rsidRPr="00FF75E3">
              <w:rPr>
                <w:rFonts w:ascii="Arial" w:hAnsi="Arial" w:cs="Arial"/>
                <w:color w:val="006DA7"/>
              </w:rPr>
              <w:t>Validation documentation should include change control records (if applicable) and reports on any deviations observed during the validation process.</w:t>
            </w:r>
          </w:p>
          <w:p w:rsidR="00FF75E3" w:rsidRPr="00FF75E3" w:rsidRDefault="00FF75E3" w:rsidP="00CF5EC4">
            <w:pPr>
              <w:keepNext w:val="0"/>
              <w:rPr>
                <w:rFonts w:ascii="Arial" w:hAnsi="Arial" w:cs="Arial"/>
                <w:color w:val="006DA7"/>
              </w:rPr>
            </w:pPr>
            <w:r w:rsidRPr="00FF75E3">
              <w:rPr>
                <w:rFonts w:ascii="Arial" w:hAnsi="Arial" w:cs="Arial"/>
                <w:color w:val="006DA7"/>
              </w:rPr>
              <w:t>4.3</w:t>
            </w:r>
            <w:r w:rsidR="005C1208">
              <w:rPr>
                <w:rFonts w:ascii="Arial" w:hAnsi="Arial" w:cs="Arial"/>
                <w:color w:val="006DA7"/>
              </w:rPr>
              <w:t xml:space="preserve"> </w:t>
            </w:r>
            <w:r w:rsidRPr="00FF75E3">
              <w:rPr>
                <w:rFonts w:ascii="Arial" w:hAnsi="Arial" w:cs="Arial"/>
                <w:color w:val="006DA7"/>
              </w:rPr>
              <w:t>An up to date listing of all relevant systems and their GMP functionality (inventory) should be available.</w:t>
            </w:r>
          </w:p>
          <w:p w:rsidR="00FF75E3" w:rsidRPr="00FF75E3" w:rsidRDefault="00FF75E3" w:rsidP="00CF5EC4">
            <w:pPr>
              <w:keepNext w:val="0"/>
              <w:rPr>
                <w:rFonts w:ascii="Arial" w:hAnsi="Arial" w:cs="Arial"/>
                <w:color w:val="006DA7"/>
              </w:rPr>
            </w:pPr>
            <w:r w:rsidRPr="00FF75E3">
              <w:rPr>
                <w:rFonts w:ascii="Arial" w:hAnsi="Arial" w:cs="Arial"/>
                <w:color w:val="006DA7"/>
              </w:rPr>
              <w:t>For critical systems an up-to-date system description detailing the physical and logical arrangements, data flows and interfaces with other systems or processes, any hardware and software pre-requisites, and security measures should be available.</w:t>
            </w:r>
          </w:p>
          <w:p w:rsidR="00FF75E3" w:rsidRPr="00FF75E3" w:rsidRDefault="00FF75E3" w:rsidP="00CF5EC4">
            <w:pPr>
              <w:keepNext w:val="0"/>
              <w:rPr>
                <w:rFonts w:ascii="Arial" w:hAnsi="Arial" w:cs="Arial"/>
                <w:color w:val="006DA7"/>
              </w:rPr>
            </w:pPr>
            <w:proofErr w:type="gramStart"/>
            <w:r w:rsidRPr="00FF75E3">
              <w:rPr>
                <w:rFonts w:ascii="Arial" w:hAnsi="Arial" w:cs="Arial"/>
                <w:color w:val="006DA7"/>
              </w:rPr>
              <w:lastRenderedPageBreak/>
              <w:t xml:space="preserve">4.4 </w:t>
            </w:r>
            <w:r w:rsidR="005C1208">
              <w:rPr>
                <w:rFonts w:ascii="Arial" w:hAnsi="Arial" w:cs="Arial"/>
                <w:color w:val="006DA7"/>
              </w:rPr>
              <w:t xml:space="preserve"> </w:t>
            </w:r>
            <w:r w:rsidRPr="00FF75E3">
              <w:rPr>
                <w:rFonts w:ascii="Arial" w:hAnsi="Arial" w:cs="Arial"/>
                <w:color w:val="006DA7"/>
              </w:rPr>
              <w:t>User</w:t>
            </w:r>
            <w:proofErr w:type="gramEnd"/>
            <w:r w:rsidRPr="00FF75E3">
              <w:rPr>
                <w:rFonts w:ascii="Arial" w:hAnsi="Arial" w:cs="Arial"/>
                <w:color w:val="006DA7"/>
              </w:rPr>
              <w:t xml:space="preserve"> Requirements Specifications should describe the required functions of the computerised system and be based on documented risk assessment and GMP impact. User requirements should be traceable throughout the life-cycle.</w:t>
            </w:r>
          </w:p>
          <w:p w:rsidR="00FF75E3" w:rsidRPr="00FF75E3" w:rsidRDefault="00FF75E3" w:rsidP="00CF5EC4">
            <w:pPr>
              <w:keepNext w:val="0"/>
              <w:rPr>
                <w:rFonts w:ascii="Arial" w:hAnsi="Arial" w:cs="Arial"/>
                <w:color w:val="006DA7"/>
              </w:rPr>
            </w:pPr>
            <w:r w:rsidRPr="00FF75E3">
              <w:rPr>
                <w:rFonts w:ascii="Arial" w:hAnsi="Arial" w:cs="Arial"/>
                <w:color w:val="006DA7"/>
              </w:rPr>
              <w:t>4.5 The regulated user should take all reasonable steps to ensure that the system has been developed in accordance with an appropriate quality management system. The supplier should be assessed appropriately.</w:t>
            </w:r>
          </w:p>
          <w:p w:rsidR="00FF75E3" w:rsidRPr="00FF75E3" w:rsidRDefault="00FF75E3" w:rsidP="00CF5EC4">
            <w:pPr>
              <w:keepNext w:val="0"/>
              <w:rPr>
                <w:rFonts w:ascii="Arial" w:hAnsi="Arial" w:cs="Arial"/>
                <w:color w:val="006DA7"/>
              </w:rPr>
            </w:pPr>
            <w:r w:rsidRPr="00FF75E3">
              <w:rPr>
                <w:rFonts w:ascii="Arial" w:hAnsi="Arial" w:cs="Arial"/>
                <w:color w:val="006DA7"/>
              </w:rPr>
              <w:t>4.6</w:t>
            </w:r>
            <w:r w:rsidR="005C1208">
              <w:rPr>
                <w:rFonts w:ascii="Arial" w:hAnsi="Arial" w:cs="Arial"/>
                <w:color w:val="006DA7"/>
              </w:rPr>
              <w:t xml:space="preserve"> </w:t>
            </w:r>
            <w:r w:rsidRPr="00FF75E3">
              <w:rPr>
                <w:rFonts w:ascii="Arial" w:hAnsi="Arial" w:cs="Arial"/>
                <w:color w:val="006DA7"/>
              </w:rPr>
              <w:t>For the validation of bespoke or customised computerised systems there should be a process in place that ensures the formal assessment and reporting of quality and performance measures for all the life-cycle stages of the system.</w:t>
            </w:r>
          </w:p>
          <w:p w:rsidR="00FF75E3" w:rsidRPr="00FF75E3" w:rsidRDefault="00FF75E3" w:rsidP="00CF5EC4">
            <w:pPr>
              <w:keepNext w:val="0"/>
              <w:rPr>
                <w:rFonts w:ascii="Arial" w:hAnsi="Arial" w:cs="Arial"/>
                <w:color w:val="006DA7"/>
              </w:rPr>
            </w:pPr>
            <w:r w:rsidRPr="00FF75E3">
              <w:rPr>
                <w:rFonts w:ascii="Arial" w:hAnsi="Arial" w:cs="Arial"/>
                <w:color w:val="006DA7"/>
              </w:rPr>
              <w:t>4.7 Evidence of appropriate test methods and test scenarios should be demonstrated. Particularly, system (process) parameter limits, data limits and error handling should be considered. Automated testing tools and test environments should have documented assessments for their adequacy.</w:t>
            </w:r>
          </w:p>
          <w:p w:rsidR="00FF75E3" w:rsidRPr="00FF75E3" w:rsidRDefault="00FF75E3" w:rsidP="005C1208">
            <w:pPr>
              <w:keepNext w:val="0"/>
              <w:rPr>
                <w:rFonts w:ascii="Arial" w:hAnsi="Arial" w:cs="Arial"/>
                <w:b/>
                <w:i/>
                <w:color w:val="006DA7"/>
              </w:rPr>
            </w:pPr>
            <w:r w:rsidRPr="00FF75E3">
              <w:rPr>
                <w:rFonts w:ascii="Arial" w:hAnsi="Arial" w:cs="Arial"/>
                <w:color w:val="006DA7"/>
              </w:rPr>
              <w:t>4.8 If data are transferred to another data format or system, validation should include checks that data are not altered in value and/or meaning during this migration process.</w:t>
            </w:r>
          </w:p>
        </w:tc>
        <w:tc>
          <w:tcPr>
            <w:tcW w:w="5812" w:type="dxa"/>
          </w:tcPr>
          <w:p w:rsidR="00FF75E3" w:rsidRDefault="00FF75E3" w:rsidP="00CF5EC4">
            <w:pPr>
              <w:keepNext w:val="0"/>
            </w:pPr>
            <w:r>
              <w:lastRenderedPageBreak/>
              <w:t xml:space="preserve">2. The extent of validation necessary will depend on a number of factors including the use to which the system is to be put, whether it is prospective or retrospective and whether or not novel elements are incorporated. Validation should be considered as part of the complete life cycle of a computer system. This cycle includes the stages of planning, specification, programming, testing, commissioning, </w:t>
            </w:r>
            <w:proofErr w:type="gramStart"/>
            <w:r>
              <w:t>documentation</w:t>
            </w:r>
            <w:proofErr w:type="gramEnd"/>
            <w:r>
              <w:t>, operation, monitoring and changing.</w:t>
            </w:r>
          </w:p>
          <w:p w:rsidR="00FF75E3" w:rsidRDefault="00FF75E3" w:rsidP="00CF5EC4">
            <w:pPr>
              <w:keepNext w:val="0"/>
            </w:pPr>
            <w:r>
              <w:t>3. A written detailed description of the system should be produced (including diagrams as appropriate) and kept up to date. It should describe the principles, objectives, security measures and scope of the system and the main features of the way in which the computer is used and how it interacts with other systems and procedures.</w:t>
            </w:r>
          </w:p>
          <w:p w:rsidR="00FF75E3" w:rsidRDefault="00FF75E3" w:rsidP="00CF5EC4">
            <w:pPr>
              <w:keepNext w:val="0"/>
            </w:pPr>
            <w:r>
              <w:t xml:space="preserve">7. Before a system using a computer is brought into use, it should be thoroughly tested and confirmed as being </w:t>
            </w:r>
            <w:r>
              <w:lastRenderedPageBreak/>
              <w:t>capable of achieving the desired results. If a manual system is being replaced, the two should be run in parallel for a time, as part of this testing and validation.</w:t>
            </w:r>
          </w:p>
          <w:p w:rsidR="00FF75E3" w:rsidRDefault="00FF75E3" w:rsidP="00CF5EC4">
            <w:pPr>
              <w:keepNext w:val="0"/>
            </w:pPr>
          </w:p>
        </w:tc>
        <w:tc>
          <w:tcPr>
            <w:tcW w:w="1843" w:type="dxa"/>
          </w:tcPr>
          <w:p w:rsidR="00FF75E3" w:rsidRDefault="00FF75E3" w:rsidP="00CF5EC4">
            <w:pPr>
              <w:keepNext w:val="0"/>
            </w:pPr>
            <w:r>
              <w:lastRenderedPageBreak/>
              <w:t>Clarification of requirements;</w:t>
            </w:r>
          </w:p>
          <w:p w:rsidR="00FF75E3" w:rsidRDefault="00FF75E3" w:rsidP="00CF5EC4">
            <w:pPr>
              <w:keepNext w:val="0"/>
            </w:pPr>
            <w:r>
              <w:t>Providing further detail on existing requirements;</w:t>
            </w:r>
          </w:p>
          <w:p w:rsidR="00FF75E3" w:rsidRDefault="00FF75E3" w:rsidP="00CF5EC4">
            <w:pPr>
              <w:keepNext w:val="0"/>
            </w:pPr>
            <w:r>
              <w:t>Updating text to developing computer technology and standards</w:t>
            </w:r>
          </w:p>
        </w:tc>
        <w:tc>
          <w:tcPr>
            <w:tcW w:w="1531" w:type="dxa"/>
          </w:tcPr>
          <w:p w:rsidR="00FF75E3" w:rsidRPr="00FF75E3" w:rsidRDefault="00FF75E3" w:rsidP="00CF5EC4">
            <w:pPr>
              <w:keepNext w:val="0"/>
            </w:pPr>
            <w:r w:rsidRPr="00FF75E3">
              <w:t>Minor</w:t>
            </w:r>
          </w:p>
        </w:tc>
      </w:tr>
      <w:tr w:rsidR="00AE3CDB" w:rsidTr="008450B1">
        <w:trPr>
          <w:cantSplit w:val="0"/>
        </w:trPr>
        <w:tc>
          <w:tcPr>
            <w:tcW w:w="5920" w:type="dxa"/>
          </w:tcPr>
          <w:p w:rsidR="00AE3CDB" w:rsidRPr="00AE3CDB" w:rsidRDefault="00AE3CDB" w:rsidP="00CF5EC4">
            <w:pPr>
              <w:keepNext w:val="0"/>
              <w:rPr>
                <w:rFonts w:ascii="Arial" w:hAnsi="Arial" w:cs="Arial"/>
                <w:i/>
                <w:color w:val="006DA7"/>
              </w:rPr>
            </w:pPr>
            <w:r w:rsidRPr="00AE3CDB">
              <w:rPr>
                <w:rFonts w:ascii="Arial" w:hAnsi="Arial" w:cs="Arial"/>
                <w:i/>
                <w:color w:val="006DA7"/>
              </w:rPr>
              <w:lastRenderedPageBreak/>
              <w:t>Data</w:t>
            </w:r>
          </w:p>
          <w:p w:rsidR="00AE3CDB" w:rsidRPr="00AE3CDB" w:rsidRDefault="00AE3CDB" w:rsidP="00CF5EC4">
            <w:pPr>
              <w:keepNext w:val="0"/>
              <w:rPr>
                <w:rFonts w:ascii="Arial" w:hAnsi="Arial" w:cs="Arial"/>
                <w:b/>
                <w:color w:val="006DA7"/>
              </w:rPr>
            </w:pPr>
            <w:r w:rsidRPr="00AE3CDB">
              <w:rPr>
                <w:rFonts w:ascii="Arial" w:hAnsi="Arial" w:cs="Arial"/>
                <w:color w:val="006DA7"/>
              </w:rPr>
              <w:t>5. Computerised systems exchanging data electronically with other systems should include appropriate built-in checks for the correct and secure entry and processing of data, in order to minimize the risks.</w:t>
            </w:r>
          </w:p>
        </w:tc>
        <w:tc>
          <w:tcPr>
            <w:tcW w:w="5812" w:type="dxa"/>
          </w:tcPr>
          <w:p w:rsidR="00AE3CDB" w:rsidRDefault="00AE3CDB" w:rsidP="00CF5EC4">
            <w:pPr>
              <w:keepNext w:val="0"/>
            </w:pPr>
            <w:r w:rsidRPr="00AE3CDB">
              <w:t>6. The system should include, where appropriate, built-in checks of the correct entry and processing of data.</w:t>
            </w:r>
          </w:p>
        </w:tc>
        <w:tc>
          <w:tcPr>
            <w:tcW w:w="1843" w:type="dxa"/>
          </w:tcPr>
          <w:p w:rsidR="00AE3CDB" w:rsidRDefault="00AE3CDB" w:rsidP="00CF5EC4">
            <w:pPr>
              <w:keepNext w:val="0"/>
            </w:pPr>
            <w:r>
              <w:t>Clarification of requirements;</w:t>
            </w:r>
          </w:p>
          <w:p w:rsidR="00AE3CDB" w:rsidRDefault="00AE3CDB" w:rsidP="00CF5EC4">
            <w:pPr>
              <w:keepNext w:val="0"/>
            </w:pPr>
            <w:r>
              <w:t>Providing further detail on existing requirements;</w:t>
            </w:r>
          </w:p>
        </w:tc>
        <w:tc>
          <w:tcPr>
            <w:tcW w:w="1531" w:type="dxa"/>
          </w:tcPr>
          <w:p w:rsidR="00AE3CDB" w:rsidRPr="00FF75E3" w:rsidRDefault="00AE3CDB" w:rsidP="00CF5EC4">
            <w:pPr>
              <w:keepNext w:val="0"/>
            </w:pPr>
            <w:r w:rsidRPr="00AE3CDB">
              <w:t>Nil</w:t>
            </w:r>
          </w:p>
        </w:tc>
      </w:tr>
      <w:tr w:rsidR="00AE3CDB" w:rsidTr="008450B1">
        <w:trPr>
          <w:cantSplit w:val="0"/>
        </w:trPr>
        <w:tc>
          <w:tcPr>
            <w:tcW w:w="5920" w:type="dxa"/>
          </w:tcPr>
          <w:p w:rsidR="00AE3CDB" w:rsidRPr="00AE3CDB" w:rsidRDefault="00AE3CDB" w:rsidP="00CF5EC4">
            <w:pPr>
              <w:keepNext w:val="0"/>
              <w:rPr>
                <w:rFonts w:ascii="Arial" w:hAnsi="Arial" w:cs="Arial"/>
                <w:b/>
                <w:i/>
                <w:color w:val="006DA7"/>
              </w:rPr>
            </w:pPr>
            <w:r w:rsidRPr="00AE3CDB">
              <w:rPr>
                <w:rFonts w:ascii="Arial" w:hAnsi="Arial" w:cs="Arial"/>
                <w:b/>
                <w:i/>
                <w:color w:val="006DA7"/>
              </w:rPr>
              <w:t>Accuracy checks</w:t>
            </w:r>
          </w:p>
          <w:p w:rsidR="00AE3CDB" w:rsidRPr="00AE3CDB" w:rsidRDefault="00AE3CDB" w:rsidP="00CF5EC4">
            <w:pPr>
              <w:keepNext w:val="0"/>
              <w:rPr>
                <w:rFonts w:ascii="Arial" w:hAnsi="Arial" w:cs="Arial"/>
                <w:color w:val="006DA7"/>
              </w:rPr>
            </w:pPr>
            <w:r w:rsidRPr="00AE3CDB">
              <w:rPr>
                <w:rFonts w:ascii="Arial" w:hAnsi="Arial" w:cs="Arial"/>
                <w:color w:val="006DA7"/>
              </w:rPr>
              <w:t>6. For critical data entered manually, there should be an additional check on the accuracy of the data. This check may be done by a second operator or by validated electronic means. The criticality and the potential consequences of erroneous or incorrectly entered data to a system should be covered by risk management.</w:t>
            </w:r>
          </w:p>
        </w:tc>
        <w:tc>
          <w:tcPr>
            <w:tcW w:w="5812" w:type="dxa"/>
          </w:tcPr>
          <w:p w:rsidR="00AE3CDB" w:rsidRDefault="00AE3CDB" w:rsidP="00CF5EC4">
            <w:pPr>
              <w:keepNext w:val="0"/>
            </w:pPr>
            <w:r>
              <w:t>8. Data should only be entered or amended by persons authorised to do so. Suitable methods of deterring unauthorised entry of data include the use of keys, pass cards, personal codes and restricted access to computer terminals. There should be a defined procedure for the issue, cancellation, and alteration of authorisation to enter and amend data, including the changing of personal passwords. Consideration should be given to systems allowing for recording of attempts to access by unauthorised persons.</w:t>
            </w:r>
          </w:p>
          <w:p w:rsidR="00AE3CDB" w:rsidRPr="00AE3CDB" w:rsidRDefault="00AE3CDB" w:rsidP="00CF5EC4">
            <w:pPr>
              <w:keepNext w:val="0"/>
            </w:pPr>
            <w:r>
              <w:t>9. When critical data are being entered manually (for example the weight and batch number of an ingredient during dispensing), there should be an additional check on the accuracy of the record which is made. This check may be done by a second operator or by validated electronic means.</w:t>
            </w:r>
          </w:p>
        </w:tc>
        <w:tc>
          <w:tcPr>
            <w:tcW w:w="1843" w:type="dxa"/>
          </w:tcPr>
          <w:p w:rsidR="00AE3CDB" w:rsidRDefault="00AE3CDB" w:rsidP="00CF5EC4">
            <w:pPr>
              <w:keepNext w:val="0"/>
            </w:pPr>
            <w:r>
              <w:t>Reduction of prescriptive character of requirements;</w:t>
            </w:r>
          </w:p>
          <w:p w:rsidR="00AE3CDB" w:rsidRDefault="00AE3CDB" w:rsidP="00CF5EC4">
            <w:pPr>
              <w:keepNext w:val="0"/>
            </w:pPr>
            <w:r>
              <w:t>Clarification of requirements</w:t>
            </w:r>
          </w:p>
        </w:tc>
        <w:tc>
          <w:tcPr>
            <w:tcW w:w="1531" w:type="dxa"/>
          </w:tcPr>
          <w:p w:rsidR="00AE3CDB" w:rsidRPr="00AE3CDB" w:rsidRDefault="00AE3CDB" w:rsidP="00CF5EC4">
            <w:pPr>
              <w:keepNext w:val="0"/>
            </w:pPr>
            <w:r w:rsidRPr="00AE3CDB">
              <w:t>Minor</w:t>
            </w:r>
          </w:p>
        </w:tc>
      </w:tr>
      <w:tr w:rsidR="00AE3CDB" w:rsidTr="008450B1">
        <w:trPr>
          <w:cantSplit w:val="0"/>
        </w:trPr>
        <w:tc>
          <w:tcPr>
            <w:tcW w:w="5920" w:type="dxa"/>
          </w:tcPr>
          <w:p w:rsidR="00AE3CDB" w:rsidRPr="00AE3CDB" w:rsidRDefault="00AE3CDB" w:rsidP="00CF5EC4">
            <w:pPr>
              <w:keepNext w:val="0"/>
              <w:rPr>
                <w:rFonts w:ascii="Arial" w:hAnsi="Arial" w:cs="Arial"/>
                <w:b/>
                <w:i/>
                <w:color w:val="006DA7"/>
              </w:rPr>
            </w:pPr>
            <w:r w:rsidRPr="00AE3CDB">
              <w:rPr>
                <w:rFonts w:ascii="Arial" w:hAnsi="Arial" w:cs="Arial"/>
                <w:b/>
                <w:i/>
                <w:color w:val="006DA7"/>
              </w:rPr>
              <w:lastRenderedPageBreak/>
              <w:t>Data storage</w:t>
            </w:r>
          </w:p>
          <w:p w:rsidR="00AE3CDB" w:rsidRPr="00AE3CDB" w:rsidRDefault="00AE3CDB" w:rsidP="00CF5EC4">
            <w:pPr>
              <w:keepNext w:val="0"/>
              <w:rPr>
                <w:rFonts w:ascii="Arial" w:hAnsi="Arial" w:cs="Arial"/>
                <w:color w:val="006DA7"/>
              </w:rPr>
            </w:pPr>
            <w:r w:rsidRPr="00AE3CDB">
              <w:rPr>
                <w:rFonts w:ascii="Arial" w:hAnsi="Arial" w:cs="Arial"/>
                <w:color w:val="006DA7"/>
              </w:rPr>
              <w:t>7.1 Data should be secured by both physical and electronic means against damage. Stored data should be checked for accessibility, readability and accuracy. Access to data should be ensured throughout the retention period.</w:t>
            </w:r>
          </w:p>
          <w:p w:rsidR="00AE3CDB" w:rsidRPr="00AE3CDB" w:rsidRDefault="00AE3CDB" w:rsidP="005C1208">
            <w:pPr>
              <w:keepNext w:val="0"/>
              <w:rPr>
                <w:rFonts w:ascii="Arial" w:hAnsi="Arial" w:cs="Arial"/>
                <w:b/>
                <w:i/>
                <w:color w:val="006DA7"/>
              </w:rPr>
            </w:pPr>
            <w:r w:rsidRPr="00AE3CDB">
              <w:rPr>
                <w:rFonts w:ascii="Arial" w:hAnsi="Arial" w:cs="Arial"/>
                <w:color w:val="006DA7"/>
              </w:rPr>
              <w:t xml:space="preserve">7.2 </w:t>
            </w:r>
            <w:proofErr w:type="spellStart"/>
            <w:r w:rsidRPr="00AE3CDB">
              <w:rPr>
                <w:rFonts w:ascii="Arial" w:hAnsi="Arial" w:cs="Arial"/>
                <w:color w:val="006DA7"/>
              </w:rPr>
              <w:t>egular</w:t>
            </w:r>
            <w:proofErr w:type="spellEnd"/>
            <w:r w:rsidRPr="00AE3CDB">
              <w:rPr>
                <w:rFonts w:ascii="Arial" w:hAnsi="Arial" w:cs="Arial"/>
                <w:color w:val="006DA7"/>
              </w:rPr>
              <w:t xml:space="preserve"> back-ups of all relevant data should be done. Integrity and accuracy of backup data and the ability to restore the data should be checked during validation and monitored periodically.</w:t>
            </w:r>
          </w:p>
        </w:tc>
        <w:tc>
          <w:tcPr>
            <w:tcW w:w="5812" w:type="dxa"/>
          </w:tcPr>
          <w:p w:rsidR="00AE3CDB" w:rsidRDefault="00AE3CDB" w:rsidP="00CF5EC4">
            <w:pPr>
              <w:keepNext w:val="0"/>
            </w:pPr>
            <w:r>
              <w:t xml:space="preserve">14. </w:t>
            </w:r>
            <w:r w:rsidRPr="00AE3CDB">
              <w:t>Data should be protected by backing-up at regular intervals. Back-up data should be stored as long as necessary at a separate and secure location.</w:t>
            </w:r>
          </w:p>
        </w:tc>
        <w:tc>
          <w:tcPr>
            <w:tcW w:w="1843" w:type="dxa"/>
          </w:tcPr>
          <w:p w:rsidR="00AE3CDB" w:rsidRDefault="00AE3CDB" w:rsidP="00CF5EC4">
            <w:pPr>
              <w:keepNext w:val="0"/>
            </w:pPr>
            <w:r w:rsidRPr="00AE3CDB">
              <w:t>Clarification of requirements</w:t>
            </w:r>
          </w:p>
        </w:tc>
        <w:tc>
          <w:tcPr>
            <w:tcW w:w="1531" w:type="dxa"/>
          </w:tcPr>
          <w:p w:rsidR="00AE3CDB" w:rsidRPr="00AE3CDB" w:rsidRDefault="00AE3CDB" w:rsidP="00CF5EC4">
            <w:pPr>
              <w:keepNext w:val="0"/>
            </w:pPr>
            <w:r w:rsidRPr="00AE3CDB">
              <w:t>Minor</w:t>
            </w:r>
          </w:p>
        </w:tc>
      </w:tr>
      <w:tr w:rsidR="001F64EE" w:rsidTr="008450B1">
        <w:trPr>
          <w:cantSplit w:val="0"/>
        </w:trPr>
        <w:tc>
          <w:tcPr>
            <w:tcW w:w="5920" w:type="dxa"/>
          </w:tcPr>
          <w:p w:rsidR="001F64EE" w:rsidRPr="001F64EE" w:rsidRDefault="001F64EE" w:rsidP="00CF5EC4">
            <w:pPr>
              <w:keepNext w:val="0"/>
              <w:rPr>
                <w:rFonts w:ascii="Arial" w:hAnsi="Arial" w:cs="Arial"/>
                <w:b/>
                <w:i/>
                <w:color w:val="006DA7"/>
              </w:rPr>
            </w:pPr>
            <w:r w:rsidRPr="001F64EE">
              <w:rPr>
                <w:rFonts w:ascii="Arial" w:hAnsi="Arial" w:cs="Arial"/>
                <w:b/>
                <w:i/>
                <w:color w:val="006DA7"/>
              </w:rPr>
              <w:t>Print outs</w:t>
            </w:r>
          </w:p>
          <w:p w:rsidR="001F64EE" w:rsidRPr="001F64EE" w:rsidRDefault="001F64EE" w:rsidP="00CF5EC4">
            <w:pPr>
              <w:keepNext w:val="0"/>
              <w:rPr>
                <w:rFonts w:ascii="Arial" w:hAnsi="Arial" w:cs="Arial"/>
                <w:color w:val="006DA7"/>
              </w:rPr>
            </w:pPr>
            <w:r w:rsidRPr="001F64EE">
              <w:rPr>
                <w:rFonts w:ascii="Arial" w:hAnsi="Arial" w:cs="Arial"/>
                <w:color w:val="006DA7"/>
              </w:rPr>
              <w:t>8.1 It should be possible to obtain clear printed copies of electronically stored data.</w:t>
            </w:r>
          </w:p>
          <w:p w:rsidR="001F64EE" w:rsidRPr="00AE3CDB" w:rsidRDefault="001F64EE" w:rsidP="005C1208">
            <w:pPr>
              <w:keepNext w:val="0"/>
              <w:rPr>
                <w:rFonts w:ascii="Arial" w:hAnsi="Arial" w:cs="Arial"/>
                <w:b/>
                <w:i/>
                <w:color w:val="006DA7"/>
              </w:rPr>
            </w:pPr>
            <w:r w:rsidRPr="001F64EE">
              <w:rPr>
                <w:rFonts w:ascii="Arial" w:hAnsi="Arial" w:cs="Arial"/>
                <w:color w:val="006DA7"/>
              </w:rPr>
              <w:t>8.2 For records supporting batch release it should be possible to generate printouts indicating if any of the data has been changed since the original entry.</w:t>
            </w:r>
          </w:p>
        </w:tc>
        <w:tc>
          <w:tcPr>
            <w:tcW w:w="5812" w:type="dxa"/>
          </w:tcPr>
          <w:p w:rsidR="001F64EE" w:rsidRDefault="001F64EE" w:rsidP="00CF5EC4">
            <w:pPr>
              <w:keepNext w:val="0"/>
            </w:pPr>
            <w:r w:rsidRPr="001F64EE">
              <w:t>12. For quality auditing purposes, it should be possible to obtain meaningful printed copies of electronically stored data.</w:t>
            </w:r>
          </w:p>
        </w:tc>
        <w:tc>
          <w:tcPr>
            <w:tcW w:w="1843" w:type="dxa"/>
          </w:tcPr>
          <w:p w:rsidR="001F64EE" w:rsidRPr="00AE3CDB" w:rsidRDefault="001F64EE" w:rsidP="00CF5EC4">
            <w:pPr>
              <w:keepNext w:val="0"/>
            </w:pPr>
            <w:r w:rsidRPr="001F64EE">
              <w:t>Clarification of requirements</w:t>
            </w:r>
          </w:p>
        </w:tc>
        <w:tc>
          <w:tcPr>
            <w:tcW w:w="1531" w:type="dxa"/>
          </w:tcPr>
          <w:p w:rsidR="001F64EE" w:rsidRPr="00AE3CDB" w:rsidRDefault="001F64EE" w:rsidP="00CF5EC4">
            <w:pPr>
              <w:keepNext w:val="0"/>
            </w:pPr>
            <w:r w:rsidRPr="001F64EE">
              <w:t>Minor</w:t>
            </w:r>
          </w:p>
        </w:tc>
      </w:tr>
      <w:tr w:rsidR="001F64EE" w:rsidTr="008450B1">
        <w:trPr>
          <w:cantSplit w:val="0"/>
        </w:trPr>
        <w:tc>
          <w:tcPr>
            <w:tcW w:w="5920" w:type="dxa"/>
          </w:tcPr>
          <w:p w:rsidR="001F64EE" w:rsidRPr="001F64EE" w:rsidRDefault="001F64EE" w:rsidP="00CF5EC4">
            <w:pPr>
              <w:keepNext w:val="0"/>
              <w:rPr>
                <w:rFonts w:ascii="Arial" w:hAnsi="Arial" w:cs="Arial"/>
                <w:b/>
                <w:i/>
                <w:color w:val="006DA7"/>
              </w:rPr>
            </w:pPr>
            <w:r w:rsidRPr="001F64EE">
              <w:rPr>
                <w:rFonts w:ascii="Arial" w:hAnsi="Arial" w:cs="Arial"/>
                <w:b/>
                <w:i/>
                <w:color w:val="006DA7"/>
              </w:rPr>
              <w:t>Audit trail</w:t>
            </w:r>
          </w:p>
          <w:p w:rsidR="001F64EE" w:rsidRPr="001F64EE" w:rsidRDefault="001F64EE" w:rsidP="00CF5EC4">
            <w:pPr>
              <w:keepNext w:val="0"/>
              <w:rPr>
                <w:rFonts w:ascii="Arial" w:hAnsi="Arial" w:cs="Arial"/>
                <w:color w:val="006DA7"/>
              </w:rPr>
            </w:pPr>
            <w:r w:rsidRPr="001F64EE">
              <w:rPr>
                <w:rFonts w:ascii="Arial" w:hAnsi="Arial" w:cs="Arial"/>
                <w:color w:val="006DA7"/>
              </w:rPr>
              <w:t xml:space="preserve">9. Consideration should be given, based on a risk assessment, to building into the system the creation of a record of all GMP-relevant changes and deletions (a system generated "audit trail"). For change or deletion of GMP-relevant data the reason should be documented. </w:t>
            </w:r>
            <w:r w:rsidRPr="001F64EE">
              <w:rPr>
                <w:rFonts w:ascii="Arial" w:hAnsi="Arial" w:cs="Arial"/>
                <w:color w:val="006DA7"/>
              </w:rPr>
              <w:lastRenderedPageBreak/>
              <w:t>Audit trails need to be available and convertible to a generally intelligible form and regularly reviewed.</w:t>
            </w:r>
          </w:p>
        </w:tc>
        <w:tc>
          <w:tcPr>
            <w:tcW w:w="5812" w:type="dxa"/>
          </w:tcPr>
          <w:p w:rsidR="001F64EE" w:rsidRPr="001F64EE" w:rsidRDefault="001F64EE" w:rsidP="00CF5EC4">
            <w:pPr>
              <w:keepNext w:val="0"/>
            </w:pPr>
            <w:r w:rsidRPr="001F64EE">
              <w:lastRenderedPageBreak/>
              <w:t xml:space="preserve">10. The system should record the identity of operators entering or confirming critical data. Authority to amend entered data should be restricted to nominated persons. Any alteration to an entry of critical data should be authorised and recorded with the reason for the change. Consideration should be given to the system creating a complete record of all entries and amendments (an "audit </w:t>
            </w:r>
            <w:r w:rsidRPr="001F64EE">
              <w:lastRenderedPageBreak/>
              <w:t>trail").</w:t>
            </w:r>
          </w:p>
        </w:tc>
        <w:tc>
          <w:tcPr>
            <w:tcW w:w="1843" w:type="dxa"/>
          </w:tcPr>
          <w:p w:rsidR="001F64EE" w:rsidRDefault="001F64EE" w:rsidP="00CF5EC4">
            <w:pPr>
              <w:keepNext w:val="0"/>
            </w:pPr>
            <w:r>
              <w:lastRenderedPageBreak/>
              <w:t>Clarification of requirements;</w:t>
            </w:r>
          </w:p>
          <w:p w:rsidR="001F64EE" w:rsidRDefault="001F64EE" w:rsidP="00CF5EC4">
            <w:pPr>
              <w:keepNext w:val="0"/>
            </w:pPr>
            <w:r>
              <w:t>Introduction of QRM;</w:t>
            </w:r>
          </w:p>
          <w:p w:rsidR="001F64EE" w:rsidRPr="001F64EE" w:rsidRDefault="001F64EE" w:rsidP="00CF5EC4">
            <w:pPr>
              <w:keepNext w:val="0"/>
            </w:pPr>
            <w:r>
              <w:t xml:space="preserve">Making </w:t>
            </w:r>
            <w:r>
              <w:lastRenderedPageBreak/>
              <w:t>requirements less prescriptive</w:t>
            </w:r>
          </w:p>
        </w:tc>
        <w:tc>
          <w:tcPr>
            <w:tcW w:w="1531" w:type="dxa"/>
          </w:tcPr>
          <w:p w:rsidR="001F64EE" w:rsidRPr="001F64EE" w:rsidRDefault="001F64EE" w:rsidP="00CF5EC4">
            <w:pPr>
              <w:keepNext w:val="0"/>
            </w:pPr>
            <w:r w:rsidRPr="001F64EE">
              <w:lastRenderedPageBreak/>
              <w:t>Nil</w:t>
            </w:r>
          </w:p>
        </w:tc>
      </w:tr>
      <w:tr w:rsidR="001F64EE" w:rsidTr="008450B1">
        <w:trPr>
          <w:cantSplit w:val="0"/>
        </w:trPr>
        <w:tc>
          <w:tcPr>
            <w:tcW w:w="5920" w:type="dxa"/>
          </w:tcPr>
          <w:p w:rsidR="001F64EE" w:rsidRPr="001F64EE" w:rsidRDefault="001F64EE" w:rsidP="00CF5EC4">
            <w:pPr>
              <w:keepNext w:val="0"/>
              <w:rPr>
                <w:rFonts w:ascii="Arial" w:hAnsi="Arial" w:cs="Arial"/>
                <w:b/>
                <w:i/>
                <w:color w:val="006DA7"/>
              </w:rPr>
            </w:pPr>
            <w:r w:rsidRPr="001F64EE">
              <w:rPr>
                <w:rFonts w:ascii="Arial" w:hAnsi="Arial" w:cs="Arial"/>
                <w:b/>
                <w:i/>
                <w:color w:val="006DA7"/>
              </w:rPr>
              <w:lastRenderedPageBreak/>
              <w:t>Change and Configuration Management</w:t>
            </w:r>
          </w:p>
          <w:p w:rsidR="001F64EE" w:rsidRPr="001F64EE" w:rsidRDefault="001F64EE" w:rsidP="00CF5EC4">
            <w:pPr>
              <w:keepNext w:val="0"/>
              <w:rPr>
                <w:rFonts w:ascii="Arial" w:hAnsi="Arial" w:cs="Arial"/>
                <w:color w:val="006DA7"/>
              </w:rPr>
            </w:pPr>
            <w:r w:rsidRPr="001F64EE">
              <w:rPr>
                <w:rFonts w:ascii="Arial" w:hAnsi="Arial" w:cs="Arial"/>
                <w:color w:val="006DA7"/>
              </w:rPr>
              <w:t>10. Any changes to a computerised system including system configurations should only be made in a controlled manner in accordance with a defined procedure.</w:t>
            </w:r>
          </w:p>
        </w:tc>
        <w:tc>
          <w:tcPr>
            <w:tcW w:w="5812" w:type="dxa"/>
          </w:tcPr>
          <w:p w:rsidR="001F64EE" w:rsidRPr="001F64EE" w:rsidRDefault="001F64EE" w:rsidP="00CF5EC4">
            <w:pPr>
              <w:keepNext w:val="0"/>
            </w:pPr>
            <w:r w:rsidRPr="001F64EE">
              <w:t>11. Alterations to a system or to a computer program should only be made in accordance with a defined procedure which should include provision for validating, checking, approving and implementing the change. Such an alteration should only be implemented with the agreement of the person responsible for the part of the system concerned, and the alteration should be recorded. Every significant modification should be validated.</w:t>
            </w:r>
          </w:p>
        </w:tc>
        <w:tc>
          <w:tcPr>
            <w:tcW w:w="1843" w:type="dxa"/>
          </w:tcPr>
          <w:p w:rsidR="001F64EE" w:rsidRDefault="001F64EE" w:rsidP="00CF5EC4">
            <w:pPr>
              <w:keepNext w:val="0"/>
            </w:pPr>
            <w:r>
              <w:t>Clarification of requirements;</w:t>
            </w:r>
          </w:p>
          <w:p w:rsidR="001F64EE" w:rsidRDefault="001F64EE" w:rsidP="00CF5EC4">
            <w:pPr>
              <w:keepNext w:val="0"/>
            </w:pPr>
            <w:r>
              <w:t>Making requirements less prescriptive</w:t>
            </w:r>
          </w:p>
        </w:tc>
        <w:tc>
          <w:tcPr>
            <w:tcW w:w="1531" w:type="dxa"/>
          </w:tcPr>
          <w:p w:rsidR="001F64EE" w:rsidRPr="001F64EE" w:rsidRDefault="001F64EE" w:rsidP="00CF5EC4">
            <w:pPr>
              <w:keepNext w:val="0"/>
            </w:pPr>
            <w:r w:rsidRPr="001F64EE">
              <w:t>Minor</w:t>
            </w:r>
          </w:p>
        </w:tc>
      </w:tr>
      <w:tr w:rsidR="001F64EE" w:rsidTr="008450B1">
        <w:trPr>
          <w:cantSplit w:val="0"/>
        </w:trPr>
        <w:tc>
          <w:tcPr>
            <w:tcW w:w="5920" w:type="dxa"/>
          </w:tcPr>
          <w:p w:rsidR="001F64EE" w:rsidRPr="001F64EE" w:rsidRDefault="001F64EE" w:rsidP="00CF5EC4">
            <w:pPr>
              <w:keepNext w:val="0"/>
              <w:rPr>
                <w:rFonts w:ascii="Arial" w:hAnsi="Arial" w:cs="Arial"/>
                <w:b/>
                <w:i/>
                <w:color w:val="006DA7"/>
              </w:rPr>
            </w:pPr>
            <w:r w:rsidRPr="001F64EE">
              <w:rPr>
                <w:rFonts w:ascii="Arial" w:hAnsi="Arial" w:cs="Arial"/>
                <w:b/>
                <w:i/>
                <w:color w:val="006DA7"/>
              </w:rPr>
              <w:t>Periodic Evaluation</w:t>
            </w:r>
          </w:p>
          <w:p w:rsidR="001F64EE" w:rsidRPr="001F64EE" w:rsidRDefault="001F64EE" w:rsidP="00CF5EC4">
            <w:pPr>
              <w:keepNext w:val="0"/>
              <w:rPr>
                <w:rFonts w:ascii="Arial" w:hAnsi="Arial" w:cs="Arial"/>
                <w:color w:val="006DA7"/>
              </w:rPr>
            </w:pPr>
            <w:r w:rsidRPr="001F64EE">
              <w:rPr>
                <w:rFonts w:ascii="Arial" w:hAnsi="Arial" w:cs="Arial"/>
                <w:color w:val="006DA7"/>
              </w:rPr>
              <w:t>11. Computerised systems should be periodically evaluated to confirm that they remain in a valid state and are compliant with GMP. Such evaluations should include, where appropriate, the current range of functionality, deviation records, incidents, problems, upgrade history, performance, reliability, security and validation status reports.</w:t>
            </w:r>
          </w:p>
        </w:tc>
        <w:tc>
          <w:tcPr>
            <w:tcW w:w="5812" w:type="dxa"/>
          </w:tcPr>
          <w:p w:rsidR="001F64EE" w:rsidRDefault="001F64EE" w:rsidP="00CF5EC4">
            <w:pPr>
              <w:keepNext w:val="0"/>
            </w:pPr>
            <w:r>
              <w:t>--</w:t>
            </w:r>
          </w:p>
          <w:p w:rsidR="001F64EE" w:rsidRPr="001F64EE" w:rsidRDefault="001F64EE" w:rsidP="00CF5EC4">
            <w:pPr>
              <w:keepNext w:val="0"/>
              <w:ind w:left="317"/>
              <w:rPr>
                <w:i/>
              </w:rPr>
            </w:pPr>
            <w:r w:rsidRPr="001F64EE">
              <w:rPr>
                <w:i/>
              </w:rPr>
              <w:t>Note: new requirement, which is a further specification of the existing requirement in Chapter 5 clause 5.24: “Processes and procedures should undergo periodic critical revalidation to ensure that they remain capable of achieving the intended results.” As this new clause requires a “periodic evaluation” rather than a “periodic critical revalidation”, it is effectively reducing expectations.</w:t>
            </w:r>
          </w:p>
        </w:tc>
        <w:tc>
          <w:tcPr>
            <w:tcW w:w="1843" w:type="dxa"/>
          </w:tcPr>
          <w:p w:rsidR="001F64EE" w:rsidRDefault="001F64EE" w:rsidP="00CF5EC4">
            <w:pPr>
              <w:keepNext w:val="0"/>
            </w:pPr>
            <w:r w:rsidRPr="001F64EE">
              <w:t>Introduction of a new periodic evaluation requirement, but effectively no significant change</w:t>
            </w:r>
          </w:p>
        </w:tc>
        <w:tc>
          <w:tcPr>
            <w:tcW w:w="1531" w:type="dxa"/>
          </w:tcPr>
          <w:p w:rsidR="001F64EE" w:rsidRPr="001F64EE" w:rsidRDefault="001F64EE" w:rsidP="00CF5EC4">
            <w:pPr>
              <w:keepNext w:val="0"/>
            </w:pPr>
            <w:r w:rsidRPr="001F64EE">
              <w:t>Minor</w:t>
            </w:r>
          </w:p>
        </w:tc>
      </w:tr>
      <w:tr w:rsidR="00D34B7D" w:rsidTr="008450B1">
        <w:trPr>
          <w:cantSplit w:val="0"/>
        </w:trPr>
        <w:tc>
          <w:tcPr>
            <w:tcW w:w="5920" w:type="dxa"/>
          </w:tcPr>
          <w:p w:rsidR="00D34B7D" w:rsidRPr="00D34B7D" w:rsidRDefault="00D34B7D" w:rsidP="00CF5EC4">
            <w:pPr>
              <w:keepNext w:val="0"/>
              <w:rPr>
                <w:rFonts w:ascii="Arial" w:hAnsi="Arial" w:cs="Arial"/>
                <w:b/>
                <w:i/>
                <w:color w:val="006DA7"/>
              </w:rPr>
            </w:pPr>
            <w:r w:rsidRPr="00D34B7D">
              <w:rPr>
                <w:rFonts w:ascii="Arial" w:hAnsi="Arial" w:cs="Arial"/>
                <w:b/>
                <w:i/>
                <w:color w:val="006DA7"/>
              </w:rPr>
              <w:t>Security</w:t>
            </w:r>
          </w:p>
          <w:p w:rsidR="00D34B7D" w:rsidRPr="00D34B7D" w:rsidRDefault="00D34B7D" w:rsidP="00CF5EC4">
            <w:pPr>
              <w:keepNext w:val="0"/>
              <w:rPr>
                <w:rFonts w:ascii="Arial" w:hAnsi="Arial" w:cs="Arial"/>
                <w:color w:val="006DA7"/>
              </w:rPr>
            </w:pPr>
            <w:proofErr w:type="gramStart"/>
            <w:r w:rsidRPr="00D34B7D">
              <w:rPr>
                <w:rFonts w:ascii="Arial" w:hAnsi="Arial" w:cs="Arial"/>
                <w:color w:val="006DA7"/>
              </w:rPr>
              <w:t xml:space="preserve">12.1 </w:t>
            </w:r>
            <w:r w:rsidR="005C1208">
              <w:rPr>
                <w:rFonts w:ascii="Arial" w:hAnsi="Arial" w:cs="Arial"/>
                <w:color w:val="006DA7"/>
              </w:rPr>
              <w:t xml:space="preserve"> </w:t>
            </w:r>
            <w:r w:rsidRPr="00D34B7D">
              <w:rPr>
                <w:rFonts w:ascii="Arial" w:hAnsi="Arial" w:cs="Arial"/>
                <w:color w:val="006DA7"/>
              </w:rPr>
              <w:t>Physical</w:t>
            </w:r>
            <w:proofErr w:type="gramEnd"/>
            <w:r w:rsidRPr="00D34B7D">
              <w:rPr>
                <w:rFonts w:ascii="Arial" w:hAnsi="Arial" w:cs="Arial"/>
                <w:color w:val="006DA7"/>
              </w:rPr>
              <w:t xml:space="preserve"> and/or logical controls should be in place to restrict access to computerised system to authorised </w:t>
            </w:r>
            <w:r w:rsidRPr="00D34B7D">
              <w:rPr>
                <w:rFonts w:ascii="Arial" w:hAnsi="Arial" w:cs="Arial"/>
                <w:color w:val="006DA7"/>
              </w:rPr>
              <w:lastRenderedPageBreak/>
              <w:t xml:space="preserve">persons. Suitable methods of preventing unauthorised entry to the system may include the use of </w:t>
            </w:r>
            <w:proofErr w:type="gramStart"/>
            <w:r w:rsidRPr="00D34B7D">
              <w:rPr>
                <w:rFonts w:ascii="Arial" w:hAnsi="Arial" w:cs="Arial"/>
                <w:color w:val="006DA7"/>
              </w:rPr>
              <w:t>keys,</w:t>
            </w:r>
            <w:proofErr w:type="gramEnd"/>
            <w:r w:rsidRPr="00D34B7D">
              <w:rPr>
                <w:rFonts w:ascii="Arial" w:hAnsi="Arial" w:cs="Arial"/>
                <w:color w:val="006DA7"/>
              </w:rPr>
              <w:t xml:space="preserve"> pass cards, personal codes with passwords, biometrics, restricted access to computer equipment and data storage areas.</w:t>
            </w:r>
          </w:p>
          <w:p w:rsidR="00D34B7D" w:rsidRPr="00D34B7D" w:rsidRDefault="00D34B7D" w:rsidP="00CF5EC4">
            <w:pPr>
              <w:keepNext w:val="0"/>
              <w:rPr>
                <w:rFonts w:ascii="Arial" w:hAnsi="Arial" w:cs="Arial"/>
                <w:color w:val="006DA7"/>
              </w:rPr>
            </w:pPr>
            <w:r w:rsidRPr="00D34B7D">
              <w:rPr>
                <w:rFonts w:ascii="Arial" w:hAnsi="Arial" w:cs="Arial"/>
                <w:color w:val="006DA7"/>
              </w:rPr>
              <w:t>12.2</w:t>
            </w:r>
            <w:r w:rsidR="005C1208">
              <w:rPr>
                <w:rFonts w:ascii="Arial" w:hAnsi="Arial" w:cs="Arial"/>
                <w:color w:val="006DA7"/>
              </w:rPr>
              <w:t xml:space="preserve"> </w:t>
            </w:r>
            <w:r w:rsidRPr="00D34B7D">
              <w:rPr>
                <w:rFonts w:ascii="Arial" w:hAnsi="Arial" w:cs="Arial"/>
                <w:color w:val="006DA7"/>
              </w:rPr>
              <w:t>The extent of security controls depends on the criticality of the computerised system.</w:t>
            </w:r>
          </w:p>
          <w:p w:rsidR="00D34B7D" w:rsidRPr="00D34B7D" w:rsidRDefault="00D34B7D" w:rsidP="00CF5EC4">
            <w:pPr>
              <w:keepNext w:val="0"/>
              <w:rPr>
                <w:rFonts w:ascii="Arial" w:hAnsi="Arial" w:cs="Arial"/>
                <w:color w:val="006DA7"/>
              </w:rPr>
            </w:pPr>
            <w:r w:rsidRPr="00D34B7D">
              <w:rPr>
                <w:rFonts w:ascii="Arial" w:hAnsi="Arial" w:cs="Arial"/>
                <w:color w:val="006DA7"/>
              </w:rPr>
              <w:t>12.3</w:t>
            </w:r>
            <w:r w:rsidR="005C1208">
              <w:rPr>
                <w:rFonts w:ascii="Arial" w:hAnsi="Arial" w:cs="Arial"/>
                <w:color w:val="006DA7"/>
              </w:rPr>
              <w:t xml:space="preserve"> </w:t>
            </w:r>
            <w:r w:rsidRPr="00D34B7D">
              <w:rPr>
                <w:rFonts w:ascii="Arial" w:hAnsi="Arial" w:cs="Arial"/>
                <w:color w:val="006DA7"/>
              </w:rPr>
              <w:t>Creation, change, and cancellation of access authorisations should be recorded.</w:t>
            </w:r>
          </w:p>
          <w:p w:rsidR="00D34B7D" w:rsidRPr="00D34B7D" w:rsidRDefault="00D34B7D" w:rsidP="00CF5EC4">
            <w:pPr>
              <w:keepNext w:val="0"/>
              <w:rPr>
                <w:rFonts w:ascii="Arial" w:hAnsi="Arial" w:cs="Arial"/>
                <w:color w:val="006DA7"/>
              </w:rPr>
            </w:pPr>
            <w:r w:rsidRPr="00D34B7D">
              <w:rPr>
                <w:rFonts w:ascii="Arial" w:hAnsi="Arial" w:cs="Arial"/>
                <w:color w:val="006DA7"/>
              </w:rPr>
              <w:t>12.4</w:t>
            </w:r>
            <w:r w:rsidR="005C1208">
              <w:rPr>
                <w:rFonts w:ascii="Arial" w:hAnsi="Arial" w:cs="Arial"/>
                <w:color w:val="006DA7"/>
              </w:rPr>
              <w:t xml:space="preserve"> </w:t>
            </w:r>
            <w:r w:rsidRPr="00D34B7D">
              <w:rPr>
                <w:rFonts w:ascii="Arial" w:hAnsi="Arial" w:cs="Arial"/>
                <w:color w:val="006DA7"/>
              </w:rPr>
              <w:t>Management systems for data and for documents should be designed to record the identity of operators entering, changing, confirming or deleting data including date and time.</w:t>
            </w:r>
          </w:p>
          <w:p w:rsidR="00D34B7D" w:rsidRPr="005C1208" w:rsidRDefault="00D34B7D" w:rsidP="005C1208">
            <w:pPr>
              <w:ind w:left="284"/>
              <w:rPr>
                <w:b/>
                <w:i/>
              </w:rPr>
            </w:pPr>
            <w:r w:rsidRPr="005C1208">
              <w:rPr>
                <w:i/>
              </w:rPr>
              <w:t>Note: also refer to PE 009-10 clause 17 below that has also been compared with PE 009-8 clause 13</w:t>
            </w:r>
          </w:p>
        </w:tc>
        <w:tc>
          <w:tcPr>
            <w:tcW w:w="5812" w:type="dxa"/>
          </w:tcPr>
          <w:p w:rsidR="00D34B7D" w:rsidRDefault="00D34B7D" w:rsidP="00CF5EC4">
            <w:pPr>
              <w:keepNext w:val="0"/>
            </w:pPr>
            <w:r>
              <w:lastRenderedPageBreak/>
              <w:t>3. Attention should be paid to the siting of equipment in suitable conditions where extraneous factors cannot interfere with the system.</w:t>
            </w:r>
          </w:p>
          <w:p w:rsidR="00D34B7D" w:rsidRDefault="00D34B7D" w:rsidP="00CF5EC4">
            <w:pPr>
              <w:keepNext w:val="0"/>
            </w:pPr>
            <w:r>
              <w:lastRenderedPageBreak/>
              <w:t>13. Data should be secured by physical or electronic means against wilful or accidental damage, and this in accordance with item 4.9 of the Guide. Stored data should be checked for accessibility, durability and accuracy. If changes are proposed to the computer equipment or its programs, the above mentioned checks should be performed at a frequency appropriate to the storage medium being used.</w:t>
            </w:r>
          </w:p>
        </w:tc>
        <w:tc>
          <w:tcPr>
            <w:tcW w:w="1843" w:type="dxa"/>
          </w:tcPr>
          <w:p w:rsidR="00D34B7D" w:rsidRDefault="00D34B7D" w:rsidP="00CF5EC4">
            <w:pPr>
              <w:keepNext w:val="0"/>
            </w:pPr>
            <w:r>
              <w:lastRenderedPageBreak/>
              <w:t>Clarification of requirements;</w:t>
            </w:r>
          </w:p>
          <w:p w:rsidR="00D34B7D" w:rsidRDefault="00D34B7D" w:rsidP="00CF5EC4">
            <w:pPr>
              <w:keepNext w:val="0"/>
            </w:pPr>
            <w:r>
              <w:t xml:space="preserve">Introduction of </w:t>
            </w:r>
            <w:r>
              <w:lastRenderedPageBreak/>
              <w:t>QRM;</w:t>
            </w:r>
          </w:p>
          <w:p w:rsidR="00D34B7D" w:rsidRPr="001F64EE" w:rsidRDefault="00D34B7D" w:rsidP="00CF5EC4">
            <w:pPr>
              <w:keepNext w:val="0"/>
            </w:pPr>
            <w:r>
              <w:t>Making requirements less prescriptive</w:t>
            </w:r>
          </w:p>
        </w:tc>
        <w:tc>
          <w:tcPr>
            <w:tcW w:w="1531" w:type="dxa"/>
          </w:tcPr>
          <w:p w:rsidR="00D34B7D" w:rsidRPr="001F64EE" w:rsidRDefault="00D34B7D" w:rsidP="00CF5EC4">
            <w:pPr>
              <w:keepNext w:val="0"/>
            </w:pPr>
            <w:r w:rsidRPr="00D34B7D">
              <w:lastRenderedPageBreak/>
              <w:t>Minor</w:t>
            </w:r>
          </w:p>
        </w:tc>
      </w:tr>
      <w:tr w:rsidR="00D34B7D" w:rsidTr="008450B1">
        <w:trPr>
          <w:cantSplit w:val="0"/>
        </w:trPr>
        <w:tc>
          <w:tcPr>
            <w:tcW w:w="5920" w:type="dxa"/>
          </w:tcPr>
          <w:p w:rsidR="00D34B7D" w:rsidRPr="00D34B7D" w:rsidRDefault="00D34B7D" w:rsidP="00CF5EC4">
            <w:pPr>
              <w:keepNext w:val="0"/>
              <w:rPr>
                <w:rFonts w:ascii="Arial" w:hAnsi="Arial" w:cs="Arial"/>
                <w:b/>
                <w:i/>
                <w:color w:val="006DA7"/>
              </w:rPr>
            </w:pPr>
            <w:r w:rsidRPr="00D34B7D">
              <w:rPr>
                <w:rFonts w:ascii="Arial" w:hAnsi="Arial" w:cs="Arial"/>
                <w:b/>
                <w:i/>
                <w:color w:val="006DA7"/>
              </w:rPr>
              <w:lastRenderedPageBreak/>
              <w:t>Incident Management</w:t>
            </w:r>
          </w:p>
          <w:p w:rsidR="00D34B7D" w:rsidRPr="00D34B7D" w:rsidRDefault="00D34B7D" w:rsidP="00CF5EC4">
            <w:pPr>
              <w:keepNext w:val="0"/>
              <w:rPr>
                <w:rFonts w:ascii="Arial" w:hAnsi="Arial" w:cs="Arial"/>
                <w:color w:val="006DA7"/>
              </w:rPr>
            </w:pPr>
            <w:r w:rsidRPr="00D34B7D">
              <w:rPr>
                <w:rFonts w:ascii="Arial" w:hAnsi="Arial" w:cs="Arial"/>
                <w:color w:val="006DA7"/>
              </w:rPr>
              <w:t>13. All incidents, not only system failures and data errors, should be reported and assessed. The root cause of a critical incident should be identified and should form the basis of corrective and preventive actions.</w:t>
            </w:r>
          </w:p>
        </w:tc>
        <w:tc>
          <w:tcPr>
            <w:tcW w:w="5812" w:type="dxa"/>
          </w:tcPr>
          <w:p w:rsidR="00D34B7D" w:rsidRDefault="00D34B7D" w:rsidP="00CF5EC4">
            <w:pPr>
              <w:keepNext w:val="0"/>
            </w:pPr>
            <w:r w:rsidRPr="00D34B7D">
              <w:t>17.</w:t>
            </w:r>
            <w:r>
              <w:t xml:space="preserve"> </w:t>
            </w:r>
            <w:r w:rsidRPr="00D34B7D">
              <w:t>A procedure should be established to record and analyse errors and to enable corrective action to be taken.</w:t>
            </w:r>
          </w:p>
        </w:tc>
        <w:tc>
          <w:tcPr>
            <w:tcW w:w="1843" w:type="dxa"/>
          </w:tcPr>
          <w:p w:rsidR="00D34B7D" w:rsidRDefault="00D34B7D" w:rsidP="00CF5EC4">
            <w:pPr>
              <w:keepNext w:val="0"/>
            </w:pPr>
            <w:r w:rsidRPr="00D34B7D">
              <w:t>Clarification of requirements</w:t>
            </w:r>
          </w:p>
        </w:tc>
        <w:tc>
          <w:tcPr>
            <w:tcW w:w="1531" w:type="dxa"/>
          </w:tcPr>
          <w:p w:rsidR="00D34B7D" w:rsidRPr="00D34B7D" w:rsidRDefault="00D34B7D" w:rsidP="00CF5EC4">
            <w:pPr>
              <w:keepNext w:val="0"/>
            </w:pPr>
            <w:r w:rsidRPr="00D34B7D">
              <w:t>Minor</w:t>
            </w:r>
          </w:p>
        </w:tc>
      </w:tr>
      <w:tr w:rsidR="00D34B7D" w:rsidTr="008450B1">
        <w:trPr>
          <w:cantSplit w:val="0"/>
        </w:trPr>
        <w:tc>
          <w:tcPr>
            <w:tcW w:w="5920" w:type="dxa"/>
          </w:tcPr>
          <w:p w:rsidR="00D34B7D" w:rsidRPr="00D34B7D" w:rsidRDefault="00D34B7D" w:rsidP="005C1208">
            <w:pPr>
              <w:rPr>
                <w:rFonts w:ascii="Arial" w:hAnsi="Arial" w:cs="Arial"/>
                <w:b/>
                <w:i/>
                <w:color w:val="006DA7"/>
              </w:rPr>
            </w:pPr>
            <w:r w:rsidRPr="00D34B7D">
              <w:rPr>
                <w:rFonts w:ascii="Arial" w:hAnsi="Arial" w:cs="Arial"/>
                <w:b/>
                <w:i/>
                <w:color w:val="006DA7"/>
              </w:rPr>
              <w:lastRenderedPageBreak/>
              <w:t>Electronic Signature</w:t>
            </w:r>
          </w:p>
          <w:p w:rsidR="00D34B7D" w:rsidRPr="00D34B7D" w:rsidRDefault="00D34B7D" w:rsidP="00CF5EC4">
            <w:pPr>
              <w:keepNext w:val="0"/>
              <w:rPr>
                <w:rFonts w:ascii="Arial" w:hAnsi="Arial" w:cs="Arial"/>
                <w:color w:val="006DA7"/>
              </w:rPr>
            </w:pPr>
            <w:r w:rsidRPr="00D34B7D">
              <w:rPr>
                <w:rFonts w:ascii="Arial" w:hAnsi="Arial" w:cs="Arial"/>
                <w:color w:val="006DA7"/>
              </w:rPr>
              <w:t>14. Electronic records may be signed electronically. Electronic signatures are expected to:</w:t>
            </w:r>
          </w:p>
          <w:p w:rsidR="00D34B7D" w:rsidRPr="00D34B7D" w:rsidRDefault="00D34B7D" w:rsidP="00CF5EC4">
            <w:pPr>
              <w:pStyle w:val="Numberbullet2"/>
              <w:keepNext w:val="0"/>
              <w:numPr>
                <w:ilvl w:val="0"/>
                <w:numId w:val="38"/>
              </w:numPr>
              <w:rPr>
                <w:rFonts w:ascii="Arial" w:hAnsi="Arial" w:cs="Arial"/>
                <w:color w:val="006DA7"/>
              </w:rPr>
            </w:pPr>
            <w:r w:rsidRPr="00D34B7D">
              <w:rPr>
                <w:rFonts w:ascii="Arial" w:hAnsi="Arial" w:cs="Arial"/>
                <w:color w:val="006DA7"/>
              </w:rPr>
              <w:t>have the same impact as hand-written signatures within the boundaries of the company,</w:t>
            </w:r>
          </w:p>
          <w:p w:rsidR="00D34B7D" w:rsidRPr="00D34B7D" w:rsidRDefault="00D34B7D" w:rsidP="00CF5EC4">
            <w:pPr>
              <w:pStyle w:val="Numberbullet2"/>
              <w:keepNext w:val="0"/>
              <w:rPr>
                <w:rFonts w:ascii="Arial" w:hAnsi="Arial" w:cs="Arial"/>
                <w:color w:val="006DA7"/>
              </w:rPr>
            </w:pPr>
            <w:r w:rsidRPr="00D34B7D">
              <w:rPr>
                <w:rFonts w:ascii="Arial" w:hAnsi="Arial" w:cs="Arial"/>
                <w:color w:val="006DA7"/>
              </w:rPr>
              <w:t>be permanently linked to their respective record,</w:t>
            </w:r>
          </w:p>
          <w:p w:rsidR="00C55575" w:rsidRPr="00C55575" w:rsidRDefault="00D34B7D" w:rsidP="00C55575">
            <w:pPr>
              <w:pStyle w:val="Numberbullet2"/>
              <w:keepNext w:val="0"/>
              <w:rPr>
                <w:rFonts w:ascii="Arial" w:hAnsi="Arial" w:cs="Arial"/>
                <w:color w:val="006DA7"/>
              </w:rPr>
            </w:pPr>
            <w:proofErr w:type="gramStart"/>
            <w:r w:rsidRPr="00D34B7D">
              <w:rPr>
                <w:rFonts w:ascii="Arial" w:hAnsi="Arial" w:cs="Arial"/>
                <w:color w:val="006DA7"/>
              </w:rPr>
              <w:t>include</w:t>
            </w:r>
            <w:proofErr w:type="gramEnd"/>
            <w:r w:rsidRPr="00D34B7D">
              <w:rPr>
                <w:rFonts w:ascii="Arial" w:hAnsi="Arial" w:cs="Arial"/>
                <w:color w:val="006DA7"/>
              </w:rPr>
              <w:t xml:space="preserve"> the time and date that they were applied.</w:t>
            </w:r>
          </w:p>
        </w:tc>
        <w:tc>
          <w:tcPr>
            <w:tcW w:w="5812" w:type="dxa"/>
          </w:tcPr>
          <w:p w:rsidR="00D34B7D" w:rsidRDefault="00D34B7D" w:rsidP="00CF5EC4">
            <w:pPr>
              <w:keepNext w:val="0"/>
            </w:pPr>
            <w:r>
              <w:t>--</w:t>
            </w:r>
          </w:p>
          <w:p w:rsidR="00D34B7D" w:rsidRPr="00D34B7D" w:rsidRDefault="00D34B7D" w:rsidP="00CF5EC4">
            <w:pPr>
              <w:keepNext w:val="0"/>
              <w:ind w:left="317"/>
              <w:rPr>
                <w:i/>
              </w:rPr>
            </w:pPr>
            <w:r w:rsidRPr="00D34B7D">
              <w:rPr>
                <w:i/>
              </w:rPr>
              <w:t xml:space="preserve">Note: new clause in this </w:t>
            </w:r>
            <w:proofErr w:type="gramStart"/>
            <w:r w:rsidRPr="00D34B7D">
              <w:rPr>
                <w:i/>
              </w:rPr>
              <w:t>Annex,</w:t>
            </w:r>
            <w:proofErr w:type="gramEnd"/>
            <w:r w:rsidRPr="00D34B7D">
              <w:rPr>
                <w:i/>
              </w:rPr>
              <w:t xml:space="preserve"> contains part of information previously contained in Chapter 4 (main text) clause 4.9.</w:t>
            </w:r>
          </w:p>
        </w:tc>
        <w:tc>
          <w:tcPr>
            <w:tcW w:w="1843" w:type="dxa"/>
          </w:tcPr>
          <w:p w:rsidR="00D34B7D" w:rsidRPr="00D34B7D" w:rsidRDefault="00D34B7D" w:rsidP="00CF5EC4">
            <w:pPr>
              <w:keepNext w:val="0"/>
            </w:pPr>
            <w:r w:rsidRPr="00D34B7D">
              <w:t>Clarification of existing requirement, now bought to the specific Annex;</w:t>
            </w:r>
          </w:p>
        </w:tc>
        <w:tc>
          <w:tcPr>
            <w:tcW w:w="1531" w:type="dxa"/>
          </w:tcPr>
          <w:p w:rsidR="00D34B7D" w:rsidRPr="00D34B7D" w:rsidRDefault="00D34B7D" w:rsidP="00CF5EC4">
            <w:pPr>
              <w:keepNext w:val="0"/>
            </w:pPr>
            <w:r w:rsidRPr="00D34B7D">
              <w:t>Nil</w:t>
            </w:r>
          </w:p>
        </w:tc>
      </w:tr>
      <w:tr w:rsidR="00D34B7D" w:rsidTr="008450B1">
        <w:trPr>
          <w:cantSplit w:val="0"/>
        </w:trPr>
        <w:tc>
          <w:tcPr>
            <w:tcW w:w="5920" w:type="dxa"/>
          </w:tcPr>
          <w:p w:rsidR="00D34B7D" w:rsidRPr="00D34B7D" w:rsidRDefault="00D34B7D" w:rsidP="00CF5EC4">
            <w:pPr>
              <w:keepNext w:val="0"/>
              <w:rPr>
                <w:rFonts w:ascii="Arial" w:hAnsi="Arial" w:cs="Arial"/>
                <w:b/>
                <w:i/>
                <w:color w:val="006DA7"/>
              </w:rPr>
            </w:pPr>
            <w:r w:rsidRPr="00D34B7D">
              <w:rPr>
                <w:rFonts w:ascii="Arial" w:hAnsi="Arial" w:cs="Arial"/>
                <w:b/>
                <w:i/>
                <w:color w:val="006DA7"/>
              </w:rPr>
              <w:t>Batch release</w:t>
            </w:r>
          </w:p>
          <w:p w:rsidR="00D34B7D" w:rsidRPr="00D34B7D" w:rsidRDefault="00D34B7D" w:rsidP="00CF5EC4">
            <w:pPr>
              <w:keepNext w:val="0"/>
              <w:rPr>
                <w:rFonts w:ascii="Arial" w:hAnsi="Arial" w:cs="Arial"/>
                <w:color w:val="006DA7"/>
              </w:rPr>
            </w:pPr>
            <w:r w:rsidRPr="00D34B7D">
              <w:rPr>
                <w:rFonts w:ascii="Arial" w:hAnsi="Arial" w:cs="Arial"/>
                <w:color w:val="006DA7"/>
              </w:rPr>
              <w:t>15. When a computerised system is used for recording certification and batch release, the system should allow only Authorised Persons to certify the release of the batches and it should clearly identify and record the person releasing or certifying the batches. This should be performed using an electronic signature.</w:t>
            </w:r>
          </w:p>
        </w:tc>
        <w:tc>
          <w:tcPr>
            <w:tcW w:w="5812" w:type="dxa"/>
          </w:tcPr>
          <w:p w:rsidR="00D34B7D" w:rsidRDefault="00D34B7D" w:rsidP="00CF5EC4">
            <w:pPr>
              <w:keepNext w:val="0"/>
            </w:pPr>
            <w:r w:rsidRPr="00D34B7D">
              <w:t>19. When the release of batches for sale or supply is carried out using a computerised system, the system should recognise that only an Authorised Person can release the batches and it should clearly identify and record the person releasing the batches.</w:t>
            </w:r>
          </w:p>
        </w:tc>
        <w:tc>
          <w:tcPr>
            <w:tcW w:w="1843" w:type="dxa"/>
          </w:tcPr>
          <w:p w:rsidR="00D34B7D" w:rsidRPr="00D34B7D" w:rsidRDefault="00D34B7D" w:rsidP="00CF5EC4">
            <w:pPr>
              <w:keepNext w:val="0"/>
            </w:pPr>
            <w:r w:rsidRPr="00D34B7D">
              <w:t>Clarification of requirements</w:t>
            </w:r>
          </w:p>
        </w:tc>
        <w:tc>
          <w:tcPr>
            <w:tcW w:w="1531" w:type="dxa"/>
          </w:tcPr>
          <w:p w:rsidR="00D34B7D" w:rsidRPr="00D34B7D" w:rsidRDefault="00D34B7D" w:rsidP="00CF5EC4">
            <w:pPr>
              <w:keepNext w:val="0"/>
            </w:pPr>
            <w:r w:rsidRPr="00D34B7D">
              <w:t>Nil</w:t>
            </w:r>
          </w:p>
        </w:tc>
      </w:tr>
      <w:tr w:rsidR="00D34B7D" w:rsidTr="008450B1">
        <w:trPr>
          <w:cantSplit w:val="0"/>
        </w:trPr>
        <w:tc>
          <w:tcPr>
            <w:tcW w:w="5920" w:type="dxa"/>
          </w:tcPr>
          <w:p w:rsidR="00D34B7D" w:rsidRPr="00D34B7D" w:rsidRDefault="00D34B7D" w:rsidP="00CF5EC4">
            <w:pPr>
              <w:keepNext w:val="0"/>
              <w:rPr>
                <w:rFonts w:ascii="Arial" w:hAnsi="Arial" w:cs="Arial"/>
                <w:b/>
                <w:i/>
                <w:color w:val="006DA7"/>
              </w:rPr>
            </w:pPr>
            <w:r w:rsidRPr="00D34B7D">
              <w:rPr>
                <w:rFonts w:ascii="Arial" w:hAnsi="Arial" w:cs="Arial"/>
                <w:b/>
                <w:i/>
                <w:color w:val="006DA7"/>
              </w:rPr>
              <w:t>Business Continuity</w:t>
            </w:r>
          </w:p>
          <w:p w:rsidR="00D34B7D" w:rsidRPr="00D34B7D" w:rsidRDefault="00D34B7D" w:rsidP="00CF5EC4">
            <w:pPr>
              <w:keepNext w:val="0"/>
              <w:rPr>
                <w:rFonts w:ascii="Arial" w:hAnsi="Arial" w:cs="Arial"/>
                <w:color w:val="006DA7"/>
              </w:rPr>
            </w:pPr>
            <w:r w:rsidRPr="00D34B7D">
              <w:rPr>
                <w:rFonts w:ascii="Arial" w:hAnsi="Arial" w:cs="Arial"/>
                <w:color w:val="006DA7"/>
              </w:rPr>
              <w:t xml:space="preserve">16. For the availability of computerised systems supporting critical processes, provisions should be made to ensure continuity of support for those processes in the </w:t>
            </w:r>
            <w:r w:rsidRPr="00D34B7D">
              <w:rPr>
                <w:rFonts w:ascii="Arial" w:hAnsi="Arial" w:cs="Arial"/>
                <w:color w:val="006DA7"/>
              </w:rPr>
              <w:lastRenderedPageBreak/>
              <w:t>event of a system breakdown (e.g. a manual or alternative system). The time required to bring the alternative arrangements into use should be based on risk and appropriate for a particular system and the business process it supports. These arrangements should be adequately documented and tested.</w:t>
            </w:r>
          </w:p>
        </w:tc>
        <w:tc>
          <w:tcPr>
            <w:tcW w:w="5812" w:type="dxa"/>
          </w:tcPr>
          <w:p w:rsidR="00D34B7D" w:rsidRDefault="00D34B7D" w:rsidP="00CF5EC4">
            <w:pPr>
              <w:keepNext w:val="0"/>
            </w:pPr>
            <w:r>
              <w:lastRenderedPageBreak/>
              <w:t xml:space="preserve">15. There should be available adequate alternative arrangements for systems which need to be operated in the event of a breakdown. The time required to bring the alternative arrangements into use should be related to the possible urgency of the need to use them. For example, </w:t>
            </w:r>
            <w:r>
              <w:lastRenderedPageBreak/>
              <w:t>information required to effect a recall must be available at short notice.</w:t>
            </w:r>
          </w:p>
          <w:p w:rsidR="00D34B7D" w:rsidRPr="00D34B7D" w:rsidRDefault="00D34B7D" w:rsidP="00CF5EC4">
            <w:pPr>
              <w:keepNext w:val="0"/>
            </w:pPr>
            <w:r>
              <w:t>16. The procedures to be followed if the system fails or breaks down should be defined and validated. Any failures and remedial action taken should be recorded.</w:t>
            </w:r>
          </w:p>
        </w:tc>
        <w:tc>
          <w:tcPr>
            <w:tcW w:w="1843" w:type="dxa"/>
          </w:tcPr>
          <w:p w:rsidR="00D34B7D" w:rsidRDefault="00D34B7D" w:rsidP="00CF5EC4">
            <w:pPr>
              <w:keepNext w:val="0"/>
            </w:pPr>
            <w:r>
              <w:lastRenderedPageBreak/>
              <w:t>Clarification of requirements;</w:t>
            </w:r>
          </w:p>
          <w:p w:rsidR="00D34B7D" w:rsidRDefault="00D34B7D" w:rsidP="00CF5EC4">
            <w:pPr>
              <w:keepNext w:val="0"/>
            </w:pPr>
            <w:r>
              <w:t xml:space="preserve">Introduction of </w:t>
            </w:r>
            <w:r>
              <w:lastRenderedPageBreak/>
              <w:t>QRM;</w:t>
            </w:r>
          </w:p>
          <w:p w:rsidR="00D34B7D" w:rsidRPr="00D34B7D" w:rsidRDefault="00D34B7D" w:rsidP="00CF5EC4">
            <w:pPr>
              <w:keepNext w:val="0"/>
            </w:pPr>
            <w:r>
              <w:t>Making requirements less prescriptive</w:t>
            </w:r>
          </w:p>
        </w:tc>
        <w:tc>
          <w:tcPr>
            <w:tcW w:w="1531" w:type="dxa"/>
          </w:tcPr>
          <w:p w:rsidR="00D34B7D" w:rsidRPr="00D34B7D" w:rsidRDefault="00D34B7D" w:rsidP="00CF5EC4">
            <w:pPr>
              <w:keepNext w:val="0"/>
            </w:pPr>
            <w:r w:rsidRPr="00D34B7D">
              <w:lastRenderedPageBreak/>
              <w:t>Minor</w:t>
            </w:r>
          </w:p>
        </w:tc>
      </w:tr>
      <w:tr w:rsidR="00665643" w:rsidTr="008450B1">
        <w:trPr>
          <w:cantSplit w:val="0"/>
        </w:trPr>
        <w:tc>
          <w:tcPr>
            <w:tcW w:w="5920" w:type="dxa"/>
          </w:tcPr>
          <w:p w:rsidR="00665643" w:rsidRPr="00665643" w:rsidRDefault="00665643" w:rsidP="00CF5EC4">
            <w:pPr>
              <w:keepNext w:val="0"/>
              <w:rPr>
                <w:rFonts w:ascii="Arial" w:hAnsi="Arial" w:cs="Arial"/>
                <w:b/>
                <w:i/>
                <w:color w:val="006DA7"/>
              </w:rPr>
            </w:pPr>
            <w:r w:rsidRPr="00665643">
              <w:rPr>
                <w:rFonts w:ascii="Arial" w:hAnsi="Arial" w:cs="Arial"/>
                <w:b/>
                <w:i/>
                <w:color w:val="006DA7"/>
              </w:rPr>
              <w:lastRenderedPageBreak/>
              <w:t>Archiving</w:t>
            </w:r>
          </w:p>
          <w:p w:rsidR="00665643" w:rsidRDefault="00665643" w:rsidP="00CF5EC4">
            <w:pPr>
              <w:keepNext w:val="0"/>
              <w:rPr>
                <w:rFonts w:ascii="Arial" w:hAnsi="Arial" w:cs="Arial"/>
                <w:color w:val="006DA7"/>
              </w:rPr>
            </w:pPr>
            <w:r w:rsidRPr="00665643">
              <w:rPr>
                <w:rFonts w:ascii="Arial" w:hAnsi="Arial" w:cs="Arial"/>
                <w:color w:val="006DA7"/>
              </w:rPr>
              <w:t>17. Data may be archived. This data should be checked for accessibility, readability and integrity. If relevant changes are to be made to the system (e.g. computer equipment or programs), then the ability to retrieve the dat</w:t>
            </w:r>
            <w:r>
              <w:rPr>
                <w:rFonts w:ascii="Arial" w:hAnsi="Arial" w:cs="Arial"/>
                <w:color w:val="006DA7"/>
              </w:rPr>
              <w:t>a should be ensured and tested.</w:t>
            </w:r>
          </w:p>
          <w:p w:rsidR="00665643" w:rsidRPr="00665643" w:rsidRDefault="00665643" w:rsidP="00CF5EC4">
            <w:pPr>
              <w:keepNext w:val="0"/>
              <w:ind w:left="284"/>
              <w:rPr>
                <w:b/>
                <w:i/>
              </w:rPr>
            </w:pPr>
            <w:r w:rsidRPr="00665643">
              <w:rPr>
                <w:i/>
              </w:rPr>
              <w:t>Note: also refer to PE 009-10 clauses 12.1-12.4 above that have also been compared with PE 009-8 clause 13</w:t>
            </w:r>
          </w:p>
        </w:tc>
        <w:tc>
          <w:tcPr>
            <w:tcW w:w="5812" w:type="dxa"/>
          </w:tcPr>
          <w:p w:rsidR="00665643" w:rsidRDefault="00665643" w:rsidP="00CF5EC4">
            <w:pPr>
              <w:keepNext w:val="0"/>
            </w:pPr>
            <w:r w:rsidRPr="00665643">
              <w:t>13.</w:t>
            </w:r>
            <w:r>
              <w:t xml:space="preserve"> </w:t>
            </w:r>
            <w:r w:rsidRPr="00665643">
              <w:t>Data should be secured by physical or electronic means against wilful or accidental damage, and this in accordance with item 4.9 of the Guide. Stored data should be checked for accessibility, durability and accuracy. If changes are proposed to the computer equipment or its programs, the above mentioned checks should be performed at a frequency appropriate to the storage medium being used.</w:t>
            </w:r>
          </w:p>
        </w:tc>
        <w:tc>
          <w:tcPr>
            <w:tcW w:w="1843" w:type="dxa"/>
          </w:tcPr>
          <w:p w:rsidR="00665643" w:rsidRDefault="00665643" w:rsidP="00CF5EC4">
            <w:pPr>
              <w:keepNext w:val="0"/>
            </w:pPr>
            <w:r w:rsidRPr="00665643">
              <w:t>Clarification of requirements</w:t>
            </w:r>
          </w:p>
        </w:tc>
        <w:tc>
          <w:tcPr>
            <w:tcW w:w="1531" w:type="dxa"/>
          </w:tcPr>
          <w:p w:rsidR="00665643" w:rsidRPr="00D34B7D" w:rsidRDefault="00665643" w:rsidP="00CF5EC4">
            <w:pPr>
              <w:keepNext w:val="0"/>
            </w:pPr>
            <w:r w:rsidRPr="00665643">
              <w:t>Nil</w:t>
            </w:r>
          </w:p>
        </w:tc>
      </w:tr>
    </w:tbl>
    <w:p w:rsidR="0083418C" w:rsidRDefault="0083418C" w:rsidP="00A400FB">
      <w:pPr>
        <w:pStyle w:val="Heading3"/>
      </w:pPr>
      <w:bookmarkStart w:id="17" w:name="_Toc357412257"/>
    </w:p>
    <w:p w:rsidR="0083418C" w:rsidRDefault="0083418C" w:rsidP="0083418C">
      <w:pPr>
        <w:rPr>
          <w:rFonts w:ascii="Arial" w:eastAsia="Times New Roman" w:hAnsi="Arial"/>
          <w:sz w:val="32"/>
          <w:szCs w:val="26"/>
        </w:rPr>
      </w:pPr>
      <w:r>
        <w:br w:type="page"/>
      </w:r>
    </w:p>
    <w:p w:rsidR="00D74808" w:rsidRDefault="00A400FB" w:rsidP="00A400FB">
      <w:pPr>
        <w:pStyle w:val="Heading3"/>
      </w:pPr>
      <w:r w:rsidRPr="00A400FB">
        <w:lastRenderedPageBreak/>
        <w:t>Annex 13 – Investigational medicinal products</w:t>
      </w:r>
      <w:bookmarkEnd w:id="17"/>
    </w:p>
    <w:tbl>
      <w:tblPr>
        <w:tblStyle w:val="TableTGAblue"/>
        <w:tblW w:w="0" w:type="auto"/>
        <w:tblLayout w:type="fixed"/>
        <w:tblLook w:val="04A0" w:firstRow="1" w:lastRow="0" w:firstColumn="1" w:lastColumn="0" w:noHBand="0" w:noVBand="1"/>
      </w:tblPr>
      <w:tblGrid>
        <w:gridCol w:w="5920"/>
        <w:gridCol w:w="5812"/>
        <w:gridCol w:w="1843"/>
        <w:gridCol w:w="1531"/>
      </w:tblGrid>
      <w:tr w:rsidR="00A400FB" w:rsidTr="008450B1">
        <w:trPr>
          <w:cnfStyle w:val="100000000000" w:firstRow="1" w:lastRow="0" w:firstColumn="0" w:lastColumn="0" w:oddVBand="0" w:evenVBand="0" w:oddHBand="0" w:evenHBand="0" w:firstRowFirstColumn="0" w:firstRowLastColumn="0" w:lastRowFirstColumn="0" w:lastRowLastColumn="0"/>
        </w:trPr>
        <w:tc>
          <w:tcPr>
            <w:tcW w:w="5920" w:type="dxa"/>
          </w:tcPr>
          <w:p w:rsidR="00A400FB" w:rsidRDefault="00A400FB" w:rsidP="0083418C">
            <w:pPr>
              <w:keepNext w:val="0"/>
            </w:pPr>
            <w:r w:rsidRPr="00D74808">
              <w:t>PE 009-10</w:t>
            </w:r>
          </w:p>
        </w:tc>
        <w:tc>
          <w:tcPr>
            <w:tcW w:w="5812" w:type="dxa"/>
          </w:tcPr>
          <w:p w:rsidR="00A400FB" w:rsidRDefault="00A400FB" w:rsidP="0083418C">
            <w:pPr>
              <w:keepNext w:val="0"/>
            </w:pPr>
            <w:r w:rsidRPr="00D74808">
              <w:t>PE 009-08</w:t>
            </w:r>
          </w:p>
        </w:tc>
        <w:tc>
          <w:tcPr>
            <w:tcW w:w="1843" w:type="dxa"/>
          </w:tcPr>
          <w:p w:rsidR="00A400FB" w:rsidRDefault="00A400FB" w:rsidP="0083418C">
            <w:pPr>
              <w:keepNext w:val="0"/>
            </w:pPr>
            <w:r w:rsidRPr="00D74808">
              <w:t>Nature of  impact</w:t>
            </w:r>
          </w:p>
        </w:tc>
        <w:tc>
          <w:tcPr>
            <w:tcW w:w="1531" w:type="dxa"/>
          </w:tcPr>
          <w:p w:rsidR="00A400FB" w:rsidRDefault="00A400FB" w:rsidP="0083418C">
            <w:pPr>
              <w:keepNext w:val="0"/>
            </w:pPr>
            <w:r w:rsidRPr="00D74808">
              <w:t>Estimated significance of impact</w:t>
            </w:r>
          </w:p>
        </w:tc>
      </w:tr>
      <w:tr w:rsidR="00A400FB" w:rsidTr="008450B1">
        <w:trPr>
          <w:cantSplit w:val="0"/>
        </w:trPr>
        <w:tc>
          <w:tcPr>
            <w:tcW w:w="5920" w:type="dxa"/>
          </w:tcPr>
          <w:p w:rsidR="00A400FB" w:rsidRPr="00A400FB" w:rsidRDefault="00A400FB" w:rsidP="0083418C">
            <w:pPr>
              <w:keepNext w:val="0"/>
              <w:rPr>
                <w:b/>
              </w:rPr>
            </w:pPr>
            <w:r w:rsidRPr="00A400FB">
              <w:rPr>
                <w:b/>
              </w:rPr>
              <w:t>Principle</w:t>
            </w:r>
          </w:p>
          <w:p w:rsidR="00A400FB" w:rsidRDefault="00A400FB" w:rsidP="0083418C">
            <w:pPr>
              <w:keepNext w:val="0"/>
            </w:pPr>
            <w:r>
              <w:t xml:space="preserve">Investigational medicinal products should be produced in accordance with the principles and the detailed guidelines of Good Manufacturing Practice for Medicinal Products.  Other guidelines should be taken into account where relevant and as appropriate to the stage of development of the product. Procedures need to be flexible to provide for changes as knowledge of the process increases, and appropriate to the stage of development of the product.  </w:t>
            </w:r>
          </w:p>
          <w:p w:rsidR="00A400FB" w:rsidRDefault="00A400FB" w:rsidP="0083418C">
            <w:pPr>
              <w:keepNext w:val="0"/>
            </w:pPr>
            <w:r>
              <w:t xml:space="preserve">In clinical trials there may be added risk to participating subjects compared to patients treated with marketed products.  The application of GMP to the manufacture </w:t>
            </w:r>
            <w:proofErr w:type="gramStart"/>
            <w:r>
              <w:t>of  investigational</w:t>
            </w:r>
            <w:proofErr w:type="gramEnd"/>
            <w:r>
              <w:t xml:space="preserve"> medicinal products is intended to ensure that trial subjects are not placed at risk, and that the results of clinical trials are unaffected by inadequate safety, quality or efficacy arising from unsatisfactory manufacture.  Equally, it is intended to ensure that there is consistency between batches of the same investigational medicinal product used in the same or different clinical trials, and that changes during the development of an investigational medicinal product are adequately documented and justified.</w:t>
            </w:r>
          </w:p>
          <w:p w:rsidR="00A400FB" w:rsidRDefault="00A400FB" w:rsidP="0083418C">
            <w:pPr>
              <w:keepNext w:val="0"/>
            </w:pPr>
            <w:r>
              <w:t xml:space="preserve">The production of investigational medicinal products </w:t>
            </w:r>
            <w:r>
              <w:lastRenderedPageBreak/>
              <w:t xml:space="preserve">involves added complexity in comparison to marketed products by virtue of the lack of fixed routines, variety of clinical trial designs, consequent packaging designs, </w:t>
            </w:r>
            <w:proofErr w:type="gramStart"/>
            <w:r>
              <w:t>the</w:t>
            </w:r>
            <w:proofErr w:type="gramEnd"/>
            <w:r>
              <w:t xml:space="preserve"> need, often, for randomisation and blinding and increased risk of product cross-contamination and mix up. Furthermore, there may be incomplete knowledge of the potency and toxicity of the product and a lack of full process validation, or, marketed products may be used which have been re-packaged or modified in some way.</w:t>
            </w:r>
          </w:p>
          <w:p w:rsidR="00A400FB" w:rsidRDefault="00A400FB" w:rsidP="0083418C">
            <w:pPr>
              <w:keepNext w:val="0"/>
            </w:pPr>
            <w:r>
              <w:t xml:space="preserve">These challenges require personnel with a thorough understanding of, and training in, the application of GMP to investigational medicinal products. Co-operation is required with trial sponsors who undertake the ultimate responsibility for all aspects of the clinical trial including the quality of investigational medicinal products.   </w:t>
            </w:r>
          </w:p>
          <w:p w:rsidR="00A400FB" w:rsidRDefault="00A400FB" w:rsidP="0083418C">
            <w:pPr>
              <w:keepNext w:val="0"/>
            </w:pPr>
            <w:r>
              <w:t>The increased complexity in manufacturing operations requires a highly effective quality system.</w:t>
            </w:r>
          </w:p>
          <w:p w:rsidR="00A400FB" w:rsidRDefault="00A400FB" w:rsidP="0083418C">
            <w:pPr>
              <w:keepNext w:val="0"/>
            </w:pPr>
            <w:r>
              <w:t xml:space="preserve">The annex also includes guidance on ordering, shipping, and returning clinical supplies, which are at the interface with, and complementary to, guidelines on Good Clinical Practice. </w:t>
            </w:r>
          </w:p>
          <w:p w:rsidR="00A400FB" w:rsidRDefault="00A400FB" w:rsidP="0083418C">
            <w:pPr>
              <w:keepNext w:val="0"/>
            </w:pPr>
            <w:r>
              <w:t>Notes</w:t>
            </w:r>
          </w:p>
          <w:p w:rsidR="00A400FB" w:rsidRPr="00A400FB" w:rsidRDefault="00A400FB" w:rsidP="0083418C">
            <w:pPr>
              <w:keepNext w:val="0"/>
              <w:rPr>
                <w:i/>
              </w:rPr>
            </w:pPr>
            <w:r w:rsidRPr="00A400FB">
              <w:rPr>
                <w:i/>
              </w:rPr>
              <w:t>Non-investigational medicinal product</w:t>
            </w:r>
          </w:p>
          <w:p w:rsidR="00A400FB" w:rsidRDefault="00A400FB" w:rsidP="0083418C">
            <w:pPr>
              <w:keepNext w:val="0"/>
            </w:pPr>
            <w:r>
              <w:t xml:space="preserve">Products other than the test product, placebo or comparator may be supplied to subjects participating in a trial.  Such </w:t>
            </w:r>
            <w:r>
              <w:lastRenderedPageBreak/>
              <w:t xml:space="preserve">products may be used as support or escape medication for preventative, diagnostic or therapeutic reasons and/or needed to ensure that adequate medical care is provided for the subject.  They may also be used in accordance with the protocol to induce a physiological response.  These products do not fall within the definition of investigational medicinal products and may be supplied by the sponsor, or the investigator.   The sponsor should ensure that they are in accordance with the notification/request for authorisation to conduct the trial and that they are of appropriate quality for the purposes of the trial taking into account the source of the materials, whether or not they are the subject of a marketing authorisation and whether they have been repackaged.  The advice and involvement of an Authorised Person is recommended in this task. </w:t>
            </w:r>
          </w:p>
          <w:p w:rsidR="00A400FB" w:rsidRPr="00A400FB" w:rsidRDefault="00A400FB" w:rsidP="0083418C">
            <w:pPr>
              <w:keepNext w:val="0"/>
              <w:rPr>
                <w:rFonts w:ascii="Arial" w:hAnsi="Arial" w:cs="Arial"/>
                <w:i/>
                <w:color w:val="006DA7"/>
              </w:rPr>
            </w:pPr>
            <w:r w:rsidRPr="00A400FB">
              <w:rPr>
                <w:rFonts w:ascii="Arial" w:hAnsi="Arial" w:cs="Arial"/>
                <w:i/>
                <w:color w:val="006DA7"/>
              </w:rPr>
              <w:t>Manufacturing authorisation and reconstitution</w:t>
            </w:r>
          </w:p>
          <w:p w:rsidR="00A400FB" w:rsidRPr="00A400FB" w:rsidRDefault="00A400FB" w:rsidP="0083418C">
            <w:pPr>
              <w:keepNext w:val="0"/>
              <w:rPr>
                <w:rFonts w:ascii="Arial" w:hAnsi="Arial" w:cs="Arial"/>
                <w:color w:val="006DA7"/>
              </w:rPr>
            </w:pPr>
            <w:r w:rsidRPr="00A400FB">
              <w:rPr>
                <w:rFonts w:ascii="Arial" w:hAnsi="Arial" w:cs="Arial"/>
                <w:color w:val="006DA7"/>
              </w:rPr>
              <w:t xml:space="preserve">Both the total and partial manufacture of investigational medicinal products, as well as the various processes of dividing up, packaging or presentation, is subject to a manufacturing authorisation. This authorisation, however, shall not be required for reconstitution. For the purpose of this provision, reconstitution shall be understood as a simple process of: </w:t>
            </w:r>
          </w:p>
          <w:p w:rsidR="00A400FB" w:rsidRPr="00A400FB" w:rsidRDefault="00A400FB" w:rsidP="0083418C">
            <w:pPr>
              <w:pStyle w:val="ListBullet"/>
              <w:keepNext w:val="0"/>
              <w:rPr>
                <w:rFonts w:ascii="Arial" w:hAnsi="Arial" w:cs="Arial"/>
                <w:color w:val="006DA7"/>
              </w:rPr>
            </w:pPr>
            <w:r w:rsidRPr="00A400FB">
              <w:rPr>
                <w:rFonts w:ascii="Arial" w:hAnsi="Arial" w:cs="Arial"/>
                <w:color w:val="006DA7"/>
              </w:rPr>
              <w:t xml:space="preserve">dissolving or dispersing the investigational medicinal product for administration of the product to a trial </w:t>
            </w:r>
            <w:r w:rsidRPr="00A400FB">
              <w:rPr>
                <w:rFonts w:ascii="Arial" w:hAnsi="Arial" w:cs="Arial"/>
                <w:color w:val="006DA7"/>
              </w:rPr>
              <w:lastRenderedPageBreak/>
              <w:t xml:space="preserve">subject, or, </w:t>
            </w:r>
          </w:p>
          <w:p w:rsidR="00A400FB" w:rsidRPr="00A400FB" w:rsidRDefault="00A400FB" w:rsidP="0083418C">
            <w:pPr>
              <w:pStyle w:val="ListBullet"/>
              <w:keepNext w:val="0"/>
              <w:rPr>
                <w:rFonts w:ascii="Arial" w:hAnsi="Arial" w:cs="Arial"/>
                <w:color w:val="006DA7"/>
              </w:rPr>
            </w:pPr>
            <w:proofErr w:type="gramStart"/>
            <w:r w:rsidRPr="00A400FB">
              <w:rPr>
                <w:rFonts w:ascii="Arial" w:hAnsi="Arial" w:cs="Arial"/>
                <w:color w:val="006DA7"/>
              </w:rPr>
              <w:t>diluting</w:t>
            </w:r>
            <w:proofErr w:type="gramEnd"/>
            <w:r w:rsidRPr="00A400FB">
              <w:rPr>
                <w:rFonts w:ascii="Arial" w:hAnsi="Arial" w:cs="Arial"/>
                <w:color w:val="006DA7"/>
              </w:rPr>
              <w:t xml:space="preserve"> or mixing the investigational medicinal product(s) with some other substance(s) used as a vehicle for the purposes of administering it.</w:t>
            </w:r>
          </w:p>
          <w:p w:rsidR="00A400FB" w:rsidRPr="00A400FB" w:rsidRDefault="00A400FB" w:rsidP="0083418C">
            <w:pPr>
              <w:keepNext w:val="0"/>
              <w:rPr>
                <w:rFonts w:ascii="Arial" w:hAnsi="Arial" w:cs="Arial"/>
                <w:color w:val="006DA7"/>
              </w:rPr>
            </w:pPr>
            <w:r w:rsidRPr="00A400FB">
              <w:rPr>
                <w:rFonts w:ascii="Arial" w:hAnsi="Arial" w:cs="Arial"/>
                <w:color w:val="006DA7"/>
              </w:rPr>
              <w:t>Reconstitution is not mixing several ingredients, including the active substance, together to produce the investigational medicinal product.</w:t>
            </w:r>
          </w:p>
          <w:p w:rsidR="00A400FB" w:rsidRPr="00A400FB" w:rsidRDefault="00A400FB" w:rsidP="0083418C">
            <w:pPr>
              <w:keepNext w:val="0"/>
              <w:rPr>
                <w:rFonts w:ascii="Arial" w:hAnsi="Arial" w:cs="Arial"/>
                <w:color w:val="006DA7"/>
              </w:rPr>
            </w:pPr>
            <w:r w:rsidRPr="00A400FB">
              <w:rPr>
                <w:rFonts w:ascii="Arial" w:hAnsi="Arial" w:cs="Arial"/>
                <w:color w:val="006DA7"/>
              </w:rPr>
              <w:t>An investigational medicinal product must exist before a process can be defined as reconstitution.</w:t>
            </w:r>
          </w:p>
          <w:p w:rsidR="00A400FB" w:rsidRPr="00A400FB" w:rsidRDefault="00A400FB" w:rsidP="0083418C">
            <w:pPr>
              <w:keepNext w:val="0"/>
              <w:rPr>
                <w:rFonts w:ascii="Arial" w:hAnsi="Arial" w:cs="Arial"/>
                <w:color w:val="006DA7"/>
              </w:rPr>
            </w:pPr>
            <w:r w:rsidRPr="00A400FB">
              <w:rPr>
                <w:rFonts w:ascii="Arial" w:hAnsi="Arial" w:cs="Arial"/>
                <w:color w:val="006DA7"/>
              </w:rPr>
              <w:t>The process of reconstitution has to be undertaken as soon as practicable before administration.</w:t>
            </w:r>
          </w:p>
          <w:p w:rsidR="00A400FB" w:rsidRPr="00080B59" w:rsidRDefault="00A400FB" w:rsidP="0083418C">
            <w:pPr>
              <w:keepNext w:val="0"/>
            </w:pPr>
            <w:r w:rsidRPr="00A400FB">
              <w:rPr>
                <w:rFonts w:ascii="Arial" w:hAnsi="Arial" w:cs="Arial"/>
                <w:color w:val="006DA7"/>
              </w:rPr>
              <w:t>This process has to be defined in the clinical trial application / IMP dossier and clinical trial protocol, or related document, available at the site.</w:t>
            </w:r>
          </w:p>
        </w:tc>
        <w:tc>
          <w:tcPr>
            <w:tcW w:w="5812" w:type="dxa"/>
          </w:tcPr>
          <w:p w:rsidR="00A400FB" w:rsidRPr="00A400FB" w:rsidRDefault="00A400FB" w:rsidP="0083418C">
            <w:pPr>
              <w:keepNext w:val="0"/>
              <w:rPr>
                <w:b/>
              </w:rPr>
            </w:pPr>
            <w:r w:rsidRPr="00A400FB">
              <w:rPr>
                <w:b/>
              </w:rPr>
              <w:lastRenderedPageBreak/>
              <w:t>Principle</w:t>
            </w:r>
          </w:p>
          <w:p w:rsidR="00A400FB" w:rsidRDefault="00A400FB" w:rsidP="0083418C">
            <w:pPr>
              <w:keepNext w:val="0"/>
            </w:pPr>
            <w:r>
              <w:t xml:space="preserve">Investigational medicinal products should be produced in accordance with the principles and the detailed guidelines of Good Manufacturing Practice for Medicinal Products.  Other guidelines should be taken into account where relevant and as appropriate to the stage of development of the product. Procedures need to be flexible to provide for changes as knowledge of the process increases, and appropriate to the stage of development of the product.  </w:t>
            </w:r>
          </w:p>
          <w:p w:rsidR="00A400FB" w:rsidRDefault="00A400FB" w:rsidP="0083418C">
            <w:pPr>
              <w:keepNext w:val="0"/>
            </w:pPr>
            <w:r>
              <w:t xml:space="preserve">In clinical trials there may be added risk to participating subjects compared to patients treated with marketed products.  The application of GMP to the manufacture </w:t>
            </w:r>
            <w:proofErr w:type="gramStart"/>
            <w:r>
              <w:t>of  investigational</w:t>
            </w:r>
            <w:proofErr w:type="gramEnd"/>
            <w:r>
              <w:t xml:space="preserve"> medicinal products is intended to ensure that trial subjects are not placed at risk, and that the results of clinical trials are unaffected by inadequate safety, quality or efficacy arising from unsatisfactory manufacture.  Equally, it is intended to ensure that there is consistency between batches of the same investigational medicinal product used in the same or different clinical trials, and that changes during the development of an investigational medicinal product are adequately documented and justified.</w:t>
            </w:r>
          </w:p>
          <w:p w:rsidR="00A400FB" w:rsidRDefault="00A400FB" w:rsidP="0083418C">
            <w:pPr>
              <w:keepNext w:val="0"/>
            </w:pPr>
            <w:r>
              <w:lastRenderedPageBreak/>
              <w:t xml:space="preserve">The production of investigational medicinal products involves added complexity in comparison to marketed products by virtue of the lack of fixed routines, variety of clinical trial designs, consequent packaging designs, </w:t>
            </w:r>
            <w:proofErr w:type="gramStart"/>
            <w:r>
              <w:t>the</w:t>
            </w:r>
            <w:proofErr w:type="gramEnd"/>
            <w:r>
              <w:t xml:space="preserve"> need, often, for randomisation and blinding and increased risk of product cross-contamination and mix up. Furthermore, there may be incomplete knowledge of the potency and toxicity of the product and a lack of full process validation, or, marketed products may be used which have been re-packaged or modified in some way.</w:t>
            </w:r>
          </w:p>
          <w:p w:rsidR="00A400FB" w:rsidRDefault="00A400FB" w:rsidP="0083418C">
            <w:pPr>
              <w:keepNext w:val="0"/>
            </w:pPr>
            <w:r>
              <w:t xml:space="preserve">These challenges require personnel with a thorough understanding of, and training in, the application of GMP to investigational medicinal products. Co-operation is required with trial sponsors who undertake the ultimate responsibility for all aspects of the clinical trial including the quality of investigational medicinal products.   </w:t>
            </w:r>
          </w:p>
          <w:p w:rsidR="00A400FB" w:rsidRDefault="00A400FB" w:rsidP="0083418C">
            <w:pPr>
              <w:keepNext w:val="0"/>
            </w:pPr>
            <w:r>
              <w:t>The increased complexity in manufacturing operations requires a highly effective quality system.</w:t>
            </w:r>
          </w:p>
          <w:p w:rsidR="00A400FB" w:rsidRDefault="00A400FB" w:rsidP="0083418C">
            <w:pPr>
              <w:keepNext w:val="0"/>
            </w:pPr>
            <w:r>
              <w:t xml:space="preserve">The annex also includes guidance on ordering, shipping, and returning clinical supplies, which are at the interface with, and complementary to, guidelines on Good Clinical Practice. </w:t>
            </w:r>
          </w:p>
          <w:p w:rsidR="00A400FB" w:rsidRDefault="00A400FB" w:rsidP="0083418C">
            <w:pPr>
              <w:keepNext w:val="0"/>
            </w:pPr>
            <w:r>
              <w:t>Note</w:t>
            </w:r>
          </w:p>
          <w:p w:rsidR="00A400FB" w:rsidRDefault="00A400FB" w:rsidP="0083418C">
            <w:pPr>
              <w:keepNext w:val="0"/>
            </w:pPr>
            <w:r>
              <w:t xml:space="preserve">Products other than the test product, placebo or </w:t>
            </w:r>
            <w:r>
              <w:lastRenderedPageBreak/>
              <w:t>comparator may be supplied to subjects participating in a trial.  Such products may be used as support or escape medication for preventative, diagnostic or therapeutic reasons and/or needed to ensure that adequate medical care is provided for the subject.  They may also be used in accordance with the protocol to induce a physiological response.  These products do not fall within the definition of investigational medicinal products and may be supplied by the sponsor, or the investigator.   The sponsor should ensure that they are in accordance with the notification/request for authorisation to conduct the trial and that they are of appropriate quality for the purposes of the trial taking into account the source of the materials, whether or not they are the subject of a marketing authorisation and whether they have been repackaged.  The advice and involvement of an Authorised Person is recommended in this task.</w:t>
            </w:r>
          </w:p>
        </w:tc>
        <w:tc>
          <w:tcPr>
            <w:tcW w:w="1843" w:type="dxa"/>
          </w:tcPr>
          <w:p w:rsidR="00A400FB" w:rsidRDefault="00A400FB" w:rsidP="0083418C">
            <w:pPr>
              <w:keepNext w:val="0"/>
            </w:pPr>
            <w:r w:rsidRPr="00A400FB">
              <w:lastRenderedPageBreak/>
              <w:t>Providing additional detail in relation to reconstitution, thus clarifying the position of (hospital) pharmacies in clinical trials</w:t>
            </w:r>
          </w:p>
        </w:tc>
        <w:tc>
          <w:tcPr>
            <w:tcW w:w="1531" w:type="dxa"/>
          </w:tcPr>
          <w:p w:rsidR="00A400FB" w:rsidRDefault="00A400FB" w:rsidP="0083418C">
            <w:pPr>
              <w:keepNext w:val="0"/>
            </w:pPr>
            <w:r w:rsidRPr="00A400FB">
              <w:t>Nil</w:t>
            </w:r>
          </w:p>
        </w:tc>
      </w:tr>
      <w:tr w:rsidR="00A04D38" w:rsidTr="008450B1">
        <w:trPr>
          <w:cantSplit w:val="0"/>
        </w:trPr>
        <w:tc>
          <w:tcPr>
            <w:tcW w:w="11732" w:type="dxa"/>
            <w:gridSpan w:val="2"/>
          </w:tcPr>
          <w:p w:rsidR="00A04D38" w:rsidRPr="00A04D38" w:rsidRDefault="00A04D38" w:rsidP="0083418C">
            <w:pPr>
              <w:keepNext w:val="0"/>
              <w:rPr>
                <w:i/>
              </w:rPr>
            </w:pPr>
            <w:r w:rsidRPr="00A04D38">
              <w:rPr>
                <w:i/>
              </w:rPr>
              <w:lastRenderedPageBreak/>
              <w:t>Glossary: no changes, apart from the fact that the definitions of ‘Immediate packaging’ and ‘Outer packaging’ from PE 009-8 have been deleted in PE 009-10 as in practice these two terms were perceived as confusing because for non-investigational medicinal products the terms ‘primary packaging’ and ‘secondary packaging’ are commonly used</w:t>
            </w:r>
          </w:p>
        </w:tc>
        <w:tc>
          <w:tcPr>
            <w:tcW w:w="1843" w:type="dxa"/>
          </w:tcPr>
          <w:p w:rsidR="00A04D38" w:rsidRPr="00A400FB" w:rsidRDefault="00A04D38" w:rsidP="0083418C">
            <w:pPr>
              <w:keepNext w:val="0"/>
            </w:pPr>
            <w:r w:rsidRPr="00A04D38">
              <w:t>Nil</w:t>
            </w:r>
          </w:p>
        </w:tc>
        <w:tc>
          <w:tcPr>
            <w:tcW w:w="1531" w:type="dxa"/>
          </w:tcPr>
          <w:p w:rsidR="00A04D38" w:rsidRPr="00A400FB" w:rsidRDefault="00A04D38" w:rsidP="0083418C">
            <w:pPr>
              <w:keepNext w:val="0"/>
            </w:pPr>
            <w:r w:rsidRPr="00A04D38">
              <w:t>Nil</w:t>
            </w:r>
          </w:p>
        </w:tc>
      </w:tr>
      <w:tr w:rsidR="00A04D38" w:rsidTr="008450B1">
        <w:trPr>
          <w:cantSplit w:val="0"/>
        </w:trPr>
        <w:tc>
          <w:tcPr>
            <w:tcW w:w="15106" w:type="dxa"/>
            <w:gridSpan w:val="4"/>
          </w:tcPr>
          <w:p w:rsidR="00A04D38" w:rsidRPr="00A04D38" w:rsidRDefault="00A04D38" w:rsidP="0083418C">
            <w:pPr>
              <w:keepNext w:val="0"/>
              <w:jc w:val="center"/>
              <w:rPr>
                <w:i/>
              </w:rPr>
            </w:pPr>
            <w:r w:rsidRPr="00A04D38">
              <w:rPr>
                <w:i/>
              </w:rPr>
              <w:t>Clauses 1 and 2: no change</w:t>
            </w:r>
          </w:p>
        </w:tc>
      </w:tr>
      <w:tr w:rsidR="00A04D38" w:rsidTr="008450B1">
        <w:trPr>
          <w:cantSplit w:val="0"/>
        </w:trPr>
        <w:tc>
          <w:tcPr>
            <w:tcW w:w="5920" w:type="dxa"/>
          </w:tcPr>
          <w:p w:rsidR="00A04D38" w:rsidRPr="00A04D38" w:rsidRDefault="00A04D38" w:rsidP="0083418C">
            <w:pPr>
              <w:keepNext w:val="0"/>
            </w:pPr>
            <w:r w:rsidRPr="00A04D38">
              <w:t xml:space="preserve">3. All personnel involved with investigational medicinal products should be appropriately trained in the </w:t>
            </w:r>
            <w:r w:rsidRPr="00A04D38">
              <w:lastRenderedPageBreak/>
              <w:t xml:space="preserve">requirements specific to these types of product.  </w:t>
            </w:r>
          </w:p>
          <w:p w:rsidR="00A04D38" w:rsidRPr="00A04D38" w:rsidRDefault="00A04D38" w:rsidP="0083418C">
            <w:pPr>
              <w:keepNext w:val="0"/>
              <w:rPr>
                <w:rFonts w:ascii="Arial" w:hAnsi="Arial" w:cs="Arial"/>
                <w:color w:val="006DA7"/>
              </w:rPr>
            </w:pPr>
            <w:r w:rsidRPr="00A04D38">
              <w:rPr>
                <w:rFonts w:ascii="Arial" w:hAnsi="Arial" w:cs="Arial"/>
                <w:color w:val="006DA7"/>
              </w:rPr>
              <w:t>Even in cases where the number of staff involved is small, there should be, for each batch, separate people responsible for production and quality control.</w:t>
            </w:r>
          </w:p>
          <w:p w:rsidR="00A04D38" w:rsidRPr="00A400FB" w:rsidRDefault="00A04D38" w:rsidP="0083418C">
            <w:pPr>
              <w:keepNext w:val="0"/>
            </w:pPr>
            <w:r w:rsidRPr="00A04D38">
              <w:t xml:space="preserve">4. The Authorised Person should ensure that there are systems in place that meet the requirements </w:t>
            </w:r>
            <w:r w:rsidRPr="00A04D38">
              <w:rPr>
                <w:rFonts w:ascii="Arial" w:hAnsi="Arial" w:cs="Arial"/>
                <w:color w:val="006DA7"/>
              </w:rPr>
              <w:t>of GMP</w:t>
            </w:r>
            <w:r w:rsidRPr="00A04D38">
              <w:rPr>
                <w:rFonts w:ascii="Arial" w:hAnsi="Arial" w:cs="Arial"/>
              </w:rPr>
              <w:t xml:space="preserve"> </w:t>
            </w:r>
            <w:r w:rsidRPr="00A04D38">
              <w:t>and have a broad knowledge of pharmaceutical development and clinical trial processes.  Guidance for the Authorised Person in connection with the certification of investigational medicinal products is given in paragraphs 38 to 41.</w:t>
            </w:r>
          </w:p>
        </w:tc>
        <w:tc>
          <w:tcPr>
            <w:tcW w:w="5812" w:type="dxa"/>
          </w:tcPr>
          <w:p w:rsidR="00A04D38" w:rsidRPr="00A04D38" w:rsidRDefault="00A04D38" w:rsidP="0083418C">
            <w:pPr>
              <w:keepNext w:val="0"/>
            </w:pPr>
            <w:r w:rsidRPr="00A04D38">
              <w:lastRenderedPageBreak/>
              <w:t xml:space="preserve">3. All personnel involved with investigational </w:t>
            </w:r>
            <w:proofErr w:type="gramStart"/>
            <w:r w:rsidRPr="00A04D38">
              <w:t>medicinal</w:t>
            </w:r>
            <w:r>
              <w:t xml:space="preserve">  </w:t>
            </w:r>
            <w:r w:rsidRPr="00A04D38">
              <w:t>products</w:t>
            </w:r>
            <w:proofErr w:type="gramEnd"/>
            <w:r w:rsidRPr="00A04D38">
              <w:t xml:space="preserve"> should be appropriately trained in the</w:t>
            </w:r>
            <w:r>
              <w:t xml:space="preserve"> </w:t>
            </w:r>
            <w:r w:rsidRPr="00A04D38">
              <w:lastRenderedPageBreak/>
              <w:t>requirements speci</w:t>
            </w:r>
            <w:r>
              <w:t>fic to these types of product.</w:t>
            </w:r>
          </w:p>
          <w:p w:rsidR="00A04D38" w:rsidRPr="00A400FB" w:rsidRDefault="00A04D38" w:rsidP="0083418C">
            <w:pPr>
              <w:keepNext w:val="0"/>
            </w:pPr>
            <w:r w:rsidRPr="00A04D38">
              <w:t>4. The Authorised Person should in particular be responsible for ensuring that there are systems in place that meet the requirements of this Annex and should therefore have a broad knowledge of pharmaceutical development and clinical trial processes.  Guidance for the Authorised Person in connection with the certification of investigational medicinal products is given in paragraphs 38 to 41.</w:t>
            </w:r>
          </w:p>
        </w:tc>
        <w:tc>
          <w:tcPr>
            <w:tcW w:w="1843" w:type="dxa"/>
          </w:tcPr>
          <w:p w:rsidR="00A04D38" w:rsidRDefault="00A04D38" w:rsidP="0083418C">
            <w:pPr>
              <w:keepNext w:val="0"/>
            </w:pPr>
            <w:r>
              <w:lastRenderedPageBreak/>
              <w:t xml:space="preserve">Additional clarification on </w:t>
            </w:r>
            <w:r>
              <w:lastRenderedPageBreak/>
              <w:t>situations of small staff numbers, which was already required based on GMP Chapter 2;</w:t>
            </w:r>
          </w:p>
          <w:p w:rsidR="00A04D38" w:rsidRPr="00A400FB" w:rsidRDefault="00A04D38" w:rsidP="0083418C">
            <w:pPr>
              <w:keepNext w:val="0"/>
            </w:pPr>
            <w:r>
              <w:t>Correction of error changing ‘Annex’ into ‘GMP’</w:t>
            </w:r>
          </w:p>
        </w:tc>
        <w:tc>
          <w:tcPr>
            <w:tcW w:w="1531" w:type="dxa"/>
          </w:tcPr>
          <w:p w:rsidR="00A04D38" w:rsidRPr="00A400FB" w:rsidRDefault="00A04D38" w:rsidP="0083418C">
            <w:pPr>
              <w:keepNext w:val="0"/>
            </w:pPr>
            <w:r w:rsidRPr="00A04D38">
              <w:lastRenderedPageBreak/>
              <w:t>Nil</w:t>
            </w:r>
          </w:p>
        </w:tc>
      </w:tr>
      <w:tr w:rsidR="00CF28C8" w:rsidTr="008450B1">
        <w:trPr>
          <w:cantSplit w:val="0"/>
        </w:trPr>
        <w:tc>
          <w:tcPr>
            <w:tcW w:w="15106" w:type="dxa"/>
            <w:gridSpan w:val="4"/>
          </w:tcPr>
          <w:p w:rsidR="00CF28C8" w:rsidRPr="00CF28C8" w:rsidRDefault="00CF28C8" w:rsidP="0083418C">
            <w:pPr>
              <w:keepNext w:val="0"/>
              <w:jc w:val="center"/>
              <w:rPr>
                <w:i/>
              </w:rPr>
            </w:pPr>
            <w:r w:rsidRPr="00CF28C8">
              <w:rPr>
                <w:i/>
              </w:rPr>
              <w:lastRenderedPageBreak/>
              <w:t>Clauses 5 to 16: no change</w:t>
            </w:r>
          </w:p>
        </w:tc>
      </w:tr>
      <w:tr w:rsidR="00CF28C8" w:rsidTr="008450B1">
        <w:trPr>
          <w:cantSplit w:val="0"/>
        </w:trPr>
        <w:tc>
          <w:tcPr>
            <w:tcW w:w="5920" w:type="dxa"/>
          </w:tcPr>
          <w:p w:rsidR="00CF28C8" w:rsidRPr="00A04D38" w:rsidRDefault="00CF28C8" w:rsidP="0083418C">
            <w:pPr>
              <w:keepNext w:val="0"/>
            </w:pPr>
            <w:r>
              <w:t xml:space="preserve">17. Production processes for investigational medicinal products are not expected to be validated to the extent necessary for routine production but premises and equipment are expected to be </w:t>
            </w:r>
            <w:r w:rsidRPr="00CF28C8">
              <w:rPr>
                <w:rFonts w:ascii="Arial" w:hAnsi="Arial" w:cs="Arial"/>
                <w:color w:val="006DA7"/>
              </w:rPr>
              <w:t>qualified</w:t>
            </w:r>
            <w:r>
              <w:t>.  For sterile products, the validation of sterilising processes should be of the same standard as for products authorised for marketing. Likewise, when required, virus inactivation/removal and that of other impurities of biological origin should be demonstrated, to assure the safety of biotechnologically derived products, by following the scientific principles and techniques defined in the available guidance in this area.</w:t>
            </w:r>
          </w:p>
        </w:tc>
        <w:tc>
          <w:tcPr>
            <w:tcW w:w="5812" w:type="dxa"/>
          </w:tcPr>
          <w:p w:rsidR="00CF28C8" w:rsidRPr="00A04D38" w:rsidRDefault="00CF28C8" w:rsidP="0083418C">
            <w:pPr>
              <w:keepNext w:val="0"/>
            </w:pPr>
            <w:r>
              <w:t xml:space="preserve">17. Production processes for investigational medicinal products are not expected to be validated to the extent necessary for routine production but premises and equipment are expected to be validated.  For sterile products, the validation of sterilising processes should be of the same standard as for products authorised for marketing. Likewise, when required, virus inactivation/removal and that of other impurities of biological origin should be demonstrated, to assure the safety of biotechnologically derived products, by following the scientific principles </w:t>
            </w:r>
            <w:proofErr w:type="gramStart"/>
            <w:r>
              <w:t>and  techniques</w:t>
            </w:r>
            <w:proofErr w:type="gramEnd"/>
            <w:r>
              <w:t xml:space="preserve"> defined in the available guidance in this area.</w:t>
            </w:r>
          </w:p>
        </w:tc>
        <w:tc>
          <w:tcPr>
            <w:tcW w:w="1843" w:type="dxa"/>
          </w:tcPr>
          <w:p w:rsidR="00CF28C8" w:rsidRDefault="00CF28C8" w:rsidP="0083418C">
            <w:pPr>
              <w:keepNext w:val="0"/>
            </w:pPr>
            <w:r w:rsidRPr="00CF28C8">
              <w:t>Correction of erroneous terminology: changing ‘validated’ into ‘qualified’</w:t>
            </w:r>
          </w:p>
        </w:tc>
        <w:tc>
          <w:tcPr>
            <w:tcW w:w="1531" w:type="dxa"/>
          </w:tcPr>
          <w:p w:rsidR="00CF28C8" w:rsidRPr="00A04D38" w:rsidRDefault="00CF28C8" w:rsidP="0083418C">
            <w:pPr>
              <w:keepNext w:val="0"/>
            </w:pPr>
            <w:r w:rsidRPr="00CF28C8">
              <w:t>Nil</w:t>
            </w:r>
          </w:p>
        </w:tc>
      </w:tr>
      <w:tr w:rsidR="008450B1" w:rsidTr="008450B1">
        <w:trPr>
          <w:cantSplit w:val="0"/>
        </w:trPr>
        <w:tc>
          <w:tcPr>
            <w:tcW w:w="15106" w:type="dxa"/>
            <w:gridSpan w:val="4"/>
          </w:tcPr>
          <w:p w:rsidR="008450B1" w:rsidRPr="008450B1" w:rsidRDefault="008450B1" w:rsidP="0083418C">
            <w:pPr>
              <w:keepNext w:val="0"/>
              <w:jc w:val="center"/>
              <w:rPr>
                <w:i/>
              </w:rPr>
            </w:pPr>
            <w:r w:rsidRPr="008450B1">
              <w:rPr>
                <w:i/>
              </w:rPr>
              <w:lastRenderedPageBreak/>
              <w:t>Clauses 18 to 25: no change</w:t>
            </w:r>
          </w:p>
        </w:tc>
      </w:tr>
      <w:tr w:rsidR="008450B1" w:rsidTr="008450B1">
        <w:trPr>
          <w:cantSplit w:val="0"/>
        </w:trPr>
        <w:tc>
          <w:tcPr>
            <w:tcW w:w="5920" w:type="dxa"/>
          </w:tcPr>
          <w:p w:rsidR="008450B1" w:rsidRDefault="008450B1" w:rsidP="0083418C">
            <w:pPr>
              <w:keepNext w:val="0"/>
            </w:pPr>
            <w:r>
              <w:t>Table 1 summarises the contents of articles 26-30 that follow.  The following information should be included on labels, unless its absence can be justified, e.g. use of a centralised electronic randomisation system:</w:t>
            </w:r>
          </w:p>
          <w:p w:rsidR="008450B1" w:rsidRPr="008450B1" w:rsidRDefault="008450B1" w:rsidP="0083418C">
            <w:pPr>
              <w:pStyle w:val="Numberbullet2"/>
              <w:keepNext w:val="0"/>
              <w:numPr>
                <w:ilvl w:val="0"/>
                <w:numId w:val="39"/>
              </w:numPr>
            </w:pPr>
            <w:r w:rsidRPr="008450B1">
              <w:t xml:space="preserve">name, address and telephone number of the sponsor, contract research organisation or investigator (the main contact for information on the product, clinical trial and emergency </w:t>
            </w:r>
            <w:proofErr w:type="spellStart"/>
            <w:r w:rsidRPr="008450B1">
              <w:t>unblinding</w:t>
            </w:r>
            <w:proofErr w:type="spellEnd"/>
            <w:r w:rsidRPr="008450B1">
              <w:t>);</w:t>
            </w:r>
          </w:p>
          <w:p w:rsidR="008450B1" w:rsidRDefault="008450B1" w:rsidP="0083418C">
            <w:pPr>
              <w:pStyle w:val="Numberbullet2"/>
              <w:keepNext w:val="0"/>
            </w:pPr>
            <w:r>
              <w:t xml:space="preserve">pharmaceutical dosage form, route of administration, quantity of dosage units, and in the case of open </w:t>
            </w:r>
            <w:r w:rsidRPr="008450B1">
              <w:rPr>
                <w:rFonts w:ascii="Arial" w:hAnsi="Arial" w:cs="Arial"/>
                <w:color w:val="006DA7"/>
              </w:rPr>
              <w:t xml:space="preserve">trials </w:t>
            </w:r>
            <w:r w:rsidRPr="008450B1">
              <w:rPr>
                <w:rFonts w:ascii="Arial" w:hAnsi="Arial" w:cs="Arial"/>
                <w:color w:val="006DA7"/>
                <w:vertAlign w:val="superscript"/>
              </w:rPr>
              <w:t>1</w:t>
            </w:r>
            <w:r>
              <w:t>), the name/identifier and strength/potency;</w:t>
            </w:r>
          </w:p>
          <w:p w:rsidR="008450B1" w:rsidRDefault="008450B1" w:rsidP="0083418C">
            <w:pPr>
              <w:pStyle w:val="Numberbullet2"/>
              <w:keepNext w:val="0"/>
            </w:pPr>
            <w:r>
              <w:t>the batch and/or code number to identify the contents and packaging operation;</w:t>
            </w:r>
          </w:p>
          <w:p w:rsidR="008450B1" w:rsidRDefault="008450B1" w:rsidP="0083418C">
            <w:pPr>
              <w:pStyle w:val="Numberbullet2"/>
              <w:keepNext w:val="0"/>
            </w:pPr>
            <w:r>
              <w:t xml:space="preserve">a trial reference code allowing identification of the trial, site, investigator and sponsor if not given elsewhere; </w:t>
            </w:r>
          </w:p>
          <w:p w:rsidR="008450B1" w:rsidRDefault="008450B1" w:rsidP="0083418C">
            <w:pPr>
              <w:pStyle w:val="Numberbullet2"/>
              <w:keepNext w:val="0"/>
            </w:pPr>
            <w:r>
              <w:t>the trial subject identification number/treatment number and where relevant, the visit number;</w:t>
            </w:r>
          </w:p>
          <w:p w:rsidR="008450B1" w:rsidRDefault="008450B1" w:rsidP="0083418C">
            <w:pPr>
              <w:pStyle w:val="Numberbullet2"/>
              <w:keepNext w:val="0"/>
            </w:pPr>
            <w:r>
              <w:t xml:space="preserve">the name of the investigator (if not included in </w:t>
            </w:r>
            <w:r>
              <w:lastRenderedPageBreak/>
              <w:t>(a) or (d));</w:t>
            </w:r>
            <w:r>
              <w:tab/>
              <w:t xml:space="preserve"> </w:t>
            </w:r>
          </w:p>
          <w:p w:rsidR="008450B1" w:rsidRDefault="008450B1" w:rsidP="0083418C">
            <w:pPr>
              <w:pStyle w:val="Numberbullet2"/>
              <w:keepNext w:val="0"/>
            </w:pPr>
            <w:r>
              <w:t>directions for use (reference may be made to a leaflet or other explanatory document intended for the trial subject or person administering the product);</w:t>
            </w:r>
          </w:p>
          <w:p w:rsidR="008450B1" w:rsidRDefault="008450B1" w:rsidP="0083418C">
            <w:pPr>
              <w:pStyle w:val="Numberbullet2"/>
              <w:keepNext w:val="0"/>
            </w:pPr>
            <w:r>
              <w:t xml:space="preserve"> “For clinical trial use only” or similar wording;</w:t>
            </w:r>
          </w:p>
          <w:p w:rsidR="008450B1" w:rsidRDefault="008450B1" w:rsidP="0083418C">
            <w:pPr>
              <w:pStyle w:val="Numberbullet2"/>
              <w:keepNext w:val="0"/>
            </w:pPr>
            <w:r>
              <w:t>the storage conditions;</w:t>
            </w:r>
          </w:p>
          <w:p w:rsidR="008450B1" w:rsidRDefault="008450B1" w:rsidP="0083418C">
            <w:pPr>
              <w:pStyle w:val="Numberbullet2"/>
              <w:keepNext w:val="0"/>
            </w:pPr>
            <w:proofErr w:type="gramStart"/>
            <w:r>
              <w:t>period</w:t>
            </w:r>
            <w:proofErr w:type="gramEnd"/>
            <w:r>
              <w:t xml:space="preserve"> of use (use-by date, expiry date or re-test date as applicable), in month/year format and in a manner that avoids any ambiguity. </w:t>
            </w:r>
          </w:p>
          <w:p w:rsidR="008450B1" w:rsidRDefault="008450B1" w:rsidP="0083418C">
            <w:pPr>
              <w:pStyle w:val="Numberbullet2"/>
              <w:keepNext w:val="0"/>
            </w:pPr>
            <w:r>
              <w:t xml:space="preserve"> “</w:t>
            </w:r>
            <w:proofErr w:type="gramStart"/>
            <w:r>
              <w:t>keep</w:t>
            </w:r>
            <w:proofErr w:type="gramEnd"/>
            <w:r>
              <w:t xml:space="preserve"> out of reach of children” except when the product is for use in trials where the product is not taken home by subjects.</w:t>
            </w:r>
          </w:p>
          <w:p w:rsidR="008450B1" w:rsidRPr="008450B1" w:rsidRDefault="008450B1" w:rsidP="0083418C">
            <w:pPr>
              <w:keepNext w:val="0"/>
              <w:rPr>
                <w:rFonts w:ascii="Arial" w:hAnsi="Arial" w:cs="Arial"/>
                <w:color w:val="006DA7"/>
              </w:rPr>
            </w:pPr>
            <w:r w:rsidRPr="00D332BC">
              <w:rPr>
                <w:rFonts w:ascii="Arial" w:hAnsi="Arial" w:cs="Arial"/>
                <w:color w:val="006DA7"/>
                <w:vertAlign w:val="superscript"/>
              </w:rPr>
              <w:t>1)</w:t>
            </w:r>
            <w:r w:rsidRPr="008450B1">
              <w:rPr>
                <w:rFonts w:ascii="Arial" w:hAnsi="Arial" w:cs="Arial"/>
                <w:color w:val="006DA7"/>
              </w:rPr>
              <w:t xml:space="preserve"> For closed blinded trials, the labelling should include a statement indicating “placebo or [name/identifier] + [strength/potency]”.</w:t>
            </w:r>
          </w:p>
        </w:tc>
        <w:tc>
          <w:tcPr>
            <w:tcW w:w="5812" w:type="dxa"/>
          </w:tcPr>
          <w:p w:rsidR="008450B1" w:rsidRPr="00D332BC" w:rsidRDefault="00D332BC" w:rsidP="0083418C">
            <w:pPr>
              <w:keepNext w:val="0"/>
              <w:rPr>
                <w:i/>
              </w:rPr>
            </w:pPr>
            <w:r w:rsidRPr="00D332BC">
              <w:rPr>
                <w:i/>
              </w:rPr>
              <w:lastRenderedPageBreak/>
              <w:t>No change, apart from inclusion of a footnote under b)</w:t>
            </w:r>
          </w:p>
        </w:tc>
        <w:tc>
          <w:tcPr>
            <w:tcW w:w="1843" w:type="dxa"/>
          </w:tcPr>
          <w:p w:rsidR="008450B1" w:rsidRPr="00CF28C8" w:rsidRDefault="00D332BC" w:rsidP="0083418C">
            <w:pPr>
              <w:keepNext w:val="0"/>
            </w:pPr>
            <w:r w:rsidRPr="00D332BC">
              <w:t>Clarification of a necessity to conduct the trial effectively</w:t>
            </w:r>
          </w:p>
        </w:tc>
        <w:tc>
          <w:tcPr>
            <w:tcW w:w="1531" w:type="dxa"/>
          </w:tcPr>
          <w:p w:rsidR="008450B1" w:rsidRPr="00CF28C8" w:rsidRDefault="00D332BC" w:rsidP="0083418C">
            <w:pPr>
              <w:keepNext w:val="0"/>
            </w:pPr>
            <w:r w:rsidRPr="00D332BC">
              <w:t>Nil</w:t>
            </w:r>
          </w:p>
        </w:tc>
      </w:tr>
      <w:tr w:rsidR="00FD1872" w:rsidTr="00587239">
        <w:trPr>
          <w:cantSplit w:val="0"/>
        </w:trPr>
        <w:tc>
          <w:tcPr>
            <w:tcW w:w="15106" w:type="dxa"/>
            <w:gridSpan w:val="4"/>
          </w:tcPr>
          <w:p w:rsidR="00FD1872" w:rsidRPr="00FD1872" w:rsidRDefault="00FD1872" w:rsidP="0083418C">
            <w:pPr>
              <w:keepNext w:val="0"/>
              <w:jc w:val="center"/>
              <w:rPr>
                <w:i/>
              </w:rPr>
            </w:pPr>
            <w:r w:rsidRPr="00FD1872">
              <w:rPr>
                <w:i/>
              </w:rPr>
              <w:lastRenderedPageBreak/>
              <w:t>Clause 27: no change</w:t>
            </w:r>
          </w:p>
        </w:tc>
      </w:tr>
      <w:tr w:rsidR="00FD1872" w:rsidTr="00587239">
        <w:trPr>
          <w:cantSplit w:val="0"/>
        </w:trPr>
        <w:tc>
          <w:tcPr>
            <w:tcW w:w="15106" w:type="dxa"/>
            <w:gridSpan w:val="4"/>
          </w:tcPr>
          <w:p w:rsidR="00FD1872" w:rsidRPr="00FD1872" w:rsidRDefault="00FD1872" w:rsidP="0083418C">
            <w:pPr>
              <w:keepNext w:val="0"/>
              <w:jc w:val="center"/>
              <w:rPr>
                <w:i/>
              </w:rPr>
            </w:pPr>
            <w:r w:rsidRPr="00FD1872">
              <w:rPr>
                <w:i/>
              </w:rPr>
              <w:t>Clauses 28 to 30: no change, apart from a terminology change: replacing ‘immediate container’ by ‘primary packaging’ and ‘outer packaging’ by ‘secondary packaging’, in line with common terminology for non-investigational products</w:t>
            </w:r>
          </w:p>
        </w:tc>
      </w:tr>
      <w:tr w:rsidR="00FD1872" w:rsidTr="008450B1">
        <w:trPr>
          <w:cantSplit w:val="0"/>
        </w:trPr>
        <w:tc>
          <w:tcPr>
            <w:tcW w:w="5920" w:type="dxa"/>
          </w:tcPr>
          <w:p w:rsidR="00FD1872" w:rsidRDefault="00FD1872" w:rsidP="0083418C">
            <w:pPr>
              <w:keepNext w:val="0"/>
            </w:pPr>
            <w:r>
              <w:t xml:space="preserve">31. Symbols or pictograms may be included to clarify certain </w:t>
            </w:r>
            <w:r>
              <w:lastRenderedPageBreak/>
              <w:t xml:space="preserve">information mentioned above. Additional information, warnings and/or handling instructions may be displayed </w:t>
            </w:r>
            <w:r w:rsidRPr="00FD1872">
              <w:rPr>
                <w:rFonts w:ascii="Arial" w:hAnsi="Arial" w:cs="Arial"/>
                <w:color w:val="006DA7"/>
                <w:vertAlign w:val="superscript"/>
              </w:rPr>
              <w:t>2)</w:t>
            </w:r>
            <w:r>
              <w:t>.</w:t>
            </w:r>
          </w:p>
          <w:p w:rsidR="00FD1872" w:rsidRPr="00FD1872" w:rsidRDefault="00FD1872" w:rsidP="0083418C">
            <w:pPr>
              <w:keepNext w:val="0"/>
              <w:rPr>
                <w:rFonts w:ascii="Arial" w:hAnsi="Arial" w:cs="Arial"/>
                <w:color w:val="006DA7"/>
              </w:rPr>
            </w:pPr>
            <w:r w:rsidRPr="00FD1872">
              <w:rPr>
                <w:rFonts w:ascii="Arial" w:hAnsi="Arial" w:cs="Arial"/>
                <w:color w:val="006DA7"/>
                <w:vertAlign w:val="superscript"/>
              </w:rPr>
              <w:t>2)</w:t>
            </w:r>
            <w:r w:rsidRPr="00FD1872">
              <w:rPr>
                <w:rFonts w:ascii="Arial" w:hAnsi="Arial" w:cs="Arial"/>
                <w:color w:val="006DA7"/>
              </w:rPr>
              <w:t xml:space="preserve"> E.g. labels for cytotoxic products or for products requiring special storage conditions</w:t>
            </w:r>
          </w:p>
        </w:tc>
        <w:tc>
          <w:tcPr>
            <w:tcW w:w="5812" w:type="dxa"/>
          </w:tcPr>
          <w:p w:rsidR="00FD1872" w:rsidRPr="00D332BC" w:rsidRDefault="006177C9" w:rsidP="0083418C">
            <w:pPr>
              <w:keepNext w:val="0"/>
              <w:rPr>
                <w:i/>
              </w:rPr>
            </w:pPr>
            <w:r w:rsidRPr="006177C9">
              <w:rPr>
                <w:i/>
              </w:rPr>
              <w:lastRenderedPageBreak/>
              <w:t xml:space="preserve">No change, apart from inclusion of a footnote providing </w:t>
            </w:r>
            <w:r w:rsidRPr="006177C9">
              <w:rPr>
                <w:i/>
              </w:rPr>
              <w:lastRenderedPageBreak/>
              <w:t>examples</w:t>
            </w:r>
          </w:p>
        </w:tc>
        <w:tc>
          <w:tcPr>
            <w:tcW w:w="1843" w:type="dxa"/>
          </w:tcPr>
          <w:p w:rsidR="00FD1872" w:rsidRPr="00D332BC" w:rsidRDefault="006177C9" w:rsidP="0083418C">
            <w:pPr>
              <w:keepNext w:val="0"/>
            </w:pPr>
            <w:r w:rsidRPr="006177C9">
              <w:lastRenderedPageBreak/>
              <w:t>Clarification</w:t>
            </w:r>
          </w:p>
        </w:tc>
        <w:tc>
          <w:tcPr>
            <w:tcW w:w="1531" w:type="dxa"/>
          </w:tcPr>
          <w:p w:rsidR="00FD1872" w:rsidRPr="00D332BC" w:rsidRDefault="006177C9" w:rsidP="0083418C">
            <w:pPr>
              <w:keepNext w:val="0"/>
            </w:pPr>
            <w:r w:rsidRPr="006177C9">
              <w:t>Nil</w:t>
            </w:r>
          </w:p>
        </w:tc>
      </w:tr>
      <w:tr w:rsidR="006177C9" w:rsidTr="00587239">
        <w:trPr>
          <w:cantSplit w:val="0"/>
        </w:trPr>
        <w:tc>
          <w:tcPr>
            <w:tcW w:w="15106" w:type="dxa"/>
            <w:gridSpan w:val="4"/>
          </w:tcPr>
          <w:p w:rsidR="006177C9" w:rsidRPr="006177C9" w:rsidRDefault="006177C9" w:rsidP="0083418C">
            <w:pPr>
              <w:keepNext w:val="0"/>
              <w:jc w:val="center"/>
              <w:rPr>
                <w:i/>
              </w:rPr>
            </w:pPr>
            <w:r w:rsidRPr="006177C9">
              <w:rPr>
                <w:i/>
              </w:rPr>
              <w:lastRenderedPageBreak/>
              <w:t>Clause 32 to 35: no change</w:t>
            </w:r>
          </w:p>
        </w:tc>
      </w:tr>
      <w:tr w:rsidR="006177C9" w:rsidTr="008450B1">
        <w:trPr>
          <w:cantSplit w:val="0"/>
        </w:trPr>
        <w:tc>
          <w:tcPr>
            <w:tcW w:w="5920" w:type="dxa"/>
          </w:tcPr>
          <w:p w:rsidR="006177C9" w:rsidRPr="006177C9" w:rsidRDefault="006177C9" w:rsidP="0083418C">
            <w:pPr>
              <w:keepNext w:val="0"/>
              <w:rPr>
                <w:rFonts w:ascii="Arial" w:hAnsi="Arial" w:cs="Arial"/>
                <w:color w:val="006DA7"/>
              </w:rPr>
            </w:pPr>
            <w:r w:rsidRPr="006177C9">
              <w:rPr>
                <w:rFonts w:ascii="Arial" w:hAnsi="Arial" w:cs="Arial"/>
                <w:color w:val="006DA7"/>
              </w:rPr>
              <w:t>36. Samples are retained to fulfil two purposes; firstly to provide a</w:t>
            </w:r>
          </w:p>
          <w:p w:rsidR="006177C9" w:rsidRPr="006177C9" w:rsidRDefault="006177C9" w:rsidP="0083418C">
            <w:pPr>
              <w:keepNext w:val="0"/>
              <w:rPr>
                <w:rFonts w:ascii="Arial" w:hAnsi="Arial" w:cs="Arial"/>
                <w:color w:val="006DA7"/>
              </w:rPr>
            </w:pPr>
            <w:r w:rsidRPr="006177C9">
              <w:rPr>
                <w:rFonts w:ascii="Arial" w:hAnsi="Arial" w:cs="Arial"/>
                <w:color w:val="006DA7"/>
              </w:rPr>
              <w:t>sample for analytical testing and secondly to provide a specimen of the</w:t>
            </w:r>
          </w:p>
          <w:p w:rsidR="006177C9" w:rsidRPr="006177C9" w:rsidRDefault="006177C9" w:rsidP="0083418C">
            <w:pPr>
              <w:keepNext w:val="0"/>
              <w:rPr>
                <w:rFonts w:ascii="Arial" w:hAnsi="Arial" w:cs="Arial"/>
                <w:color w:val="006DA7"/>
              </w:rPr>
            </w:pPr>
            <w:proofErr w:type="gramStart"/>
            <w:r w:rsidRPr="006177C9">
              <w:rPr>
                <w:rFonts w:ascii="Arial" w:hAnsi="Arial" w:cs="Arial"/>
                <w:color w:val="006DA7"/>
              </w:rPr>
              <w:t>finished</w:t>
            </w:r>
            <w:proofErr w:type="gramEnd"/>
            <w:r w:rsidRPr="006177C9">
              <w:rPr>
                <w:rFonts w:ascii="Arial" w:hAnsi="Arial" w:cs="Arial"/>
                <w:color w:val="006DA7"/>
              </w:rPr>
              <w:t xml:space="preserve"> product. Samples may therefore fall into two categories:  </w:t>
            </w:r>
          </w:p>
          <w:p w:rsidR="006177C9" w:rsidRPr="006177C9" w:rsidRDefault="006177C9" w:rsidP="0083418C">
            <w:pPr>
              <w:keepNext w:val="0"/>
              <w:rPr>
                <w:rFonts w:ascii="Arial" w:hAnsi="Arial" w:cs="Arial"/>
                <w:color w:val="006DA7"/>
              </w:rPr>
            </w:pPr>
            <w:r w:rsidRPr="006177C9">
              <w:rPr>
                <w:rFonts w:ascii="Arial" w:hAnsi="Arial" w:cs="Arial"/>
                <w:color w:val="006DA7"/>
              </w:rPr>
              <w:t>Reference sample: a sample of a batch of starting material, packaging material, product contained in its primary packaging or finished product which is stored for the purpose of being analysed should the need arise. Where stability permits, reference samples from critical intermediate stages (e.g. those requiring analytical testing and release) or intermediates, which are transported outside of the manufacturer’s control should be kept.</w:t>
            </w:r>
          </w:p>
          <w:p w:rsidR="006177C9" w:rsidRPr="006177C9" w:rsidRDefault="006177C9" w:rsidP="0083418C">
            <w:pPr>
              <w:keepNext w:val="0"/>
              <w:rPr>
                <w:rFonts w:ascii="Arial" w:hAnsi="Arial" w:cs="Arial"/>
                <w:color w:val="006DA7"/>
              </w:rPr>
            </w:pPr>
            <w:r w:rsidRPr="006177C9">
              <w:rPr>
                <w:rFonts w:ascii="Arial" w:hAnsi="Arial" w:cs="Arial"/>
                <w:color w:val="006DA7"/>
              </w:rPr>
              <w:t xml:space="preserve">Retention sample: a sample of a packaged unit from a batch of finished product for each packaging run/trial period. It is stored for identification purposes. For </w:t>
            </w:r>
            <w:r w:rsidRPr="006177C9">
              <w:rPr>
                <w:rFonts w:ascii="Arial" w:hAnsi="Arial" w:cs="Arial"/>
                <w:color w:val="006DA7"/>
              </w:rPr>
              <w:lastRenderedPageBreak/>
              <w:t>example, presentation, packaging, labelling, leaflet, batch number, expiry date should the need arise.</w:t>
            </w:r>
          </w:p>
          <w:p w:rsidR="006177C9" w:rsidRPr="006177C9" w:rsidRDefault="006177C9" w:rsidP="0083418C">
            <w:pPr>
              <w:keepNext w:val="0"/>
              <w:rPr>
                <w:rFonts w:ascii="Arial" w:hAnsi="Arial" w:cs="Arial"/>
                <w:color w:val="006DA7"/>
              </w:rPr>
            </w:pPr>
            <w:r w:rsidRPr="006177C9">
              <w:rPr>
                <w:rFonts w:ascii="Arial" w:hAnsi="Arial" w:cs="Arial"/>
                <w:color w:val="006DA7"/>
              </w:rPr>
              <w:t>In many instances the reference and retention samples will be presented identically, i.e. as fully packaged units. In such circumstances, reference and retention samples may be regarded as interchangeable.</w:t>
            </w:r>
          </w:p>
          <w:p w:rsidR="006177C9" w:rsidRPr="006177C9" w:rsidRDefault="006177C9" w:rsidP="0083418C">
            <w:pPr>
              <w:keepNext w:val="0"/>
              <w:rPr>
                <w:rFonts w:ascii="Arial" w:hAnsi="Arial" w:cs="Arial"/>
                <w:color w:val="006DA7"/>
              </w:rPr>
            </w:pPr>
            <w:r w:rsidRPr="006177C9">
              <w:rPr>
                <w:rFonts w:ascii="Arial" w:hAnsi="Arial" w:cs="Arial"/>
                <w:color w:val="006DA7"/>
              </w:rPr>
              <w:t>Reference and retention samples of investigational medicinal product, including blinded product should be kept for at least two years after completion or formal discontinuation of the last clinical trial in which the batch was used, whichever period is the longer.</w:t>
            </w:r>
          </w:p>
          <w:p w:rsidR="006177C9" w:rsidRDefault="006177C9" w:rsidP="0083418C">
            <w:pPr>
              <w:keepNext w:val="0"/>
            </w:pPr>
            <w:r>
              <w:t>Consideration should be given to keeping retention samples until the clinical report has been prepared to enable confirmation of product identity in the event of, and as part of an investigation into inconsistent trial results.</w:t>
            </w:r>
          </w:p>
          <w:p w:rsidR="006177C9" w:rsidRPr="006177C9" w:rsidRDefault="006177C9" w:rsidP="0083418C">
            <w:pPr>
              <w:keepNext w:val="0"/>
              <w:rPr>
                <w:rFonts w:ascii="Arial" w:hAnsi="Arial" w:cs="Arial"/>
                <w:color w:val="006DA7"/>
              </w:rPr>
            </w:pPr>
            <w:r w:rsidRPr="006177C9">
              <w:rPr>
                <w:rFonts w:ascii="Arial" w:hAnsi="Arial" w:cs="Arial"/>
                <w:color w:val="006DA7"/>
              </w:rPr>
              <w:t>37. The storage location of Reference and Retention samples should be defined in a Technical Agreement between the sponsor and manufacturer(s) and should allow timely access by the competent authorities.</w:t>
            </w:r>
          </w:p>
          <w:p w:rsidR="006177C9" w:rsidRPr="006177C9" w:rsidRDefault="006177C9" w:rsidP="0083418C">
            <w:pPr>
              <w:keepNext w:val="0"/>
              <w:rPr>
                <w:rFonts w:ascii="Arial" w:hAnsi="Arial" w:cs="Arial"/>
                <w:color w:val="006DA7"/>
              </w:rPr>
            </w:pPr>
            <w:r w:rsidRPr="006177C9">
              <w:rPr>
                <w:rFonts w:ascii="Arial" w:hAnsi="Arial" w:cs="Arial"/>
                <w:color w:val="006DA7"/>
              </w:rPr>
              <w:t>The reference sample should be of sufficient size to permit the carrying out, on, at least, two occasions, of the full analytical controls on the batch in accordance with the IMP dossier submitted for authorisation to conduct the clinical trial.</w:t>
            </w:r>
          </w:p>
          <w:p w:rsidR="006177C9" w:rsidRDefault="006177C9" w:rsidP="0083418C">
            <w:pPr>
              <w:keepNext w:val="0"/>
            </w:pPr>
            <w:r w:rsidRPr="006177C9">
              <w:rPr>
                <w:rFonts w:ascii="Arial" w:hAnsi="Arial" w:cs="Arial"/>
                <w:color w:val="006DA7"/>
              </w:rPr>
              <w:lastRenderedPageBreak/>
              <w:t>In the case of retention samples, it is acceptable to store information related to the final packaging as written or electronic records if such records provide sufficient information. In the case of the latter, the system should comply with the requirements of Annex 11</w:t>
            </w:r>
            <w:proofErr w:type="gramStart"/>
            <w:r w:rsidRPr="006177C9">
              <w:rPr>
                <w:rFonts w:ascii="Arial" w:hAnsi="Arial" w:cs="Arial"/>
                <w:color w:val="006DA7"/>
              </w:rPr>
              <w:t>./</w:t>
            </w:r>
            <w:proofErr w:type="gramEnd"/>
          </w:p>
        </w:tc>
        <w:tc>
          <w:tcPr>
            <w:tcW w:w="5812" w:type="dxa"/>
          </w:tcPr>
          <w:p w:rsidR="006177C9" w:rsidRPr="006177C9" w:rsidRDefault="006177C9" w:rsidP="0083418C">
            <w:pPr>
              <w:keepNext w:val="0"/>
            </w:pPr>
            <w:r w:rsidRPr="006177C9">
              <w:lastRenderedPageBreak/>
              <w:t>36. Samples of each batch of investigational medicinal</w:t>
            </w:r>
            <w:r>
              <w:t xml:space="preserve"> </w:t>
            </w:r>
            <w:r w:rsidRPr="006177C9">
              <w:t>product, including blinded product should be retained for</w:t>
            </w:r>
            <w:r>
              <w:t xml:space="preserve"> </w:t>
            </w:r>
            <w:r w:rsidRPr="006177C9">
              <w:t>the</w:t>
            </w:r>
            <w:r>
              <w:t xml:space="preserve"> </w:t>
            </w:r>
            <w:r w:rsidRPr="006177C9">
              <w:t xml:space="preserve">required periods. </w:t>
            </w:r>
          </w:p>
          <w:p w:rsidR="006177C9" w:rsidRPr="006177C9" w:rsidRDefault="006177C9" w:rsidP="0083418C">
            <w:pPr>
              <w:keepNext w:val="0"/>
            </w:pPr>
            <w:r w:rsidRPr="006177C9">
              <w:t>37. Consideration should be given to retaining samples from</w:t>
            </w:r>
            <w:r>
              <w:t xml:space="preserve"> </w:t>
            </w:r>
            <w:r w:rsidRPr="006177C9">
              <w:t>each packaging run/trial period until the clinical report has</w:t>
            </w:r>
            <w:r>
              <w:t xml:space="preserve"> </w:t>
            </w:r>
            <w:r w:rsidRPr="006177C9">
              <w:t>been prepared to enable confirmation of product identity in</w:t>
            </w:r>
            <w:r>
              <w:t xml:space="preserve"> </w:t>
            </w:r>
            <w:r w:rsidRPr="006177C9">
              <w:t>the event of, and as part of an investigation into inconsistent</w:t>
            </w:r>
            <w:r>
              <w:t xml:space="preserve"> </w:t>
            </w:r>
            <w:r w:rsidRPr="006177C9">
              <w:t>trial results.</w:t>
            </w:r>
          </w:p>
        </w:tc>
        <w:tc>
          <w:tcPr>
            <w:tcW w:w="1843" w:type="dxa"/>
          </w:tcPr>
          <w:p w:rsidR="006177C9" w:rsidRPr="006177C9" w:rsidRDefault="006177C9" w:rsidP="0083418C">
            <w:pPr>
              <w:keepNext w:val="0"/>
            </w:pPr>
            <w:r w:rsidRPr="006177C9">
              <w:t>Providing additional clarification to what was already required following GMP Annex 19</w:t>
            </w:r>
          </w:p>
        </w:tc>
        <w:tc>
          <w:tcPr>
            <w:tcW w:w="1531" w:type="dxa"/>
          </w:tcPr>
          <w:p w:rsidR="006177C9" w:rsidRPr="006177C9" w:rsidRDefault="006177C9" w:rsidP="0083418C">
            <w:pPr>
              <w:keepNext w:val="0"/>
            </w:pPr>
            <w:r w:rsidRPr="006177C9">
              <w:t>Nil</w:t>
            </w:r>
          </w:p>
        </w:tc>
      </w:tr>
      <w:tr w:rsidR="00923649" w:rsidTr="00587239">
        <w:trPr>
          <w:cantSplit w:val="0"/>
        </w:trPr>
        <w:tc>
          <w:tcPr>
            <w:tcW w:w="15106" w:type="dxa"/>
            <w:gridSpan w:val="4"/>
          </w:tcPr>
          <w:p w:rsidR="00923649" w:rsidRPr="00923649" w:rsidRDefault="00923649" w:rsidP="0083418C">
            <w:pPr>
              <w:keepNext w:val="0"/>
              <w:jc w:val="center"/>
              <w:rPr>
                <w:i/>
              </w:rPr>
            </w:pPr>
            <w:r w:rsidRPr="00923649">
              <w:rPr>
                <w:i/>
              </w:rPr>
              <w:lastRenderedPageBreak/>
              <w:t>Clause 38 to 42: no change</w:t>
            </w:r>
          </w:p>
        </w:tc>
      </w:tr>
      <w:tr w:rsidR="00923649" w:rsidTr="008450B1">
        <w:trPr>
          <w:cantSplit w:val="0"/>
        </w:trPr>
        <w:tc>
          <w:tcPr>
            <w:tcW w:w="5920" w:type="dxa"/>
          </w:tcPr>
          <w:p w:rsidR="00923649" w:rsidRPr="00923649" w:rsidRDefault="00923649" w:rsidP="0083418C">
            <w:pPr>
              <w:keepNext w:val="0"/>
            </w:pPr>
            <w:r w:rsidRPr="00923649">
              <w:t xml:space="preserve">43. Investigational medicinal products should remain under the control of the Sponsor until after completion of a two-step procedure: certification by the Authorised Person; and release following fulfilment of the relevant requirements.  The Sponsor should ensure that the details set out in the clinical trial application and considered by the Authorised Person </w:t>
            </w:r>
            <w:r w:rsidRPr="00923649">
              <w:rPr>
                <w:rFonts w:ascii="Arial" w:hAnsi="Arial" w:cs="Arial"/>
                <w:color w:val="006DA7"/>
              </w:rPr>
              <w:t xml:space="preserve">are consistent with what is finally accepted by the Competent Authorities. Suitable arrangements to meet this requirement should be established. In practical terms, this can best be achieved through a change control process for the Product Specification File and defined in a Technical Agreement between the Authorised Person and the Sponsor. </w:t>
            </w:r>
            <w:r w:rsidRPr="00923649">
              <w:t xml:space="preserve">Both steps should be recorded and retained in the relevant trial files held by or on behalf of the sponsor. </w:t>
            </w:r>
          </w:p>
          <w:p w:rsidR="00923649" w:rsidRPr="00923649" w:rsidRDefault="00923649" w:rsidP="0083418C">
            <w:pPr>
              <w:keepNext w:val="0"/>
              <w:rPr>
                <w:color w:val="006664"/>
              </w:rPr>
            </w:pPr>
            <w:r w:rsidRPr="00923649">
              <w:rPr>
                <w:color w:val="006664"/>
              </w:rPr>
              <w:t>[44. Shipping of investigational products should be conducted according to instructions given by or on behalf of the sponsor in the shipping order.]</w:t>
            </w:r>
          </w:p>
        </w:tc>
        <w:tc>
          <w:tcPr>
            <w:tcW w:w="5812" w:type="dxa"/>
          </w:tcPr>
          <w:p w:rsidR="00923649" w:rsidRDefault="00923649" w:rsidP="0083418C">
            <w:pPr>
              <w:keepNext w:val="0"/>
            </w:pPr>
            <w:r>
              <w:t>43. Shipping of investigational products should be conducted according to instructions given by or on behalf of the sponsor in the shipping order.</w:t>
            </w:r>
          </w:p>
          <w:p w:rsidR="00923649" w:rsidRPr="006177C9" w:rsidRDefault="00923649" w:rsidP="0083418C">
            <w:pPr>
              <w:keepNext w:val="0"/>
            </w:pPr>
            <w:r>
              <w:t xml:space="preserve">44. Investigational medicinal products should remain under the control of the Sponsor until after completion of a </w:t>
            </w:r>
            <w:proofErr w:type="spellStart"/>
            <w:r>
              <w:t>two step</w:t>
            </w:r>
            <w:proofErr w:type="spellEnd"/>
            <w:r>
              <w:t xml:space="preserve"> release procedure: certification by the Authorised Person; and release following fulfilment of the relevant requirements.  The sponsor should ensure that these are consistent with the details actually considered by the Authorised Person.  Both releases should be recorded and retained in the relevant trial files held by or on behalf of the sponsor.</w:t>
            </w:r>
          </w:p>
        </w:tc>
        <w:tc>
          <w:tcPr>
            <w:tcW w:w="1843" w:type="dxa"/>
          </w:tcPr>
          <w:p w:rsidR="00923649" w:rsidRPr="006177C9" w:rsidRDefault="005237B5" w:rsidP="0083418C">
            <w:pPr>
              <w:keepNext w:val="0"/>
            </w:pPr>
            <w:r w:rsidRPr="005237B5">
              <w:t>Addition of a reference to what is finally accepted by the Competent Authorities, and an explanation on how this can be achieved</w:t>
            </w:r>
          </w:p>
        </w:tc>
        <w:tc>
          <w:tcPr>
            <w:tcW w:w="1531" w:type="dxa"/>
          </w:tcPr>
          <w:p w:rsidR="00923649" w:rsidRPr="006177C9" w:rsidRDefault="005237B5" w:rsidP="0083418C">
            <w:pPr>
              <w:keepNext w:val="0"/>
            </w:pPr>
            <w:r w:rsidRPr="005237B5">
              <w:t>Minor</w:t>
            </w:r>
          </w:p>
        </w:tc>
      </w:tr>
      <w:tr w:rsidR="005237B5" w:rsidTr="00587239">
        <w:trPr>
          <w:cantSplit w:val="0"/>
        </w:trPr>
        <w:tc>
          <w:tcPr>
            <w:tcW w:w="15106" w:type="dxa"/>
            <w:gridSpan w:val="4"/>
          </w:tcPr>
          <w:p w:rsidR="005237B5" w:rsidRPr="005237B5" w:rsidRDefault="005237B5" w:rsidP="0083418C">
            <w:pPr>
              <w:keepNext w:val="0"/>
              <w:jc w:val="center"/>
              <w:rPr>
                <w:i/>
              </w:rPr>
            </w:pPr>
            <w:r w:rsidRPr="005237B5">
              <w:rPr>
                <w:i/>
              </w:rPr>
              <w:lastRenderedPageBreak/>
              <w:t>Clause 45  to 55: no change</w:t>
            </w:r>
          </w:p>
        </w:tc>
      </w:tr>
      <w:tr w:rsidR="005237B5" w:rsidTr="008450B1">
        <w:trPr>
          <w:cantSplit w:val="0"/>
        </w:trPr>
        <w:tc>
          <w:tcPr>
            <w:tcW w:w="5920" w:type="dxa"/>
          </w:tcPr>
          <w:p w:rsidR="00056296" w:rsidRDefault="00056296" w:rsidP="0083418C">
            <w:pPr>
              <w:keepNext w:val="0"/>
            </w:pPr>
            <w:r>
              <w:t>Table 1: no change, except for addition of explanatory footnotes and changing sequence of footnotes:</w:t>
            </w:r>
          </w:p>
          <w:p w:rsidR="00056296" w:rsidRPr="00056296" w:rsidRDefault="00056296" w:rsidP="0083418C">
            <w:pPr>
              <w:keepNext w:val="0"/>
              <w:rPr>
                <w:rFonts w:ascii="Arial" w:hAnsi="Arial" w:cs="Arial"/>
                <w:color w:val="006DA7"/>
              </w:rPr>
            </w:pPr>
            <w:r w:rsidRPr="00056296">
              <w:rPr>
                <w:rFonts w:ascii="Arial" w:hAnsi="Arial" w:cs="Arial"/>
                <w:color w:val="006DA7"/>
                <w:vertAlign w:val="superscript"/>
              </w:rPr>
              <w:t>3</w:t>
            </w:r>
            <w:r w:rsidRPr="00056296">
              <w:rPr>
                <w:rFonts w:ascii="Arial" w:hAnsi="Arial" w:cs="Arial"/>
                <w:color w:val="006DA7"/>
              </w:rPr>
              <w:t>For closed blinded trials, the labelling should include a statement indicating “placebo or [name/identifier] + [strength/potency]”.</w:t>
            </w:r>
          </w:p>
          <w:p w:rsidR="00056296" w:rsidRDefault="00056296" w:rsidP="0083418C">
            <w:pPr>
              <w:keepNext w:val="0"/>
            </w:pPr>
            <w:r w:rsidRPr="00056296">
              <w:rPr>
                <w:vertAlign w:val="superscript"/>
              </w:rPr>
              <w:t>4</w:t>
            </w:r>
            <w:r>
              <w:t xml:space="preserve"> The address and telephone number of the main contact for information on the product, clinical trial and for emergency </w:t>
            </w:r>
            <w:proofErr w:type="spellStart"/>
            <w:r>
              <w:t>unblinding</w:t>
            </w:r>
            <w:proofErr w:type="spellEnd"/>
            <w:r>
              <w:t xml:space="preserve"> need not appear on the label where the subject has been given a leaflet or card which provides these details and has been instructed to keep this in their possession at all times (§ 27).</w:t>
            </w:r>
          </w:p>
          <w:p w:rsidR="00056296" w:rsidRPr="00056296" w:rsidRDefault="00056296" w:rsidP="0083418C">
            <w:pPr>
              <w:keepNext w:val="0"/>
              <w:rPr>
                <w:color w:val="006664"/>
              </w:rPr>
            </w:pPr>
            <w:r w:rsidRPr="005E7C2E">
              <w:rPr>
                <w:color w:val="006664"/>
              </w:rPr>
              <w:t>[</w:t>
            </w:r>
            <w:r w:rsidRPr="00056296">
              <w:rPr>
                <w:color w:val="006664"/>
                <w:vertAlign w:val="superscript"/>
              </w:rPr>
              <w:t>5</w:t>
            </w:r>
            <w:r w:rsidRPr="00056296">
              <w:rPr>
                <w:color w:val="006664"/>
              </w:rPr>
              <w:t xml:space="preserve"> When the outer packaging carries the particulars listed in Article 26.</w:t>
            </w:r>
          </w:p>
          <w:p w:rsidR="00056296" w:rsidRPr="00056296" w:rsidRDefault="00056296" w:rsidP="0083418C">
            <w:pPr>
              <w:keepNext w:val="0"/>
              <w:rPr>
                <w:color w:val="006664"/>
              </w:rPr>
            </w:pPr>
            <w:r w:rsidRPr="00056296">
              <w:rPr>
                <w:color w:val="006664"/>
                <w:vertAlign w:val="superscript"/>
              </w:rPr>
              <w:t>6</w:t>
            </w:r>
            <w:r w:rsidRPr="00056296">
              <w:rPr>
                <w:color w:val="006664"/>
              </w:rPr>
              <w:t xml:space="preserve"> The address and telephone number of the main contact for information on the product, clinical trial and for emergency </w:t>
            </w:r>
            <w:proofErr w:type="spellStart"/>
            <w:r w:rsidRPr="00056296">
              <w:rPr>
                <w:color w:val="006664"/>
              </w:rPr>
              <w:t>unblinding</w:t>
            </w:r>
            <w:proofErr w:type="spellEnd"/>
            <w:r w:rsidRPr="00056296">
              <w:rPr>
                <w:color w:val="006664"/>
              </w:rPr>
              <w:t xml:space="preserve"> need not be included.]</w:t>
            </w:r>
          </w:p>
          <w:p w:rsidR="00056296" w:rsidRDefault="00056296" w:rsidP="0083418C">
            <w:pPr>
              <w:keepNext w:val="0"/>
            </w:pPr>
            <w:r w:rsidRPr="00056296">
              <w:rPr>
                <w:vertAlign w:val="superscript"/>
              </w:rPr>
              <w:t>7</w:t>
            </w:r>
            <w:r>
              <w:t xml:space="preserve"> Route of administration may be excluded for oral solid dose forms.</w:t>
            </w:r>
          </w:p>
          <w:p w:rsidR="005237B5" w:rsidRPr="00923649" w:rsidRDefault="00056296" w:rsidP="0083418C">
            <w:pPr>
              <w:keepNext w:val="0"/>
            </w:pPr>
            <w:r w:rsidRPr="00056296">
              <w:rPr>
                <w:vertAlign w:val="superscript"/>
              </w:rPr>
              <w:t>8</w:t>
            </w:r>
            <w:r>
              <w:t xml:space="preserve"> The pharmaceutical dosage form and quantity of dosage units may be omitted.</w:t>
            </w:r>
          </w:p>
        </w:tc>
        <w:tc>
          <w:tcPr>
            <w:tcW w:w="5812" w:type="dxa"/>
          </w:tcPr>
          <w:p w:rsidR="004B6055" w:rsidRDefault="004B6055" w:rsidP="0083418C">
            <w:pPr>
              <w:keepNext w:val="0"/>
            </w:pPr>
            <w:r w:rsidRPr="004B6055">
              <w:rPr>
                <w:vertAlign w:val="superscript"/>
              </w:rPr>
              <w:t>1</w:t>
            </w:r>
            <w:r>
              <w:t xml:space="preserve"> The address and telephone number of the main contact for information on the product, clinical trial and for emergency </w:t>
            </w:r>
            <w:proofErr w:type="spellStart"/>
            <w:r>
              <w:t>unblinding</w:t>
            </w:r>
            <w:proofErr w:type="spellEnd"/>
            <w:r>
              <w:t xml:space="preserve"> need not appear on the label where the subject has been given a leaflet or card which provides these details and has been instructed to keep this in their possession at all times (§ 27).</w:t>
            </w:r>
          </w:p>
          <w:p w:rsidR="004B6055" w:rsidRDefault="004B6055" w:rsidP="0083418C">
            <w:pPr>
              <w:keepNext w:val="0"/>
            </w:pPr>
            <w:r w:rsidRPr="004B6055">
              <w:rPr>
                <w:vertAlign w:val="superscript"/>
              </w:rPr>
              <w:t>2</w:t>
            </w:r>
            <w:r>
              <w:t xml:space="preserve"> The address and telephone number of the main contact for information on the product, clinical trial and for emergency </w:t>
            </w:r>
            <w:proofErr w:type="spellStart"/>
            <w:r>
              <w:t>unblinding</w:t>
            </w:r>
            <w:proofErr w:type="spellEnd"/>
            <w:r>
              <w:t xml:space="preserve"> need not be included.</w:t>
            </w:r>
          </w:p>
          <w:p w:rsidR="004B6055" w:rsidRDefault="004B6055" w:rsidP="0083418C">
            <w:pPr>
              <w:keepNext w:val="0"/>
            </w:pPr>
            <w:r w:rsidRPr="004B6055">
              <w:rPr>
                <w:vertAlign w:val="superscript"/>
              </w:rPr>
              <w:t>3</w:t>
            </w:r>
            <w:r>
              <w:t xml:space="preserve"> Route of administration may be excluded for oral solid dose forms.</w:t>
            </w:r>
          </w:p>
          <w:p w:rsidR="004B6055" w:rsidRDefault="004B6055" w:rsidP="0083418C">
            <w:pPr>
              <w:keepNext w:val="0"/>
            </w:pPr>
            <w:r w:rsidRPr="004B6055">
              <w:rPr>
                <w:vertAlign w:val="superscript"/>
              </w:rPr>
              <w:t>4</w:t>
            </w:r>
            <w:r>
              <w:t xml:space="preserve"> The pharmaceutical dosage form and quantity of dosage units may be omitted.</w:t>
            </w:r>
          </w:p>
          <w:p w:rsidR="005237B5" w:rsidRDefault="004B6055" w:rsidP="0083418C">
            <w:pPr>
              <w:keepNext w:val="0"/>
            </w:pPr>
            <w:r w:rsidRPr="004B6055">
              <w:rPr>
                <w:vertAlign w:val="superscript"/>
              </w:rPr>
              <w:t>5</w:t>
            </w:r>
            <w:r>
              <w:t>When the outer packaging carries the particulars listed in Article 26.</w:t>
            </w:r>
          </w:p>
        </w:tc>
        <w:tc>
          <w:tcPr>
            <w:tcW w:w="1843" w:type="dxa"/>
          </w:tcPr>
          <w:p w:rsidR="005237B5" w:rsidRPr="005237B5" w:rsidRDefault="004800B3" w:rsidP="0083418C">
            <w:pPr>
              <w:keepNext w:val="0"/>
            </w:pPr>
            <w:r w:rsidRPr="004800B3">
              <w:t>Bringing in line with the added footnote under clause 26 b)</w:t>
            </w:r>
          </w:p>
        </w:tc>
        <w:tc>
          <w:tcPr>
            <w:tcW w:w="1531" w:type="dxa"/>
          </w:tcPr>
          <w:p w:rsidR="005237B5" w:rsidRPr="005237B5" w:rsidRDefault="004800B3" w:rsidP="0083418C">
            <w:pPr>
              <w:keepNext w:val="0"/>
            </w:pPr>
            <w:r w:rsidRPr="004800B3">
              <w:t>Nil</w:t>
            </w:r>
          </w:p>
        </w:tc>
      </w:tr>
    </w:tbl>
    <w:p w:rsidR="00706634" w:rsidRPr="006F652C" w:rsidRDefault="00F8709D" w:rsidP="00706634">
      <w:pPr>
        <w:spacing w:before="0" w:after="0" w:line="240" w:lineRule="auto"/>
        <w:rPr>
          <w:sz w:val="20"/>
        </w:rPr>
        <w:sectPr w:rsidR="00706634" w:rsidRPr="006F652C" w:rsidSect="00C87F3A">
          <w:headerReference w:type="even" r:id="rId21"/>
          <w:headerReference w:type="default" r:id="rId22"/>
          <w:footerReference w:type="default" r:id="rId23"/>
          <w:headerReference w:type="first" r:id="rId24"/>
          <w:pgSz w:w="16838" w:h="11906" w:orient="landscape" w:code="9"/>
          <w:pgMar w:top="1701" w:right="1239" w:bottom="1701" w:left="709" w:header="573" w:footer="333" w:gutter="0"/>
          <w:cols w:space="708"/>
          <w:docGrid w:linePitch="360"/>
        </w:sectPr>
      </w:pPr>
      <w:r>
        <w:rPr>
          <w:sz w:val="20"/>
        </w:rPr>
        <w:lastRenderedPageBreak/>
        <w:br w:type="page"/>
      </w: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6A38E4" w:rsidRPr="00487162" w:rsidTr="00E47660">
        <w:trPr>
          <w:trHeight w:hRule="exact" w:val="565"/>
          <w:jc w:val="center"/>
        </w:trPr>
        <w:tc>
          <w:tcPr>
            <w:tcW w:w="9145" w:type="dxa"/>
          </w:tcPr>
          <w:p w:rsidR="006A38E4" w:rsidRPr="00487162" w:rsidRDefault="006A38E4" w:rsidP="008C63C5">
            <w:pPr>
              <w:pStyle w:val="TGASignoff"/>
            </w:pPr>
            <w:r w:rsidRPr="00487162">
              <w:lastRenderedPageBreak/>
              <w:t>Therapeutic Goods Administration</w:t>
            </w:r>
          </w:p>
        </w:tc>
      </w:tr>
      <w:tr w:rsidR="006A38E4" w:rsidRPr="00487162" w:rsidTr="00E47660">
        <w:trPr>
          <w:trHeight w:val="1284"/>
          <w:jc w:val="center"/>
        </w:trPr>
        <w:tc>
          <w:tcPr>
            <w:tcW w:w="9145" w:type="dxa"/>
            <w:tcMar>
              <w:top w:w="28" w:type="dxa"/>
            </w:tcMar>
          </w:tcPr>
          <w:p w:rsidR="006A38E4" w:rsidRPr="00140FE3" w:rsidRDefault="006A38E4" w:rsidP="008C63C5">
            <w:pPr>
              <w:pStyle w:val="Address"/>
              <w:jc w:val="center"/>
            </w:pPr>
            <w:r w:rsidRPr="00140FE3">
              <w:t>PO Bo</w:t>
            </w:r>
            <w:r w:rsidRPr="006F652C">
              <w:t>x 100 Woden ACT 2606 A</w:t>
            </w:r>
            <w:r w:rsidRPr="00140FE3">
              <w:t>ustralia</w:t>
            </w:r>
          </w:p>
          <w:p w:rsidR="006A38E4" w:rsidRPr="00140FE3" w:rsidRDefault="006A38E4" w:rsidP="008C63C5">
            <w:pPr>
              <w:pStyle w:val="Address"/>
              <w:jc w:val="center"/>
            </w:pPr>
            <w:r w:rsidRPr="00140FE3">
              <w:t>Email: info@tga.gov.au  Phone: 1800 020 653  Fax: 02 6232 8605</w:t>
            </w:r>
          </w:p>
          <w:p w:rsidR="006A38E4" w:rsidRPr="005423EF" w:rsidRDefault="005B2AAC" w:rsidP="008C63C5">
            <w:pPr>
              <w:pStyle w:val="Address"/>
              <w:spacing w:line="260" w:lineRule="atLeast"/>
              <w:jc w:val="center"/>
              <w:rPr>
                <w:rStyle w:val="Hyperlink"/>
                <w:b/>
              </w:rPr>
            </w:pPr>
            <w:hyperlink r:id="rId25" w:history="1">
              <w:r w:rsidR="006A38E4" w:rsidRPr="005423EF">
                <w:rPr>
                  <w:rStyle w:val="Hyperlink"/>
                  <w:b/>
                </w:rPr>
                <w:t>www.tga.gov.au</w:t>
              </w:r>
            </w:hyperlink>
          </w:p>
          <w:p w:rsidR="006A38E4" w:rsidRPr="00487162" w:rsidRDefault="006A38E4" w:rsidP="00E47660">
            <w:pPr>
              <w:pStyle w:val="Reference"/>
              <w:jc w:val="center"/>
            </w:pPr>
            <w:r w:rsidRPr="00487162">
              <w:t>Reference/Publication #</w:t>
            </w:r>
          </w:p>
        </w:tc>
      </w:tr>
    </w:tbl>
    <w:p w:rsidR="00706634" w:rsidRPr="001525B4" w:rsidRDefault="00706634" w:rsidP="008E3C43">
      <w:pPr>
        <w:rPr>
          <w:sz w:val="20"/>
        </w:rPr>
      </w:pPr>
    </w:p>
    <w:sectPr w:rsidR="00706634" w:rsidRPr="001525B4" w:rsidSect="00C87F3A">
      <w:headerReference w:type="even" r:id="rId26"/>
      <w:headerReference w:type="default" r:id="rId27"/>
      <w:headerReference w:type="first" r:id="rId28"/>
      <w:footerReference w:type="first" r:id="rId29"/>
      <w:pgSz w:w="11906" w:h="16838" w:code="9"/>
      <w:pgMar w:top="13892" w:right="1701" w:bottom="567" w:left="1701" w:header="1134" w:footer="1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08" w:rsidRDefault="005C1208" w:rsidP="00C40A36">
      <w:pPr>
        <w:spacing w:after="0"/>
      </w:pPr>
      <w:r>
        <w:separator/>
      </w:r>
    </w:p>
  </w:endnote>
  <w:endnote w:type="continuationSeparator" w:id="0">
    <w:p w:rsidR="005C1208" w:rsidRDefault="005C120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C1208" w:rsidRPr="00257138" w:rsidTr="000B30E5">
      <w:trPr>
        <w:trHeight w:val="423"/>
      </w:trPr>
      <w:tc>
        <w:tcPr>
          <w:tcW w:w="4360" w:type="dxa"/>
          <w:tcBorders>
            <w:top w:val="single" w:sz="4" w:space="0" w:color="auto"/>
          </w:tcBorders>
        </w:tcPr>
        <w:p w:rsidR="005C1208" w:rsidRDefault="005C1208" w:rsidP="000B30E5">
          <w:pPr>
            <w:pStyle w:val="Footer"/>
          </w:pPr>
        </w:p>
        <w:p w:rsidR="005C1208" w:rsidRPr="00257138" w:rsidRDefault="005C1208" w:rsidP="00406DB9">
          <w:pPr>
            <w:pStyle w:val="Footer"/>
          </w:pPr>
          <w:r w:rsidRPr="00257138">
            <w:t>Document title</w:t>
          </w:r>
        </w:p>
      </w:tc>
      <w:tc>
        <w:tcPr>
          <w:tcW w:w="4360" w:type="dxa"/>
          <w:tcBorders>
            <w:top w:val="single" w:sz="4" w:space="0" w:color="auto"/>
          </w:tcBorders>
        </w:tcPr>
        <w:sdt>
          <w:sdtPr>
            <w:id w:val="11571765"/>
            <w:docPartObj>
              <w:docPartGallery w:val="Page Numbers (Top of Page)"/>
              <w:docPartUnique/>
            </w:docPartObj>
          </w:sdtPr>
          <w:sdtEndPr/>
          <w:sdtContent>
            <w:p w:rsidR="005C1208" w:rsidRDefault="005C1208" w:rsidP="000B30E5">
              <w:pPr>
                <w:pStyle w:val="Footer"/>
                <w:jc w:val="right"/>
              </w:pPr>
            </w:p>
            <w:p w:rsidR="005C1208" w:rsidRPr="00257138" w:rsidRDefault="005C1208" w:rsidP="000B30E5">
              <w:pPr>
                <w:pStyle w:val="Footer"/>
                <w:jc w:val="right"/>
              </w:pPr>
              <w:r w:rsidRPr="00257138">
                <w:t xml:space="preserve">Page </w:t>
              </w:r>
              <w:r w:rsidR="005B2AAC">
                <w:fldChar w:fldCharType="begin"/>
              </w:r>
              <w:r w:rsidR="005B2AAC">
                <w:instrText xml:space="preserve"> PAGE </w:instrText>
              </w:r>
              <w:r w:rsidR="005B2AAC">
                <w:fldChar w:fldCharType="separate"/>
              </w:r>
              <w:r>
                <w:rPr>
                  <w:noProof/>
                </w:rPr>
                <w:t>2</w:t>
              </w:r>
              <w:r w:rsidR="005B2AAC">
                <w:rPr>
                  <w:noProof/>
                </w:rPr>
                <w:fldChar w:fldCharType="end"/>
              </w:r>
              <w:r w:rsidRPr="00257138">
                <w:t xml:space="preserve"> of </w:t>
              </w:r>
              <w:r w:rsidR="005B2AAC">
                <w:fldChar w:fldCharType="begin"/>
              </w:r>
              <w:r w:rsidR="005B2AAC">
                <w:instrText xml:space="preserve"> NUMPAGES  </w:instrText>
              </w:r>
              <w:r w:rsidR="005B2AAC">
                <w:fldChar w:fldCharType="separate"/>
              </w:r>
              <w:r>
                <w:rPr>
                  <w:noProof/>
                </w:rPr>
                <w:t>9</w:t>
              </w:r>
              <w:r w:rsidR="005B2AAC">
                <w:rPr>
                  <w:noProof/>
                </w:rPr>
                <w:fldChar w:fldCharType="end"/>
              </w:r>
            </w:p>
          </w:sdtContent>
        </w:sdt>
      </w:tc>
    </w:tr>
    <w:tr w:rsidR="005C1208" w:rsidRPr="00257138" w:rsidTr="000B30E5">
      <w:trPr>
        <w:trHeight w:val="263"/>
      </w:trPr>
      <w:tc>
        <w:tcPr>
          <w:tcW w:w="4360" w:type="dxa"/>
        </w:tcPr>
        <w:p w:rsidR="005C1208" w:rsidRPr="00257138" w:rsidRDefault="005C1208" w:rsidP="000B30E5">
          <w:pPr>
            <w:pStyle w:val="Footer"/>
          </w:pPr>
          <w:r w:rsidRPr="00257138">
            <w:t xml:space="preserve">V1.0 </w:t>
          </w:r>
          <w:r>
            <w:t>Month</w:t>
          </w:r>
          <w:r w:rsidRPr="00257138">
            <w:t xml:space="preserve"> 201</w:t>
          </w:r>
          <w:r>
            <w:t>2</w:t>
          </w:r>
        </w:p>
      </w:tc>
      <w:tc>
        <w:tcPr>
          <w:tcW w:w="4360" w:type="dxa"/>
        </w:tcPr>
        <w:p w:rsidR="005C1208" w:rsidRPr="00257138" w:rsidRDefault="005C1208" w:rsidP="000B30E5">
          <w:pPr>
            <w:pStyle w:val="Footer"/>
            <w:jc w:val="right"/>
          </w:pPr>
        </w:p>
      </w:tc>
    </w:tr>
  </w:tbl>
  <w:p w:rsidR="005C1208" w:rsidRPr="00826007" w:rsidRDefault="005C1208" w:rsidP="000B30E5">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8" w:rsidRDefault="005C1208" w:rsidP="00816164">
    <w:pPr>
      <w:pStyle w:val="Footer"/>
      <w:ind w:left="-1701"/>
    </w:pPr>
    <w:r w:rsidRPr="002B29B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8" w:rsidRDefault="005C1208" w:rsidP="00587239">
    <w:pPr>
      <w:pStyle w:val="Footer"/>
      <w:tabs>
        <w:tab w:val="left" w:pos="7620"/>
        <w:tab w:val="right" w:pos="8504"/>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5C1208" w:rsidRPr="00257138" w:rsidTr="000B30E5">
      <w:trPr>
        <w:trHeight w:val="423"/>
      </w:trPr>
      <w:tc>
        <w:tcPr>
          <w:tcW w:w="4360" w:type="dxa"/>
          <w:tcBorders>
            <w:top w:val="single" w:sz="4" w:space="0" w:color="auto"/>
          </w:tcBorders>
        </w:tcPr>
        <w:p w:rsidR="005C1208" w:rsidRDefault="005C1208" w:rsidP="000B30E5">
          <w:pPr>
            <w:pStyle w:val="Footer"/>
          </w:pPr>
        </w:p>
        <w:p w:rsidR="005C1208" w:rsidRPr="00257138" w:rsidRDefault="005C1208" w:rsidP="0014247A">
          <w:pPr>
            <w:pStyle w:val="Footer"/>
          </w:pPr>
          <w:r w:rsidRPr="00690BBF">
            <w:t>Comparison between the 2009 and 2013 editions of the PIC/S Guide to GMP</w:t>
          </w:r>
        </w:p>
      </w:tc>
      <w:tc>
        <w:tcPr>
          <w:tcW w:w="4360" w:type="dxa"/>
          <w:tcBorders>
            <w:top w:val="single" w:sz="4" w:space="0" w:color="auto"/>
          </w:tcBorders>
        </w:tcPr>
        <w:sdt>
          <w:sdtPr>
            <w:id w:val="11571659"/>
            <w:docPartObj>
              <w:docPartGallery w:val="Page Numbers (Top of Page)"/>
              <w:docPartUnique/>
            </w:docPartObj>
          </w:sdtPr>
          <w:sdtEndPr/>
          <w:sdtContent>
            <w:p w:rsidR="005C1208" w:rsidRDefault="005C1208" w:rsidP="000B30E5">
              <w:pPr>
                <w:pStyle w:val="Footer"/>
                <w:jc w:val="right"/>
              </w:pPr>
            </w:p>
            <w:p w:rsidR="005C1208" w:rsidRPr="00257138" w:rsidRDefault="005C1208" w:rsidP="000B30E5">
              <w:pPr>
                <w:pStyle w:val="Footer"/>
                <w:jc w:val="right"/>
              </w:pPr>
              <w:r w:rsidRPr="00257138">
                <w:t xml:space="preserve">Page </w:t>
              </w:r>
              <w:r w:rsidR="005B2AAC">
                <w:fldChar w:fldCharType="begin"/>
              </w:r>
              <w:r w:rsidR="005B2AAC">
                <w:instrText xml:space="preserve"> PAGE </w:instrText>
              </w:r>
              <w:r w:rsidR="005B2AAC">
                <w:fldChar w:fldCharType="separate"/>
              </w:r>
              <w:r w:rsidR="005B2AAC">
                <w:rPr>
                  <w:noProof/>
                </w:rPr>
                <w:t>4</w:t>
              </w:r>
              <w:r w:rsidR="005B2AAC">
                <w:rPr>
                  <w:noProof/>
                </w:rPr>
                <w:fldChar w:fldCharType="end"/>
              </w:r>
              <w:r w:rsidRPr="00257138">
                <w:t xml:space="preserve"> of </w:t>
              </w:r>
              <w:r w:rsidR="005B2AAC">
                <w:fldChar w:fldCharType="begin"/>
              </w:r>
              <w:r w:rsidR="005B2AAC">
                <w:instrText xml:space="preserve"> NUMPAGES  </w:instrText>
              </w:r>
              <w:r w:rsidR="005B2AAC">
                <w:fldChar w:fldCharType="separate"/>
              </w:r>
              <w:r w:rsidR="005B2AAC">
                <w:rPr>
                  <w:noProof/>
                </w:rPr>
                <w:t>103</w:t>
              </w:r>
              <w:r w:rsidR="005B2AAC">
                <w:rPr>
                  <w:noProof/>
                </w:rPr>
                <w:fldChar w:fldCharType="end"/>
              </w:r>
            </w:p>
          </w:sdtContent>
        </w:sdt>
      </w:tc>
    </w:tr>
    <w:tr w:rsidR="005C1208" w:rsidRPr="00257138" w:rsidTr="000B30E5">
      <w:trPr>
        <w:trHeight w:val="263"/>
      </w:trPr>
      <w:tc>
        <w:tcPr>
          <w:tcW w:w="4360" w:type="dxa"/>
        </w:tcPr>
        <w:p w:rsidR="005C1208" w:rsidRPr="00257138" w:rsidRDefault="005C1208" w:rsidP="00690BBF">
          <w:pPr>
            <w:pStyle w:val="Footer"/>
          </w:pPr>
          <w:r w:rsidRPr="00257138">
            <w:t xml:space="preserve">V1.0 </w:t>
          </w:r>
          <w:r>
            <w:t xml:space="preserve">May </w:t>
          </w:r>
          <w:r w:rsidRPr="00257138">
            <w:t>201</w:t>
          </w:r>
          <w:r>
            <w:t>3</w:t>
          </w:r>
        </w:p>
      </w:tc>
      <w:tc>
        <w:tcPr>
          <w:tcW w:w="4360" w:type="dxa"/>
        </w:tcPr>
        <w:p w:rsidR="005C1208" w:rsidRPr="00257138" w:rsidRDefault="005C1208" w:rsidP="000B30E5">
          <w:pPr>
            <w:pStyle w:val="Footer"/>
            <w:jc w:val="right"/>
          </w:pPr>
        </w:p>
      </w:tc>
    </w:tr>
  </w:tbl>
  <w:p w:rsidR="005C1208" w:rsidRPr="00826007" w:rsidRDefault="005C1208" w:rsidP="00E177F4">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8" w:rsidRDefault="005C1208" w:rsidP="00587239">
    <w:pPr>
      <w:pStyle w:val="Footer"/>
      <w:tabs>
        <w:tab w:val="left" w:pos="7620"/>
        <w:tab w:val="right" w:pos="8504"/>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0632"/>
    </w:tblGrid>
    <w:tr w:rsidR="005C1208" w:rsidRPr="00257138" w:rsidTr="00587239">
      <w:trPr>
        <w:trHeight w:val="423"/>
      </w:trPr>
      <w:tc>
        <w:tcPr>
          <w:tcW w:w="4360" w:type="dxa"/>
          <w:tcBorders>
            <w:top w:val="single" w:sz="4" w:space="0" w:color="auto"/>
          </w:tcBorders>
        </w:tcPr>
        <w:p w:rsidR="005C1208" w:rsidRDefault="005C1208" w:rsidP="000B30E5">
          <w:pPr>
            <w:pStyle w:val="Footer"/>
          </w:pPr>
        </w:p>
        <w:p w:rsidR="005C1208" w:rsidRPr="00257138" w:rsidRDefault="005C1208" w:rsidP="0014247A">
          <w:pPr>
            <w:pStyle w:val="Footer"/>
          </w:pPr>
          <w:r w:rsidRPr="00690BBF">
            <w:t>Comparison between the 2009 and 2013 editions of the PIC/S Guide to GMP</w:t>
          </w:r>
        </w:p>
      </w:tc>
      <w:tc>
        <w:tcPr>
          <w:tcW w:w="10632" w:type="dxa"/>
          <w:tcBorders>
            <w:top w:val="single" w:sz="4" w:space="0" w:color="auto"/>
          </w:tcBorders>
        </w:tcPr>
        <w:sdt>
          <w:sdtPr>
            <w:id w:val="2979531"/>
            <w:docPartObj>
              <w:docPartGallery w:val="Page Numbers (Top of Page)"/>
              <w:docPartUnique/>
            </w:docPartObj>
          </w:sdtPr>
          <w:sdtEndPr/>
          <w:sdtContent>
            <w:p w:rsidR="005C1208" w:rsidRDefault="005C1208" w:rsidP="000B30E5">
              <w:pPr>
                <w:pStyle w:val="Footer"/>
                <w:jc w:val="right"/>
              </w:pPr>
            </w:p>
            <w:p w:rsidR="005C1208" w:rsidRPr="00257138" w:rsidRDefault="005C1208" w:rsidP="000B30E5">
              <w:pPr>
                <w:pStyle w:val="Footer"/>
                <w:jc w:val="right"/>
              </w:pPr>
              <w:r w:rsidRPr="00257138">
                <w:t xml:space="preserve">Page </w:t>
              </w:r>
              <w:r w:rsidR="005B2AAC">
                <w:fldChar w:fldCharType="begin"/>
              </w:r>
              <w:r w:rsidR="005B2AAC">
                <w:instrText xml:space="preserve"> PAGE </w:instrText>
              </w:r>
              <w:r w:rsidR="005B2AAC">
                <w:fldChar w:fldCharType="separate"/>
              </w:r>
              <w:r w:rsidR="005B2AAC">
                <w:rPr>
                  <w:noProof/>
                </w:rPr>
                <w:t>102</w:t>
              </w:r>
              <w:r w:rsidR="005B2AAC">
                <w:rPr>
                  <w:noProof/>
                </w:rPr>
                <w:fldChar w:fldCharType="end"/>
              </w:r>
              <w:r w:rsidRPr="00257138">
                <w:t xml:space="preserve"> of </w:t>
              </w:r>
              <w:r w:rsidR="005B2AAC">
                <w:fldChar w:fldCharType="begin"/>
              </w:r>
              <w:r w:rsidR="005B2AAC">
                <w:instrText xml:space="preserve"> NUMPAGES  </w:instrText>
              </w:r>
              <w:r w:rsidR="005B2AAC">
                <w:fldChar w:fldCharType="separate"/>
              </w:r>
              <w:r w:rsidR="005B2AAC">
                <w:rPr>
                  <w:noProof/>
                </w:rPr>
                <w:t>103</w:t>
              </w:r>
              <w:r w:rsidR="005B2AAC">
                <w:rPr>
                  <w:noProof/>
                </w:rPr>
                <w:fldChar w:fldCharType="end"/>
              </w:r>
            </w:p>
          </w:sdtContent>
        </w:sdt>
      </w:tc>
    </w:tr>
    <w:tr w:rsidR="005C1208" w:rsidRPr="00257138" w:rsidTr="00587239">
      <w:trPr>
        <w:trHeight w:val="263"/>
      </w:trPr>
      <w:tc>
        <w:tcPr>
          <w:tcW w:w="4360" w:type="dxa"/>
        </w:tcPr>
        <w:p w:rsidR="005C1208" w:rsidRPr="00257138" w:rsidRDefault="005C1208" w:rsidP="00690BBF">
          <w:pPr>
            <w:pStyle w:val="Footer"/>
          </w:pPr>
          <w:r w:rsidRPr="00257138">
            <w:t xml:space="preserve">V1.0 </w:t>
          </w:r>
          <w:r>
            <w:t xml:space="preserve">May </w:t>
          </w:r>
          <w:r w:rsidRPr="00257138">
            <w:t>201</w:t>
          </w:r>
          <w:r>
            <w:t>3</w:t>
          </w:r>
        </w:p>
      </w:tc>
      <w:tc>
        <w:tcPr>
          <w:tcW w:w="10632" w:type="dxa"/>
        </w:tcPr>
        <w:p w:rsidR="005C1208" w:rsidRPr="00257138" w:rsidRDefault="005C1208" w:rsidP="000B30E5">
          <w:pPr>
            <w:pStyle w:val="Footer"/>
            <w:jc w:val="right"/>
          </w:pPr>
        </w:p>
      </w:tc>
    </w:tr>
  </w:tbl>
  <w:p w:rsidR="005C1208" w:rsidRPr="00826007" w:rsidRDefault="005C1208" w:rsidP="00E177F4">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8" w:rsidRPr="008E3C43" w:rsidRDefault="005C1208" w:rsidP="008E3C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08" w:rsidRDefault="005C1208" w:rsidP="00C40A36">
      <w:pPr>
        <w:spacing w:after="0"/>
      </w:pPr>
      <w:r>
        <w:separator/>
      </w:r>
    </w:p>
  </w:footnote>
  <w:footnote w:type="continuationSeparator" w:id="0">
    <w:p w:rsidR="005C1208" w:rsidRDefault="005C1208" w:rsidP="00C40A36">
      <w:pPr>
        <w:spacing w:after="0"/>
      </w:pPr>
      <w:r>
        <w:continuationSeparator/>
      </w:r>
    </w:p>
  </w:footnote>
  <w:footnote w:id="1">
    <w:p w:rsidR="005C1208" w:rsidRDefault="005C1208">
      <w:pPr>
        <w:pStyle w:val="FootnoteText"/>
      </w:pPr>
      <w:r>
        <w:rPr>
          <w:rStyle w:val="FootnoteReference"/>
        </w:rPr>
        <w:footnoteRef/>
      </w:r>
      <w:r>
        <w:t xml:space="preserve"> </w:t>
      </w:r>
      <w:r w:rsidRPr="00DA73BF">
        <w:t>In the EU/EEA, these devices are marked «CE».</w:t>
      </w:r>
    </w:p>
  </w:footnote>
  <w:footnote w:id="2">
    <w:p w:rsidR="005C1208" w:rsidRDefault="005C1208">
      <w:pPr>
        <w:pStyle w:val="FootnoteText"/>
      </w:pPr>
      <w:r>
        <w:rPr>
          <w:rStyle w:val="FootnoteReference"/>
        </w:rPr>
        <w:footnoteRef/>
      </w:r>
      <w:r>
        <w:t xml:space="preserve"> </w:t>
      </w:r>
      <w:r w:rsidRPr="003C0347">
        <w:t>Throughout the annex and unless otherwise specified, the term “herbal medicinal product / preparation” includes “traditional herbal medicinal product / preparation”.</w:t>
      </w:r>
    </w:p>
  </w:footnote>
  <w:footnote w:id="3">
    <w:p w:rsidR="005C1208" w:rsidRDefault="005C1208">
      <w:pPr>
        <w:pStyle w:val="FootnoteText"/>
      </w:pPr>
      <w:r>
        <w:rPr>
          <w:rStyle w:val="FootnoteReference"/>
        </w:rPr>
        <w:footnoteRef/>
      </w:r>
      <w:r>
        <w:t xml:space="preserve"> </w:t>
      </w:r>
      <w:r w:rsidRPr="003C0347">
        <w:t>The terms herbal substance and herbal preparation are considered to be equivalent to the terms herbal drug and herbal drug preparation respectively.</w:t>
      </w:r>
    </w:p>
  </w:footnote>
  <w:footnote w:id="4">
    <w:p w:rsidR="005C1208" w:rsidRDefault="005C1208">
      <w:pPr>
        <w:pStyle w:val="FootnoteText"/>
      </w:pPr>
      <w:r>
        <w:rPr>
          <w:rStyle w:val="FootnoteReference"/>
        </w:rPr>
        <w:footnoteRef/>
      </w:r>
      <w:r>
        <w:t xml:space="preserve"> </w:t>
      </w:r>
      <w:r w:rsidRPr="003C0347">
        <w:t>European Medicines Agency (EMA), World Health Organization (WHO) or equivalent.</w:t>
      </w:r>
    </w:p>
  </w:footnote>
  <w:footnote w:id="5">
    <w:p w:rsidR="005C1208" w:rsidRDefault="005C1208">
      <w:pPr>
        <w:pStyle w:val="FootnoteText"/>
      </w:pPr>
      <w:r>
        <w:rPr>
          <w:rStyle w:val="FootnoteReference"/>
        </w:rPr>
        <w:footnoteRef/>
      </w:r>
      <w:r>
        <w:t xml:space="preserve"> </w:t>
      </w:r>
      <w:r w:rsidRPr="003C0347">
        <w:t>This table expands in detail the herbal section of Table 1 in Part II of the GMP Guide.</w:t>
      </w:r>
    </w:p>
    <w:p w:rsidR="005C1208" w:rsidRDefault="005C1208">
      <w:pPr>
        <w:pStyle w:val="FootnoteText"/>
      </w:pPr>
      <w:r>
        <w:t xml:space="preserve"># </w:t>
      </w:r>
      <w:r w:rsidRPr="00A84C50">
        <w:t>EMA, WHO or equivalent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19" o:spid="_x0000_s70673" type="#_x0000_t136" style="position:absolute;left:0;text-align:left;margin-left:0;margin-top:0;width:550.8pt;height:48.6pt;rotation:315;z-index:-251650048;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8" o:spid="_x0000_s70682" type="#_x0000_t136" style="position:absolute;left:0;text-align:left;margin-left:0;margin-top:0;width:550.8pt;height:48.6pt;rotation:315;z-index:-25163161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9" o:spid="_x0000_s70683" type="#_x0000_t136" style="position:absolute;left:0;text-align:left;margin-left:0;margin-top:0;width:550.8pt;height:48.6pt;rotation:315;z-index:-251629568;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8" w:rsidRPr="00FE501F" w:rsidRDefault="005B2AAC" w:rsidP="00FE501F">
    <w:pPr>
      <w:pStyle w:val="HeaderNoLi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7" o:spid="_x0000_s70681" type="#_x0000_t136" style="position:absolute;left:0;text-align:left;margin-left:0;margin-top:0;width:550.8pt;height:48.6pt;rotation:315;z-index:-25163366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8" w:rsidRDefault="005B2AAC" w:rsidP="00C340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0" o:spid="_x0000_s70674" type="#_x0000_t136" style="position:absolute;left:0;text-align:left;margin-left:0;margin-top:0;width:550.8pt;height:48.6pt;rotation:315;z-index:-251648000;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5C1208" w:rsidRPr="000F5176">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5C1208" w:rsidRPr="002B29B2" w:rsidTr="00F71E1E">
      <w:trPr>
        <w:trHeight w:hRule="exact" w:val="8845"/>
      </w:trPr>
      <w:tc>
        <w:tcPr>
          <w:tcW w:w="11964" w:type="dxa"/>
          <w:vAlign w:val="center"/>
        </w:tcPr>
        <w:p w:rsidR="005C1208" w:rsidRPr="002B29B2" w:rsidRDefault="005B2AAC" w:rsidP="006A2426">
          <w:pPr>
            <w:ind w:left="-57"/>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18" o:spid="_x0000_s70672" type="#_x0000_t136" style="position:absolute;left:0;text-align:left;margin-left:0;margin-top:0;width:550.8pt;height:48.6pt;rotation:315;z-index:-251652096;mso-position-horizontal:center;mso-position-horizontal-relative:margin;mso-position-vertical:center;mso-position-vertical-relative:margin" o:allowincell="f" fillcolor="#c0d3d4" stroked="f">
                <v:textpath style="font-family:&quot;arial black&quot;;font-size:1pt" string="Historical consultation document"/>
              </v:shape>
            </w:pict>
          </w:r>
          <w:sdt>
            <w:sdtPr>
              <w:rPr>
                <w:noProof/>
              </w:rPr>
              <w:id w:val="8652892"/>
              <w:showingPlcHdr/>
              <w:picture/>
            </w:sdtPr>
            <w:sdtEndPr/>
            <w:sdtContent>
              <w:r>
                <w:rPr>
                  <w:noProof/>
                  <w:lang w:eastAsia="en-AU"/>
                </w:rPr>
                <w:drawing>
                  <wp:inline distT="0" distB="0" distL="0" distR="0" wp14:anchorId="1C140FFA" wp14:editId="48B5A59D">
                    <wp:extent cx="1899920" cy="1899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inline>
                </w:drawing>
              </w:r>
            </w:sdtContent>
          </w:sdt>
        </w:p>
      </w:tc>
    </w:tr>
  </w:tbl>
  <w:p w:rsidR="005C1208" w:rsidRDefault="005C1208" w:rsidP="006D03E5">
    <w:pPr>
      <w:rPr>
        <w:noProof/>
      </w:rPr>
    </w:pPr>
    <w:r w:rsidRPr="002B29B2">
      <w:rPr>
        <w:noProof/>
        <w:lang w:eastAsia="en-AU"/>
      </w:rPr>
      <w:drawing>
        <wp:anchor distT="0" distB="0" distL="114300" distR="114300" simplePos="0" relativeHeight="251662336" behindDoc="1" locked="0" layoutInCell="0" allowOverlap="1" wp14:anchorId="7B9F4FEC" wp14:editId="29CA1369">
          <wp:simplePos x="0" y="0"/>
          <wp:positionH relativeFrom="page">
            <wp:posOffset>0</wp:posOffset>
          </wp:positionH>
          <wp:positionV relativeFrom="page">
            <wp:posOffset>4152900</wp:posOffset>
          </wp:positionV>
          <wp:extent cx="7581900" cy="2447925"/>
          <wp:effectExtent l="19050" t="0" r="0" b="0"/>
          <wp:wrapNone/>
          <wp:docPr id="2"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2"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r>
      <w:rPr>
        <w:noProof/>
        <w:lang w:eastAsia="en-AU"/>
      </w:rPr>
      <w:drawing>
        <wp:inline distT="0" distB="0" distL="0" distR="0" wp14:anchorId="48577497" wp14:editId="5E20AFB4">
          <wp:extent cx="3171825" cy="790575"/>
          <wp:effectExtent l="19050" t="0" r="9525" b="0"/>
          <wp:docPr id="27"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amp;A_logo_Inline_black.jpg"/>
                  <pic:cNvPicPr>
                    <a:picLocks noChangeAspect="1" noChangeArrowheads="1"/>
                  </pic:cNvPicPr>
                </pic:nvPicPr>
                <pic:blipFill>
                  <a:blip r:embed="rId3"/>
                  <a:srcRect/>
                  <a:stretch>
                    <a:fillRect/>
                  </a:stretch>
                </pic:blipFill>
                <pic:spPr bwMode="auto">
                  <a:xfrm>
                    <a:off x="0" y="0"/>
                    <a:ext cx="3171825" cy="7905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2" o:spid="_x0000_s70676" type="#_x0000_t136" style="position:absolute;left:0;text-align:left;margin-left:0;margin-top:0;width:550.8pt;height:48.6pt;rotation:315;z-index:-25164390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208" w:rsidRDefault="005B2AAC" w:rsidP="00C340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3" o:spid="_x0000_s70677" type="#_x0000_t136" style="position:absolute;left:0;text-align:left;margin-left:0;margin-top:0;width:550.8pt;height:48.6pt;rotation:315;z-index:-251641856;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5C1208" w:rsidRPr="000F5176">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1" o:spid="_x0000_s70675" type="#_x0000_t136" style="position:absolute;left:0;text-align:left;margin-left:0;margin-top:0;width:550.8pt;height:48.6pt;rotation:315;z-index:-25164595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5" o:spid="_x0000_s70679" type="#_x0000_t136" style="position:absolute;left:0;text-align:left;margin-left:0;margin-top:0;width:550.8pt;height:48.6pt;rotation:315;z-index:-25163776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6" o:spid="_x0000_s70680" type="#_x0000_t136" style="position:absolute;left:0;text-align:left;margin-left:0;margin-top:0;width:550.8pt;height:48.6pt;rotation:315;z-index:-25163571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AAC" w:rsidRDefault="005B2AA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99824" o:spid="_x0000_s70678" type="#_x0000_t136" style="position:absolute;left:0;text-align:left;margin-left:0;margin-top:0;width:550.8pt;height:48.6pt;rotation:315;z-index:-251639808;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E65E43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E3B4F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F772A0A"/>
    <w:multiLevelType w:val="hybridMultilevel"/>
    <w:tmpl w:val="ED02055C"/>
    <w:lvl w:ilvl="0" w:tplc="4DBE0AE6">
      <w:start w:val="1"/>
      <w:numFmt w:val="lowerLetter"/>
      <w:pStyle w:val="Numberbullet2"/>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5"/>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num>
  <w:num w:numId="3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0684" fill="f" fillcolor="#c6d4e9" strokecolor="#002c47">
      <v:fill color="#c6d4e9" on="f"/>
      <v:stroke color="#002c47"/>
      <o:colormenu v:ext="edit" fillcolor="none [3206]"/>
    </o:shapedefaults>
    <o:shapelayout v:ext="edit">
      <o:idmap v:ext="edit" data="69"/>
    </o:shapelayout>
  </w:hdrShapeDefaults>
  <w:footnotePr>
    <w:footnote w:id="-1"/>
    <w:footnote w:id="0"/>
  </w:footnotePr>
  <w:endnotePr>
    <w:endnote w:id="-1"/>
    <w:endnote w:id="0"/>
  </w:endnotePr>
  <w:compat>
    <w:compatSetting w:name="compatibilityMode" w:uri="http://schemas.microsoft.com/office/word" w:val="12"/>
  </w:compat>
  <w:rsids>
    <w:rsidRoot w:val="00690BBF"/>
    <w:rsid w:val="00002031"/>
    <w:rsid w:val="00004734"/>
    <w:rsid w:val="00006B22"/>
    <w:rsid w:val="0001276A"/>
    <w:rsid w:val="00016BEB"/>
    <w:rsid w:val="000246AE"/>
    <w:rsid w:val="00025C67"/>
    <w:rsid w:val="0005559E"/>
    <w:rsid w:val="00056296"/>
    <w:rsid w:val="000564EC"/>
    <w:rsid w:val="0006138D"/>
    <w:rsid w:val="00065656"/>
    <w:rsid w:val="00077775"/>
    <w:rsid w:val="00080B59"/>
    <w:rsid w:val="00090471"/>
    <w:rsid w:val="00094B97"/>
    <w:rsid w:val="000A3543"/>
    <w:rsid w:val="000A4057"/>
    <w:rsid w:val="000A4371"/>
    <w:rsid w:val="000B30E5"/>
    <w:rsid w:val="000B3532"/>
    <w:rsid w:val="000B3A75"/>
    <w:rsid w:val="000B574E"/>
    <w:rsid w:val="000B5E4E"/>
    <w:rsid w:val="000B6CAE"/>
    <w:rsid w:val="000B7084"/>
    <w:rsid w:val="000D0851"/>
    <w:rsid w:val="000D391B"/>
    <w:rsid w:val="000D3D6D"/>
    <w:rsid w:val="000D4FC7"/>
    <w:rsid w:val="000F4869"/>
    <w:rsid w:val="000F5176"/>
    <w:rsid w:val="000F5978"/>
    <w:rsid w:val="000F5B42"/>
    <w:rsid w:val="000F6E6F"/>
    <w:rsid w:val="001003F2"/>
    <w:rsid w:val="00100BC5"/>
    <w:rsid w:val="00102BDA"/>
    <w:rsid w:val="00103105"/>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81D"/>
    <w:rsid w:val="00165DC3"/>
    <w:rsid w:val="00170EDF"/>
    <w:rsid w:val="001713A3"/>
    <w:rsid w:val="00172A15"/>
    <w:rsid w:val="0017693F"/>
    <w:rsid w:val="0018110E"/>
    <w:rsid w:val="00181684"/>
    <w:rsid w:val="001843C6"/>
    <w:rsid w:val="001850E0"/>
    <w:rsid w:val="0018660B"/>
    <w:rsid w:val="00192AAA"/>
    <w:rsid w:val="001A525F"/>
    <w:rsid w:val="001B09F9"/>
    <w:rsid w:val="001B6448"/>
    <w:rsid w:val="001C3A9E"/>
    <w:rsid w:val="001D1F74"/>
    <w:rsid w:val="001D7224"/>
    <w:rsid w:val="001E07CF"/>
    <w:rsid w:val="001E39A2"/>
    <w:rsid w:val="001E3B89"/>
    <w:rsid w:val="001E59F1"/>
    <w:rsid w:val="001F49EB"/>
    <w:rsid w:val="001F64EE"/>
    <w:rsid w:val="001F6CBA"/>
    <w:rsid w:val="00201D4E"/>
    <w:rsid w:val="002068CE"/>
    <w:rsid w:val="00217091"/>
    <w:rsid w:val="00220B8A"/>
    <w:rsid w:val="002257F3"/>
    <w:rsid w:val="00233456"/>
    <w:rsid w:val="002339A5"/>
    <w:rsid w:val="00237691"/>
    <w:rsid w:val="00247FB9"/>
    <w:rsid w:val="00257138"/>
    <w:rsid w:val="00257848"/>
    <w:rsid w:val="0026566A"/>
    <w:rsid w:val="0027084A"/>
    <w:rsid w:val="00274F34"/>
    <w:rsid w:val="00286434"/>
    <w:rsid w:val="00286C59"/>
    <w:rsid w:val="00290795"/>
    <w:rsid w:val="002933C1"/>
    <w:rsid w:val="002942D1"/>
    <w:rsid w:val="002A0556"/>
    <w:rsid w:val="002A5B3A"/>
    <w:rsid w:val="002B1638"/>
    <w:rsid w:val="002B29B2"/>
    <w:rsid w:val="002C2C98"/>
    <w:rsid w:val="002C376C"/>
    <w:rsid w:val="002C6E9C"/>
    <w:rsid w:val="002E193A"/>
    <w:rsid w:val="002E364F"/>
    <w:rsid w:val="002E4C9A"/>
    <w:rsid w:val="002F11F8"/>
    <w:rsid w:val="002F3F56"/>
    <w:rsid w:val="002F44B5"/>
    <w:rsid w:val="00300072"/>
    <w:rsid w:val="00300350"/>
    <w:rsid w:val="00301FA3"/>
    <w:rsid w:val="00311AC0"/>
    <w:rsid w:val="00323F14"/>
    <w:rsid w:val="003252DE"/>
    <w:rsid w:val="0033136C"/>
    <w:rsid w:val="00331DBB"/>
    <w:rsid w:val="00343D19"/>
    <w:rsid w:val="00350236"/>
    <w:rsid w:val="0035146C"/>
    <w:rsid w:val="003521E8"/>
    <w:rsid w:val="00357700"/>
    <w:rsid w:val="003664BF"/>
    <w:rsid w:val="003728F3"/>
    <w:rsid w:val="00376793"/>
    <w:rsid w:val="0037794F"/>
    <w:rsid w:val="00390900"/>
    <w:rsid w:val="003916F7"/>
    <w:rsid w:val="003A2DDF"/>
    <w:rsid w:val="003B362C"/>
    <w:rsid w:val="003B7E39"/>
    <w:rsid w:val="003C0347"/>
    <w:rsid w:val="003C58DC"/>
    <w:rsid w:val="003D0DF6"/>
    <w:rsid w:val="003D3B63"/>
    <w:rsid w:val="003D6B56"/>
    <w:rsid w:val="003E3208"/>
    <w:rsid w:val="003F0420"/>
    <w:rsid w:val="003F0B04"/>
    <w:rsid w:val="0040134E"/>
    <w:rsid w:val="00404B57"/>
    <w:rsid w:val="00406DB9"/>
    <w:rsid w:val="004105C6"/>
    <w:rsid w:val="00440A2D"/>
    <w:rsid w:val="004564A7"/>
    <w:rsid w:val="004617BF"/>
    <w:rsid w:val="0046682E"/>
    <w:rsid w:val="004800B3"/>
    <w:rsid w:val="00483D37"/>
    <w:rsid w:val="004923FF"/>
    <w:rsid w:val="00494CA4"/>
    <w:rsid w:val="00494E60"/>
    <w:rsid w:val="0049734C"/>
    <w:rsid w:val="004B6055"/>
    <w:rsid w:val="004B7B76"/>
    <w:rsid w:val="004C0070"/>
    <w:rsid w:val="004C4096"/>
    <w:rsid w:val="004D51A6"/>
    <w:rsid w:val="004F0F38"/>
    <w:rsid w:val="004F484B"/>
    <w:rsid w:val="00501921"/>
    <w:rsid w:val="00511590"/>
    <w:rsid w:val="005237B5"/>
    <w:rsid w:val="005271D5"/>
    <w:rsid w:val="00530354"/>
    <w:rsid w:val="00535D83"/>
    <w:rsid w:val="00541FD8"/>
    <w:rsid w:val="005423EF"/>
    <w:rsid w:val="005434C6"/>
    <w:rsid w:val="00543B39"/>
    <w:rsid w:val="00550096"/>
    <w:rsid w:val="00557FF9"/>
    <w:rsid w:val="00560037"/>
    <w:rsid w:val="00567A2E"/>
    <w:rsid w:val="00576378"/>
    <w:rsid w:val="00577E38"/>
    <w:rsid w:val="00583799"/>
    <w:rsid w:val="00584285"/>
    <w:rsid w:val="00585322"/>
    <w:rsid w:val="00587239"/>
    <w:rsid w:val="00592542"/>
    <w:rsid w:val="00593AD1"/>
    <w:rsid w:val="005A1131"/>
    <w:rsid w:val="005A5BF0"/>
    <w:rsid w:val="005B1B27"/>
    <w:rsid w:val="005B2AAC"/>
    <w:rsid w:val="005C1208"/>
    <w:rsid w:val="005C5570"/>
    <w:rsid w:val="005C79A4"/>
    <w:rsid w:val="005D1689"/>
    <w:rsid w:val="005D3D20"/>
    <w:rsid w:val="005D5442"/>
    <w:rsid w:val="005D55A3"/>
    <w:rsid w:val="005E7C2E"/>
    <w:rsid w:val="005F458A"/>
    <w:rsid w:val="005F5830"/>
    <w:rsid w:val="005F76F6"/>
    <w:rsid w:val="00610D73"/>
    <w:rsid w:val="006138C5"/>
    <w:rsid w:val="006177C9"/>
    <w:rsid w:val="00625015"/>
    <w:rsid w:val="00640FC3"/>
    <w:rsid w:val="00642020"/>
    <w:rsid w:val="0065337B"/>
    <w:rsid w:val="0065419D"/>
    <w:rsid w:val="006604D8"/>
    <w:rsid w:val="00664A5B"/>
    <w:rsid w:val="00665643"/>
    <w:rsid w:val="00667942"/>
    <w:rsid w:val="00680976"/>
    <w:rsid w:val="00680C08"/>
    <w:rsid w:val="0068741A"/>
    <w:rsid w:val="00690BBF"/>
    <w:rsid w:val="006931B1"/>
    <w:rsid w:val="006A15C0"/>
    <w:rsid w:val="006A2426"/>
    <w:rsid w:val="006A38E4"/>
    <w:rsid w:val="006B67AC"/>
    <w:rsid w:val="006C0223"/>
    <w:rsid w:val="006C1F3B"/>
    <w:rsid w:val="006C3E2A"/>
    <w:rsid w:val="006C43B5"/>
    <w:rsid w:val="006C642F"/>
    <w:rsid w:val="006D03E5"/>
    <w:rsid w:val="006D4E95"/>
    <w:rsid w:val="006D5D3E"/>
    <w:rsid w:val="006D7EBE"/>
    <w:rsid w:val="006E08B3"/>
    <w:rsid w:val="006E4E00"/>
    <w:rsid w:val="006F1604"/>
    <w:rsid w:val="006F46EA"/>
    <w:rsid w:val="006F572E"/>
    <w:rsid w:val="006F6284"/>
    <w:rsid w:val="006F652C"/>
    <w:rsid w:val="006F6C81"/>
    <w:rsid w:val="007046D6"/>
    <w:rsid w:val="00705DB0"/>
    <w:rsid w:val="00706634"/>
    <w:rsid w:val="00706AFE"/>
    <w:rsid w:val="00723BF8"/>
    <w:rsid w:val="00735139"/>
    <w:rsid w:val="0074253D"/>
    <w:rsid w:val="0074429B"/>
    <w:rsid w:val="007477F8"/>
    <w:rsid w:val="00753687"/>
    <w:rsid w:val="00753A56"/>
    <w:rsid w:val="0075574A"/>
    <w:rsid w:val="007615BC"/>
    <w:rsid w:val="007622D7"/>
    <w:rsid w:val="00762F05"/>
    <w:rsid w:val="00764425"/>
    <w:rsid w:val="00764FC4"/>
    <w:rsid w:val="007652FF"/>
    <w:rsid w:val="0077041A"/>
    <w:rsid w:val="00771329"/>
    <w:rsid w:val="00773EF7"/>
    <w:rsid w:val="00774E1D"/>
    <w:rsid w:val="0077675A"/>
    <w:rsid w:val="00780355"/>
    <w:rsid w:val="007811FC"/>
    <w:rsid w:val="00785721"/>
    <w:rsid w:val="00793A59"/>
    <w:rsid w:val="00795DC5"/>
    <w:rsid w:val="007A2162"/>
    <w:rsid w:val="007C0F3D"/>
    <w:rsid w:val="007C1AF7"/>
    <w:rsid w:val="007D31A9"/>
    <w:rsid w:val="007E175B"/>
    <w:rsid w:val="007F17AF"/>
    <w:rsid w:val="00816164"/>
    <w:rsid w:val="00821776"/>
    <w:rsid w:val="00822D62"/>
    <w:rsid w:val="00823BEC"/>
    <w:rsid w:val="00826007"/>
    <w:rsid w:val="008320C3"/>
    <w:rsid w:val="008321F5"/>
    <w:rsid w:val="00832369"/>
    <w:rsid w:val="0083418C"/>
    <w:rsid w:val="00834660"/>
    <w:rsid w:val="00836BC2"/>
    <w:rsid w:val="008450B1"/>
    <w:rsid w:val="0085641B"/>
    <w:rsid w:val="00857136"/>
    <w:rsid w:val="0086468D"/>
    <w:rsid w:val="0087082A"/>
    <w:rsid w:val="008817D8"/>
    <w:rsid w:val="00896018"/>
    <w:rsid w:val="008A2B9D"/>
    <w:rsid w:val="008A5E0B"/>
    <w:rsid w:val="008A6D59"/>
    <w:rsid w:val="008A7095"/>
    <w:rsid w:val="008B4B03"/>
    <w:rsid w:val="008B553E"/>
    <w:rsid w:val="008B596F"/>
    <w:rsid w:val="008C159F"/>
    <w:rsid w:val="008C1623"/>
    <w:rsid w:val="008C51A9"/>
    <w:rsid w:val="008C63C5"/>
    <w:rsid w:val="008C7541"/>
    <w:rsid w:val="008E3C43"/>
    <w:rsid w:val="008F1CCC"/>
    <w:rsid w:val="008F2967"/>
    <w:rsid w:val="008F6EF7"/>
    <w:rsid w:val="00920330"/>
    <w:rsid w:val="00920FF4"/>
    <w:rsid w:val="009219D7"/>
    <w:rsid w:val="0092281A"/>
    <w:rsid w:val="00922D53"/>
    <w:rsid w:val="00923649"/>
    <w:rsid w:val="00923B70"/>
    <w:rsid w:val="0092600B"/>
    <w:rsid w:val="00930237"/>
    <w:rsid w:val="0093642C"/>
    <w:rsid w:val="0094608A"/>
    <w:rsid w:val="0096319D"/>
    <w:rsid w:val="00963C08"/>
    <w:rsid w:val="00964F68"/>
    <w:rsid w:val="00974DBB"/>
    <w:rsid w:val="00986475"/>
    <w:rsid w:val="0099110E"/>
    <w:rsid w:val="009A4CED"/>
    <w:rsid w:val="009A5BC7"/>
    <w:rsid w:val="009B1D12"/>
    <w:rsid w:val="009B3475"/>
    <w:rsid w:val="009B416B"/>
    <w:rsid w:val="009B68A6"/>
    <w:rsid w:val="009C4BD5"/>
    <w:rsid w:val="009D2C8D"/>
    <w:rsid w:val="009D2E04"/>
    <w:rsid w:val="009D7B77"/>
    <w:rsid w:val="009E0BB0"/>
    <w:rsid w:val="009E3FBB"/>
    <w:rsid w:val="009F018D"/>
    <w:rsid w:val="009F0B33"/>
    <w:rsid w:val="00A02A3E"/>
    <w:rsid w:val="00A04D38"/>
    <w:rsid w:val="00A1235B"/>
    <w:rsid w:val="00A14DF7"/>
    <w:rsid w:val="00A26E24"/>
    <w:rsid w:val="00A3246D"/>
    <w:rsid w:val="00A36FA7"/>
    <w:rsid w:val="00A37321"/>
    <w:rsid w:val="00A400FB"/>
    <w:rsid w:val="00A4235C"/>
    <w:rsid w:val="00A475B7"/>
    <w:rsid w:val="00A47AF7"/>
    <w:rsid w:val="00A47C3E"/>
    <w:rsid w:val="00A50226"/>
    <w:rsid w:val="00A60BAD"/>
    <w:rsid w:val="00A73A8D"/>
    <w:rsid w:val="00A84C50"/>
    <w:rsid w:val="00A87334"/>
    <w:rsid w:val="00AA3EB9"/>
    <w:rsid w:val="00AB1001"/>
    <w:rsid w:val="00AC2B40"/>
    <w:rsid w:val="00AC2BB2"/>
    <w:rsid w:val="00AC2C3C"/>
    <w:rsid w:val="00AC3BD9"/>
    <w:rsid w:val="00AD324A"/>
    <w:rsid w:val="00AD5831"/>
    <w:rsid w:val="00AE2834"/>
    <w:rsid w:val="00AE3CDB"/>
    <w:rsid w:val="00AE5AB2"/>
    <w:rsid w:val="00AE65EB"/>
    <w:rsid w:val="00AF1D94"/>
    <w:rsid w:val="00AF60C5"/>
    <w:rsid w:val="00B009C6"/>
    <w:rsid w:val="00B00ACB"/>
    <w:rsid w:val="00B01548"/>
    <w:rsid w:val="00B01551"/>
    <w:rsid w:val="00B147DA"/>
    <w:rsid w:val="00B21D29"/>
    <w:rsid w:val="00B21FC5"/>
    <w:rsid w:val="00B23323"/>
    <w:rsid w:val="00B24FF5"/>
    <w:rsid w:val="00B25034"/>
    <w:rsid w:val="00B33863"/>
    <w:rsid w:val="00B35570"/>
    <w:rsid w:val="00B36B30"/>
    <w:rsid w:val="00B37D17"/>
    <w:rsid w:val="00B4175E"/>
    <w:rsid w:val="00B510E1"/>
    <w:rsid w:val="00B54C25"/>
    <w:rsid w:val="00B676E8"/>
    <w:rsid w:val="00B756A1"/>
    <w:rsid w:val="00B76B86"/>
    <w:rsid w:val="00B76B91"/>
    <w:rsid w:val="00B87BB7"/>
    <w:rsid w:val="00B946A9"/>
    <w:rsid w:val="00B9484C"/>
    <w:rsid w:val="00B94CFB"/>
    <w:rsid w:val="00BC1111"/>
    <w:rsid w:val="00BC1CAB"/>
    <w:rsid w:val="00BC622A"/>
    <w:rsid w:val="00BD0B28"/>
    <w:rsid w:val="00BE0A78"/>
    <w:rsid w:val="00BE243C"/>
    <w:rsid w:val="00BE79F0"/>
    <w:rsid w:val="00BF046D"/>
    <w:rsid w:val="00BF0830"/>
    <w:rsid w:val="00BF43F2"/>
    <w:rsid w:val="00BF5D04"/>
    <w:rsid w:val="00C13563"/>
    <w:rsid w:val="00C14835"/>
    <w:rsid w:val="00C1617C"/>
    <w:rsid w:val="00C23477"/>
    <w:rsid w:val="00C24FC6"/>
    <w:rsid w:val="00C268B4"/>
    <w:rsid w:val="00C30468"/>
    <w:rsid w:val="00C327A8"/>
    <w:rsid w:val="00C3408D"/>
    <w:rsid w:val="00C404A6"/>
    <w:rsid w:val="00C40A36"/>
    <w:rsid w:val="00C40CC0"/>
    <w:rsid w:val="00C44419"/>
    <w:rsid w:val="00C45E7B"/>
    <w:rsid w:val="00C471B1"/>
    <w:rsid w:val="00C55575"/>
    <w:rsid w:val="00C6316B"/>
    <w:rsid w:val="00C634A9"/>
    <w:rsid w:val="00C7475B"/>
    <w:rsid w:val="00C76805"/>
    <w:rsid w:val="00C772FF"/>
    <w:rsid w:val="00C801AF"/>
    <w:rsid w:val="00C80256"/>
    <w:rsid w:val="00C85953"/>
    <w:rsid w:val="00C87DC4"/>
    <w:rsid w:val="00C87F3A"/>
    <w:rsid w:val="00C9709C"/>
    <w:rsid w:val="00CA7F9C"/>
    <w:rsid w:val="00CB6BC0"/>
    <w:rsid w:val="00CB73C5"/>
    <w:rsid w:val="00CC1B7C"/>
    <w:rsid w:val="00CC727F"/>
    <w:rsid w:val="00CD1F02"/>
    <w:rsid w:val="00CD30CC"/>
    <w:rsid w:val="00CD6FCC"/>
    <w:rsid w:val="00CE5BB0"/>
    <w:rsid w:val="00CF15C3"/>
    <w:rsid w:val="00CF28C8"/>
    <w:rsid w:val="00CF2B6F"/>
    <w:rsid w:val="00CF4791"/>
    <w:rsid w:val="00CF5EC4"/>
    <w:rsid w:val="00D017ED"/>
    <w:rsid w:val="00D11F5C"/>
    <w:rsid w:val="00D129EA"/>
    <w:rsid w:val="00D153B1"/>
    <w:rsid w:val="00D224FE"/>
    <w:rsid w:val="00D229BA"/>
    <w:rsid w:val="00D30526"/>
    <w:rsid w:val="00D332BC"/>
    <w:rsid w:val="00D34B7D"/>
    <w:rsid w:val="00D3646E"/>
    <w:rsid w:val="00D6349F"/>
    <w:rsid w:val="00D6493E"/>
    <w:rsid w:val="00D74808"/>
    <w:rsid w:val="00D800FC"/>
    <w:rsid w:val="00D85417"/>
    <w:rsid w:val="00DA0AAA"/>
    <w:rsid w:val="00DA1124"/>
    <w:rsid w:val="00DA24C7"/>
    <w:rsid w:val="00DA381C"/>
    <w:rsid w:val="00DA4CD9"/>
    <w:rsid w:val="00DA73BF"/>
    <w:rsid w:val="00DD75A3"/>
    <w:rsid w:val="00DD76DE"/>
    <w:rsid w:val="00DE02AE"/>
    <w:rsid w:val="00DE6A0C"/>
    <w:rsid w:val="00DE6C04"/>
    <w:rsid w:val="00DF1D7F"/>
    <w:rsid w:val="00DF45B9"/>
    <w:rsid w:val="00DF6BE8"/>
    <w:rsid w:val="00E02FB4"/>
    <w:rsid w:val="00E03251"/>
    <w:rsid w:val="00E04024"/>
    <w:rsid w:val="00E0407A"/>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51A86"/>
    <w:rsid w:val="00E85292"/>
    <w:rsid w:val="00EA16DE"/>
    <w:rsid w:val="00EA1F09"/>
    <w:rsid w:val="00EA406B"/>
    <w:rsid w:val="00EA7E1D"/>
    <w:rsid w:val="00EB0798"/>
    <w:rsid w:val="00EB40AD"/>
    <w:rsid w:val="00EB586E"/>
    <w:rsid w:val="00EB5FC8"/>
    <w:rsid w:val="00ED555A"/>
    <w:rsid w:val="00ED5A41"/>
    <w:rsid w:val="00EE6F39"/>
    <w:rsid w:val="00EF578B"/>
    <w:rsid w:val="00EF6895"/>
    <w:rsid w:val="00F033EC"/>
    <w:rsid w:val="00F04F68"/>
    <w:rsid w:val="00F07885"/>
    <w:rsid w:val="00F12670"/>
    <w:rsid w:val="00F14B27"/>
    <w:rsid w:val="00F2301F"/>
    <w:rsid w:val="00F3148D"/>
    <w:rsid w:val="00F35298"/>
    <w:rsid w:val="00F3529E"/>
    <w:rsid w:val="00F427F0"/>
    <w:rsid w:val="00F47E37"/>
    <w:rsid w:val="00F504B4"/>
    <w:rsid w:val="00F640B6"/>
    <w:rsid w:val="00F71E1E"/>
    <w:rsid w:val="00F80020"/>
    <w:rsid w:val="00F80E40"/>
    <w:rsid w:val="00F8709D"/>
    <w:rsid w:val="00F9022D"/>
    <w:rsid w:val="00F94299"/>
    <w:rsid w:val="00FA5B82"/>
    <w:rsid w:val="00FA639E"/>
    <w:rsid w:val="00FC03C8"/>
    <w:rsid w:val="00FC1C9A"/>
    <w:rsid w:val="00FC25E4"/>
    <w:rsid w:val="00FC4EF7"/>
    <w:rsid w:val="00FD1872"/>
    <w:rsid w:val="00FE1DEE"/>
    <w:rsid w:val="00FE206C"/>
    <w:rsid w:val="00FE501F"/>
    <w:rsid w:val="00FF2126"/>
    <w:rsid w:val="00FF2CEB"/>
    <w:rsid w:val="00FF69BE"/>
    <w:rsid w:val="00FF75E3"/>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0684" fill="f" fillcolor="#c6d4e9" strokecolor="#002c47">
      <v:fill color="#c6d4e9" on="f"/>
      <v:stroke color="#002c4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01551"/>
    <w:pPr>
      <w:spacing w:before="180" w:after="180" w:line="240" w:lineRule="atLeast"/>
    </w:pPr>
    <w:rPr>
      <w:sz w:val="22"/>
      <w:szCs w:val="22"/>
      <w:lang w:eastAsia="en-US"/>
    </w:rPr>
  </w:style>
  <w:style w:type="paragraph" w:styleId="Heading1">
    <w:name w:val="heading 1"/>
    <w:basedOn w:val="Title"/>
    <w:next w:val="Normal"/>
    <w:link w:val="Heading1Char"/>
    <w:qFormat/>
    <w:rsid w:val="002E193A"/>
    <w:pPr>
      <w:framePr w:hSpace="180" w:wrap="around" w:vAnchor="page" w:hAnchor="margin" w:y="3271"/>
      <w:outlineLvl w:val="0"/>
    </w:pPr>
  </w:style>
  <w:style w:type="paragraph" w:styleId="Heading2">
    <w:name w:val="heading 2"/>
    <w:basedOn w:val="Normal"/>
    <w:next w:val="Normal"/>
    <w:link w:val="Heading2Char"/>
    <w:qFormat/>
    <w:rsid w:val="002E193A"/>
    <w:pPr>
      <w:keepNext/>
      <w:keepLines/>
      <w:spacing w:before="480" w:after="360"/>
      <w:outlineLvl w:val="1"/>
    </w:pPr>
    <w:rPr>
      <w:rFonts w:ascii="Arial" w:eastAsia="Times New Roman" w:hAnsi="Arial"/>
      <w:b/>
      <w:bCs/>
      <w:sz w:val="48"/>
      <w:szCs w:val="26"/>
    </w:rPr>
  </w:style>
  <w:style w:type="paragraph" w:styleId="Heading3">
    <w:name w:val="heading 3"/>
    <w:basedOn w:val="Heading2"/>
    <w:next w:val="Normal"/>
    <w:link w:val="Heading3Char"/>
    <w:qFormat/>
    <w:rsid w:val="002E193A"/>
    <w:pPr>
      <w:outlineLvl w:val="2"/>
    </w:pPr>
    <w:rPr>
      <w:sz w:val="32"/>
    </w:rPr>
  </w:style>
  <w:style w:type="paragraph" w:styleId="Heading4">
    <w:name w:val="heading 4"/>
    <w:basedOn w:val="Normal"/>
    <w:next w:val="Normal"/>
    <w:link w:val="Heading4Char"/>
    <w:qFormat/>
    <w:rsid w:val="002E193A"/>
    <w:pPr>
      <w:spacing w:before="360" w:after="0" w:line="220" w:lineRule="atLeast"/>
      <w:outlineLvl w:val="3"/>
    </w:pPr>
    <w:rPr>
      <w:b/>
      <w:bCs/>
      <w:szCs w:val="21"/>
    </w:rPr>
  </w:style>
  <w:style w:type="paragraph" w:styleId="Heading5">
    <w:name w:val="heading 5"/>
    <w:basedOn w:val="Normal"/>
    <w:next w:val="Normal"/>
    <w:link w:val="Heading5Char"/>
    <w:uiPriority w:val="9"/>
    <w:qFormat/>
    <w:rsid w:val="002E193A"/>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2E193A"/>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2E193A"/>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color w:val="002C47"/>
      <w:spacing w:val="5"/>
      <w:kern w:val="28"/>
      <w:sz w:val="52"/>
      <w:szCs w:val="52"/>
      <w:lang w:eastAsia="en-US"/>
    </w:rPr>
  </w:style>
  <w:style w:type="character" w:customStyle="1" w:styleId="Heading2Char">
    <w:name w:val="Heading 2 Char"/>
    <w:basedOn w:val="DefaultParagraphFont"/>
    <w:link w:val="Heading2"/>
    <w:rsid w:val="00CB73C5"/>
    <w:rPr>
      <w:rFonts w:ascii="Arial" w:eastAsia="Times New Roman" w:hAnsi="Arial"/>
      <w:b/>
      <w:bCs/>
      <w:sz w:val="48"/>
      <w:szCs w:val="26"/>
      <w:lang w:eastAsia="en-US"/>
    </w:rPr>
  </w:style>
  <w:style w:type="character" w:customStyle="1" w:styleId="Heading3Char">
    <w:name w:val="Heading 3 Char"/>
    <w:basedOn w:val="DefaultParagraphFont"/>
    <w:link w:val="Heading3"/>
    <w:rsid w:val="00CB73C5"/>
    <w:rPr>
      <w:rFonts w:ascii="Arial" w:eastAsia="Times New Roman" w:hAnsi="Arial"/>
      <w:b/>
      <w:bCs/>
      <w:sz w:val="32"/>
      <w:szCs w:val="26"/>
      <w:lang w:eastAsia="en-US"/>
    </w:rPr>
  </w:style>
  <w:style w:type="paragraph" w:customStyle="1" w:styleId="Address">
    <w:name w:val="Address"/>
    <w:basedOn w:val="Normal"/>
    <w:qFormat/>
    <w:rsid w:val="006F652C"/>
    <w:pPr>
      <w:spacing w:before="0" w:after="0" w:line="240" w:lineRule="auto"/>
    </w:pPr>
    <w:rPr>
      <w:sz w:val="21"/>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5D1689"/>
    <w:pPr>
      <w:spacing w:before="120" w:after="120"/>
    </w:pPr>
    <w:rPr>
      <w:sz w:val="19"/>
      <w:szCs w:val="18"/>
    </w:rPr>
  </w:style>
  <w:style w:type="paragraph" w:customStyle="1" w:styleId="Contents">
    <w:name w:val="Contents"/>
    <w:basedOn w:val="Normal"/>
    <w:rsid w:val="005D1689"/>
    <w:pPr>
      <w:spacing w:before="0" w:after="360"/>
    </w:pPr>
    <w:rPr>
      <w:rFonts w:ascii="Arial" w:hAnsi="Arial"/>
      <w:b/>
      <w:sz w:val="64"/>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customStyle="1" w:styleId="FigureTitle">
    <w:name w:val="Figure Title"/>
    <w:basedOn w:val="Normal"/>
    <w:qFormat/>
    <w:rsid w:val="009A5BC7"/>
    <w:pPr>
      <w:spacing w:line="220" w:lineRule="atLeast"/>
    </w:pPr>
    <w:rPr>
      <w:b/>
      <w:sz w:val="20"/>
    </w:rPr>
  </w:style>
  <w:style w:type="character" w:customStyle="1" w:styleId="Heading4Char">
    <w:name w:val="Heading 4 Char"/>
    <w:basedOn w:val="DefaultParagraphFont"/>
    <w:link w:val="Heading4"/>
    <w:rsid w:val="00E22953"/>
    <w:rPr>
      <w:b/>
      <w:bCs/>
      <w:sz w:val="22"/>
      <w:szCs w:val="21"/>
      <w:lang w:eastAsia="en-US"/>
    </w:rPr>
  </w:style>
  <w:style w:type="paragraph" w:customStyle="1" w:styleId="FlowChartWhiteHeading">
    <w:name w:val="Flow Chart White Heading"/>
    <w:basedOn w:val="Normal"/>
    <w:rsid w:val="001D7224"/>
    <w:pPr>
      <w:spacing w:before="120"/>
      <w:jc w:val="center"/>
    </w:pPr>
    <w:rPr>
      <w:rFonts w:ascii="Arial" w:hAnsi="Arial"/>
      <w:b/>
      <w:color w:val="FFFFFF"/>
    </w:rPr>
  </w:style>
  <w:style w:type="paragraph" w:customStyle="1" w:styleId="FlowChartBlackHeading">
    <w:name w:val="Flow Chart Black Heading"/>
    <w:basedOn w:val="FlowChartWhiteHeading"/>
    <w:rsid w:val="001D7224"/>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257138"/>
    <w:pPr>
      <w:tabs>
        <w:tab w:val="center" w:pos="4513"/>
        <w:tab w:val="right" w:pos="9026"/>
      </w:tabs>
      <w:spacing w:before="0" w:after="0" w:line="240" w:lineRule="auto"/>
      <w:contextualSpacing/>
    </w:pPr>
    <w:rPr>
      <w:sz w:val="17"/>
    </w:rPr>
  </w:style>
  <w:style w:type="character" w:customStyle="1" w:styleId="FooterChar">
    <w:name w:val="Footer Char"/>
    <w:basedOn w:val="DefaultParagraphFont"/>
    <w:link w:val="Footer"/>
    <w:uiPriority w:val="99"/>
    <w:rsid w:val="00257138"/>
    <w:rPr>
      <w:sz w:val="17"/>
      <w:szCs w:val="22"/>
      <w:lang w:eastAsia="en-US"/>
    </w:rPr>
  </w:style>
  <w:style w:type="paragraph" w:styleId="Header">
    <w:name w:val="header"/>
    <w:basedOn w:val="Normal"/>
    <w:link w:val="HeaderChar"/>
    <w:uiPriority w:val="99"/>
    <w:rsid w:val="006C1F3B"/>
    <w:pPr>
      <w:pBdr>
        <w:bottom w:val="single" w:sz="4" w:space="3" w:color="auto"/>
      </w:pBdr>
      <w:tabs>
        <w:tab w:val="center" w:pos="4513"/>
        <w:tab w:val="right" w:pos="9026"/>
      </w:tabs>
      <w:spacing w:before="0" w:after="480" w:line="240" w:lineRule="auto"/>
      <w:jc w:val="right"/>
    </w:pPr>
    <w:rPr>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0F5176"/>
    <w:pPr>
      <w:pBdr>
        <w:bottom w:val="none" w:sz="0" w:space="0" w:color="auto"/>
      </w:pBdr>
      <w:spacing w:after="120"/>
    </w:pPr>
  </w:style>
  <w:style w:type="character" w:customStyle="1" w:styleId="Heading5Char">
    <w:name w:val="Heading 5 Char"/>
    <w:basedOn w:val="DefaultParagraphFont"/>
    <w:link w:val="Heading5"/>
    <w:uiPriority w:val="9"/>
    <w:rsid w:val="00FA639E"/>
    <w:rPr>
      <w:rFonts w:eastAsia="Times New Roman"/>
      <w:b/>
      <w:bCs/>
      <w:i/>
      <w:color w:val="001523"/>
      <w:sz w:val="22"/>
      <w:szCs w:val="21"/>
      <w:lang w:eastAsia="en-US"/>
    </w:rPr>
  </w:style>
  <w:style w:type="character" w:customStyle="1" w:styleId="Heading6Char">
    <w:name w:val="Heading 6 Char"/>
    <w:basedOn w:val="DefaultParagraphFont"/>
    <w:link w:val="Heading6"/>
    <w:uiPriority w:val="9"/>
    <w:rsid w:val="00F3148D"/>
    <w:rPr>
      <w:rFonts w:eastAsia="Times New Roman"/>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sz w:val="18"/>
      <w:szCs w:val="24"/>
      <w:lang w:eastAsia="en-US"/>
    </w:rPr>
  </w:style>
  <w:style w:type="character" w:styleId="Hyperlink">
    <w:name w:val="Hyperlink"/>
    <w:basedOn w:val="DefaultParagraphFont"/>
    <w:uiPriority w:val="99"/>
    <w:rsid w:val="000B30E5"/>
    <w:rPr>
      <w:color w:val="0000E1"/>
      <w:u w:val="single"/>
      <w:bdr w:val="none" w:sz="0" w:space="0" w:color="auto"/>
    </w:rPr>
  </w:style>
  <w:style w:type="paragraph" w:customStyle="1" w:styleId="Key">
    <w:name w:val="Key"/>
    <w:basedOn w:val="Normal"/>
    <w:qFormat/>
    <w:rsid w:val="00F3148D"/>
    <w:rPr>
      <w:sz w:val="14"/>
    </w:rPr>
  </w:style>
  <w:style w:type="paragraph" w:customStyle="1" w:styleId="LegalCopy">
    <w:name w:val="Legal Copy"/>
    <w:basedOn w:val="Footer"/>
    <w:qFormat/>
    <w:rsid w:val="00A1235B"/>
    <w:pPr>
      <w:contextualSpacing w:val="0"/>
    </w:pPr>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EA1F09"/>
    <w:pPr>
      <w:numPr>
        <w:numId w:val="7"/>
      </w:numPr>
      <w:spacing w:before="60" w:after="120"/>
      <w:ind w:left="357" w:hanging="357"/>
    </w:pPr>
  </w:style>
  <w:style w:type="paragraph" w:styleId="ListBullet2">
    <w:name w:val="List Bullet 2"/>
    <w:basedOn w:val="Normal"/>
    <w:uiPriority w:val="99"/>
    <w:qFormat/>
    <w:rsid w:val="00EA1F09"/>
    <w:pPr>
      <w:numPr>
        <w:ilvl w:val="1"/>
        <w:numId w:val="7"/>
      </w:numPr>
      <w:spacing w:before="60" w:after="120"/>
      <w:ind w:left="714" w:hanging="357"/>
    </w:pPr>
  </w:style>
  <w:style w:type="paragraph" w:styleId="ListBullet3">
    <w:name w:val="List Bullet 3"/>
    <w:basedOn w:val="Normal"/>
    <w:uiPriority w:val="99"/>
    <w:qFormat/>
    <w:rsid w:val="00EA1F09"/>
    <w:pPr>
      <w:numPr>
        <w:ilvl w:val="2"/>
        <w:numId w:val="7"/>
      </w:numPr>
      <w:spacing w:before="60"/>
      <w:ind w:left="1077" w:hanging="357"/>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0B6CAE"/>
    <w:pPr>
      <w:keepNext/>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357700"/>
    <w:pPr>
      <w:numPr>
        <w:numId w:val="11"/>
      </w:numPr>
    </w:pPr>
  </w:style>
  <w:style w:type="paragraph" w:customStyle="1" w:styleId="Numberbullet2">
    <w:name w:val="Number bullet 2"/>
    <w:basedOn w:val="ListBullet2"/>
    <w:qFormat/>
    <w:rsid w:val="00680976"/>
    <w:pPr>
      <w:numPr>
        <w:ilvl w:val="0"/>
        <w:numId w:val="12"/>
      </w:numPr>
    </w:pPr>
  </w:style>
  <w:style w:type="paragraph" w:customStyle="1" w:styleId="Numberbullet3">
    <w:name w:val="Number bullet 3"/>
    <w:basedOn w:val="ListBullet3"/>
    <w:qFormat/>
    <w:rsid w:val="00357700"/>
    <w:pPr>
      <w:numPr>
        <w:numId w:val="11"/>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link w:val="SubtitleChar"/>
    <w:uiPriority w:val="11"/>
    <w:qFormat/>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4F484B"/>
    <w:pPr>
      <w:keepNext/>
    </w:pPr>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ack">
    <w:name w:val="Table TGA black"/>
    <w:basedOn w:val="TableNormal"/>
    <w:uiPriority w:val="99"/>
    <w:rsid w:val="004F484B"/>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5D1689"/>
    <w:pPr>
      <w:keepNext/>
    </w:pPr>
    <w:rPr>
      <w:b/>
      <w:sz w:val="20"/>
    </w:rPr>
  </w:style>
  <w:style w:type="paragraph" w:customStyle="1" w:styleId="TGASignoff">
    <w:name w:val="TGA Signoff"/>
    <w:basedOn w:val="Normal"/>
    <w:qFormat/>
    <w:rsid w:val="006F652C"/>
    <w:pPr>
      <w:spacing w:after="360"/>
      <w:jc w:val="center"/>
    </w:pPr>
    <w:rPr>
      <w:rFonts w:ascii="Arial" w:hAnsi="Arial"/>
      <w:b/>
      <w:sz w:val="28"/>
    </w:rPr>
  </w:style>
  <w:style w:type="paragraph" w:styleId="Title">
    <w:name w:val="Title"/>
    <w:link w:val="TitleChar"/>
    <w:uiPriority w:val="10"/>
    <w:qFormat/>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1525B4"/>
    <w:pPr>
      <w:tabs>
        <w:tab w:val="right" w:leader="underscore" w:pos="8505"/>
      </w:tabs>
      <w:spacing w:after="100"/>
      <w:ind w:left="1021"/>
    </w:pPr>
    <w:rPr>
      <w:sz w:val="21"/>
    </w:rPr>
  </w:style>
  <w:style w:type="paragraph" w:styleId="TOCHeading">
    <w:name w:val="TOC Heading"/>
    <w:basedOn w:val="Heading1"/>
    <w:next w:val="Normal"/>
    <w:uiPriority w:val="39"/>
    <w:semiHidden/>
    <w:unhideWhenUsed/>
    <w:qFormat/>
    <w:rsid w:val="00F3148D"/>
    <w:pPr>
      <w:framePr w:wrap="around"/>
      <w:spacing w:after="0" w:line="276" w:lineRule="auto"/>
      <w:outlineLvl w:val="9"/>
    </w:pPr>
    <w:rPr>
      <w:color w:val="002035"/>
      <w:sz w:val="28"/>
      <w:lang w:val="en-US"/>
    </w:rPr>
  </w:style>
  <w:style w:type="paragraph" w:customStyle="1" w:styleId="Subject">
    <w:name w:val="Subject"/>
    <w:basedOn w:val="Normal"/>
    <w:qFormat/>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semiHidden/>
    <w:unhideWhenUsed/>
    <w:rsid w:val="001525B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Footnote">
    <w:name w:val="Footnote"/>
    <w:basedOn w:val="FootnoteText"/>
    <w:qFormat/>
    <w:rsid w:val="001525B4"/>
    <w:pPr>
      <w:spacing w:after="240"/>
    </w:pPr>
  </w:style>
  <w:style w:type="paragraph" w:styleId="ListParagraph">
    <w:name w:val="List Paragraph"/>
    <w:basedOn w:val="Normal"/>
    <w:uiPriority w:val="34"/>
    <w:rsid w:val="0018660B"/>
    <w:pPr>
      <w:ind w:left="720"/>
      <w:contextualSpacing/>
    </w:pPr>
  </w:style>
  <w:style w:type="paragraph" w:customStyle="1" w:styleId="FigureDescription">
    <w:name w:val="Figure Description"/>
    <w:basedOn w:val="Normal"/>
    <w:next w:val="Normal"/>
    <w:qFormat/>
    <w:rsid w:val="006A38E4"/>
    <w:pPr>
      <w:spacing w:before="120" w:after="0"/>
    </w:pPr>
    <w:rPr>
      <w:sz w:val="19"/>
    </w:rPr>
  </w:style>
  <w:style w:type="paragraph" w:customStyle="1" w:styleId="TableDescription">
    <w:name w:val="Table Description"/>
    <w:basedOn w:val="FigureDescription"/>
    <w:qFormat/>
    <w:rsid w:val="00016BEB"/>
    <w:pPr>
      <w:keepNext/>
      <w:spacing w:after="240"/>
    </w:pPr>
    <w:rPr>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www.tga.gov.a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footer" Target="footer4.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tga.gov.au"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CB19B-641F-4492-83A7-663EF456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103</Pages>
  <Words>26491</Words>
  <Characters>140938</Characters>
  <Application>Microsoft Office Word</Application>
  <DocSecurity>0</DocSecurity>
  <Lines>3203</Lines>
  <Paragraphs>2232</Paragraphs>
  <ScaleCrop>false</ScaleCrop>
  <HeadingPairs>
    <vt:vector size="2" baseType="variant">
      <vt:variant>
        <vt:lpstr>Title</vt:lpstr>
      </vt:variant>
      <vt:variant>
        <vt:i4>1</vt:i4>
      </vt:variant>
    </vt:vector>
  </HeadingPairs>
  <TitlesOfParts>
    <vt:vector size="1" baseType="lpstr">
      <vt:lpstr>Comparison between the 2009 and 2013 editions of the PIC/S Guide to GMP</vt:lpstr>
    </vt:vector>
  </TitlesOfParts>
  <Company>TGA</Company>
  <LinksUpToDate>false</LinksUpToDate>
  <CharactersWithSpaces>165197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Comparison between the 2009 and 2013 editions of the PIC/S Guide to GMP</dc:title>
  <dc:subject>medicine manufacture</dc:subject>
  <dc:creator>Therapeutic Goods Administration</dc:creator>
  <cp:keywords>medicine, manufacture, gmp</cp:keywords>
  <cp:lastModifiedBy>Bird, Gail</cp:lastModifiedBy>
  <cp:revision>109</cp:revision>
  <cp:lastPrinted>2010-12-20T22:59:00Z</cp:lastPrinted>
  <dcterms:created xsi:type="dcterms:W3CDTF">2013-05-24T06:06:00Z</dcterms:created>
  <dcterms:modified xsi:type="dcterms:W3CDTF">2015-10-02T06:38:00Z</dcterms:modified>
</cp:coreProperties>
</file>